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3D996" w14:textId="3365FCDB" w:rsidR="001A66F8" w:rsidRPr="00120F92" w:rsidRDefault="00120F92" w:rsidP="00997371">
      <w:pPr>
        <w:pStyle w:val="JournalTitle"/>
      </w:pPr>
      <w:r w:rsidRPr="00120F92">
        <w:t xml:space="preserve">Investigation of Coagulation, Antibacterial and Cytotoxicity Properties of </w:t>
      </w:r>
      <w:r w:rsidRPr="00120F92">
        <w:rPr>
          <w:i/>
          <w:iCs/>
        </w:rPr>
        <w:t xml:space="preserve">Nymphaea </w:t>
      </w:r>
      <w:proofErr w:type="spellStart"/>
      <w:r w:rsidRPr="00120F92">
        <w:rPr>
          <w:i/>
          <w:iCs/>
        </w:rPr>
        <w:t>nouchali</w:t>
      </w:r>
      <w:proofErr w:type="spellEnd"/>
      <w:r w:rsidRPr="00120F92">
        <w:t xml:space="preserve"> </w:t>
      </w:r>
      <w:proofErr w:type="spellStart"/>
      <w:r w:rsidRPr="00120F92">
        <w:t>Burm</w:t>
      </w:r>
      <w:proofErr w:type="spellEnd"/>
      <w:r w:rsidRPr="00120F92">
        <w:t xml:space="preserve"> f. (Blue Water Lily) and </w:t>
      </w:r>
      <w:proofErr w:type="spellStart"/>
      <w:r w:rsidRPr="00120F92">
        <w:rPr>
          <w:i/>
          <w:iCs/>
        </w:rPr>
        <w:t>Artocarpus</w:t>
      </w:r>
      <w:proofErr w:type="spellEnd"/>
      <w:r w:rsidRPr="00120F92">
        <w:rPr>
          <w:i/>
          <w:iCs/>
        </w:rPr>
        <w:t xml:space="preserve"> </w:t>
      </w:r>
      <w:proofErr w:type="spellStart"/>
      <w:r w:rsidRPr="00120F92">
        <w:rPr>
          <w:i/>
          <w:iCs/>
        </w:rPr>
        <w:t>altilis</w:t>
      </w:r>
      <w:proofErr w:type="spellEnd"/>
      <w:r w:rsidRPr="00120F92">
        <w:t xml:space="preserve"> (Park.) </w:t>
      </w:r>
      <w:proofErr w:type="spellStart"/>
      <w:r w:rsidRPr="00120F92">
        <w:t>Fosh</w:t>
      </w:r>
      <w:proofErr w:type="spellEnd"/>
      <w:r w:rsidRPr="00120F92">
        <w:t>. (Breadfruit) Extracts</w:t>
      </w:r>
    </w:p>
    <w:p w14:paraId="656E2E6A" w14:textId="77777777" w:rsidR="00120F92" w:rsidRPr="004A6B1D" w:rsidRDefault="00120F92" w:rsidP="004A6B1D">
      <w:pPr>
        <w:pStyle w:val="Affiliation"/>
        <w:spacing w:after="0" w:line="200" w:lineRule="exact"/>
        <w:rPr>
          <w:szCs w:val="16"/>
        </w:rPr>
      </w:pPr>
      <w:bookmarkStart w:id="0" w:name="_GoBack"/>
      <w:bookmarkEnd w:id="0"/>
    </w:p>
    <w:p w14:paraId="5C73EE5C" w14:textId="535A57E3" w:rsidR="00B550EC" w:rsidRPr="00997371" w:rsidRDefault="00997371" w:rsidP="004A6B1D">
      <w:pPr>
        <w:pStyle w:val="History"/>
        <w:spacing w:before="300" w:after="0"/>
        <w:rPr>
          <w:b/>
          <w:bCs/>
          <w:sz w:val="20"/>
          <w:szCs w:val="20"/>
        </w:rPr>
      </w:pPr>
      <w:r w:rsidRPr="00997371">
        <w:rPr>
          <w:b/>
          <w:bCs/>
          <w:sz w:val="20"/>
          <w:szCs w:val="20"/>
        </w:rPr>
        <w:t>Abstract</w:t>
      </w:r>
    </w:p>
    <w:p w14:paraId="21E551E0" w14:textId="77777777" w:rsidR="00997371" w:rsidRPr="00997371" w:rsidRDefault="00997371" w:rsidP="004A6B1D">
      <w:pPr>
        <w:pStyle w:val="History"/>
        <w:spacing w:before="300" w:after="0"/>
        <w:rPr>
          <w:b/>
          <w:bCs/>
          <w:sz w:val="20"/>
          <w:szCs w:val="20"/>
        </w:rPr>
      </w:pPr>
    </w:p>
    <w:p w14:paraId="58B2BD83" w14:textId="6B62D372" w:rsidR="001A66F8" w:rsidRPr="00997371" w:rsidRDefault="00B550EC" w:rsidP="00B550EC">
      <w:pPr>
        <w:pStyle w:val="Abstract"/>
        <w:rPr>
          <w:sz w:val="20"/>
          <w:szCs w:val="20"/>
        </w:rPr>
      </w:pPr>
      <w:r w:rsidRPr="00997371">
        <w:rPr>
          <w:sz w:val="20"/>
          <w:szCs w:val="20"/>
        </w:rPr>
        <w:t xml:space="preserve">Untreated sewage and industrial waste discharge contaminates water sources, causing major risks to ecosystems and human health. This study aimed to compare the coagulation, antibacterial, and cytotoxic properties of </w:t>
      </w:r>
      <w:proofErr w:type="spellStart"/>
      <w:r w:rsidRPr="00997371">
        <w:rPr>
          <w:i/>
          <w:iCs/>
          <w:sz w:val="20"/>
          <w:szCs w:val="20"/>
        </w:rPr>
        <w:t>Artocarpus</w:t>
      </w:r>
      <w:proofErr w:type="spellEnd"/>
      <w:r w:rsidRPr="00997371">
        <w:rPr>
          <w:i/>
          <w:iCs/>
          <w:sz w:val="20"/>
          <w:szCs w:val="20"/>
        </w:rPr>
        <w:t xml:space="preserve"> </w:t>
      </w:r>
      <w:proofErr w:type="spellStart"/>
      <w:r w:rsidRPr="00997371">
        <w:rPr>
          <w:i/>
          <w:iCs/>
          <w:sz w:val="20"/>
          <w:szCs w:val="20"/>
        </w:rPr>
        <w:t>altilis</w:t>
      </w:r>
      <w:proofErr w:type="spellEnd"/>
      <w:r w:rsidRPr="00997371">
        <w:rPr>
          <w:sz w:val="20"/>
          <w:szCs w:val="20"/>
        </w:rPr>
        <w:t xml:space="preserve"> (Park.) </w:t>
      </w:r>
      <w:proofErr w:type="spellStart"/>
      <w:r w:rsidRPr="00997371">
        <w:rPr>
          <w:sz w:val="20"/>
          <w:szCs w:val="20"/>
        </w:rPr>
        <w:t>Fosh</w:t>
      </w:r>
      <w:proofErr w:type="spellEnd"/>
      <w:r w:rsidRPr="00997371">
        <w:rPr>
          <w:sz w:val="20"/>
          <w:szCs w:val="20"/>
        </w:rPr>
        <w:t xml:space="preserve">. (Breadfruit) peel, and </w:t>
      </w:r>
      <w:r w:rsidRPr="00997371">
        <w:rPr>
          <w:i/>
          <w:iCs/>
          <w:sz w:val="20"/>
          <w:szCs w:val="20"/>
        </w:rPr>
        <w:t xml:space="preserve">Nymphaea </w:t>
      </w:r>
      <w:proofErr w:type="spellStart"/>
      <w:r w:rsidRPr="00997371">
        <w:rPr>
          <w:i/>
          <w:iCs/>
          <w:sz w:val="20"/>
          <w:szCs w:val="20"/>
        </w:rPr>
        <w:t>nouchali</w:t>
      </w:r>
      <w:proofErr w:type="spellEnd"/>
      <w:r w:rsidRPr="00997371">
        <w:rPr>
          <w:sz w:val="20"/>
          <w:szCs w:val="20"/>
        </w:rPr>
        <w:t xml:space="preserve"> </w:t>
      </w:r>
      <w:proofErr w:type="spellStart"/>
      <w:r w:rsidRPr="00997371">
        <w:rPr>
          <w:sz w:val="20"/>
          <w:szCs w:val="20"/>
        </w:rPr>
        <w:t>Burm</w:t>
      </w:r>
      <w:proofErr w:type="spellEnd"/>
      <w:r w:rsidRPr="00997371">
        <w:rPr>
          <w:sz w:val="20"/>
          <w:szCs w:val="20"/>
        </w:rPr>
        <w:t>. f. (Blue Water Lily) stem, as a natural and eco-friendly wastewater treatment agent. Aqueous plant extracts (PEs) were prepared, and their antibacterial effects were evaluated via disk diffusion, coagulation efficiency via turbidity using spectrophotometry, and cytotoxicity by brine shrimp assay. Turbidity removal was most significantly different at 10</w:t>
      </w:r>
      <w:r w:rsidRPr="00997371">
        <w:rPr>
          <w:sz w:val="20"/>
          <w:szCs w:val="20"/>
          <w:vertAlign w:val="superscript"/>
        </w:rPr>
        <w:t>-1</w:t>
      </w:r>
      <w:r w:rsidRPr="00997371">
        <w:rPr>
          <w:sz w:val="20"/>
          <w:szCs w:val="20"/>
        </w:rPr>
        <w:t xml:space="preserve"> g/mL (21.63%), 10</w:t>
      </w:r>
      <w:r w:rsidRPr="00997371">
        <w:rPr>
          <w:sz w:val="20"/>
          <w:szCs w:val="20"/>
          <w:vertAlign w:val="superscript"/>
        </w:rPr>
        <w:t>-2</w:t>
      </w:r>
      <w:r w:rsidRPr="00997371">
        <w:rPr>
          <w:sz w:val="20"/>
          <w:szCs w:val="20"/>
        </w:rPr>
        <w:t xml:space="preserve"> g/mL (11.19%), and 10</w:t>
      </w:r>
      <w:r w:rsidRPr="00997371">
        <w:rPr>
          <w:sz w:val="20"/>
          <w:szCs w:val="20"/>
          <w:vertAlign w:val="superscript"/>
        </w:rPr>
        <w:t>-3</w:t>
      </w:r>
      <w:r w:rsidRPr="00997371">
        <w:rPr>
          <w:sz w:val="20"/>
          <w:szCs w:val="20"/>
        </w:rPr>
        <w:t xml:space="preserve"> g/mL (9.86%) for </w:t>
      </w:r>
      <w:r w:rsidRPr="00997371">
        <w:rPr>
          <w:i/>
          <w:iCs/>
          <w:sz w:val="20"/>
          <w:szCs w:val="20"/>
        </w:rPr>
        <w:t xml:space="preserve">A. </w:t>
      </w:r>
      <w:proofErr w:type="spellStart"/>
      <w:r w:rsidRPr="00997371">
        <w:rPr>
          <w:i/>
          <w:iCs/>
          <w:sz w:val="20"/>
          <w:szCs w:val="20"/>
        </w:rPr>
        <w:t>altilis</w:t>
      </w:r>
      <w:proofErr w:type="spellEnd"/>
      <w:r w:rsidRPr="00997371">
        <w:rPr>
          <w:sz w:val="20"/>
          <w:szCs w:val="20"/>
        </w:rPr>
        <w:t xml:space="preserve">, </w:t>
      </w:r>
      <w:r w:rsidRPr="00997371">
        <w:rPr>
          <w:i/>
          <w:iCs/>
          <w:sz w:val="20"/>
          <w:szCs w:val="20"/>
        </w:rPr>
        <w:t xml:space="preserve">N. </w:t>
      </w:r>
      <w:proofErr w:type="spellStart"/>
      <w:r w:rsidRPr="00997371">
        <w:rPr>
          <w:i/>
          <w:iCs/>
          <w:sz w:val="20"/>
          <w:szCs w:val="20"/>
        </w:rPr>
        <w:t>nouchali</w:t>
      </w:r>
      <w:proofErr w:type="spellEnd"/>
      <w:r w:rsidRPr="00997371">
        <w:rPr>
          <w:sz w:val="20"/>
          <w:szCs w:val="20"/>
        </w:rPr>
        <w:t>, and the mixed extracts, respectively (p&lt;0.05). However, the positive control showed the most significant turbidity reduction (p&lt;0.05). The PEs did not exhibit antibacterial properties and had no significant cytotoxic effects (p&gt;0.05) compared to the positive control. Further research should involve investigating different extraction procedures to yield more potent compounds.</w:t>
      </w:r>
    </w:p>
    <w:p w14:paraId="02AC57FD" w14:textId="59EB44A8" w:rsidR="00136F08" w:rsidRDefault="001A66F8" w:rsidP="0087703F">
      <w:pPr>
        <w:pStyle w:val="keywords"/>
      </w:pPr>
      <w:r>
        <w:rPr>
          <w:i/>
        </w:rPr>
        <w:t>Keywords</w:t>
      </w:r>
      <w:r>
        <w:t xml:space="preserve">: </w:t>
      </w:r>
      <w:r w:rsidR="00B550EC" w:rsidRPr="00B550EC">
        <w:t>Sustainable Water Treatment; Coagulation; Natural Coagulants</w:t>
      </w:r>
      <w:r w:rsidR="0024006A">
        <w:t>.</w:t>
      </w:r>
    </w:p>
    <w:p w14:paraId="4787D190" w14:textId="358949CF" w:rsidR="00E85D57" w:rsidRDefault="00E85D57">
      <w:pPr>
        <w:spacing w:line="240" w:lineRule="auto"/>
        <w:jc w:val="left"/>
        <w:rPr>
          <w:snapToGrid w:val="0"/>
          <w:sz w:val="16"/>
          <w:szCs w:val="20"/>
        </w:rPr>
      </w:pPr>
      <w:r>
        <w:br w:type="page"/>
      </w:r>
    </w:p>
    <w:p w14:paraId="4301149E" w14:textId="2A846E54" w:rsidR="00136F08" w:rsidRDefault="00136F08" w:rsidP="00136F08">
      <w:pPr>
        <w:pStyle w:val="Heading1"/>
      </w:pPr>
      <w:r>
        <w:lastRenderedPageBreak/>
        <w:t>Introductio</w:t>
      </w:r>
      <w:r w:rsidR="00E85D57">
        <w:t>n</w:t>
      </w:r>
    </w:p>
    <w:p w14:paraId="7C60436F" w14:textId="77777777" w:rsidR="0087703F" w:rsidRDefault="00136F08" w:rsidP="0087703F">
      <w:pPr>
        <w:pStyle w:val="BodyText"/>
        <w:ind w:firstLine="302"/>
        <w:rPr>
          <w:lang w:val="en-IN"/>
        </w:rPr>
      </w:pPr>
      <w:r w:rsidRPr="000B3AEE">
        <w:t xml:space="preserve">Water contamination from untreated sewage, agricultural, and industrial waste </w:t>
      </w:r>
      <w:r w:rsidR="0087703F">
        <w:t>poses a significant threat to human health and ecosystems worldwide</w:t>
      </w:r>
      <w:r w:rsidRPr="000B3AEE">
        <w:t xml:space="preserve">. </w:t>
      </w:r>
      <w:r w:rsidRPr="000B3AEE">
        <w:rPr>
          <w:lang w:val="en-IN"/>
        </w:rPr>
        <w:t xml:space="preserve">The accumulation of physical and chemical pollutants, such as plastic waste and hazardous chemicals, as well as untreated sewage, industrial discharges, and agricultural runoff, </w:t>
      </w:r>
      <w:r w:rsidR="0087703F">
        <w:rPr>
          <w:lang w:val="en-IN"/>
        </w:rPr>
        <w:t xml:space="preserve">is </w:t>
      </w:r>
      <w:r w:rsidRPr="000B3AEE">
        <w:rPr>
          <w:lang w:val="en-IN"/>
        </w:rPr>
        <w:t xml:space="preserve">a major </w:t>
      </w:r>
      <w:r w:rsidR="0087703F">
        <w:rPr>
          <w:lang w:val="en-IN"/>
        </w:rPr>
        <w:t>source</w:t>
      </w:r>
      <w:r w:rsidRPr="000B3AEE">
        <w:rPr>
          <w:lang w:val="en-IN"/>
        </w:rPr>
        <w:t xml:space="preserve"> of this contamination </w:t>
      </w:r>
      <w:r w:rsidRPr="000B3AEE">
        <w:rPr>
          <w:lang w:val="en-IN"/>
        </w:rPr>
        <w:fldChar w:fldCharType="begin" w:fldLock="1"/>
      </w:r>
      <w:r w:rsidRPr="000B3AEE">
        <w:rPr>
          <w:lang w:val="en-IN"/>
        </w:rPr>
        <w:instrText>ADDIN CSL_CITATION {"citationItems":[{"id":"ITEM-1","itemData":{"DOI":"10.51976/ijari.942107","abstract":"Wastewater is a major contributor to a variety of water pollution problems. They are generated continuously without adequate treatment. Poor wastewater treatment facilities result in inadequate treatment of this wastewater that is discharged into receiving water sources, resulting in pollution. The poor quality of discharged wastewater is responsible for the degradation of the receiving water body. Microorganisms associated with wastewater play many beneficial roles in the systems, a great number of them are considered to be critical factors in contributing to numerous waterborne diseases. Also, wastewater has been shown to contain a variety of anthropogenic compounds, many of which have endocrine-disrupting properties. Wastewater should be treated efficiently before discharge to avert pathophysiological risk to the user of these water resources and the aquatic ecosystem. The release of raw and improperly treated wastewater onto watercourses has both short-and long-term effects on the environment and physiology of the people. The only way to reduce the impact of wastewater on the environment, human physiology, and public health is proper enforcement of water and environmental laws to protect both rural and urban communities and also the adequate treatment of wastewater before discharge. To achieve unpolluted wastewater discharge into receiving water bodies, careful planning, adequate treatment, regular monitoring, and appropriate legislation are necessary.","author":[{"dropping-particle":"","family":"Owhonka","given":"Aleruchi","non-dropping-particle":"","parse-names":false,"suffix":""},{"dropping-particle":"","family":"Fubara","given":"Egbono Frank","non-dropping-particle":"","parse-names":false,"suffix":""},{"dropping-particle":"","family":"Justice","given":"Otto Buduka","non-dropping-particle":"","parse-names":false,"suffix":""}],"container-title":"International Journal of Advance Research and Innovation","id":"ITEM-1","issue":"4","issued":{"date-parts":[["2021"]]},"page":"43-58","publisher":"GLA University","title":"Wastewater Quality- It’s Impact on the Environment and Human Physiology: A Review","type":"article-journal","volume":"9"},"uris":["http://www.mendeley.com/documents/?uuid=8beb20bb-6442-317c-bcde-f11fc4e985e1"]}],"mendeley":{"formattedCitation":"(Owhonka et al., 2021)","plainTextFormattedCitation":"(Owhonka et al., 2021)","previouslyFormattedCitation":"(Owhonka et al., 2021)"},"properties":{"noteIndex":0},"schema":"https://github.com/citation-style-language/schema/raw/master/csl-citation.json"}</w:instrText>
      </w:r>
      <w:r w:rsidRPr="000B3AEE">
        <w:rPr>
          <w:lang w:val="en-IN"/>
        </w:rPr>
        <w:fldChar w:fldCharType="separate"/>
      </w:r>
      <w:r w:rsidRPr="000B3AEE">
        <w:rPr>
          <w:noProof/>
          <w:lang w:val="en-IN"/>
        </w:rPr>
        <w:t xml:space="preserve">(Owhonka </w:t>
      </w:r>
      <w:r w:rsidRPr="00B378D8">
        <w:rPr>
          <w:i/>
          <w:iCs/>
          <w:noProof/>
          <w:lang w:val="en-IN"/>
        </w:rPr>
        <w:t>et al</w:t>
      </w:r>
      <w:r w:rsidRPr="000B3AEE">
        <w:rPr>
          <w:noProof/>
          <w:lang w:val="en-IN"/>
        </w:rPr>
        <w:t>., 2021)</w:t>
      </w:r>
      <w:r w:rsidRPr="000B3AEE">
        <w:rPr>
          <w:lang w:val="en-IN"/>
        </w:rPr>
        <w:fldChar w:fldCharType="end"/>
      </w:r>
      <w:r w:rsidRPr="000B3AEE">
        <w:rPr>
          <w:lang w:val="en-IN"/>
        </w:rPr>
        <w:t xml:space="preserve">. The quality of freshwater sources is affected by these contaminants, which enter aquatic bodies by surface runoff or direct discharge. The infiltration of biological agents, like pathogenic microorganisms, which have adverse effects on public health and environmental systems, is one of the most concerning aspects of this contamination </w:t>
      </w:r>
      <w:r w:rsidRPr="000B3AEE">
        <w:rPr>
          <w:lang w:val="en-IN"/>
        </w:rPr>
        <w:fldChar w:fldCharType="begin" w:fldLock="1"/>
      </w:r>
      <w:r w:rsidRPr="000B3AEE">
        <w:rPr>
          <w:lang w:val="en-IN"/>
        </w:rPr>
        <w:instrText>ADDIN CSL_CITATION {"citationItems":[{"id":"ITEM-1","itemData":{"DOI":"10.47310/jpms2025140215","abstract":"Worldwide, one of the biggest concerns for water quality is the contamination of water resources by water-borne pathogens and the diseases that result from it. An increasing number of recent publications attest to the need for studies that synthesize knowledge from multiple fields, covering comparative aspects of pathogen contamination and unify them in one place in order to present and address the problem as a whole. These publications also demonstrate the growing interest in controlling water-borne pathogens in water resources. Contamination arises from pathogens (bacteria, viruses, parasites), organic and inorganic pollutants and environmental factors. Additional transdisciplinary studies are clearly needed in order to fully understand the situation. These studies should integrate knowledge from multi-research endeavors addressing pathogen contamination and provide a thorough overview. As a result, the objective of this review is to provide a comprehensive evaluation of the research spectrum regarding pathogen contamination of water resources and the difficulties that accompany it. The contaminants in water disrupt the mechanism spontaneity and cause short and long-term waterborne diseases. In this review, we will focus on the probable microbial and parasitic contaminations which affect water quality and health also, to preventing waterborne diseases.","author":[{"dropping-particle":"","family":"Jawi, Nada","given":"M.","non-dropping-particle":"","parse-names":false,"suffix":""},{"dropping-particle":"","family":"Al-Saud, Najla","given":"Bint Sasud","non-dropping-particle":"","parse-names":false,"suffix":""},{"dropping-particle":"","family":"Y. Alyahyawy","given":"Othman","non-dropping-particle":"","parse-names":false,"suffix":""},{"dropping-particle":"","family":"Abo-Aba","given":"Salah E.M.","non-dropping-particle":"","parse-names":false,"suffix":""}],"container-title":"Journal of Pioneering Medical Sciences","id":"ITEM-1","issue":"2","issued":{"date-parts":[["2025","2","28"]]},"page":"96-102","publisher":"International Academic and Research Consortium","title":"Water Contamination and Disinfection: A Review","type":"article-journal","volume":"14"},"uris":["http://www.mendeley.com/documents/?uuid=9907d2dd-feb4-34a8-b79b-053f99988eaa"]}],"mendeley":{"formattedCitation":"(Jawi, Nada et al., 2025)","plainTextFormattedCitation":"(Jawi, Nada et al., 2025)","previouslyFormattedCitation":"(Jawi, Nada et al., 2025)"},"properties":{"noteIndex":0},"schema":"https://github.com/citation-style-language/schema/raw/master/csl-citation.json"}</w:instrText>
      </w:r>
      <w:r w:rsidRPr="000B3AEE">
        <w:rPr>
          <w:lang w:val="en-IN"/>
        </w:rPr>
        <w:fldChar w:fldCharType="separate"/>
      </w:r>
      <w:r w:rsidRPr="000B3AEE">
        <w:rPr>
          <w:noProof/>
          <w:lang w:val="en-IN"/>
        </w:rPr>
        <w:t xml:space="preserve">(Nada </w:t>
      </w:r>
      <w:r w:rsidRPr="00B378D8">
        <w:rPr>
          <w:i/>
          <w:iCs/>
          <w:noProof/>
          <w:lang w:val="en-IN"/>
        </w:rPr>
        <w:t>et al</w:t>
      </w:r>
      <w:r w:rsidRPr="000B3AEE">
        <w:rPr>
          <w:noProof/>
          <w:lang w:val="en-IN"/>
        </w:rPr>
        <w:t>., 2025)</w:t>
      </w:r>
      <w:r w:rsidRPr="000B3AEE">
        <w:rPr>
          <w:lang w:val="en-IN"/>
        </w:rPr>
        <w:fldChar w:fldCharType="end"/>
      </w:r>
      <w:r w:rsidRPr="000B3AEE">
        <w:rPr>
          <w:lang w:val="en-IN"/>
        </w:rPr>
        <w:t xml:space="preserve">. Although around 71% of the earth is covered with water, only 2.5% is freshwater, and less than 1% is accessible for usage </w:t>
      </w:r>
      <w:r w:rsidRPr="000B3AEE">
        <w:fldChar w:fldCharType="begin" w:fldLock="1"/>
      </w:r>
      <w:r w:rsidRPr="000B3AEE">
        <w:instrText>ADDIN CSL_CITATION {"citationItems":[{"id":"ITEM-1","itemData":{"ISBN":"9789231000713","ISSN":"0267825X","abstract":"Water and energy meet at a crossroads where views and opinions can vary. We have endeavoured to present a fact-based, balanced and neutral report that presents the current state of knowledge and covers the most recent developments pertaining to water and energy. As we move towards a new paradigm of sustainable development, whether via a new set of development goals, the decoupling of water and economic growth or the ‘greening’ of economies, it is our sincere hope that all parties to the current and forthcoming debates concerning water and energy will find this factual report to be a useful, informative and credible tool which can serve as the knowledge base for open, transparent discussions pertaining to our common future. On behalf of the staff of WWAP, we extend our deepest appreciation to the UN-Water lead agencies and regional commissions, to the Members and Partners of UN-Water, and to the authors, writers, editors and other contributors in producing this unique and authoritative report.","author":[{"dropping-particle":"","family":"UN","given":"","non-dropping-particle":"","parse-names":false,"suffix":""}],"container-title":"United Nations Educational, Scientific and Cultural Organization","id":"ITEM-1","issue":"5","issued":{"date-parts":[["2020"]]},"number-of-pages":"3","title":"UN World Water development report","type":"book","volume":"88"},"uris":["http://www.mendeley.com/documents/?uuid=25832a9a-5d6d-3419-b0db-3c908be5c47f"]}],"mendeley":{"formattedCitation":"(UN 2020)","plainTextFormattedCitation":"(UN 2020)"},"properties":{"noteIndex":0},"schema":"https://github.com/citation-style-language/schema/raw/master/csl-citation.json"}</w:instrText>
      </w:r>
      <w:r w:rsidRPr="000B3AEE">
        <w:fldChar w:fldCharType="separate"/>
      </w:r>
      <w:r w:rsidRPr="000B3AEE">
        <w:rPr>
          <w:noProof/>
        </w:rPr>
        <w:t>(UN</w:t>
      </w:r>
      <w:r w:rsidR="00B378D8">
        <w:rPr>
          <w:noProof/>
        </w:rPr>
        <w:t>,</w:t>
      </w:r>
      <w:r w:rsidRPr="000B3AEE">
        <w:rPr>
          <w:noProof/>
        </w:rPr>
        <w:t xml:space="preserve"> 2020)</w:t>
      </w:r>
      <w:r w:rsidRPr="000B3AEE">
        <w:fldChar w:fldCharType="end"/>
      </w:r>
      <w:r w:rsidRPr="000B3AEE">
        <w:rPr>
          <w:lang w:val="en-IN"/>
        </w:rPr>
        <w:t xml:space="preserve">. </w:t>
      </w:r>
      <w:r w:rsidRPr="000B3AEE">
        <w:t>According to a 2023 report by the World Health Organization (WHO), approximately 80% of all diseases in developing countries are caused by waterborne pathogens (World Health Organization</w:t>
      </w:r>
      <w:r w:rsidR="00B378D8">
        <w:t>,</w:t>
      </w:r>
      <w:r w:rsidRPr="000B3AEE">
        <w:t xml:space="preserve"> 2023). </w:t>
      </w:r>
      <w:r w:rsidRPr="000B3AEE">
        <w:rPr>
          <w:lang w:val="en-IN"/>
        </w:rPr>
        <w:t xml:space="preserve">Typhoid, dysentery, cholera, salmonellosis, and hepatitis are just a few of the infectious diseases that can spread when humans consume contaminated water, particularly in areas without effective water treatment facilities. In addition, to causing widespread diseases, these have the potential to be fatal, especially for vulnerable groups like children, the elderly, and people with compromised immune systems </w:t>
      </w:r>
      <w:r w:rsidRPr="000B3AEE">
        <w:t xml:space="preserve">(Koul </w:t>
      </w:r>
      <w:r w:rsidRPr="00B378D8">
        <w:rPr>
          <w:i/>
          <w:iCs/>
        </w:rPr>
        <w:t>et al</w:t>
      </w:r>
      <w:r w:rsidRPr="000B3AEE">
        <w:t>., 2022)</w:t>
      </w:r>
      <w:r w:rsidRPr="000B3AEE">
        <w:rPr>
          <w:lang w:val="en-IN"/>
        </w:rPr>
        <w:t xml:space="preserve">. </w:t>
      </w:r>
    </w:p>
    <w:p w14:paraId="0F7E3311" w14:textId="794697C3" w:rsidR="0087703F" w:rsidRDefault="00136F08" w:rsidP="0087703F">
      <w:pPr>
        <w:pStyle w:val="BodyText"/>
        <w:ind w:firstLine="302"/>
        <w:rPr>
          <w:lang w:val="en-IN"/>
        </w:rPr>
      </w:pPr>
      <w:r w:rsidRPr="000B3AEE">
        <w:rPr>
          <w:lang w:val="en-IN"/>
        </w:rPr>
        <w:t xml:space="preserve">Currently, many different kinds of water treatment techniques are employed globally to ensure the elimination of biological, chemical, and physical pollutants </w:t>
      </w:r>
      <w:r w:rsidRPr="000B3AEE">
        <w:rPr>
          <w:lang w:val="en-IN"/>
        </w:rPr>
        <w:fldChar w:fldCharType="begin" w:fldLock="1"/>
      </w:r>
      <w:r w:rsidRPr="000B3AEE">
        <w:rPr>
          <w:lang w:val="en-IN"/>
        </w:rPr>
        <w:instrText>ADDIN CSL_CITATION {"citationItems":[{"id":"ITEM-1","itemData":{"DOI":"10.1016/B978-0-12-821881-5.00006-4","ISBN":"9780128218815","abstract":"Biological treatment of industrial wastewater is often the most cost-effective alternative when compared to other available treatment techniques. The wastewater from an industry may contain residues of chemicals, color stuff, high degree of pollutants with high total dissolved solids and suspended solids and high biochemical oxygen demand (BOD) and chemical oxygen demand (COD) concentration, as well as much more recalcitrant materials. The biodegradation is therefore a challenge to the wastewater treatment facilities. The biodegradability index (BI) is an indicator of the toxicity of the wastewater and is defined as the ratio between BOD and COD. Its value varies from zero to unity. For the complete biodegradation of an effluent, its BI value must be above 0.3. To improve the BI value, various advanced oxidation process (AOP) techniques have been used as a pretreatment technique. This chapter discusses various AOP pretreatment techniques to improve the BI value and make the effluent suitable for biological wastewater treatment.","author":[{"dropping-particle":"","family":"Saravanathamizhan","given":"R.","non-dropping-particle":"","parse-names":false,"suffix":""},{"dropping-particle":"","family":"Perarasu","given":"V. T.","non-dropping-particle":"","parse-names":false,"suffix":""}],"container-title":"Wastewater Treatment: Cutting-Edge Molecular Tools, Techniques and Applied Aspects","id":"ITEM-1","issued":{"date-parts":[["2021","1","1"]]},"page":"103-136","publisher":"Elsevier","title":"Improvement of Biodegradability Index of Industrial Wastewater Using Different Pretreatment Techniques","type":"article-journal"},"uris":["http://www.mendeley.com/documents/?uuid=5132f2d2-dd9b-3c05-8131-f3713d183686"]}],"mendeley":{"formattedCitation":"(Saravanathamizhan &amp; Perarasu, 2021)","plainTextFormattedCitation":"(Saravanathamizhan &amp; Perarasu, 2021)","previouslyFormattedCitation":"(Saravanathamizhan &amp; Perarasu, 2021)"},"properties":{"noteIndex":0},"schema":"https://github.com/citation-style-language/schema/raw/master/csl-citation.json"}</w:instrText>
      </w:r>
      <w:r w:rsidRPr="000B3AEE">
        <w:rPr>
          <w:lang w:val="en-IN"/>
        </w:rPr>
        <w:fldChar w:fldCharType="separate"/>
      </w:r>
      <w:r w:rsidRPr="000B3AEE">
        <w:rPr>
          <w:noProof/>
          <w:lang w:val="en-IN"/>
        </w:rPr>
        <w:t>(Saravanathamizhan and Perarasu</w:t>
      </w:r>
      <w:r w:rsidR="00F81AD7">
        <w:rPr>
          <w:noProof/>
          <w:lang w:val="en-IN"/>
        </w:rPr>
        <w:t>,</w:t>
      </w:r>
      <w:r w:rsidRPr="000B3AEE">
        <w:rPr>
          <w:noProof/>
          <w:lang w:val="en-IN"/>
        </w:rPr>
        <w:t xml:space="preserve"> 2021)</w:t>
      </w:r>
      <w:r w:rsidRPr="000B3AEE">
        <w:rPr>
          <w:lang w:val="en-IN"/>
        </w:rPr>
        <w:fldChar w:fldCharType="end"/>
      </w:r>
      <w:r w:rsidRPr="000B3AEE">
        <w:rPr>
          <w:lang w:val="en-IN"/>
        </w:rPr>
        <w:t>. Chemical treatments are the most commonly used</w:t>
      </w:r>
      <w:r w:rsidR="0087703F">
        <w:rPr>
          <w:lang w:val="en-IN"/>
        </w:rPr>
        <w:t xml:space="preserve"> which include </w:t>
      </w:r>
      <w:r w:rsidR="0087703F" w:rsidRPr="000B3AEE">
        <w:rPr>
          <w:lang w:val="en-IN"/>
        </w:rPr>
        <w:t>chemical coagulants (such as alum or ferric chloride) for flocculation and coagulation, chlorination for disinfection, and the use of lime or soda ash for pH correction</w:t>
      </w:r>
      <w:r w:rsidR="0087703F">
        <w:rPr>
          <w:lang w:val="en-IN"/>
        </w:rPr>
        <w:t>.</w:t>
      </w:r>
      <w:r w:rsidRPr="000B3AEE">
        <w:rPr>
          <w:lang w:val="en-IN"/>
        </w:rPr>
        <w:t xml:space="preserve"> </w:t>
      </w:r>
      <w:r w:rsidR="0087703F">
        <w:rPr>
          <w:lang w:val="en-IN"/>
        </w:rPr>
        <w:t>However</w:t>
      </w:r>
      <w:r w:rsidRPr="000B3AEE">
        <w:rPr>
          <w:lang w:val="en-IN"/>
        </w:rPr>
        <w:t>, traditional methods usually comprise several types of procedures</w:t>
      </w:r>
      <w:r w:rsidR="0087703F">
        <w:rPr>
          <w:lang w:val="en-IN"/>
        </w:rPr>
        <w:t>,</w:t>
      </w:r>
      <w:r w:rsidRPr="000B3AEE">
        <w:rPr>
          <w:lang w:val="en-IN"/>
        </w:rPr>
        <w:t xml:space="preserve"> such </w:t>
      </w:r>
      <w:r w:rsidR="0087703F">
        <w:rPr>
          <w:lang w:val="en-IN"/>
        </w:rPr>
        <w:t xml:space="preserve">as </w:t>
      </w:r>
      <w:r w:rsidRPr="000B3AEE">
        <w:rPr>
          <w:lang w:val="en-IN"/>
        </w:rPr>
        <w:t xml:space="preserve">screening, sedimentation, filtering, and disinfection </w:t>
      </w:r>
      <w:r w:rsidRPr="000B3AEE">
        <w:rPr>
          <w:lang w:val="en-IN"/>
        </w:rPr>
        <w:fldChar w:fldCharType="begin" w:fldLock="1"/>
      </w:r>
      <w:r w:rsidRPr="000B3AEE">
        <w:rPr>
          <w:lang w:val="en-IN"/>
        </w:rPr>
        <w:instrText>ADDIN CSL_CITATION {"citationItems":[{"id":"ITEM-1","itemData":{"DOI":"10.1016/j.chemosphere.2021.130595","ISSN":"18791298","PMID":"33940449","abstract":"Release of pollutants due to inflating anthropogenic activities has a conspicuous effect on the environment. As water is uniquely vulnerable to pollution, water pollution control has received a considerable attention among the most critical environmental challenges. Diverse sources such as heavy metals, dyes, pathogenic and organic compounds lead to deterioration in water quality. Demand for the pollutant free water has created a greater concern in water treatment technologies. The pollutants can be mitigated through physical, chemical and biological methodologies thereby alleviating the health and environmental effects caused. Diverse technologies for wastewater treatment with an accentuation on pre-treatment of feedstock and post treatment are concisely summed up. Pollutants present in the water can be removed by processes some of which include filtration, reverse osmosis, degasification, sedimentation, flocculation, precipitation and adsorption. Membrane separation and adsorption methodologies utilized to control water pollution and are found to be more effective than conventional methods and established recovery processes. This audit relatively features different methodologies that show remarkable power of eliminating pollutants from wastewater. This review describes recent research development on wastewater treatment and its respective benefits/applications in field scale were discussed. Finally, the difficulties in the enhancement of treatment methodologies for pragmatic commercial application are recognized and the future viewpoints are introduced.","author":[{"dropping-particle":"","family":"Saravanan","given":"A.","non-dropping-particle":"","parse-names":false,"suffix":""},{"dropping-particle":"","family":"Senthil Kumar","given":"P.","non-dropping-particle":"","parse-names":false,"suffix":""},{"dropping-particle":"","family":"Jeevanantham","given":"S.","non-dropping-particle":"","parse-names":false,"suffix":""},{"dropping-particle":"","family":"Karishma","given":"S.","non-dropping-particle":"","parse-names":false,"suffix":""},{"dropping-particle":"","family":"Tajsabreen","given":"B.","non-dropping-particle":"","parse-names":false,"suffix":""},{"dropping-particle":"","family":"Yaashikaa","given":"P. R.","non-dropping-particle":"","parse-names":false,"suffix":""},{"dropping-particle":"","family":"Reshma","given":"B.","non-dropping-particle":"","parse-names":false,"suffix":""}],"container-title":"Chemosphere","id":"ITEM-1","issued":{"date-parts":[["2021","10","1"]]},"page":"130595","publisher":"Pergamon","title":"Effective water/wastewater treatment methodologies for toxic pollutants removal: Processes and applications towards sustainable development","type":"article-journal","volume":"280"},"uris":["http://www.mendeley.com/documents/?uuid=f8d34b83-b689-326e-b5ea-f498b34e33eb"]}],"mendeley":{"formattedCitation":"(Saravanan et al., 2021)","plainTextFormattedCitation":"(Saravanan et al., 2021)","previouslyFormattedCitation":"(Saravanan et al., 2021)"},"properties":{"noteIndex":0},"schema":"https://github.com/citation-style-language/schema/raw/master/csl-citation.json"}</w:instrText>
      </w:r>
      <w:r w:rsidRPr="000B3AEE">
        <w:rPr>
          <w:lang w:val="en-IN"/>
        </w:rPr>
        <w:fldChar w:fldCharType="separate"/>
      </w:r>
      <w:r w:rsidRPr="000B3AEE">
        <w:rPr>
          <w:noProof/>
          <w:lang w:val="en-IN"/>
        </w:rPr>
        <w:t xml:space="preserve">(Saravanan </w:t>
      </w:r>
      <w:r w:rsidRPr="00F81AD7">
        <w:rPr>
          <w:i/>
          <w:iCs/>
          <w:noProof/>
          <w:lang w:val="en-IN"/>
        </w:rPr>
        <w:t>et al</w:t>
      </w:r>
      <w:r w:rsidRPr="000B3AEE">
        <w:rPr>
          <w:noProof/>
          <w:lang w:val="en-IN"/>
        </w:rPr>
        <w:t>., 2021)</w:t>
      </w:r>
      <w:r w:rsidRPr="000B3AEE">
        <w:rPr>
          <w:lang w:val="en-IN"/>
        </w:rPr>
        <w:fldChar w:fldCharType="end"/>
      </w:r>
      <w:r w:rsidRPr="000B3AEE">
        <w:rPr>
          <w:lang w:val="en-IN"/>
        </w:rPr>
        <w:t>. Large-scale purification in industrial and municipal systems often includes chemical treatments, particularly coagulation with alum or ferric chloride and chlorination</w:t>
      </w:r>
      <w:r w:rsidR="0087703F">
        <w:rPr>
          <w:lang w:val="en-IN"/>
        </w:rPr>
        <w:t xml:space="preserve"> </w:t>
      </w:r>
      <w:r w:rsidR="0087703F" w:rsidRPr="000B3AEE">
        <w:rPr>
          <w:lang w:val="en-IN"/>
        </w:rPr>
        <w:fldChar w:fldCharType="begin" w:fldLock="1"/>
      </w:r>
      <w:r w:rsidR="0087703F" w:rsidRPr="000B3AEE">
        <w:rPr>
          <w:lang w:val="en-IN"/>
        </w:rPr>
        <w:instrText>ADDIN CSL_CITATION {"citationItems":[{"id":"ITEM-1","itemData":{"DOI":"10.1007/s13201-021-01540-z","ISSN":"21905495","abstract":"Wastewater management and its environment-friendly applications seem to be very complicated associated with chemical effects due to their dynamic characteristics for developing countries. Most of the world's agencies or countries have been treated wastewater using chemical coagulants which have contributed to other environmental complications. Considering the impacts of chemical coagulation, this study is novel research to identify alternative components that would be applied as a natural coagulant. The present study was conducted using two different regional clays as coagulants which were collected from Portugal and Bangladesh's Patuakhali coastal area. The clay coagulant applications were applied to investigate the removal efficiency of physical properties (turbidity), chemical properties (pH and COD), and heavy metals (Cr, Cd, Ni, and Pb) from wastewater. Comparatively, the highest removal efficiency was examined by the coastal clay of Patuakhali. This soil is also easily available in the local context and can be economically viable.","author":[{"dropping-particle":"","family":"Sultana","given":"Sharmin","non-dropping-particle":"","parse-names":false,"suffix":""},{"dropping-particle":"","family":"Karmaker","given":"Boloram","non-dropping-particle":"","parse-names":false,"suffix":""},{"dropping-particle":"","family":"Saifullah","given":"A. S.M.","non-dropping-particle":"","parse-names":false,"suffix":""},{"dropping-particle":"","family":"Galal Uddin","given":"Md","non-dropping-particle":"","parse-names":false,"suffix":""},{"dropping-particle":"","family":"Moniruzzaman","given":"Md","non-dropping-particle":"","parse-names":false,"suffix":""}],"container-title":"Applied Water Science","id":"ITEM-1","issue":"1","issued":{"date-parts":[["2022","1","1"]]},"publisher":"Springer Science and Business Media Deutschland GmbH","title":"Environment-friendly clay coagulant aid for wastewater treatment","type":"article-journal","volume":"12"},"uris":["http://www.mendeley.com/documents/?uuid=a98ee16f-6927-36a1-9375-6049530d6ce0"]},{"id":"ITEM-2","itemData":{"DOI":"10.1051/matecconf/201710306016","ISSN":"2261236X","abstract":"The natural water falls from the mountain is merging into the oceans. This water is preserved by humans that are consumed for agriculture, industrial, and municipal use. This water become wastewater after different usage, and finally, completes the hydrological cycle. The water becomes wastewater due to population growth, urbanization, industrialization, sewage from household, institutions, hospitals, industries and etc. Wastewater can be destructive for the public because it contains a variety of organic and inorganic substances, biological substances, toxic inorganic compounds and the presence of toxic materials. The coagulant chemicals and its associated products are resourceful but these may change the characteristics of water in terms of physical and chemical characteristics, this make matters worse in the disposal of sludge. An option of natural polymer can be used in water and wastewater in this review. The natural polymers are most efficient that provide several benefits such as; prolific, exempt from physical and chemical changes from the treated water.","author":[{"dropping-particle":"","family":"Kumar","given":"Vicky","non-dropping-particle":"","parse-names":false,"suffix":""},{"dropping-particle":"","family":"Othman","given":"Norzila","non-dropping-particle":"","parse-names":false,"suffix":""},{"dropping-particle":"","family":"Asharuddin","given":"Syazwani","non-dropping-particle":"","parse-names":false,"suffix":""}],"container-title":"MATEC Web of Conferences","id":"ITEM-2","issued":{"date-parts":[["2017","4","5"]]},"page":"06016","publisher":"EDP Sciences","title":"Applications of Natural Coagulants to Treat Wastewater - A Review","type":"paper-conference","volume":"103"},"uris":["http://www.mendeley.com/documents/?uuid=3f4347eb-1b04-3654-9779-3c78b3a4b746"]}],"mendeley":{"formattedCitation":"(V. Kumar et al., 2017; Sultana et al., 2022)","plainTextFormattedCitation":"(V. Kumar et al., 2017; Sultana et al., 2022)","previouslyFormattedCitation":"(V. Kumar et al., 2017; Sultana et al., 2022)"},"properties":{"noteIndex":0},"schema":"https://github.com/citation-style-language/schema/raw/master/csl-citation.json"}</w:instrText>
      </w:r>
      <w:r w:rsidR="0087703F" w:rsidRPr="000B3AEE">
        <w:rPr>
          <w:lang w:val="en-IN"/>
        </w:rPr>
        <w:fldChar w:fldCharType="separate"/>
      </w:r>
      <w:r w:rsidR="0087703F" w:rsidRPr="000B3AEE">
        <w:rPr>
          <w:noProof/>
          <w:lang w:val="en-IN"/>
        </w:rPr>
        <w:t xml:space="preserve">(Sharma </w:t>
      </w:r>
      <w:r w:rsidR="0087703F" w:rsidRPr="00F81AD7">
        <w:rPr>
          <w:i/>
          <w:iCs/>
          <w:noProof/>
          <w:lang w:val="en-IN"/>
        </w:rPr>
        <w:t>et al</w:t>
      </w:r>
      <w:r w:rsidR="0087703F" w:rsidRPr="000B3AEE">
        <w:rPr>
          <w:noProof/>
          <w:lang w:val="en-IN"/>
        </w:rPr>
        <w:t xml:space="preserve">., 2017; Sultana </w:t>
      </w:r>
      <w:r w:rsidR="0087703F" w:rsidRPr="00F81AD7">
        <w:rPr>
          <w:i/>
          <w:iCs/>
          <w:noProof/>
          <w:lang w:val="en-IN"/>
        </w:rPr>
        <w:t>et</w:t>
      </w:r>
      <w:r w:rsidR="0087703F" w:rsidRPr="000B3AEE">
        <w:rPr>
          <w:noProof/>
          <w:lang w:val="en-IN"/>
        </w:rPr>
        <w:t xml:space="preserve"> </w:t>
      </w:r>
      <w:r w:rsidR="0087703F" w:rsidRPr="00F81AD7">
        <w:rPr>
          <w:i/>
          <w:iCs/>
          <w:noProof/>
          <w:lang w:val="en-IN"/>
        </w:rPr>
        <w:t>al</w:t>
      </w:r>
      <w:r w:rsidR="0087703F" w:rsidRPr="000B3AEE">
        <w:rPr>
          <w:noProof/>
          <w:lang w:val="en-IN"/>
        </w:rPr>
        <w:t>., 2022)</w:t>
      </w:r>
      <w:r w:rsidR="0087703F" w:rsidRPr="000B3AEE">
        <w:rPr>
          <w:lang w:val="en-IN"/>
        </w:rPr>
        <w:fldChar w:fldCharType="end"/>
      </w:r>
      <w:r w:rsidR="0087703F" w:rsidRPr="000B3AEE">
        <w:rPr>
          <w:lang w:val="en-IN"/>
        </w:rPr>
        <w:t>.</w:t>
      </w:r>
    </w:p>
    <w:p w14:paraId="4AAA861D" w14:textId="397881B6" w:rsidR="00136F08" w:rsidRDefault="00136F08" w:rsidP="00136F08">
      <w:pPr>
        <w:pStyle w:val="TextIndent"/>
        <w:rPr>
          <w:lang w:val="en-IN"/>
        </w:rPr>
      </w:pPr>
      <w:r w:rsidRPr="000B3AEE">
        <w:rPr>
          <w:lang w:val="en-IN"/>
        </w:rPr>
        <w:t xml:space="preserve">Coagulation is one of the most important steps in all the techniques used to purify water. The process of coagulation is adding specific compounds, referred to as coagulants, which help small suspended particles aggregate into bigger clusters, or flocs, that are easier to remove during later treatment procedures like sedimentation and filtering </w:t>
      </w:r>
      <w:r w:rsidRPr="000B3AEE">
        <w:rPr>
          <w:lang w:val="en-IN"/>
        </w:rPr>
        <w:fldChar w:fldCharType="begin" w:fldLock="1"/>
      </w:r>
      <w:r w:rsidRPr="000B3AEE">
        <w:rPr>
          <w:lang w:val="en-IN"/>
        </w:rPr>
        <w:instrText>ADDIN CSL_CITATION {"citationItems":[{"id":"ITEM-1","itemData":{"DOI":"10.3390/w14223751","ISSN":"20734441","abstract":"Water treatment (WT) is currently among the major areas of research due to the depletion of water resources and fearmongering regarding environmental pollution, which has compelled the upgrading of conventional WT technology towards recycling and reuse. This review aims to provide the current state of natural coagulants and their application in the purification of surface water as sufficient clean water is required for household needs, health security, and environmental safety. A thorough and systematic review of the existing literature was performed, and the information related to water treatment using natural coagulants was compiled from 237 articles under various sections using a computerized bibliographic search via PubMed, Scopus, Web of Science, Google Scholar, CAB Abstracts, and several websites. The work provides explicit information related to natural coagulants and their merits and limitations, outlines methods to increase their coagulation performance, and highlights their coagulation mechanism, efficacy, valorization potential, and sustainability. From the information obtained, it can be concluded that although chemical coagulants are efficient in WT, they are usually expensive, toxic, associated with health issues, and thus non-sustainable. A sustainable alternative is the use of natural coagulants, which are readily available, economical, easy to use, biodegradable, non-toxic, eco-friendly, effective, and generate lower sludge volumes. They work via an adsorption process that involves polymeric bridging or neutralization of the charge. The WT efficiency of natural coagulants ranges from 50–500 nephelometric turbidity units (NTUs), which is similar to chemicals. Thus, they can be deployed in WT regimes and can contribute to the health security of rural populations in developing countries. It is unfortunate that, despite the known benefits of natural coagulants, their acceptance, commercialization, and widespread industrial application across the globe are still low. Therefore, there is a need for more exhaustive investigations regarding the mode of action, adoption, and commercialization of natural coagulants as a sustainable alternative to chemicals for a circular economy.","author":[{"dropping-particle":"","family":"Koul","given":"Bhupendra","non-dropping-particle":"","parse-names":false,"suffix":""},{"dropping-particle":"","family":"Bhat","given":"Nargis","non-dropping-particle":"","parse-names":false,"suffix":""},{"dropping-particle":"","family":"Abubakar","given":"Mustapha","non-dropping-particle":"","parse-names":false,"suffix":""},{"dropping-particle":"","family":"Mishra","given":"Meerambika","non-dropping-particle":"","parse-names":false,"suffix":""},{"dropping-particle":"","family":"Arukha","given":"Ananta Prasad","non-dropping-particle":"","parse-names":false,"suffix":""},{"dropping-particle":"","family":"Yadav","given":"Dhananjay","non-dropping-particle":"","parse-names":false,"suffix":""}],"container-title":"Water (Switzerland)","id":"ITEM-1","issue":"22","issued":{"date-parts":[["2022","11","18"]]},"page":"3751","publisher":"Multidisciplinary Digital Publishing Institute","title":"Application of Natural Coagulants in Water Treatment: A Sustainable Alternative to Chemicals","type":"article","volume":"14"},"uris":["http://www.mendeley.com/documents/?uuid=4bae488c-60b3-336b-abbc-3ec00da9465b"]}],"mendeley":{"formattedCitation":"(Koul et al., 2022)","plainTextFormattedCitation":"(Koul et al., 2022)","previouslyFormattedCitation":"(Koul et al., 2022)"},"properties":{"noteIndex":0},"schema":"https://github.com/citation-style-language/schema/raw/master/csl-citation.json"}</w:instrText>
      </w:r>
      <w:r w:rsidRPr="000B3AEE">
        <w:rPr>
          <w:lang w:val="en-IN"/>
        </w:rPr>
        <w:fldChar w:fldCharType="separate"/>
      </w:r>
      <w:r w:rsidRPr="000B3AEE">
        <w:rPr>
          <w:noProof/>
          <w:lang w:val="en-IN"/>
        </w:rPr>
        <w:t xml:space="preserve">(Koul </w:t>
      </w:r>
      <w:r w:rsidRPr="00F81AD7">
        <w:rPr>
          <w:i/>
          <w:iCs/>
          <w:noProof/>
          <w:lang w:val="en-IN"/>
        </w:rPr>
        <w:t>et al</w:t>
      </w:r>
      <w:r w:rsidRPr="000B3AEE">
        <w:rPr>
          <w:noProof/>
          <w:lang w:val="en-IN"/>
        </w:rPr>
        <w:t>., 2022)</w:t>
      </w:r>
      <w:r w:rsidRPr="000B3AEE">
        <w:rPr>
          <w:lang w:val="en-IN"/>
        </w:rPr>
        <w:fldChar w:fldCharType="end"/>
      </w:r>
      <w:r w:rsidRPr="000B3AEE">
        <w:rPr>
          <w:lang w:val="en-IN"/>
        </w:rPr>
        <w:t xml:space="preserve">. </w:t>
      </w:r>
      <w:r w:rsidRPr="000B3AEE">
        <w:t xml:space="preserve">Owodunni and Ismail, 2021 </w:t>
      </w:r>
      <w:r w:rsidRPr="000B3AEE">
        <w:rPr>
          <w:lang w:val="en-IN"/>
        </w:rPr>
        <w:t xml:space="preserve">suggested that coagulation enhances water quality and purity by removing contaminants that traditional filtration would not be able to remove. However, the most widely used chemical coagulants, such as ferric chloride and aluminium sulphate (alum), present health and environmental risks. According to a study done by </w:t>
      </w:r>
      <w:proofErr w:type="spellStart"/>
      <w:r w:rsidRPr="000B3AEE">
        <w:t>Bratby</w:t>
      </w:r>
      <w:proofErr w:type="spellEnd"/>
      <w:r w:rsidRPr="000B3AEE">
        <w:t xml:space="preserve">, 2006, these chemical coagulants may produce harmful byproducts, including heavy metals and sludge, which can negatively impact the ecosystems and potentially lead to chronic health issues in humans </w:t>
      </w:r>
      <w:r w:rsidRPr="000B3AEE">
        <w:fldChar w:fldCharType="begin" w:fldLock="1"/>
      </w:r>
      <w:r w:rsidRPr="000B3AEE">
        <w:instrText>ADDIN CSL_CITATION {"citationItems":[{"id":"ITEM-1","itemData":{"DOI":"10.3390/w14223751","ISSN":"20734441","abstract":"Water treatment (WT) is currently among the major areas of research due to the depletion of water resources and fearmongering regarding environmental pollution, which has compelled the upgrading of conventional WT technology towards recycling and reuse. This review aims to provide the current state of natural coagulants and their application in the purification of surface water as sufficient clean water is required for household needs, health security, and environmental safety. A thorough and systematic review of the existing literature was performed, and the information related to water treatment using natural coagulants was compiled from 237 articles under various sections using a computerized bibliographic search via PubMed, Scopus, Web of Science, Google Scholar, CAB Abstracts, and several websites. The work provides explicit information related to natural coagulants and their merits and limitations, outlines methods to increase their coagulation performance, and highlights their coagulation mechanism, efficacy, valorization potential, and sustainability. From the information obtained, it can be concluded that although chemical coagulants are efficient in WT, they are usually expensive, toxic, associated with health issues, and thus non-sustainable. A sustainable alternative is the use of natural coagulants, which are readily available, economical, easy to use, biodegradable, non-toxic, eco-friendly, effective, and generate lower sludge volumes. They work via an adsorption process that involves polymeric bridging or neutralization of the charge. The WT efficiency of natural coagulants ranges from 50–500 nephelometric turbidity units (NTUs), which is similar to chemicals. Thus, they can be deployed in WT regimes and can contribute to the health security of rural populations in developing countries. It is unfortunate that, despite the known benefits of natural coagulants, their acceptance, commercialization, and widespread industrial application across the globe are still low. Therefore, there is a need for more exhaustive investigations regarding the mode of action, adoption, and commercialization of natural coagulants as a sustainable alternative to chemicals for a circular economy.","author":[{"dropping-particle":"","family":"Koul","given":"Bhupendra","non-dropping-particle":"","parse-names":false,"suffix":""},{"dropping-particle":"","family":"Bhat","given":"Nargis","non-dropping-particle":"","parse-names":false,"suffix":""},{"dropping-particle":"","family":"Abubakar","given":"Mustapha","non-dropping-particle":"","parse-names":false,"suffix":""},{"dropping-particle":"","family":"Mishra","given":"Meerambika","non-dropping-particle":"","parse-names":false,"suffix":""},{"dropping-particle":"","family":"Arukha","given":"Ananta Prasad","non-dropping-particle":"","parse-names":false,"suffix":""},{"dropping-particle":"","family":"Yadav","given":"Dhananjay","non-dropping-particle":"","parse-names":false,"suffix":""}],"container-title":"Water (Switzerland)","id":"ITEM-1","issue":"22","issued":{"date-parts":[["2022","11","18"]]},"page":"3751","publisher":"Multidisciplinary Digital Publishing Institute","title":"Application of Natural Coagulants in Water Treatment: A Sustainable Alternative to Chemicals","type":"article","volume":"14"},"uris":["http://www.mendeley.com/documents/?uuid=4bae488c-60b3-336b-abbc-3ec00da9465b"]}],"mendeley":{"formattedCitation":"(Koul et al., 2022)","plainTextFormattedCitation":"(Koul et al., 2022)","previouslyFormattedCitation":"(Koul et al., 2022)"},"properties":{"noteIndex":0},"schema":"https://github.com/citation-style-language/schema/raw/master/csl-citation.json"}</w:instrText>
      </w:r>
      <w:r w:rsidRPr="000B3AEE">
        <w:fldChar w:fldCharType="separate"/>
      </w:r>
      <w:r w:rsidRPr="000B3AEE">
        <w:rPr>
          <w:noProof/>
        </w:rPr>
        <w:t xml:space="preserve">(Koul </w:t>
      </w:r>
      <w:r w:rsidRPr="00F81AD7">
        <w:rPr>
          <w:i/>
          <w:iCs/>
          <w:noProof/>
        </w:rPr>
        <w:t>et al</w:t>
      </w:r>
      <w:r w:rsidRPr="000B3AEE">
        <w:rPr>
          <w:noProof/>
        </w:rPr>
        <w:t>., 2022)</w:t>
      </w:r>
      <w:r w:rsidRPr="000B3AEE">
        <w:fldChar w:fldCharType="end"/>
      </w:r>
      <w:r w:rsidRPr="000B3AEE">
        <w:t xml:space="preserve">. </w:t>
      </w:r>
      <w:r w:rsidRPr="000B3AEE">
        <w:rPr>
          <w:lang w:val="en-IN"/>
        </w:rPr>
        <w:t>Additionally, research on</w:t>
      </w:r>
      <w:r w:rsidR="0087703F">
        <w:rPr>
          <w:lang w:val="en-IN"/>
        </w:rPr>
        <w:t xml:space="preserve"> </w:t>
      </w:r>
      <w:r w:rsidRPr="000B3AEE">
        <w:rPr>
          <w:lang w:val="en-IN"/>
        </w:rPr>
        <w:t>environmentally friendly alternatives to treat wastewater has been driven by the high cost and harmful environmental effects of manufacturing and discarding chemical coagulants.</w:t>
      </w:r>
    </w:p>
    <w:p w14:paraId="06C98E57" w14:textId="0A269C90" w:rsidR="00136F08" w:rsidRDefault="00136F08" w:rsidP="00136F08">
      <w:pPr>
        <w:pStyle w:val="TextIndent"/>
      </w:pPr>
      <w:r w:rsidRPr="000B3AEE">
        <w:t xml:space="preserve">Plant-based coagulants, which are alternatives to chemical treatment, are viewed as promising as they are valued for their biodegradability, lack of toxicants, and low environmental impact (Khursheed </w:t>
      </w:r>
      <w:r w:rsidRPr="00F81AD7">
        <w:rPr>
          <w:i/>
          <w:iCs/>
        </w:rPr>
        <w:t>et al</w:t>
      </w:r>
      <w:r w:rsidRPr="000B3AEE">
        <w:t xml:space="preserve">., 2022). These natural coagulants, derived from various plants such as seeds, leaves, bark, and peels, are considered environmentally friendlier than chemical coagulants; however, their safety and efficacy can vary depending on the plant source and require thorough toxicological and performance evaluation before use in water treatment (Khursheed </w:t>
      </w:r>
      <w:r w:rsidRPr="00F81AD7">
        <w:rPr>
          <w:i/>
          <w:iCs/>
        </w:rPr>
        <w:t>et al</w:t>
      </w:r>
      <w:r w:rsidRPr="000B3AEE">
        <w:t>., 2022). Such options are especially beneficial in underdeveloped nations where high-end technology for wastewater treatment is limited and the prevalence of waterborne diseases is high.</w:t>
      </w:r>
    </w:p>
    <w:p w14:paraId="3964A05F" w14:textId="77777777" w:rsidR="00136F08" w:rsidRDefault="00136F08" w:rsidP="00136F08">
      <w:pPr>
        <w:pStyle w:val="TextIndent"/>
        <w:rPr>
          <w:lang w:val="en-IN"/>
        </w:rPr>
      </w:pPr>
      <w:r w:rsidRPr="000B3AEE">
        <w:rPr>
          <w:lang w:val="en-IN"/>
        </w:rPr>
        <w:t xml:space="preserve">Water treatment systems based on plants and biomaterials are growing increasingly as environmentally friendly substitutes for chemical processes. Coagulants made from plants such as </w:t>
      </w:r>
      <w:proofErr w:type="spellStart"/>
      <w:r w:rsidRPr="000B3AEE">
        <w:rPr>
          <w:i/>
          <w:iCs/>
          <w:lang w:val="en-IN"/>
        </w:rPr>
        <w:t>Strychnos</w:t>
      </w:r>
      <w:proofErr w:type="spellEnd"/>
      <w:r w:rsidRPr="000B3AEE">
        <w:rPr>
          <w:i/>
          <w:iCs/>
          <w:lang w:val="en-IN"/>
        </w:rPr>
        <w:t xml:space="preserve"> </w:t>
      </w:r>
      <w:proofErr w:type="spellStart"/>
      <w:r w:rsidRPr="000B3AEE">
        <w:rPr>
          <w:i/>
          <w:iCs/>
          <w:lang w:val="en-IN"/>
        </w:rPr>
        <w:t>potatorum</w:t>
      </w:r>
      <w:proofErr w:type="spellEnd"/>
      <w:r w:rsidRPr="000B3AEE">
        <w:rPr>
          <w:lang w:val="en-IN"/>
        </w:rPr>
        <w:t xml:space="preserve">, </w:t>
      </w:r>
      <w:r w:rsidRPr="000B3AEE">
        <w:rPr>
          <w:i/>
          <w:iCs/>
          <w:lang w:val="en-IN"/>
        </w:rPr>
        <w:t>Moringa oleifera</w:t>
      </w:r>
      <w:r w:rsidRPr="000B3AEE">
        <w:rPr>
          <w:lang w:val="en-IN"/>
        </w:rPr>
        <w:t xml:space="preserve">, and </w:t>
      </w:r>
      <w:r w:rsidRPr="000B3AEE">
        <w:rPr>
          <w:i/>
          <w:iCs/>
          <w:lang w:val="en-IN"/>
        </w:rPr>
        <w:t>Cactus mucilage</w:t>
      </w:r>
      <w:r w:rsidRPr="000B3AEE">
        <w:rPr>
          <w:lang w:val="en-IN"/>
        </w:rPr>
        <w:t xml:space="preserve"> have demonstrated efficacy in lowering turbidity by using natural proteins and polysaccharides to aggregate suspended </w:t>
      </w:r>
      <w:r w:rsidRPr="000B3AEE">
        <w:rPr>
          <w:lang w:val="en-IN"/>
        </w:rPr>
        <w:fldChar w:fldCharType="begin" w:fldLock="1"/>
      </w:r>
      <w:r w:rsidRPr="000B3AEE">
        <w:rPr>
          <w:lang w:val="en-IN"/>
        </w:rPr>
        <w:instrText>ADDIN CSL_CITATION {"citationItems":[{"id":"ITEM-1","itemData":{"abstract":"Developing countries and third world countries are facing potable water supply problems because of inadequate financial resources. The cost of water treatment is increasing and the quality of river water is not stable due to suspended and colloidal particle load caused by land development and high storm runoff during the rainy seasons especially in a country like Malaysia. During the rainy seasons the turbidity level increases and the need for water treatment chemicals increase as well, which leads to high cost of treatment which the water treatment companies cannot sustain. As a result, the drinking water that reaches the consumer is not properly treated. Therefore, it is of great importance to find a natural alternative for water coagulant to treat the turbidity. It has been found that Moringa oleifera is the best natural coagulant discovered yet, that can replace aluminium sulphate (Alum) which is used widely all around the world. This study is focusing on Moringa oleifera seeds to find the active constituents which are responsible about the coagulation mechanism and improving the coagulation property. This will help in producing this alternative locally as Moringa oleifera is grown in Malaysia and other tropical countries and can be of great benefit for water treatment.","author":[{"dropping-particle":"","family":"Muyibi","given":"Suleyman A.","non-dropping-particle":"","parse-names":false,"suffix":""},{"dropping-particle":"","family":"Salleh","given":"Hamzah M","non-dropping-particle":"","parse-names":false,"suffix":""},{"dropping-particle":"","family":"Salleh","given":"Mohd Ramlan M.","non-dropping-particle":"","parse-names":false,"suffix":""},{"dropping-particle":"","family":"Gombak","given":"Jalan","non-dropping-particle":"","parse-names":false,"suffix":""}],"container-title":"Water Technology","id":"ITEM-1","issue":"coagulacion de aguas residuales","issued":{"date-parts":[["2009"]]},"page":"163-168","title":"Moringa Oleifera Seeds As Natural Coagulant for Water Treatment","type":"article-journal","volume":"13"},"uris":["http://www.mendeley.com/documents/?uuid=1ae6f3c9-326d-31ce-8ff3-7f6d436e24a0"]},{"id":"ITEM-2","itemData":{"DOI":"10.4236/jwarp.2010.23030","ISSN":"1945-3094","abstract":"This study focused on developing an efficient and cost effective processing technique for Moringa oleifera seeds to produce natural coagulant for use in drinking water treatment. The produced natural coagulant can be used as an alternative to aluminum sulphate and other coagulants and used worldwide for water treatment. This study investigates processing Moringa oleifera seeds to concentrate the bio-active constituents which have coagulation activity. Moringa oleifera seeds were processed for oil extraction using electro thermal soxhlet. Isolation and purification of bio-active constituents using chromatography technique were used to determine the molecular weight of the bio-active constituents. The molecular weight of bio-active constitu-ents found to be in a low molecular weight range of between 1000 – 6500 Dalton. The proposed method to isolate and purify the bio-active constituents was the cross flow filtration method, which produced the natu-ral coagulant with very simple technique (oil extraction; salt extraction; and microfiltration through 0.45 um). The turbidity removal was up to 96.23 % using 0.4 mg/L of processed Moringa oleifera seeds to treat low initial turbidity river water between 34-36 Nephelometric Turbidity Units (NTU) without any additives. The microfiltration method is considered to be a practical method which needs no chemicals to be added com-pared to other researchers proposed methods. The natural coagulant produced was used with low dosages to get high turbidity removal which considered to be a breakthrough in this study and recommended to be scaled up for industry level. The product is commercially valuable at the same time it is minimizing the cost of water treatment.","author":[{"dropping-particle":"","family":"Ali","given":"Eman N.","non-dropping-particle":"","parse-names":false,"suffix":""},{"dropping-particle":"","family":"Muyibi","given":"Suleyman A.","non-dropping-particle":"","parse-names":false,"suffix":""},{"dropping-particle":"","family":"Salleh","given":"Hamzah M.","non-dropping-particle":"","parse-names":false,"suffix":""},{"dropping-particle":"","family":"Alam","given":"Md Zahangir","non-dropping-particle":"","parse-names":false,"suffix":""},{"dropping-particle":"","family":"Salleh","given":"Mohd Ramlan M.","non-dropping-particle":"","parse-names":false,"suffix":""}],"container-title":"Journal of Water Resource and Protection","id":"ITEM-2","issue":"03","issued":{"date-parts":[["2010"]]},"page":"259-266","publisher":"Scientific Research Publishing, Inc,","title":"Production of Natural Coagulant from Moringa Oleifera Seed for Application in Treatment of Low Turbidity Water","type":"article-journal","volume":"02"},"uris":["http://www.mendeley.com/documents/?uuid=dd9f5ae5-30e3-3bd1-9d29-dbb10e285568"]},{"id":"ITEM-3","itemData":{"DOI":"10.16966/2381-5299.188","ISSN":"23815299","abstract":"The aim of this research is to find and show the effectiveness of Strychnos potatorum seeds as a natural coagulant for purifying and producing potable water in flood prone rural areas of Bangladesh. Strychnos potatorum, locally called ‘Nirmali’ or ‘Nirmala’, is a natural coagulant which was used in the Indian Subcontinent during the stone ages but has slowly become forgotten. This research was carried out to reintroduce this ancient coagulant and find its effectiveness during floods, particularly in Bangladesh. As a riverine country prone to flooding and devoid of quality water purification systems, coagulants like alum and ferric sulfates are often used although these synthetic chemicals have been found producing DBPs in water which are associated with certain health hazards. And so, replacing these synthetic chemicals with a natural coagulant such as Strychnos potatorum seeds in flood prone rural areas will be a beneficial and cheap water purification system for the populace. To prove the effectiveness, various tests (pH, HCO3 , Cl, Na, K, Na2 CO3 , NTU, TCU, Total Hardness (CaCO3 ), BOD, COD, CFU) were carried out across flood prone areas around Dhaleshwari River (Nagarpur, Tangail) to find out whether Strychnos potatorum seeds will be able to replace the commonly used chemical coagulants and provide drinkable water to the flood affected people or not. Experiments were carried out to find the optimal dosage, flocculation and settling time and reusability of the Strychnos potatorum seeds. The reason behind selecting this region for research purpose is that the soil and tree characteristics of this area is perfect for planting and growing Strychnos potatorum trees and they can be easily distributed among the populace when disaster hits. The test results proved that the parameters comply with the WHO Drinking Water Standards. So, our test results have shown that the Strychnos potatorum seeds are highly effective when it is used to treat water in these flood prone areas. And our initial estimation is Strychnos potatorum will provide a remarkably successful and high yield in these targeted areas. According to our calculations and research it will cost only 0.18 dollars or 18 cents versus 0.25 dollars for most conventional method (Potash Alum) for per liter of water treatment. As the project will require planting Strychnos potatorum trees, the project will improve the environment and distributing them to flood affected populace will increase the peoples’ a…","author":[{"dropping-particle":"","family":"R","given":"Sharafi","non-dropping-particle":"","parse-names":false,"suffix":""},{"dropping-particle":"","family":"N","given":"Anam","non-dropping-particle":"","parse-names":false,"suffix":""},{"dropping-particle":"","family":"T","given":"Kamal","non-dropping-particle":"","parse-names":false,"suffix":""},{"dropping-particle":"","family":"ST","given":"Tazwar","non-dropping-particle":"","parse-names":false,"suffix":""}],"container-title":"International Journal of Water and Wastewater Treatment","id":"ITEM-3","issue":"1","issued":{"date-parts":[["2023"]]},"title":"Using Strychnos potatorum Seeds as a Natural Coagulant in Flood Affected Areas of Bangladesh","type":"article-journal","volume":"9"},"uris":["http://www.mendeley.com/documents/?uuid=2138e6ae-dfb4-3bef-a4ba-6378e00edbd0"]}],"mendeley":{"formattedCitation":"(Ali et al., 2010; Muyibi et al., 2009; R et al., 2023)","plainTextFormattedCitation":"(Ali et al., 2010; Muyibi et al., 2009; R et al., 2023)","previouslyFormattedCitation":"(Ali et al., 2010; Muyibi et al., 2009; R et al., 2023)"},"properties":{"noteIndex":0},"schema":"https://github.com/citation-style-language/schema/raw/master/csl-citation.json"}</w:instrText>
      </w:r>
      <w:r w:rsidRPr="000B3AEE">
        <w:rPr>
          <w:lang w:val="en-IN"/>
        </w:rPr>
        <w:fldChar w:fldCharType="separate"/>
      </w:r>
      <w:r w:rsidRPr="000B3AEE">
        <w:rPr>
          <w:noProof/>
          <w:lang w:val="en-IN"/>
        </w:rPr>
        <w:t xml:space="preserve">(Ali </w:t>
      </w:r>
      <w:r w:rsidRPr="00F81AD7">
        <w:rPr>
          <w:i/>
          <w:iCs/>
          <w:noProof/>
          <w:lang w:val="en-IN"/>
        </w:rPr>
        <w:t>et al</w:t>
      </w:r>
      <w:r w:rsidRPr="000B3AEE">
        <w:rPr>
          <w:noProof/>
          <w:lang w:val="en-IN"/>
        </w:rPr>
        <w:t xml:space="preserve">., 2010; Muyibi </w:t>
      </w:r>
      <w:r w:rsidRPr="00F81AD7">
        <w:rPr>
          <w:i/>
          <w:iCs/>
          <w:noProof/>
          <w:lang w:val="en-IN"/>
        </w:rPr>
        <w:t>et al</w:t>
      </w:r>
      <w:r w:rsidRPr="000B3AEE">
        <w:rPr>
          <w:noProof/>
          <w:lang w:val="en-IN"/>
        </w:rPr>
        <w:t xml:space="preserve">., 2009; R </w:t>
      </w:r>
      <w:r w:rsidRPr="00F81AD7">
        <w:rPr>
          <w:i/>
          <w:iCs/>
          <w:noProof/>
          <w:lang w:val="en-IN"/>
        </w:rPr>
        <w:t>et al</w:t>
      </w:r>
      <w:r w:rsidRPr="000B3AEE">
        <w:rPr>
          <w:noProof/>
          <w:lang w:val="en-IN"/>
        </w:rPr>
        <w:t>., 2023)</w:t>
      </w:r>
      <w:r w:rsidRPr="000B3AEE">
        <w:rPr>
          <w:lang w:val="en-IN"/>
        </w:rPr>
        <w:fldChar w:fldCharType="end"/>
      </w:r>
      <w:r w:rsidRPr="000B3AEE">
        <w:rPr>
          <w:lang w:val="en-IN"/>
        </w:rPr>
        <w:t xml:space="preserve">. Chitosan, a biopolymer derived from crab shells, is an effective flocculant that also has antibacterial qualities </w:t>
      </w:r>
      <w:r w:rsidRPr="000B3AEE">
        <w:rPr>
          <w:lang w:val="en-IN"/>
        </w:rPr>
        <w:fldChar w:fldCharType="begin" w:fldLock="1"/>
      </w:r>
      <w:r w:rsidRPr="000B3AEE">
        <w:rPr>
          <w:lang w:val="en-IN"/>
        </w:rPr>
        <w:instrText>ADDIN CSL_CITATION {"citationItems":[{"id":"ITEM-1","itemData":{"DOI":"10.6000/1929-5995.2024.13.03","ISSN":"19295995","abstract":"Chitosan is an abundant natural biopolymer widely used in industrial and pharmaceutical applications. It stands out for its remarkable biodegradability, biocompatibility, and versatility. Herein, we tried to extract chitosan from mud crab (Scylla spp.), a seafood waste abundantly found in Bangladesh’s growing crab farming industry, via a simple low-cost production route. At first, chitin was extracted from crab shells through demineralization and deproteinization to eliminate minerals and proteins. The chitosan biopolymer was then obtained by deacetylation of purified chitin. To evaluate its physicochemical properties, the as-prepared chitosan was characterized by different analyses, such as water and fat binding capacity, solubility, viscosity, molecular weight, fourier transform-infrared, thermogravimetric, scanning electron microscopy, and ash content analysis. The results showed that the crab shell contains around 26.8% chitosan by dry weight, making it an excellent raw material for the massive production of the natural biopolymer chitosan. The prepared chitosan showed fat and water binding capacities of 200-300% and ~680.9%, respectively. Furthermore, it was highly soluble in 1% acetic acid and had an ash content of about 33.7%. Convincingly, the produced chitosan showed great physiochemical properties making it suitable for biomass efficiency, sustainable development, revenue generation, and biomedical applications. In addition, the recycling of seafood waste into a valued product is beneficial to help keep the environment clean, which is among the sustainability goals in Bangladesh and globally.","author":[{"dropping-particle":"","family":"Karim","given":"Md Mobarok","non-dropping-particle":"","parse-names":false,"suffix":""},{"dropping-particle":"","family":"Lasker","given":"Tahera","non-dropping-particle":"","parse-names":false,"suffix":""},{"dropping-particle":"","family":"Sahin","given":"Md Ali Zaber","non-dropping-particle":"","parse-names":false,"suffix":""},{"dropping-particle":"","family":"Hossain","given":"Md Shajjad","non-dropping-particle":"","parse-names":false,"suffix":""},{"dropping-particle":"","family":"Saputra","given":"Heru Agung","non-dropping-particle":"","parse-names":false,"suffix":""}],"container-title":"Journal of Research Updates in Polymer Science","id":"ITEM-1","issued":{"date-parts":[["2024","2","2"]]},"page":"17-26","publisher":"Lifescience Global","title":"Low-Cost Production of Chitosan Biopolymer from Seafood Waste: Extraction and Physiochemical Characterization","type":"article-journal","volume":"13"},"uris":["http://www.mendeley.com/documents/?uuid=109724d1-8e35-3123-a525-c26dc5f80bdb"]},{"id":"ITEM-2","itemData":{"DOI":"10.3390/polym13060904","ISBN":"36,68,90,103,1","ISSN":"20734360","abstract":"Chitosan is a naturally originating product that can be applied in many areas due to its biocompatibility, biodegradability, and nontoxic properties. The broad-spectrum antimicrobial activity of chitosan offers great commercial potential for this product. Nevertheless, the antimicrobial activity of chitosan varies, because this activity is associated with its physicochemical characteristics and depends on the type of microorganism. In this review article, the fundamental properties, modes of antimicrobial action, and antimicrobial effects-related factors of chitosan are discussed. We further summarize how microorganisms genetically respond to chitosan. Finally, applications of chitosan-based biomaterials, such as nanoparticles and films, in combination with current clinical antibiotics or antifungal drugs, are also addressed.","author":[{"dropping-particle":"","family":"Ke","given":"Cai Ling","non-dropping-particle":"","parse-names":false,"suffix":""},{"dropping-particle":"","family":"Deng","given":"Fu Sheng","non-dropping-particle":"","parse-names":false,"suffix":""},{"dropping-particle":"","family":"Chuang","given":"Chih Yu","non-dropping-particle":"","parse-names":false,"suffix":""},{"dropping-particle":"","family":"Lin","given":"Ching Hsuan","non-dropping-particle":"","parse-names":false,"suffix":""}],"container-title":"Polymers","id":"ITEM-2","issue":"6","issued":{"date-parts":[["2021","3","15"]]},"page":"904","publisher":"Multidisciplinary Digital Publishing Institute","title":"Antimicrobial actions and applications of Chitosan","type":"article","volume":"13"},"uris":["http://www.mendeley.com/documents/?uuid=86a26cb9-5fb5-3368-a9cc-27be1bca602c"]}],"mendeley":{"formattedCitation":"(Karim et al., 2024; Ke et al., 2021)","plainTextFormattedCitation":"(Karim et al., 2024; Ke et al., 2021)","previouslyFormattedCitation":"(Karim et al., 2024; Ke et al., 2021)"},"properties":{"noteIndex":0},"schema":"https://github.com/citation-style-language/schema/raw/master/csl-citation.json"}</w:instrText>
      </w:r>
      <w:r w:rsidRPr="000B3AEE">
        <w:rPr>
          <w:lang w:val="en-IN"/>
        </w:rPr>
        <w:fldChar w:fldCharType="separate"/>
      </w:r>
      <w:r w:rsidRPr="000B3AEE">
        <w:rPr>
          <w:noProof/>
          <w:lang w:val="en-IN"/>
        </w:rPr>
        <w:t xml:space="preserve">(Karim </w:t>
      </w:r>
      <w:r w:rsidRPr="00F81AD7">
        <w:rPr>
          <w:i/>
          <w:iCs/>
          <w:noProof/>
          <w:lang w:val="en-IN"/>
        </w:rPr>
        <w:t>et al</w:t>
      </w:r>
      <w:r w:rsidRPr="000B3AEE">
        <w:rPr>
          <w:noProof/>
          <w:lang w:val="en-IN"/>
        </w:rPr>
        <w:t xml:space="preserve">., 2024; Ke </w:t>
      </w:r>
      <w:r w:rsidRPr="00F81AD7">
        <w:rPr>
          <w:i/>
          <w:iCs/>
          <w:noProof/>
          <w:lang w:val="en-IN"/>
        </w:rPr>
        <w:t>et al</w:t>
      </w:r>
      <w:r w:rsidRPr="000B3AEE">
        <w:rPr>
          <w:noProof/>
          <w:lang w:val="en-IN"/>
        </w:rPr>
        <w:t>., 2021)</w:t>
      </w:r>
      <w:r w:rsidRPr="000B3AEE">
        <w:rPr>
          <w:lang w:val="en-IN"/>
        </w:rPr>
        <w:fldChar w:fldCharType="end"/>
      </w:r>
      <w:r w:rsidRPr="000B3AEE">
        <w:rPr>
          <w:lang w:val="en-IN"/>
        </w:rPr>
        <w:t xml:space="preserve">. Furthermore, it has been shown that agricultural waste products like banana peels and </w:t>
      </w:r>
      <w:r w:rsidRPr="000B3AEE">
        <w:rPr>
          <w:lang w:val="en-IN"/>
        </w:rPr>
        <w:lastRenderedPageBreak/>
        <w:t xml:space="preserve">coconut husks can absorb colours and heavy metals from water that has been contaminated </w:t>
      </w:r>
      <w:r w:rsidRPr="000B3AEE">
        <w:rPr>
          <w:lang w:val="en-IN"/>
        </w:rPr>
        <w:fldChar w:fldCharType="begin" w:fldLock="1"/>
      </w:r>
      <w:r w:rsidRPr="000B3AEE">
        <w:rPr>
          <w:lang w:val="en-IN"/>
        </w:rPr>
        <w:instrText>ADDIN CSL_CITATION {"citationItems":[{"id":"ITEM-1","itemData":{"DOI":"10.3390/polym13060904","ISBN":"36,68,90,103,1","ISSN":"20734360","abstract":"Chitosan is a naturally originating product that can be applied in many areas due to its biocompatibility, biodegradability, and nontoxic properties. The broad-spectrum antimicrobial activity of chitosan offers great commercial potential for this product. Nevertheless, the antimicrobial activity of chitosan varies, because this activity is associated with its physicochemical characteristics and depends on the type of microorganism. In this review article, the fundamental properties, modes of antimicrobial action, and antimicrobial effects-related factors of chitosan are discussed. We further summarize how microorganisms genetically respond to chitosan. Finally, applications of chitosan-based biomaterials, such as nanoparticles and films, in combination with current clinical antibiotics or antifungal drugs, are also addressed.","author":[{"dropping-particle":"","family":"Ke","given":"Cai Ling","non-dropping-particle":"","parse-names":false,"suffix":""},{"dropping-particle":"","family":"Deng","given":"Fu Sheng","non-dropping-particle":"","parse-names":false,"suffix":""},{"dropping-particle":"","family":"Chuang","given":"Chih Yu","non-dropping-particle":"","parse-names":false,"suffix":""},{"dropping-particle":"","family":"Lin","given":"Ching Hsuan","non-dropping-particle":"","parse-names":false,"suffix":""}],"container-title":"Polymers","id":"ITEM-1","issue":"6","issued":{"date-parts":[["2021","3","15"]]},"page":"904","publisher":"Multidisciplinary Digital Publishing Institute","title":"Antimicrobial actions and applications of Chitosan","type":"article","volume":"13"},"uris":["http://www.mendeley.com/documents/?uuid=86a26cb9-5fb5-3368-a9cc-27be1bca602c"]},{"id":"ITEM-2","itemData":{"DOI":"10.33263/LIANBS132.095","ISSN":"22846808","abstract":"In recent years, the discharge of wastewater containing heavy metal ions, such as mercury (Hg), copper (Cu), lead (Pb), and iron (Fe), has posed a significant threat to the environment. Fortunately, research has found that banana peels contain elements, including sulfur, nitrogen, and carboxylic acid, which can effectively attract these heavy metals. The binding properties of banana peels can be retained for over ten cycles, making them a sustainable solution for water purification. This review summarizes recent studies on synthesizing porous carbons using banana peels and their application in water purification. Various synthesis methods and the adsorption mechanisms for removing heavy metals such as Hg, Cu, Pb, and Fe are discussed. Finally, this review concludes with a summary and highlights future prospects for research in this field.","author":[{"dropping-particle":"","family":"Jangir","given":"Lokesh Kumar","non-dropping-particle":"","parse-names":false,"suffix":""},{"dropping-particle":"","family":"Singh","given":"Apoorva","non-dropping-particle":"","parse-names":false,"suffix":""},{"dropping-particle":"","family":"Rai","given":"Abhishek R.","non-dropping-particle":"","parse-names":false,"suffix":""},{"dropping-particle":"","family":"Nagar","given":"Varad","non-dropping-particle":"","parse-names":false,"suffix":""},{"dropping-particle":"","family":"Awasthi","given":"Garima","non-dropping-particle":"","parse-names":false,"suffix":""},{"dropping-particle":"","family":"Kumari","given":"Poonam","non-dropping-particle":"","parse-names":false,"suffix":""},{"dropping-particle":"","family":"Gupta","given":"Ragini","non-dropping-particle":"","parse-names":false,"suffix":""},{"dropping-particle":"","family":"Awasthi","given":"Kumud Kant","non-dropping-particle":"","parse-names":false,"suffix":""},{"dropping-particle":"","family":"Awasthi","given":"Kamlendra","non-dropping-particle":"","parse-names":false,"suffix":""},{"dropping-particle":"","family":"Sankhla","given":"Mahipal Singh","non-dropping-particle":"","parse-names":false,"suffix":""}],"container-title":"Letters in Applied NanoBioScience","id":"ITEM-2","issue":"2","issued":{"date-parts":[["2024","6","30"]]},"publisher":"AMG Transcend Association","title":"Green Solution for Heavy Metal Removal: Utilizing Banana Peel Waste as a Sustainable and Effective Adsorbent","type":"article-journal","volume":"13"},"uris":["http://www.mendeley.com/documents/?uuid=3fdd4317-6689-3d76-b2bb-40b1bb5cdeac"]}],"mendeley":{"formattedCitation":"(Jangir et al., 2024; Ke et al., 2021)","plainTextFormattedCitation":"(Jangir et al., 2024; Ke et al., 2021)","previouslyFormattedCitation":"(Jangir et al., 2024; Ke et al., 2021)"},"properties":{"noteIndex":0},"schema":"https://github.com/citation-style-language/schema/raw/master/csl-citation.json"}</w:instrText>
      </w:r>
      <w:r w:rsidRPr="000B3AEE">
        <w:rPr>
          <w:lang w:val="en-IN"/>
        </w:rPr>
        <w:fldChar w:fldCharType="separate"/>
      </w:r>
      <w:r w:rsidRPr="000B3AEE">
        <w:rPr>
          <w:noProof/>
          <w:lang w:val="en-IN"/>
        </w:rPr>
        <w:t xml:space="preserve">(Jangir </w:t>
      </w:r>
      <w:r w:rsidRPr="00F81AD7">
        <w:rPr>
          <w:i/>
          <w:iCs/>
          <w:noProof/>
          <w:lang w:val="en-IN"/>
        </w:rPr>
        <w:t>et al</w:t>
      </w:r>
      <w:r w:rsidRPr="000B3AEE">
        <w:rPr>
          <w:noProof/>
          <w:lang w:val="en-IN"/>
        </w:rPr>
        <w:t xml:space="preserve">., 2024; Ke </w:t>
      </w:r>
      <w:r w:rsidRPr="00F81AD7">
        <w:rPr>
          <w:i/>
          <w:iCs/>
          <w:noProof/>
          <w:lang w:val="en-IN"/>
        </w:rPr>
        <w:t>et al</w:t>
      </w:r>
      <w:r w:rsidRPr="000B3AEE">
        <w:rPr>
          <w:noProof/>
          <w:lang w:val="en-IN"/>
        </w:rPr>
        <w:t>., 2021)</w:t>
      </w:r>
      <w:r w:rsidRPr="000B3AEE">
        <w:rPr>
          <w:lang w:val="en-IN"/>
        </w:rPr>
        <w:fldChar w:fldCharType="end"/>
      </w:r>
      <w:r w:rsidRPr="000B3AEE">
        <w:rPr>
          <w:lang w:val="en-IN"/>
        </w:rPr>
        <w:t>.</w:t>
      </w:r>
    </w:p>
    <w:p w14:paraId="14BC1EC6" w14:textId="4CD53BF3" w:rsidR="00136F08" w:rsidRDefault="00136F08" w:rsidP="00136F08">
      <w:pPr>
        <w:pStyle w:val="TextIndent"/>
      </w:pPr>
      <w:r w:rsidRPr="000B3AEE">
        <w:t xml:space="preserve">The present research investigates the coagulation, antibacterial, and cytotoxic properties of two underutilized plant materials: the inner peel of </w:t>
      </w:r>
      <w:proofErr w:type="spellStart"/>
      <w:r w:rsidRPr="000B3AEE">
        <w:rPr>
          <w:i/>
          <w:iCs/>
        </w:rPr>
        <w:t>Artocarpus</w:t>
      </w:r>
      <w:proofErr w:type="spellEnd"/>
      <w:r w:rsidRPr="000B3AEE">
        <w:rPr>
          <w:i/>
          <w:iCs/>
        </w:rPr>
        <w:t xml:space="preserve"> </w:t>
      </w:r>
      <w:proofErr w:type="spellStart"/>
      <w:r w:rsidRPr="000B3AEE">
        <w:rPr>
          <w:i/>
          <w:iCs/>
        </w:rPr>
        <w:t>altilis</w:t>
      </w:r>
      <w:proofErr w:type="spellEnd"/>
      <w:r w:rsidRPr="000B3AEE">
        <w:t xml:space="preserve"> (Park.) </w:t>
      </w:r>
      <w:proofErr w:type="spellStart"/>
      <w:r w:rsidRPr="000B3AEE">
        <w:t>Fosh</w:t>
      </w:r>
      <w:proofErr w:type="spellEnd"/>
      <w:r w:rsidRPr="000B3AEE">
        <w:t xml:space="preserve">., also known as breadfruit, and the stem of </w:t>
      </w:r>
      <w:r w:rsidRPr="000B3AEE">
        <w:rPr>
          <w:i/>
          <w:iCs/>
        </w:rPr>
        <w:t xml:space="preserve">Nymphaea </w:t>
      </w:r>
      <w:proofErr w:type="spellStart"/>
      <w:r w:rsidRPr="000B3AEE">
        <w:rPr>
          <w:i/>
          <w:iCs/>
        </w:rPr>
        <w:t>nouchali</w:t>
      </w:r>
      <w:proofErr w:type="spellEnd"/>
      <w:r w:rsidRPr="000B3AEE">
        <w:t xml:space="preserve"> </w:t>
      </w:r>
      <w:proofErr w:type="spellStart"/>
      <w:r w:rsidRPr="000B3AEE">
        <w:t>Burm</w:t>
      </w:r>
      <w:proofErr w:type="spellEnd"/>
      <w:r w:rsidRPr="000B3AEE">
        <w:t>. f., also known as blue water lily.</w:t>
      </w:r>
    </w:p>
    <w:p w14:paraId="7BB3C5EE" w14:textId="64963A28" w:rsidR="00136F08" w:rsidRPr="000B3AEE" w:rsidRDefault="00136F08" w:rsidP="00136F08">
      <w:pPr>
        <w:pStyle w:val="TextIndent"/>
        <w:rPr>
          <w:lang w:val="en-IN"/>
        </w:rPr>
      </w:pPr>
      <w:r w:rsidRPr="000B3AEE">
        <w:rPr>
          <w:lang w:val="en-IN"/>
        </w:rPr>
        <w:t xml:space="preserve">The tropical plant known as </w:t>
      </w:r>
      <w:proofErr w:type="spellStart"/>
      <w:r w:rsidRPr="000B3AEE">
        <w:rPr>
          <w:i/>
          <w:iCs/>
          <w:lang w:val="en-IN"/>
        </w:rPr>
        <w:t>Artocarpus</w:t>
      </w:r>
      <w:proofErr w:type="spellEnd"/>
      <w:r w:rsidRPr="000B3AEE">
        <w:rPr>
          <w:i/>
          <w:iCs/>
          <w:lang w:val="en-IN"/>
        </w:rPr>
        <w:t xml:space="preserve"> </w:t>
      </w:r>
      <w:proofErr w:type="spellStart"/>
      <w:r w:rsidRPr="000B3AEE">
        <w:rPr>
          <w:i/>
          <w:iCs/>
          <w:lang w:val="en-IN"/>
        </w:rPr>
        <w:t>altilis</w:t>
      </w:r>
      <w:proofErr w:type="spellEnd"/>
      <w:r w:rsidRPr="000B3AEE">
        <w:rPr>
          <w:lang w:val="en-IN"/>
        </w:rPr>
        <w:t xml:space="preserve">, or breadfruit, is well known for its therapeutic and nutritional benefits </w:t>
      </w:r>
      <w:r w:rsidRPr="000B3AEE">
        <w:rPr>
          <w:lang w:val="en-IN"/>
        </w:rPr>
        <w:fldChar w:fldCharType="begin" w:fldLock="1"/>
      </w:r>
      <w:r w:rsidRPr="000B3AEE">
        <w:rPr>
          <w:lang w:val="en-IN"/>
        </w:rPr>
        <w:instrText>ADDIN CSL_CITATION {"citationItems":[{"id":"ITEM-1","itemData":{"DOI":"10.1016/J.JEP.2010.03.031","ISSN":"0378-8741","PMID":"20380874","abstract":"The genus Artocarpus (Moraceae) comprises about 50 species of evergreen and deciduous trees. Economically, the genus is of appreciable importance as a source of edible fruit, yield fairly good timber and is widely used in folk medicines. The aim of the present review is to present comprehensive information of the chemical constituents, biological and pharmacological research on Artocarpus which will be presented and critically evaluated. The close connection between traditional and modern sources for ethnopharmacological uses of Artocarpus species, especially for treatment against inflammation, malarial fever, diarrhoea, diabetes and tapeworm infection. Artocarpus species are rich in phenolic compounds including flavonoids, stilbenoids, arylbenzofurons and Jacalin, a lectin. The extracts and metabolites of Artocarpus particularly those from leaves, bark, stem and fruit possess several useful bioactive compounds and recently additional data are available on exploitation of these compounds in the various biological activities including antibacterial, antitubercular, antiviral, antifungal, antiplatelet, antiarthritic, tyrosinase inhibitory and cytotoxicity. Several pharmacological studies of the natural products from Artocarpus have conclusively established their mode of action in treatment of various diseases and other health benefits. Jacalin, a lectin present in seeds of this plant has a wide range of activities. Strong interdisciplinary programmes that incorporate conventional and new technologies will be critical for the future development of Artocarpus as a promising source of medicinal products. In the present review, attempts on the important findings have been made on identification; synthesis and bioactivity of metabolites present in Artocarpus which have been highlighted along with the current trends in research on Artocarpus. © 2010 Elsevier Ireland Ltd.","author":[{"dropping-particle":"","family":"Jagtap","given":"U. B.","non-dropping-particle":"","parse-names":false,"suffix":""},{"dropping-particle":"","family":"Bapat","given":"V. A.","non-dropping-particle":"","parse-names":false,"suffix":""}],"container-title":"Journal of Ethnopharmacology","id":"ITEM-1","issue":"2","issued":{"date-parts":[["2010","5","27"]]},"page":"142-166","publisher":"Elsevier","title":"Artocarpus: A review of its traditional uses, phytochemistry and pharmacology","type":"article-journal","volume":"129"},"uris":["http://www.mendeley.com/documents/?uuid=88e58852-b4df-3e9b-9ed4-d9ae227c2a2f"]},{"id":"ITEM-2","itemData":{"DOI":"10.3389/FNUT.2023.1156155","ISSN":"2296861X","PMID":"37006932","abstract":"Breadfruit is an underutilized but highly nutritive crop containing complex carbohydrates while being low in fat. It is also a good source of essential amino acids (leucine, isoleucine, and valine). With a better understanding of breadfruit’s morphology, its potential as a global solution to food security has been gaining popularity. Breadfruit has been forecasted to have a larger amount of suitable cultivable land area compared to major crops such as rice and wheat, making its cultivation more desirable. Due to its highly perishable nature, good post-harvesting and post-processing practices are essential to extend the shelf life of breadfruit for global transportation and consumption. This paper aims to provide a comprehensive review on various processing methods of flour and starch, nutritional significance and new food applications of this novel food staple. In this review, the effects of the different processing and post-processing methods of breadfruit flour and starch have been described, and the nutritional composition and application of breadfruit flour as an ingredient replacer in various food applications have been discussed. It is vital to understand the processing and post-processing methods of breadfruit flour to enhance its shelf-life, physicochemical and functional properties. Furthermore, a compilation of novel food applications has been done to promote its use in the food industry. In conclusion, breadfruit flour and starch are highly versatile for use in numerous food products with added health benefits.","author":[{"dropping-particle":"","family":"Mehta","given":"Kervyn Ajay","non-dropping-particle":"","parse-names":false,"suffix":""},{"dropping-particle":"","family":"Quek","given":"Yu Chin Rina","non-dropping-particle":"","parse-names":false,"suffix":""},{"dropping-particle":"","family":"Henry","given":"Christiani Jeyakumar","non-dropping-particle":"","parse-names":false,"suffix":""}],"container-title":"Frontiers in Nutrition","id":"ITEM-2","issued":{"date-parts":[["2023"]]},"page":"1156155","publisher":"Frontiers Media S.A.","title":"Breadfruit (Artocarpus altilis): Processing, nutritional quality, and food applications","type":"article-journal","volume":"10"},"uris":["http://www.mendeley.com/documents/?uuid=e6211ab3-0d32-314f-a2e6-c34faa135c9b"]}],"mendeley":{"formattedCitation":"(Jagtap &amp; Bapat, 2010; Mehta et al., 2023)","plainTextFormattedCitation":"(Jagtap &amp; Bapat, 2010; Mehta et al., 2023)","previouslyFormattedCitation":"(Jagtap &amp; Bapat, 2010; Mehta et al., 2023)"},"properties":{"noteIndex":0},"schema":"https://github.com/citation-style-language/schema/raw/master/csl-citation.json"}</w:instrText>
      </w:r>
      <w:r w:rsidRPr="000B3AEE">
        <w:rPr>
          <w:lang w:val="en-IN"/>
        </w:rPr>
        <w:fldChar w:fldCharType="separate"/>
      </w:r>
      <w:r w:rsidRPr="000B3AEE">
        <w:rPr>
          <w:noProof/>
          <w:lang w:val="en-IN"/>
        </w:rPr>
        <w:t>(Jagtap and Bapat</w:t>
      </w:r>
      <w:r w:rsidR="00F81AD7">
        <w:rPr>
          <w:noProof/>
          <w:lang w:val="en-IN"/>
        </w:rPr>
        <w:t>,</w:t>
      </w:r>
      <w:r w:rsidRPr="000B3AEE">
        <w:rPr>
          <w:noProof/>
          <w:lang w:val="en-IN"/>
        </w:rPr>
        <w:t xml:space="preserve"> 2010; Mehta </w:t>
      </w:r>
      <w:r w:rsidRPr="00F81AD7">
        <w:rPr>
          <w:i/>
          <w:iCs/>
          <w:noProof/>
          <w:lang w:val="en-IN"/>
        </w:rPr>
        <w:t>et al</w:t>
      </w:r>
      <w:r w:rsidRPr="000B3AEE">
        <w:rPr>
          <w:noProof/>
          <w:lang w:val="en-IN"/>
        </w:rPr>
        <w:t>., 2023)</w:t>
      </w:r>
      <w:r w:rsidRPr="000B3AEE">
        <w:rPr>
          <w:lang w:val="en-IN"/>
        </w:rPr>
        <w:fldChar w:fldCharType="end"/>
      </w:r>
      <w:r w:rsidRPr="000B3AEE">
        <w:rPr>
          <w:lang w:val="en-IN"/>
        </w:rPr>
        <w:t xml:space="preserve">. Since the plant's leaves, bark, and latex contain antibacterial, anti-inflammatory, and antioxidant qualities, they have been used in traditional medicine to treat conditions including fevers and digestive problems </w:t>
      </w:r>
      <w:r w:rsidRPr="000B3AEE">
        <w:rPr>
          <w:lang w:val="en-IN"/>
        </w:rPr>
        <w:fldChar w:fldCharType="begin" w:fldLock="1"/>
      </w:r>
      <w:r w:rsidRPr="000B3AEE">
        <w:rPr>
          <w:lang w:val="en-IN"/>
        </w:rPr>
        <w:instrText>ADDIN CSL_CITATION {"citationItems":[{"id":"ITEM-1","itemData":{"ISSN":"0041-3216","abstract":"Artocarpus altilis (Family: Moraceae) is commonly referred to as breadfruit as the texture of the moderately cooked ripe fruit is like potato or similar to freshly baked bread. In Malaysia, breadfruit is called buah sukun and its popular Malaysian recipe is breadfruit halva. Other recipes include boiled breadfruit in coconut milk, breadfruit curry, sukun chips, sukun fritters (cekodok sukun), breadfruit masala, breadfruit cheese soup and breadfruit fish cakes.\nBreadfruit is rich in carbohydrates and protein. Basically, Artocarpus species consists of phenolic compounds which include flavonoids, stilbenoids, arylbenzofurons and Jacalin, a lectin. Breadfruit is also reported to contain 40 volatile compounds and capric, undecanoic and lauric acids act as insect repellents. Nutritional compositions of the seeds have protein, carbohydrate, fat, calcium, phosphorus, iron, niacin, thiamine and Vitamin C.\nBreadfruit is reported for ethnobotanical, traditional and pharmacological uses. Traditionally roots and barks of this plant were used for treatment of headache, reducing high blood pressure, as astringent, purgative, in skin disease, asthma, fever and diarrhea. Latex is used as treatment of broken bones, sprains and sciatica and diluted latex is taken internally for treatment of diarrhea, stomach ache and dysentery. The senescence leaves are used in treatment of hypertension and diabetes in Caribbean. In Taiwan, leaves are used in treatment of liver disease and fever. Fruits are used as astringent and carminative whereas ripe fruits are used as laxative and aphrodisiac. Seeds are used as diuretics and for treatment of constipation.","author":[{"dropping-particle":"","family":"Sikarwar","given":"Mukesh S.","non-dropping-particle":"","parse-names":false,"suffix":""}],"container-title":"Tropical Agriculture","id":"ITEM-1","issued":{"date-parts":[["2016"]]},"title":"Nutraceutical and medicinal value of breadfruit [Artocarpus altilis (Parkinson) Fosberg]. (70)","type":"article-journal"},"uris":["http://www.mendeley.com/documents/?uuid=4733d048-e00a-3be2-a52c-7ce20c5364e4"]}],"mendeley":{"formattedCitation":"(Sikarwar, 2016)","plainTextFormattedCitation":"(Sikarwar, 2016)","previouslyFormattedCitation":"(Sikarwar, 2016)"},"properties":{"noteIndex":0},"schema":"https://github.com/citation-style-language/schema/raw/master/csl-citation.json"}</w:instrText>
      </w:r>
      <w:r w:rsidRPr="000B3AEE">
        <w:rPr>
          <w:lang w:val="en-IN"/>
        </w:rPr>
        <w:fldChar w:fldCharType="separate"/>
      </w:r>
      <w:r w:rsidRPr="000B3AEE">
        <w:rPr>
          <w:noProof/>
          <w:lang w:val="en-IN"/>
        </w:rPr>
        <w:t>(Sikarwar, 2016)</w:t>
      </w:r>
      <w:r w:rsidRPr="000B3AEE">
        <w:rPr>
          <w:lang w:val="en-IN"/>
        </w:rPr>
        <w:fldChar w:fldCharType="end"/>
      </w:r>
      <w:r w:rsidRPr="000B3AEE">
        <w:rPr>
          <w:lang w:val="en-IN"/>
        </w:rPr>
        <w:t xml:space="preserve">. The starchy fruit of </w:t>
      </w:r>
      <w:r w:rsidRPr="000B3AEE">
        <w:rPr>
          <w:i/>
          <w:iCs/>
          <w:lang w:val="en-IN"/>
        </w:rPr>
        <w:t xml:space="preserve">A. </w:t>
      </w:r>
      <w:proofErr w:type="spellStart"/>
      <w:r w:rsidRPr="000B3AEE">
        <w:rPr>
          <w:i/>
          <w:iCs/>
          <w:lang w:val="en-IN"/>
        </w:rPr>
        <w:t>altilis</w:t>
      </w:r>
      <w:proofErr w:type="spellEnd"/>
      <w:r w:rsidRPr="000B3AEE">
        <w:rPr>
          <w:lang w:val="en-IN"/>
        </w:rPr>
        <w:t xml:space="preserve"> has drawn interest from the industrial sector since it is a gluten-free food source that can also be used to make bioethanol, bioplastics, and animal feed </w:t>
      </w:r>
      <w:r w:rsidRPr="000B3AEE">
        <w:rPr>
          <w:lang w:val="en-IN"/>
        </w:rPr>
        <w:fldChar w:fldCharType="begin" w:fldLock="1"/>
      </w:r>
      <w:r w:rsidRPr="000B3AEE">
        <w:rPr>
          <w:lang w:val="en-IN"/>
        </w:rPr>
        <w:instrText>ADDIN CSL_CITATION {"citationItems":[{"id":"ITEM-1","itemData":{"DOI":"10.1149/10701.14455ecst","ISBN":"9781607685395","ISSN":"1938-5862","abstract":"The rise in health awareness raises the demand on safe, cheaper, convenience, and health-related products. Breadfruit is packed with nutrients, high in resistant starch, low glycemic, as well as possesses promising functional properties. In addition, it contains abundance of phytochemicals extract containing bioactive compounds which offer therapeutic properties. Breadfruit flour also was found to have a high level of preferential by the consumers. Hence, due to its huge potential and beneficial properties, breadfruit can serve as an intermediate ingredient in health-related products with a low cost. Breadfruit is categorized as underutilized fruit. Therefore, it is amongst the potential fruits which can be maximally utilized through continuous and innovative developments. Development of health-related products include both oral and topical application. However in this review, it limits to the incorporation of breadfruit gluten free flour in bakery and pasta food products. For topical application it will focus on the incorporation of breadfruit bioactive compound in cosmetic products. These bioactive compounds offer antioxidant, anti-inflammatory, and anti-aging properties.","author":[{"dropping-particle":"","family":"Zainol","given":"Noorazwani","non-dropping-particle":"","parse-names":false,"suffix":""},{"dropping-particle":"","family":"Mohamed Noor","given":"Norhayati","non-dropping-particle":"","parse-names":false,"suffix":""},{"dropping-particle":"","family":"Abang Zaidel","given":"Dayang Norulfairuz","non-dropping-particle":"","parse-names":false,"suffix":""},{"dropping-particle":"","family":"Mat Taher","given":"Zarani","non-dropping-particle":"","parse-names":false,"suffix":""},{"dropping-particle":"","family":"Mohamed","given":"Muna","non-dropping-particle":"","parse-names":false,"suffix":""},{"dropping-particle":"","family":"Sadek","given":"Norasiah","non-dropping-particle":"","parse-names":false,"suffix":""}],"container-title":"ECS Transactions","id":"ITEM-1","issue":"1","issued":{"date-parts":[["2022","4","24"]]},"page":"14455-14463","publisher":"The Electrochemical Society","title":"Breadfruit (Artocarpus altilis) Studies: Rheological Stability, Incorporation of Gluten Free, and Bioactive Compound as an Intermediate Ingredient in Health-Related Products","type":"article-journal","volume":"107"},"uris":["http://www.mendeley.com/documents/?uuid=c0a1d0da-dccc-3493-a631-d6e04df1ba9c"]}],"mendeley":{"formattedCitation":"(Zainol et al., 2022)","plainTextFormattedCitation":"(Zainol et al., 2022)","previouslyFormattedCitation":"(Zainol et al., 2022)"},"properties":{"noteIndex":0},"schema":"https://github.com/citation-style-language/schema/raw/master/csl-citation.json"}</w:instrText>
      </w:r>
      <w:r w:rsidRPr="000B3AEE">
        <w:rPr>
          <w:lang w:val="en-IN"/>
        </w:rPr>
        <w:fldChar w:fldCharType="separate"/>
      </w:r>
      <w:r w:rsidRPr="000B3AEE">
        <w:rPr>
          <w:noProof/>
          <w:lang w:val="en-IN"/>
        </w:rPr>
        <w:t xml:space="preserve">(Zainol </w:t>
      </w:r>
      <w:r w:rsidRPr="00F81AD7">
        <w:rPr>
          <w:i/>
          <w:iCs/>
          <w:noProof/>
          <w:lang w:val="en-IN"/>
        </w:rPr>
        <w:t>et al</w:t>
      </w:r>
      <w:r w:rsidRPr="000B3AEE">
        <w:rPr>
          <w:noProof/>
          <w:lang w:val="en-IN"/>
        </w:rPr>
        <w:t>., 2022)</w:t>
      </w:r>
      <w:r w:rsidRPr="000B3AEE">
        <w:rPr>
          <w:lang w:val="en-IN"/>
        </w:rPr>
        <w:fldChar w:fldCharType="end"/>
      </w:r>
      <w:r w:rsidRPr="000B3AEE">
        <w:rPr>
          <w:lang w:val="en-IN"/>
        </w:rPr>
        <w:t xml:space="preserve">. Its potential for environmental uses has been investigated recently; in particular, the leaf and bark extracts have demonstrated the ability to function as natural coagulants in wastewater treatment by stimulating floc formation and lowering turbidity </w:t>
      </w:r>
      <w:r w:rsidRPr="000B3AEE">
        <w:rPr>
          <w:lang w:val="en-IN"/>
        </w:rPr>
        <w:fldChar w:fldCharType="begin" w:fldLock="1"/>
      </w:r>
      <w:r w:rsidRPr="000B3AEE">
        <w:rPr>
          <w:lang w:val="en-IN"/>
        </w:rPr>
        <w:instrText>ADDIN CSL_CITATION {"citationItems":[{"id":"ITEM-1","itemData":{"DOI":"10.1149/10701.14455ecst","ISBN":"9781607685395","ISSN":"1938-5862","abstract":"The rise in health awareness raises the demand on safe, cheaper, convenience, and health-related products. Breadfruit is packed with nutrients, high in resistant starch, low glycemic, as well as possesses promising functional properties. In addition, it contains abundance of phytochemicals extract containing bioactive compounds which offer therapeutic properties. Breadfruit flour also was found to have a high level of preferential by the consumers. Hence, due to its huge potential and beneficial properties, breadfruit can serve as an intermediate ingredient in health-related products with a low cost. Breadfruit is categorized as underutilized fruit. Therefore, it is amongst the potential fruits which can be maximally utilized through continuous and innovative developments. Development of health-related products include both oral and topical application. However in this review, it limits to the incorporation of breadfruit gluten free flour in bakery and pasta food products. For topical application it will focus on the incorporation of breadfruit bioactive compound in cosmetic products. These bioactive compounds offer antioxidant, anti-inflammatory, and anti-aging properties.","author":[{"dropping-particle":"","family":"Zainol","given":"Noorazwani","non-dropping-particle":"","parse-names":false,"suffix":""},{"dropping-particle":"","family":"Mohamed Noor","given":"Norhayati","non-dropping-particle":"","parse-names":false,"suffix":""},{"dropping-particle":"","family":"Abang Zaidel","given":"Dayang Norulfairuz","non-dropping-particle":"","parse-names":false,"suffix":""},{"dropping-particle":"","family":"Mat Taher","given":"Zarani","non-dropping-particle":"","parse-names":false,"suffix":""},{"dropping-particle":"","family":"Mohamed","given":"Muna","non-dropping-particle":"","parse-names":false,"suffix":""},{"dropping-particle":"","family":"Sadek","given":"Norasiah","non-dropping-particle":"","parse-names":false,"suffix":""}],"container-title":"ECS Transactions","id":"ITEM-1","issue":"1","issued":{"date-parts":[["2022","4","24"]]},"page":"14455-14463","publisher":"The Electrochemical Society","title":"Breadfruit (Artocarpus altilis) Studies: Rheological Stability, Incorporation of Gluten Free, and Bioactive Compound as an Intermediate Ingredient in Health-Related Products","type":"article-journal","volume":"107"},"uris":["http://www.mendeley.com/documents/?uuid=c0a1d0da-dccc-3493-a631-d6e04df1ba9c"]}],"mendeley":{"formattedCitation":"(Zainol et al., 2022)","plainTextFormattedCitation":"(Zainol et al., 2022)","previouslyFormattedCitation":"(Zainol et al., 2022)"},"properties":{"noteIndex":0},"schema":"https://github.com/citation-style-language/schema/raw/master/csl-citation.json"}</w:instrText>
      </w:r>
      <w:r w:rsidRPr="000B3AEE">
        <w:rPr>
          <w:lang w:val="en-IN"/>
        </w:rPr>
        <w:fldChar w:fldCharType="separate"/>
      </w:r>
      <w:r w:rsidRPr="000B3AEE">
        <w:rPr>
          <w:noProof/>
          <w:lang w:val="en-IN"/>
        </w:rPr>
        <w:t xml:space="preserve">(Zainol </w:t>
      </w:r>
      <w:r w:rsidRPr="00F81AD7">
        <w:rPr>
          <w:i/>
          <w:iCs/>
          <w:noProof/>
          <w:lang w:val="en-IN"/>
        </w:rPr>
        <w:t>et al</w:t>
      </w:r>
      <w:r w:rsidRPr="000B3AEE">
        <w:rPr>
          <w:noProof/>
          <w:lang w:val="en-IN"/>
        </w:rPr>
        <w:t>., 2022)</w:t>
      </w:r>
      <w:r w:rsidRPr="000B3AEE">
        <w:rPr>
          <w:lang w:val="en-IN"/>
        </w:rPr>
        <w:fldChar w:fldCharType="end"/>
      </w:r>
      <w:r w:rsidRPr="000B3AEE">
        <w:rPr>
          <w:lang w:val="en-IN"/>
        </w:rPr>
        <w:t>.</w:t>
      </w:r>
    </w:p>
    <w:p w14:paraId="11003FD9" w14:textId="77777777" w:rsidR="00136F08" w:rsidRPr="000B3AEE" w:rsidRDefault="00136F08" w:rsidP="00136F08">
      <w:pPr>
        <w:pStyle w:val="TextIndent"/>
        <w:rPr>
          <w:lang w:val="en-IN"/>
        </w:rPr>
      </w:pPr>
      <w:r w:rsidRPr="000B3AEE">
        <w:rPr>
          <w:lang w:val="en-IN"/>
        </w:rPr>
        <w:t xml:space="preserve">In South Asia, </w:t>
      </w:r>
      <w:r w:rsidRPr="000B3AEE">
        <w:rPr>
          <w:i/>
          <w:iCs/>
          <w:lang w:val="en-IN"/>
        </w:rPr>
        <w:t xml:space="preserve">Nymphaea </w:t>
      </w:r>
      <w:proofErr w:type="spellStart"/>
      <w:r w:rsidRPr="000B3AEE">
        <w:rPr>
          <w:i/>
          <w:iCs/>
          <w:lang w:val="en-IN"/>
        </w:rPr>
        <w:t>nouchali</w:t>
      </w:r>
      <w:proofErr w:type="spellEnd"/>
      <w:r w:rsidRPr="000B3AEE">
        <w:rPr>
          <w:lang w:val="en-IN"/>
        </w:rPr>
        <w:t xml:space="preserve">, commonly referred to as blue lotus or nil </w:t>
      </w:r>
      <w:proofErr w:type="spellStart"/>
      <w:r w:rsidRPr="000B3AEE">
        <w:rPr>
          <w:lang w:val="en-IN"/>
        </w:rPr>
        <w:t>mānel</w:t>
      </w:r>
      <w:proofErr w:type="spellEnd"/>
      <w:r w:rsidRPr="000B3AEE">
        <w:rPr>
          <w:lang w:val="en-IN"/>
        </w:rPr>
        <w:t xml:space="preserve">, is an aquatic plant that has medicinal and religious significance </w:t>
      </w:r>
      <w:r w:rsidRPr="000B3AEE">
        <w:rPr>
          <w:lang w:val="en-IN"/>
        </w:rPr>
        <w:fldChar w:fldCharType="begin" w:fldLock="1"/>
      </w:r>
      <w:r w:rsidRPr="000B3AEE">
        <w:rPr>
          <w:lang w:val="en-IN"/>
        </w:rPr>
        <w:instrText>ADDIN CSL_CITATION {"citationItems":[{"id":"ITEM-1","itemData":{"DOI":"10.4103/0110-5558.72424","ISSN":"09762094","PMID":"22247863","abstract":"Nymphaea stellata Willd. (Syn. Nymphaea nouchali Burman f.) (Nymphaeaceae) is an important and well-known medicinal plant, widely used in the Ayurveda and Siddha systems of medicines for the treatment of diabetes, inflammation, liver disorders, urinary disorders, menorrhagia, blenorrhagia, menstruation problem, as an aphrodisiac, and as a bitter tonic. There seems to be an agreement between the traditional use and experimental observations, such as, hepatoprotective, anti-inflammatory, and particularly antidiabetic activity. Nymphayol, a steroid isolated from the flowers has been scientifically proved to be responsible for the traditionally claimed antidiabetic activity; it reverses the damaged endocrine tissue and stimulates secretion of insulin in the-cells. However, taking into account the magnitude of its traditional uses, the studies conducted are still negligible. This review is an attempt to provide the pharmaceutical prospective of Nymphaea stellata.","author":[{"dropping-particle":"","family":"Mohan Maruga Raja","given":"M. K.","non-dropping-particle":"","parse-names":false,"suffix":""},{"dropping-particle":"","family":"Sethiya","given":"Neeraj Kumar","non-dropping-particle":"","parse-names":false,"suffix":""},{"dropping-particle":"","family":"Mishra","given":"S. H.","non-dropping-particle":"","parse-names":false,"suffix":""}],"container-title":"Journal of Advanced Pharmaceutical Technology and Research","id":"ITEM-1","issue":"3","issued":{"date-parts":[["2010"]]},"page":"311-319","publisher":"Wolters Kluwer Medknow Publications","title":"A comprehensive review on Nymphaea stellata: A traditionally used bitter","type":"article","volume":"1"},"uris":["http://www.mendeley.com/documents/?uuid=b2942b1c-e7e8-3e97-bfcd-6550eeabb1e6"]}],"mendeley":{"formattedCitation":"(Mohan Maruga Raja et al., 2010)","plainTextFormattedCitation":"(Mohan Maruga Raja et al., 2010)","previouslyFormattedCitation":"(Mohan Maruga Raja et al., 2010)"},"properties":{"noteIndex":0},"schema":"https://github.com/citation-style-language/schema/raw/master/csl-citation.json"}</w:instrText>
      </w:r>
      <w:r w:rsidRPr="000B3AEE">
        <w:rPr>
          <w:lang w:val="en-IN"/>
        </w:rPr>
        <w:fldChar w:fldCharType="separate"/>
      </w:r>
      <w:r w:rsidRPr="000B3AEE">
        <w:rPr>
          <w:noProof/>
          <w:lang w:val="en-IN"/>
        </w:rPr>
        <w:t xml:space="preserve">(Raja </w:t>
      </w:r>
      <w:r w:rsidRPr="00F81AD7">
        <w:rPr>
          <w:i/>
          <w:iCs/>
          <w:noProof/>
          <w:lang w:val="en-IN"/>
        </w:rPr>
        <w:t>et al</w:t>
      </w:r>
      <w:r w:rsidRPr="000B3AEE">
        <w:rPr>
          <w:noProof/>
          <w:lang w:val="en-IN"/>
        </w:rPr>
        <w:t>., 2010)</w:t>
      </w:r>
      <w:r w:rsidRPr="000B3AEE">
        <w:rPr>
          <w:lang w:val="en-IN"/>
        </w:rPr>
        <w:fldChar w:fldCharType="end"/>
      </w:r>
      <w:r w:rsidRPr="000B3AEE">
        <w:rPr>
          <w:lang w:val="en-IN"/>
        </w:rPr>
        <w:t xml:space="preserve">. Due to its analgesic, anti-diabetic, antipyretic, and antioxidant properties, it has long been utilized in Ayurvedic and Siddha medicine </w:t>
      </w:r>
      <w:r w:rsidRPr="000B3AEE">
        <w:rPr>
          <w:lang w:val="en-IN"/>
        </w:rPr>
        <w:fldChar w:fldCharType="begin" w:fldLock="1"/>
      </w:r>
      <w:r w:rsidRPr="000B3AEE">
        <w:rPr>
          <w:lang w:val="en-IN"/>
        </w:rPr>
        <w:instrText>ADDIN CSL_CITATION {"citationItems":[{"id":"ITEM-1","itemData":{"DOI":"10.5530/pres.15.2.024","ISSN":"09764836","abstract":"Nymphaea nouchali (Syn. Nymphaea stellata Willd.) from family Nymphaeaceae, is a species of perennial aquatic flowering plant with huge round floating leaves and rhizomes. It is well-known and prominent herb in Ayurveda and Siddha system of medicines with multiple medicinal properties. It comes from southern and eastern regions of Asia, and is a national blossom of Sri Lanka and Bangladesh. Scientific investigation has revealed that it exhibits vast range of pharmacological actions, namely antihyperglycemic, antioxidant, antimicrobial, analgesic, antiinflammatory, antipyretic, antitumor, hepatoprotective, antiulcer, antihelmintic, antinociceptive, immunomodulatory activities etc. Polyphenols, flavonoids, sterols, alkaloids, saponins, tannins, protein, nymphasterol, nymphayol have been recognized as important factors in the medicinal effects of N. nouchali. The present review focuses on pharmacological and phytochemical investigation of N. nouchali.","author":[{"dropping-particle":"","family":"Kiranmai","given":"Basani","non-dropping-particle":"","parse-names":false,"suffix":""},{"dropping-particle":"","family":"Sandhyarani","given":"Mondi","non-dropping-particle":"","parse-names":false,"suffix":""},{"dropping-particle":"","family":"Tiwari","given":"Ashok Kumar","non-dropping-particle":"","parse-names":false,"suffix":""}],"container-title":"Pharmacognosy Research","id":"ITEM-1","issue":"2","issued":{"date-parts":[["2023","2","22"]]},"page":"226-234","publisher":"EManuscript Technologies","title":"Water Lily (Nymphaea nouchali Burm. f): An Ancient Treasure of Food and Medicine","type":"article-journal","volume":"15"},"uris":["http://www.mendeley.com/documents/?uuid=13ea20b4-6c4b-3b31-ba8f-f98051209be4"]},{"id":"ITEM-2","itemData":{"DOI":"10.1086/513476","ISSN":"10585893","abstract":"Nymphaea is the most speciose, phenotypically diverse, and geographically widespread (nearly global) genus of Nymphaeales. Phylogenetic relationships among 35 of an estimated 45-50 species of Nymphaea are presented based on an analysis of the chloroplast trnT-trnF region. Because this is the first phylogenetic analysis of Nymphaea, monophyly of the genus had to be tested, and its status in Nymphaeales had to be inferred. Rooting was therefore extended to more distant outgroups (Amborella, Austrobaileyales). Monophyly of Nymphaea received weak support, with a Euryale-Victoria clade appearing as sister. The three major lineages within Nymphaea are constituted by the northern temperate subg. Nymphaea that is sister to all remaining species, a subgg. Hydrocallis-Lotos clade, and a subgg. Anecphya-Brachyceras clade. The Australian genus Ondinea was nested at species level within Nymphaea subg. Anecphya. The pantropical subg. Brachyceras as currently circumscribed does not appear natural, with Nymphaea petersiana belonging to subg. Lotos. Microstructural changes are frequent and highly informative, exhibiting lower levels of homoplasy than substitutions. Reconstructing the evolution of microstructural changes shows a strong insertion bias in simple sequence repeats. Complex indels are often explained by mutational events that occurred independently in different parts of the tree rather than being the result of stepwise events at subsequent nodes. AT-rich, satellite-like sequence parts have evolved independently in the P8 stem loop of the trnL group I intron in Nuphar and in major lineages of Nymphaea. They seem to be conserved in sequence within species but are highly variable among species. Moreover, the trnT-trnF region provides a signal that allows recognition (bar coding) of most species analyzed so far. © 2007 by The University of Chicago. All rights reserved.","author":[{"dropping-particle":"","family":"Borsch","given":"Thomas","non-dropping-particle":"","parse-names":false,"suffix":""},{"dropping-particle":"","family":"Hilu","given":"Khidir W.","non-dropping-particle":"","parse-names":false,"suffix":""},{"dropping-particle":"","family":"Wiersema","given":"John H.","non-dropping-particle":"","parse-names":false,"suffix":""},{"dropping-particle":"","family":"Löhne","given":"Cornelia","non-dropping-particle":"","parse-names":false,"suffix":""},{"dropping-particle":"","family":"Barthlott","given":"Wilhelm","non-dropping-particle":"","parse-names":false,"suffix":""},{"dropping-particle":"","family":"Wilde","given":"Volker","non-dropping-particle":"","parse-names":false,"suffix":""}],"container-title":"International Journal of Plant Sciences","id":"ITEM-2","issue":"5","issued":{"date-parts":[["2007","6"]]},"page":"639-671","title":"Phylogeny of Nymphaea (Nymphaeaceae): Evidence from substitutions and microstructural changes in the chloroplast trnT-trnF region","type":"article-journal","volume":"168"},"uris":["http://www.mendeley.com/documents/?uuid=dea77a78-77bb-3753-8501-261f7ed7174f"]}],"mendeley":{"formattedCitation":"(Borsch et al., 2007; Kiranmai et al., 2023)","plainTextFormattedCitation":"(Borsch et al., 2007; Kiranmai et al., 2023)","previouslyFormattedCitation":"(Borsch et al., 2007; Kiranmai et al., 2023)"},"properties":{"noteIndex":0},"schema":"https://github.com/citation-style-language/schema/raw/master/csl-citation.json"}</w:instrText>
      </w:r>
      <w:r w:rsidRPr="000B3AEE">
        <w:rPr>
          <w:lang w:val="en-IN"/>
        </w:rPr>
        <w:fldChar w:fldCharType="separate"/>
      </w:r>
      <w:r w:rsidRPr="000B3AEE">
        <w:rPr>
          <w:noProof/>
          <w:lang w:val="en-IN"/>
        </w:rPr>
        <w:t xml:space="preserve">(Borsch </w:t>
      </w:r>
      <w:r w:rsidRPr="00F81AD7">
        <w:rPr>
          <w:i/>
          <w:iCs/>
          <w:noProof/>
          <w:lang w:val="en-IN"/>
        </w:rPr>
        <w:t>et al</w:t>
      </w:r>
      <w:r w:rsidRPr="000B3AEE">
        <w:rPr>
          <w:noProof/>
          <w:lang w:val="en-IN"/>
        </w:rPr>
        <w:t xml:space="preserve">., 2007; Kiranmai </w:t>
      </w:r>
      <w:r w:rsidRPr="00F81AD7">
        <w:rPr>
          <w:i/>
          <w:iCs/>
          <w:noProof/>
          <w:lang w:val="en-IN"/>
        </w:rPr>
        <w:t>et al</w:t>
      </w:r>
      <w:r w:rsidRPr="000B3AEE">
        <w:rPr>
          <w:noProof/>
          <w:lang w:val="en-IN"/>
        </w:rPr>
        <w:t>., 2023)</w:t>
      </w:r>
      <w:r w:rsidRPr="000B3AEE">
        <w:rPr>
          <w:lang w:val="en-IN"/>
        </w:rPr>
        <w:fldChar w:fldCharType="end"/>
      </w:r>
      <w:r w:rsidRPr="000B3AEE">
        <w:rPr>
          <w:lang w:val="en-IN"/>
        </w:rPr>
        <w:t xml:space="preserve"> Extracts from the flowers and rhizomes have also shown pharmacological promise </w:t>
      </w:r>
      <w:r w:rsidRPr="000B3AEE">
        <w:rPr>
          <w:lang w:val="en-IN"/>
        </w:rPr>
        <w:fldChar w:fldCharType="begin" w:fldLock="1"/>
      </w:r>
      <w:r w:rsidRPr="000B3AEE">
        <w:rPr>
          <w:lang w:val="en-IN"/>
        </w:rPr>
        <w:instrText>ADDIN CSL_CITATION {"citationItems":[{"id":"ITEM-1","itemData":{"author":[{"dropping-particle":"","family":"Kumar","given":"A.K.","non-dropping-particle":"","parse-names":false,"suffix":""},{"dropping-particle":"","family":"Babu","given":"S.","non-dropping-particle":"","parse-names":false,"suffix":""},{"dropping-particle":"","family":"Ammani","given":"K.","non-dropping-particle":"","parse-names":false,"suffix":""}],"container-title":"International Journal of Research and Reviews in Pharmacy and Applied Science","id":"ITEM-1","issue":"2","issued":{"date-parts":[["2013"]]},"page":"142-151","title":"Antimicrobial And Phytochemical Analysis of Nymphaea nauchali Leaf Extracts","type":"article-journal","volume":"2"},"uris":["http://www.mendeley.com/documents/?uuid=ef1d5391-ebad-3ec2-93d3-6506f6c2d6d6"]}],"mendeley":{"formattedCitation":"(A. K. Kumar et al., 2013)","plainTextFormattedCitation":"(A. K. Kumar et al., 2013)","previouslyFormattedCitation":"(A. K. Kumar et al., 2013)"},"properties":{"noteIndex":0},"schema":"https://github.com/citation-style-language/schema/raw/master/csl-citation.json"}</w:instrText>
      </w:r>
      <w:r w:rsidRPr="000B3AEE">
        <w:rPr>
          <w:lang w:val="en-IN"/>
        </w:rPr>
        <w:fldChar w:fldCharType="separate"/>
      </w:r>
      <w:r w:rsidRPr="000B3AEE">
        <w:rPr>
          <w:noProof/>
          <w:lang w:val="en-IN"/>
        </w:rPr>
        <w:t xml:space="preserve">(A. K. Kumar </w:t>
      </w:r>
      <w:r w:rsidRPr="00F81AD7">
        <w:rPr>
          <w:i/>
          <w:iCs/>
          <w:noProof/>
          <w:lang w:val="en-IN"/>
        </w:rPr>
        <w:t>et al</w:t>
      </w:r>
      <w:r w:rsidRPr="000B3AEE">
        <w:rPr>
          <w:noProof/>
          <w:lang w:val="en-IN"/>
        </w:rPr>
        <w:t>., 2013)</w:t>
      </w:r>
      <w:r w:rsidRPr="000B3AEE">
        <w:rPr>
          <w:lang w:val="en-IN"/>
        </w:rPr>
        <w:fldChar w:fldCharType="end"/>
      </w:r>
      <w:r w:rsidRPr="000B3AEE">
        <w:rPr>
          <w:lang w:val="en-IN"/>
        </w:rPr>
        <w:t>. Since it contains its bioactive flavonoids and phenolic components, it finds usage in nutraceuticals and cosmetics, among other industrial applications. However, this plant has not been widely studied for its coagulation properties.</w:t>
      </w:r>
    </w:p>
    <w:p w14:paraId="67087734" w14:textId="77777777" w:rsidR="00136F08" w:rsidRPr="000B3AEE" w:rsidRDefault="00136F08" w:rsidP="00136F08">
      <w:pPr>
        <w:pStyle w:val="TextIndent"/>
        <w:rPr>
          <w:lang w:val="en-IN"/>
        </w:rPr>
      </w:pPr>
      <w:r w:rsidRPr="000B3AEE">
        <w:rPr>
          <w:lang w:val="en-IN"/>
        </w:rPr>
        <w:t xml:space="preserve">Although both of these plants are widely accessible in many tropical areas and have long been utilized in traditional medicine, their potential application in water treatment remains underexplored. </w:t>
      </w:r>
    </w:p>
    <w:p w14:paraId="30EC8A03" w14:textId="77777777" w:rsidR="00136F08" w:rsidRPr="000B3AEE" w:rsidRDefault="00136F08" w:rsidP="00136F08">
      <w:pPr>
        <w:pStyle w:val="TextIndent"/>
      </w:pPr>
      <w:r w:rsidRPr="000B3AEE">
        <w:t xml:space="preserve">The objectives are to determine the antibacterial, coagulant, and cytotoxic properties of </w:t>
      </w:r>
      <w:r w:rsidRPr="000B3AEE">
        <w:rPr>
          <w:i/>
          <w:iCs/>
        </w:rPr>
        <w:t xml:space="preserve">Nymphaea </w:t>
      </w:r>
      <w:proofErr w:type="spellStart"/>
      <w:r w:rsidRPr="000B3AEE">
        <w:rPr>
          <w:i/>
          <w:iCs/>
        </w:rPr>
        <w:t>nouchali</w:t>
      </w:r>
      <w:proofErr w:type="spellEnd"/>
      <w:r w:rsidRPr="000B3AEE">
        <w:t xml:space="preserve"> </w:t>
      </w:r>
      <w:proofErr w:type="spellStart"/>
      <w:r w:rsidRPr="000B3AEE">
        <w:t>Burm</w:t>
      </w:r>
      <w:proofErr w:type="spellEnd"/>
      <w:r w:rsidRPr="000B3AEE">
        <w:t xml:space="preserve">. f. and </w:t>
      </w:r>
      <w:proofErr w:type="spellStart"/>
      <w:r w:rsidRPr="000B3AEE">
        <w:rPr>
          <w:i/>
          <w:iCs/>
        </w:rPr>
        <w:t>Artocarpus</w:t>
      </w:r>
      <w:proofErr w:type="spellEnd"/>
      <w:r w:rsidRPr="000B3AEE">
        <w:rPr>
          <w:i/>
          <w:iCs/>
        </w:rPr>
        <w:t xml:space="preserve"> </w:t>
      </w:r>
      <w:proofErr w:type="spellStart"/>
      <w:r w:rsidRPr="000B3AEE">
        <w:rPr>
          <w:i/>
          <w:iCs/>
        </w:rPr>
        <w:t>altilis</w:t>
      </w:r>
      <w:proofErr w:type="spellEnd"/>
      <w:r w:rsidRPr="000B3AEE">
        <w:t xml:space="preserve"> (Park.) </w:t>
      </w:r>
      <w:proofErr w:type="spellStart"/>
      <w:r w:rsidRPr="000B3AEE">
        <w:t>Fosh</w:t>
      </w:r>
      <w:proofErr w:type="spellEnd"/>
      <w:r w:rsidRPr="000B3AEE">
        <w:t xml:space="preserve">. and compare the effectiveness of the individual mixed extracts of both effective plant concentrations. </w:t>
      </w:r>
    </w:p>
    <w:p w14:paraId="11A1B0B8" w14:textId="77777777" w:rsidR="00136F08" w:rsidRPr="000B3AEE" w:rsidRDefault="00136F08" w:rsidP="00136F08">
      <w:pPr>
        <w:pStyle w:val="TextIndent"/>
      </w:pPr>
    </w:p>
    <w:p w14:paraId="7C35F746" w14:textId="4A369AA4" w:rsidR="00136F08" w:rsidRDefault="0077777F" w:rsidP="0077777F">
      <w:pPr>
        <w:pStyle w:val="Heading1"/>
        <w:rPr>
          <w:lang w:val="en-IN"/>
        </w:rPr>
      </w:pPr>
      <w:r>
        <w:rPr>
          <w:lang w:val="en-IN"/>
        </w:rPr>
        <w:t>Materials and Methods</w:t>
      </w:r>
    </w:p>
    <w:p w14:paraId="56F6F04B" w14:textId="77777777" w:rsidR="0077777F" w:rsidRPr="0077777F" w:rsidRDefault="0077777F" w:rsidP="0077777F">
      <w:pPr>
        <w:pStyle w:val="Heading2"/>
      </w:pPr>
      <w:r w:rsidRPr="0077777F">
        <w:t>Collection of plant material and preparation of plant extracts</w:t>
      </w:r>
    </w:p>
    <w:p w14:paraId="64B91A3F" w14:textId="707C09B1" w:rsidR="00161F31" w:rsidRDefault="0077777F" w:rsidP="00161F31">
      <w:pPr>
        <w:pStyle w:val="Text"/>
      </w:pPr>
      <w:r w:rsidRPr="0077777F">
        <w:t xml:space="preserve">The plant materials were collected from </w:t>
      </w:r>
      <w:proofErr w:type="spellStart"/>
      <w:r w:rsidRPr="0077777F">
        <w:t>Bellanvila</w:t>
      </w:r>
      <w:proofErr w:type="spellEnd"/>
      <w:r w:rsidRPr="0077777F">
        <w:t xml:space="preserve"> (6°50'43.1"N 79°53'24.7"E) and </w:t>
      </w:r>
      <w:proofErr w:type="spellStart"/>
      <w:r w:rsidRPr="0077777F">
        <w:t>Kadawatha</w:t>
      </w:r>
      <w:proofErr w:type="spellEnd"/>
      <w:r w:rsidRPr="0077777F">
        <w:t xml:space="preserve"> (7°01'01.9"N 79°57'25.4"E), respectively, and authenticated at Bandaranayake Memorial Ayurveda Research Institute (BMARI), where the specimens were deposited under the accession numbers 3192 for </w:t>
      </w:r>
      <w:r w:rsidRPr="00E613B9">
        <w:rPr>
          <w:i/>
          <w:iCs/>
        </w:rPr>
        <w:t xml:space="preserve">Nymphaea </w:t>
      </w:r>
      <w:proofErr w:type="spellStart"/>
      <w:r w:rsidRPr="00E613B9">
        <w:rPr>
          <w:i/>
          <w:iCs/>
        </w:rPr>
        <w:t>nouchali</w:t>
      </w:r>
      <w:proofErr w:type="spellEnd"/>
      <w:r w:rsidRPr="0077777F">
        <w:t xml:space="preserve"> </w:t>
      </w:r>
      <w:proofErr w:type="spellStart"/>
      <w:r w:rsidRPr="0077777F">
        <w:t>Burm</w:t>
      </w:r>
      <w:proofErr w:type="spellEnd"/>
      <w:r w:rsidRPr="0077777F">
        <w:t xml:space="preserve">. f. and 3193 </w:t>
      </w:r>
      <w:proofErr w:type="spellStart"/>
      <w:r w:rsidRPr="00E613B9">
        <w:rPr>
          <w:i/>
          <w:iCs/>
        </w:rPr>
        <w:t>Artocarpus</w:t>
      </w:r>
      <w:proofErr w:type="spellEnd"/>
      <w:r w:rsidRPr="00E613B9">
        <w:rPr>
          <w:i/>
          <w:iCs/>
        </w:rPr>
        <w:t xml:space="preserve"> </w:t>
      </w:r>
      <w:proofErr w:type="spellStart"/>
      <w:r w:rsidRPr="00E613B9">
        <w:rPr>
          <w:i/>
          <w:iCs/>
        </w:rPr>
        <w:t>altilis</w:t>
      </w:r>
      <w:proofErr w:type="spellEnd"/>
      <w:r w:rsidRPr="0077777F">
        <w:t xml:space="preserve"> (Park.) </w:t>
      </w:r>
      <w:proofErr w:type="spellStart"/>
      <w:r w:rsidRPr="0077777F">
        <w:t>Fosh</w:t>
      </w:r>
      <w:proofErr w:type="spellEnd"/>
      <w:r w:rsidRPr="0077777F">
        <w:t xml:space="preserve">. </w:t>
      </w:r>
      <w:r w:rsidR="00252839">
        <w:t xml:space="preserve">A 1:9 (w/v) plant-to-solvent extract was prepared using 10 g of </w:t>
      </w:r>
      <w:r w:rsidR="00252839" w:rsidRPr="0077777F">
        <w:t xml:space="preserve">the fresh plant material (Stem of the </w:t>
      </w:r>
      <w:r w:rsidR="00252839" w:rsidRPr="00E613B9">
        <w:rPr>
          <w:i/>
          <w:iCs/>
        </w:rPr>
        <w:t xml:space="preserve">Nymphaea </w:t>
      </w:r>
      <w:proofErr w:type="spellStart"/>
      <w:r w:rsidR="00252839" w:rsidRPr="00E613B9">
        <w:rPr>
          <w:i/>
          <w:iCs/>
        </w:rPr>
        <w:t>nouchali</w:t>
      </w:r>
      <w:proofErr w:type="spellEnd"/>
      <w:r w:rsidR="00252839" w:rsidRPr="0077777F">
        <w:t xml:space="preserve"> </w:t>
      </w:r>
      <w:proofErr w:type="spellStart"/>
      <w:r w:rsidR="00252839" w:rsidRPr="0077777F">
        <w:t>Burm</w:t>
      </w:r>
      <w:proofErr w:type="spellEnd"/>
      <w:r w:rsidR="00252839" w:rsidRPr="0077777F">
        <w:t xml:space="preserve">. f. and inner peel of </w:t>
      </w:r>
      <w:proofErr w:type="spellStart"/>
      <w:r w:rsidR="00252839" w:rsidRPr="00E613B9">
        <w:rPr>
          <w:i/>
          <w:iCs/>
        </w:rPr>
        <w:t>Artocarpus</w:t>
      </w:r>
      <w:proofErr w:type="spellEnd"/>
      <w:r w:rsidR="00252839" w:rsidRPr="00E613B9">
        <w:rPr>
          <w:i/>
          <w:iCs/>
        </w:rPr>
        <w:t xml:space="preserve"> </w:t>
      </w:r>
      <w:proofErr w:type="spellStart"/>
      <w:r w:rsidR="00252839" w:rsidRPr="00E613B9">
        <w:rPr>
          <w:i/>
          <w:iCs/>
        </w:rPr>
        <w:t>altilis</w:t>
      </w:r>
      <w:proofErr w:type="spellEnd"/>
      <w:r w:rsidR="00252839" w:rsidRPr="0077777F">
        <w:t xml:space="preserve"> (Park.) </w:t>
      </w:r>
      <w:proofErr w:type="spellStart"/>
      <w:r w:rsidR="00252839" w:rsidRPr="0077777F">
        <w:t>Fosh</w:t>
      </w:r>
      <w:proofErr w:type="spellEnd"/>
      <w:r w:rsidR="00252839" w:rsidRPr="0077777F">
        <w:t xml:space="preserve">.)  </w:t>
      </w:r>
      <w:r w:rsidR="00252839">
        <w:t>in</w:t>
      </w:r>
      <w:r w:rsidR="00252839" w:rsidRPr="0077777F">
        <w:t xml:space="preserve"> 90 mL of sterilized water</w:t>
      </w:r>
      <w:r w:rsidR="00252839">
        <w:t xml:space="preserve"> (solvent). This extract was then filtered using Whatman filter paper</w:t>
      </w:r>
      <w:r w:rsidR="00161F31">
        <w:t xml:space="preserve"> (6mm) in 2 steps: first via</w:t>
      </w:r>
      <w:r w:rsidR="008C63A7">
        <w:t xml:space="preserve"> the </w:t>
      </w:r>
      <w:r w:rsidR="00161F31">
        <w:t>gravity filtration method using a funnel and filter paper</w:t>
      </w:r>
      <w:r w:rsidR="008C63A7">
        <w:t>, followed by the syringe filter method</w:t>
      </w:r>
      <w:r w:rsidR="00161F31">
        <w:t>.</w:t>
      </w:r>
      <w:r w:rsidR="00252839">
        <w:t xml:space="preserve"> </w:t>
      </w:r>
      <w:r w:rsidR="005056BA">
        <w:t xml:space="preserve">The extraction time was 60 minutes per plant extract and was conducted at room temperature (25ºC). </w:t>
      </w:r>
      <w:r w:rsidR="00161F31">
        <w:t xml:space="preserve">The extracts were </w:t>
      </w:r>
      <w:r w:rsidR="00252839">
        <w:t>further diluted via serial dilution</w:t>
      </w:r>
      <w:r w:rsidR="00161F31">
        <w:t xml:space="preserve"> </w:t>
      </w:r>
      <w:r w:rsidR="00161F31" w:rsidRPr="0077777F">
        <w:t>from 0.111 g/mL (10</w:t>
      </w:r>
      <w:r w:rsidR="00161F31" w:rsidRPr="00E613B9">
        <w:rPr>
          <w:vertAlign w:val="superscript"/>
        </w:rPr>
        <w:t>-1</w:t>
      </w:r>
      <w:r w:rsidR="00161F31" w:rsidRPr="0077777F">
        <w:t>) to 0.0000111 g/mL (10</w:t>
      </w:r>
      <w:r w:rsidR="00161F31" w:rsidRPr="00E613B9">
        <w:rPr>
          <w:vertAlign w:val="superscript"/>
        </w:rPr>
        <w:t>-4</w:t>
      </w:r>
      <w:r w:rsidR="00161F31" w:rsidRPr="0077777F">
        <w:t xml:space="preserve">). </w:t>
      </w:r>
      <w:r w:rsidR="00EA1E2D">
        <w:t xml:space="preserve">The extracts were refrigerated at 4ºC. </w:t>
      </w:r>
      <w:r w:rsidR="00161F31" w:rsidRPr="0077777F">
        <w:t>According to the method described by Al-Mamun and Basir, 2016, synthetic turbid water was prepared using the bentonite clay.</w:t>
      </w:r>
    </w:p>
    <w:p w14:paraId="5388EBBE" w14:textId="32F1C8A9" w:rsidR="00252839" w:rsidRPr="00252839" w:rsidRDefault="00252839" w:rsidP="00252839">
      <w:pPr>
        <w:tabs>
          <w:tab w:val="left" w:pos="2453"/>
        </w:tabs>
      </w:pPr>
    </w:p>
    <w:p w14:paraId="2E6DF945" w14:textId="77777777" w:rsidR="0077777F" w:rsidRPr="000B3AEE" w:rsidRDefault="0077777F" w:rsidP="0077777F">
      <w:pPr>
        <w:pStyle w:val="Heading2"/>
        <w:rPr>
          <w:b w:val="0"/>
          <w:bCs/>
          <w:i w:val="0"/>
          <w:iCs/>
          <w:szCs w:val="20"/>
        </w:rPr>
      </w:pPr>
      <w:r w:rsidRPr="000B3AEE">
        <w:rPr>
          <w:bCs/>
          <w:iCs/>
          <w:szCs w:val="20"/>
        </w:rPr>
        <w:t>Investigation of coagulation properties</w:t>
      </w:r>
    </w:p>
    <w:p w14:paraId="1E369139" w14:textId="711C71F6" w:rsidR="0077777F" w:rsidRPr="0077777F" w:rsidRDefault="0077777F" w:rsidP="0077777F">
      <w:pPr>
        <w:rPr>
          <w:lang w:val="en-IN"/>
        </w:rPr>
      </w:pPr>
      <w:r w:rsidRPr="0077777F">
        <w:rPr>
          <w:lang w:val="en-IN"/>
        </w:rPr>
        <w:t xml:space="preserve">A volume of 27.5 mL of bentonite water was added to each jar, and the turbidity was checked using a Thermo Scientific </w:t>
      </w:r>
      <w:proofErr w:type="spellStart"/>
      <w:r w:rsidRPr="0077777F">
        <w:rPr>
          <w:lang w:val="en-IN"/>
        </w:rPr>
        <w:t>GeneSys</w:t>
      </w:r>
      <w:proofErr w:type="spellEnd"/>
      <w:r w:rsidRPr="0077777F">
        <w:rPr>
          <w:lang w:val="en-IN"/>
        </w:rPr>
        <w:t xml:space="preserve"> 10s </w:t>
      </w:r>
      <w:proofErr w:type="spellStart"/>
      <w:r w:rsidRPr="0077777F">
        <w:rPr>
          <w:lang w:val="en-IN"/>
        </w:rPr>
        <w:t>uv</w:t>
      </w:r>
      <w:proofErr w:type="spellEnd"/>
      <w:r w:rsidRPr="0077777F">
        <w:rPr>
          <w:lang w:val="en-IN"/>
        </w:rPr>
        <w:t xml:space="preserve">-vis spectrophotometer, followed by adding 2.5 mL of the PE, for the positive control, 2.5 mL of ferric chloride was added, and for the negative control, 2.5 ml of the turbid water was added. Flocculation was carried out with rapid mixing at 180 rpm for 3 minutes, slow mixing at 110 rpm for 30 minutes, and settling for 30 minutes (Al-Mamun and Basir, 2016). Turbidity was checked using the surface water in each </w:t>
      </w:r>
      <w:r w:rsidRPr="0077777F">
        <w:rPr>
          <w:lang w:val="en-IN"/>
        </w:rPr>
        <w:lastRenderedPageBreak/>
        <w:t xml:space="preserve">jar using a Thermo Scientific </w:t>
      </w:r>
      <w:proofErr w:type="spellStart"/>
      <w:r w:rsidRPr="0077777F">
        <w:rPr>
          <w:lang w:val="en-IN"/>
        </w:rPr>
        <w:t>Genesys</w:t>
      </w:r>
      <w:proofErr w:type="spellEnd"/>
      <w:r w:rsidRPr="0077777F">
        <w:rPr>
          <w:lang w:val="en-IN"/>
        </w:rPr>
        <w:t xml:space="preserve"> 10s </w:t>
      </w:r>
      <w:proofErr w:type="spellStart"/>
      <w:r w:rsidRPr="0077777F">
        <w:rPr>
          <w:lang w:val="en-IN"/>
        </w:rPr>
        <w:t>uv</w:t>
      </w:r>
      <w:proofErr w:type="spellEnd"/>
      <w:r w:rsidRPr="0077777F">
        <w:rPr>
          <w:lang w:val="en-IN"/>
        </w:rPr>
        <w:t>-vis spectrophotometer. This procedure was repeated using mixed concentrations of the PE and two extra lotus extract concentrations. The coagulation coefficient was calculated using the formula:</w:t>
      </w:r>
    </w:p>
    <w:p w14:paraId="6ABF3CE3" w14:textId="77777777" w:rsidR="00136F08" w:rsidRPr="000B3AEE" w:rsidRDefault="00136F08" w:rsidP="0077777F">
      <w:pPr>
        <w:pStyle w:val="Equation"/>
      </w:pPr>
    </w:p>
    <w:p w14:paraId="723EA6F7" w14:textId="77777777" w:rsidR="0077777F" w:rsidRPr="000B3AEE" w:rsidRDefault="0077777F" w:rsidP="0077777F">
      <w:pPr>
        <w:pStyle w:val="Equation"/>
        <w:rPr>
          <w:szCs w:val="20"/>
        </w:rPr>
      </w:pPr>
      <m:oMathPara>
        <m:oMath>
          <m:r>
            <w:rPr>
              <w:rFonts w:ascii="Cambria Math" w:hAnsi="Cambria Math"/>
              <w:szCs w:val="20"/>
            </w:rPr>
            <m:t>C%=</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A</m:t>
                  </m:r>
                </m:e>
                <m:sub>
                  <m:r>
                    <w:rPr>
                      <w:rFonts w:ascii="Cambria Math" w:hAnsi="Cambria Math"/>
                      <w:szCs w:val="20"/>
                    </w:rPr>
                    <m:t>0</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A</m:t>
                  </m:r>
                </m:e>
                <m:sub>
                  <m:r>
                    <w:rPr>
                      <w:rFonts w:ascii="Cambria Math" w:hAnsi="Cambria Math"/>
                      <w:szCs w:val="20"/>
                    </w:rPr>
                    <m:t>t</m:t>
                  </m:r>
                </m:sub>
              </m:sSub>
            </m:num>
            <m:den>
              <m:sSub>
                <m:sSubPr>
                  <m:ctrlPr>
                    <w:rPr>
                      <w:rFonts w:ascii="Cambria Math" w:hAnsi="Cambria Math"/>
                      <w:i/>
                      <w:szCs w:val="20"/>
                    </w:rPr>
                  </m:ctrlPr>
                </m:sSubPr>
                <m:e>
                  <m:r>
                    <w:rPr>
                      <w:rFonts w:ascii="Cambria Math" w:hAnsi="Cambria Math"/>
                      <w:szCs w:val="20"/>
                    </w:rPr>
                    <m:t>A</m:t>
                  </m:r>
                </m:e>
                <m:sub>
                  <m:r>
                    <w:rPr>
                      <w:rFonts w:ascii="Cambria Math" w:hAnsi="Cambria Math"/>
                      <w:szCs w:val="20"/>
                    </w:rPr>
                    <m:t>0</m:t>
                  </m:r>
                </m:sub>
              </m:sSub>
            </m:den>
          </m:f>
          <m:r>
            <w:rPr>
              <w:rFonts w:ascii="Cambria Math" w:hAnsi="Cambria Math"/>
              <w:szCs w:val="20"/>
            </w:rPr>
            <m:t>×100</m:t>
          </m:r>
        </m:oMath>
      </m:oMathPara>
    </w:p>
    <w:p w14:paraId="067C29CE" w14:textId="1AA5CCDC" w:rsidR="00136F08" w:rsidRPr="000B3AEE" w:rsidRDefault="0077777F" w:rsidP="0077777F">
      <w:pPr>
        <w:pStyle w:val="TextIndent"/>
        <w:ind w:firstLine="0"/>
        <w:rPr>
          <w:lang w:val="en-IN"/>
        </w:rPr>
      </w:pPr>
      <w:r>
        <w:rPr>
          <w:lang w:val="en-IN"/>
        </w:rPr>
        <w:tab/>
      </w:r>
      <w:r>
        <w:rPr>
          <w:lang w:val="en-IN"/>
        </w:rPr>
        <w:tab/>
      </w:r>
      <w:r>
        <w:rPr>
          <w:lang w:val="en-IN"/>
        </w:rPr>
        <w:tab/>
      </w:r>
      <w:r>
        <w:rPr>
          <w:lang w:val="en-IN"/>
        </w:rPr>
        <w:tab/>
      </w:r>
      <w:r>
        <w:rPr>
          <w:lang w:val="en-IN"/>
        </w:rPr>
        <w:tab/>
      </w:r>
      <w:r>
        <w:rPr>
          <w:lang w:val="en-IN"/>
        </w:rPr>
        <w:tab/>
      </w:r>
      <w:r>
        <w:rPr>
          <w:lang w:val="en-IN"/>
        </w:rPr>
        <w:tab/>
      </w:r>
      <w:r>
        <w:rPr>
          <w:lang w:val="en-IN"/>
        </w:rPr>
        <w:tab/>
      </w:r>
      <w:r>
        <w:rPr>
          <w:lang w:val="en-IN"/>
        </w:rPr>
        <w:tab/>
        <w:t xml:space="preserve">      (2.1)</w:t>
      </w:r>
    </w:p>
    <w:p w14:paraId="143BF76D" w14:textId="77777777" w:rsidR="00136F08" w:rsidRPr="000B3AEE" w:rsidRDefault="00136F08" w:rsidP="00136F08">
      <w:pPr>
        <w:pStyle w:val="TextIndent"/>
        <w:rPr>
          <w:lang w:val="en-IN"/>
        </w:rPr>
      </w:pPr>
    </w:p>
    <w:p w14:paraId="58412B19" w14:textId="77777777" w:rsidR="0077777F" w:rsidRPr="000B3AEE" w:rsidRDefault="0077777F" w:rsidP="0077777F">
      <w:pPr>
        <w:pStyle w:val="TextIndent"/>
      </w:pPr>
      <w:r w:rsidRPr="000B3AEE">
        <w:t>Where C is the coagulation coefficient, A</w:t>
      </w:r>
      <w:r w:rsidRPr="000B3AEE">
        <w:rPr>
          <w:vertAlign w:val="subscript"/>
        </w:rPr>
        <w:t>0</w:t>
      </w:r>
      <w:r w:rsidRPr="000B3AEE">
        <w:t xml:space="preserve"> is the sample's initial turbidity (absorbance) before treatment, and </w:t>
      </w:r>
      <w:r w:rsidRPr="000B3AEE">
        <w:rPr>
          <w:rFonts w:ascii="Cambria Math" w:hAnsi="Cambria Math" w:cs="Cambria Math"/>
        </w:rPr>
        <w:t>𝐴</w:t>
      </w:r>
      <w:r w:rsidRPr="000B3AEE">
        <w:rPr>
          <w:vertAlign w:val="subscript"/>
        </w:rPr>
        <w:t xml:space="preserve">t </w:t>
      </w:r>
      <w:r w:rsidRPr="000B3AEE">
        <w:t>is the turbidity (absorbance) of the supernatant after treatment with the extract.</w:t>
      </w:r>
    </w:p>
    <w:p w14:paraId="6CD8740D" w14:textId="77777777" w:rsidR="00136F08" w:rsidRPr="00136F08" w:rsidRDefault="00136F08" w:rsidP="0077777F">
      <w:pPr>
        <w:pStyle w:val="TextIndent"/>
        <w:ind w:firstLine="0"/>
      </w:pPr>
    </w:p>
    <w:p w14:paraId="7864B401" w14:textId="06DD1DE1" w:rsidR="0077777F" w:rsidRPr="000B3AEE" w:rsidRDefault="0077777F" w:rsidP="0077777F">
      <w:pPr>
        <w:pStyle w:val="Heading2"/>
        <w:rPr>
          <w:b w:val="0"/>
          <w:bCs/>
          <w:i w:val="0"/>
          <w:iCs/>
          <w:szCs w:val="20"/>
        </w:rPr>
      </w:pPr>
      <w:r w:rsidRPr="000B3AEE">
        <w:rPr>
          <w:bCs/>
          <w:iCs/>
          <w:szCs w:val="20"/>
        </w:rPr>
        <w:t>Investigation of anti-bacterial properties</w:t>
      </w:r>
    </w:p>
    <w:p w14:paraId="247B81BB" w14:textId="2A42E4C7" w:rsidR="00480A62" w:rsidRDefault="0077777F" w:rsidP="0077777F">
      <w:pPr>
        <w:pStyle w:val="Text"/>
      </w:pPr>
      <w:r w:rsidRPr="0077777F">
        <w:t xml:space="preserve">The most effective concentrations of both the PE's antibacterial properties were assessed. Following Jenkins and Maddocks, 2019, the disc diffusion method was carried out to evaluate antibacterial effects against </w:t>
      </w:r>
      <w:r w:rsidRPr="0077777F">
        <w:rPr>
          <w:i/>
          <w:iCs/>
        </w:rPr>
        <w:t>Escherichia coli</w:t>
      </w:r>
      <w:r w:rsidRPr="0077777F">
        <w:t xml:space="preserve"> (</w:t>
      </w:r>
      <w:r w:rsidRPr="0077777F">
        <w:rPr>
          <w:i/>
          <w:iCs/>
        </w:rPr>
        <w:t>E. coli</w:t>
      </w:r>
      <w:r w:rsidRPr="0077777F">
        <w:t xml:space="preserve">), </w:t>
      </w:r>
      <w:r w:rsidRPr="0077777F">
        <w:rPr>
          <w:i/>
          <w:iCs/>
        </w:rPr>
        <w:t>Staphylococcus aureus</w:t>
      </w:r>
      <w:r w:rsidRPr="0077777F">
        <w:t xml:space="preserve"> (</w:t>
      </w:r>
      <w:r w:rsidRPr="0077777F">
        <w:rPr>
          <w:i/>
          <w:iCs/>
        </w:rPr>
        <w:t>S.</w:t>
      </w:r>
      <w:r w:rsidRPr="0077777F">
        <w:t xml:space="preserve"> </w:t>
      </w:r>
      <w:r w:rsidRPr="0077777F">
        <w:rPr>
          <w:i/>
          <w:iCs/>
        </w:rPr>
        <w:t>aureus</w:t>
      </w:r>
      <w:r w:rsidRPr="0077777F">
        <w:t xml:space="preserve">), and </w:t>
      </w:r>
      <w:r w:rsidRPr="0077777F">
        <w:rPr>
          <w:i/>
          <w:iCs/>
        </w:rPr>
        <w:t>Pseudomonas aeruginosa</w:t>
      </w:r>
      <w:r w:rsidRPr="0077777F">
        <w:t xml:space="preserve"> (</w:t>
      </w:r>
      <w:r w:rsidRPr="0077777F">
        <w:rPr>
          <w:i/>
          <w:iCs/>
        </w:rPr>
        <w:t>P. aeruginosa</w:t>
      </w:r>
      <w:r w:rsidRPr="0077777F">
        <w:t>). PE, 1% Ampicillin, and 0.00001% Ciprofloxacin and sterile water were used as the test sample, positive and negative control, respectively. Zones of inhibition were observed after a 24-hour incubation period at 37°C. The experiment was repeated using the effective PE combination concentrations.</w:t>
      </w:r>
    </w:p>
    <w:p w14:paraId="61281186" w14:textId="77777777" w:rsidR="0077777F" w:rsidRDefault="0077777F" w:rsidP="0077777F">
      <w:pPr>
        <w:pStyle w:val="Text"/>
      </w:pPr>
    </w:p>
    <w:p w14:paraId="5D2EDFD6" w14:textId="77777777" w:rsidR="0077777F" w:rsidRPr="000B3AEE" w:rsidRDefault="0077777F" w:rsidP="0077777F">
      <w:pPr>
        <w:pStyle w:val="Heading2"/>
        <w:rPr>
          <w:b w:val="0"/>
          <w:bCs/>
          <w:i w:val="0"/>
          <w:iCs/>
          <w:szCs w:val="20"/>
        </w:rPr>
      </w:pPr>
      <w:r w:rsidRPr="000B3AEE">
        <w:rPr>
          <w:bCs/>
          <w:iCs/>
          <w:szCs w:val="20"/>
        </w:rPr>
        <w:t>Investigation of cytotoxic properties</w:t>
      </w:r>
    </w:p>
    <w:p w14:paraId="6605E822" w14:textId="192C1D86" w:rsidR="0077777F" w:rsidRDefault="0077777F" w:rsidP="0077777F">
      <w:pPr>
        <w:pStyle w:val="Text"/>
      </w:pPr>
      <w:r w:rsidRPr="0077777F">
        <w:t>The toxicity of the effective PE’s was evaluated using the brine shrimp (</w:t>
      </w:r>
      <w:r w:rsidRPr="0077777F">
        <w:rPr>
          <w:i/>
          <w:iCs/>
        </w:rPr>
        <w:t>Artemia salina</w:t>
      </w:r>
      <w:r w:rsidRPr="0077777F">
        <w:t xml:space="preserve">) lethality assay as described by </w:t>
      </w:r>
      <w:proofErr w:type="spellStart"/>
      <w:r w:rsidRPr="0077777F">
        <w:t>Daruliza</w:t>
      </w:r>
      <w:proofErr w:type="spellEnd"/>
      <w:r w:rsidRPr="0077777F">
        <w:t xml:space="preserve"> </w:t>
      </w:r>
      <w:r w:rsidRPr="00F81AD7">
        <w:rPr>
          <w:i/>
          <w:iCs/>
        </w:rPr>
        <w:t>et al</w:t>
      </w:r>
      <w:r w:rsidRPr="0077777F">
        <w:t>., 2011. Each well of a 96-well plate had 40μl of seawater and 60μl of the effective concentration of PE, followed by an aliquot of 200μL of seawater containing 10 nauplii. Sea water was the negative control, while H</w:t>
      </w:r>
      <w:r w:rsidRPr="0077777F">
        <w:rPr>
          <w:vertAlign w:val="subscript"/>
        </w:rPr>
        <w:t>2</w:t>
      </w:r>
      <w:r w:rsidRPr="0077777F">
        <w:t>O</w:t>
      </w:r>
      <w:r w:rsidRPr="0077777F">
        <w:rPr>
          <w:vertAlign w:val="subscript"/>
        </w:rPr>
        <w:t>2</w:t>
      </w:r>
      <w:r w:rsidRPr="0077777F">
        <w:t xml:space="preserve"> was the positive control. After 24 hours, the mortality percentage of the brine shrimp was observed and calculated using:</w:t>
      </w:r>
    </w:p>
    <w:p w14:paraId="7AC24BC7" w14:textId="77777777" w:rsidR="00E613B9" w:rsidRPr="00E613B9" w:rsidRDefault="00E613B9" w:rsidP="00E613B9">
      <w:pPr>
        <w:pStyle w:val="Equation"/>
        <w:jc w:val="center"/>
      </w:pPr>
      <w:r w:rsidRPr="00E613B9">
        <w:rPr>
          <w:lang w:eastAsia="en-GB"/>
        </w:rPr>
        <w:t xml:space="preserve">Mortality (%) = </w:t>
      </w:r>
      <m:oMath>
        <m:f>
          <m:fPr>
            <m:ctrlPr>
              <w:rPr>
                <w:rFonts w:ascii="Cambria Math" w:hAnsi="Cambria Math"/>
                <w:lang w:eastAsia="en-GB"/>
              </w:rPr>
            </m:ctrlPr>
          </m:fPr>
          <m:num>
            <m:sSub>
              <m:sSubPr>
                <m:ctrlPr>
                  <w:rPr>
                    <w:rFonts w:ascii="Cambria Math" w:hAnsi="Cambria Math"/>
                    <w:lang w:eastAsia="en-GB"/>
                  </w:rPr>
                </m:ctrlPr>
              </m:sSubPr>
              <m:e>
                <m:r>
                  <w:rPr>
                    <w:rFonts w:ascii="Cambria Math" w:hAnsi="Cambria Math"/>
                  </w:rPr>
                  <m:t>N</m:t>
                </m:r>
              </m:e>
              <m:sub>
                <m:r>
                  <m:rPr>
                    <m:sty m:val="p"/>
                  </m:rPr>
                  <w:rPr>
                    <w:rFonts w:ascii="Cambria Math" w:hAnsi="Cambria Math"/>
                  </w:rPr>
                  <m:t>0</m:t>
                </m:r>
              </m:sub>
            </m:sSub>
            <m:r>
              <m:rPr>
                <m:sty m:val="p"/>
              </m:rPr>
              <w:rPr>
                <w:rFonts w:ascii="Cambria Math" w:hAnsi="Cambria Math"/>
              </w:rPr>
              <m:t>-</m:t>
            </m:r>
            <m:sSub>
              <m:sSubPr>
                <m:ctrlPr>
                  <w:rPr>
                    <w:rFonts w:ascii="Cambria Math" w:hAnsi="Cambria Math"/>
                    <w:lang w:eastAsia="en-GB"/>
                  </w:rPr>
                </m:ctrlPr>
              </m:sSubPr>
              <m:e>
                <m:r>
                  <w:rPr>
                    <w:rFonts w:ascii="Cambria Math" w:hAnsi="Cambria Math"/>
                  </w:rPr>
                  <m:t>N</m:t>
                </m:r>
              </m:e>
              <m:sub>
                <m:r>
                  <w:rPr>
                    <w:rFonts w:ascii="Cambria Math" w:hAnsi="Cambria Math"/>
                  </w:rPr>
                  <m:t>a</m:t>
                </m:r>
              </m:sub>
            </m:sSub>
          </m:num>
          <m:den>
            <m:sSub>
              <m:sSubPr>
                <m:ctrlPr>
                  <w:rPr>
                    <w:rFonts w:ascii="Cambria Math" w:hAnsi="Cambria Math"/>
                    <w:lang w:eastAsia="en-GB"/>
                  </w:rPr>
                </m:ctrlPr>
              </m:sSubPr>
              <m:e>
                <m:r>
                  <w:rPr>
                    <w:rFonts w:ascii="Cambria Math" w:hAnsi="Cambria Math"/>
                  </w:rPr>
                  <m:t>N</m:t>
                </m:r>
              </m:e>
              <m:sub>
                <m:r>
                  <m:rPr>
                    <m:sty m:val="p"/>
                  </m:rPr>
                  <w:rPr>
                    <w:rFonts w:ascii="Cambria Math" w:hAnsi="Cambria Math"/>
                  </w:rPr>
                  <m:t>0</m:t>
                </m:r>
              </m:sub>
            </m:sSub>
          </m:den>
        </m:f>
        <m:r>
          <m:rPr>
            <m:sty m:val="p"/>
          </m:rPr>
          <w:rPr>
            <w:rFonts w:ascii="Cambria Math" w:hAnsi="Cambria Math"/>
          </w:rPr>
          <m:t>×100</m:t>
        </m:r>
      </m:oMath>
    </w:p>
    <w:p w14:paraId="3A07E5CF" w14:textId="33C6C9E4" w:rsidR="00E613B9" w:rsidRDefault="00E613B9" w:rsidP="00E613B9">
      <w:pPr>
        <w:pStyle w:val="Equation"/>
      </w:pPr>
      <w:r>
        <w:tab/>
      </w:r>
      <w:r>
        <w:tab/>
        <w:t>(2.2)</w:t>
      </w:r>
    </w:p>
    <w:p w14:paraId="6549B491" w14:textId="77777777" w:rsidR="00E613B9" w:rsidRPr="000B3AEE" w:rsidRDefault="00E613B9" w:rsidP="00E613B9">
      <w:pPr>
        <w:pStyle w:val="TextIndent"/>
      </w:pPr>
      <w:r w:rsidRPr="000B3AEE">
        <w:t xml:space="preserve">Where </w:t>
      </w:r>
      <w:r w:rsidRPr="000B3AEE">
        <w:rPr>
          <w:i/>
        </w:rPr>
        <w:t>N</w:t>
      </w:r>
      <w:r w:rsidRPr="000B3AEE">
        <w:rPr>
          <w:i/>
          <w:vertAlign w:val="subscript"/>
        </w:rPr>
        <w:t>0</w:t>
      </w:r>
      <w:r w:rsidRPr="000B3AEE">
        <w:rPr>
          <w:vertAlign w:val="subscript"/>
        </w:rPr>
        <w:t xml:space="preserve"> </w:t>
      </w:r>
      <w:r w:rsidRPr="000B3AEE">
        <w:t xml:space="preserve">is the total number of nauplii added, and </w:t>
      </w:r>
      <w:r w:rsidRPr="000B3AEE">
        <w:rPr>
          <w:i/>
        </w:rPr>
        <w:t>N</w:t>
      </w:r>
      <w:r w:rsidRPr="000B3AEE">
        <w:rPr>
          <w:i/>
          <w:vertAlign w:val="subscript"/>
        </w:rPr>
        <w:t>a</w:t>
      </w:r>
      <w:r w:rsidRPr="000B3AEE">
        <w:rPr>
          <w:i/>
        </w:rPr>
        <w:t xml:space="preserve"> </w:t>
      </w:r>
      <w:r w:rsidRPr="000B3AEE">
        <w:t>is the number of</w:t>
      </w:r>
      <w:r w:rsidRPr="000B3AEE">
        <w:rPr>
          <w:i/>
        </w:rPr>
        <w:t xml:space="preserve"> </w:t>
      </w:r>
      <w:r w:rsidRPr="000B3AEE">
        <w:t>nauplii alive after 24 hours.</w:t>
      </w:r>
    </w:p>
    <w:p w14:paraId="57376C30" w14:textId="77777777" w:rsidR="00E613B9" w:rsidRDefault="00E613B9" w:rsidP="00E613B9">
      <w:pPr>
        <w:pStyle w:val="TextIndent"/>
      </w:pPr>
    </w:p>
    <w:p w14:paraId="3467B8DA" w14:textId="77777777" w:rsidR="00E613B9" w:rsidRPr="000B3AEE" w:rsidRDefault="00E613B9" w:rsidP="00E613B9">
      <w:pPr>
        <w:pStyle w:val="Heading2"/>
        <w:rPr>
          <w:b w:val="0"/>
          <w:bCs/>
          <w:i w:val="0"/>
          <w:iCs/>
          <w:szCs w:val="20"/>
        </w:rPr>
      </w:pPr>
      <w:r w:rsidRPr="000B3AEE">
        <w:rPr>
          <w:bCs/>
          <w:iCs/>
          <w:szCs w:val="20"/>
        </w:rPr>
        <w:t>Statistical Analysis</w:t>
      </w:r>
    </w:p>
    <w:p w14:paraId="07DBE8C5" w14:textId="77777777" w:rsidR="00E613B9" w:rsidRPr="000B3AEE" w:rsidRDefault="00E613B9" w:rsidP="00E613B9">
      <w:pPr>
        <w:pStyle w:val="Text"/>
      </w:pPr>
      <w:r w:rsidRPr="000B3AEE">
        <w:t>All experiments were carried out in triplicate. Data analysis was conducted with RStudio (version 2022.12.0+353 – ‘Elsbeth Geranium’), where p &lt; 0.05 represents a significant difference. To evaluate the coagulation efficiency of the PEs, the paired t-test and Wilcoxon signed-rank exact test were carried out. To evaluate the results of the cytotoxicity assay, the paired t-test and Wilcoxon signed rank test with continuity correction were executed.</w:t>
      </w:r>
    </w:p>
    <w:p w14:paraId="151A7E30" w14:textId="77777777" w:rsidR="00E613B9" w:rsidRDefault="00E613B9" w:rsidP="00E613B9">
      <w:pPr>
        <w:pStyle w:val="Text"/>
      </w:pPr>
    </w:p>
    <w:p w14:paraId="514EBC1D" w14:textId="77777777" w:rsidR="00E613B9" w:rsidRPr="000B3AEE" w:rsidRDefault="00E613B9" w:rsidP="00E613B9">
      <w:pPr>
        <w:pStyle w:val="Heading1"/>
        <w:rPr>
          <w:b w:val="0"/>
          <w:bCs/>
          <w:szCs w:val="20"/>
        </w:rPr>
      </w:pPr>
      <w:r w:rsidRPr="000B3AEE">
        <w:rPr>
          <w:bCs/>
          <w:szCs w:val="20"/>
        </w:rPr>
        <w:t>Results And Discussion</w:t>
      </w:r>
    </w:p>
    <w:p w14:paraId="42057ECE" w14:textId="77777777" w:rsidR="00E613B9" w:rsidRPr="000B3AEE" w:rsidRDefault="00E613B9" w:rsidP="00E613B9">
      <w:pPr>
        <w:pStyle w:val="Heading2"/>
        <w:rPr>
          <w:b w:val="0"/>
          <w:bCs/>
          <w:i w:val="0"/>
          <w:iCs/>
          <w:szCs w:val="20"/>
        </w:rPr>
      </w:pPr>
      <w:r w:rsidRPr="000B3AEE">
        <w:rPr>
          <w:bCs/>
          <w:iCs/>
          <w:szCs w:val="20"/>
        </w:rPr>
        <w:t>The Effect of the Natural Coagulants on Turbidity</w:t>
      </w:r>
    </w:p>
    <w:p w14:paraId="6FA2BD8D" w14:textId="19FDEE63" w:rsidR="00E613B9" w:rsidRDefault="00E613B9" w:rsidP="00E613B9">
      <w:pPr>
        <w:pStyle w:val="Text"/>
      </w:pPr>
      <w:r w:rsidRPr="00E613B9">
        <w:t xml:space="preserve">Coagulation is the chemical process that </w:t>
      </w:r>
      <w:r w:rsidR="006B39DF" w:rsidRPr="00E613B9">
        <w:t>neutralizes</w:t>
      </w:r>
      <w:r w:rsidRPr="00E613B9">
        <w:t xml:space="preserve"> the pollutant's charge in water. This allows them to form interparticle bridges, resulting in floc formation (Owodunni and Ismail, 2021). Flocculation is the physical process where the flocs cluster together. Throughout this process, rapid and slow mixing is provided to uniformly </w:t>
      </w:r>
      <w:r w:rsidRPr="00E613B9">
        <w:lastRenderedPageBreak/>
        <w:t xml:space="preserve">distribute the coagulant, ensuring it interacts with the pollutants and forms floc-to-floc interparticle bridging. A rest period allows the flocs to sediment. The type of coagulant, mixing speed, and wastewater affect the efficacy of this process. The concentration of the coagulant </w:t>
      </w:r>
      <w:r w:rsidR="006B39DF" w:rsidRPr="00E613B9">
        <w:t>utilized</w:t>
      </w:r>
      <w:r w:rsidRPr="00E613B9">
        <w:t xml:space="preserve"> is also considered when determining the efficiency of the coagulation process (Lemma </w:t>
      </w:r>
      <w:r w:rsidRPr="00A9454D">
        <w:rPr>
          <w:i/>
          <w:iCs/>
        </w:rPr>
        <w:t>et al</w:t>
      </w:r>
      <w:r w:rsidRPr="00E613B9">
        <w:t xml:space="preserve">., 2024). Thus, a range of four concentrations per coagulant extract was prepared by dilution to establish the optimum concentration of </w:t>
      </w:r>
      <w:r w:rsidRPr="00E613B9">
        <w:rPr>
          <w:i/>
          <w:iCs/>
        </w:rPr>
        <w:t xml:space="preserve">A. </w:t>
      </w:r>
      <w:proofErr w:type="spellStart"/>
      <w:r w:rsidRPr="00E613B9">
        <w:rPr>
          <w:i/>
          <w:iCs/>
        </w:rPr>
        <w:t>altilis</w:t>
      </w:r>
      <w:proofErr w:type="spellEnd"/>
      <w:r w:rsidRPr="00E613B9">
        <w:t xml:space="preserve"> and </w:t>
      </w:r>
      <w:r w:rsidRPr="00E613B9">
        <w:rPr>
          <w:i/>
          <w:iCs/>
        </w:rPr>
        <w:t xml:space="preserve">N. </w:t>
      </w:r>
      <w:proofErr w:type="spellStart"/>
      <w:r w:rsidRPr="00E613B9">
        <w:rPr>
          <w:i/>
          <w:iCs/>
        </w:rPr>
        <w:t>nouchali</w:t>
      </w:r>
      <w:proofErr w:type="spellEnd"/>
      <w:r w:rsidRPr="00E613B9">
        <w:t xml:space="preserve"> as individual coagulants and as a mixed extract. Turbidity was measured as absorbance. </w:t>
      </w:r>
      <w:r w:rsidR="0087703F">
        <w:t xml:space="preserve">The experiment was performed in triplicate (n = 3), and data are expressed as mean ± SD. Statistical analysis was carried out using one-way ANOVA followed by Tukey’s HSD post-hoc test, with p &lt; 0.05 considered as statistically significant. </w:t>
      </w:r>
      <w:r w:rsidRPr="00E613B9">
        <w:t>Fig</w:t>
      </w:r>
      <w:r>
        <w:t>.</w:t>
      </w:r>
      <w:r w:rsidRPr="00E613B9">
        <w:t xml:space="preserve"> 1 and 2 depict the coagulation efficiency (%) of </w:t>
      </w:r>
      <w:r w:rsidRPr="00E613B9">
        <w:rPr>
          <w:i/>
          <w:iCs/>
        </w:rPr>
        <w:t xml:space="preserve">A. </w:t>
      </w:r>
      <w:proofErr w:type="spellStart"/>
      <w:r w:rsidRPr="00E613B9">
        <w:rPr>
          <w:i/>
          <w:iCs/>
        </w:rPr>
        <w:t>altilis</w:t>
      </w:r>
      <w:proofErr w:type="spellEnd"/>
      <w:r w:rsidRPr="00E613B9">
        <w:t xml:space="preserve"> and </w:t>
      </w:r>
      <w:r w:rsidRPr="00E613B9">
        <w:rPr>
          <w:i/>
          <w:iCs/>
        </w:rPr>
        <w:t xml:space="preserve">N. </w:t>
      </w:r>
      <w:proofErr w:type="spellStart"/>
      <w:r w:rsidRPr="00E613B9">
        <w:rPr>
          <w:i/>
          <w:iCs/>
        </w:rPr>
        <w:t>nouchali</w:t>
      </w:r>
      <w:proofErr w:type="spellEnd"/>
      <w:r w:rsidRPr="00E613B9">
        <w:t xml:space="preserve"> as individual agents, in reducing the turbidity of the synthetic turbid water, respectively. The coagulant concentrations that resulted in a significant decrease (p&lt;0.05) in turbidity were combined and used as a mixed extract (</w:t>
      </w:r>
      <w:r>
        <w:t xml:space="preserve">see </w:t>
      </w:r>
      <w:r w:rsidRPr="00E613B9">
        <w:t>Fig</w:t>
      </w:r>
      <w:r>
        <w:t>.</w:t>
      </w:r>
      <w:r w:rsidRPr="00E613B9">
        <w:t xml:space="preserve"> 3).</w:t>
      </w:r>
    </w:p>
    <w:p w14:paraId="4D57B8A4" w14:textId="00CFF59A" w:rsidR="00E8651B" w:rsidRDefault="00E8651B" w:rsidP="00E613B9">
      <w:pPr>
        <w:pStyle w:val="Text"/>
      </w:pPr>
    </w:p>
    <w:p w14:paraId="4D38AD69" w14:textId="61083B8E" w:rsidR="00E8651B" w:rsidRDefault="00E85D57" w:rsidP="00E613B9">
      <w:pPr>
        <w:pStyle w:val="Text"/>
      </w:pPr>
      <w:r w:rsidRPr="000A2F9A">
        <w:rPr>
          <w:noProof/>
        </w:rPr>
        <w:drawing>
          <wp:anchor distT="0" distB="0" distL="114300" distR="114300" simplePos="0" relativeHeight="251658240" behindDoc="0" locked="0" layoutInCell="1" allowOverlap="1" wp14:anchorId="4E8C626F" wp14:editId="2E41560B">
            <wp:simplePos x="0" y="0"/>
            <wp:positionH relativeFrom="column">
              <wp:posOffset>669290</wp:posOffset>
            </wp:positionH>
            <wp:positionV relativeFrom="paragraph">
              <wp:posOffset>-583777</wp:posOffset>
            </wp:positionV>
            <wp:extent cx="4572000" cy="2235164"/>
            <wp:effectExtent l="0" t="0" r="0" b="635"/>
            <wp:wrapNone/>
            <wp:docPr id="1776693708" name="Picture 1" descr="A graph of a patient's reaction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693708" name="Picture 1" descr="A graph of a patient's reaction  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4572000" cy="2235164"/>
                    </a:xfrm>
                    <a:prstGeom prst="rect">
                      <a:avLst/>
                    </a:prstGeom>
                  </pic:spPr>
                </pic:pic>
              </a:graphicData>
            </a:graphic>
            <wp14:sizeRelH relativeFrom="page">
              <wp14:pctWidth>0</wp14:pctWidth>
            </wp14:sizeRelH>
            <wp14:sizeRelV relativeFrom="page">
              <wp14:pctHeight>0</wp14:pctHeight>
            </wp14:sizeRelV>
          </wp:anchor>
        </w:drawing>
      </w:r>
    </w:p>
    <w:p w14:paraId="30C9E96D" w14:textId="77777777" w:rsidR="00E8651B" w:rsidRDefault="00E8651B" w:rsidP="00E613B9">
      <w:pPr>
        <w:pStyle w:val="Text"/>
      </w:pPr>
    </w:p>
    <w:p w14:paraId="7F196B8C" w14:textId="24318D4D" w:rsidR="00E8651B" w:rsidRDefault="00E8651B" w:rsidP="00E613B9">
      <w:pPr>
        <w:pStyle w:val="Text"/>
      </w:pPr>
    </w:p>
    <w:p w14:paraId="654CED2E" w14:textId="77777777" w:rsidR="00E8651B" w:rsidRDefault="00E8651B" w:rsidP="00E613B9">
      <w:pPr>
        <w:pStyle w:val="Text"/>
      </w:pPr>
    </w:p>
    <w:p w14:paraId="07E6A221" w14:textId="77777777" w:rsidR="00E8651B" w:rsidRDefault="00E8651B" w:rsidP="00E613B9">
      <w:pPr>
        <w:pStyle w:val="Text"/>
      </w:pPr>
    </w:p>
    <w:p w14:paraId="67EE1BCE" w14:textId="77777777" w:rsidR="00E8651B" w:rsidRDefault="00E8651B" w:rsidP="00E613B9">
      <w:pPr>
        <w:pStyle w:val="Text"/>
      </w:pPr>
    </w:p>
    <w:p w14:paraId="01D5D708" w14:textId="77777777" w:rsidR="00E8651B" w:rsidRDefault="00E8651B" w:rsidP="00E613B9">
      <w:pPr>
        <w:pStyle w:val="Text"/>
      </w:pPr>
    </w:p>
    <w:p w14:paraId="36C7D6FA" w14:textId="77777777" w:rsidR="00E8651B" w:rsidRDefault="00E8651B" w:rsidP="00E613B9">
      <w:pPr>
        <w:pStyle w:val="Text"/>
      </w:pPr>
    </w:p>
    <w:p w14:paraId="0E2278F7" w14:textId="56D91505" w:rsidR="00E8651B" w:rsidRDefault="00E8651B" w:rsidP="00E8651B">
      <w:pPr>
        <w:pStyle w:val="Figure"/>
        <w:jc w:val="both"/>
      </w:pPr>
    </w:p>
    <w:p w14:paraId="758E0E44" w14:textId="7554CC54" w:rsidR="00E8651B" w:rsidRDefault="00E8651B" w:rsidP="0087703F">
      <w:pPr>
        <w:pStyle w:val="FigureCaption"/>
      </w:pPr>
      <w:r w:rsidRPr="00E8651B">
        <w:t>Fig</w:t>
      </w:r>
      <w:r>
        <w:t>.</w:t>
      </w:r>
      <w:r w:rsidRPr="00E8651B">
        <w:t xml:space="preserve"> 1. The coagulation efficiency of </w:t>
      </w:r>
      <w:r w:rsidRPr="00A9454D">
        <w:rPr>
          <w:i/>
          <w:iCs/>
        </w:rPr>
        <w:t xml:space="preserve">A. </w:t>
      </w:r>
      <w:proofErr w:type="spellStart"/>
      <w:r w:rsidRPr="00A9454D">
        <w:rPr>
          <w:i/>
          <w:iCs/>
        </w:rPr>
        <w:t>altilis</w:t>
      </w:r>
      <w:proofErr w:type="spellEnd"/>
      <w:r w:rsidRPr="00E8651B">
        <w:t xml:space="preserve"> extract Significant coagulation efficiency compared to the negative control is noted by * on the respective bars (p&lt;0.05).</w:t>
      </w:r>
      <w:r w:rsidR="0087703F">
        <w:t xml:space="preserve"> Values are presented as mean </w:t>
      </w:r>
      <w:r w:rsidR="0087703F" w:rsidRPr="00781212">
        <w:rPr>
          <w:u w:val="single"/>
        </w:rPr>
        <w:t>+</w:t>
      </w:r>
      <w:r w:rsidR="0087703F">
        <w:t xml:space="preserve"> SD (n=3). Error bars represent standard deviation. </w:t>
      </w:r>
    </w:p>
    <w:p w14:paraId="02B7C2BD" w14:textId="77777777" w:rsidR="00E8651B" w:rsidRDefault="00E8651B" w:rsidP="00E613B9">
      <w:pPr>
        <w:pStyle w:val="TextIndent"/>
      </w:pPr>
    </w:p>
    <w:p w14:paraId="4D032783" w14:textId="5DCA895C" w:rsidR="00E8651B" w:rsidRDefault="00E85D57" w:rsidP="00E613B9">
      <w:pPr>
        <w:pStyle w:val="TextIndent"/>
      </w:pPr>
      <w:r w:rsidRPr="000A2F9A">
        <w:rPr>
          <w:noProof/>
        </w:rPr>
        <w:drawing>
          <wp:anchor distT="0" distB="0" distL="114300" distR="114300" simplePos="0" relativeHeight="251659264" behindDoc="0" locked="0" layoutInCell="1" allowOverlap="1" wp14:anchorId="13071385" wp14:editId="0FA6BE92">
            <wp:simplePos x="0" y="0"/>
            <wp:positionH relativeFrom="column">
              <wp:posOffset>720301</wp:posOffset>
            </wp:positionH>
            <wp:positionV relativeFrom="paragraph">
              <wp:posOffset>17568</wp:posOffset>
            </wp:positionV>
            <wp:extent cx="4572000" cy="2367499"/>
            <wp:effectExtent l="0" t="0" r="0" b="0"/>
            <wp:wrapNone/>
            <wp:docPr id="1062188725" name="Picture 2" descr="A graph of a graph showing different types of blue and whit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188725" name="Picture 2" descr="A graph of a graph showing different types of blue and white  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4572000" cy="2367499"/>
                    </a:xfrm>
                    <a:prstGeom prst="rect">
                      <a:avLst/>
                    </a:prstGeom>
                  </pic:spPr>
                </pic:pic>
              </a:graphicData>
            </a:graphic>
            <wp14:sizeRelH relativeFrom="page">
              <wp14:pctWidth>0</wp14:pctWidth>
            </wp14:sizeRelH>
            <wp14:sizeRelV relativeFrom="page">
              <wp14:pctHeight>0</wp14:pctHeight>
            </wp14:sizeRelV>
          </wp:anchor>
        </w:drawing>
      </w:r>
    </w:p>
    <w:p w14:paraId="6F93410C" w14:textId="77777777" w:rsidR="00E8651B" w:rsidRDefault="00E8651B" w:rsidP="00E613B9">
      <w:pPr>
        <w:pStyle w:val="TextIndent"/>
      </w:pPr>
    </w:p>
    <w:p w14:paraId="70A23F70" w14:textId="77777777" w:rsidR="00E8651B" w:rsidRDefault="00E8651B" w:rsidP="00E613B9">
      <w:pPr>
        <w:pStyle w:val="TextIndent"/>
      </w:pPr>
    </w:p>
    <w:p w14:paraId="15194F4F" w14:textId="77777777" w:rsidR="00E8651B" w:rsidRDefault="00E8651B" w:rsidP="00E613B9">
      <w:pPr>
        <w:pStyle w:val="TextIndent"/>
      </w:pPr>
    </w:p>
    <w:p w14:paraId="4977CFD6" w14:textId="77777777" w:rsidR="00E8651B" w:rsidRDefault="00E8651B" w:rsidP="00E613B9">
      <w:pPr>
        <w:pStyle w:val="TextIndent"/>
      </w:pPr>
    </w:p>
    <w:p w14:paraId="3B4ED3E0" w14:textId="77777777" w:rsidR="00E8651B" w:rsidRDefault="00E8651B" w:rsidP="00E613B9">
      <w:pPr>
        <w:pStyle w:val="TextIndent"/>
      </w:pPr>
    </w:p>
    <w:p w14:paraId="0F283206" w14:textId="77777777" w:rsidR="00E8651B" w:rsidRDefault="00E8651B" w:rsidP="00E613B9">
      <w:pPr>
        <w:pStyle w:val="TextIndent"/>
      </w:pPr>
    </w:p>
    <w:p w14:paraId="59030AA3" w14:textId="77777777" w:rsidR="00E8651B" w:rsidRDefault="00E8651B" w:rsidP="00E613B9">
      <w:pPr>
        <w:pStyle w:val="TextIndent"/>
      </w:pPr>
    </w:p>
    <w:p w14:paraId="1927A168" w14:textId="77777777" w:rsidR="00E8651B" w:rsidRDefault="00E8651B" w:rsidP="00E613B9">
      <w:pPr>
        <w:pStyle w:val="TextIndent"/>
      </w:pPr>
    </w:p>
    <w:p w14:paraId="488C7F61" w14:textId="77777777" w:rsidR="00E8651B" w:rsidRDefault="00E8651B" w:rsidP="00E613B9">
      <w:pPr>
        <w:pStyle w:val="TextIndent"/>
      </w:pPr>
    </w:p>
    <w:p w14:paraId="78540194" w14:textId="77777777" w:rsidR="00E8651B" w:rsidRDefault="00E8651B" w:rsidP="00E613B9">
      <w:pPr>
        <w:pStyle w:val="TextIndent"/>
      </w:pPr>
    </w:p>
    <w:p w14:paraId="6B119804" w14:textId="77777777" w:rsidR="00E8651B" w:rsidRDefault="00E8651B" w:rsidP="00E613B9">
      <w:pPr>
        <w:pStyle w:val="TextIndent"/>
      </w:pPr>
    </w:p>
    <w:p w14:paraId="68A7196E" w14:textId="77777777" w:rsidR="00E8651B" w:rsidRDefault="00E8651B" w:rsidP="00E613B9">
      <w:pPr>
        <w:pStyle w:val="TextIndent"/>
      </w:pPr>
    </w:p>
    <w:p w14:paraId="2F98574B" w14:textId="77777777" w:rsidR="00E8651B" w:rsidRDefault="00E8651B" w:rsidP="00E613B9">
      <w:pPr>
        <w:pStyle w:val="TextIndent"/>
      </w:pPr>
    </w:p>
    <w:p w14:paraId="773E9F5B" w14:textId="137DD7BF" w:rsidR="00E8651B" w:rsidRDefault="00E8651B" w:rsidP="0087703F">
      <w:pPr>
        <w:pStyle w:val="Figure"/>
      </w:pPr>
      <w:r w:rsidRPr="00E8651B">
        <w:t>Fig</w:t>
      </w:r>
      <w:r>
        <w:t>.</w:t>
      </w:r>
      <w:r w:rsidRPr="00E8651B">
        <w:t xml:space="preserve"> 2. The coagulation efficiency of </w:t>
      </w:r>
      <w:r w:rsidRPr="00A9454D">
        <w:rPr>
          <w:i/>
          <w:iCs/>
        </w:rPr>
        <w:t xml:space="preserve">N. </w:t>
      </w:r>
      <w:proofErr w:type="spellStart"/>
      <w:r w:rsidRPr="00A9454D">
        <w:rPr>
          <w:i/>
          <w:iCs/>
        </w:rPr>
        <w:t>nouchali</w:t>
      </w:r>
      <w:proofErr w:type="spellEnd"/>
      <w:r w:rsidRPr="00A9454D">
        <w:t>.</w:t>
      </w:r>
      <w:r w:rsidRPr="00E8651B">
        <w:t xml:space="preserve"> Significant coagulation efficiency compared to the negative control is noted by * on the respective bars (p&lt;0.05).</w:t>
      </w:r>
      <w:r w:rsidR="0087703F">
        <w:t xml:space="preserve"> Values are presented as mean </w:t>
      </w:r>
      <w:r w:rsidR="0087703F" w:rsidRPr="00781212">
        <w:rPr>
          <w:u w:val="single"/>
        </w:rPr>
        <w:t>+</w:t>
      </w:r>
      <w:r w:rsidR="0087703F">
        <w:t xml:space="preserve"> SD (n=3). Error bars represent standard deviation.</w:t>
      </w:r>
    </w:p>
    <w:p w14:paraId="638135B9" w14:textId="67D6EF90" w:rsidR="00E8651B" w:rsidRDefault="00E85D57" w:rsidP="00E613B9">
      <w:pPr>
        <w:pStyle w:val="TextIndent"/>
      </w:pPr>
      <w:r w:rsidRPr="000A2F9A">
        <w:rPr>
          <w:noProof/>
          <w:sz w:val="18"/>
          <w:szCs w:val="18"/>
          <w14:ligatures w14:val="standardContextual"/>
        </w:rPr>
        <w:drawing>
          <wp:anchor distT="0" distB="0" distL="114300" distR="114300" simplePos="0" relativeHeight="251660288" behindDoc="0" locked="0" layoutInCell="1" allowOverlap="1" wp14:anchorId="71653B24" wp14:editId="1D495C23">
            <wp:simplePos x="0" y="0"/>
            <wp:positionH relativeFrom="column">
              <wp:posOffset>669706</wp:posOffset>
            </wp:positionH>
            <wp:positionV relativeFrom="paragraph">
              <wp:posOffset>123190</wp:posOffset>
            </wp:positionV>
            <wp:extent cx="4572000" cy="2867788"/>
            <wp:effectExtent l="0" t="0" r="0" b="2540"/>
            <wp:wrapNone/>
            <wp:docPr id="1577403114" name="Picture 2" descr="A graph of positive and negative result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403114" name="Picture 2" descr="A graph of positive and negative results  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572000" cy="2867788"/>
                    </a:xfrm>
                    <a:prstGeom prst="rect">
                      <a:avLst/>
                    </a:prstGeom>
                  </pic:spPr>
                </pic:pic>
              </a:graphicData>
            </a:graphic>
            <wp14:sizeRelH relativeFrom="page">
              <wp14:pctWidth>0</wp14:pctWidth>
            </wp14:sizeRelH>
            <wp14:sizeRelV relativeFrom="page">
              <wp14:pctHeight>0</wp14:pctHeight>
            </wp14:sizeRelV>
          </wp:anchor>
        </w:drawing>
      </w:r>
    </w:p>
    <w:p w14:paraId="1302CA8E" w14:textId="385F85AA" w:rsidR="00E8651B" w:rsidRDefault="00E8651B" w:rsidP="00E613B9">
      <w:pPr>
        <w:pStyle w:val="TextIndent"/>
      </w:pPr>
    </w:p>
    <w:p w14:paraId="337206B1" w14:textId="3190AB06" w:rsidR="00E8651B" w:rsidRDefault="00E8651B" w:rsidP="00E613B9">
      <w:pPr>
        <w:pStyle w:val="TextIndent"/>
      </w:pPr>
    </w:p>
    <w:p w14:paraId="5E6F42EB" w14:textId="77777777" w:rsidR="00E8651B" w:rsidRDefault="00E8651B" w:rsidP="00E613B9">
      <w:pPr>
        <w:pStyle w:val="TextIndent"/>
      </w:pPr>
    </w:p>
    <w:p w14:paraId="29E2F1B7" w14:textId="77777777" w:rsidR="00E8651B" w:rsidRDefault="00E8651B" w:rsidP="00E613B9">
      <w:pPr>
        <w:pStyle w:val="TextIndent"/>
      </w:pPr>
    </w:p>
    <w:p w14:paraId="2F40D939" w14:textId="77777777" w:rsidR="00E8651B" w:rsidRDefault="00E8651B" w:rsidP="00E613B9">
      <w:pPr>
        <w:pStyle w:val="TextIndent"/>
      </w:pPr>
    </w:p>
    <w:p w14:paraId="7F435F84" w14:textId="77777777" w:rsidR="00E8651B" w:rsidRDefault="00E8651B" w:rsidP="00E613B9">
      <w:pPr>
        <w:pStyle w:val="TextIndent"/>
      </w:pPr>
    </w:p>
    <w:p w14:paraId="5B21CCF8" w14:textId="77777777" w:rsidR="00E8651B" w:rsidRDefault="00E8651B" w:rsidP="00E613B9">
      <w:pPr>
        <w:pStyle w:val="TextIndent"/>
      </w:pPr>
    </w:p>
    <w:p w14:paraId="1DAB08BB" w14:textId="77777777" w:rsidR="00E8651B" w:rsidRDefault="00E8651B" w:rsidP="00E613B9">
      <w:pPr>
        <w:pStyle w:val="TextIndent"/>
      </w:pPr>
    </w:p>
    <w:p w14:paraId="106EBE34" w14:textId="77777777" w:rsidR="00E8651B" w:rsidRDefault="00E8651B" w:rsidP="00E613B9">
      <w:pPr>
        <w:pStyle w:val="TextIndent"/>
      </w:pPr>
    </w:p>
    <w:p w14:paraId="21914374" w14:textId="77777777" w:rsidR="00E8651B" w:rsidRDefault="00E8651B" w:rsidP="00E613B9">
      <w:pPr>
        <w:pStyle w:val="TextIndent"/>
      </w:pPr>
    </w:p>
    <w:p w14:paraId="069D0E12" w14:textId="77777777" w:rsidR="00E8651B" w:rsidRDefault="00E8651B" w:rsidP="00E613B9">
      <w:pPr>
        <w:pStyle w:val="TextIndent"/>
      </w:pPr>
    </w:p>
    <w:p w14:paraId="132762B3" w14:textId="77777777" w:rsidR="00E8651B" w:rsidRDefault="00E8651B" w:rsidP="00E613B9">
      <w:pPr>
        <w:pStyle w:val="TextIndent"/>
      </w:pPr>
    </w:p>
    <w:p w14:paraId="4D2AD140" w14:textId="77777777" w:rsidR="00E8651B" w:rsidRDefault="00E8651B" w:rsidP="00E613B9">
      <w:pPr>
        <w:pStyle w:val="TextIndent"/>
      </w:pPr>
    </w:p>
    <w:p w14:paraId="671C7EB8" w14:textId="77777777" w:rsidR="00E8651B" w:rsidRDefault="00E8651B" w:rsidP="00E613B9">
      <w:pPr>
        <w:pStyle w:val="TextIndent"/>
      </w:pPr>
    </w:p>
    <w:p w14:paraId="7A4BA958" w14:textId="77777777" w:rsidR="00E8651B" w:rsidRDefault="00E8651B" w:rsidP="00E613B9">
      <w:pPr>
        <w:pStyle w:val="TextIndent"/>
      </w:pPr>
    </w:p>
    <w:p w14:paraId="4F7EC3BF" w14:textId="77777777" w:rsidR="00E8651B" w:rsidRDefault="00E8651B" w:rsidP="00E613B9">
      <w:pPr>
        <w:pStyle w:val="TextIndent"/>
      </w:pPr>
    </w:p>
    <w:p w14:paraId="20B9DA4D" w14:textId="77777777" w:rsidR="00E8651B" w:rsidRDefault="00E8651B" w:rsidP="00E613B9">
      <w:pPr>
        <w:pStyle w:val="TextIndent"/>
      </w:pPr>
    </w:p>
    <w:p w14:paraId="709352A1" w14:textId="77777777" w:rsidR="00E8651B" w:rsidRDefault="00E8651B" w:rsidP="00E613B9">
      <w:pPr>
        <w:pStyle w:val="TextIndent"/>
      </w:pPr>
    </w:p>
    <w:p w14:paraId="67E96C8F" w14:textId="77777777" w:rsidR="0087703F" w:rsidRDefault="00E8651B" w:rsidP="00E85D57">
      <w:pPr>
        <w:pStyle w:val="FigureCaption"/>
        <w:jc w:val="both"/>
      </w:pPr>
      <w:r w:rsidRPr="00E8651B">
        <w:t>Fig</w:t>
      </w:r>
      <w:r>
        <w:t xml:space="preserve">. </w:t>
      </w:r>
      <w:r w:rsidRPr="00E8651B">
        <w:t xml:space="preserve">3. The coagulation efficiency percentage for </w:t>
      </w:r>
      <w:r w:rsidRPr="00A9454D">
        <w:rPr>
          <w:i/>
          <w:iCs/>
        </w:rPr>
        <w:t xml:space="preserve">N. </w:t>
      </w:r>
      <w:proofErr w:type="spellStart"/>
      <w:r w:rsidRPr="00A9454D">
        <w:rPr>
          <w:i/>
          <w:iCs/>
        </w:rPr>
        <w:t>nouchali</w:t>
      </w:r>
      <w:proofErr w:type="spellEnd"/>
      <w:r w:rsidRPr="00E8651B">
        <w:t xml:space="preserve"> and </w:t>
      </w:r>
      <w:r w:rsidRPr="00A9454D">
        <w:rPr>
          <w:i/>
          <w:iCs/>
        </w:rPr>
        <w:t xml:space="preserve">A. </w:t>
      </w:r>
      <w:proofErr w:type="spellStart"/>
      <w:r w:rsidRPr="00A9454D">
        <w:rPr>
          <w:i/>
          <w:iCs/>
        </w:rPr>
        <w:t>altilis</w:t>
      </w:r>
      <w:proofErr w:type="spellEnd"/>
      <w:r w:rsidRPr="00E8651B">
        <w:t xml:space="preserve"> as mixed extracts. Significant coagulation efficiency compared to the negative control is noted by * on the respective bars (p&lt;0.05).</w:t>
      </w:r>
      <w:r w:rsidR="0087703F">
        <w:t xml:space="preserve"> Values are presented as mean </w:t>
      </w:r>
      <w:r w:rsidR="0087703F" w:rsidRPr="00781212">
        <w:rPr>
          <w:u w:val="single"/>
        </w:rPr>
        <w:t>+</w:t>
      </w:r>
      <w:r w:rsidR="0087703F">
        <w:t xml:space="preserve"> SD (n=3). Error bars represent standard deviation. </w:t>
      </w:r>
    </w:p>
    <w:p w14:paraId="38683325" w14:textId="77777777" w:rsidR="00E8651B" w:rsidRDefault="00E8651B" w:rsidP="00E85D57">
      <w:pPr>
        <w:pStyle w:val="TextIndent"/>
        <w:ind w:firstLine="0"/>
      </w:pPr>
    </w:p>
    <w:p w14:paraId="6CB98918" w14:textId="60AF193D" w:rsidR="00E613B9" w:rsidRDefault="00E613B9" w:rsidP="00E613B9">
      <w:pPr>
        <w:pStyle w:val="TextIndent"/>
      </w:pPr>
      <w:r w:rsidRPr="00E613B9">
        <w:t>The coagulation efficiency was statistically significant at 10</w:t>
      </w:r>
      <w:r w:rsidRPr="00A9454D">
        <w:rPr>
          <w:vertAlign w:val="superscript"/>
        </w:rPr>
        <w:t>-2</w:t>
      </w:r>
      <w:r w:rsidRPr="00E613B9">
        <w:t xml:space="preserve"> g/mL concentration of the </w:t>
      </w:r>
      <w:r w:rsidRPr="00A9454D">
        <w:rPr>
          <w:i/>
          <w:iCs/>
        </w:rPr>
        <w:t xml:space="preserve">N. </w:t>
      </w:r>
      <w:proofErr w:type="spellStart"/>
      <w:r w:rsidRPr="00A9454D">
        <w:rPr>
          <w:i/>
          <w:iCs/>
        </w:rPr>
        <w:t>nouchali</w:t>
      </w:r>
      <w:proofErr w:type="spellEnd"/>
      <w:r w:rsidRPr="00E613B9">
        <w:t xml:space="preserve"> extract, with a mean reduction in absorbance of 11.19% (SD = 2.36) (p&lt;0.05). The </w:t>
      </w:r>
      <w:r w:rsidRPr="00A9454D">
        <w:rPr>
          <w:i/>
          <w:iCs/>
        </w:rPr>
        <w:t xml:space="preserve">A. </w:t>
      </w:r>
      <w:proofErr w:type="spellStart"/>
      <w:r w:rsidRPr="00A9454D">
        <w:rPr>
          <w:i/>
          <w:iCs/>
        </w:rPr>
        <w:t>altilis</w:t>
      </w:r>
      <w:proofErr w:type="spellEnd"/>
      <w:r w:rsidRPr="00E613B9">
        <w:t xml:space="preserve"> concentration with the most statistically significant difference in coagulation efficiency was at 10</w:t>
      </w:r>
      <w:r w:rsidRPr="00A9454D">
        <w:rPr>
          <w:vertAlign w:val="superscript"/>
        </w:rPr>
        <w:t>-1</w:t>
      </w:r>
      <w:r w:rsidRPr="00E613B9">
        <w:t xml:space="preserve"> g/mL and had a mean reduction in absorbance of 21.63% (SD = 9.88) (p&lt;0.05). However, the positive control (FeCl</w:t>
      </w:r>
      <w:r w:rsidRPr="00A9454D">
        <w:rPr>
          <w:vertAlign w:val="subscript"/>
        </w:rPr>
        <w:t>3</w:t>
      </w:r>
      <w:r w:rsidRPr="00E613B9">
        <w:t xml:space="preserve">) had a significant reduction in turbidity of 84.10% (SD = 2.42) (p&lt;0.05). Based on these results, the extracts with the highest concentration of the coagulant showed the most significant difference in turbidity reduction. Similar results were reported by Desta and Bote, 2021, who used Moringa oleifera powder to treat domestic wastewater. They reported that a dosage of 0.4 g/500 mL was optimal for turbidity removal, with a 99.99% removal in basic water and 95.99% in acidic water. Alternatively, the dosage of okra mucilage had no significant difference in turbidity removal (Freitas </w:t>
      </w:r>
      <w:r w:rsidRPr="00A9454D">
        <w:rPr>
          <w:i/>
          <w:iCs/>
        </w:rPr>
        <w:t>et al</w:t>
      </w:r>
      <w:r w:rsidRPr="00E613B9">
        <w:t>., 2015).</w:t>
      </w:r>
    </w:p>
    <w:p w14:paraId="37A7BE06" w14:textId="77777777" w:rsidR="00E613B9" w:rsidRDefault="00E613B9" w:rsidP="00E613B9">
      <w:pPr>
        <w:pStyle w:val="TextIndent"/>
      </w:pPr>
      <w:r w:rsidRPr="00E613B9">
        <w:t>The mixed extracts indicated that the coagulation efficiency was statistically significant at 10</w:t>
      </w:r>
      <w:r w:rsidRPr="00A9454D">
        <w:rPr>
          <w:vertAlign w:val="superscript"/>
        </w:rPr>
        <w:t>-3</w:t>
      </w:r>
      <w:r w:rsidRPr="00E613B9">
        <w:t xml:space="preserve"> g/mL, with a mean absorbance reduction of 9.86% (p&lt;0.05). The mixed extract concentrations of 10</w:t>
      </w:r>
      <w:r w:rsidRPr="00A9454D">
        <w:rPr>
          <w:vertAlign w:val="superscript"/>
        </w:rPr>
        <w:t>-2</w:t>
      </w:r>
      <w:r w:rsidRPr="00E613B9">
        <w:t xml:space="preserve"> g/mL and 10</w:t>
      </w:r>
      <w:r w:rsidRPr="00A9454D">
        <w:rPr>
          <w:vertAlign w:val="superscript"/>
        </w:rPr>
        <w:t>-4</w:t>
      </w:r>
      <w:r w:rsidRPr="00E613B9">
        <w:t xml:space="preserve"> g/mL also had a significant reduction of 5.69% and 4.88%, respectively (p&lt;0.05). Nonetheless, the coagulation efficiency was significantly less in comparison to the positive control (p&lt;0.05).</w:t>
      </w:r>
    </w:p>
    <w:p w14:paraId="15307CD2" w14:textId="573E6426" w:rsidR="00D606B3" w:rsidRPr="00E613B9" w:rsidRDefault="00D606B3" w:rsidP="00E613B9">
      <w:pPr>
        <w:pStyle w:val="TextIndent"/>
      </w:pPr>
      <w:r>
        <w:t>Active compounds, such as amines, hydroxyl groups, and carboxylic acids, are responsible for the coagulation properties seen in plant-based coagulants (</w:t>
      </w:r>
      <w:proofErr w:type="spellStart"/>
      <w:r>
        <w:t>Ravele</w:t>
      </w:r>
      <w:proofErr w:type="spellEnd"/>
      <w:r>
        <w:t xml:space="preserve"> </w:t>
      </w:r>
      <w:r w:rsidRPr="00C1445E">
        <w:rPr>
          <w:i/>
          <w:iCs/>
        </w:rPr>
        <w:t>et al</w:t>
      </w:r>
      <w:r>
        <w:t xml:space="preserve">., 2025). Parimala and Shoba, 2013 reported that </w:t>
      </w:r>
      <w:r w:rsidRPr="00AF4C15">
        <w:rPr>
          <w:i/>
          <w:iCs/>
        </w:rPr>
        <w:t xml:space="preserve">N. </w:t>
      </w:r>
      <w:proofErr w:type="spellStart"/>
      <w:r w:rsidRPr="00AF4C15">
        <w:rPr>
          <w:i/>
          <w:iCs/>
        </w:rPr>
        <w:t>nouchali</w:t>
      </w:r>
      <w:proofErr w:type="spellEnd"/>
      <w:r>
        <w:t xml:space="preserve"> had a composition of 13.92% carbohydrate, 17.47% proteins, and 0.10% lipids. Additionally, its flavonoids, phenolics and tannin composition was </w:t>
      </w:r>
      <w:r w:rsidRPr="00AF4C15">
        <w:t>23.55 ± 1.46 QE/g, 179.56 ± 1.59 GE/g, and 195.84 ± 0.8 GE/g, respectively.</w:t>
      </w:r>
      <w:r>
        <w:t xml:space="preserve"> </w:t>
      </w:r>
      <w:r w:rsidRPr="00F73814">
        <w:rPr>
          <w:i/>
          <w:iCs/>
        </w:rPr>
        <w:t xml:space="preserve">A. </w:t>
      </w:r>
      <w:proofErr w:type="spellStart"/>
      <w:r w:rsidRPr="00F73814">
        <w:rPr>
          <w:i/>
          <w:iCs/>
        </w:rPr>
        <w:t>altilis</w:t>
      </w:r>
      <w:proofErr w:type="spellEnd"/>
      <w:r>
        <w:t xml:space="preserve"> is also composed of macromolecules, such as carbohydrates, proteins, and lipids. </w:t>
      </w:r>
      <w:proofErr w:type="spellStart"/>
      <w:r>
        <w:t>Soifoini</w:t>
      </w:r>
      <w:proofErr w:type="spellEnd"/>
      <w:r>
        <w:t xml:space="preserve"> et al., 2018 found the composition of </w:t>
      </w:r>
      <w:r w:rsidRPr="00F73814">
        <w:rPr>
          <w:i/>
          <w:iCs/>
        </w:rPr>
        <w:t xml:space="preserve">A. </w:t>
      </w:r>
      <w:proofErr w:type="spellStart"/>
      <w:r w:rsidRPr="00F73814">
        <w:rPr>
          <w:i/>
          <w:iCs/>
        </w:rPr>
        <w:t>altilis</w:t>
      </w:r>
      <w:proofErr w:type="spellEnd"/>
      <w:r>
        <w:t xml:space="preserve"> to be 4.64 </w:t>
      </w:r>
      <w:r w:rsidRPr="00AF4C15">
        <w:t>±</w:t>
      </w:r>
      <w:r>
        <w:t xml:space="preserve"> 0.83 g/100 g sugars, 4.44 g/100 g proteins, and 0.77 g/100 g lipids. Further, the tannins, </w:t>
      </w:r>
      <w:proofErr w:type="spellStart"/>
      <w:r>
        <w:t>castalagin</w:t>
      </w:r>
      <w:proofErr w:type="spellEnd"/>
      <w:r>
        <w:t xml:space="preserve"> and </w:t>
      </w:r>
      <w:proofErr w:type="spellStart"/>
      <w:r>
        <w:t>vescalagin</w:t>
      </w:r>
      <w:proofErr w:type="spellEnd"/>
      <w:r>
        <w:t xml:space="preserve">, were one of the phenolic groups that was mainly identified, with a composition of 26.59 </w:t>
      </w:r>
      <w:r w:rsidRPr="00AF4C15">
        <w:t>±</w:t>
      </w:r>
      <w:r>
        <w:t xml:space="preserve"> 5.38 mg/100 g </w:t>
      </w:r>
      <w:proofErr w:type="spellStart"/>
      <w:r>
        <w:t>castalagin</w:t>
      </w:r>
      <w:proofErr w:type="spellEnd"/>
      <w:r>
        <w:t xml:space="preserve"> and 15.99 </w:t>
      </w:r>
      <w:r w:rsidRPr="00AF4C15">
        <w:t>±</w:t>
      </w:r>
      <w:r>
        <w:t xml:space="preserve"> 5.65 mg/100 g </w:t>
      </w:r>
      <w:proofErr w:type="spellStart"/>
      <w:r>
        <w:t>vescalagin</w:t>
      </w:r>
      <w:proofErr w:type="spellEnd"/>
      <w:r>
        <w:t xml:space="preserve">. The composition of active compounds </w:t>
      </w:r>
      <w:r w:rsidR="00E85921">
        <w:t>is</w:t>
      </w:r>
      <w:r>
        <w:t xml:space="preserve"> dependent on the extraction process and the solvent.</w:t>
      </w:r>
    </w:p>
    <w:p w14:paraId="5E0BCDB7" w14:textId="3275D7FF" w:rsidR="00E7146C" w:rsidRPr="000B3AEE" w:rsidRDefault="00E613B9" w:rsidP="00D606B3">
      <w:pPr>
        <w:pStyle w:val="TextIndent"/>
      </w:pPr>
      <w:r w:rsidRPr="000B3AEE">
        <w:t xml:space="preserve">There is limited research on coagulation regarding the plants used in the current study. A study by Salazar-Gámez, 2024 showed that </w:t>
      </w:r>
      <w:r w:rsidRPr="000B3AEE">
        <w:rPr>
          <w:i/>
          <w:iCs/>
        </w:rPr>
        <w:t xml:space="preserve">A. </w:t>
      </w:r>
      <w:proofErr w:type="spellStart"/>
      <w:r w:rsidRPr="000B3AEE">
        <w:rPr>
          <w:i/>
          <w:iCs/>
        </w:rPr>
        <w:t>altilis</w:t>
      </w:r>
      <w:proofErr w:type="spellEnd"/>
      <w:r w:rsidRPr="000B3AEE">
        <w:t xml:space="preserve"> fruit had a 67.2% turbidity removal. However, this study had a mean absorbance reduction of 21.63% for </w:t>
      </w:r>
      <w:r w:rsidRPr="000B3AEE">
        <w:rPr>
          <w:i/>
          <w:iCs/>
        </w:rPr>
        <w:t xml:space="preserve">A. </w:t>
      </w:r>
      <w:proofErr w:type="spellStart"/>
      <w:r w:rsidRPr="000B3AEE">
        <w:rPr>
          <w:i/>
          <w:iCs/>
        </w:rPr>
        <w:t>altilis</w:t>
      </w:r>
      <w:proofErr w:type="spellEnd"/>
      <w:r w:rsidRPr="000B3AEE">
        <w:t xml:space="preserve"> inner peel. Similarly, there is no research on the coagulation properties of </w:t>
      </w:r>
      <w:r w:rsidRPr="000B3AEE">
        <w:rPr>
          <w:i/>
          <w:iCs/>
        </w:rPr>
        <w:t xml:space="preserve">N. </w:t>
      </w:r>
      <w:proofErr w:type="spellStart"/>
      <w:r w:rsidRPr="000B3AEE">
        <w:rPr>
          <w:i/>
          <w:iCs/>
        </w:rPr>
        <w:t>nouchali</w:t>
      </w:r>
      <w:proofErr w:type="spellEnd"/>
      <w:r w:rsidRPr="000B3AEE">
        <w:t xml:space="preserve">, specifically the stem. As </w:t>
      </w:r>
      <w:r w:rsidRPr="000B3AEE">
        <w:rPr>
          <w:i/>
          <w:iCs/>
        </w:rPr>
        <w:t xml:space="preserve">A. </w:t>
      </w:r>
      <w:proofErr w:type="spellStart"/>
      <w:r w:rsidRPr="000B3AEE">
        <w:rPr>
          <w:i/>
          <w:iCs/>
        </w:rPr>
        <w:t>altilis</w:t>
      </w:r>
      <w:proofErr w:type="spellEnd"/>
      <w:r w:rsidRPr="000B3AEE">
        <w:t xml:space="preserve"> fruit is a food source, and peel is a waste product, it is important to concentrate on improving the coagulation efficiency of the peel, as it would not affect the sustainability of food source availability. Also, it is important to investigate how to increase the coagulation coefficient of the stem material using different types of sample preparation methods. The use of a water bath shaker to administer mixing may have been aggressive and not uniform, preventing the coagulant from binding to the pollutant's surface area. A more effective concentration may have been found if a wider concentration series had been used. The extraction method used and the differences in the compounds of the peel of </w:t>
      </w:r>
      <w:r w:rsidRPr="000B3AEE">
        <w:rPr>
          <w:i/>
          <w:iCs/>
        </w:rPr>
        <w:t xml:space="preserve">A. </w:t>
      </w:r>
      <w:proofErr w:type="spellStart"/>
      <w:r w:rsidRPr="000B3AEE">
        <w:rPr>
          <w:i/>
          <w:iCs/>
        </w:rPr>
        <w:t>altilis</w:t>
      </w:r>
      <w:proofErr w:type="spellEnd"/>
      <w:r w:rsidRPr="000B3AEE">
        <w:t xml:space="preserve"> inner </w:t>
      </w:r>
      <w:r w:rsidRPr="000B3AEE">
        <w:lastRenderedPageBreak/>
        <w:t xml:space="preserve">peel and the </w:t>
      </w:r>
      <w:r w:rsidRPr="000B3AEE">
        <w:rPr>
          <w:i/>
          <w:iCs/>
        </w:rPr>
        <w:t xml:space="preserve">N. </w:t>
      </w:r>
      <w:proofErr w:type="spellStart"/>
      <w:r w:rsidRPr="000B3AEE">
        <w:rPr>
          <w:i/>
          <w:iCs/>
        </w:rPr>
        <w:t>nouchali</w:t>
      </w:r>
      <w:proofErr w:type="spellEnd"/>
      <w:r w:rsidRPr="000B3AEE">
        <w:t xml:space="preserve"> stem may have limited the final coagulant properties. Thus, further research into obtaining a pure extract or </w:t>
      </w:r>
      <w:r w:rsidR="00A9454D" w:rsidRPr="000B3AEE">
        <w:t>utilizing</w:t>
      </w:r>
      <w:r w:rsidRPr="000B3AEE">
        <w:t xml:space="preserve"> a different form of the plant (freeze-dried or sun-dried) may prove advanced results. </w:t>
      </w:r>
    </w:p>
    <w:p w14:paraId="7FF7BF2C" w14:textId="77777777" w:rsidR="00E613B9" w:rsidRDefault="00E613B9" w:rsidP="00E613B9">
      <w:pPr>
        <w:pStyle w:val="TextIndent"/>
        <w:ind w:firstLine="0"/>
      </w:pPr>
    </w:p>
    <w:p w14:paraId="4636695C" w14:textId="77777777" w:rsidR="00E613B9" w:rsidRPr="000B3AEE" w:rsidRDefault="00E613B9" w:rsidP="00E613B9">
      <w:pPr>
        <w:pStyle w:val="Heading2"/>
        <w:rPr>
          <w:b w:val="0"/>
          <w:bCs/>
          <w:i w:val="0"/>
          <w:iCs/>
          <w:szCs w:val="20"/>
        </w:rPr>
      </w:pPr>
      <w:r w:rsidRPr="000B3AEE">
        <w:rPr>
          <w:bCs/>
          <w:iCs/>
          <w:szCs w:val="20"/>
        </w:rPr>
        <w:t>The Antibacterial Properties of the Extracts</w:t>
      </w:r>
    </w:p>
    <w:p w14:paraId="6A3CE565" w14:textId="77777777" w:rsidR="00E613B9" w:rsidRDefault="00E613B9" w:rsidP="00E613B9">
      <w:pPr>
        <w:pStyle w:val="Text"/>
      </w:pPr>
      <w:r w:rsidRPr="00E613B9">
        <w:t xml:space="preserve">For </w:t>
      </w:r>
      <w:r w:rsidRPr="00A9454D">
        <w:rPr>
          <w:i/>
          <w:iCs/>
        </w:rPr>
        <w:t>E. coli</w:t>
      </w:r>
      <w:r w:rsidRPr="00E613B9">
        <w:t xml:space="preserve"> and </w:t>
      </w:r>
      <w:r w:rsidRPr="00A9454D">
        <w:rPr>
          <w:i/>
          <w:iCs/>
        </w:rPr>
        <w:t>S. aureus</w:t>
      </w:r>
      <w:r w:rsidRPr="00E613B9">
        <w:t xml:space="preserve">, 1% Ampicillin was used as a positive control, while 0.00001% Ciprofloxacin was used for </w:t>
      </w:r>
      <w:r w:rsidRPr="00A9454D">
        <w:rPr>
          <w:i/>
          <w:iCs/>
        </w:rPr>
        <w:t>P. aeruginosa</w:t>
      </w:r>
      <w:r w:rsidRPr="00E613B9">
        <w:t xml:space="preserve">. All three bacterial strains, </w:t>
      </w:r>
      <w:r w:rsidRPr="00A9454D">
        <w:rPr>
          <w:i/>
          <w:iCs/>
        </w:rPr>
        <w:t>E. coli</w:t>
      </w:r>
      <w:r w:rsidRPr="00E613B9">
        <w:t xml:space="preserve">, </w:t>
      </w:r>
      <w:r w:rsidRPr="00A9454D">
        <w:rPr>
          <w:i/>
          <w:iCs/>
        </w:rPr>
        <w:t>S. aureus</w:t>
      </w:r>
      <w:r w:rsidRPr="00E613B9">
        <w:t xml:space="preserve">, and </w:t>
      </w:r>
      <w:r w:rsidRPr="00A9454D">
        <w:rPr>
          <w:i/>
          <w:iCs/>
        </w:rPr>
        <w:t>P. aeruginosa</w:t>
      </w:r>
      <w:r w:rsidRPr="00E613B9">
        <w:t>, showed a mean zone of inhibition of 24.8 ± 2.78 mm, 42.75 ± 2.38 mm, and 40.5 ± 2.64 mm, respectively, for the positive control, indicating that the antibiotics were effective in inhibiting the growth of these strains when exposed. The negative control using sterile water showed no zone of inhibition, indicating that there was no contamination and there was no other variable affecting the results, thus ensuring that the data was reliable. The concentrations of the PEs that had a significant coagulation efficiency were studied to determine their antibacterial effect. However, there was no zone of inhibition produced by either PE, indicating that there was no antibacterial effect.</w:t>
      </w:r>
    </w:p>
    <w:p w14:paraId="409282CC" w14:textId="0FA655A8" w:rsidR="00E613B9" w:rsidRPr="000B3AEE" w:rsidRDefault="00E613B9" w:rsidP="00E613B9">
      <w:pPr>
        <w:pStyle w:val="TextIndent"/>
      </w:pPr>
      <w:r w:rsidRPr="000B3AEE">
        <w:t xml:space="preserve">A study by Banu. A </w:t>
      </w:r>
      <w:r w:rsidRPr="00A9454D">
        <w:rPr>
          <w:i/>
          <w:iCs/>
        </w:rPr>
        <w:t>et al</w:t>
      </w:r>
      <w:r w:rsidRPr="000B3AEE">
        <w:t xml:space="preserve">., 2021 investigated the antibacterial properties of the pulp and the peel of </w:t>
      </w:r>
      <w:r w:rsidRPr="000B3AEE">
        <w:rPr>
          <w:i/>
          <w:iCs/>
        </w:rPr>
        <w:t xml:space="preserve">A. </w:t>
      </w:r>
      <w:proofErr w:type="spellStart"/>
      <w:r w:rsidRPr="000B3AEE">
        <w:rPr>
          <w:i/>
          <w:iCs/>
        </w:rPr>
        <w:t>altilis</w:t>
      </w:r>
      <w:proofErr w:type="spellEnd"/>
      <w:r w:rsidRPr="000B3AEE">
        <w:t xml:space="preserve">. They reported that while the antibacterial activity increased with increasing extract concentrations of the pulp and peel, the peel extract had a higher inhibitory potential. For example, when testing against </w:t>
      </w:r>
      <w:r w:rsidRPr="000B3AEE">
        <w:rPr>
          <w:i/>
          <w:iCs/>
        </w:rPr>
        <w:t>S. aureus</w:t>
      </w:r>
      <w:r w:rsidRPr="000B3AEE">
        <w:t xml:space="preserve">, the peel had a maximum inhibitory activity of 23 mm, whereas the pulp was 18 mm. Similarly, the hexane and dichloromethane extracts of the peel had antibacterial activity against </w:t>
      </w:r>
      <w:r w:rsidRPr="000B3AEE">
        <w:rPr>
          <w:i/>
          <w:iCs/>
        </w:rPr>
        <w:t>S. aureus</w:t>
      </w:r>
      <w:r w:rsidRPr="000B3AEE">
        <w:t xml:space="preserve">, but the methanol extract had the highest activity (Jalal </w:t>
      </w:r>
      <w:r w:rsidRPr="00A9454D">
        <w:rPr>
          <w:i/>
          <w:iCs/>
        </w:rPr>
        <w:t>et al</w:t>
      </w:r>
      <w:r w:rsidRPr="000B3AEE">
        <w:t xml:space="preserve">., 2015). On the other hand, research on the antibacterial properties of </w:t>
      </w:r>
      <w:r w:rsidRPr="000B3AEE">
        <w:rPr>
          <w:i/>
          <w:iCs/>
        </w:rPr>
        <w:t xml:space="preserve">N. </w:t>
      </w:r>
      <w:proofErr w:type="spellStart"/>
      <w:r w:rsidRPr="000B3AEE">
        <w:rPr>
          <w:i/>
          <w:iCs/>
        </w:rPr>
        <w:t>nouchali</w:t>
      </w:r>
      <w:proofErr w:type="spellEnd"/>
      <w:r w:rsidRPr="000B3AEE">
        <w:t xml:space="preserve">, are mostly conducted on the flower and the seeds. One study used the hot percolation method, where the seeds were extracted with ethanol and then evaporated. The seed extract of </w:t>
      </w:r>
      <w:r w:rsidRPr="000B3AEE">
        <w:rPr>
          <w:i/>
          <w:iCs/>
        </w:rPr>
        <w:t xml:space="preserve">N. </w:t>
      </w:r>
      <w:proofErr w:type="spellStart"/>
      <w:r w:rsidRPr="000B3AEE">
        <w:rPr>
          <w:i/>
          <w:iCs/>
        </w:rPr>
        <w:t>nouchali</w:t>
      </w:r>
      <w:proofErr w:type="spellEnd"/>
      <w:r w:rsidRPr="000B3AEE">
        <w:rPr>
          <w:i/>
          <w:iCs/>
        </w:rPr>
        <w:t xml:space="preserve"> </w:t>
      </w:r>
      <w:r w:rsidRPr="000B3AEE">
        <w:t xml:space="preserve">showed high zones of inhibition of 25 mm and 20 mm for </w:t>
      </w:r>
      <w:r w:rsidRPr="000B3AEE">
        <w:rPr>
          <w:i/>
          <w:iCs/>
        </w:rPr>
        <w:t>P. aeruginosa</w:t>
      </w:r>
      <w:r w:rsidRPr="000B3AEE">
        <w:t xml:space="preserve"> and </w:t>
      </w:r>
      <w:r w:rsidRPr="000B3AEE">
        <w:rPr>
          <w:i/>
          <w:iCs/>
        </w:rPr>
        <w:t>S. aureus</w:t>
      </w:r>
      <w:r w:rsidRPr="000B3AEE">
        <w:t>, respectively (Parimala and Shoba</w:t>
      </w:r>
      <w:r w:rsidR="00A9454D">
        <w:t>,</w:t>
      </w:r>
      <w:r w:rsidRPr="000B3AEE">
        <w:t xml:space="preserve"> 2014). Finally, Dash </w:t>
      </w:r>
      <w:r w:rsidRPr="00A9454D">
        <w:rPr>
          <w:i/>
          <w:iCs/>
        </w:rPr>
        <w:t>et al</w:t>
      </w:r>
      <w:r w:rsidRPr="000B3AEE">
        <w:t xml:space="preserve">., 2013 reported that the methanol flower extract had greater antibacterial properties instead of the other extracts </w:t>
      </w:r>
      <w:r w:rsidR="00A9454D" w:rsidRPr="000B3AEE">
        <w:t>utilized</w:t>
      </w:r>
      <w:r w:rsidRPr="000B3AEE">
        <w:t xml:space="preserve">, with a zone of inhibition of 30 ± 0.18 mm against </w:t>
      </w:r>
      <w:r w:rsidRPr="000B3AEE">
        <w:rPr>
          <w:i/>
          <w:iCs/>
        </w:rPr>
        <w:t>B. cereus</w:t>
      </w:r>
      <w:r w:rsidRPr="000B3AEE">
        <w:t>.</w:t>
      </w:r>
    </w:p>
    <w:p w14:paraId="46D07572" w14:textId="68032269" w:rsidR="00E613B9" w:rsidRPr="00E613B9" w:rsidRDefault="00E613B9" w:rsidP="00E613B9">
      <w:pPr>
        <w:pStyle w:val="TextIndent"/>
      </w:pPr>
      <w:r w:rsidRPr="00E613B9">
        <w:t xml:space="preserve">The negative results of the PEs may be due to the narrow range of concentrations used, degradation in storage, and incompatibility of the extraction method. Further studies should be done to </w:t>
      </w:r>
      <w:r w:rsidR="00A9454D" w:rsidRPr="00E613B9">
        <w:t>analyze</w:t>
      </w:r>
      <w:r w:rsidRPr="00E613B9">
        <w:t xml:space="preserve"> if the extraction method, storage conditions, and time have any influence on the antibacterial effect. In addition, testing with different McFarland standard concentrations will be required to ensure a more precise evaluation of the antibacterial activity. This might lead to more potentially positive results by supporting the finding of the optimal bacterial density to determine the PE’s efficacy at various doses. The antibacterial activity is likely due to the presence of secondary metabolites like alkaloids, tannins, steroids, phenol, saponins, and flavonoid compounds, which have been previously reported for their antimicrobial property in both the PE (Dash </w:t>
      </w:r>
      <w:r w:rsidRPr="00A9454D">
        <w:rPr>
          <w:i/>
          <w:iCs/>
        </w:rPr>
        <w:t>et al</w:t>
      </w:r>
      <w:r w:rsidRPr="00E613B9">
        <w:t xml:space="preserve">., 2013; </w:t>
      </w:r>
      <w:proofErr w:type="spellStart"/>
      <w:r w:rsidRPr="00E613B9">
        <w:t>Soifoini</w:t>
      </w:r>
      <w:proofErr w:type="spellEnd"/>
      <w:r w:rsidRPr="00E613B9">
        <w:t xml:space="preserve"> </w:t>
      </w:r>
      <w:r w:rsidRPr="00A9454D">
        <w:rPr>
          <w:i/>
          <w:iCs/>
        </w:rPr>
        <w:t>et al</w:t>
      </w:r>
      <w:r w:rsidRPr="00E613B9">
        <w:t>., 2021).</w:t>
      </w:r>
    </w:p>
    <w:p w14:paraId="4669569E" w14:textId="77777777" w:rsidR="00E613B9" w:rsidRPr="000B3AEE" w:rsidRDefault="00E613B9" w:rsidP="00E613B9">
      <w:pPr>
        <w:pStyle w:val="Heading2"/>
        <w:rPr>
          <w:b w:val="0"/>
          <w:bCs/>
          <w:i w:val="0"/>
          <w:iCs/>
          <w:szCs w:val="20"/>
        </w:rPr>
      </w:pPr>
      <w:r w:rsidRPr="000B3AEE">
        <w:rPr>
          <w:bCs/>
          <w:iCs/>
          <w:szCs w:val="20"/>
        </w:rPr>
        <w:t>The Cytotoxic Properties of the Plant Extracts</w:t>
      </w:r>
    </w:p>
    <w:p w14:paraId="10FC9EEB" w14:textId="405B6065" w:rsidR="00E613B9" w:rsidRDefault="00E613B9" w:rsidP="00E613B9">
      <w:pPr>
        <w:pStyle w:val="Text"/>
      </w:pPr>
      <w:r w:rsidRPr="00E613B9">
        <w:t>The brine shrimp lethality assay is conducted to determine the cytotoxicity of the plant components (</w:t>
      </w:r>
      <w:proofErr w:type="spellStart"/>
      <w:r w:rsidRPr="00E613B9">
        <w:t>Waghulde</w:t>
      </w:r>
      <w:proofErr w:type="spellEnd"/>
      <w:r w:rsidRPr="00E613B9">
        <w:t xml:space="preserve"> </w:t>
      </w:r>
      <w:r w:rsidRPr="00A9454D">
        <w:rPr>
          <w:i/>
          <w:iCs/>
        </w:rPr>
        <w:t>et al</w:t>
      </w:r>
      <w:r w:rsidRPr="00E613B9">
        <w:t xml:space="preserve">., 2019). As shown in Table 1, the results of the brine shrimp assay showed no significant difference for all concentrations compared to the negative control (p&gt;0.05). The results indicate that neither of the PEs was toxic, as the motility rate was comparatively lower. Even so, to ensure that there are no toxic compounds produced over time, tests should be conducted at regular time intervals. This could help monitor the changes in the composition of the PE and ensure its safety and effectiveness. A study by Sikder </w:t>
      </w:r>
      <w:r w:rsidRPr="00A9454D">
        <w:rPr>
          <w:i/>
          <w:iCs/>
        </w:rPr>
        <w:t>et al</w:t>
      </w:r>
      <w:r w:rsidRPr="00E613B9">
        <w:t xml:space="preserve">., 2012 showed that there is a zero-mortality rate for the methanol extract of the flower petals of </w:t>
      </w:r>
      <w:r w:rsidRPr="00A9454D">
        <w:rPr>
          <w:i/>
          <w:iCs/>
        </w:rPr>
        <w:t xml:space="preserve">N. </w:t>
      </w:r>
      <w:proofErr w:type="spellStart"/>
      <w:r w:rsidRPr="00A9454D">
        <w:rPr>
          <w:i/>
          <w:iCs/>
        </w:rPr>
        <w:t>nouchali</w:t>
      </w:r>
      <w:proofErr w:type="spellEnd"/>
      <w:r w:rsidRPr="00E613B9">
        <w:t xml:space="preserve">, while a study done by </w:t>
      </w:r>
      <w:proofErr w:type="spellStart"/>
      <w:r w:rsidRPr="00E613B9">
        <w:t>Eriadi</w:t>
      </w:r>
      <w:proofErr w:type="spellEnd"/>
      <w:r w:rsidRPr="00E613B9">
        <w:t xml:space="preserve"> </w:t>
      </w:r>
      <w:r w:rsidRPr="006B39DF">
        <w:rPr>
          <w:i/>
          <w:iCs/>
        </w:rPr>
        <w:t>et al</w:t>
      </w:r>
      <w:r w:rsidRPr="00E613B9">
        <w:t xml:space="preserve">., 2022 showed that the ethyl acetate extract of </w:t>
      </w:r>
      <w:r w:rsidRPr="00A9454D">
        <w:rPr>
          <w:i/>
          <w:iCs/>
        </w:rPr>
        <w:t xml:space="preserve">A. </w:t>
      </w:r>
      <w:proofErr w:type="spellStart"/>
      <w:r w:rsidRPr="00A9454D">
        <w:rPr>
          <w:i/>
          <w:iCs/>
        </w:rPr>
        <w:t>altilis</w:t>
      </w:r>
      <w:proofErr w:type="spellEnd"/>
      <w:r w:rsidRPr="00E613B9">
        <w:t xml:space="preserve"> (Parkinson's ex F.A. Zorn) Fosberg leaves has high cytotoxic activity for the Brine Shrimp Lethality Test.</w:t>
      </w:r>
    </w:p>
    <w:p w14:paraId="45B0599F" w14:textId="77777777" w:rsidR="00E613B9" w:rsidRDefault="00E613B9" w:rsidP="00E613B9">
      <w:pPr>
        <w:pStyle w:val="Text"/>
      </w:pPr>
    </w:p>
    <w:p w14:paraId="091943FB" w14:textId="34C1B872" w:rsidR="00870FEA" w:rsidRPr="00870FEA" w:rsidRDefault="00870FEA" w:rsidP="00870FEA">
      <w:pPr>
        <w:pStyle w:val="TableCaption"/>
      </w:pPr>
      <w:r w:rsidRPr="000A2F9A">
        <w:t>Table 1. The</w:t>
      </w:r>
      <w:r w:rsidRPr="000A2F9A">
        <w:rPr>
          <w:spacing w:val="-2"/>
        </w:rPr>
        <w:t xml:space="preserve"> </w:t>
      </w:r>
      <w:r w:rsidRPr="000A2F9A">
        <w:t>effect</w:t>
      </w:r>
      <w:r w:rsidRPr="000A2F9A">
        <w:rPr>
          <w:spacing w:val="-1"/>
        </w:rPr>
        <w:t xml:space="preserve"> </w:t>
      </w:r>
      <w:r w:rsidRPr="000A2F9A">
        <w:t>of</w:t>
      </w:r>
      <w:r w:rsidRPr="000A2F9A">
        <w:rPr>
          <w:spacing w:val="-8"/>
        </w:rPr>
        <w:t xml:space="preserve"> </w:t>
      </w:r>
      <w:r w:rsidRPr="000A2F9A">
        <w:t>the</w:t>
      </w:r>
      <w:r w:rsidRPr="000A2F9A">
        <w:rPr>
          <w:spacing w:val="-2"/>
        </w:rPr>
        <w:t xml:space="preserve"> </w:t>
      </w:r>
      <w:r w:rsidRPr="000A2F9A">
        <w:t>plant</w:t>
      </w:r>
      <w:r w:rsidRPr="000A2F9A">
        <w:rPr>
          <w:spacing w:val="3"/>
        </w:rPr>
        <w:t xml:space="preserve"> </w:t>
      </w:r>
      <w:r w:rsidRPr="000A2F9A">
        <w:t>extract concentrations with significant coagulation efficiency</w:t>
      </w:r>
      <w:r w:rsidRPr="000A2F9A">
        <w:rPr>
          <w:spacing w:val="-2"/>
        </w:rPr>
        <w:t xml:space="preserve"> </w:t>
      </w:r>
      <w:r w:rsidRPr="000A2F9A">
        <w:t>on</w:t>
      </w:r>
      <w:r w:rsidRPr="000A2F9A">
        <w:rPr>
          <w:spacing w:val="-6"/>
        </w:rPr>
        <w:t xml:space="preserve"> </w:t>
      </w:r>
      <w:r w:rsidRPr="000A2F9A">
        <w:t>brine</w:t>
      </w:r>
      <w:r w:rsidRPr="000A2F9A">
        <w:rPr>
          <w:spacing w:val="-2"/>
        </w:rPr>
        <w:t xml:space="preserve"> </w:t>
      </w:r>
      <w:r w:rsidRPr="000A2F9A">
        <w:t>shrimp</w:t>
      </w:r>
      <w:r w:rsidRPr="000A2F9A">
        <w:rPr>
          <w:spacing w:val="3"/>
        </w:rPr>
        <w:t xml:space="preserve"> </w:t>
      </w:r>
      <w:r w:rsidRPr="000A2F9A">
        <w:rPr>
          <w:spacing w:val="-2"/>
        </w:rPr>
        <w:t xml:space="preserve">mortality.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2397"/>
        <w:gridCol w:w="2397"/>
      </w:tblGrid>
      <w:tr w:rsidR="00870FEA" w:rsidRPr="00870FEA" w14:paraId="6F9FCDE0" w14:textId="77777777" w:rsidTr="00870FEA">
        <w:tc>
          <w:tcPr>
            <w:tcW w:w="2396" w:type="dxa"/>
            <w:tcBorders>
              <w:top w:val="single" w:sz="12" w:space="0" w:color="000000"/>
              <w:bottom w:val="single" w:sz="4" w:space="0" w:color="000000" w:themeColor="text1"/>
            </w:tcBorders>
          </w:tcPr>
          <w:p w14:paraId="599AF43E" w14:textId="00EA0A3D" w:rsidR="00870FEA" w:rsidRPr="00870FEA" w:rsidRDefault="00870FEA" w:rsidP="00870FEA">
            <w:pPr>
              <w:pStyle w:val="Table"/>
            </w:pPr>
            <w:r>
              <w:t>Sample</w:t>
            </w:r>
          </w:p>
        </w:tc>
        <w:tc>
          <w:tcPr>
            <w:tcW w:w="2397" w:type="dxa"/>
            <w:tcBorders>
              <w:top w:val="single" w:sz="12" w:space="0" w:color="000000"/>
              <w:bottom w:val="single" w:sz="4" w:space="0" w:color="000000" w:themeColor="text1"/>
            </w:tcBorders>
          </w:tcPr>
          <w:p w14:paraId="2898C7B1" w14:textId="48DBB7C4" w:rsidR="00870FEA" w:rsidRPr="00870FEA" w:rsidRDefault="00870FEA" w:rsidP="00870FEA">
            <w:pPr>
              <w:pStyle w:val="Table"/>
            </w:pPr>
            <w:r>
              <w:t>Concentration</w:t>
            </w:r>
          </w:p>
        </w:tc>
        <w:tc>
          <w:tcPr>
            <w:tcW w:w="2397" w:type="dxa"/>
            <w:tcBorders>
              <w:top w:val="single" w:sz="12" w:space="0" w:color="000000"/>
              <w:bottom w:val="single" w:sz="4" w:space="0" w:color="000000" w:themeColor="text1"/>
            </w:tcBorders>
          </w:tcPr>
          <w:p w14:paraId="08318AA0" w14:textId="446DB7E3" w:rsidR="00870FEA" w:rsidRPr="00870FEA" w:rsidRDefault="00870FEA" w:rsidP="00870FEA">
            <w:pPr>
              <w:pStyle w:val="Table"/>
            </w:pPr>
            <w:r>
              <w:t>Mean Mortality Rate (%)</w:t>
            </w:r>
          </w:p>
        </w:tc>
      </w:tr>
      <w:tr w:rsidR="00870FEA" w:rsidRPr="00870FEA" w14:paraId="1466D1FB" w14:textId="77777777" w:rsidTr="00870FEA">
        <w:tc>
          <w:tcPr>
            <w:tcW w:w="2396" w:type="dxa"/>
            <w:tcBorders>
              <w:top w:val="single" w:sz="4" w:space="0" w:color="000000" w:themeColor="text1"/>
            </w:tcBorders>
          </w:tcPr>
          <w:p w14:paraId="60A9FB97" w14:textId="6C455E7E" w:rsidR="00870FEA" w:rsidRPr="00870FEA" w:rsidRDefault="00870FEA" w:rsidP="00870FEA">
            <w:pPr>
              <w:pStyle w:val="Table"/>
              <w:ind w:left="0"/>
            </w:pPr>
            <w:r>
              <w:t xml:space="preserve">A. </w:t>
            </w:r>
            <w:proofErr w:type="spellStart"/>
            <w:r>
              <w:t>altilis</w:t>
            </w:r>
            <w:proofErr w:type="spellEnd"/>
          </w:p>
        </w:tc>
        <w:tc>
          <w:tcPr>
            <w:tcW w:w="2397" w:type="dxa"/>
            <w:tcBorders>
              <w:top w:val="single" w:sz="4" w:space="0" w:color="000000" w:themeColor="text1"/>
            </w:tcBorders>
          </w:tcPr>
          <w:p w14:paraId="7425BB60" w14:textId="089A5CB6" w:rsidR="00870FEA" w:rsidRPr="00870FEA" w:rsidRDefault="00870FEA" w:rsidP="00870FEA">
            <w:pPr>
              <w:pStyle w:val="Table"/>
            </w:pPr>
            <w:r>
              <w:t>0.000111 (10</w:t>
            </w:r>
            <w:r w:rsidRPr="00870FEA">
              <w:rPr>
                <w:vertAlign w:val="superscript"/>
              </w:rPr>
              <w:t>-3</w:t>
            </w:r>
            <w:r>
              <w:t>)</w:t>
            </w:r>
          </w:p>
        </w:tc>
        <w:tc>
          <w:tcPr>
            <w:tcW w:w="2397" w:type="dxa"/>
            <w:tcBorders>
              <w:top w:val="single" w:sz="4" w:space="0" w:color="000000" w:themeColor="text1"/>
            </w:tcBorders>
          </w:tcPr>
          <w:p w14:paraId="669244D0" w14:textId="5DE21657" w:rsidR="00870FEA" w:rsidRPr="00870FEA" w:rsidRDefault="00870FEA" w:rsidP="00870FEA">
            <w:pPr>
              <w:pStyle w:val="Table"/>
            </w:pPr>
            <w:r>
              <w:t>3.33 ± 0.33</w:t>
            </w:r>
          </w:p>
        </w:tc>
      </w:tr>
      <w:tr w:rsidR="00870FEA" w:rsidRPr="00870FEA" w14:paraId="233E0DD2" w14:textId="77777777" w:rsidTr="00870FEA">
        <w:tc>
          <w:tcPr>
            <w:tcW w:w="2396" w:type="dxa"/>
          </w:tcPr>
          <w:p w14:paraId="47924BAC" w14:textId="5650B53F" w:rsidR="00870FEA" w:rsidRPr="00870FEA" w:rsidRDefault="00870FEA" w:rsidP="00870FEA">
            <w:pPr>
              <w:pStyle w:val="Table"/>
            </w:pPr>
            <w:r>
              <w:lastRenderedPageBreak/>
              <w:t xml:space="preserve">N. </w:t>
            </w:r>
            <w:proofErr w:type="spellStart"/>
            <w:r>
              <w:t>nouchali</w:t>
            </w:r>
            <w:proofErr w:type="spellEnd"/>
          </w:p>
        </w:tc>
        <w:tc>
          <w:tcPr>
            <w:tcW w:w="2397" w:type="dxa"/>
          </w:tcPr>
          <w:p w14:paraId="526DD5E2" w14:textId="2E5BEBDC" w:rsidR="00870FEA" w:rsidRPr="00870FEA" w:rsidRDefault="00870FEA" w:rsidP="00870FEA">
            <w:pPr>
              <w:pStyle w:val="Table"/>
            </w:pPr>
            <w:r>
              <w:t>0.0000111 (10</w:t>
            </w:r>
            <w:r w:rsidRPr="00870FEA">
              <w:rPr>
                <w:vertAlign w:val="superscript"/>
              </w:rPr>
              <w:t>-4</w:t>
            </w:r>
            <w:r>
              <w:t>)</w:t>
            </w:r>
          </w:p>
        </w:tc>
        <w:tc>
          <w:tcPr>
            <w:tcW w:w="2397" w:type="dxa"/>
          </w:tcPr>
          <w:p w14:paraId="5AB3151E" w14:textId="5CEA47A4" w:rsidR="00870FEA" w:rsidRPr="00870FEA" w:rsidRDefault="00870FEA" w:rsidP="00870FEA">
            <w:pPr>
              <w:pStyle w:val="Table"/>
            </w:pPr>
            <w:r>
              <w:t>10 ± 1</w:t>
            </w:r>
          </w:p>
        </w:tc>
      </w:tr>
      <w:tr w:rsidR="00870FEA" w:rsidRPr="00870FEA" w14:paraId="13E9B3E4" w14:textId="77777777" w:rsidTr="00870FEA">
        <w:tc>
          <w:tcPr>
            <w:tcW w:w="2396" w:type="dxa"/>
            <w:vMerge w:val="restart"/>
          </w:tcPr>
          <w:p w14:paraId="1EA4F6AD" w14:textId="5F16BB8C" w:rsidR="00870FEA" w:rsidRPr="00870FEA" w:rsidRDefault="00870FEA" w:rsidP="00870FEA">
            <w:pPr>
              <w:pStyle w:val="Table"/>
            </w:pPr>
            <w:r>
              <w:t xml:space="preserve">A. </w:t>
            </w:r>
            <w:proofErr w:type="spellStart"/>
            <w:r>
              <w:t>altilis</w:t>
            </w:r>
            <w:proofErr w:type="spellEnd"/>
            <w:r>
              <w:t xml:space="preserve"> + N. </w:t>
            </w:r>
            <w:proofErr w:type="spellStart"/>
            <w:r>
              <w:t>nouchali</w:t>
            </w:r>
            <w:proofErr w:type="spellEnd"/>
          </w:p>
        </w:tc>
        <w:tc>
          <w:tcPr>
            <w:tcW w:w="2397" w:type="dxa"/>
          </w:tcPr>
          <w:p w14:paraId="399805F8" w14:textId="3A0C38FA" w:rsidR="00870FEA" w:rsidRPr="00870FEA" w:rsidRDefault="00870FEA" w:rsidP="00870FEA">
            <w:pPr>
              <w:pStyle w:val="Table"/>
            </w:pPr>
            <w:r>
              <w:t>0.00111 (10</w:t>
            </w:r>
            <w:r w:rsidRPr="00870FEA">
              <w:rPr>
                <w:vertAlign w:val="superscript"/>
              </w:rPr>
              <w:t>-2</w:t>
            </w:r>
            <w:r>
              <w:t>)</w:t>
            </w:r>
          </w:p>
        </w:tc>
        <w:tc>
          <w:tcPr>
            <w:tcW w:w="2397" w:type="dxa"/>
          </w:tcPr>
          <w:p w14:paraId="1829BAA3" w14:textId="62674AA8" w:rsidR="00870FEA" w:rsidRPr="00870FEA" w:rsidRDefault="00870FEA" w:rsidP="00870FEA">
            <w:pPr>
              <w:pStyle w:val="Table"/>
            </w:pPr>
            <w:r>
              <w:t>0</w:t>
            </w:r>
          </w:p>
        </w:tc>
      </w:tr>
      <w:tr w:rsidR="00870FEA" w:rsidRPr="00870FEA" w14:paraId="19B1DE1C" w14:textId="77777777" w:rsidTr="00870FEA">
        <w:tc>
          <w:tcPr>
            <w:tcW w:w="2396" w:type="dxa"/>
            <w:vMerge/>
          </w:tcPr>
          <w:p w14:paraId="07A6FFE8" w14:textId="77777777" w:rsidR="00870FEA" w:rsidRPr="00870FEA" w:rsidRDefault="00870FEA" w:rsidP="00870FEA">
            <w:pPr>
              <w:pStyle w:val="Table"/>
            </w:pPr>
          </w:p>
        </w:tc>
        <w:tc>
          <w:tcPr>
            <w:tcW w:w="2397" w:type="dxa"/>
          </w:tcPr>
          <w:p w14:paraId="2CB42519" w14:textId="53E5F66E" w:rsidR="00870FEA" w:rsidRPr="00870FEA" w:rsidRDefault="00870FEA" w:rsidP="00870FEA">
            <w:pPr>
              <w:pStyle w:val="Table"/>
            </w:pPr>
            <w:r>
              <w:t>0.000111 (10</w:t>
            </w:r>
            <w:r w:rsidRPr="00870FEA">
              <w:rPr>
                <w:vertAlign w:val="superscript"/>
              </w:rPr>
              <w:t>-3</w:t>
            </w:r>
            <w:r>
              <w:t>)</w:t>
            </w:r>
          </w:p>
        </w:tc>
        <w:tc>
          <w:tcPr>
            <w:tcW w:w="2397" w:type="dxa"/>
          </w:tcPr>
          <w:p w14:paraId="1600044E" w14:textId="51AB41E7" w:rsidR="00870FEA" w:rsidRPr="00870FEA" w:rsidRDefault="00870FEA" w:rsidP="00870FEA">
            <w:pPr>
              <w:pStyle w:val="Table"/>
            </w:pPr>
            <w:r>
              <w:t>13.33 ± 0.88</w:t>
            </w:r>
          </w:p>
        </w:tc>
      </w:tr>
      <w:tr w:rsidR="00870FEA" w:rsidRPr="00870FEA" w14:paraId="3720DA82" w14:textId="77777777" w:rsidTr="00870FEA">
        <w:tc>
          <w:tcPr>
            <w:tcW w:w="2396" w:type="dxa"/>
            <w:vMerge/>
          </w:tcPr>
          <w:p w14:paraId="57A28D5F" w14:textId="77777777" w:rsidR="00870FEA" w:rsidRPr="00870FEA" w:rsidRDefault="00870FEA" w:rsidP="00870FEA">
            <w:pPr>
              <w:pStyle w:val="Table"/>
            </w:pPr>
          </w:p>
        </w:tc>
        <w:tc>
          <w:tcPr>
            <w:tcW w:w="2397" w:type="dxa"/>
          </w:tcPr>
          <w:p w14:paraId="12164E01" w14:textId="1DBBC925" w:rsidR="00870FEA" w:rsidRPr="00870FEA" w:rsidRDefault="00870FEA" w:rsidP="00870FEA">
            <w:pPr>
              <w:pStyle w:val="Table"/>
            </w:pPr>
            <w:r>
              <w:t>0.0000111 (10</w:t>
            </w:r>
            <w:r w:rsidRPr="00870FEA">
              <w:rPr>
                <w:vertAlign w:val="superscript"/>
              </w:rPr>
              <w:t>-4</w:t>
            </w:r>
            <w:r>
              <w:t>)</w:t>
            </w:r>
          </w:p>
        </w:tc>
        <w:tc>
          <w:tcPr>
            <w:tcW w:w="2397" w:type="dxa"/>
          </w:tcPr>
          <w:p w14:paraId="7CBB43B1" w14:textId="730791F4" w:rsidR="00870FEA" w:rsidRPr="00870FEA" w:rsidRDefault="00870FEA" w:rsidP="00870FEA">
            <w:pPr>
              <w:pStyle w:val="Table"/>
            </w:pPr>
            <w:r>
              <w:t>3.33 ± 0.33</w:t>
            </w:r>
          </w:p>
        </w:tc>
      </w:tr>
      <w:tr w:rsidR="00870FEA" w:rsidRPr="00870FEA" w14:paraId="18265E71" w14:textId="77777777" w:rsidTr="00870FEA">
        <w:tc>
          <w:tcPr>
            <w:tcW w:w="2396" w:type="dxa"/>
          </w:tcPr>
          <w:p w14:paraId="77D41201" w14:textId="18012E4A" w:rsidR="00870FEA" w:rsidRPr="00870FEA" w:rsidRDefault="00870FEA" w:rsidP="00870FEA">
            <w:pPr>
              <w:pStyle w:val="Table"/>
            </w:pPr>
            <w:r>
              <w:t>Positive control (conc. H</w:t>
            </w:r>
            <w:r w:rsidRPr="00870FEA">
              <w:rPr>
                <w:vertAlign w:val="subscript"/>
              </w:rPr>
              <w:t>2</w:t>
            </w:r>
            <w:r>
              <w:t>O</w:t>
            </w:r>
            <w:r w:rsidRPr="00870FEA">
              <w:rPr>
                <w:vertAlign w:val="subscript"/>
              </w:rPr>
              <w:t>2</w:t>
            </w:r>
            <w:r>
              <w:t>)</w:t>
            </w:r>
          </w:p>
        </w:tc>
        <w:tc>
          <w:tcPr>
            <w:tcW w:w="2397" w:type="dxa"/>
          </w:tcPr>
          <w:p w14:paraId="1DC39CB6" w14:textId="59ED91F8" w:rsidR="00870FEA" w:rsidRPr="00870FEA" w:rsidRDefault="00870FEA" w:rsidP="00870FEA">
            <w:pPr>
              <w:pStyle w:val="Table"/>
            </w:pPr>
            <w:r>
              <w:t>-</w:t>
            </w:r>
          </w:p>
        </w:tc>
        <w:tc>
          <w:tcPr>
            <w:tcW w:w="2397" w:type="dxa"/>
          </w:tcPr>
          <w:p w14:paraId="745FBEC4" w14:textId="60535138" w:rsidR="00870FEA" w:rsidRPr="00870FEA" w:rsidRDefault="00870FEA" w:rsidP="00870FEA">
            <w:pPr>
              <w:pStyle w:val="Table"/>
            </w:pPr>
            <w:r>
              <w:t>100</w:t>
            </w:r>
          </w:p>
        </w:tc>
      </w:tr>
      <w:tr w:rsidR="00870FEA" w:rsidRPr="00870FEA" w14:paraId="62A7BDC1" w14:textId="77777777" w:rsidTr="00870FEA">
        <w:tc>
          <w:tcPr>
            <w:tcW w:w="2396" w:type="dxa"/>
            <w:tcBorders>
              <w:bottom w:val="single" w:sz="12" w:space="0" w:color="000000"/>
            </w:tcBorders>
          </w:tcPr>
          <w:p w14:paraId="7D505787" w14:textId="6D546683" w:rsidR="00870FEA" w:rsidRPr="00870FEA" w:rsidRDefault="00870FEA" w:rsidP="00870FEA">
            <w:pPr>
              <w:pStyle w:val="Table"/>
            </w:pPr>
            <w:r>
              <w:t>Negative control</w:t>
            </w:r>
          </w:p>
        </w:tc>
        <w:tc>
          <w:tcPr>
            <w:tcW w:w="2397" w:type="dxa"/>
            <w:tcBorders>
              <w:bottom w:val="single" w:sz="12" w:space="0" w:color="000000"/>
            </w:tcBorders>
          </w:tcPr>
          <w:p w14:paraId="0E3ADB45" w14:textId="0A05C3F8" w:rsidR="00870FEA" w:rsidRPr="00870FEA" w:rsidRDefault="00870FEA" w:rsidP="00870FEA">
            <w:pPr>
              <w:pStyle w:val="Table"/>
            </w:pPr>
            <w:r>
              <w:t>-</w:t>
            </w:r>
          </w:p>
        </w:tc>
        <w:tc>
          <w:tcPr>
            <w:tcW w:w="2397" w:type="dxa"/>
            <w:tcBorders>
              <w:bottom w:val="single" w:sz="12" w:space="0" w:color="000000"/>
            </w:tcBorders>
          </w:tcPr>
          <w:p w14:paraId="02FA980C" w14:textId="3BB055BD" w:rsidR="00870FEA" w:rsidRPr="00870FEA" w:rsidRDefault="00870FEA" w:rsidP="00870FEA">
            <w:pPr>
              <w:pStyle w:val="Table"/>
            </w:pPr>
            <w:r>
              <w:t>26.67 ± 2.19</w:t>
            </w:r>
          </w:p>
        </w:tc>
      </w:tr>
    </w:tbl>
    <w:p w14:paraId="5AD92C60" w14:textId="77777777" w:rsidR="00E8651B" w:rsidRDefault="00E8651B" w:rsidP="00E613B9">
      <w:pPr>
        <w:pStyle w:val="Text"/>
      </w:pPr>
    </w:p>
    <w:p w14:paraId="003ED044" w14:textId="77777777" w:rsidR="00E8651B" w:rsidRDefault="00E8651B" w:rsidP="00E613B9">
      <w:pPr>
        <w:pStyle w:val="Text"/>
      </w:pPr>
    </w:p>
    <w:p w14:paraId="48C83C5D" w14:textId="6E95EA83" w:rsidR="00E613B9" w:rsidRDefault="00E613B9" w:rsidP="00E613B9">
      <w:pPr>
        <w:pStyle w:val="Heading1"/>
      </w:pPr>
      <w:r w:rsidRPr="000B3AEE">
        <w:t>Conclusion</w:t>
      </w:r>
    </w:p>
    <w:p w14:paraId="7033B51A" w14:textId="77777777" w:rsidR="00E613B9" w:rsidRPr="000B3AEE" w:rsidRDefault="00E613B9" w:rsidP="00E613B9">
      <w:pPr>
        <w:pStyle w:val="Text"/>
      </w:pPr>
      <w:r w:rsidRPr="000B3AEE">
        <w:t xml:space="preserve">This study focuses on the potential of </w:t>
      </w:r>
      <w:proofErr w:type="spellStart"/>
      <w:r w:rsidRPr="000B3AEE">
        <w:rPr>
          <w:i/>
          <w:iCs/>
        </w:rPr>
        <w:t>Artocarpus</w:t>
      </w:r>
      <w:proofErr w:type="spellEnd"/>
      <w:r w:rsidRPr="000B3AEE">
        <w:rPr>
          <w:i/>
          <w:iCs/>
        </w:rPr>
        <w:t xml:space="preserve"> </w:t>
      </w:r>
      <w:proofErr w:type="spellStart"/>
      <w:r w:rsidRPr="000B3AEE">
        <w:rPr>
          <w:i/>
          <w:iCs/>
        </w:rPr>
        <w:t>altilis</w:t>
      </w:r>
      <w:proofErr w:type="spellEnd"/>
      <w:r w:rsidRPr="000B3AEE">
        <w:t xml:space="preserve"> (Park.) </w:t>
      </w:r>
      <w:proofErr w:type="spellStart"/>
      <w:r w:rsidRPr="000B3AEE">
        <w:t>Fosh</w:t>
      </w:r>
      <w:proofErr w:type="spellEnd"/>
      <w:r w:rsidRPr="000B3AEE">
        <w:t xml:space="preserve">. (Breadfruit) and </w:t>
      </w:r>
      <w:r w:rsidRPr="000B3AEE">
        <w:rPr>
          <w:i/>
          <w:iCs/>
        </w:rPr>
        <w:t xml:space="preserve">Nymphaea </w:t>
      </w:r>
      <w:proofErr w:type="spellStart"/>
      <w:r w:rsidRPr="000B3AEE">
        <w:rPr>
          <w:i/>
          <w:iCs/>
        </w:rPr>
        <w:t>nouchali</w:t>
      </w:r>
      <w:proofErr w:type="spellEnd"/>
      <w:r w:rsidRPr="000B3AEE">
        <w:t xml:space="preserve"> </w:t>
      </w:r>
      <w:proofErr w:type="spellStart"/>
      <w:r w:rsidRPr="000B3AEE">
        <w:t>Burm</w:t>
      </w:r>
      <w:proofErr w:type="spellEnd"/>
      <w:r w:rsidRPr="000B3AEE">
        <w:t xml:space="preserve">. f. (Blue Water Lily) as natural coagulants for water treatment. </w:t>
      </w:r>
      <w:r w:rsidRPr="000B3AEE">
        <w:rPr>
          <w:i/>
          <w:iCs/>
        </w:rPr>
        <w:t xml:space="preserve">N. </w:t>
      </w:r>
      <w:proofErr w:type="spellStart"/>
      <w:r w:rsidRPr="000B3AEE">
        <w:rPr>
          <w:i/>
          <w:iCs/>
        </w:rPr>
        <w:t>nouchali</w:t>
      </w:r>
      <w:proofErr w:type="spellEnd"/>
      <w:r w:rsidRPr="000B3AEE">
        <w:t xml:space="preserve"> showed significant effects at lower doses (10</w:t>
      </w:r>
      <w:r w:rsidRPr="000B3AEE">
        <w:rPr>
          <w:vertAlign w:val="superscript"/>
        </w:rPr>
        <w:t>-2</w:t>
      </w:r>
      <w:r w:rsidRPr="000B3AEE">
        <w:t xml:space="preserve"> g/mL), but </w:t>
      </w:r>
      <w:r w:rsidRPr="000B3AEE">
        <w:rPr>
          <w:i/>
          <w:iCs/>
        </w:rPr>
        <w:t xml:space="preserve">A. </w:t>
      </w:r>
      <w:proofErr w:type="spellStart"/>
      <w:r w:rsidRPr="000B3AEE">
        <w:rPr>
          <w:i/>
          <w:iCs/>
        </w:rPr>
        <w:t>altilis</w:t>
      </w:r>
      <w:proofErr w:type="spellEnd"/>
      <w:r w:rsidRPr="000B3AEE">
        <w:t xml:space="preserve"> required a higher dosage (10</w:t>
      </w:r>
      <w:r w:rsidRPr="000B3AEE">
        <w:rPr>
          <w:vertAlign w:val="superscript"/>
        </w:rPr>
        <w:t>-1</w:t>
      </w:r>
      <w:r w:rsidRPr="000B3AEE">
        <w:t xml:space="preserve"> g/mL) for effective coagulation, which suggests that they might be a good ecologically sustainable substitute for chemical coagulants. However, there was no bacterial growth, indicating that the PE's antibacterial properties weren't exhibited. The brine shrimp lethality assay was used for cytotoxicity testing, and the results indicated that there were no toxic effects, proving the safety of these extracts for possible application in water treatment.</w:t>
      </w:r>
    </w:p>
    <w:p w14:paraId="1D819B3B" w14:textId="77777777" w:rsidR="00E613B9" w:rsidRDefault="00E613B9" w:rsidP="00E613B9">
      <w:pPr>
        <w:pStyle w:val="TextIndent"/>
      </w:pPr>
      <w:r w:rsidRPr="000B3AEE">
        <w:t xml:space="preserve">With future studies concentrating on enhancing the extraction procedure, producing a pure extract, or using a different plant material form (sun- or freeze-dried), the peel of </w:t>
      </w:r>
      <w:r w:rsidRPr="000B3AEE">
        <w:rPr>
          <w:i/>
          <w:iCs/>
        </w:rPr>
        <w:t xml:space="preserve">A. </w:t>
      </w:r>
      <w:proofErr w:type="spellStart"/>
      <w:r w:rsidRPr="000B3AEE">
        <w:rPr>
          <w:i/>
          <w:iCs/>
        </w:rPr>
        <w:t>altilis</w:t>
      </w:r>
      <w:proofErr w:type="spellEnd"/>
      <w:r w:rsidRPr="000B3AEE">
        <w:t xml:space="preserve"> and stem of </w:t>
      </w:r>
      <w:r w:rsidRPr="000B3AEE">
        <w:rPr>
          <w:i/>
          <w:iCs/>
        </w:rPr>
        <w:t xml:space="preserve">N. </w:t>
      </w:r>
      <w:proofErr w:type="spellStart"/>
      <w:r w:rsidRPr="000B3AEE">
        <w:rPr>
          <w:i/>
          <w:iCs/>
        </w:rPr>
        <w:t>nouchali</w:t>
      </w:r>
      <w:proofErr w:type="spellEnd"/>
      <w:r w:rsidRPr="000B3AEE">
        <w:t xml:space="preserve"> could be used as an environment friendly coagulant, sans toxic effects advanced results.</w:t>
      </w:r>
    </w:p>
    <w:p w14:paraId="4A58DFE4" w14:textId="77777777" w:rsidR="00DF0F30" w:rsidRDefault="00DF0F30" w:rsidP="00E613B9">
      <w:pPr>
        <w:pStyle w:val="TextIndent"/>
      </w:pPr>
    </w:p>
    <w:p w14:paraId="5143138E" w14:textId="77777777" w:rsidR="00DF0F30" w:rsidRDefault="00DF0F30" w:rsidP="00E613B9">
      <w:pPr>
        <w:pStyle w:val="TextIndent"/>
      </w:pPr>
    </w:p>
    <w:p w14:paraId="067ED642" w14:textId="77777777" w:rsidR="00DF0F30" w:rsidRDefault="00DF0F30" w:rsidP="00E613B9">
      <w:pPr>
        <w:pStyle w:val="TextIndent"/>
      </w:pPr>
    </w:p>
    <w:p w14:paraId="331AA2C8" w14:textId="77777777" w:rsidR="00DF0F30" w:rsidRDefault="00DF0F30" w:rsidP="00E613B9">
      <w:pPr>
        <w:pStyle w:val="TextIndent"/>
      </w:pPr>
    </w:p>
    <w:p w14:paraId="14CDAE5F" w14:textId="77777777" w:rsidR="00DF0F30" w:rsidRDefault="00DF0F30" w:rsidP="00E613B9">
      <w:pPr>
        <w:pStyle w:val="TextIndent"/>
      </w:pPr>
    </w:p>
    <w:p w14:paraId="3BFD63C8" w14:textId="77777777" w:rsidR="00DF0F30" w:rsidRPr="00DF0F30" w:rsidRDefault="00DF0F30" w:rsidP="00DF0F30">
      <w:pPr>
        <w:spacing w:after="200" w:line="276" w:lineRule="auto"/>
        <w:jc w:val="left"/>
        <w:rPr>
          <w:rFonts w:ascii="Arial" w:hAnsi="Arial" w:cs="Arial"/>
          <w:b/>
          <w:bCs/>
          <w:sz w:val="16"/>
          <w:szCs w:val="16"/>
          <w:lang w:val="en-GB" w:eastAsia="en-GB"/>
        </w:rPr>
      </w:pPr>
      <w:r w:rsidRPr="00DF0F30">
        <w:rPr>
          <w:rFonts w:ascii="Arial" w:hAnsi="Arial" w:cs="Arial"/>
          <w:b/>
          <w:bCs/>
          <w:sz w:val="16"/>
          <w:szCs w:val="16"/>
          <w:lang w:val="en-GB" w:eastAsia="en-GB"/>
        </w:rPr>
        <w:t>COMPETING INTERESTS DISCLAIMER:</w:t>
      </w:r>
    </w:p>
    <w:p w14:paraId="02E9B15F" w14:textId="77777777" w:rsidR="00DF0F30" w:rsidRPr="00DF0F30" w:rsidRDefault="00DF0F30" w:rsidP="00DF0F30">
      <w:pPr>
        <w:spacing w:after="200" w:line="276" w:lineRule="auto"/>
        <w:jc w:val="left"/>
        <w:rPr>
          <w:rFonts w:ascii="Calibri" w:hAnsi="Calibri"/>
          <w:sz w:val="16"/>
          <w:szCs w:val="16"/>
          <w:lang w:val="en-GB" w:eastAsia="en-GB"/>
        </w:rPr>
      </w:pPr>
      <w:r w:rsidRPr="00DF0F30">
        <w:rPr>
          <w:rFonts w:ascii="Arial" w:hAnsi="Arial" w:cs="Arial"/>
          <w:sz w:val="16"/>
          <w:szCs w:val="16"/>
          <w:lang w:val="en-GB" w:eastAsia="en-GB"/>
        </w:rPr>
        <w:t>Authors have declared that they have no known competing financial interests OR non-financial interests OR personal relationships that could have appeared to influence the work reported in this paper.</w:t>
      </w:r>
    </w:p>
    <w:p w14:paraId="7415D054" w14:textId="77777777" w:rsidR="00DF0F30" w:rsidRPr="0098689F" w:rsidRDefault="00DF0F30" w:rsidP="00E613B9">
      <w:pPr>
        <w:pStyle w:val="TextIndent"/>
      </w:pPr>
    </w:p>
    <w:p w14:paraId="66230BE7" w14:textId="77777777" w:rsidR="00E613B9" w:rsidRPr="00E613B9" w:rsidRDefault="00E613B9" w:rsidP="00E613B9"/>
    <w:p w14:paraId="762A64D2" w14:textId="77777777" w:rsidR="00E85D57" w:rsidRDefault="00E85D57" w:rsidP="00E613B9">
      <w:pPr>
        <w:pStyle w:val="Text"/>
        <w:rPr>
          <w:b/>
          <w:bCs/>
        </w:rPr>
      </w:pPr>
    </w:p>
    <w:p w14:paraId="3FE9957D" w14:textId="77777777" w:rsidR="00E85D57" w:rsidRDefault="00E85D57" w:rsidP="00E613B9">
      <w:pPr>
        <w:pStyle w:val="Text"/>
        <w:rPr>
          <w:b/>
          <w:bCs/>
        </w:rPr>
      </w:pPr>
    </w:p>
    <w:p w14:paraId="7114B26E" w14:textId="77777777" w:rsidR="00E85D57" w:rsidRDefault="00E85D57" w:rsidP="00E613B9">
      <w:pPr>
        <w:pStyle w:val="Text"/>
        <w:rPr>
          <w:b/>
          <w:bCs/>
        </w:rPr>
      </w:pPr>
    </w:p>
    <w:p w14:paraId="3145C8C0" w14:textId="77777777" w:rsidR="00E85D57" w:rsidRDefault="00E85D57" w:rsidP="00E613B9">
      <w:pPr>
        <w:pStyle w:val="Text"/>
        <w:rPr>
          <w:b/>
          <w:bCs/>
        </w:rPr>
      </w:pPr>
    </w:p>
    <w:p w14:paraId="010C8A76" w14:textId="260606E6" w:rsidR="00155196" w:rsidRPr="00E8651B" w:rsidRDefault="00155196" w:rsidP="00155196">
      <w:pPr>
        <w:pStyle w:val="References"/>
        <w:rPr>
          <w:b/>
          <w:bCs/>
        </w:rPr>
      </w:pPr>
      <w:r w:rsidRPr="00E8651B">
        <w:rPr>
          <w:b/>
          <w:bCs/>
        </w:rPr>
        <w:t>References</w:t>
      </w:r>
    </w:p>
    <w:p w14:paraId="59287309" w14:textId="77777777" w:rsidR="00155196" w:rsidRPr="00155196" w:rsidRDefault="00155196" w:rsidP="00155196">
      <w:pPr>
        <w:pStyle w:val="Reference"/>
      </w:pPr>
      <w:r w:rsidRPr="00155196">
        <w:t xml:space="preserve">Ali, Eman N., Suleyman A. </w:t>
      </w:r>
      <w:proofErr w:type="spellStart"/>
      <w:r w:rsidRPr="00155196">
        <w:t>Muyibi</w:t>
      </w:r>
      <w:proofErr w:type="spellEnd"/>
      <w:r w:rsidRPr="00155196">
        <w:t xml:space="preserve">, Hamzah M. Salleh, Md Zahangir Alam, and Mohd Ramlan M. Salleh. 2010. “Production of Natural Coagulant from </w:t>
      </w:r>
      <w:r w:rsidRPr="00155196">
        <w:rPr>
          <w:rFonts w:eastAsiaTheme="majorEastAsia"/>
          <w:i/>
          <w:iCs/>
        </w:rPr>
        <w:t>Moringa oleifera</w:t>
      </w:r>
      <w:r w:rsidRPr="00155196">
        <w:t xml:space="preserve"> Seed for Application in Treatment of Low Turbidity Water.” </w:t>
      </w:r>
      <w:r w:rsidRPr="00155196">
        <w:rPr>
          <w:rFonts w:eastAsiaTheme="majorEastAsia"/>
          <w:i/>
          <w:iCs/>
        </w:rPr>
        <w:t>Journal of Water Resource and Protection</w:t>
      </w:r>
      <w:r w:rsidRPr="00155196">
        <w:t>, 2(3): 259–266. 10.4236/jwarp.2010.23030.</w:t>
      </w:r>
    </w:p>
    <w:p w14:paraId="7FD1F383" w14:textId="77777777" w:rsidR="00155196" w:rsidRPr="00155196" w:rsidRDefault="00155196" w:rsidP="00155196">
      <w:pPr>
        <w:pStyle w:val="Reference"/>
      </w:pPr>
      <w:r w:rsidRPr="00155196">
        <w:t xml:space="preserve">Al-Mamun, Abdullah, and Ahmad Tsaqif A. Basir. 2016. “White </w:t>
      </w:r>
      <w:proofErr w:type="spellStart"/>
      <w:r w:rsidRPr="00155196">
        <w:t>Popinac</w:t>
      </w:r>
      <w:proofErr w:type="spellEnd"/>
      <w:r w:rsidRPr="00155196">
        <w:t xml:space="preserve"> as Potential Phyto-Coagulant to Reduce Turbidity of River Water.” </w:t>
      </w:r>
      <w:r w:rsidRPr="00155196">
        <w:rPr>
          <w:rFonts w:eastAsiaTheme="majorEastAsia"/>
          <w:i/>
          <w:iCs/>
        </w:rPr>
        <w:t>ARPN Journal of Engineering and Applied Sciences</w:t>
      </w:r>
      <w:r w:rsidRPr="00155196">
        <w:t xml:space="preserve">, 11(11): 7180–7183. </w:t>
      </w:r>
      <w:hyperlink r:id="rId11" w:tgtFrame="_new" w:history="1">
        <w:r w:rsidRPr="00155196">
          <w:rPr>
            <w:rStyle w:val="Hyperlink"/>
            <w:rFonts w:eastAsiaTheme="majorEastAsia"/>
            <w:sz w:val="20"/>
            <w:szCs w:val="20"/>
            <w:lang w:val="en-IN"/>
          </w:rPr>
          <w:t>https://www.researchgate.net/publication/306208208_White_popinac_as_potential_phyto-coagulant_to_reduce_turbidity_of_river_water</w:t>
        </w:r>
      </w:hyperlink>
      <w:r w:rsidRPr="00155196">
        <w:t>.</w:t>
      </w:r>
    </w:p>
    <w:p w14:paraId="3477ECB1" w14:textId="77777777" w:rsidR="00155196" w:rsidRPr="00155196" w:rsidRDefault="00155196" w:rsidP="00155196">
      <w:pPr>
        <w:pStyle w:val="Reference"/>
      </w:pPr>
      <w:r w:rsidRPr="00155196">
        <w:t>Banu, A. Saffiya, Sheila John, Sarah Jane Monica, Priyadarshini S., and Sivaraj C. 2021. “Comparative Evaluation of Bioactive Compounds, Antioxidant and Antibacterial Activities of Pulp and Peel Extracts of Breadfruit (</w:t>
      </w:r>
      <w:proofErr w:type="spellStart"/>
      <w:r w:rsidRPr="00155196">
        <w:rPr>
          <w:rFonts w:eastAsiaTheme="majorEastAsia"/>
          <w:i/>
          <w:iCs/>
        </w:rPr>
        <w:t>Artocarpus</w:t>
      </w:r>
      <w:proofErr w:type="spellEnd"/>
      <w:r w:rsidRPr="00155196">
        <w:rPr>
          <w:rFonts w:eastAsiaTheme="majorEastAsia"/>
          <w:i/>
          <w:iCs/>
        </w:rPr>
        <w:t xml:space="preserve"> </w:t>
      </w:r>
      <w:proofErr w:type="spellStart"/>
      <w:r w:rsidRPr="00155196">
        <w:rPr>
          <w:rFonts w:eastAsiaTheme="majorEastAsia"/>
          <w:i/>
          <w:iCs/>
        </w:rPr>
        <w:t>altilis</w:t>
      </w:r>
      <w:proofErr w:type="spellEnd"/>
      <w:r w:rsidRPr="00155196">
        <w:t xml:space="preserve">)—An Underutilized Fruit.” </w:t>
      </w:r>
      <w:r w:rsidRPr="00155196">
        <w:rPr>
          <w:rFonts w:eastAsiaTheme="majorEastAsia"/>
          <w:i/>
          <w:iCs/>
        </w:rPr>
        <w:t>The Journal of Indian Botanical Society</w:t>
      </w:r>
      <w:r w:rsidRPr="00155196">
        <w:t>, 101(3): 204–213. 10.5958/2455-7218.2021.00024.3.</w:t>
      </w:r>
    </w:p>
    <w:p w14:paraId="77BFFEC4" w14:textId="77777777" w:rsidR="00155196" w:rsidRPr="00155196" w:rsidRDefault="00155196" w:rsidP="00155196">
      <w:pPr>
        <w:pStyle w:val="Reference"/>
      </w:pPr>
      <w:r w:rsidRPr="00155196">
        <w:t xml:space="preserve">Borsch, Thomas, Khidir W. Hilu, John H. Wiersema, Cornelia Lohne, Wilhelm Barthlott, and Volker Wilde. 2007. “Phylogeny of </w:t>
      </w:r>
      <w:r w:rsidRPr="00155196">
        <w:rPr>
          <w:rFonts w:eastAsiaTheme="majorEastAsia"/>
          <w:i/>
          <w:iCs/>
        </w:rPr>
        <w:t>Nymphaea</w:t>
      </w:r>
      <w:r w:rsidRPr="00155196">
        <w:t xml:space="preserve"> (Nymphaeaceae): Evidence from Substitutions and Microstructural Changes in the Chloroplast </w:t>
      </w:r>
      <w:proofErr w:type="spellStart"/>
      <w:r w:rsidRPr="00155196">
        <w:t>trnT-trnF</w:t>
      </w:r>
      <w:proofErr w:type="spellEnd"/>
      <w:r w:rsidRPr="00155196">
        <w:t xml:space="preserve"> Region.” </w:t>
      </w:r>
      <w:r w:rsidRPr="00155196">
        <w:rPr>
          <w:rFonts w:eastAsiaTheme="majorEastAsia"/>
          <w:i/>
          <w:iCs/>
        </w:rPr>
        <w:t>International Journal of Plant Sciences</w:t>
      </w:r>
      <w:r w:rsidRPr="00155196">
        <w:t xml:space="preserve">, 168(5): 639–671. </w:t>
      </w:r>
      <w:hyperlink r:id="rId12" w:tgtFrame="_new" w:history="1">
        <w:r w:rsidRPr="00155196">
          <w:rPr>
            <w:rStyle w:val="Hyperlink"/>
            <w:rFonts w:eastAsiaTheme="majorEastAsia"/>
            <w:sz w:val="20"/>
            <w:szCs w:val="20"/>
            <w:lang w:val="en-IN"/>
          </w:rPr>
          <w:t>https://doi.org/10.1086/513476</w:t>
        </w:r>
      </w:hyperlink>
      <w:r w:rsidRPr="00155196">
        <w:t>.</w:t>
      </w:r>
    </w:p>
    <w:p w14:paraId="1B9D9573" w14:textId="77777777" w:rsidR="00155196" w:rsidRPr="00155196" w:rsidRDefault="00155196" w:rsidP="00155196">
      <w:pPr>
        <w:pStyle w:val="Reference"/>
      </w:pPr>
      <w:proofErr w:type="spellStart"/>
      <w:r w:rsidRPr="00155196">
        <w:t>Bratby</w:t>
      </w:r>
      <w:proofErr w:type="spellEnd"/>
      <w:r w:rsidRPr="00155196">
        <w:t xml:space="preserve">, John. 2006. </w:t>
      </w:r>
      <w:r w:rsidRPr="00155196">
        <w:rPr>
          <w:rFonts w:eastAsiaTheme="majorEastAsia"/>
          <w:i/>
          <w:iCs/>
        </w:rPr>
        <w:t>Coagulation and Flocculation in Water and Wastewater Treatment</w:t>
      </w:r>
      <w:r w:rsidRPr="00155196">
        <w:t>. 2nd ed. London, UK: IWA Publishing.</w:t>
      </w:r>
    </w:p>
    <w:p w14:paraId="077B1427" w14:textId="77777777" w:rsidR="00155196" w:rsidRPr="00155196" w:rsidRDefault="00155196" w:rsidP="00155196">
      <w:pPr>
        <w:pStyle w:val="Reference"/>
      </w:pPr>
      <w:proofErr w:type="spellStart"/>
      <w:r w:rsidRPr="00155196">
        <w:lastRenderedPageBreak/>
        <w:t>Daruliza</w:t>
      </w:r>
      <w:proofErr w:type="spellEnd"/>
      <w:r w:rsidRPr="00155196">
        <w:t xml:space="preserve">, K. M. A., K. L. Yang, K. L. Lam, J. T. Priscilla, E. </w:t>
      </w:r>
      <w:proofErr w:type="spellStart"/>
      <w:r w:rsidRPr="00155196">
        <w:t>Sunderasan</w:t>
      </w:r>
      <w:proofErr w:type="spellEnd"/>
      <w:r w:rsidRPr="00155196">
        <w:t>, and M. T. Ong. 2011. “Anti-</w:t>
      </w:r>
      <w:r w:rsidRPr="00155196">
        <w:rPr>
          <w:rFonts w:eastAsiaTheme="majorEastAsia"/>
          <w:i/>
          <w:iCs/>
        </w:rPr>
        <w:t>Candida albicans</w:t>
      </w:r>
      <w:r w:rsidRPr="00155196">
        <w:t xml:space="preserve"> Activity and Brine Shrimp Lethality Test of </w:t>
      </w:r>
      <w:proofErr w:type="spellStart"/>
      <w:r w:rsidRPr="00155196">
        <w:rPr>
          <w:rFonts w:eastAsiaTheme="majorEastAsia"/>
          <w:i/>
          <w:iCs/>
        </w:rPr>
        <w:t>Hevea</w:t>
      </w:r>
      <w:proofErr w:type="spellEnd"/>
      <w:r w:rsidRPr="00155196">
        <w:rPr>
          <w:rFonts w:eastAsiaTheme="majorEastAsia"/>
          <w:i/>
          <w:iCs/>
        </w:rPr>
        <w:t xml:space="preserve"> </w:t>
      </w:r>
      <w:proofErr w:type="spellStart"/>
      <w:r w:rsidRPr="00155196">
        <w:rPr>
          <w:rFonts w:eastAsiaTheme="majorEastAsia"/>
          <w:i/>
          <w:iCs/>
        </w:rPr>
        <w:t>brasiliensis</w:t>
      </w:r>
      <w:proofErr w:type="spellEnd"/>
      <w:r w:rsidRPr="00155196">
        <w:t xml:space="preserve"> Latex B-Serum.” </w:t>
      </w:r>
      <w:r w:rsidRPr="00155196">
        <w:rPr>
          <w:rFonts w:eastAsiaTheme="majorEastAsia"/>
          <w:i/>
          <w:iCs/>
        </w:rPr>
        <w:t>European Review for Medical and Pharmacological Sciences</w:t>
      </w:r>
      <w:r w:rsidRPr="00155196">
        <w:t xml:space="preserve">, 15(10): 1163–1171. </w:t>
      </w:r>
      <w:hyperlink r:id="rId13" w:tgtFrame="_new" w:history="1">
        <w:r w:rsidRPr="00155196">
          <w:rPr>
            <w:rStyle w:val="Hyperlink"/>
            <w:rFonts w:eastAsiaTheme="majorEastAsia"/>
            <w:sz w:val="20"/>
            <w:szCs w:val="20"/>
            <w:lang w:val="en-IN"/>
          </w:rPr>
          <w:t>https://pubmed.ncbi.nlm.nih.gov/22165677/</w:t>
        </w:r>
      </w:hyperlink>
      <w:r w:rsidRPr="00155196">
        <w:t>.</w:t>
      </w:r>
    </w:p>
    <w:p w14:paraId="17C0D890" w14:textId="77777777" w:rsidR="00155196" w:rsidRPr="00155196" w:rsidRDefault="00155196" w:rsidP="00155196">
      <w:pPr>
        <w:pStyle w:val="Reference"/>
      </w:pPr>
      <w:r w:rsidRPr="00155196">
        <w:t xml:space="preserve">Dash, </w:t>
      </w:r>
      <w:proofErr w:type="spellStart"/>
      <w:r w:rsidRPr="00155196">
        <w:t>Biplab</w:t>
      </w:r>
      <w:proofErr w:type="spellEnd"/>
      <w:r w:rsidRPr="00155196">
        <w:t xml:space="preserve"> Kumar, </w:t>
      </w:r>
      <w:proofErr w:type="spellStart"/>
      <w:r w:rsidRPr="00155196">
        <w:t>Monokesh</w:t>
      </w:r>
      <w:proofErr w:type="spellEnd"/>
      <w:r w:rsidRPr="00155196">
        <w:t xml:space="preserve"> </w:t>
      </w:r>
      <w:proofErr w:type="spellStart"/>
      <w:r w:rsidRPr="00155196">
        <w:t>Kumer</w:t>
      </w:r>
      <w:proofErr w:type="spellEnd"/>
      <w:r w:rsidRPr="00155196">
        <w:t xml:space="preserve"> Sen, </w:t>
      </w:r>
      <w:proofErr w:type="spellStart"/>
      <w:r w:rsidRPr="00155196">
        <w:t>Khasrul</w:t>
      </w:r>
      <w:proofErr w:type="spellEnd"/>
      <w:r w:rsidRPr="00155196">
        <w:t xml:space="preserve"> </w:t>
      </w:r>
      <w:proofErr w:type="spellStart"/>
      <w:r w:rsidRPr="00155196">
        <w:t>Alam</w:t>
      </w:r>
      <w:proofErr w:type="spellEnd"/>
      <w:r w:rsidRPr="00155196">
        <w:t xml:space="preserve">, Kamal Hossain, </w:t>
      </w:r>
      <w:proofErr w:type="spellStart"/>
      <w:r w:rsidRPr="00155196">
        <w:t>Rezuanul</w:t>
      </w:r>
      <w:proofErr w:type="spellEnd"/>
      <w:r w:rsidRPr="00155196">
        <w:t xml:space="preserve"> Islam, </w:t>
      </w:r>
      <w:proofErr w:type="spellStart"/>
      <w:r w:rsidRPr="00155196">
        <w:t>Nilufa</w:t>
      </w:r>
      <w:proofErr w:type="spellEnd"/>
      <w:r w:rsidRPr="00155196">
        <w:t xml:space="preserve"> Akhter Banu, </w:t>
      </w:r>
      <w:proofErr w:type="spellStart"/>
      <w:r w:rsidRPr="00155196">
        <w:t>Shahedur</w:t>
      </w:r>
      <w:proofErr w:type="spellEnd"/>
      <w:r w:rsidRPr="00155196">
        <w:t xml:space="preserve"> Rahman, and Abu Hena Mostofa Jamal. 2013. “Antibacterial Activity of </w:t>
      </w:r>
      <w:r w:rsidRPr="00155196">
        <w:rPr>
          <w:rFonts w:eastAsiaTheme="majorEastAsia"/>
          <w:i/>
          <w:iCs/>
        </w:rPr>
        <w:t xml:space="preserve">Nymphaea </w:t>
      </w:r>
      <w:proofErr w:type="spellStart"/>
      <w:r w:rsidRPr="00155196">
        <w:rPr>
          <w:rFonts w:eastAsiaTheme="majorEastAsia"/>
          <w:i/>
          <w:iCs/>
        </w:rPr>
        <w:t>nouchali</w:t>
      </w:r>
      <w:proofErr w:type="spellEnd"/>
      <w:r w:rsidRPr="00155196">
        <w:t xml:space="preserve"> (</w:t>
      </w:r>
      <w:proofErr w:type="spellStart"/>
      <w:r w:rsidRPr="00155196">
        <w:t>Burm</w:t>
      </w:r>
      <w:proofErr w:type="spellEnd"/>
      <w:r w:rsidRPr="00155196">
        <w:t xml:space="preserve">. f) Flower.” </w:t>
      </w:r>
      <w:r w:rsidRPr="00155196">
        <w:rPr>
          <w:rFonts w:eastAsiaTheme="majorEastAsia"/>
          <w:i/>
          <w:iCs/>
        </w:rPr>
        <w:t>Annals of Clinical Microbiology and Antimicrobials</w:t>
      </w:r>
      <w:r w:rsidRPr="00155196">
        <w:t xml:space="preserve">, 12(1): 27. </w:t>
      </w:r>
      <w:hyperlink r:id="rId14" w:tgtFrame="_new" w:history="1">
        <w:r w:rsidRPr="00155196">
          <w:rPr>
            <w:rStyle w:val="Hyperlink"/>
            <w:rFonts w:eastAsiaTheme="majorEastAsia"/>
            <w:sz w:val="20"/>
            <w:szCs w:val="20"/>
            <w:lang w:val="en-IN"/>
          </w:rPr>
          <w:t>https://doi.org/10.1186/1476-0711-12-27</w:t>
        </w:r>
      </w:hyperlink>
      <w:r w:rsidRPr="00155196">
        <w:t>.</w:t>
      </w:r>
    </w:p>
    <w:p w14:paraId="5C40CF39" w14:textId="77777777" w:rsidR="00155196" w:rsidRPr="00155196" w:rsidRDefault="00155196" w:rsidP="00155196">
      <w:pPr>
        <w:pStyle w:val="Reference"/>
      </w:pPr>
      <w:r w:rsidRPr="00155196">
        <w:t xml:space="preserve">Desta, </w:t>
      </w:r>
      <w:proofErr w:type="spellStart"/>
      <w:r w:rsidRPr="00155196">
        <w:t>Wendesen</w:t>
      </w:r>
      <w:proofErr w:type="spellEnd"/>
      <w:r w:rsidRPr="00155196">
        <w:t xml:space="preserve"> </w:t>
      </w:r>
      <w:proofErr w:type="spellStart"/>
      <w:r w:rsidRPr="00155196">
        <w:t>Mekonin</w:t>
      </w:r>
      <w:proofErr w:type="spellEnd"/>
      <w:r w:rsidRPr="00155196">
        <w:t>, and Million Ebba Bote. 2021. “Wastewater Treatment Using a Natural Coagulant (</w:t>
      </w:r>
      <w:r w:rsidRPr="00155196">
        <w:rPr>
          <w:rFonts w:eastAsiaTheme="majorEastAsia"/>
          <w:i/>
          <w:iCs/>
        </w:rPr>
        <w:t>Moringa oleifera</w:t>
      </w:r>
      <w:r w:rsidRPr="00155196">
        <w:t xml:space="preserve"> Seeds): Optimization through Response Surface Methodology.” </w:t>
      </w:r>
      <w:proofErr w:type="spellStart"/>
      <w:r w:rsidRPr="00155196">
        <w:rPr>
          <w:rFonts w:eastAsiaTheme="majorEastAsia"/>
          <w:i/>
          <w:iCs/>
        </w:rPr>
        <w:t>Heliyon</w:t>
      </w:r>
      <w:proofErr w:type="spellEnd"/>
      <w:r w:rsidRPr="00155196">
        <w:t xml:space="preserve">, 7(11): e08451. </w:t>
      </w:r>
      <w:hyperlink r:id="rId15" w:tgtFrame="_new" w:history="1">
        <w:r w:rsidRPr="00155196">
          <w:rPr>
            <w:rStyle w:val="Hyperlink"/>
            <w:rFonts w:eastAsiaTheme="majorEastAsia"/>
            <w:sz w:val="20"/>
            <w:szCs w:val="20"/>
            <w:lang w:val="en-IN"/>
          </w:rPr>
          <w:t>https://doi.org/10.1016/j.heliyon.2021.e08451</w:t>
        </w:r>
      </w:hyperlink>
      <w:r w:rsidRPr="00155196">
        <w:t>.</w:t>
      </w:r>
    </w:p>
    <w:p w14:paraId="3D5A9F6A" w14:textId="77777777" w:rsidR="00155196" w:rsidRPr="00155196" w:rsidRDefault="00155196" w:rsidP="00155196">
      <w:pPr>
        <w:pStyle w:val="Reference"/>
      </w:pPr>
      <w:proofErr w:type="spellStart"/>
      <w:r w:rsidRPr="00155196">
        <w:t>Eriadi</w:t>
      </w:r>
      <w:proofErr w:type="spellEnd"/>
      <w:r w:rsidRPr="00155196">
        <w:t xml:space="preserve">, </w:t>
      </w:r>
      <w:proofErr w:type="spellStart"/>
      <w:r w:rsidRPr="00155196">
        <w:t>Aried</w:t>
      </w:r>
      <w:proofErr w:type="spellEnd"/>
      <w:r w:rsidRPr="00155196">
        <w:t xml:space="preserve">, </w:t>
      </w:r>
      <w:proofErr w:type="spellStart"/>
      <w:r w:rsidRPr="00155196">
        <w:t>Dwi</w:t>
      </w:r>
      <w:proofErr w:type="spellEnd"/>
      <w:r w:rsidRPr="00155196">
        <w:t xml:space="preserve"> </w:t>
      </w:r>
      <w:proofErr w:type="spellStart"/>
      <w:r w:rsidRPr="00155196">
        <w:t>Dinni</w:t>
      </w:r>
      <w:proofErr w:type="spellEnd"/>
      <w:r w:rsidRPr="00155196">
        <w:t xml:space="preserve"> </w:t>
      </w:r>
      <w:proofErr w:type="spellStart"/>
      <w:r w:rsidRPr="00155196">
        <w:t>Aulia</w:t>
      </w:r>
      <w:proofErr w:type="spellEnd"/>
      <w:r w:rsidRPr="00155196">
        <w:t xml:space="preserve"> </w:t>
      </w:r>
      <w:proofErr w:type="spellStart"/>
      <w:r w:rsidRPr="00155196">
        <w:t>Bakhtra</w:t>
      </w:r>
      <w:proofErr w:type="spellEnd"/>
      <w:r w:rsidRPr="00155196">
        <w:t xml:space="preserve">, Sonia </w:t>
      </w:r>
      <w:proofErr w:type="spellStart"/>
      <w:r w:rsidRPr="00155196">
        <w:t>Septi</w:t>
      </w:r>
      <w:proofErr w:type="spellEnd"/>
      <w:r w:rsidRPr="00155196">
        <w:t xml:space="preserve"> </w:t>
      </w:r>
      <w:proofErr w:type="spellStart"/>
      <w:r w:rsidRPr="00155196">
        <w:t>Maelani</w:t>
      </w:r>
      <w:proofErr w:type="spellEnd"/>
      <w:r w:rsidRPr="00155196">
        <w:t xml:space="preserve">, and </w:t>
      </w:r>
      <w:proofErr w:type="spellStart"/>
      <w:r w:rsidRPr="00155196">
        <w:t>Ully</w:t>
      </w:r>
      <w:proofErr w:type="spellEnd"/>
      <w:r w:rsidRPr="00155196">
        <w:t xml:space="preserve"> </w:t>
      </w:r>
      <w:proofErr w:type="spellStart"/>
      <w:r w:rsidRPr="00155196">
        <w:t>Chairunisa</w:t>
      </w:r>
      <w:proofErr w:type="spellEnd"/>
      <w:r w:rsidRPr="00155196">
        <w:t>. 2022. “Cytotoxic Test of Ethyl Acetate Extract of Breadfruit Leaves (</w:t>
      </w:r>
      <w:proofErr w:type="spellStart"/>
      <w:r w:rsidRPr="00155196">
        <w:rPr>
          <w:rFonts w:eastAsiaTheme="majorEastAsia"/>
          <w:i/>
          <w:iCs/>
        </w:rPr>
        <w:t>Artocarpus</w:t>
      </w:r>
      <w:proofErr w:type="spellEnd"/>
      <w:r w:rsidRPr="00155196">
        <w:rPr>
          <w:rFonts w:eastAsiaTheme="majorEastAsia"/>
          <w:i/>
          <w:iCs/>
        </w:rPr>
        <w:t xml:space="preserve"> </w:t>
      </w:r>
      <w:proofErr w:type="spellStart"/>
      <w:r w:rsidRPr="00155196">
        <w:rPr>
          <w:rFonts w:eastAsiaTheme="majorEastAsia"/>
          <w:i/>
          <w:iCs/>
        </w:rPr>
        <w:t>altilis</w:t>
      </w:r>
      <w:proofErr w:type="spellEnd"/>
      <w:r w:rsidRPr="00155196">
        <w:t xml:space="preserve"> (Parkinson’s ex F.A. Zorn) Fosberg) by Brine Shrimp Lethality Test Method.” </w:t>
      </w:r>
      <w:r w:rsidRPr="00155196">
        <w:rPr>
          <w:rFonts w:eastAsiaTheme="majorEastAsia"/>
          <w:i/>
          <w:iCs/>
        </w:rPr>
        <w:t>International Journal of Research Publication and Reviews</w:t>
      </w:r>
      <w:r w:rsidRPr="00155196">
        <w:t xml:space="preserve">, 3(11): 3120–3124. </w:t>
      </w:r>
      <w:hyperlink r:id="rId16" w:tgtFrame="_new" w:history="1">
        <w:r w:rsidRPr="00155196">
          <w:rPr>
            <w:rStyle w:val="Hyperlink"/>
            <w:rFonts w:eastAsiaTheme="majorEastAsia"/>
            <w:sz w:val="20"/>
            <w:szCs w:val="20"/>
            <w:lang w:val="en-IN"/>
          </w:rPr>
          <w:t>https://doi.org/10.55248/gengpi.2022.3.11.43</w:t>
        </w:r>
      </w:hyperlink>
      <w:r w:rsidRPr="00155196">
        <w:t>.</w:t>
      </w:r>
    </w:p>
    <w:p w14:paraId="58A279F3" w14:textId="77777777" w:rsidR="00155196" w:rsidRPr="00155196" w:rsidRDefault="00155196" w:rsidP="00155196">
      <w:pPr>
        <w:pStyle w:val="Reference"/>
      </w:pPr>
      <w:r w:rsidRPr="00155196">
        <w:t xml:space="preserve">Freitas, T. K. F. S., V. M. Oliveira, M. T. F. de Souza, H. C. L. Geraldino, V. C. Almeida, S. L. </w:t>
      </w:r>
      <w:proofErr w:type="spellStart"/>
      <w:r w:rsidRPr="00155196">
        <w:t>Fávaro</w:t>
      </w:r>
      <w:proofErr w:type="spellEnd"/>
      <w:r w:rsidRPr="00155196">
        <w:t>, and J. C. Garcia. 2015. “Optimization of Coagulation-Flocculation Process for Treatment of Industrial Textile Wastewater Using Okra (</w:t>
      </w:r>
      <w:r w:rsidRPr="00155196">
        <w:rPr>
          <w:rFonts w:eastAsiaTheme="majorEastAsia"/>
          <w:i/>
          <w:iCs/>
        </w:rPr>
        <w:t>A. esculentus</w:t>
      </w:r>
      <w:r w:rsidRPr="00155196">
        <w:t xml:space="preserve">) Mucilage as Natural Coagulant.” </w:t>
      </w:r>
      <w:r w:rsidRPr="00155196">
        <w:rPr>
          <w:rFonts w:eastAsiaTheme="majorEastAsia"/>
          <w:i/>
          <w:iCs/>
        </w:rPr>
        <w:t>Industrial Crops and Products</w:t>
      </w:r>
      <w:r w:rsidRPr="00155196">
        <w:t xml:space="preserve">, 76: 538–544. </w:t>
      </w:r>
      <w:hyperlink r:id="rId17" w:tgtFrame="_new" w:history="1">
        <w:r w:rsidRPr="00155196">
          <w:rPr>
            <w:rStyle w:val="Hyperlink"/>
            <w:rFonts w:eastAsiaTheme="majorEastAsia"/>
            <w:sz w:val="20"/>
            <w:szCs w:val="20"/>
            <w:lang w:val="en-IN"/>
          </w:rPr>
          <w:t>https://doi.org/10.1016/j.indcrop.2015.06.027</w:t>
        </w:r>
      </w:hyperlink>
      <w:r w:rsidRPr="00155196">
        <w:t>.</w:t>
      </w:r>
    </w:p>
    <w:p w14:paraId="6C2D5450" w14:textId="77777777" w:rsidR="00155196" w:rsidRPr="00155196" w:rsidRDefault="00155196" w:rsidP="00155196">
      <w:pPr>
        <w:pStyle w:val="Reference"/>
      </w:pPr>
      <w:r w:rsidRPr="00155196">
        <w:t>Jagtap, U. B., and V. A. Bapat. 2010. “</w:t>
      </w:r>
      <w:r w:rsidRPr="00155196">
        <w:rPr>
          <w:rFonts w:eastAsiaTheme="majorEastAsia"/>
          <w:i/>
          <w:iCs/>
        </w:rPr>
        <w:t>Artocarpus</w:t>
      </w:r>
      <w:r w:rsidRPr="00155196">
        <w:t xml:space="preserve">: A Review of Its Traditional Uses, Phytochemistry and Pharmacology.” </w:t>
      </w:r>
      <w:r w:rsidRPr="00155196">
        <w:rPr>
          <w:rFonts w:eastAsiaTheme="majorEastAsia"/>
          <w:i/>
          <w:iCs/>
        </w:rPr>
        <w:t>Journal of Ethnopharmacology</w:t>
      </w:r>
      <w:r w:rsidRPr="00155196">
        <w:t xml:space="preserve">, 129(2): 142–166. </w:t>
      </w:r>
      <w:hyperlink r:id="rId18" w:tgtFrame="_new" w:history="1">
        <w:r w:rsidRPr="00155196">
          <w:rPr>
            <w:rStyle w:val="Hyperlink"/>
            <w:rFonts w:eastAsiaTheme="majorEastAsia"/>
            <w:sz w:val="20"/>
            <w:szCs w:val="20"/>
            <w:lang w:val="en-IN"/>
          </w:rPr>
          <w:t>https://doi.org/10.1016/j.jep.2010.03.031</w:t>
        </w:r>
      </w:hyperlink>
      <w:r w:rsidRPr="00155196">
        <w:t>.</w:t>
      </w:r>
    </w:p>
    <w:p w14:paraId="220876A1" w14:textId="77777777" w:rsidR="00155196" w:rsidRPr="00155196" w:rsidRDefault="00155196" w:rsidP="00155196">
      <w:pPr>
        <w:pStyle w:val="Reference"/>
      </w:pPr>
      <w:r w:rsidRPr="00155196">
        <w:t xml:space="preserve">Jalal, Tara Kamal, Idris Adewale Ahmed, Maryam </w:t>
      </w:r>
      <w:proofErr w:type="spellStart"/>
      <w:r w:rsidRPr="00155196">
        <w:t>Mikail</w:t>
      </w:r>
      <w:proofErr w:type="spellEnd"/>
      <w:r w:rsidRPr="00155196">
        <w:t xml:space="preserve">, </w:t>
      </w:r>
      <w:proofErr w:type="spellStart"/>
      <w:r w:rsidRPr="00155196">
        <w:t>Lailuma</w:t>
      </w:r>
      <w:proofErr w:type="spellEnd"/>
      <w:r w:rsidRPr="00155196">
        <w:t xml:space="preserve"> </w:t>
      </w:r>
      <w:proofErr w:type="spellStart"/>
      <w:r w:rsidRPr="00155196">
        <w:t>Momand</w:t>
      </w:r>
      <w:proofErr w:type="spellEnd"/>
      <w:r w:rsidRPr="00155196">
        <w:t xml:space="preserve">, </w:t>
      </w:r>
      <w:proofErr w:type="spellStart"/>
      <w:r w:rsidRPr="00155196">
        <w:t>Samsul</w:t>
      </w:r>
      <w:proofErr w:type="spellEnd"/>
      <w:r w:rsidRPr="00155196">
        <w:t xml:space="preserve"> </w:t>
      </w:r>
      <w:proofErr w:type="spellStart"/>
      <w:r w:rsidRPr="00155196">
        <w:t>Draman</w:t>
      </w:r>
      <w:proofErr w:type="spellEnd"/>
      <w:r w:rsidRPr="00155196">
        <w:t xml:space="preserve">, Muhammad Lokman Md Isa, Mohammad Syaiful Bahari Abdull Rasad, Muhammad Nor Omar, Muhammad Ibrahim, and Ridhwan Abdul Wahab. 2015. “Evaluation of Antioxidant, Total Phenol and Flavonoid Content and Antimicrobial Activities of </w:t>
      </w:r>
      <w:proofErr w:type="spellStart"/>
      <w:r w:rsidRPr="00155196">
        <w:rPr>
          <w:rFonts w:eastAsiaTheme="majorEastAsia"/>
          <w:i/>
          <w:iCs/>
        </w:rPr>
        <w:t>Artocarpus</w:t>
      </w:r>
      <w:proofErr w:type="spellEnd"/>
      <w:r w:rsidRPr="00155196">
        <w:rPr>
          <w:rFonts w:eastAsiaTheme="majorEastAsia"/>
          <w:i/>
          <w:iCs/>
        </w:rPr>
        <w:t xml:space="preserve"> </w:t>
      </w:r>
      <w:proofErr w:type="spellStart"/>
      <w:r w:rsidRPr="00155196">
        <w:rPr>
          <w:rFonts w:eastAsiaTheme="majorEastAsia"/>
          <w:i/>
          <w:iCs/>
        </w:rPr>
        <w:t>altilis</w:t>
      </w:r>
      <w:proofErr w:type="spellEnd"/>
      <w:r w:rsidRPr="00155196">
        <w:t xml:space="preserve"> (Breadfruit) of Underutilized Tropical Fruit Extracts.” </w:t>
      </w:r>
      <w:r w:rsidRPr="00155196">
        <w:rPr>
          <w:rFonts w:eastAsiaTheme="majorEastAsia"/>
          <w:i/>
          <w:iCs/>
        </w:rPr>
        <w:t>Applied Biochemistry and Biotechnology</w:t>
      </w:r>
      <w:r w:rsidRPr="00155196">
        <w:t xml:space="preserve">, 175: 3231–3243. </w:t>
      </w:r>
      <w:hyperlink r:id="rId19" w:tgtFrame="_new" w:history="1">
        <w:r w:rsidRPr="00155196">
          <w:rPr>
            <w:rStyle w:val="Hyperlink"/>
            <w:rFonts w:eastAsiaTheme="majorEastAsia"/>
            <w:sz w:val="20"/>
            <w:szCs w:val="20"/>
            <w:lang w:val="en-IN"/>
          </w:rPr>
          <w:t>https://doi.org/10.1007/s12010-015-1499-0</w:t>
        </w:r>
      </w:hyperlink>
      <w:r w:rsidRPr="00155196">
        <w:t>.</w:t>
      </w:r>
    </w:p>
    <w:p w14:paraId="39BBB1D1" w14:textId="77777777" w:rsidR="00155196" w:rsidRPr="00155196" w:rsidRDefault="00155196" w:rsidP="00155196">
      <w:pPr>
        <w:pStyle w:val="Reference"/>
      </w:pPr>
      <w:r w:rsidRPr="00155196">
        <w:t xml:space="preserve">Jangir, Lokesh Kumar, Apoorva Singh, Abhishek R. Rai, Varad Nagar, Garima Awasthi, Poonam Kumari, Ragini Gupta, </w:t>
      </w:r>
      <w:proofErr w:type="spellStart"/>
      <w:r w:rsidRPr="00155196">
        <w:t>Kumud</w:t>
      </w:r>
      <w:proofErr w:type="spellEnd"/>
      <w:r w:rsidRPr="00155196">
        <w:t xml:space="preserve"> Kant Awasthi, </w:t>
      </w:r>
      <w:proofErr w:type="spellStart"/>
      <w:r w:rsidRPr="00155196">
        <w:t>Kamlendra</w:t>
      </w:r>
      <w:proofErr w:type="spellEnd"/>
      <w:r w:rsidRPr="00155196">
        <w:t xml:space="preserve"> Awasthi, and </w:t>
      </w:r>
      <w:proofErr w:type="spellStart"/>
      <w:r w:rsidRPr="00155196">
        <w:t>Mahipal</w:t>
      </w:r>
      <w:proofErr w:type="spellEnd"/>
      <w:r w:rsidRPr="00155196">
        <w:t xml:space="preserve"> Singh Sankhla. 2024. “Green Solution for Heavy Metal Removal: Utilizing Banana Peel Waste as a Sustainable and Effective Adsorbent.” </w:t>
      </w:r>
      <w:r w:rsidRPr="00155196">
        <w:rPr>
          <w:rFonts w:eastAsiaTheme="majorEastAsia"/>
          <w:i/>
          <w:iCs/>
        </w:rPr>
        <w:t xml:space="preserve">Letters in Applied </w:t>
      </w:r>
      <w:proofErr w:type="spellStart"/>
      <w:r w:rsidRPr="00155196">
        <w:rPr>
          <w:rFonts w:eastAsiaTheme="majorEastAsia"/>
          <w:i/>
          <w:iCs/>
        </w:rPr>
        <w:t>NanoBioScience</w:t>
      </w:r>
      <w:proofErr w:type="spellEnd"/>
      <w:r w:rsidRPr="00155196">
        <w:t xml:space="preserve">, 13(2): 95. </w:t>
      </w:r>
      <w:hyperlink r:id="rId20" w:tgtFrame="_new" w:history="1">
        <w:r w:rsidRPr="00155196">
          <w:rPr>
            <w:rStyle w:val="Hyperlink"/>
            <w:rFonts w:eastAsiaTheme="majorEastAsia"/>
            <w:sz w:val="20"/>
            <w:szCs w:val="20"/>
            <w:lang w:val="en-IN"/>
          </w:rPr>
          <w:t>https://doi.org/10.33263/LIANBS132.095</w:t>
        </w:r>
      </w:hyperlink>
      <w:r w:rsidRPr="00155196">
        <w:t>.</w:t>
      </w:r>
    </w:p>
    <w:p w14:paraId="70A162A9" w14:textId="77777777" w:rsidR="00155196" w:rsidRPr="00155196" w:rsidRDefault="00155196" w:rsidP="00155196">
      <w:pPr>
        <w:pStyle w:val="Reference"/>
      </w:pPr>
      <w:r w:rsidRPr="00155196">
        <w:t xml:space="preserve">Jenkins, Rowena, and Sarah Maddocks. 2019. “Antimicrobial Testing.” In </w:t>
      </w:r>
      <w:r w:rsidRPr="00155196">
        <w:rPr>
          <w:rFonts w:eastAsiaTheme="majorEastAsia"/>
          <w:i/>
          <w:iCs/>
        </w:rPr>
        <w:t>Bacteriology Methods for the Study of Infectious Diseases</w:t>
      </w:r>
      <w:r w:rsidRPr="00155196">
        <w:t>, 73–97. Amsterdam, Netherlands: Elsevier.</w:t>
      </w:r>
    </w:p>
    <w:p w14:paraId="7A52CF06" w14:textId="77777777" w:rsidR="00155196" w:rsidRPr="00155196" w:rsidRDefault="00155196" w:rsidP="00155196">
      <w:pPr>
        <w:pStyle w:val="Reference"/>
      </w:pPr>
      <w:r w:rsidRPr="00155196">
        <w:t xml:space="preserve">Karim, </w:t>
      </w:r>
      <w:proofErr w:type="spellStart"/>
      <w:r w:rsidRPr="00155196">
        <w:t>Mobarok</w:t>
      </w:r>
      <w:proofErr w:type="spellEnd"/>
      <w:r w:rsidRPr="00155196">
        <w:t xml:space="preserve">, </w:t>
      </w:r>
      <w:proofErr w:type="spellStart"/>
      <w:r w:rsidRPr="00155196">
        <w:t>Tahera</w:t>
      </w:r>
      <w:proofErr w:type="spellEnd"/>
      <w:r w:rsidRPr="00155196">
        <w:t xml:space="preserve"> Lasker, Ali </w:t>
      </w:r>
      <w:proofErr w:type="spellStart"/>
      <w:r w:rsidRPr="00155196">
        <w:t>Zaber</w:t>
      </w:r>
      <w:proofErr w:type="spellEnd"/>
      <w:r w:rsidRPr="00155196">
        <w:t xml:space="preserve"> </w:t>
      </w:r>
      <w:proofErr w:type="spellStart"/>
      <w:r w:rsidRPr="00155196">
        <w:t>Sahin</w:t>
      </w:r>
      <w:proofErr w:type="spellEnd"/>
      <w:r w:rsidRPr="00155196">
        <w:t xml:space="preserve">, </w:t>
      </w:r>
      <w:proofErr w:type="spellStart"/>
      <w:r w:rsidRPr="00155196">
        <w:t>Shajjad</w:t>
      </w:r>
      <w:proofErr w:type="spellEnd"/>
      <w:r w:rsidRPr="00155196">
        <w:t xml:space="preserve"> Hossain, and </w:t>
      </w:r>
      <w:proofErr w:type="spellStart"/>
      <w:r w:rsidRPr="00155196">
        <w:t>Heru</w:t>
      </w:r>
      <w:proofErr w:type="spellEnd"/>
      <w:r w:rsidRPr="00155196">
        <w:t xml:space="preserve"> Agung Saputra. 2023. “Low-Cost Production of Chitosan Biopolymer from Seafood Waste: Extraction and Physiochemical Characterization.” </w:t>
      </w:r>
      <w:r w:rsidRPr="00155196">
        <w:rPr>
          <w:rFonts w:eastAsiaTheme="majorEastAsia"/>
          <w:i/>
          <w:iCs/>
        </w:rPr>
        <w:t>Journal of Research Updates in Polymer Science</w:t>
      </w:r>
      <w:r w:rsidRPr="00155196">
        <w:t>, 12: 17–26. 10.6000/1929-5995.2024.13.03.</w:t>
      </w:r>
    </w:p>
    <w:p w14:paraId="55DD0D18" w14:textId="77777777" w:rsidR="00155196" w:rsidRPr="00155196" w:rsidRDefault="00155196" w:rsidP="00155196">
      <w:pPr>
        <w:pStyle w:val="Reference"/>
      </w:pPr>
      <w:r w:rsidRPr="00155196">
        <w:t xml:space="preserve">Ke, Cai-Ling, Fu-Sheng Deng, Chih-Yu Chuang, and Ching Hsuan Lin. 2021. “Antimicrobial Actions and Applications of Chitosan.” </w:t>
      </w:r>
      <w:r w:rsidRPr="00155196">
        <w:rPr>
          <w:rFonts w:eastAsiaTheme="majorEastAsia"/>
          <w:i/>
          <w:iCs/>
        </w:rPr>
        <w:t>Polymers</w:t>
      </w:r>
      <w:r w:rsidRPr="00155196">
        <w:t xml:space="preserve">, 13(6): 904. </w:t>
      </w:r>
      <w:hyperlink r:id="rId21" w:tgtFrame="_new" w:history="1">
        <w:r w:rsidRPr="00155196">
          <w:rPr>
            <w:rStyle w:val="Hyperlink"/>
            <w:rFonts w:eastAsiaTheme="majorEastAsia"/>
            <w:sz w:val="20"/>
            <w:szCs w:val="20"/>
            <w:lang w:val="en-IN"/>
          </w:rPr>
          <w:t>https://doi.org/10.3390/polym13060904</w:t>
        </w:r>
      </w:hyperlink>
      <w:r w:rsidRPr="00155196">
        <w:t>.</w:t>
      </w:r>
    </w:p>
    <w:p w14:paraId="1C4C2B8F" w14:textId="77777777" w:rsidR="00155196" w:rsidRPr="00155196" w:rsidRDefault="00155196" w:rsidP="00155196">
      <w:pPr>
        <w:pStyle w:val="Reference"/>
      </w:pPr>
      <w:r w:rsidRPr="00155196">
        <w:t xml:space="preserve">Khursheed, Aadil, Manzoor A. Rather, Vikrant Jain, Ab Rouf Wani, Shahid Rasool, Rukhsana Nazir, Nisar Ahmad Malik, and Sheikh Abdul Majid. 2022. “Plant Based Natural Products as Potential Ecofriendly and Safer Biopesticides: A Comprehensive Overview of Their Advantages over Conventional Pesticides, Limitations and Regulatory Aspects.” </w:t>
      </w:r>
      <w:r w:rsidRPr="00155196">
        <w:rPr>
          <w:rFonts w:eastAsiaTheme="majorEastAsia"/>
          <w:i/>
          <w:iCs/>
        </w:rPr>
        <w:t>Microbial Pathogenesis</w:t>
      </w:r>
      <w:r w:rsidRPr="00155196">
        <w:t>, 173: 105854. doi.org/10.1016/j.micpath.2022.105854.</w:t>
      </w:r>
    </w:p>
    <w:p w14:paraId="312FDE9F" w14:textId="77777777" w:rsidR="00155196" w:rsidRPr="00155196" w:rsidRDefault="00155196" w:rsidP="00155196">
      <w:pPr>
        <w:pStyle w:val="Reference"/>
      </w:pPr>
      <w:proofErr w:type="spellStart"/>
      <w:r w:rsidRPr="00155196">
        <w:t>Kiranmai</w:t>
      </w:r>
      <w:proofErr w:type="spellEnd"/>
      <w:r w:rsidRPr="00155196">
        <w:t xml:space="preserve">, </w:t>
      </w:r>
      <w:proofErr w:type="spellStart"/>
      <w:r w:rsidRPr="00155196">
        <w:t>Basani</w:t>
      </w:r>
      <w:proofErr w:type="spellEnd"/>
      <w:r w:rsidRPr="00155196">
        <w:t xml:space="preserve">, Mondi </w:t>
      </w:r>
      <w:proofErr w:type="spellStart"/>
      <w:r w:rsidRPr="00155196">
        <w:t>Sandhyarani</w:t>
      </w:r>
      <w:proofErr w:type="spellEnd"/>
      <w:r w:rsidRPr="00155196">
        <w:t>, and Ashok Kumar Tiwari. 2023. “Water Lily (</w:t>
      </w:r>
      <w:r w:rsidRPr="00155196">
        <w:rPr>
          <w:rFonts w:eastAsiaTheme="majorEastAsia"/>
          <w:i/>
          <w:iCs/>
        </w:rPr>
        <w:t xml:space="preserve">Nymphaea </w:t>
      </w:r>
      <w:proofErr w:type="spellStart"/>
      <w:r w:rsidRPr="00155196">
        <w:rPr>
          <w:rFonts w:eastAsiaTheme="majorEastAsia"/>
          <w:i/>
          <w:iCs/>
        </w:rPr>
        <w:t>nouchali</w:t>
      </w:r>
      <w:proofErr w:type="spellEnd"/>
      <w:r w:rsidRPr="00155196">
        <w:t xml:space="preserve"> </w:t>
      </w:r>
      <w:proofErr w:type="spellStart"/>
      <w:r w:rsidRPr="00155196">
        <w:t>Burm</w:t>
      </w:r>
      <w:proofErr w:type="spellEnd"/>
      <w:r w:rsidRPr="00155196">
        <w:t xml:space="preserve">. f): An Ancient Treasure of Food and Medicine.” </w:t>
      </w:r>
      <w:r w:rsidRPr="00155196">
        <w:rPr>
          <w:rFonts w:eastAsiaTheme="majorEastAsia"/>
          <w:i/>
          <w:iCs/>
        </w:rPr>
        <w:t>Pharmacognosy Research</w:t>
      </w:r>
      <w:r w:rsidRPr="00155196">
        <w:t>, 15(2): 226–234. 10.5530/pres.15.2.024.</w:t>
      </w:r>
    </w:p>
    <w:p w14:paraId="147C5327" w14:textId="77777777" w:rsidR="00155196" w:rsidRPr="00155196" w:rsidRDefault="00155196" w:rsidP="00155196">
      <w:pPr>
        <w:pStyle w:val="Reference"/>
      </w:pPr>
      <w:r w:rsidRPr="00155196">
        <w:t xml:space="preserve">Koul, Bhupendra, Nargis Bhat, Mustapha Abubakar, </w:t>
      </w:r>
      <w:proofErr w:type="spellStart"/>
      <w:r w:rsidRPr="00155196">
        <w:t>Meerambika</w:t>
      </w:r>
      <w:proofErr w:type="spellEnd"/>
      <w:r w:rsidRPr="00155196">
        <w:t xml:space="preserve"> Mishra, Ananta Prasad Arukha, and Dhananjay Yadav. 2022. “Application of Natural Coagulants in Water Treatment: A Sustainable Alternative to Chemicals.” </w:t>
      </w:r>
      <w:r w:rsidRPr="00155196">
        <w:rPr>
          <w:rFonts w:eastAsiaTheme="majorEastAsia"/>
          <w:i/>
          <w:iCs/>
        </w:rPr>
        <w:t>Water</w:t>
      </w:r>
      <w:r w:rsidRPr="00155196">
        <w:t xml:space="preserve">, 14(22): 3751. </w:t>
      </w:r>
      <w:hyperlink r:id="rId22" w:tgtFrame="_new" w:history="1">
        <w:r w:rsidRPr="00155196">
          <w:rPr>
            <w:rStyle w:val="Hyperlink"/>
            <w:rFonts w:eastAsiaTheme="majorEastAsia"/>
            <w:sz w:val="20"/>
            <w:szCs w:val="20"/>
            <w:lang w:val="en-IN"/>
          </w:rPr>
          <w:t>https://doi.org/10.3390/w14223751</w:t>
        </w:r>
      </w:hyperlink>
      <w:r w:rsidRPr="00155196">
        <w:t>.</w:t>
      </w:r>
    </w:p>
    <w:p w14:paraId="008ECD66" w14:textId="77777777" w:rsidR="00155196" w:rsidRPr="00155196" w:rsidRDefault="00155196" w:rsidP="00155196">
      <w:pPr>
        <w:pStyle w:val="Reference"/>
      </w:pPr>
      <w:r w:rsidRPr="00155196">
        <w:t xml:space="preserve">Kumar, A. K., S. Babu, and K. Ammani. 2013. “Antimicrobial and Phytochemical Analysis of </w:t>
      </w:r>
      <w:r w:rsidRPr="00155196">
        <w:rPr>
          <w:rFonts w:eastAsiaTheme="majorEastAsia"/>
          <w:i/>
          <w:iCs/>
        </w:rPr>
        <w:t xml:space="preserve">Nymphaea </w:t>
      </w:r>
      <w:proofErr w:type="spellStart"/>
      <w:r w:rsidRPr="00155196">
        <w:rPr>
          <w:rFonts w:eastAsiaTheme="majorEastAsia"/>
          <w:i/>
          <w:iCs/>
        </w:rPr>
        <w:t>nauchali</w:t>
      </w:r>
      <w:proofErr w:type="spellEnd"/>
      <w:r w:rsidRPr="00155196">
        <w:t xml:space="preserve"> Leaf Extracts.” </w:t>
      </w:r>
      <w:r w:rsidRPr="00155196">
        <w:rPr>
          <w:rFonts w:eastAsiaTheme="majorEastAsia"/>
          <w:i/>
          <w:iCs/>
        </w:rPr>
        <w:t>International Journal of Research and Reviews in Pharmacy and Applied Science</w:t>
      </w:r>
      <w:r w:rsidRPr="00155196">
        <w:t xml:space="preserve">, 2(2): 142–151. </w:t>
      </w:r>
      <w:hyperlink r:id="rId23" w:tgtFrame="_new" w:history="1">
        <w:r w:rsidRPr="00155196">
          <w:rPr>
            <w:rStyle w:val="Hyperlink"/>
            <w:rFonts w:eastAsiaTheme="majorEastAsia"/>
            <w:sz w:val="20"/>
            <w:szCs w:val="20"/>
            <w:lang w:val="en-IN"/>
          </w:rPr>
          <w:t>https://www.researchgate.net/publication/371037059_ANTIMICROBIAL_AND_PHYTOCHEMICAL_ANALYSIS_OF_NYMPHAEA_NAUCHALI_LEAF_EXTRACTS_Corresponding_Author</w:t>
        </w:r>
      </w:hyperlink>
      <w:r w:rsidRPr="00155196">
        <w:t>.</w:t>
      </w:r>
    </w:p>
    <w:p w14:paraId="016A6773" w14:textId="77777777" w:rsidR="00155196" w:rsidRPr="00155196" w:rsidRDefault="00155196" w:rsidP="00155196">
      <w:pPr>
        <w:pStyle w:val="Reference"/>
      </w:pPr>
      <w:r w:rsidRPr="00155196">
        <w:t xml:space="preserve">Lemma, M., A. W. </w:t>
      </w:r>
      <w:proofErr w:type="spellStart"/>
      <w:r w:rsidRPr="00155196">
        <w:t>Kalsido</w:t>
      </w:r>
      <w:proofErr w:type="spellEnd"/>
      <w:r w:rsidRPr="00155196">
        <w:t xml:space="preserve">, and M. W. Wotee. 2024. “Removal of River Water Turbidity and Total Dissolved Solids Using Natural Coagulants Derived from Banana Peel and </w:t>
      </w:r>
      <w:r w:rsidRPr="00155196">
        <w:rPr>
          <w:rFonts w:eastAsiaTheme="majorEastAsia"/>
          <w:i/>
          <w:iCs/>
        </w:rPr>
        <w:t xml:space="preserve">Moringa </w:t>
      </w:r>
      <w:proofErr w:type="spellStart"/>
      <w:r w:rsidRPr="00155196">
        <w:rPr>
          <w:rFonts w:eastAsiaTheme="majorEastAsia"/>
          <w:i/>
          <w:iCs/>
        </w:rPr>
        <w:t>stenopetala</w:t>
      </w:r>
      <w:proofErr w:type="spellEnd"/>
      <w:r w:rsidRPr="00155196">
        <w:t xml:space="preserve"> Seed.” </w:t>
      </w:r>
      <w:r w:rsidRPr="00155196">
        <w:rPr>
          <w:rFonts w:eastAsiaTheme="majorEastAsia"/>
          <w:i/>
          <w:iCs/>
        </w:rPr>
        <w:t>AQUA - Water Infrastructure, Ecosystems and Society</w:t>
      </w:r>
      <w:r w:rsidRPr="00155196">
        <w:t xml:space="preserve">, 73(7): 1467–1493. </w:t>
      </w:r>
      <w:hyperlink r:id="rId24" w:tgtFrame="_new" w:history="1">
        <w:r w:rsidRPr="00155196">
          <w:rPr>
            <w:rStyle w:val="Hyperlink"/>
            <w:rFonts w:eastAsiaTheme="majorEastAsia"/>
            <w:sz w:val="20"/>
            <w:szCs w:val="20"/>
            <w:lang w:val="en-IN"/>
          </w:rPr>
          <w:t>https://doi.org/10.2166/aqua.2024.130</w:t>
        </w:r>
      </w:hyperlink>
      <w:r w:rsidRPr="00155196">
        <w:t>.</w:t>
      </w:r>
    </w:p>
    <w:p w14:paraId="6A0F4C64" w14:textId="77777777" w:rsidR="00155196" w:rsidRPr="00155196" w:rsidRDefault="00155196" w:rsidP="00155196">
      <w:pPr>
        <w:pStyle w:val="Reference"/>
      </w:pPr>
      <w:r w:rsidRPr="00155196">
        <w:t>Mehta, Kervyn Ajay, Yu Chin Rina Quek, and Christiani Jeyakumar Henry. 2023. “Breadfruit (</w:t>
      </w:r>
      <w:proofErr w:type="spellStart"/>
      <w:r w:rsidRPr="00155196">
        <w:rPr>
          <w:rFonts w:eastAsiaTheme="majorEastAsia"/>
          <w:i/>
          <w:iCs/>
        </w:rPr>
        <w:t>Artocarpus</w:t>
      </w:r>
      <w:proofErr w:type="spellEnd"/>
      <w:r w:rsidRPr="00155196">
        <w:rPr>
          <w:rFonts w:eastAsiaTheme="majorEastAsia"/>
          <w:i/>
          <w:iCs/>
        </w:rPr>
        <w:t xml:space="preserve"> </w:t>
      </w:r>
      <w:proofErr w:type="spellStart"/>
      <w:r w:rsidRPr="00155196">
        <w:rPr>
          <w:rFonts w:eastAsiaTheme="majorEastAsia"/>
          <w:i/>
          <w:iCs/>
        </w:rPr>
        <w:t>altilis</w:t>
      </w:r>
      <w:proofErr w:type="spellEnd"/>
      <w:r w:rsidRPr="00155196">
        <w:t xml:space="preserve">): Processing, Nutritional Quality, and Food Applications.” </w:t>
      </w:r>
      <w:r w:rsidRPr="00155196">
        <w:rPr>
          <w:rFonts w:eastAsiaTheme="majorEastAsia"/>
          <w:i/>
          <w:iCs/>
        </w:rPr>
        <w:t>Frontiers in Nutrition</w:t>
      </w:r>
      <w:r w:rsidRPr="00155196">
        <w:t xml:space="preserve">, 10: 1–15. </w:t>
      </w:r>
      <w:hyperlink r:id="rId25" w:tgtFrame="_new" w:history="1">
        <w:r w:rsidRPr="00155196">
          <w:rPr>
            <w:rStyle w:val="Hyperlink"/>
            <w:rFonts w:eastAsiaTheme="majorEastAsia"/>
            <w:sz w:val="20"/>
            <w:szCs w:val="20"/>
            <w:lang w:val="en-IN"/>
          </w:rPr>
          <w:t>https://doi.org/10.3389/fnut.2023.1156155</w:t>
        </w:r>
      </w:hyperlink>
      <w:r w:rsidRPr="00155196">
        <w:t>.</w:t>
      </w:r>
    </w:p>
    <w:p w14:paraId="67F284B5" w14:textId="77777777" w:rsidR="00155196" w:rsidRPr="00155196" w:rsidRDefault="00155196" w:rsidP="00155196">
      <w:pPr>
        <w:pStyle w:val="Reference"/>
      </w:pPr>
      <w:proofErr w:type="spellStart"/>
      <w:r w:rsidRPr="00155196">
        <w:t>Muyibi</w:t>
      </w:r>
      <w:proofErr w:type="spellEnd"/>
      <w:r w:rsidRPr="00155196">
        <w:t>, Suleyman A., Hamzah M. Salleh, Mohd Ramlan M. Salleh, and Jalan Gombak. 2009. “</w:t>
      </w:r>
      <w:r w:rsidRPr="00155196">
        <w:rPr>
          <w:rFonts w:eastAsiaTheme="majorEastAsia"/>
          <w:i/>
          <w:iCs/>
        </w:rPr>
        <w:t>Moringa oleifera</w:t>
      </w:r>
      <w:r w:rsidRPr="00155196">
        <w:t xml:space="preserve"> Seeds as Natural Coagulant for Water Treatment.” </w:t>
      </w:r>
      <w:r w:rsidRPr="00155196">
        <w:rPr>
          <w:rFonts w:eastAsiaTheme="majorEastAsia"/>
          <w:i/>
          <w:iCs/>
        </w:rPr>
        <w:t>Water Technology</w:t>
      </w:r>
      <w:r w:rsidRPr="00155196">
        <w:t>, 13(</w:t>
      </w:r>
      <w:proofErr w:type="spellStart"/>
      <w:r w:rsidRPr="00155196">
        <w:t>coagulacion</w:t>
      </w:r>
      <w:proofErr w:type="spellEnd"/>
      <w:r w:rsidRPr="00155196">
        <w:t xml:space="preserve"> de </w:t>
      </w:r>
      <w:proofErr w:type="spellStart"/>
      <w:r w:rsidRPr="00155196">
        <w:t>aguas</w:t>
      </w:r>
      <w:proofErr w:type="spellEnd"/>
      <w:r w:rsidRPr="00155196">
        <w:t xml:space="preserve"> </w:t>
      </w:r>
      <w:proofErr w:type="spellStart"/>
      <w:r w:rsidRPr="00155196">
        <w:t>residuales</w:t>
      </w:r>
      <w:proofErr w:type="spellEnd"/>
      <w:r w:rsidRPr="00155196">
        <w:t xml:space="preserve">): 163–168. </w:t>
      </w:r>
      <w:hyperlink r:id="rId26" w:tgtFrame="_new" w:history="1">
        <w:r w:rsidRPr="00155196">
          <w:rPr>
            <w:rStyle w:val="Hyperlink"/>
            <w:rFonts w:eastAsiaTheme="majorEastAsia"/>
            <w:sz w:val="20"/>
            <w:szCs w:val="20"/>
            <w:lang w:val="en-IN"/>
          </w:rPr>
          <w:t>https://www.researchgate.net/publication/242313845_MORINGA_OLEIFERA_SEEDS_AS_NATURAL_COAGULANT_FOR_WATER_TREATMENT</w:t>
        </w:r>
      </w:hyperlink>
      <w:r w:rsidRPr="00155196">
        <w:t>.</w:t>
      </w:r>
    </w:p>
    <w:p w14:paraId="5DDA0651" w14:textId="77777777" w:rsidR="00155196" w:rsidRPr="00155196" w:rsidRDefault="00155196" w:rsidP="00155196">
      <w:pPr>
        <w:pStyle w:val="Reference"/>
      </w:pPr>
      <w:r w:rsidRPr="00155196">
        <w:lastRenderedPageBreak/>
        <w:t xml:space="preserve">Nada, M. </w:t>
      </w:r>
      <w:proofErr w:type="spellStart"/>
      <w:r w:rsidRPr="00155196">
        <w:t>Jawi</w:t>
      </w:r>
      <w:proofErr w:type="spellEnd"/>
      <w:r w:rsidRPr="00155196">
        <w:t xml:space="preserve">, </w:t>
      </w:r>
      <w:proofErr w:type="spellStart"/>
      <w:r w:rsidRPr="00155196">
        <w:t>Bint</w:t>
      </w:r>
      <w:proofErr w:type="spellEnd"/>
      <w:r w:rsidRPr="00155196">
        <w:t xml:space="preserve"> </w:t>
      </w:r>
      <w:proofErr w:type="spellStart"/>
      <w:r w:rsidRPr="00155196">
        <w:t>Sasud</w:t>
      </w:r>
      <w:proofErr w:type="spellEnd"/>
      <w:r w:rsidRPr="00155196">
        <w:t xml:space="preserve"> Al-Saud Najla, Othman Y. </w:t>
      </w:r>
      <w:proofErr w:type="spellStart"/>
      <w:r w:rsidRPr="00155196">
        <w:t>Alyahyawy</w:t>
      </w:r>
      <w:proofErr w:type="spellEnd"/>
      <w:r w:rsidRPr="00155196">
        <w:t xml:space="preserve">, and Salah E. M. Abo-Aba. 2025. “Water Contamination and Disinfection: A Review.” </w:t>
      </w:r>
      <w:r w:rsidRPr="00155196">
        <w:rPr>
          <w:rFonts w:eastAsiaTheme="majorEastAsia"/>
          <w:i/>
          <w:iCs/>
        </w:rPr>
        <w:t>Journal of Pioneering Medical Sciences</w:t>
      </w:r>
      <w:r w:rsidRPr="00155196">
        <w:t xml:space="preserve">, 14(2): 96–102. </w:t>
      </w:r>
      <w:hyperlink r:id="rId27" w:tgtFrame="_new" w:history="1">
        <w:r w:rsidRPr="00155196">
          <w:rPr>
            <w:rStyle w:val="Hyperlink"/>
            <w:rFonts w:eastAsiaTheme="majorEastAsia"/>
            <w:sz w:val="20"/>
            <w:szCs w:val="20"/>
            <w:lang w:val="en-IN"/>
          </w:rPr>
          <w:t>https://doi.org/10.47310/jpms2025140215</w:t>
        </w:r>
      </w:hyperlink>
      <w:r w:rsidRPr="00155196">
        <w:t>.</w:t>
      </w:r>
    </w:p>
    <w:p w14:paraId="10314737" w14:textId="77777777" w:rsidR="00155196" w:rsidRPr="00155196" w:rsidRDefault="00155196" w:rsidP="00155196">
      <w:pPr>
        <w:pStyle w:val="Reference"/>
      </w:pPr>
      <w:proofErr w:type="spellStart"/>
      <w:r w:rsidRPr="00155196">
        <w:t>Owhonka</w:t>
      </w:r>
      <w:proofErr w:type="spellEnd"/>
      <w:r w:rsidRPr="00155196">
        <w:t xml:space="preserve">, A., E. F. </w:t>
      </w:r>
      <w:proofErr w:type="spellStart"/>
      <w:r w:rsidRPr="00155196">
        <w:t>Fubara</w:t>
      </w:r>
      <w:proofErr w:type="spellEnd"/>
      <w:r w:rsidRPr="00155196">
        <w:t xml:space="preserve">, and O. B. Justice. 2021. “Wastewater Quality—Its Impact on the Environment and Human Physiology: A Review.” </w:t>
      </w:r>
      <w:r w:rsidRPr="00155196">
        <w:rPr>
          <w:rFonts w:eastAsiaTheme="majorEastAsia"/>
          <w:i/>
          <w:iCs/>
        </w:rPr>
        <w:t>International Journal of Advance Research and Innovation</w:t>
      </w:r>
      <w:r w:rsidRPr="00155196">
        <w:t>, 9(4): 43–58. 10.51976/ijari.942107.</w:t>
      </w:r>
    </w:p>
    <w:p w14:paraId="4D85D123" w14:textId="77777777" w:rsidR="00155196" w:rsidRPr="00155196" w:rsidRDefault="00155196" w:rsidP="00155196">
      <w:pPr>
        <w:pStyle w:val="Reference"/>
      </w:pPr>
      <w:r w:rsidRPr="00155196">
        <w:t xml:space="preserve">Owodunni, Amina </w:t>
      </w:r>
      <w:proofErr w:type="spellStart"/>
      <w:r w:rsidRPr="00155196">
        <w:t>Adedoja</w:t>
      </w:r>
      <w:proofErr w:type="spellEnd"/>
      <w:r w:rsidRPr="00155196">
        <w:t xml:space="preserve">, and </w:t>
      </w:r>
      <w:proofErr w:type="spellStart"/>
      <w:r w:rsidRPr="00155196">
        <w:t>Suzylawati</w:t>
      </w:r>
      <w:proofErr w:type="spellEnd"/>
      <w:r w:rsidRPr="00155196">
        <w:t xml:space="preserve"> Ismail. 2021. “Revolutionary Technique for Sustainable Plant-Based Green Coagulants in Industrial Wastewater Treatment—A Review.” </w:t>
      </w:r>
      <w:r w:rsidRPr="00155196">
        <w:rPr>
          <w:rFonts w:eastAsiaTheme="majorEastAsia"/>
          <w:i/>
          <w:iCs/>
        </w:rPr>
        <w:t>Journal of Water Process Engineering</w:t>
      </w:r>
      <w:r w:rsidRPr="00155196">
        <w:t xml:space="preserve">, 42: 102096. </w:t>
      </w:r>
      <w:hyperlink r:id="rId28" w:tgtFrame="_new" w:history="1">
        <w:r w:rsidRPr="00155196">
          <w:rPr>
            <w:rStyle w:val="Hyperlink"/>
            <w:rFonts w:eastAsiaTheme="majorEastAsia"/>
            <w:sz w:val="20"/>
            <w:szCs w:val="20"/>
            <w:lang w:val="en-IN"/>
          </w:rPr>
          <w:t>https://doi.org/10.1016/j.jwpe.2021.102096</w:t>
        </w:r>
      </w:hyperlink>
      <w:r w:rsidRPr="00155196">
        <w:t>.</w:t>
      </w:r>
    </w:p>
    <w:p w14:paraId="421B0A34" w14:textId="5764EE02" w:rsidR="0049359B" w:rsidRDefault="0049359B" w:rsidP="00155196">
      <w:pPr>
        <w:pStyle w:val="Reference"/>
      </w:pPr>
      <w:r w:rsidRPr="00155196">
        <w:t>Parimala, Mabel, and Francis Gricilda Shoba. 201</w:t>
      </w:r>
      <w:r>
        <w:t>3</w:t>
      </w:r>
      <w:r w:rsidRPr="00155196">
        <w:t>.</w:t>
      </w:r>
      <w:r>
        <w:t xml:space="preserve"> “</w:t>
      </w:r>
      <w:r w:rsidRPr="0049359B">
        <w:t xml:space="preserve">Phytochemical analysis and in vitro antioxidant </w:t>
      </w:r>
      <w:proofErr w:type="spellStart"/>
      <w:r w:rsidRPr="0049359B">
        <w:t>acitivity</w:t>
      </w:r>
      <w:proofErr w:type="spellEnd"/>
      <w:r w:rsidRPr="0049359B">
        <w:t xml:space="preserve"> of hydroalcoholic seed extract of Nymphaea </w:t>
      </w:r>
      <w:proofErr w:type="spellStart"/>
      <w:r w:rsidRPr="0049359B">
        <w:t>nouchali</w:t>
      </w:r>
      <w:proofErr w:type="spellEnd"/>
      <w:r w:rsidRPr="0049359B">
        <w:t xml:space="preserve"> </w:t>
      </w:r>
      <w:proofErr w:type="spellStart"/>
      <w:r w:rsidRPr="0049359B">
        <w:t>Burm</w:t>
      </w:r>
      <w:proofErr w:type="spellEnd"/>
      <w:r w:rsidRPr="0049359B">
        <w:t>. f.</w:t>
      </w:r>
      <w:r>
        <w:t xml:space="preserve">” </w:t>
      </w:r>
      <w:r w:rsidRPr="0049359B">
        <w:rPr>
          <w:i/>
          <w:iCs/>
        </w:rPr>
        <w:t>Asian Pacific Journal of Tropical Biomedicine</w:t>
      </w:r>
      <w:r>
        <w:t xml:space="preserve">, 3(11): 887 – 895. </w:t>
      </w:r>
      <w:r w:rsidRPr="0049359B">
        <w:t>https://doi.org/10.1016/S2221-1691(13)60174-4</w:t>
      </w:r>
      <w:r>
        <w:t>.</w:t>
      </w:r>
    </w:p>
    <w:p w14:paraId="21B5027C" w14:textId="2A275600" w:rsidR="00155196" w:rsidRPr="00155196" w:rsidRDefault="00155196" w:rsidP="00155196">
      <w:pPr>
        <w:pStyle w:val="Reference"/>
      </w:pPr>
      <w:r w:rsidRPr="00155196">
        <w:t xml:space="preserve">Parimala, Mabel, and Francis Gricilda Shoba. 2014. “In Vitro Antimicrobial Activity and HPTLC Analysis of Hydroalcoholic Seed Extract of </w:t>
      </w:r>
      <w:r w:rsidRPr="00155196">
        <w:rPr>
          <w:rFonts w:eastAsiaTheme="majorEastAsia"/>
          <w:i/>
          <w:iCs/>
        </w:rPr>
        <w:t xml:space="preserve">Nymphaea </w:t>
      </w:r>
      <w:proofErr w:type="spellStart"/>
      <w:r w:rsidRPr="00155196">
        <w:rPr>
          <w:rFonts w:eastAsiaTheme="majorEastAsia"/>
          <w:i/>
          <w:iCs/>
        </w:rPr>
        <w:t>nouchali</w:t>
      </w:r>
      <w:proofErr w:type="spellEnd"/>
      <w:r w:rsidRPr="00155196">
        <w:t xml:space="preserve"> </w:t>
      </w:r>
      <w:proofErr w:type="spellStart"/>
      <w:r w:rsidRPr="00155196">
        <w:t>Burm</w:t>
      </w:r>
      <w:proofErr w:type="spellEnd"/>
      <w:r w:rsidRPr="00155196">
        <w:t xml:space="preserve">. f.” </w:t>
      </w:r>
      <w:r w:rsidRPr="00155196">
        <w:rPr>
          <w:rFonts w:eastAsiaTheme="majorEastAsia"/>
          <w:i/>
          <w:iCs/>
        </w:rPr>
        <w:t>BMC Complementary and Alternative Medicine</w:t>
      </w:r>
      <w:r w:rsidRPr="00155196">
        <w:t xml:space="preserve">, 14: 361. </w:t>
      </w:r>
      <w:hyperlink r:id="rId29" w:tgtFrame="_new" w:history="1">
        <w:r w:rsidRPr="00155196">
          <w:rPr>
            <w:rStyle w:val="Hyperlink"/>
            <w:rFonts w:eastAsiaTheme="majorEastAsia"/>
            <w:sz w:val="20"/>
            <w:szCs w:val="20"/>
            <w:lang w:val="en-IN"/>
          </w:rPr>
          <w:t>https://doi.org/10.1186/1472-6882-14-361</w:t>
        </w:r>
      </w:hyperlink>
      <w:r w:rsidRPr="00155196">
        <w:t>.</w:t>
      </w:r>
    </w:p>
    <w:p w14:paraId="382D0F90" w14:textId="77777777" w:rsidR="00155196" w:rsidRPr="00155196" w:rsidRDefault="00155196" w:rsidP="00155196">
      <w:pPr>
        <w:pStyle w:val="Reference"/>
      </w:pPr>
      <w:r w:rsidRPr="00155196">
        <w:t xml:space="preserve">Raja, M. K. Mohan Maruga, Neeraj Kumar Sethiya, and S. H. Mishra. 2010. “A Comprehensive Review on </w:t>
      </w:r>
      <w:r w:rsidRPr="00155196">
        <w:rPr>
          <w:rFonts w:eastAsiaTheme="majorEastAsia"/>
          <w:i/>
          <w:iCs/>
        </w:rPr>
        <w:t>Nymphaea stellata</w:t>
      </w:r>
      <w:r w:rsidRPr="00155196">
        <w:t xml:space="preserve">: A Traditionally Used Bitter.” </w:t>
      </w:r>
      <w:r w:rsidRPr="00155196">
        <w:rPr>
          <w:rFonts w:eastAsiaTheme="majorEastAsia"/>
          <w:i/>
          <w:iCs/>
        </w:rPr>
        <w:t>Journal of Advanced Pharmaceutical Technology &amp; Research</w:t>
      </w:r>
      <w:r w:rsidRPr="00155196">
        <w:t>, 1(3): 311–319. 10.4103/0110-5558.72424.</w:t>
      </w:r>
    </w:p>
    <w:p w14:paraId="1821B9E4" w14:textId="51BFB12A" w:rsidR="006F2E9B" w:rsidRDefault="006F2E9B" w:rsidP="00155196">
      <w:pPr>
        <w:pStyle w:val="Reference"/>
      </w:pPr>
      <w:proofErr w:type="spellStart"/>
      <w:r>
        <w:t>Ravele</w:t>
      </w:r>
      <w:proofErr w:type="spellEnd"/>
      <w:r>
        <w:t xml:space="preserve">, </w:t>
      </w:r>
      <w:proofErr w:type="spellStart"/>
      <w:r>
        <w:t>Murendeni</w:t>
      </w:r>
      <w:proofErr w:type="spellEnd"/>
      <w:r>
        <w:t xml:space="preserve"> P., </w:t>
      </w:r>
      <w:r w:rsidR="006B5039">
        <w:t xml:space="preserve">Olalekan C. </w:t>
      </w:r>
      <w:r>
        <w:t>Olatunde,</w:t>
      </w:r>
      <w:r w:rsidR="006B5039">
        <w:t xml:space="preserve"> Opeyemi A.</w:t>
      </w:r>
      <w:r>
        <w:t xml:space="preserve"> </w:t>
      </w:r>
      <w:proofErr w:type="spellStart"/>
      <w:r>
        <w:t>Oyewo</w:t>
      </w:r>
      <w:proofErr w:type="spellEnd"/>
      <w:r>
        <w:t xml:space="preserve">, </w:t>
      </w:r>
      <w:proofErr w:type="spellStart"/>
      <w:r w:rsidR="006B5039">
        <w:t>Seshibe</w:t>
      </w:r>
      <w:proofErr w:type="spellEnd"/>
      <w:r w:rsidR="006B5039">
        <w:t xml:space="preserve"> S. </w:t>
      </w:r>
      <w:proofErr w:type="spellStart"/>
      <w:r>
        <w:t>Makgato</w:t>
      </w:r>
      <w:proofErr w:type="spellEnd"/>
      <w:r>
        <w:t xml:space="preserve">, and </w:t>
      </w:r>
      <w:r w:rsidR="006B5039">
        <w:t xml:space="preserve">Damian C. </w:t>
      </w:r>
      <w:proofErr w:type="spellStart"/>
      <w:r>
        <w:t>Onwudiwe</w:t>
      </w:r>
      <w:proofErr w:type="spellEnd"/>
      <w:r w:rsidR="006B5039">
        <w:t xml:space="preserve">. </w:t>
      </w:r>
      <w:r>
        <w:t>2025. “</w:t>
      </w:r>
      <w:r w:rsidRPr="006F2E9B">
        <w:t>Plant-based coagulants for wastewater treatment: Recent advances and applications</w:t>
      </w:r>
      <w:r>
        <w:t xml:space="preserve">.” </w:t>
      </w:r>
      <w:r w:rsidRPr="006F2E9B">
        <w:rPr>
          <w:i/>
          <w:iCs/>
        </w:rPr>
        <w:t>Cleaner Water</w:t>
      </w:r>
      <w:r>
        <w:t xml:space="preserve">, 4: 100147. </w:t>
      </w:r>
      <w:r w:rsidRPr="006F2E9B">
        <w:t>https://doi.org/10.1016/j.clwat.2025.100147</w:t>
      </w:r>
      <w:r>
        <w:t>.</w:t>
      </w:r>
    </w:p>
    <w:p w14:paraId="33BAC9DA" w14:textId="209F3E32" w:rsidR="00155196" w:rsidRPr="00155196" w:rsidRDefault="00155196" w:rsidP="00155196">
      <w:pPr>
        <w:pStyle w:val="Reference"/>
      </w:pPr>
      <w:r w:rsidRPr="00155196">
        <w:t>Salazar-</w:t>
      </w:r>
      <w:proofErr w:type="spellStart"/>
      <w:r w:rsidRPr="00155196">
        <w:t>Gámez</w:t>
      </w:r>
      <w:proofErr w:type="spellEnd"/>
      <w:r w:rsidRPr="00155196">
        <w:t>, L., M. Luna-</w:t>
      </w:r>
      <w:proofErr w:type="spellStart"/>
      <w:r w:rsidRPr="00155196">
        <w:t>delRisco</w:t>
      </w:r>
      <w:proofErr w:type="spellEnd"/>
      <w:r w:rsidRPr="00155196">
        <w:t xml:space="preserve">, Edgar </w:t>
      </w:r>
      <w:proofErr w:type="spellStart"/>
      <w:r w:rsidRPr="00155196">
        <w:t>Narváez-Jojoa</w:t>
      </w:r>
      <w:proofErr w:type="spellEnd"/>
      <w:r w:rsidRPr="00155196">
        <w:t xml:space="preserve">, R. Salazar-Cano, Diana Rosales-Delgado, David Pinchao, Edson Ivan Santander-Yela, et al. 2024. “Turbidity Removal Performance of Selected Natural Coagulants for Water Treatment in Colombian Rural Areas.” </w:t>
      </w:r>
      <w:r w:rsidRPr="00155196">
        <w:rPr>
          <w:rFonts w:eastAsiaTheme="majorEastAsia"/>
          <w:i/>
          <w:iCs/>
        </w:rPr>
        <w:t>Civil Engineering Journal</w:t>
      </w:r>
      <w:r w:rsidRPr="00155196">
        <w:t>, 10(2): 655–667. doi.org/10.28991/CEJ-2024-010-02-020.</w:t>
      </w:r>
    </w:p>
    <w:p w14:paraId="1FDE6F10" w14:textId="77777777" w:rsidR="00155196" w:rsidRPr="00155196" w:rsidRDefault="00155196" w:rsidP="00155196">
      <w:pPr>
        <w:pStyle w:val="Reference"/>
      </w:pPr>
      <w:r w:rsidRPr="00155196">
        <w:t xml:space="preserve">Saravanan, A., P. Senthil Kumar, Sunita Varjani, S. Jeevanantham, P. R. </w:t>
      </w:r>
      <w:proofErr w:type="spellStart"/>
      <w:r w:rsidRPr="00155196">
        <w:t>Yaashikaa</w:t>
      </w:r>
      <w:proofErr w:type="spellEnd"/>
      <w:r w:rsidRPr="00155196">
        <w:t xml:space="preserve">, P. Thamarai, B. Abirami, and Cynthia Susan George. 2021. “A Review on Algal-Bacterial Symbiotic System for Effective Treatment of Wastewater.” </w:t>
      </w:r>
      <w:r w:rsidRPr="00155196">
        <w:rPr>
          <w:rFonts w:eastAsiaTheme="majorEastAsia"/>
          <w:i/>
          <w:iCs/>
        </w:rPr>
        <w:t>Chemosphere</w:t>
      </w:r>
      <w:r w:rsidRPr="00155196">
        <w:t xml:space="preserve">, 271: 129540. </w:t>
      </w:r>
      <w:hyperlink r:id="rId30" w:tgtFrame="_new" w:history="1">
        <w:r w:rsidRPr="00155196">
          <w:rPr>
            <w:rStyle w:val="Hyperlink"/>
            <w:rFonts w:eastAsiaTheme="majorEastAsia"/>
            <w:sz w:val="20"/>
            <w:szCs w:val="20"/>
            <w:lang w:val="en-IN"/>
          </w:rPr>
          <w:t>https://doi.org/10.1016/j.chemosphere.2021.129540</w:t>
        </w:r>
      </w:hyperlink>
      <w:r w:rsidRPr="00155196">
        <w:t>.</w:t>
      </w:r>
    </w:p>
    <w:p w14:paraId="33577B80" w14:textId="77777777" w:rsidR="00155196" w:rsidRPr="00155196" w:rsidRDefault="00155196" w:rsidP="00155196">
      <w:pPr>
        <w:pStyle w:val="Reference"/>
      </w:pPr>
      <w:proofErr w:type="spellStart"/>
      <w:r w:rsidRPr="00155196">
        <w:t>Saravanathamizhan</w:t>
      </w:r>
      <w:proofErr w:type="spellEnd"/>
      <w:r w:rsidRPr="00155196">
        <w:t xml:space="preserve">, R., and V. T. </w:t>
      </w:r>
      <w:proofErr w:type="spellStart"/>
      <w:r w:rsidRPr="00155196">
        <w:t>Perarasu</w:t>
      </w:r>
      <w:proofErr w:type="spellEnd"/>
      <w:r w:rsidRPr="00155196">
        <w:t xml:space="preserve">. 2021. “Improvement of Biodegradability Index of Industrial Wastewater Using Different Pretreatment Techniques.” In </w:t>
      </w:r>
      <w:r w:rsidRPr="00155196">
        <w:rPr>
          <w:rFonts w:eastAsiaTheme="majorEastAsia"/>
          <w:i/>
          <w:iCs/>
        </w:rPr>
        <w:t>Wastewater Treatment: Cutting Edge Molecular Tools, Techniques and Applied Aspects</w:t>
      </w:r>
      <w:r w:rsidRPr="00155196">
        <w:t>, edited by Maulin P. Shah, Angana Sarkar, and Sukhendu Mandal, 103–136. Amsterdam, Netherlands: Elsevier.</w:t>
      </w:r>
    </w:p>
    <w:p w14:paraId="3E29AA4D" w14:textId="77777777" w:rsidR="00155196" w:rsidRPr="00155196" w:rsidRDefault="00155196" w:rsidP="00155196">
      <w:pPr>
        <w:pStyle w:val="Reference"/>
      </w:pPr>
      <w:r w:rsidRPr="00155196">
        <w:t xml:space="preserve">Sharma, Vibhu, R. Vinoth Kumar, Kannan Pakshirajan, and G. Pugazhenthi. 2017. “Integrated Adsorption-Membrane Filtration Process for Antibiotic Removal from Aqueous Solution.” </w:t>
      </w:r>
      <w:r w:rsidRPr="00155196">
        <w:rPr>
          <w:rFonts w:eastAsiaTheme="majorEastAsia"/>
          <w:i/>
          <w:iCs/>
        </w:rPr>
        <w:t>Powder Technology</w:t>
      </w:r>
      <w:r w:rsidRPr="00155196">
        <w:t xml:space="preserve">, 321: 259–269. </w:t>
      </w:r>
      <w:hyperlink r:id="rId31" w:tgtFrame="_new" w:history="1">
        <w:r w:rsidRPr="00155196">
          <w:rPr>
            <w:rStyle w:val="Hyperlink"/>
            <w:rFonts w:eastAsiaTheme="majorEastAsia"/>
            <w:sz w:val="20"/>
            <w:szCs w:val="20"/>
            <w:lang w:val="en-IN"/>
          </w:rPr>
          <w:t>https://doi.org/10.1016/j.powtec.2017.08.040</w:t>
        </w:r>
      </w:hyperlink>
      <w:r w:rsidRPr="00155196">
        <w:t>.</w:t>
      </w:r>
    </w:p>
    <w:p w14:paraId="5F772CC7" w14:textId="77777777" w:rsidR="00155196" w:rsidRPr="00155196" w:rsidRDefault="00155196" w:rsidP="00155196">
      <w:pPr>
        <w:pStyle w:val="Reference"/>
      </w:pPr>
      <w:r w:rsidRPr="00155196">
        <w:t>Sikarwar, Mukesh S. 2016. “Nutraceutical and Medicinal Value of Breadfruit [</w:t>
      </w:r>
      <w:proofErr w:type="spellStart"/>
      <w:r w:rsidRPr="00155196">
        <w:rPr>
          <w:rFonts w:eastAsiaTheme="majorEastAsia"/>
          <w:i/>
          <w:iCs/>
        </w:rPr>
        <w:t>Artocarpus</w:t>
      </w:r>
      <w:proofErr w:type="spellEnd"/>
      <w:r w:rsidRPr="00155196">
        <w:rPr>
          <w:rFonts w:eastAsiaTheme="majorEastAsia"/>
          <w:i/>
          <w:iCs/>
        </w:rPr>
        <w:t xml:space="preserve"> </w:t>
      </w:r>
      <w:proofErr w:type="spellStart"/>
      <w:r w:rsidRPr="00155196">
        <w:rPr>
          <w:rFonts w:eastAsiaTheme="majorEastAsia"/>
          <w:i/>
          <w:iCs/>
        </w:rPr>
        <w:t>altilis</w:t>
      </w:r>
      <w:proofErr w:type="spellEnd"/>
      <w:r w:rsidRPr="00155196">
        <w:t xml:space="preserve"> (Parkinson) </w:t>
      </w:r>
      <w:proofErr w:type="spellStart"/>
      <w:r w:rsidRPr="00155196">
        <w:t>Fosberg</w:t>
      </w:r>
      <w:proofErr w:type="spellEnd"/>
      <w:r w:rsidRPr="00155196">
        <w:t xml:space="preserve">].” In </w:t>
      </w:r>
      <w:r w:rsidRPr="00155196">
        <w:rPr>
          <w:rFonts w:eastAsiaTheme="majorEastAsia"/>
          <w:i/>
          <w:iCs/>
        </w:rPr>
        <w:t>Tropical Agriculture</w:t>
      </w:r>
      <w:r w:rsidRPr="00155196">
        <w:t xml:space="preserve">, 93: 70–76. </w:t>
      </w:r>
      <w:hyperlink r:id="rId32" w:tgtFrame="_new" w:history="1">
        <w:r w:rsidRPr="00155196">
          <w:rPr>
            <w:rStyle w:val="Hyperlink"/>
            <w:rFonts w:eastAsiaTheme="majorEastAsia"/>
            <w:sz w:val="20"/>
            <w:szCs w:val="20"/>
            <w:lang w:val="en-IN"/>
          </w:rPr>
          <w:t>https://journals.sta.uwi.edu/ojs/index.php/ta/article/view/6510</w:t>
        </w:r>
      </w:hyperlink>
      <w:r w:rsidRPr="00155196">
        <w:t>.</w:t>
      </w:r>
    </w:p>
    <w:p w14:paraId="79FDC234" w14:textId="77777777" w:rsidR="00155196" w:rsidRPr="00155196" w:rsidRDefault="00155196" w:rsidP="00155196">
      <w:pPr>
        <w:pStyle w:val="Reference"/>
      </w:pPr>
      <w:proofErr w:type="spellStart"/>
      <w:r w:rsidRPr="00155196">
        <w:t>Sikder</w:t>
      </w:r>
      <w:proofErr w:type="spellEnd"/>
      <w:r w:rsidRPr="00155196">
        <w:t xml:space="preserve">, Al Amin, </w:t>
      </w:r>
      <w:proofErr w:type="spellStart"/>
      <w:r w:rsidRPr="00155196">
        <w:t>Hasnin</w:t>
      </w:r>
      <w:proofErr w:type="spellEnd"/>
      <w:r w:rsidRPr="00155196">
        <w:t xml:space="preserve"> Rahman </w:t>
      </w:r>
      <w:proofErr w:type="spellStart"/>
      <w:r w:rsidRPr="00155196">
        <w:t>Jisha</w:t>
      </w:r>
      <w:proofErr w:type="spellEnd"/>
      <w:r w:rsidRPr="00155196">
        <w:t xml:space="preserve">, </w:t>
      </w:r>
      <w:proofErr w:type="spellStart"/>
      <w:r w:rsidRPr="00155196">
        <w:t>Ruhul</w:t>
      </w:r>
      <w:proofErr w:type="spellEnd"/>
      <w:r w:rsidRPr="00155196">
        <w:t xml:space="preserve"> Kuddus, Farhana Rumi, Mohammad A. Kaisar, and Mohammad A. Rashid. 2012. “Evaluation of Bioactivities of </w:t>
      </w:r>
      <w:r w:rsidRPr="00155196">
        <w:rPr>
          <w:rFonts w:eastAsiaTheme="majorEastAsia"/>
          <w:i/>
          <w:iCs/>
        </w:rPr>
        <w:t xml:space="preserve">Nymphaea </w:t>
      </w:r>
      <w:proofErr w:type="spellStart"/>
      <w:r w:rsidRPr="00155196">
        <w:rPr>
          <w:rFonts w:eastAsiaTheme="majorEastAsia"/>
          <w:i/>
          <w:iCs/>
        </w:rPr>
        <w:t>nouchali</w:t>
      </w:r>
      <w:proofErr w:type="spellEnd"/>
      <w:r w:rsidRPr="00155196">
        <w:t xml:space="preserve"> (</w:t>
      </w:r>
      <w:proofErr w:type="spellStart"/>
      <w:r w:rsidRPr="00155196">
        <w:t>Burm</w:t>
      </w:r>
      <w:proofErr w:type="spellEnd"/>
      <w:r w:rsidRPr="00155196">
        <w:t xml:space="preserve">. f)—the National Flower of Bangladesh.” </w:t>
      </w:r>
      <w:r w:rsidRPr="00155196">
        <w:rPr>
          <w:rFonts w:eastAsiaTheme="majorEastAsia"/>
          <w:i/>
          <w:iCs/>
        </w:rPr>
        <w:t>Bangladesh Pharmaceutical Journal</w:t>
      </w:r>
      <w:r w:rsidRPr="00155196">
        <w:t xml:space="preserve">, 15(1): 1–5. </w:t>
      </w:r>
      <w:hyperlink r:id="rId33" w:tgtFrame="_new" w:history="1">
        <w:r w:rsidRPr="00155196">
          <w:rPr>
            <w:rStyle w:val="Hyperlink"/>
            <w:rFonts w:eastAsiaTheme="majorEastAsia"/>
            <w:sz w:val="20"/>
            <w:szCs w:val="20"/>
            <w:lang w:val="en-IN"/>
          </w:rPr>
          <w:t>https://www.researchgate.net/publication/266487888_Evaluation_of_Bioactivities_of_Nymphaea_nouchali_Burm_f_-_the_National_Flower_of_Bangladesh</w:t>
        </w:r>
      </w:hyperlink>
      <w:r w:rsidRPr="00155196">
        <w:t>.</w:t>
      </w:r>
    </w:p>
    <w:p w14:paraId="3A7D9B63" w14:textId="5470F2DF" w:rsidR="006B5039" w:rsidRDefault="006B5039" w:rsidP="00155196">
      <w:pPr>
        <w:pStyle w:val="Reference"/>
      </w:pPr>
      <w:proofErr w:type="spellStart"/>
      <w:r w:rsidRPr="00155196">
        <w:t>Soifoini</w:t>
      </w:r>
      <w:proofErr w:type="spellEnd"/>
      <w:r w:rsidRPr="00155196">
        <w:t xml:space="preserve">, </w:t>
      </w:r>
      <w:proofErr w:type="spellStart"/>
      <w:r w:rsidRPr="00155196">
        <w:t>Toilibou</w:t>
      </w:r>
      <w:proofErr w:type="spellEnd"/>
      <w:r w:rsidRPr="00155196">
        <w:t xml:space="preserve">, Dario </w:t>
      </w:r>
      <w:proofErr w:type="spellStart"/>
      <w:r w:rsidRPr="00155196">
        <w:t>Donno</w:t>
      </w:r>
      <w:proofErr w:type="spellEnd"/>
      <w:r w:rsidRPr="00155196">
        <w:t xml:space="preserve">, Victor Jeannoda, </w:t>
      </w:r>
      <w:r>
        <w:t>Ernes</w:t>
      </w:r>
      <w:r w:rsidR="00935BBD">
        <w:t>t</w:t>
      </w:r>
      <w:r w:rsidRPr="00155196">
        <w:t xml:space="preserve"> Rakoto</w:t>
      </w:r>
      <w:r w:rsidR="00935BBD">
        <w:t>niaina</w:t>
      </w:r>
      <w:r w:rsidRPr="00155196">
        <w:t xml:space="preserve">, </w:t>
      </w:r>
      <w:r w:rsidR="00935BBD">
        <w:t xml:space="preserve">Soule Hamidou, Said Mohamed Achmet, Noe Rene Solo, </w:t>
      </w:r>
      <w:proofErr w:type="spellStart"/>
      <w:r w:rsidR="00935BBD">
        <w:t>Kamaleddine</w:t>
      </w:r>
      <w:proofErr w:type="spellEnd"/>
      <w:r w:rsidR="00935BBD">
        <w:t xml:space="preserve"> </w:t>
      </w:r>
      <w:proofErr w:type="spellStart"/>
      <w:r w:rsidR="00935BBD">
        <w:t>Afraitane</w:t>
      </w:r>
      <w:proofErr w:type="spellEnd"/>
      <w:r w:rsidR="00935BBD">
        <w:t xml:space="preserve">, Cristina </w:t>
      </w:r>
      <w:proofErr w:type="spellStart"/>
      <w:r w:rsidR="00935BBD">
        <w:t>Giacoma</w:t>
      </w:r>
      <w:proofErr w:type="spellEnd"/>
      <w:r w:rsidRPr="00155196">
        <w:t>, and Gabriele Loris Beccaro.</w:t>
      </w:r>
      <w:r w:rsidR="00935BBD">
        <w:t xml:space="preserve"> 2018. “</w:t>
      </w:r>
      <w:r w:rsidR="00935BBD" w:rsidRPr="00935BBD">
        <w:t xml:space="preserve">Bioactive Compounds, Nutritional Traits, and Antioxidant Properties of </w:t>
      </w:r>
      <w:proofErr w:type="spellStart"/>
      <w:r w:rsidR="00935BBD" w:rsidRPr="00935BBD">
        <w:t>Artocarpus</w:t>
      </w:r>
      <w:proofErr w:type="spellEnd"/>
      <w:r w:rsidR="00935BBD" w:rsidRPr="00935BBD">
        <w:t xml:space="preserve"> </w:t>
      </w:r>
      <w:proofErr w:type="spellStart"/>
      <w:r w:rsidR="00935BBD" w:rsidRPr="00935BBD">
        <w:t>altilis</w:t>
      </w:r>
      <w:proofErr w:type="spellEnd"/>
      <w:r w:rsidR="00935BBD" w:rsidRPr="00935BBD">
        <w:t xml:space="preserve"> (Parkinson) Fruits: Exploiting a Potential Functional Food for Food Security on the Comoros Islands</w:t>
      </w:r>
      <w:r w:rsidR="00935BBD">
        <w:t xml:space="preserve">.” Journal of Food Quality, 5697928. </w:t>
      </w:r>
      <w:r w:rsidR="00935BBD" w:rsidRPr="00935BBD">
        <w:t>https://doi.org/10.1155/2018/5697928</w:t>
      </w:r>
      <w:r w:rsidR="00935BBD">
        <w:t>.</w:t>
      </w:r>
    </w:p>
    <w:p w14:paraId="17104505" w14:textId="4C3C25A9" w:rsidR="00155196" w:rsidRPr="00155196" w:rsidRDefault="00155196" w:rsidP="00155196">
      <w:pPr>
        <w:pStyle w:val="Reference"/>
      </w:pPr>
      <w:proofErr w:type="spellStart"/>
      <w:r w:rsidRPr="00155196">
        <w:t>Soifoini</w:t>
      </w:r>
      <w:proofErr w:type="spellEnd"/>
      <w:r w:rsidRPr="00155196">
        <w:t xml:space="preserve">, </w:t>
      </w:r>
      <w:proofErr w:type="spellStart"/>
      <w:r w:rsidRPr="00155196">
        <w:t>Toilibou</w:t>
      </w:r>
      <w:proofErr w:type="spellEnd"/>
      <w:r w:rsidRPr="00155196">
        <w:t xml:space="preserve">, Dario </w:t>
      </w:r>
      <w:proofErr w:type="spellStart"/>
      <w:r w:rsidRPr="00155196">
        <w:t>Donno</w:t>
      </w:r>
      <w:proofErr w:type="spellEnd"/>
      <w:r w:rsidRPr="00155196">
        <w:t xml:space="preserve">, Victor Jeannoda, Danielle Doll Rakoto, Ahmed </w:t>
      </w:r>
      <w:proofErr w:type="spellStart"/>
      <w:r w:rsidRPr="00155196">
        <w:t>Msahazi</w:t>
      </w:r>
      <w:proofErr w:type="spellEnd"/>
      <w:r w:rsidRPr="00155196">
        <w:t xml:space="preserve">, </w:t>
      </w:r>
      <w:proofErr w:type="spellStart"/>
      <w:r w:rsidRPr="00155196">
        <w:t>Saidi</w:t>
      </w:r>
      <w:proofErr w:type="spellEnd"/>
      <w:r w:rsidRPr="00155196">
        <w:t xml:space="preserve"> Mohamed </w:t>
      </w:r>
      <w:proofErr w:type="spellStart"/>
      <w:r w:rsidRPr="00155196">
        <w:t>Mkandzile</w:t>
      </w:r>
      <w:proofErr w:type="spellEnd"/>
      <w:r w:rsidRPr="00155196">
        <w:t xml:space="preserve"> Farhat, </w:t>
      </w:r>
      <w:proofErr w:type="spellStart"/>
      <w:r w:rsidRPr="00155196">
        <w:t>Mouandhoime</w:t>
      </w:r>
      <w:proofErr w:type="spellEnd"/>
      <w:r w:rsidRPr="00155196">
        <w:t xml:space="preserve"> </w:t>
      </w:r>
      <w:proofErr w:type="spellStart"/>
      <w:r w:rsidRPr="00155196">
        <w:t>Zahahe</w:t>
      </w:r>
      <w:proofErr w:type="spellEnd"/>
      <w:r w:rsidRPr="00155196">
        <w:t xml:space="preserve"> Oulam, and Gabriele Loris Beccaro. 2021. “Phytochemical Composition, Antibacterial Activity, and Antioxidant Properties of the </w:t>
      </w:r>
      <w:proofErr w:type="spellStart"/>
      <w:r w:rsidRPr="00155196">
        <w:rPr>
          <w:rFonts w:eastAsiaTheme="majorEastAsia"/>
          <w:i/>
          <w:iCs/>
        </w:rPr>
        <w:t>Artocarpus</w:t>
      </w:r>
      <w:proofErr w:type="spellEnd"/>
      <w:r w:rsidRPr="00155196">
        <w:rPr>
          <w:rFonts w:eastAsiaTheme="majorEastAsia"/>
          <w:i/>
          <w:iCs/>
        </w:rPr>
        <w:t xml:space="preserve"> </w:t>
      </w:r>
      <w:proofErr w:type="spellStart"/>
      <w:r w:rsidRPr="00155196">
        <w:rPr>
          <w:rFonts w:eastAsiaTheme="majorEastAsia"/>
          <w:i/>
          <w:iCs/>
        </w:rPr>
        <w:t>altilis</w:t>
      </w:r>
      <w:proofErr w:type="spellEnd"/>
      <w:r w:rsidRPr="00155196">
        <w:t xml:space="preserve"> Fruits to Promote Their Consumption in the Comoros Islands as Potential Health-Promoting Food or a Source of Bioactive Molecules for the Food Industry.” </w:t>
      </w:r>
      <w:r w:rsidRPr="00155196">
        <w:rPr>
          <w:rFonts w:eastAsiaTheme="majorEastAsia"/>
          <w:i/>
          <w:iCs/>
        </w:rPr>
        <w:t>Foods</w:t>
      </w:r>
      <w:r w:rsidRPr="00155196">
        <w:t xml:space="preserve">, 10(9): 2136. </w:t>
      </w:r>
      <w:hyperlink r:id="rId34" w:tgtFrame="_new" w:history="1">
        <w:r w:rsidRPr="00155196">
          <w:rPr>
            <w:rStyle w:val="Hyperlink"/>
            <w:rFonts w:eastAsiaTheme="majorEastAsia"/>
            <w:sz w:val="20"/>
            <w:szCs w:val="20"/>
            <w:lang w:val="en-IN"/>
          </w:rPr>
          <w:t>https://doi.org/10.3390/foods10092136</w:t>
        </w:r>
      </w:hyperlink>
      <w:r w:rsidRPr="00155196">
        <w:t>.</w:t>
      </w:r>
    </w:p>
    <w:p w14:paraId="66349BAB" w14:textId="77777777" w:rsidR="00155196" w:rsidRPr="00155196" w:rsidRDefault="00155196" w:rsidP="00155196">
      <w:pPr>
        <w:pStyle w:val="Reference"/>
      </w:pPr>
      <w:r w:rsidRPr="00155196">
        <w:t xml:space="preserve">Sultana, Marzia, Mahbub Hasan </w:t>
      </w:r>
      <w:proofErr w:type="spellStart"/>
      <w:r w:rsidRPr="00155196">
        <w:t>Rownok</w:t>
      </w:r>
      <w:proofErr w:type="spellEnd"/>
      <w:r w:rsidRPr="00155196">
        <w:t xml:space="preserve">, </w:t>
      </w:r>
      <w:proofErr w:type="spellStart"/>
      <w:r w:rsidRPr="00155196">
        <w:t>Meherunnesa</w:t>
      </w:r>
      <w:proofErr w:type="spellEnd"/>
      <w:r w:rsidRPr="00155196">
        <w:t xml:space="preserve"> </w:t>
      </w:r>
      <w:proofErr w:type="spellStart"/>
      <w:r w:rsidRPr="00155196">
        <w:t>Sabrin</w:t>
      </w:r>
      <w:proofErr w:type="spellEnd"/>
      <w:r w:rsidRPr="00155196">
        <w:t xml:space="preserve">, Md </w:t>
      </w:r>
      <w:proofErr w:type="spellStart"/>
      <w:r w:rsidRPr="00155196">
        <w:t>Hafezur</w:t>
      </w:r>
      <w:proofErr w:type="spellEnd"/>
      <w:r w:rsidRPr="00155196">
        <w:t xml:space="preserve"> Rahaman, and S. M. Nur Alam. 2022. “A Review on Experimental Chemically Modified Activated Carbon to Enhance Dye and Heavy Metals Adsorption.” </w:t>
      </w:r>
      <w:r w:rsidRPr="00155196">
        <w:rPr>
          <w:rFonts w:eastAsiaTheme="majorEastAsia"/>
          <w:i/>
          <w:iCs/>
        </w:rPr>
        <w:t>Cleaner Engineering and Technology</w:t>
      </w:r>
      <w:r w:rsidRPr="00155196">
        <w:t xml:space="preserve">, 6: 100382. </w:t>
      </w:r>
      <w:hyperlink r:id="rId35" w:tgtFrame="_new" w:history="1">
        <w:r w:rsidRPr="00155196">
          <w:rPr>
            <w:rStyle w:val="Hyperlink"/>
            <w:rFonts w:eastAsiaTheme="majorEastAsia"/>
            <w:sz w:val="20"/>
            <w:szCs w:val="20"/>
            <w:lang w:val="en-IN"/>
          </w:rPr>
          <w:t>https://doi.org/10.1016/j.clet.2021.100382</w:t>
        </w:r>
      </w:hyperlink>
      <w:r w:rsidRPr="00155196">
        <w:t>.</w:t>
      </w:r>
    </w:p>
    <w:p w14:paraId="0B44DA92" w14:textId="77777777" w:rsidR="00155196" w:rsidRPr="00155196" w:rsidRDefault="00155196" w:rsidP="00155196">
      <w:pPr>
        <w:pStyle w:val="Reference"/>
      </w:pPr>
      <w:r w:rsidRPr="00155196">
        <w:t xml:space="preserve">UN. 2020. </w:t>
      </w:r>
      <w:r w:rsidRPr="00155196">
        <w:rPr>
          <w:rFonts w:eastAsiaTheme="majorEastAsia"/>
          <w:i/>
          <w:iCs/>
        </w:rPr>
        <w:t>UN World Water Development Report</w:t>
      </w:r>
      <w:r w:rsidRPr="00155196">
        <w:t xml:space="preserve">. United Nations Educational, Scientific and Cultural Organization. Vol. 88. </w:t>
      </w:r>
      <w:hyperlink r:id="rId36" w:tgtFrame="_new" w:history="1">
        <w:r w:rsidRPr="00155196">
          <w:rPr>
            <w:rStyle w:val="Hyperlink"/>
            <w:rFonts w:eastAsiaTheme="majorEastAsia"/>
            <w:sz w:val="20"/>
            <w:szCs w:val="20"/>
            <w:lang w:val="en-IN"/>
          </w:rPr>
          <w:t>https://www.unwater.org/publications/un-world-water-development-report-2023</w:t>
        </w:r>
      </w:hyperlink>
      <w:r w:rsidRPr="00155196">
        <w:t>.</w:t>
      </w:r>
    </w:p>
    <w:p w14:paraId="6B81D8A5" w14:textId="77777777" w:rsidR="00155196" w:rsidRPr="00155196" w:rsidRDefault="00155196" w:rsidP="00155196">
      <w:pPr>
        <w:pStyle w:val="Reference"/>
      </w:pPr>
      <w:proofErr w:type="spellStart"/>
      <w:r w:rsidRPr="00155196">
        <w:t>Waghulde</w:t>
      </w:r>
      <w:proofErr w:type="spellEnd"/>
      <w:r w:rsidRPr="00155196">
        <w:t xml:space="preserve">, Sandeep, Mohan K. Kale, and Vijay R. Patil. 2019. “Brine Shrimp Lethality Assay of the Aqueous and Ethanolic Extracts of the Selected Species of Medicinal Plants.” </w:t>
      </w:r>
      <w:r w:rsidRPr="00155196">
        <w:rPr>
          <w:rFonts w:eastAsiaTheme="majorEastAsia"/>
          <w:i/>
          <w:iCs/>
        </w:rPr>
        <w:t>Proceedings</w:t>
      </w:r>
      <w:r w:rsidRPr="00155196">
        <w:t xml:space="preserve">, 41(1): 47. </w:t>
      </w:r>
      <w:hyperlink r:id="rId37" w:tgtFrame="_new" w:history="1">
        <w:r w:rsidRPr="00155196">
          <w:rPr>
            <w:rStyle w:val="Hyperlink"/>
            <w:rFonts w:eastAsiaTheme="majorEastAsia"/>
            <w:sz w:val="20"/>
            <w:szCs w:val="20"/>
            <w:lang w:val="en-IN"/>
          </w:rPr>
          <w:t>https://doi.org/10.3390/ecsoc-23-06703</w:t>
        </w:r>
      </w:hyperlink>
      <w:r w:rsidRPr="00155196">
        <w:t>.</w:t>
      </w:r>
    </w:p>
    <w:p w14:paraId="6F612853" w14:textId="77777777" w:rsidR="00155196" w:rsidRPr="00155196" w:rsidRDefault="00155196" w:rsidP="00155196">
      <w:pPr>
        <w:pStyle w:val="Reference"/>
      </w:pPr>
      <w:r w:rsidRPr="00155196">
        <w:t xml:space="preserve">World Health Organization. 2023. “Drinking Water.” </w:t>
      </w:r>
      <w:r w:rsidRPr="00155196">
        <w:rPr>
          <w:rFonts w:eastAsiaTheme="majorEastAsia"/>
          <w:i/>
          <w:iCs/>
        </w:rPr>
        <w:t>World Health Organization</w:t>
      </w:r>
      <w:r w:rsidRPr="00155196">
        <w:t xml:space="preserve">. </w:t>
      </w:r>
      <w:hyperlink r:id="rId38" w:tgtFrame="_new" w:history="1">
        <w:r w:rsidRPr="00155196">
          <w:rPr>
            <w:rStyle w:val="Hyperlink"/>
            <w:rFonts w:eastAsiaTheme="majorEastAsia"/>
            <w:sz w:val="20"/>
            <w:szCs w:val="20"/>
            <w:lang w:val="en-IN"/>
          </w:rPr>
          <w:t>https://www.who.int/news-room/fact-sheets/detail/drinking-water</w:t>
        </w:r>
      </w:hyperlink>
      <w:r w:rsidRPr="00155196">
        <w:t>.</w:t>
      </w:r>
    </w:p>
    <w:p w14:paraId="7D54F80D" w14:textId="77777777" w:rsidR="00155196" w:rsidRPr="00155196" w:rsidRDefault="00155196" w:rsidP="00155196">
      <w:pPr>
        <w:pStyle w:val="Reference"/>
      </w:pPr>
      <w:proofErr w:type="spellStart"/>
      <w:r w:rsidRPr="00155196">
        <w:lastRenderedPageBreak/>
        <w:t>Zainol</w:t>
      </w:r>
      <w:proofErr w:type="spellEnd"/>
      <w:r w:rsidRPr="00155196">
        <w:t xml:space="preserve">, </w:t>
      </w:r>
      <w:proofErr w:type="spellStart"/>
      <w:r w:rsidRPr="00155196">
        <w:t>Noorazwani</w:t>
      </w:r>
      <w:proofErr w:type="spellEnd"/>
      <w:r w:rsidRPr="00155196">
        <w:t xml:space="preserve">, </w:t>
      </w:r>
      <w:proofErr w:type="spellStart"/>
      <w:r w:rsidRPr="00155196">
        <w:t>Norhayati</w:t>
      </w:r>
      <w:proofErr w:type="spellEnd"/>
      <w:r w:rsidRPr="00155196">
        <w:t xml:space="preserve"> Mohamed Noor, </w:t>
      </w:r>
      <w:proofErr w:type="spellStart"/>
      <w:r w:rsidRPr="00155196">
        <w:t>Dayang</w:t>
      </w:r>
      <w:proofErr w:type="spellEnd"/>
      <w:r w:rsidRPr="00155196">
        <w:t xml:space="preserve"> </w:t>
      </w:r>
      <w:proofErr w:type="spellStart"/>
      <w:r w:rsidRPr="00155196">
        <w:t>Norulfairuz</w:t>
      </w:r>
      <w:proofErr w:type="spellEnd"/>
      <w:r w:rsidRPr="00155196">
        <w:t xml:space="preserve"> </w:t>
      </w:r>
      <w:proofErr w:type="spellStart"/>
      <w:r w:rsidRPr="00155196">
        <w:t>Abang</w:t>
      </w:r>
      <w:proofErr w:type="spellEnd"/>
      <w:r w:rsidRPr="00155196">
        <w:t xml:space="preserve"> </w:t>
      </w:r>
      <w:proofErr w:type="spellStart"/>
      <w:r w:rsidRPr="00155196">
        <w:t>Zaidel</w:t>
      </w:r>
      <w:proofErr w:type="spellEnd"/>
      <w:r w:rsidRPr="00155196">
        <w:t xml:space="preserve">, </w:t>
      </w:r>
      <w:proofErr w:type="spellStart"/>
      <w:r w:rsidRPr="00155196">
        <w:t>Zarani</w:t>
      </w:r>
      <w:proofErr w:type="spellEnd"/>
      <w:r w:rsidRPr="00155196">
        <w:t xml:space="preserve"> Mat Taher, </w:t>
      </w:r>
      <w:proofErr w:type="spellStart"/>
      <w:r w:rsidRPr="00155196">
        <w:t>Muna</w:t>
      </w:r>
      <w:proofErr w:type="spellEnd"/>
      <w:r w:rsidRPr="00155196">
        <w:t xml:space="preserve"> Mohamed, and </w:t>
      </w:r>
      <w:proofErr w:type="spellStart"/>
      <w:r w:rsidRPr="00155196">
        <w:t>Norasiah</w:t>
      </w:r>
      <w:proofErr w:type="spellEnd"/>
      <w:r w:rsidRPr="00155196">
        <w:t xml:space="preserve"> </w:t>
      </w:r>
      <w:proofErr w:type="spellStart"/>
      <w:r w:rsidRPr="00155196">
        <w:t>Sadek</w:t>
      </w:r>
      <w:proofErr w:type="spellEnd"/>
      <w:r w:rsidRPr="00155196">
        <w:t>. 2022. “Breadfruit (</w:t>
      </w:r>
      <w:proofErr w:type="spellStart"/>
      <w:r w:rsidRPr="00155196">
        <w:rPr>
          <w:rFonts w:eastAsiaTheme="majorEastAsia"/>
          <w:i/>
          <w:iCs/>
        </w:rPr>
        <w:t>Artocarpus</w:t>
      </w:r>
      <w:proofErr w:type="spellEnd"/>
      <w:r w:rsidRPr="00155196">
        <w:rPr>
          <w:rFonts w:eastAsiaTheme="majorEastAsia"/>
          <w:i/>
          <w:iCs/>
        </w:rPr>
        <w:t xml:space="preserve"> </w:t>
      </w:r>
      <w:proofErr w:type="spellStart"/>
      <w:r w:rsidRPr="00155196">
        <w:rPr>
          <w:rFonts w:eastAsiaTheme="majorEastAsia"/>
          <w:i/>
          <w:iCs/>
        </w:rPr>
        <w:t>altilis</w:t>
      </w:r>
      <w:proofErr w:type="spellEnd"/>
      <w:r w:rsidRPr="00155196">
        <w:t xml:space="preserve">) Studies: Rheological Stability, Incorporation of Gluten Free, and Bioactive Compound as an Intermediate Ingredient in Health-Related Products.” </w:t>
      </w:r>
      <w:r w:rsidRPr="00155196">
        <w:rPr>
          <w:rFonts w:eastAsiaTheme="majorEastAsia"/>
          <w:i/>
          <w:iCs/>
        </w:rPr>
        <w:t>ECS Transactions</w:t>
      </w:r>
      <w:r w:rsidRPr="00155196">
        <w:t>, 107(1): 14455. 10.1149/10701.14455ecst.</w:t>
      </w:r>
    </w:p>
    <w:p w14:paraId="2F115827" w14:textId="77777777" w:rsidR="00155196" w:rsidRPr="00155196" w:rsidRDefault="00155196" w:rsidP="00E613B9">
      <w:pPr>
        <w:pStyle w:val="Text"/>
      </w:pPr>
    </w:p>
    <w:sectPr w:rsidR="00155196" w:rsidRPr="00155196" w:rsidSect="00E85D57">
      <w:headerReference w:type="even" r:id="rId39"/>
      <w:headerReference w:type="default" r:id="rId40"/>
      <w:footerReference w:type="even" r:id="rId41"/>
      <w:footerReference w:type="default" r:id="rId42"/>
      <w:headerReference w:type="first" r:id="rId43"/>
      <w:footerReference w:type="first" r:id="rId44"/>
      <w:footnotePr>
        <w:numFmt w:val="chicago"/>
      </w:footnotePr>
      <w:pgSz w:w="11909" w:h="16834" w:code="9"/>
      <w:pgMar w:top="1440" w:right="1440" w:bottom="1440" w:left="1440" w:header="1247" w:footer="218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1FA39" w14:textId="77777777" w:rsidR="008A3351" w:rsidRDefault="008A3351">
      <w:r>
        <w:separator/>
      </w:r>
    </w:p>
  </w:endnote>
  <w:endnote w:type="continuationSeparator" w:id="0">
    <w:p w14:paraId="22ED9909" w14:textId="77777777" w:rsidR="008A3351" w:rsidRDefault="008A3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5212B" w14:textId="77777777" w:rsidR="00C72B87" w:rsidRDefault="00C72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47CDD" w14:textId="77777777" w:rsidR="00C72B87" w:rsidRDefault="00C72B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5A7AD" w14:textId="77777777" w:rsidR="00DA4F18" w:rsidRDefault="00DA4F18" w:rsidP="00363DC9">
    <w:pPr>
      <w:jc w:val="center"/>
    </w:pPr>
    <w:r>
      <w:rPr>
        <w:rStyle w:val="PageNumber"/>
        <w:sz w:val="16"/>
      </w:rPr>
      <w:fldChar w:fldCharType="begin"/>
    </w:r>
    <w:r>
      <w:rPr>
        <w:rStyle w:val="PageNumber"/>
        <w:sz w:val="16"/>
      </w:rPr>
      <w:instrText xml:space="preserve"> PAGE </w:instrText>
    </w:r>
    <w:r>
      <w:rPr>
        <w:rStyle w:val="PageNumber"/>
        <w:sz w:val="16"/>
      </w:rPr>
      <w:fldChar w:fldCharType="separate"/>
    </w:r>
    <w:r w:rsidR="00DA0273">
      <w:rPr>
        <w:rStyle w:val="PageNumber"/>
        <w:noProof/>
        <w:sz w:val="16"/>
      </w:rPr>
      <w:t>1</w:t>
    </w:r>
    <w:r>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3DF72" w14:textId="77777777" w:rsidR="008A3351" w:rsidRPr="00F3603C" w:rsidRDefault="008A3351" w:rsidP="00F3603C">
      <w:pPr>
        <w:pStyle w:val="Footer"/>
      </w:pPr>
    </w:p>
  </w:footnote>
  <w:footnote w:type="continuationSeparator" w:id="0">
    <w:p w14:paraId="6F41055E" w14:textId="77777777" w:rsidR="008A3351" w:rsidRPr="00F3603C" w:rsidRDefault="008A3351" w:rsidP="00F3603C">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398E8" w14:textId="2B695D99" w:rsidR="00C72B87" w:rsidRDefault="00C72B87">
    <w:pPr>
      <w:pStyle w:val="Header"/>
    </w:pPr>
    <w:r>
      <w:rPr>
        <w:noProof/>
      </w:rPr>
      <w:pict w14:anchorId="016219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9293236" o:spid="_x0000_s2050" type="#_x0000_t136" style="position:absolute;left:0;text-align:left;margin-left:0;margin-top:0;width:571.9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0437C" w14:textId="7AE15E62" w:rsidR="00DA4F18" w:rsidRPr="00000161" w:rsidRDefault="00C72B87" w:rsidP="00363DC9">
    <w:pPr>
      <w:spacing w:line="200" w:lineRule="exact"/>
      <w:rPr>
        <w:sz w:val="16"/>
        <w:szCs w:val="16"/>
      </w:rPr>
    </w:pPr>
    <w:r>
      <w:rPr>
        <w:noProof/>
      </w:rPr>
      <w:pict w14:anchorId="17177B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9293237" o:spid="_x0000_s2051" type="#_x0000_t136" style="position:absolute;left:0;text-align:left;margin-left:0;margin-top:0;width:571.9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9123F" w14:textId="673B0053" w:rsidR="00DA4F18" w:rsidRDefault="00C72B87" w:rsidP="00D7534E">
    <w:pPr>
      <w:spacing w:line="200" w:lineRule="exact"/>
      <w:rPr>
        <w:i/>
        <w:snapToGrid w:val="0"/>
        <w:position w:val="4"/>
      </w:rPr>
    </w:pPr>
    <w:r>
      <w:rPr>
        <w:noProof/>
      </w:rPr>
      <w:pict w14:anchorId="59CEA2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9293235" o:spid="_x0000_s2049" type="#_x0000_t136" style="position:absolute;left:0;text-align:left;margin-left:0;margin-top:0;width:571.9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D6090"/>
    <w:multiLevelType w:val="multilevel"/>
    <w:tmpl w:val="CCEAA86A"/>
    <w:lvl w:ilvl="0">
      <w:start w:val="1"/>
      <w:numFmt w:val="decimal"/>
      <w:pStyle w:val="Romanlist"/>
      <w:lvlText w:val="(%1)"/>
      <w:lvlJc w:val="left"/>
      <w:pPr>
        <w:tabs>
          <w:tab w:val="num" w:pos="360"/>
        </w:tabs>
        <w:ind w:left="360" w:hanging="360"/>
      </w:pPr>
      <w:rPr>
        <w:rFonts w:ascii="Times New Roman" w:hAnsi="Times New Roman" w:hint="default"/>
        <w:b w:val="0"/>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15004DF9"/>
    <w:multiLevelType w:val="hybridMultilevel"/>
    <w:tmpl w:val="0E8C54F0"/>
    <w:lvl w:ilvl="0" w:tplc="A2CE462C">
      <w:start w:val="1"/>
      <w:numFmt w:val="decimal"/>
      <w:pStyle w:val="StyleReferenceLeft0Hanging025"/>
      <w:lvlText w:val="%1."/>
      <w:lvlJc w:val="right"/>
      <w:pPr>
        <w:tabs>
          <w:tab w:val="num" w:pos="1152"/>
        </w:tabs>
        <w:ind w:left="1152" w:hanging="8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AB2A10"/>
    <w:multiLevelType w:val="singleLevel"/>
    <w:tmpl w:val="D97E4644"/>
    <w:lvl w:ilvl="0">
      <w:start w:val="1"/>
      <w:numFmt w:val="lowerRoman"/>
      <w:lvlText w:val="(%1)"/>
      <w:lvlJc w:val="right"/>
      <w:pPr>
        <w:tabs>
          <w:tab w:val="num" w:pos="396"/>
        </w:tabs>
        <w:ind w:left="396" w:hanging="180"/>
      </w:pPr>
      <w:rPr>
        <w:rFonts w:hint="default"/>
      </w:rPr>
    </w:lvl>
  </w:abstractNum>
  <w:abstractNum w:abstractNumId="3" w15:restartNumberingAfterBreak="0">
    <w:nsid w:val="271C151F"/>
    <w:multiLevelType w:val="hybridMultilevel"/>
    <w:tmpl w:val="DA14F474"/>
    <w:lvl w:ilvl="0" w:tplc="FFFFFFFF">
      <w:start w:val="1"/>
      <w:numFmt w:val="bullet"/>
      <w:pStyle w:val="itemlist"/>
      <w:lvlText w:val=""/>
      <w:lvlJc w:val="left"/>
      <w:pPr>
        <w:tabs>
          <w:tab w:val="num" w:pos="360"/>
        </w:tabs>
        <w:ind w:left="274" w:hanging="27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5642E9"/>
    <w:multiLevelType w:val="hybridMultilevel"/>
    <w:tmpl w:val="8FAAF358"/>
    <w:lvl w:ilvl="0" w:tplc="DF1AA482">
      <w:start w:val="1"/>
      <w:numFmt w:val="upperLetter"/>
      <w:lvlText w:val="%1."/>
      <w:lvlJc w:val="left"/>
      <w:pPr>
        <w:ind w:left="274" w:hanging="360"/>
      </w:pPr>
      <w:rPr>
        <w:rFonts w:hint="default"/>
      </w:rPr>
    </w:lvl>
    <w:lvl w:ilvl="1" w:tplc="08090019" w:tentative="1">
      <w:start w:val="1"/>
      <w:numFmt w:val="lowerLetter"/>
      <w:lvlText w:val="%2."/>
      <w:lvlJc w:val="left"/>
      <w:pPr>
        <w:ind w:left="994" w:hanging="360"/>
      </w:pPr>
    </w:lvl>
    <w:lvl w:ilvl="2" w:tplc="0809001B" w:tentative="1">
      <w:start w:val="1"/>
      <w:numFmt w:val="lowerRoman"/>
      <w:lvlText w:val="%3."/>
      <w:lvlJc w:val="right"/>
      <w:pPr>
        <w:ind w:left="1714" w:hanging="180"/>
      </w:pPr>
    </w:lvl>
    <w:lvl w:ilvl="3" w:tplc="0809000F" w:tentative="1">
      <w:start w:val="1"/>
      <w:numFmt w:val="decimal"/>
      <w:lvlText w:val="%4."/>
      <w:lvlJc w:val="left"/>
      <w:pPr>
        <w:ind w:left="2434" w:hanging="360"/>
      </w:pPr>
    </w:lvl>
    <w:lvl w:ilvl="4" w:tplc="08090019" w:tentative="1">
      <w:start w:val="1"/>
      <w:numFmt w:val="lowerLetter"/>
      <w:lvlText w:val="%5."/>
      <w:lvlJc w:val="left"/>
      <w:pPr>
        <w:ind w:left="3154" w:hanging="360"/>
      </w:pPr>
    </w:lvl>
    <w:lvl w:ilvl="5" w:tplc="0809001B" w:tentative="1">
      <w:start w:val="1"/>
      <w:numFmt w:val="lowerRoman"/>
      <w:lvlText w:val="%6."/>
      <w:lvlJc w:val="right"/>
      <w:pPr>
        <w:ind w:left="3874" w:hanging="180"/>
      </w:pPr>
    </w:lvl>
    <w:lvl w:ilvl="6" w:tplc="0809000F" w:tentative="1">
      <w:start w:val="1"/>
      <w:numFmt w:val="decimal"/>
      <w:lvlText w:val="%7."/>
      <w:lvlJc w:val="left"/>
      <w:pPr>
        <w:ind w:left="4594" w:hanging="360"/>
      </w:pPr>
    </w:lvl>
    <w:lvl w:ilvl="7" w:tplc="08090019" w:tentative="1">
      <w:start w:val="1"/>
      <w:numFmt w:val="lowerLetter"/>
      <w:lvlText w:val="%8."/>
      <w:lvlJc w:val="left"/>
      <w:pPr>
        <w:ind w:left="5314" w:hanging="360"/>
      </w:pPr>
    </w:lvl>
    <w:lvl w:ilvl="8" w:tplc="0809001B" w:tentative="1">
      <w:start w:val="1"/>
      <w:numFmt w:val="lowerRoman"/>
      <w:lvlText w:val="%9."/>
      <w:lvlJc w:val="right"/>
      <w:pPr>
        <w:ind w:left="6034" w:hanging="180"/>
      </w:pPr>
    </w:lvl>
  </w:abstractNum>
  <w:abstractNum w:abstractNumId="5" w15:restartNumberingAfterBreak="0">
    <w:nsid w:val="4F831C8D"/>
    <w:multiLevelType w:val="singleLevel"/>
    <w:tmpl w:val="A8BCB5AE"/>
    <w:lvl w:ilvl="0">
      <w:start w:val="1"/>
      <w:numFmt w:val="bullet"/>
      <w:pStyle w:val="List"/>
      <w:lvlText w:val=""/>
      <w:lvlJc w:val="left"/>
      <w:pPr>
        <w:tabs>
          <w:tab w:val="num" w:pos="360"/>
        </w:tabs>
        <w:ind w:left="360" w:hanging="360"/>
      </w:pPr>
      <w:rPr>
        <w:rFonts w:ascii="Symbol" w:hAnsi="Symbol" w:hint="default"/>
      </w:rPr>
    </w:lvl>
  </w:abstractNum>
  <w:abstractNum w:abstractNumId="6" w15:restartNumberingAfterBreak="0">
    <w:nsid w:val="53D26788"/>
    <w:multiLevelType w:val="singleLevel"/>
    <w:tmpl w:val="B2A88328"/>
    <w:lvl w:ilvl="0">
      <w:start w:val="1"/>
      <w:numFmt w:val="lowerLetter"/>
      <w:pStyle w:val="AList"/>
      <w:lvlText w:val="(%1)"/>
      <w:lvlJc w:val="left"/>
      <w:pPr>
        <w:tabs>
          <w:tab w:val="num" w:pos="360"/>
        </w:tabs>
        <w:ind w:left="360" w:hanging="360"/>
      </w:pPr>
    </w:lvl>
  </w:abstractNum>
  <w:abstractNum w:abstractNumId="7" w15:restartNumberingAfterBreak="0">
    <w:nsid w:val="648470FA"/>
    <w:multiLevelType w:val="multilevel"/>
    <w:tmpl w:val="B2AE2B60"/>
    <w:lvl w:ilvl="0">
      <w:start w:val="1"/>
      <w:numFmt w:val="upperLetter"/>
      <w:pStyle w:val="Appendix1"/>
      <w:suff w:val="nothing"/>
      <w:lvlText w:val="Appendix %1.   "/>
      <w:lvlJc w:val="left"/>
      <w:pPr>
        <w:ind w:left="300" w:hanging="300"/>
      </w:pPr>
      <w:rPr>
        <w:rFonts w:hint="default"/>
        <w:color w:val="auto"/>
      </w:rPr>
    </w:lvl>
    <w:lvl w:ilvl="1">
      <w:start w:val="1"/>
      <w:numFmt w:val="decimal"/>
      <w:pStyle w:val="Appendix2"/>
      <w:suff w:val="nothing"/>
      <w:lvlText w:val="%1.%2.  "/>
      <w:lvlJc w:val="left"/>
      <w:pPr>
        <w:ind w:left="510" w:hanging="510"/>
      </w:pPr>
      <w:rPr>
        <w:rFonts w:ascii="Times New Roman" w:hAnsi="Times New Roman" w:hint="default"/>
        <w:b/>
        <w:i w:val="0"/>
        <w:sz w:val="20"/>
      </w:rPr>
    </w:lvl>
    <w:lvl w:ilvl="2">
      <w:start w:val="1"/>
      <w:numFmt w:val="decimal"/>
      <w:pStyle w:val="Appendix3"/>
      <w:suff w:val="nothing"/>
      <w:lvlText w:val="%1.%2.%3.  "/>
      <w:lvlJc w:val="left"/>
      <w:pPr>
        <w:ind w:left="288" w:hanging="288"/>
      </w:pPr>
      <w:rPr>
        <w:rFonts w:hint="default"/>
        <w:b w:val="0"/>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15:restartNumberingAfterBreak="0">
    <w:nsid w:val="66981FEA"/>
    <w:multiLevelType w:val="multilevel"/>
    <w:tmpl w:val="1520CD38"/>
    <w:lvl w:ilvl="0">
      <w:start w:val="1"/>
      <w:numFmt w:val="decimal"/>
      <w:pStyle w:val="Heading1"/>
      <w:suff w:val="nothing"/>
      <w:lvlText w:val="%1.   "/>
      <w:lvlJc w:val="left"/>
      <w:pPr>
        <w:ind w:left="360" w:hanging="360"/>
      </w:pPr>
      <w:rPr>
        <w:rFonts w:ascii="Times New Roman" w:hAnsi="Times New Roman" w:hint="default"/>
        <w:b/>
        <w:i w:val="0"/>
        <w:sz w:val="20"/>
      </w:rPr>
    </w:lvl>
    <w:lvl w:ilvl="1">
      <w:start w:val="1"/>
      <w:numFmt w:val="decimal"/>
      <w:pStyle w:val="Heading2"/>
      <w:suff w:val="nothing"/>
      <w:lvlText w:val="%1.%2.   "/>
      <w:lvlJc w:val="left"/>
      <w:pPr>
        <w:ind w:left="360" w:hanging="360"/>
      </w:pPr>
      <w:rPr>
        <w:rFonts w:hint="default"/>
        <w:b/>
        <w:i w:val="0"/>
      </w:rPr>
    </w:lvl>
    <w:lvl w:ilvl="2">
      <w:start w:val="1"/>
      <w:numFmt w:val="decimal"/>
      <w:pStyle w:val="Heading3"/>
      <w:suff w:val="nothing"/>
      <w:lvlText w:val="%1.%2.%3.   "/>
      <w:lvlJc w:val="left"/>
      <w:pPr>
        <w:ind w:left="720" w:hanging="720"/>
      </w:pPr>
      <w:rPr>
        <w:rFonts w:ascii="Times New Roman" w:hAnsi="Times New Roman"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7"/>
  </w:num>
  <w:num w:numId="3">
    <w:abstractNumId w:val="7"/>
  </w:num>
  <w:num w:numId="4">
    <w:abstractNumId w:val="3"/>
  </w:num>
  <w:num w:numId="5">
    <w:abstractNumId w:val="5"/>
  </w:num>
  <w:num w:numId="6">
    <w:abstractNumId w:val="0"/>
  </w:num>
  <w:num w:numId="7">
    <w:abstractNumId w:val="1"/>
  </w:num>
  <w:num w:numId="8">
    <w:abstractNumId w:val="2"/>
  </w:num>
  <w:num w:numId="9">
    <w:abstractNumId w:val="8"/>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6A3"/>
    <w:rsid w:val="00001C50"/>
    <w:rsid w:val="000035C6"/>
    <w:rsid w:val="00003D68"/>
    <w:rsid w:val="000061F4"/>
    <w:rsid w:val="00012705"/>
    <w:rsid w:val="00013B0C"/>
    <w:rsid w:val="00016094"/>
    <w:rsid w:val="00016257"/>
    <w:rsid w:val="00017AAE"/>
    <w:rsid w:val="00020167"/>
    <w:rsid w:val="00020210"/>
    <w:rsid w:val="00023F23"/>
    <w:rsid w:val="00024BB7"/>
    <w:rsid w:val="00027D72"/>
    <w:rsid w:val="00033BD9"/>
    <w:rsid w:val="00037267"/>
    <w:rsid w:val="00037BBC"/>
    <w:rsid w:val="000432D6"/>
    <w:rsid w:val="00043C6C"/>
    <w:rsid w:val="00044427"/>
    <w:rsid w:val="00044C6D"/>
    <w:rsid w:val="0004774A"/>
    <w:rsid w:val="00050DD4"/>
    <w:rsid w:val="00051955"/>
    <w:rsid w:val="000527FD"/>
    <w:rsid w:val="00052BD0"/>
    <w:rsid w:val="00057174"/>
    <w:rsid w:val="000625DD"/>
    <w:rsid w:val="000633FB"/>
    <w:rsid w:val="00065834"/>
    <w:rsid w:val="00077C1F"/>
    <w:rsid w:val="00083FB8"/>
    <w:rsid w:val="000878DB"/>
    <w:rsid w:val="00087B5E"/>
    <w:rsid w:val="0009139E"/>
    <w:rsid w:val="00091C29"/>
    <w:rsid w:val="000932EB"/>
    <w:rsid w:val="000A3F2F"/>
    <w:rsid w:val="000A5577"/>
    <w:rsid w:val="000A6D52"/>
    <w:rsid w:val="000A6F34"/>
    <w:rsid w:val="000B0D37"/>
    <w:rsid w:val="000B2778"/>
    <w:rsid w:val="000B5390"/>
    <w:rsid w:val="000B730F"/>
    <w:rsid w:val="000B7A58"/>
    <w:rsid w:val="000C0C88"/>
    <w:rsid w:val="000C1D41"/>
    <w:rsid w:val="000C1F5B"/>
    <w:rsid w:val="000C24EB"/>
    <w:rsid w:val="000C72FD"/>
    <w:rsid w:val="000D1A06"/>
    <w:rsid w:val="000D5C14"/>
    <w:rsid w:val="000E3611"/>
    <w:rsid w:val="000E365B"/>
    <w:rsid w:val="000E3D93"/>
    <w:rsid w:val="000E4355"/>
    <w:rsid w:val="000E4D6F"/>
    <w:rsid w:val="000E502B"/>
    <w:rsid w:val="000F1C51"/>
    <w:rsid w:val="000F4A1C"/>
    <w:rsid w:val="000F4A5C"/>
    <w:rsid w:val="000F7473"/>
    <w:rsid w:val="000F7796"/>
    <w:rsid w:val="00103FFC"/>
    <w:rsid w:val="001043FB"/>
    <w:rsid w:val="0011033E"/>
    <w:rsid w:val="00110D26"/>
    <w:rsid w:val="00112A41"/>
    <w:rsid w:val="00114C49"/>
    <w:rsid w:val="0011571F"/>
    <w:rsid w:val="001166DB"/>
    <w:rsid w:val="00120F92"/>
    <w:rsid w:val="00121EF3"/>
    <w:rsid w:val="00124D5F"/>
    <w:rsid w:val="001275D4"/>
    <w:rsid w:val="001301C8"/>
    <w:rsid w:val="00134F97"/>
    <w:rsid w:val="00135AB3"/>
    <w:rsid w:val="00136F08"/>
    <w:rsid w:val="0013777A"/>
    <w:rsid w:val="00143113"/>
    <w:rsid w:val="00144888"/>
    <w:rsid w:val="00144D76"/>
    <w:rsid w:val="00154DD9"/>
    <w:rsid w:val="00155196"/>
    <w:rsid w:val="00161896"/>
    <w:rsid w:val="00161F31"/>
    <w:rsid w:val="001649EC"/>
    <w:rsid w:val="00165901"/>
    <w:rsid w:val="00166B77"/>
    <w:rsid w:val="00167979"/>
    <w:rsid w:val="00171DC5"/>
    <w:rsid w:val="00172CD7"/>
    <w:rsid w:val="00173A6B"/>
    <w:rsid w:val="00175383"/>
    <w:rsid w:val="0017610D"/>
    <w:rsid w:val="001761A3"/>
    <w:rsid w:val="00180709"/>
    <w:rsid w:val="00181697"/>
    <w:rsid w:val="00184702"/>
    <w:rsid w:val="001853A7"/>
    <w:rsid w:val="0018714D"/>
    <w:rsid w:val="00187A7E"/>
    <w:rsid w:val="00195D8E"/>
    <w:rsid w:val="00197102"/>
    <w:rsid w:val="001A1323"/>
    <w:rsid w:val="001A3EE3"/>
    <w:rsid w:val="001A51D8"/>
    <w:rsid w:val="001A66F8"/>
    <w:rsid w:val="001A7BBB"/>
    <w:rsid w:val="001B388D"/>
    <w:rsid w:val="001B4B6E"/>
    <w:rsid w:val="001B5BCD"/>
    <w:rsid w:val="001B5D4D"/>
    <w:rsid w:val="001C11B9"/>
    <w:rsid w:val="001C1FA5"/>
    <w:rsid w:val="001C20DA"/>
    <w:rsid w:val="001C211B"/>
    <w:rsid w:val="001C31C0"/>
    <w:rsid w:val="001C5A17"/>
    <w:rsid w:val="001C7D97"/>
    <w:rsid w:val="001D2844"/>
    <w:rsid w:val="001D576C"/>
    <w:rsid w:val="001E1BA3"/>
    <w:rsid w:val="001E3A19"/>
    <w:rsid w:val="001E5CF2"/>
    <w:rsid w:val="001E712A"/>
    <w:rsid w:val="001E7363"/>
    <w:rsid w:val="001F0577"/>
    <w:rsid w:val="001F08ED"/>
    <w:rsid w:val="001F3366"/>
    <w:rsid w:val="001F3F4A"/>
    <w:rsid w:val="002015B0"/>
    <w:rsid w:val="002015DE"/>
    <w:rsid w:val="00202C55"/>
    <w:rsid w:val="00202C96"/>
    <w:rsid w:val="002048C8"/>
    <w:rsid w:val="00205639"/>
    <w:rsid w:val="00207CF7"/>
    <w:rsid w:val="00212ED2"/>
    <w:rsid w:val="002143C3"/>
    <w:rsid w:val="00216D3B"/>
    <w:rsid w:val="00220E12"/>
    <w:rsid w:val="00221A97"/>
    <w:rsid w:val="00224C3F"/>
    <w:rsid w:val="00224EA6"/>
    <w:rsid w:val="00225615"/>
    <w:rsid w:val="00226F60"/>
    <w:rsid w:val="00227966"/>
    <w:rsid w:val="00231509"/>
    <w:rsid w:val="00237D98"/>
    <w:rsid w:val="0024006A"/>
    <w:rsid w:val="00242F41"/>
    <w:rsid w:val="002447E8"/>
    <w:rsid w:val="00244C0A"/>
    <w:rsid w:val="00244CB6"/>
    <w:rsid w:val="00246CA8"/>
    <w:rsid w:val="00251B11"/>
    <w:rsid w:val="00252201"/>
    <w:rsid w:val="00252839"/>
    <w:rsid w:val="00252B20"/>
    <w:rsid w:val="002532F5"/>
    <w:rsid w:val="002555A5"/>
    <w:rsid w:val="002555D9"/>
    <w:rsid w:val="00255E64"/>
    <w:rsid w:val="00256BAE"/>
    <w:rsid w:val="00260DFB"/>
    <w:rsid w:val="00262916"/>
    <w:rsid w:val="002651FA"/>
    <w:rsid w:val="0026588F"/>
    <w:rsid w:val="00266399"/>
    <w:rsid w:val="002663CA"/>
    <w:rsid w:val="0027389F"/>
    <w:rsid w:val="002745A7"/>
    <w:rsid w:val="00274C25"/>
    <w:rsid w:val="00276D0A"/>
    <w:rsid w:val="00276D22"/>
    <w:rsid w:val="0028159A"/>
    <w:rsid w:val="002817E6"/>
    <w:rsid w:val="00284529"/>
    <w:rsid w:val="00287834"/>
    <w:rsid w:val="002910DB"/>
    <w:rsid w:val="002960A8"/>
    <w:rsid w:val="00296634"/>
    <w:rsid w:val="00297141"/>
    <w:rsid w:val="002A040C"/>
    <w:rsid w:val="002A2FA9"/>
    <w:rsid w:val="002A575C"/>
    <w:rsid w:val="002A5DFD"/>
    <w:rsid w:val="002A6FF6"/>
    <w:rsid w:val="002B11BD"/>
    <w:rsid w:val="002B6669"/>
    <w:rsid w:val="002B70F1"/>
    <w:rsid w:val="002C4BF3"/>
    <w:rsid w:val="002D0AA3"/>
    <w:rsid w:val="002D48CA"/>
    <w:rsid w:val="002D59F8"/>
    <w:rsid w:val="002D6C9C"/>
    <w:rsid w:val="002E09B0"/>
    <w:rsid w:val="002E23DB"/>
    <w:rsid w:val="002E53CF"/>
    <w:rsid w:val="002E735B"/>
    <w:rsid w:val="002E7426"/>
    <w:rsid w:val="002F059F"/>
    <w:rsid w:val="002F3CD3"/>
    <w:rsid w:val="002F404C"/>
    <w:rsid w:val="002F4251"/>
    <w:rsid w:val="00300F8B"/>
    <w:rsid w:val="003047C2"/>
    <w:rsid w:val="00304BF2"/>
    <w:rsid w:val="00305AC8"/>
    <w:rsid w:val="00307362"/>
    <w:rsid w:val="003112E5"/>
    <w:rsid w:val="003135E3"/>
    <w:rsid w:val="00313976"/>
    <w:rsid w:val="00313C27"/>
    <w:rsid w:val="003143EE"/>
    <w:rsid w:val="00314A2F"/>
    <w:rsid w:val="00315917"/>
    <w:rsid w:val="003176F3"/>
    <w:rsid w:val="00320866"/>
    <w:rsid w:val="00320AFB"/>
    <w:rsid w:val="0032382C"/>
    <w:rsid w:val="00324FC6"/>
    <w:rsid w:val="00326970"/>
    <w:rsid w:val="00330C94"/>
    <w:rsid w:val="00337A57"/>
    <w:rsid w:val="0034164E"/>
    <w:rsid w:val="003417DA"/>
    <w:rsid w:val="0034370B"/>
    <w:rsid w:val="0034494C"/>
    <w:rsid w:val="00351ADF"/>
    <w:rsid w:val="00353253"/>
    <w:rsid w:val="003542DB"/>
    <w:rsid w:val="00355429"/>
    <w:rsid w:val="00361C2F"/>
    <w:rsid w:val="00363DC9"/>
    <w:rsid w:val="00364514"/>
    <w:rsid w:val="00364AFC"/>
    <w:rsid w:val="00367247"/>
    <w:rsid w:val="00370AE4"/>
    <w:rsid w:val="003739DA"/>
    <w:rsid w:val="0037425A"/>
    <w:rsid w:val="00374325"/>
    <w:rsid w:val="003748B4"/>
    <w:rsid w:val="0037498F"/>
    <w:rsid w:val="00377940"/>
    <w:rsid w:val="003810F2"/>
    <w:rsid w:val="00383C02"/>
    <w:rsid w:val="00383E6D"/>
    <w:rsid w:val="00386F00"/>
    <w:rsid w:val="00387F80"/>
    <w:rsid w:val="00390C39"/>
    <w:rsid w:val="003935DA"/>
    <w:rsid w:val="003963FD"/>
    <w:rsid w:val="003970C6"/>
    <w:rsid w:val="003A0D42"/>
    <w:rsid w:val="003B11AE"/>
    <w:rsid w:val="003B4588"/>
    <w:rsid w:val="003B65E0"/>
    <w:rsid w:val="003B6921"/>
    <w:rsid w:val="003B6D6D"/>
    <w:rsid w:val="003C4CB3"/>
    <w:rsid w:val="003C5719"/>
    <w:rsid w:val="003C788B"/>
    <w:rsid w:val="003D182E"/>
    <w:rsid w:val="003D3185"/>
    <w:rsid w:val="003D38CC"/>
    <w:rsid w:val="003D502E"/>
    <w:rsid w:val="003D5B7F"/>
    <w:rsid w:val="003D6E98"/>
    <w:rsid w:val="003E518B"/>
    <w:rsid w:val="003E63B3"/>
    <w:rsid w:val="003E6881"/>
    <w:rsid w:val="003F1839"/>
    <w:rsid w:val="003F3A7C"/>
    <w:rsid w:val="003F4490"/>
    <w:rsid w:val="003F6315"/>
    <w:rsid w:val="004006CF"/>
    <w:rsid w:val="00401300"/>
    <w:rsid w:val="0040380F"/>
    <w:rsid w:val="00403EE2"/>
    <w:rsid w:val="0041006D"/>
    <w:rsid w:val="00411225"/>
    <w:rsid w:val="004221E4"/>
    <w:rsid w:val="00423801"/>
    <w:rsid w:val="00423AEC"/>
    <w:rsid w:val="00425DB7"/>
    <w:rsid w:val="00426426"/>
    <w:rsid w:val="00426C75"/>
    <w:rsid w:val="00427B40"/>
    <w:rsid w:val="004305E0"/>
    <w:rsid w:val="0043436B"/>
    <w:rsid w:val="00435B27"/>
    <w:rsid w:val="004370AE"/>
    <w:rsid w:val="00441EC9"/>
    <w:rsid w:val="004470C1"/>
    <w:rsid w:val="00447AC2"/>
    <w:rsid w:val="00452B24"/>
    <w:rsid w:val="00461DFE"/>
    <w:rsid w:val="00462937"/>
    <w:rsid w:val="00470AEF"/>
    <w:rsid w:val="00471C41"/>
    <w:rsid w:val="0047626B"/>
    <w:rsid w:val="00480A62"/>
    <w:rsid w:val="00482F3B"/>
    <w:rsid w:val="00490561"/>
    <w:rsid w:val="00491A42"/>
    <w:rsid w:val="0049359B"/>
    <w:rsid w:val="00494736"/>
    <w:rsid w:val="004963CE"/>
    <w:rsid w:val="004A0C3B"/>
    <w:rsid w:val="004A1FC6"/>
    <w:rsid w:val="004A2C98"/>
    <w:rsid w:val="004A3722"/>
    <w:rsid w:val="004A50B8"/>
    <w:rsid w:val="004A687A"/>
    <w:rsid w:val="004A6B1D"/>
    <w:rsid w:val="004B0502"/>
    <w:rsid w:val="004B0D9E"/>
    <w:rsid w:val="004B20FB"/>
    <w:rsid w:val="004B2209"/>
    <w:rsid w:val="004B2F2D"/>
    <w:rsid w:val="004B47FA"/>
    <w:rsid w:val="004C2A1C"/>
    <w:rsid w:val="004C2B42"/>
    <w:rsid w:val="004D43C0"/>
    <w:rsid w:val="004D67A6"/>
    <w:rsid w:val="004E17B9"/>
    <w:rsid w:val="004E2C6E"/>
    <w:rsid w:val="004E4237"/>
    <w:rsid w:val="004E6924"/>
    <w:rsid w:val="004F19F5"/>
    <w:rsid w:val="004F1A7B"/>
    <w:rsid w:val="004F3953"/>
    <w:rsid w:val="004F44B0"/>
    <w:rsid w:val="004F6434"/>
    <w:rsid w:val="004F7EC3"/>
    <w:rsid w:val="00502284"/>
    <w:rsid w:val="00503E72"/>
    <w:rsid w:val="00504D92"/>
    <w:rsid w:val="005056BA"/>
    <w:rsid w:val="00505E32"/>
    <w:rsid w:val="0050697F"/>
    <w:rsid w:val="00510F3D"/>
    <w:rsid w:val="00512554"/>
    <w:rsid w:val="00512A87"/>
    <w:rsid w:val="00512D8A"/>
    <w:rsid w:val="0051577B"/>
    <w:rsid w:val="0051687E"/>
    <w:rsid w:val="00517129"/>
    <w:rsid w:val="00520B12"/>
    <w:rsid w:val="005228CF"/>
    <w:rsid w:val="00525F0F"/>
    <w:rsid w:val="0053122F"/>
    <w:rsid w:val="00531E84"/>
    <w:rsid w:val="00533B7F"/>
    <w:rsid w:val="00533F07"/>
    <w:rsid w:val="0053402B"/>
    <w:rsid w:val="00534906"/>
    <w:rsid w:val="00541CEF"/>
    <w:rsid w:val="00544D0E"/>
    <w:rsid w:val="005460D6"/>
    <w:rsid w:val="00550781"/>
    <w:rsid w:val="00557A9E"/>
    <w:rsid w:val="0056035A"/>
    <w:rsid w:val="00561842"/>
    <w:rsid w:val="0056637D"/>
    <w:rsid w:val="00567399"/>
    <w:rsid w:val="00571010"/>
    <w:rsid w:val="0057349C"/>
    <w:rsid w:val="00573DD8"/>
    <w:rsid w:val="00575104"/>
    <w:rsid w:val="00583393"/>
    <w:rsid w:val="00584E2D"/>
    <w:rsid w:val="00585DC7"/>
    <w:rsid w:val="00587488"/>
    <w:rsid w:val="00590802"/>
    <w:rsid w:val="00590E9A"/>
    <w:rsid w:val="00594986"/>
    <w:rsid w:val="005953D4"/>
    <w:rsid w:val="0059700B"/>
    <w:rsid w:val="005978E5"/>
    <w:rsid w:val="00597967"/>
    <w:rsid w:val="005A43A4"/>
    <w:rsid w:val="005A456D"/>
    <w:rsid w:val="005A675D"/>
    <w:rsid w:val="005A7093"/>
    <w:rsid w:val="005B2E65"/>
    <w:rsid w:val="005B4443"/>
    <w:rsid w:val="005B51D4"/>
    <w:rsid w:val="005B66B1"/>
    <w:rsid w:val="005C09F5"/>
    <w:rsid w:val="005C2A80"/>
    <w:rsid w:val="005C4FB5"/>
    <w:rsid w:val="005C5695"/>
    <w:rsid w:val="005C7A58"/>
    <w:rsid w:val="005D0E99"/>
    <w:rsid w:val="005D1DC1"/>
    <w:rsid w:val="005D4F63"/>
    <w:rsid w:val="005E0819"/>
    <w:rsid w:val="005E6C0A"/>
    <w:rsid w:val="005F296C"/>
    <w:rsid w:val="005F302E"/>
    <w:rsid w:val="005F44AC"/>
    <w:rsid w:val="00601DB3"/>
    <w:rsid w:val="00603EB7"/>
    <w:rsid w:val="0060503D"/>
    <w:rsid w:val="00606FA9"/>
    <w:rsid w:val="00610D51"/>
    <w:rsid w:val="00612AF5"/>
    <w:rsid w:val="0061336C"/>
    <w:rsid w:val="00613EEB"/>
    <w:rsid w:val="006166E6"/>
    <w:rsid w:val="006170F6"/>
    <w:rsid w:val="006224E9"/>
    <w:rsid w:val="0062288B"/>
    <w:rsid w:val="00624356"/>
    <w:rsid w:val="0063041F"/>
    <w:rsid w:val="006316A7"/>
    <w:rsid w:val="00631798"/>
    <w:rsid w:val="00631BC4"/>
    <w:rsid w:val="0063493E"/>
    <w:rsid w:val="00643D86"/>
    <w:rsid w:val="00647204"/>
    <w:rsid w:val="00647F33"/>
    <w:rsid w:val="006502A3"/>
    <w:rsid w:val="00655B7D"/>
    <w:rsid w:val="006603D7"/>
    <w:rsid w:val="006636E6"/>
    <w:rsid w:val="006652C0"/>
    <w:rsid w:val="00667A34"/>
    <w:rsid w:val="00670484"/>
    <w:rsid w:val="006706BF"/>
    <w:rsid w:val="00671DE1"/>
    <w:rsid w:val="0067398D"/>
    <w:rsid w:val="006825A0"/>
    <w:rsid w:val="00682ED4"/>
    <w:rsid w:val="00684B5D"/>
    <w:rsid w:val="0068660C"/>
    <w:rsid w:val="00691CDA"/>
    <w:rsid w:val="00692063"/>
    <w:rsid w:val="00692DBD"/>
    <w:rsid w:val="00695CF2"/>
    <w:rsid w:val="006A6A02"/>
    <w:rsid w:val="006A6C87"/>
    <w:rsid w:val="006A7F93"/>
    <w:rsid w:val="006B39DF"/>
    <w:rsid w:val="006B441A"/>
    <w:rsid w:val="006B5039"/>
    <w:rsid w:val="006C15AC"/>
    <w:rsid w:val="006C1772"/>
    <w:rsid w:val="006C17F4"/>
    <w:rsid w:val="006C2C1F"/>
    <w:rsid w:val="006C4A54"/>
    <w:rsid w:val="006C4E5A"/>
    <w:rsid w:val="006C66F0"/>
    <w:rsid w:val="006D155D"/>
    <w:rsid w:val="006D1622"/>
    <w:rsid w:val="006D17FF"/>
    <w:rsid w:val="006D4C8F"/>
    <w:rsid w:val="006E210B"/>
    <w:rsid w:val="006E5B11"/>
    <w:rsid w:val="006E5CAF"/>
    <w:rsid w:val="006F1C75"/>
    <w:rsid w:val="006F2E9B"/>
    <w:rsid w:val="006F5009"/>
    <w:rsid w:val="007028A1"/>
    <w:rsid w:val="00706146"/>
    <w:rsid w:val="0071403C"/>
    <w:rsid w:val="007170B1"/>
    <w:rsid w:val="00717AAA"/>
    <w:rsid w:val="00717E4F"/>
    <w:rsid w:val="0072206A"/>
    <w:rsid w:val="007239D9"/>
    <w:rsid w:val="007240E0"/>
    <w:rsid w:val="00725AAD"/>
    <w:rsid w:val="00726745"/>
    <w:rsid w:val="00727FB7"/>
    <w:rsid w:val="0073083A"/>
    <w:rsid w:val="0073099A"/>
    <w:rsid w:val="00732D1E"/>
    <w:rsid w:val="00735203"/>
    <w:rsid w:val="00741650"/>
    <w:rsid w:val="00743511"/>
    <w:rsid w:val="007446D2"/>
    <w:rsid w:val="00751A83"/>
    <w:rsid w:val="00756F16"/>
    <w:rsid w:val="007604CC"/>
    <w:rsid w:val="00765EE1"/>
    <w:rsid w:val="00767622"/>
    <w:rsid w:val="00772DB3"/>
    <w:rsid w:val="00773C41"/>
    <w:rsid w:val="0077777F"/>
    <w:rsid w:val="00780D20"/>
    <w:rsid w:val="007836B4"/>
    <w:rsid w:val="00786562"/>
    <w:rsid w:val="00787460"/>
    <w:rsid w:val="00787A11"/>
    <w:rsid w:val="00791AF3"/>
    <w:rsid w:val="0079392F"/>
    <w:rsid w:val="007951B9"/>
    <w:rsid w:val="00795F10"/>
    <w:rsid w:val="00796157"/>
    <w:rsid w:val="007A082C"/>
    <w:rsid w:val="007A53B3"/>
    <w:rsid w:val="007A5B53"/>
    <w:rsid w:val="007A6205"/>
    <w:rsid w:val="007A78ED"/>
    <w:rsid w:val="007B6C25"/>
    <w:rsid w:val="007C1D13"/>
    <w:rsid w:val="007C3621"/>
    <w:rsid w:val="007C397A"/>
    <w:rsid w:val="007C4AEC"/>
    <w:rsid w:val="007C5460"/>
    <w:rsid w:val="007D0602"/>
    <w:rsid w:val="007D0857"/>
    <w:rsid w:val="007D19E2"/>
    <w:rsid w:val="007D3A47"/>
    <w:rsid w:val="007D7B18"/>
    <w:rsid w:val="007D7C79"/>
    <w:rsid w:val="007E1273"/>
    <w:rsid w:val="007E1377"/>
    <w:rsid w:val="007E2E8B"/>
    <w:rsid w:val="007E51AF"/>
    <w:rsid w:val="007E66FA"/>
    <w:rsid w:val="007F5A4B"/>
    <w:rsid w:val="008032B4"/>
    <w:rsid w:val="0080357C"/>
    <w:rsid w:val="00805745"/>
    <w:rsid w:val="00806FD2"/>
    <w:rsid w:val="00807C91"/>
    <w:rsid w:val="008102A9"/>
    <w:rsid w:val="00815FAF"/>
    <w:rsid w:val="00816315"/>
    <w:rsid w:val="00824725"/>
    <w:rsid w:val="008249F9"/>
    <w:rsid w:val="00826C94"/>
    <w:rsid w:val="00830107"/>
    <w:rsid w:val="008311F1"/>
    <w:rsid w:val="008328E9"/>
    <w:rsid w:val="00835494"/>
    <w:rsid w:val="00843738"/>
    <w:rsid w:val="00843C2F"/>
    <w:rsid w:val="008467A6"/>
    <w:rsid w:val="008521D8"/>
    <w:rsid w:val="008531A8"/>
    <w:rsid w:val="00853EA0"/>
    <w:rsid w:val="0085790C"/>
    <w:rsid w:val="008628E9"/>
    <w:rsid w:val="008632C7"/>
    <w:rsid w:val="00866514"/>
    <w:rsid w:val="00870FEA"/>
    <w:rsid w:val="00871385"/>
    <w:rsid w:val="008720EC"/>
    <w:rsid w:val="00873A29"/>
    <w:rsid w:val="0087703F"/>
    <w:rsid w:val="00885078"/>
    <w:rsid w:val="0088570D"/>
    <w:rsid w:val="00887AC0"/>
    <w:rsid w:val="00891A2B"/>
    <w:rsid w:val="00892E36"/>
    <w:rsid w:val="00894F20"/>
    <w:rsid w:val="008964C4"/>
    <w:rsid w:val="00897551"/>
    <w:rsid w:val="008A090E"/>
    <w:rsid w:val="008A1D86"/>
    <w:rsid w:val="008A22E7"/>
    <w:rsid w:val="008A2B26"/>
    <w:rsid w:val="008A3351"/>
    <w:rsid w:val="008B0B5F"/>
    <w:rsid w:val="008B1028"/>
    <w:rsid w:val="008B1FD7"/>
    <w:rsid w:val="008B3810"/>
    <w:rsid w:val="008B421C"/>
    <w:rsid w:val="008B4F29"/>
    <w:rsid w:val="008C450F"/>
    <w:rsid w:val="008C5D1D"/>
    <w:rsid w:val="008C63A7"/>
    <w:rsid w:val="008D0A68"/>
    <w:rsid w:val="008D6BEC"/>
    <w:rsid w:val="008D6D53"/>
    <w:rsid w:val="008E345E"/>
    <w:rsid w:val="008E7832"/>
    <w:rsid w:val="008F09D5"/>
    <w:rsid w:val="008F34CA"/>
    <w:rsid w:val="008F67B0"/>
    <w:rsid w:val="00900555"/>
    <w:rsid w:val="009055DB"/>
    <w:rsid w:val="00910F25"/>
    <w:rsid w:val="009150F4"/>
    <w:rsid w:val="00915192"/>
    <w:rsid w:val="009158C1"/>
    <w:rsid w:val="00916CBE"/>
    <w:rsid w:val="00917730"/>
    <w:rsid w:val="00924D6A"/>
    <w:rsid w:val="00924E8F"/>
    <w:rsid w:val="009266AB"/>
    <w:rsid w:val="00930E5E"/>
    <w:rsid w:val="00931E70"/>
    <w:rsid w:val="00934FAB"/>
    <w:rsid w:val="00935BBD"/>
    <w:rsid w:val="00936ADF"/>
    <w:rsid w:val="00937ECB"/>
    <w:rsid w:val="00942C66"/>
    <w:rsid w:val="009462EC"/>
    <w:rsid w:val="0095272F"/>
    <w:rsid w:val="009536A9"/>
    <w:rsid w:val="0095778D"/>
    <w:rsid w:val="00957F84"/>
    <w:rsid w:val="00957FAF"/>
    <w:rsid w:val="00960EB6"/>
    <w:rsid w:val="00965218"/>
    <w:rsid w:val="00966B64"/>
    <w:rsid w:val="0096794F"/>
    <w:rsid w:val="00970D23"/>
    <w:rsid w:val="00971D46"/>
    <w:rsid w:val="0097393C"/>
    <w:rsid w:val="00976C2B"/>
    <w:rsid w:val="00984559"/>
    <w:rsid w:val="0098518C"/>
    <w:rsid w:val="00993CD2"/>
    <w:rsid w:val="00994974"/>
    <w:rsid w:val="009954E3"/>
    <w:rsid w:val="00997371"/>
    <w:rsid w:val="00997ED7"/>
    <w:rsid w:val="009A048E"/>
    <w:rsid w:val="009A2863"/>
    <w:rsid w:val="009A2C96"/>
    <w:rsid w:val="009A3F13"/>
    <w:rsid w:val="009A6971"/>
    <w:rsid w:val="009B5B8A"/>
    <w:rsid w:val="009B69E8"/>
    <w:rsid w:val="009B76DF"/>
    <w:rsid w:val="009B7D3F"/>
    <w:rsid w:val="009C36CC"/>
    <w:rsid w:val="009C4B2C"/>
    <w:rsid w:val="009C765B"/>
    <w:rsid w:val="009C7D83"/>
    <w:rsid w:val="009D076F"/>
    <w:rsid w:val="009D3CBF"/>
    <w:rsid w:val="009F18C7"/>
    <w:rsid w:val="009F2335"/>
    <w:rsid w:val="009F3497"/>
    <w:rsid w:val="00A011D5"/>
    <w:rsid w:val="00A02FE7"/>
    <w:rsid w:val="00A031AD"/>
    <w:rsid w:val="00A056E6"/>
    <w:rsid w:val="00A07290"/>
    <w:rsid w:val="00A07BD4"/>
    <w:rsid w:val="00A13FED"/>
    <w:rsid w:val="00A23E6C"/>
    <w:rsid w:val="00A308FA"/>
    <w:rsid w:val="00A30CE1"/>
    <w:rsid w:val="00A31BE2"/>
    <w:rsid w:val="00A31F95"/>
    <w:rsid w:val="00A40F4A"/>
    <w:rsid w:val="00A41659"/>
    <w:rsid w:val="00A42948"/>
    <w:rsid w:val="00A44132"/>
    <w:rsid w:val="00A44801"/>
    <w:rsid w:val="00A46956"/>
    <w:rsid w:val="00A46973"/>
    <w:rsid w:val="00A53A2B"/>
    <w:rsid w:val="00A5544A"/>
    <w:rsid w:val="00A63C58"/>
    <w:rsid w:val="00A64604"/>
    <w:rsid w:val="00A66350"/>
    <w:rsid w:val="00A7068F"/>
    <w:rsid w:val="00A71D6E"/>
    <w:rsid w:val="00A721DA"/>
    <w:rsid w:val="00A73472"/>
    <w:rsid w:val="00A744F3"/>
    <w:rsid w:val="00A74559"/>
    <w:rsid w:val="00A747AE"/>
    <w:rsid w:val="00A8010F"/>
    <w:rsid w:val="00A80618"/>
    <w:rsid w:val="00A828B8"/>
    <w:rsid w:val="00A83E23"/>
    <w:rsid w:val="00A84B67"/>
    <w:rsid w:val="00A9454D"/>
    <w:rsid w:val="00A962B3"/>
    <w:rsid w:val="00A97CB4"/>
    <w:rsid w:val="00AA0059"/>
    <w:rsid w:val="00AA0C1F"/>
    <w:rsid w:val="00AA1C02"/>
    <w:rsid w:val="00AA3DCA"/>
    <w:rsid w:val="00AA4BFE"/>
    <w:rsid w:val="00AB417B"/>
    <w:rsid w:val="00AB574B"/>
    <w:rsid w:val="00AB7450"/>
    <w:rsid w:val="00AC231F"/>
    <w:rsid w:val="00AC3391"/>
    <w:rsid w:val="00AC5BDB"/>
    <w:rsid w:val="00AC7167"/>
    <w:rsid w:val="00AC79C2"/>
    <w:rsid w:val="00AD0B79"/>
    <w:rsid w:val="00AD32E0"/>
    <w:rsid w:val="00AD3EB7"/>
    <w:rsid w:val="00AE2C16"/>
    <w:rsid w:val="00AE3F0E"/>
    <w:rsid w:val="00AE63A7"/>
    <w:rsid w:val="00AE6DB9"/>
    <w:rsid w:val="00AF0C3B"/>
    <w:rsid w:val="00AF150F"/>
    <w:rsid w:val="00AF3221"/>
    <w:rsid w:val="00AF3616"/>
    <w:rsid w:val="00AF4C15"/>
    <w:rsid w:val="00AF537A"/>
    <w:rsid w:val="00AF5E8A"/>
    <w:rsid w:val="00AF6AAD"/>
    <w:rsid w:val="00B01453"/>
    <w:rsid w:val="00B02BAA"/>
    <w:rsid w:val="00B0354E"/>
    <w:rsid w:val="00B03E6F"/>
    <w:rsid w:val="00B04744"/>
    <w:rsid w:val="00B04CAB"/>
    <w:rsid w:val="00B04D75"/>
    <w:rsid w:val="00B10E63"/>
    <w:rsid w:val="00B11534"/>
    <w:rsid w:val="00B151EF"/>
    <w:rsid w:val="00B15260"/>
    <w:rsid w:val="00B15558"/>
    <w:rsid w:val="00B16387"/>
    <w:rsid w:val="00B171BC"/>
    <w:rsid w:val="00B20021"/>
    <w:rsid w:val="00B2430A"/>
    <w:rsid w:val="00B24808"/>
    <w:rsid w:val="00B24D9C"/>
    <w:rsid w:val="00B26AEB"/>
    <w:rsid w:val="00B27A4D"/>
    <w:rsid w:val="00B30AFF"/>
    <w:rsid w:val="00B3418E"/>
    <w:rsid w:val="00B378D8"/>
    <w:rsid w:val="00B400E4"/>
    <w:rsid w:val="00B43E1C"/>
    <w:rsid w:val="00B44A8F"/>
    <w:rsid w:val="00B5146A"/>
    <w:rsid w:val="00B5153D"/>
    <w:rsid w:val="00B51D71"/>
    <w:rsid w:val="00B52201"/>
    <w:rsid w:val="00B547A8"/>
    <w:rsid w:val="00B550EC"/>
    <w:rsid w:val="00B61266"/>
    <w:rsid w:val="00B66B37"/>
    <w:rsid w:val="00B7079F"/>
    <w:rsid w:val="00B70C8A"/>
    <w:rsid w:val="00B71AE5"/>
    <w:rsid w:val="00B779BB"/>
    <w:rsid w:val="00B77EDD"/>
    <w:rsid w:val="00B82A78"/>
    <w:rsid w:val="00B8367B"/>
    <w:rsid w:val="00B841C5"/>
    <w:rsid w:val="00B85538"/>
    <w:rsid w:val="00B92646"/>
    <w:rsid w:val="00B93C40"/>
    <w:rsid w:val="00B942C9"/>
    <w:rsid w:val="00BA3960"/>
    <w:rsid w:val="00BB71A5"/>
    <w:rsid w:val="00BC4BD0"/>
    <w:rsid w:val="00BC59C3"/>
    <w:rsid w:val="00BC7E8F"/>
    <w:rsid w:val="00BD01E7"/>
    <w:rsid w:val="00BD0FA8"/>
    <w:rsid w:val="00BD2E9D"/>
    <w:rsid w:val="00BD466C"/>
    <w:rsid w:val="00BD47D5"/>
    <w:rsid w:val="00BD67A6"/>
    <w:rsid w:val="00BD7A81"/>
    <w:rsid w:val="00BE1D64"/>
    <w:rsid w:val="00BE67F4"/>
    <w:rsid w:val="00BF3C6E"/>
    <w:rsid w:val="00BF66FA"/>
    <w:rsid w:val="00BF7A17"/>
    <w:rsid w:val="00C00C2E"/>
    <w:rsid w:val="00C0354C"/>
    <w:rsid w:val="00C068EA"/>
    <w:rsid w:val="00C12D64"/>
    <w:rsid w:val="00C130E2"/>
    <w:rsid w:val="00C1445E"/>
    <w:rsid w:val="00C148B3"/>
    <w:rsid w:val="00C14C07"/>
    <w:rsid w:val="00C15D0D"/>
    <w:rsid w:val="00C1712A"/>
    <w:rsid w:val="00C17B31"/>
    <w:rsid w:val="00C2252C"/>
    <w:rsid w:val="00C25472"/>
    <w:rsid w:val="00C2548C"/>
    <w:rsid w:val="00C3523A"/>
    <w:rsid w:val="00C357F1"/>
    <w:rsid w:val="00C403FB"/>
    <w:rsid w:val="00C414F7"/>
    <w:rsid w:val="00C41CE2"/>
    <w:rsid w:val="00C45401"/>
    <w:rsid w:val="00C46C24"/>
    <w:rsid w:val="00C5343E"/>
    <w:rsid w:val="00C53637"/>
    <w:rsid w:val="00C53793"/>
    <w:rsid w:val="00C5560D"/>
    <w:rsid w:val="00C57CD0"/>
    <w:rsid w:val="00C608AE"/>
    <w:rsid w:val="00C6164A"/>
    <w:rsid w:val="00C61BDC"/>
    <w:rsid w:val="00C643DC"/>
    <w:rsid w:val="00C64CC3"/>
    <w:rsid w:val="00C64D37"/>
    <w:rsid w:val="00C67F9B"/>
    <w:rsid w:val="00C7258B"/>
    <w:rsid w:val="00C72B87"/>
    <w:rsid w:val="00C820F9"/>
    <w:rsid w:val="00C83F49"/>
    <w:rsid w:val="00C8470F"/>
    <w:rsid w:val="00C87378"/>
    <w:rsid w:val="00C87F56"/>
    <w:rsid w:val="00C91180"/>
    <w:rsid w:val="00C944A2"/>
    <w:rsid w:val="00C95E1D"/>
    <w:rsid w:val="00C9773F"/>
    <w:rsid w:val="00CA5751"/>
    <w:rsid w:val="00CA7EAB"/>
    <w:rsid w:val="00CB0980"/>
    <w:rsid w:val="00CB16D3"/>
    <w:rsid w:val="00CB3904"/>
    <w:rsid w:val="00CB5594"/>
    <w:rsid w:val="00CB6119"/>
    <w:rsid w:val="00CB68B4"/>
    <w:rsid w:val="00CC5587"/>
    <w:rsid w:val="00CD3224"/>
    <w:rsid w:val="00CD7424"/>
    <w:rsid w:val="00CE00FB"/>
    <w:rsid w:val="00CE6BAE"/>
    <w:rsid w:val="00CE7054"/>
    <w:rsid w:val="00CF05E9"/>
    <w:rsid w:val="00CF0E49"/>
    <w:rsid w:val="00CF0E9F"/>
    <w:rsid w:val="00CF0F2D"/>
    <w:rsid w:val="00CF1684"/>
    <w:rsid w:val="00CF31C6"/>
    <w:rsid w:val="00CF4F7E"/>
    <w:rsid w:val="00CF5436"/>
    <w:rsid w:val="00CF5CC4"/>
    <w:rsid w:val="00CF5D7A"/>
    <w:rsid w:val="00CF707C"/>
    <w:rsid w:val="00CF7F1D"/>
    <w:rsid w:val="00D003D1"/>
    <w:rsid w:val="00D06006"/>
    <w:rsid w:val="00D06908"/>
    <w:rsid w:val="00D1018D"/>
    <w:rsid w:val="00D1026E"/>
    <w:rsid w:val="00D10D4F"/>
    <w:rsid w:val="00D11E32"/>
    <w:rsid w:val="00D1239C"/>
    <w:rsid w:val="00D20FD6"/>
    <w:rsid w:val="00D215CA"/>
    <w:rsid w:val="00D21A30"/>
    <w:rsid w:val="00D2260C"/>
    <w:rsid w:val="00D3229F"/>
    <w:rsid w:val="00D327D0"/>
    <w:rsid w:val="00D33702"/>
    <w:rsid w:val="00D345D2"/>
    <w:rsid w:val="00D358DB"/>
    <w:rsid w:val="00D42A62"/>
    <w:rsid w:val="00D44533"/>
    <w:rsid w:val="00D45E58"/>
    <w:rsid w:val="00D47095"/>
    <w:rsid w:val="00D522BF"/>
    <w:rsid w:val="00D52CF5"/>
    <w:rsid w:val="00D547D7"/>
    <w:rsid w:val="00D55950"/>
    <w:rsid w:val="00D57E57"/>
    <w:rsid w:val="00D606B3"/>
    <w:rsid w:val="00D62493"/>
    <w:rsid w:val="00D63D86"/>
    <w:rsid w:val="00D63D87"/>
    <w:rsid w:val="00D66065"/>
    <w:rsid w:val="00D7403E"/>
    <w:rsid w:val="00D7534E"/>
    <w:rsid w:val="00D7646F"/>
    <w:rsid w:val="00D80497"/>
    <w:rsid w:val="00D81D5F"/>
    <w:rsid w:val="00D81DB3"/>
    <w:rsid w:val="00D82951"/>
    <w:rsid w:val="00D844EC"/>
    <w:rsid w:val="00D87FA4"/>
    <w:rsid w:val="00D91EBB"/>
    <w:rsid w:val="00D96943"/>
    <w:rsid w:val="00DA0273"/>
    <w:rsid w:val="00DA0511"/>
    <w:rsid w:val="00DA4F18"/>
    <w:rsid w:val="00DA53EC"/>
    <w:rsid w:val="00DA7A04"/>
    <w:rsid w:val="00DB4D56"/>
    <w:rsid w:val="00DB647F"/>
    <w:rsid w:val="00DB7869"/>
    <w:rsid w:val="00DC043E"/>
    <w:rsid w:val="00DC10B1"/>
    <w:rsid w:val="00DC15EC"/>
    <w:rsid w:val="00DC182F"/>
    <w:rsid w:val="00DC3345"/>
    <w:rsid w:val="00DC5B70"/>
    <w:rsid w:val="00DD1276"/>
    <w:rsid w:val="00DD2DE5"/>
    <w:rsid w:val="00DD431F"/>
    <w:rsid w:val="00DD718E"/>
    <w:rsid w:val="00DE6990"/>
    <w:rsid w:val="00DE6CF4"/>
    <w:rsid w:val="00DF0401"/>
    <w:rsid w:val="00DF06BD"/>
    <w:rsid w:val="00DF0F30"/>
    <w:rsid w:val="00DF21AC"/>
    <w:rsid w:val="00DF53DE"/>
    <w:rsid w:val="00DF7CB7"/>
    <w:rsid w:val="00E013B3"/>
    <w:rsid w:val="00E05062"/>
    <w:rsid w:val="00E071CA"/>
    <w:rsid w:val="00E13B41"/>
    <w:rsid w:val="00E206F8"/>
    <w:rsid w:val="00E23E78"/>
    <w:rsid w:val="00E240BA"/>
    <w:rsid w:val="00E247A2"/>
    <w:rsid w:val="00E2779F"/>
    <w:rsid w:val="00E3085B"/>
    <w:rsid w:val="00E32F80"/>
    <w:rsid w:val="00E361D6"/>
    <w:rsid w:val="00E40C49"/>
    <w:rsid w:val="00E4202B"/>
    <w:rsid w:val="00E4251A"/>
    <w:rsid w:val="00E43AD8"/>
    <w:rsid w:val="00E452F1"/>
    <w:rsid w:val="00E46388"/>
    <w:rsid w:val="00E46442"/>
    <w:rsid w:val="00E51339"/>
    <w:rsid w:val="00E573C5"/>
    <w:rsid w:val="00E57E11"/>
    <w:rsid w:val="00E60687"/>
    <w:rsid w:val="00E6087B"/>
    <w:rsid w:val="00E613B9"/>
    <w:rsid w:val="00E62646"/>
    <w:rsid w:val="00E66C4E"/>
    <w:rsid w:val="00E67F16"/>
    <w:rsid w:val="00E711BD"/>
    <w:rsid w:val="00E7146C"/>
    <w:rsid w:val="00E7161C"/>
    <w:rsid w:val="00E76876"/>
    <w:rsid w:val="00E76E12"/>
    <w:rsid w:val="00E77CDB"/>
    <w:rsid w:val="00E80087"/>
    <w:rsid w:val="00E80B8C"/>
    <w:rsid w:val="00E8195B"/>
    <w:rsid w:val="00E8368F"/>
    <w:rsid w:val="00E85921"/>
    <w:rsid w:val="00E85D24"/>
    <w:rsid w:val="00E85D57"/>
    <w:rsid w:val="00E8651B"/>
    <w:rsid w:val="00E866A9"/>
    <w:rsid w:val="00E87236"/>
    <w:rsid w:val="00E8795D"/>
    <w:rsid w:val="00E91D5D"/>
    <w:rsid w:val="00E927A9"/>
    <w:rsid w:val="00E93EEB"/>
    <w:rsid w:val="00E96009"/>
    <w:rsid w:val="00E962F3"/>
    <w:rsid w:val="00E9649D"/>
    <w:rsid w:val="00EA0A57"/>
    <w:rsid w:val="00EA1E2D"/>
    <w:rsid w:val="00EA2132"/>
    <w:rsid w:val="00EA354E"/>
    <w:rsid w:val="00EA6BA3"/>
    <w:rsid w:val="00EA7EEB"/>
    <w:rsid w:val="00EB03E4"/>
    <w:rsid w:val="00EB1F89"/>
    <w:rsid w:val="00EB51AF"/>
    <w:rsid w:val="00EB69B1"/>
    <w:rsid w:val="00EC14DB"/>
    <w:rsid w:val="00EC1FF4"/>
    <w:rsid w:val="00ED40D5"/>
    <w:rsid w:val="00ED64C8"/>
    <w:rsid w:val="00ED7000"/>
    <w:rsid w:val="00EE0B73"/>
    <w:rsid w:val="00EE1B97"/>
    <w:rsid w:val="00EE5B2A"/>
    <w:rsid w:val="00EF1612"/>
    <w:rsid w:val="00EF2B11"/>
    <w:rsid w:val="00EF56CC"/>
    <w:rsid w:val="00EF5F37"/>
    <w:rsid w:val="00EF6C44"/>
    <w:rsid w:val="00EF6E42"/>
    <w:rsid w:val="00F00291"/>
    <w:rsid w:val="00F02640"/>
    <w:rsid w:val="00F026B8"/>
    <w:rsid w:val="00F044A8"/>
    <w:rsid w:val="00F06757"/>
    <w:rsid w:val="00F132AD"/>
    <w:rsid w:val="00F136E1"/>
    <w:rsid w:val="00F16410"/>
    <w:rsid w:val="00F22254"/>
    <w:rsid w:val="00F2232F"/>
    <w:rsid w:val="00F264D3"/>
    <w:rsid w:val="00F269EC"/>
    <w:rsid w:val="00F26F1A"/>
    <w:rsid w:val="00F30674"/>
    <w:rsid w:val="00F327A4"/>
    <w:rsid w:val="00F33876"/>
    <w:rsid w:val="00F34E49"/>
    <w:rsid w:val="00F3603C"/>
    <w:rsid w:val="00F42107"/>
    <w:rsid w:val="00F461A8"/>
    <w:rsid w:val="00F513F1"/>
    <w:rsid w:val="00F5411B"/>
    <w:rsid w:val="00F57C6E"/>
    <w:rsid w:val="00F57D69"/>
    <w:rsid w:val="00F60B31"/>
    <w:rsid w:val="00F6203D"/>
    <w:rsid w:val="00F62B03"/>
    <w:rsid w:val="00F6353B"/>
    <w:rsid w:val="00F64E99"/>
    <w:rsid w:val="00F67B4E"/>
    <w:rsid w:val="00F73814"/>
    <w:rsid w:val="00F816A3"/>
    <w:rsid w:val="00F81AD7"/>
    <w:rsid w:val="00F8239D"/>
    <w:rsid w:val="00F83CAD"/>
    <w:rsid w:val="00F84938"/>
    <w:rsid w:val="00F90564"/>
    <w:rsid w:val="00F9243D"/>
    <w:rsid w:val="00F9281D"/>
    <w:rsid w:val="00F93C23"/>
    <w:rsid w:val="00FA1369"/>
    <w:rsid w:val="00FA1683"/>
    <w:rsid w:val="00FA1D77"/>
    <w:rsid w:val="00FA629B"/>
    <w:rsid w:val="00FA6C0B"/>
    <w:rsid w:val="00FA6CDB"/>
    <w:rsid w:val="00FA7AF8"/>
    <w:rsid w:val="00FB12D2"/>
    <w:rsid w:val="00FB1554"/>
    <w:rsid w:val="00FB1680"/>
    <w:rsid w:val="00FB33E7"/>
    <w:rsid w:val="00FB34AA"/>
    <w:rsid w:val="00FB4A44"/>
    <w:rsid w:val="00FB7F2F"/>
    <w:rsid w:val="00FC2571"/>
    <w:rsid w:val="00FC3C28"/>
    <w:rsid w:val="00FC3E7E"/>
    <w:rsid w:val="00FC51D2"/>
    <w:rsid w:val="00FC552F"/>
    <w:rsid w:val="00FD000F"/>
    <w:rsid w:val="00FD0331"/>
    <w:rsid w:val="00FD0A22"/>
    <w:rsid w:val="00FD2C04"/>
    <w:rsid w:val="00FD377F"/>
    <w:rsid w:val="00FD4C55"/>
    <w:rsid w:val="00FD4CFC"/>
    <w:rsid w:val="00FE0C0C"/>
    <w:rsid w:val="00FE15BE"/>
    <w:rsid w:val="00FE2061"/>
    <w:rsid w:val="00FE2338"/>
    <w:rsid w:val="00FE490A"/>
    <w:rsid w:val="00FE6DA7"/>
    <w:rsid w:val="00FE7AA2"/>
    <w:rsid w:val="00FF4AB5"/>
    <w:rsid w:val="00FF4CC5"/>
    <w:rsid w:val="00FF536A"/>
    <w:rsid w:val="00FF5C5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672113"/>
  <w15:chartTrackingRefBased/>
  <w15:docId w15:val="{AEFDBCFA-8D12-4431-BC52-6AE390B15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SG"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66F8"/>
    <w:pPr>
      <w:spacing w:line="260" w:lineRule="exact"/>
      <w:jc w:val="both"/>
    </w:pPr>
    <w:rPr>
      <w:szCs w:val="24"/>
      <w:lang w:val="en-US" w:eastAsia="en-US"/>
    </w:rPr>
  </w:style>
  <w:style w:type="paragraph" w:styleId="Heading1">
    <w:name w:val="heading 1"/>
    <w:aliases w:val="Section"/>
    <w:basedOn w:val="Normal"/>
    <w:next w:val="Normal"/>
    <w:qFormat/>
    <w:rsid w:val="007D7B18"/>
    <w:pPr>
      <w:numPr>
        <w:numId w:val="9"/>
      </w:numPr>
      <w:suppressAutoHyphens/>
      <w:spacing w:before="240" w:after="120"/>
      <w:ind w:right="288"/>
      <w:outlineLvl w:val="0"/>
    </w:pPr>
    <w:rPr>
      <w:b/>
      <w:kern w:val="28"/>
    </w:rPr>
  </w:style>
  <w:style w:type="paragraph" w:styleId="Heading2">
    <w:name w:val="heading 2"/>
    <w:aliases w:val="Subsection"/>
    <w:basedOn w:val="Normal"/>
    <w:next w:val="Normal"/>
    <w:qFormat/>
    <w:rsid w:val="007D7B18"/>
    <w:pPr>
      <w:keepNext/>
      <w:numPr>
        <w:ilvl w:val="1"/>
        <w:numId w:val="9"/>
      </w:numPr>
      <w:spacing w:before="240" w:after="120"/>
      <w:ind w:right="360"/>
      <w:outlineLvl w:val="1"/>
    </w:pPr>
    <w:rPr>
      <w:b/>
      <w:i/>
    </w:rPr>
  </w:style>
  <w:style w:type="paragraph" w:styleId="Heading3">
    <w:name w:val="heading 3"/>
    <w:aliases w:val="Subsubsection"/>
    <w:basedOn w:val="Normal"/>
    <w:next w:val="Normal"/>
    <w:qFormat/>
    <w:rsid w:val="007D7B18"/>
    <w:pPr>
      <w:keepNext/>
      <w:keepLines/>
      <w:numPr>
        <w:ilvl w:val="2"/>
        <w:numId w:val="9"/>
      </w:numPr>
      <w:suppressAutoHyphens/>
      <w:spacing w:before="240" w:after="120"/>
      <w:ind w:right="360"/>
      <w:outlineLvl w:val="2"/>
    </w:pPr>
    <w:rPr>
      <w:i/>
    </w:rPr>
  </w:style>
  <w:style w:type="paragraph" w:styleId="Heading4">
    <w:name w:val="heading 4"/>
    <w:aliases w:val="Paragraph"/>
    <w:basedOn w:val="Normal"/>
    <w:next w:val="Normal"/>
    <w:qFormat/>
    <w:rsid w:val="007D7B18"/>
    <w:pPr>
      <w:keepNext/>
      <w:spacing w:before="240" w:after="60"/>
      <w:outlineLvl w:val="3"/>
    </w:pPr>
  </w:style>
  <w:style w:type="paragraph" w:styleId="Heading5">
    <w:name w:val="heading 5"/>
    <w:aliases w:val="Subparagraph"/>
    <w:basedOn w:val="Normal"/>
    <w:next w:val="Normal"/>
    <w:qFormat/>
    <w:rsid w:val="00C5343E"/>
    <w:pPr>
      <w:keepNext/>
      <w:widowControl w:val="0"/>
      <w:spacing w:before="240" w:after="160"/>
      <w:outlineLvl w:val="4"/>
    </w:pPr>
    <w:rPr>
      <w:b/>
      <w:snapToGrid w:val="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343E"/>
    <w:pPr>
      <w:spacing w:line="200" w:lineRule="exact"/>
    </w:pPr>
    <w:rPr>
      <w:i/>
      <w:sz w:val="16"/>
      <w:szCs w:val="16"/>
    </w:rPr>
  </w:style>
  <w:style w:type="paragraph" w:customStyle="1" w:styleId="uqlnavigationlink">
    <w:name w:val="uqlnavigationlink"/>
    <w:basedOn w:val="Normal"/>
    <w:autoRedefine/>
    <w:pPr>
      <w:spacing w:before="240"/>
    </w:pPr>
    <w:rPr>
      <w:rFonts w:ascii="Arial" w:hAnsi="Arial"/>
      <w:b/>
      <w:sz w:val="16"/>
    </w:rPr>
  </w:style>
  <w:style w:type="paragraph" w:styleId="NormalWeb">
    <w:name w:val="Normal (Web)"/>
    <w:basedOn w:val="Normal"/>
    <w:autoRedefine/>
    <w:rsid w:val="00C5343E"/>
    <w:pPr>
      <w:spacing w:before="100" w:beforeAutospacing="1" w:after="100" w:afterAutospacing="1"/>
    </w:pPr>
    <w:rPr>
      <w:rFonts w:ascii="Verdana" w:hAnsi="Verdana"/>
      <w:sz w:val="17"/>
    </w:rPr>
  </w:style>
  <w:style w:type="paragraph" w:customStyle="1" w:styleId="itemlist">
    <w:name w:val="itemlist"/>
    <w:basedOn w:val="Normal"/>
    <w:autoRedefine/>
    <w:rsid w:val="00C5343E"/>
    <w:pPr>
      <w:numPr>
        <w:numId w:val="4"/>
      </w:numPr>
      <w:tabs>
        <w:tab w:val="clear" w:pos="360"/>
        <w:tab w:val="left" w:pos="274"/>
      </w:tabs>
      <w:spacing w:line="240" w:lineRule="exact"/>
      <w:ind w:left="300" w:hanging="300"/>
    </w:pPr>
  </w:style>
  <w:style w:type="paragraph" w:customStyle="1" w:styleId="Text">
    <w:name w:val="Text"/>
    <w:basedOn w:val="Normal"/>
    <w:link w:val="TextChar"/>
    <w:rsid w:val="00C5343E"/>
    <w:pPr>
      <w:tabs>
        <w:tab w:val="right" w:pos="7200"/>
      </w:tabs>
    </w:pPr>
  </w:style>
  <w:style w:type="paragraph" w:customStyle="1" w:styleId="Abstract">
    <w:name w:val="Abstract"/>
    <w:basedOn w:val="Text"/>
    <w:rsid w:val="00FC51D2"/>
    <w:pPr>
      <w:spacing w:line="200" w:lineRule="exact"/>
      <w:ind w:left="432" w:right="432"/>
    </w:pPr>
    <w:rPr>
      <w:snapToGrid w:val="0"/>
      <w:sz w:val="16"/>
    </w:rPr>
  </w:style>
  <w:style w:type="paragraph" w:customStyle="1" w:styleId="Romanlist">
    <w:name w:val="Romanlist"/>
    <w:basedOn w:val="Normal"/>
    <w:rsid w:val="00C5343E"/>
    <w:pPr>
      <w:numPr>
        <w:numId w:val="6"/>
      </w:numPr>
    </w:pPr>
    <w:rPr>
      <w:sz w:val="22"/>
    </w:rPr>
  </w:style>
  <w:style w:type="character" w:styleId="EndnoteReference">
    <w:name w:val="endnote reference"/>
    <w:semiHidden/>
    <w:rsid w:val="00C5343E"/>
    <w:rPr>
      <w:rFonts w:ascii="Times New Roman" w:hAnsi="Times New Roman"/>
      <w:vertAlign w:val="superscript"/>
    </w:rPr>
  </w:style>
  <w:style w:type="paragraph" w:customStyle="1" w:styleId="StyleReferenceLeft0Hanging025">
    <w:name w:val="Style Reference + Left:  0&quot; Hanging:  0.25&quot;"/>
    <w:basedOn w:val="Reference"/>
    <w:autoRedefine/>
    <w:rsid w:val="00C5343E"/>
    <w:pPr>
      <w:numPr>
        <w:numId w:val="7"/>
      </w:numPr>
      <w:tabs>
        <w:tab w:val="clear" w:pos="1152"/>
        <w:tab w:val="num" w:pos="360"/>
      </w:tabs>
      <w:ind w:left="360" w:hanging="72"/>
    </w:pPr>
    <w:rPr>
      <w:szCs w:val="20"/>
    </w:rPr>
  </w:style>
  <w:style w:type="paragraph" w:customStyle="1" w:styleId="Reference">
    <w:name w:val="Reference"/>
    <w:basedOn w:val="Normal"/>
    <w:rsid w:val="00584E2D"/>
    <w:pPr>
      <w:spacing w:line="220" w:lineRule="exact"/>
      <w:ind w:left="279" w:hanging="279"/>
    </w:pPr>
    <w:rPr>
      <w:sz w:val="18"/>
    </w:rPr>
  </w:style>
  <w:style w:type="paragraph" w:customStyle="1" w:styleId="Code">
    <w:name w:val="Code"/>
    <w:basedOn w:val="Text"/>
    <w:autoRedefine/>
    <w:rsid w:val="00C5343E"/>
    <w:pPr>
      <w:tabs>
        <w:tab w:val="clear" w:pos="7200"/>
        <w:tab w:val="left" w:pos="360"/>
        <w:tab w:val="left" w:pos="720"/>
        <w:tab w:val="left" w:pos="1080"/>
        <w:tab w:val="left" w:pos="1440"/>
      </w:tabs>
    </w:pPr>
    <w:rPr>
      <w:rFonts w:ascii="Courier New" w:hAnsi="Courier New" w:cs="Courier New"/>
    </w:rPr>
  </w:style>
  <w:style w:type="paragraph" w:customStyle="1" w:styleId="Affiliation">
    <w:name w:val="Affiliation"/>
    <w:basedOn w:val="Normal"/>
    <w:rsid w:val="00C5343E"/>
    <w:pPr>
      <w:spacing w:after="240" w:line="240" w:lineRule="auto"/>
      <w:jc w:val="center"/>
    </w:pPr>
    <w:rPr>
      <w:i/>
      <w:snapToGrid w:val="0"/>
      <w:sz w:val="16"/>
    </w:rPr>
  </w:style>
  <w:style w:type="paragraph" w:customStyle="1" w:styleId="Author">
    <w:name w:val="Author"/>
    <w:basedOn w:val="Normal"/>
    <w:rsid w:val="00C5343E"/>
    <w:pPr>
      <w:spacing w:before="40" w:after="100" w:line="240" w:lineRule="auto"/>
      <w:jc w:val="center"/>
    </w:pPr>
    <w:rPr>
      <w:snapToGrid w:val="0"/>
      <w:sz w:val="16"/>
    </w:rPr>
  </w:style>
  <w:style w:type="paragraph" w:customStyle="1" w:styleId="Equation">
    <w:name w:val="Equation"/>
    <w:basedOn w:val="Normal"/>
    <w:next w:val="Normal"/>
    <w:rsid w:val="00A31BE2"/>
    <w:pPr>
      <w:tabs>
        <w:tab w:val="center" w:pos="3600"/>
        <w:tab w:val="right" w:pos="7200"/>
      </w:tabs>
      <w:autoSpaceDE w:val="0"/>
      <w:autoSpaceDN w:val="0"/>
      <w:spacing w:before="120" w:after="120" w:line="240" w:lineRule="auto"/>
    </w:pPr>
  </w:style>
  <w:style w:type="paragraph" w:customStyle="1" w:styleId="Figure">
    <w:name w:val="Figure"/>
    <w:basedOn w:val="FigureCaption"/>
    <w:rsid w:val="00C5343E"/>
    <w:pPr>
      <w:spacing w:before="180" w:after="180" w:line="240" w:lineRule="auto"/>
    </w:pPr>
  </w:style>
  <w:style w:type="paragraph" w:customStyle="1" w:styleId="FigureCaption">
    <w:name w:val="Figure Caption"/>
    <w:basedOn w:val="Normal"/>
    <w:autoRedefine/>
    <w:rsid w:val="009A048E"/>
    <w:pPr>
      <w:spacing w:before="120" w:after="120" w:line="200" w:lineRule="exact"/>
      <w:jc w:val="center"/>
    </w:pPr>
    <w:rPr>
      <w:sz w:val="16"/>
    </w:rPr>
  </w:style>
  <w:style w:type="paragraph" w:customStyle="1" w:styleId="AList">
    <w:name w:val="AList"/>
    <w:basedOn w:val="Normal"/>
    <w:rsid w:val="00C5343E"/>
    <w:pPr>
      <w:numPr>
        <w:numId w:val="1"/>
      </w:numPr>
      <w:spacing w:line="240" w:lineRule="exact"/>
    </w:pPr>
  </w:style>
  <w:style w:type="paragraph" w:customStyle="1" w:styleId="Appendix1">
    <w:name w:val="Appendix 1"/>
    <w:basedOn w:val="Normal"/>
    <w:next w:val="Normal"/>
    <w:rsid w:val="00C5343E"/>
    <w:pPr>
      <w:keepNext/>
      <w:keepLines/>
      <w:numPr>
        <w:numId w:val="3"/>
      </w:numPr>
      <w:tabs>
        <w:tab w:val="num" w:pos="360"/>
      </w:tabs>
      <w:suppressAutoHyphens/>
      <w:autoSpaceDE w:val="0"/>
      <w:autoSpaceDN w:val="0"/>
      <w:spacing w:before="200" w:after="80"/>
      <w:ind w:left="360" w:hanging="360"/>
      <w:outlineLvl w:val="0"/>
    </w:pPr>
    <w:rPr>
      <w:b/>
    </w:rPr>
  </w:style>
  <w:style w:type="paragraph" w:customStyle="1" w:styleId="Appendix2">
    <w:name w:val="Appendix 2"/>
    <w:basedOn w:val="Appendix1"/>
    <w:next w:val="Normal"/>
    <w:rsid w:val="00F327A4"/>
    <w:pPr>
      <w:numPr>
        <w:ilvl w:val="1"/>
      </w:numPr>
      <w:tabs>
        <w:tab w:val="num" w:pos="360"/>
      </w:tabs>
      <w:ind w:left="360" w:hanging="360"/>
      <w:outlineLvl w:val="1"/>
    </w:pPr>
    <w:rPr>
      <w:i/>
    </w:rPr>
  </w:style>
  <w:style w:type="paragraph" w:customStyle="1" w:styleId="Appendix3">
    <w:name w:val="Appendix 3"/>
    <w:basedOn w:val="Appendix2"/>
    <w:next w:val="Normal"/>
    <w:rsid w:val="00F327A4"/>
    <w:pPr>
      <w:numPr>
        <w:ilvl w:val="2"/>
      </w:numPr>
      <w:tabs>
        <w:tab w:val="num" w:pos="360"/>
      </w:tabs>
      <w:ind w:left="360" w:hanging="360"/>
      <w:outlineLvl w:val="2"/>
    </w:pPr>
    <w:rPr>
      <w:b w:val="0"/>
    </w:rPr>
  </w:style>
  <w:style w:type="paragraph" w:styleId="Caption">
    <w:name w:val="caption"/>
    <w:basedOn w:val="Normal"/>
    <w:next w:val="Normal"/>
    <w:qFormat/>
    <w:rsid w:val="00C5343E"/>
    <w:pPr>
      <w:widowControl w:val="0"/>
      <w:spacing w:before="120" w:after="120"/>
      <w:jc w:val="center"/>
    </w:pPr>
    <w:rPr>
      <w:b/>
      <w:snapToGrid w:val="0"/>
      <w:lang w:val="x-none"/>
    </w:rPr>
  </w:style>
  <w:style w:type="paragraph" w:styleId="Footer">
    <w:name w:val="footer"/>
    <w:basedOn w:val="Normal"/>
    <w:rsid w:val="00C5343E"/>
    <w:pPr>
      <w:tabs>
        <w:tab w:val="center" w:pos="4320"/>
        <w:tab w:val="right" w:pos="8640"/>
      </w:tabs>
    </w:pPr>
  </w:style>
  <w:style w:type="character" w:styleId="FootnoteReference">
    <w:name w:val="footnote reference"/>
    <w:semiHidden/>
    <w:rsid w:val="00C5343E"/>
    <w:rPr>
      <w:vertAlign w:val="superscript"/>
    </w:rPr>
  </w:style>
  <w:style w:type="paragraph" w:styleId="FootnoteText">
    <w:name w:val="footnote text"/>
    <w:basedOn w:val="Normal"/>
    <w:semiHidden/>
    <w:rsid w:val="00C5343E"/>
    <w:pPr>
      <w:spacing w:line="200" w:lineRule="exact"/>
    </w:pPr>
    <w:rPr>
      <w:snapToGrid w:val="0"/>
      <w:sz w:val="16"/>
    </w:rPr>
  </w:style>
  <w:style w:type="paragraph" w:customStyle="1" w:styleId="History">
    <w:name w:val="History"/>
    <w:basedOn w:val="Text"/>
    <w:rsid w:val="00C5343E"/>
    <w:pPr>
      <w:spacing w:before="160" w:after="200" w:line="200" w:lineRule="exact"/>
      <w:jc w:val="center"/>
    </w:pPr>
    <w:rPr>
      <w:sz w:val="16"/>
    </w:rPr>
  </w:style>
  <w:style w:type="character" w:styleId="Hyperlink">
    <w:name w:val="Hyperlink"/>
    <w:rsid w:val="00C5343E"/>
    <w:rPr>
      <w:color w:val="0000FF"/>
      <w:u w:val="single"/>
    </w:rPr>
  </w:style>
  <w:style w:type="paragraph" w:customStyle="1" w:styleId="JournalTitle">
    <w:name w:val="Journal Title"/>
    <w:basedOn w:val="Normal"/>
    <w:autoRedefine/>
    <w:qFormat/>
    <w:rsid w:val="00997371"/>
    <w:pPr>
      <w:spacing w:before="1000" w:after="400"/>
      <w:jc w:val="center"/>
    </w:pPr>
    <w:rPr>
      <w:b/>
    </w:rPr>
  </w:style>
  <w:style w:type="paragraph" w:customStyle="1" w:styleId="keywords">
    <w:name w:val="keywords"/>
    <w:basedOn w:val="Abstract"/>
    <w:rsid w:val="00C5343E"/>
    <w:pPr>
      <w:spacing w:before="120"/>
    </w:pPr>
    <w:rPr>
      <w:szCs w:val="20"/>
    </w:rPr>
  </w:style>
  <w:style w:type="paragraph" w:styleId="List">
    <w:name w:val="List"/>
    <w:aliases w:val="BList"/>
    <w:basedOn w:val="Normal"/>
    <w:rsid w:val="00C5343E"/>
    <w:pPr>
      <w:numPr>
        <w:numId w:val="5"/>
      </w:numPr>
      <w:tabs>
        <w:tab w:val="clear" w:pos="360"/>
      </w:tabs>
      <w:spacing w:line="240" w:lineRule="exact"/>
    </w:pPr>
  </w:style>
  <w:style w:type="paragraph" w:customStyle="1" w:styleId="MTDisplayEquation">
    <w:name w:val="MTDisplayEquation"/>
    <w:basedOn w:val="Normal"/>
    <w:next w:val="Normal"/>
    <w:rsid w:val="00C5343E"/>
    <w:pPr>
      <w:widowControl w:val="0"/>
    </w:pPr>
    <w:rPr>
      <w:snapToGrid w:val="0"/>
      <w:lang w:val="x-none"/>
    </w:rPr>
  </w:style>
  <w:style w:type="character" w:customStyle="1" w:styleId="MTEquationSection">
    <w:name w:val="MTEquationSection"/>
    <w:rsid w:val="00C5343E"/>
    <w:rPr>
      <w:vanish/>
      <w:color w:val="FF0000"/>
    </w:rPr>
  </w:style>
  <w:style w:type="paragraph" w:customStyle="1" w:styleId="NList">
    <w:name w:val="NList"/>
    <w:basedOn w:val="List"/>
    <w:rsid w:val="00F9243D"/>
    <w:pPr>
      <w:numPr>
        <w:numId w:val="0"/>
      </w:numPr>
    </w:pPr>
  </w:style>
  <w:style w:type="character" w:styleId="PageNumber">
    <w:name w:val="page number"/>
    <w:basedOn w:val="DefaultParagraphFont"/>
    <w:rsid w:val="00C5343E"/>
  </w:style>
  <w:style w:type="paragraph" w:styleId="PlainText">
    <w:name w:val="Plain Text"/>
    <w:basedOn w:val="Normal"/>
    <w:rsid w:val="00C5343E"/>
    <w:pPr>
      <w:tabs>
        <w:tab w:val="left" w:pos="360"/>
      </w:tabs>
      <w:spacing w:line="260" w:lineRule="atLeast"/>
    </w:pPr>
    <w:rPr>
      <w:rFonts w:ascii="Courier New" w:hAnsi="Courier New"/>
      <w:szCs w:val="20"/>
    </w:rPr>
  </w:style>
  <w:style w:type="paragraph" w:customStyle="1" w:styleId="Table">
    <w:name w:val="Table"/>
    <w:basedOn w:val="Text"/>
    <w:rsid w:val="00C5343E"/>
    <w:pPr>
      <w:spacing w:line="220" w:lineRule="exact"/>
      <w:ind w:left="-86" w:right="-155"/>
      <w:jc w:val="left"/>
    </w:pPr>
    <w:rPr>
      <w:sz w:val="16"/>
    </w:rPr>
  </w:style>
  <w:style w:type="paragraph" w:customStyle="1" w:styleId="TableCaption">
    <w:name w:val="Table Caption"/>
    <w:basedOn w:val="Normal"/>
    <w:rsid w:val="00C5343E"/>
    <w:pPr>
      <w:spacing w:before="320" w:after="120" w:line="200" w:lineRule="exact"/>
      <w:jc w:val="center"/>
    </w:pPr>
    <w:rPr>
      <w:sz w:val="16"/>
    </w:rPr>
  </w:style>
  <w:style w:type="paragraph" w:customStyle="1" w:styleId="TextIndent">
    <w:name w:val="Text Indent"/>
    <w:rsid w:val="00C5343E"/>
    <w:pPr>
      <w:spacing w:line="260" w:lineRule="exact"/>
      <w:ind w:firstLine="302"/>
      <w:jc w:val="both"/>
    </w:pPr>
    <w:rPr>
      <w:lang w:val="en-US" w:eastAsia="en-US"/>
    </w:rPr>
  </w:style>
  <w:style w:type="paragraph" w:customStyle="1" w:styleId="Theorem">
    <w:name w:val="Theorem"/>
    <w:basedOn w:val="Text"/>
    <w:rsid w:val="00C5343E"/>
    <w:pPr>
      <w:spacing w:before="200" w:after="200"/>
    </w:pPr>
  </w:style>
  <w:style w:type="paragraph" w:customStyle="1" w:styleId="BodyText0">
    <w:name w:val="Body Text 0"/>
    <w:basedOn w:val="BodyText"/>
    <w:next w:val="BodyText"/>
    <w:rsid w:val="001A66F8"/>
    <w:pPr>
      <w:autoSpaceDE w:val="0"/>
      <w:autoSpaceDN w:val="0"/>
      <w:spacing w:after="0"/>
    </w:pPr>
  </w:style>
  <w:style w:type="paragraph" w:styleId="BodyText">
    <w:name w:val="Body Text"/>
    <w:basedOn w:val="Normal"/>
    <w:rsid w:val="001A66F8"/>
    <w:pPr>
      <w:spacing w:after="120"/>
    </w:pPr>
  </w:style>
  <w:style w:type="paragraph" w:styleId="BalloonText">
    <w:name w:val="Balloon Text"/>
    <w:basedOn w:val="Normal"/>
    <w:link w:val="BalloonTextChar"/>
    <w:rsid w:val="0034494C"/>
    <w:pPr>
      <w:spacing w:line="240" w:lineRule="auto"/>
    </w:pPr>
    <w:rPr>
      <w:rFonts w:ascii="Tahoma" w:hAnsi="Tahoma" w:cs="Tahoma"/>
      <w:sz w:val="16"/>
      <w:szCs w:val="16"/>
    </w:rPr>
  </w:style>
  <w:style w:type="character" w:customStyle="1" w:styleId="BalloonTextChar">
    <w:name w:val="Balloon Text Char"/>
    <w:link w:val="BalloonText"/>
    <w:rsid w:val="0034494C"/>
    <w:rPr>
      <w:rFonts w:ascii="Tahoma" w:hAnsi="Tahoma" w:cs="Tahoma"/>
      <w:sz w:val="16"/>
      <w:szCs w:val="16"/>
    </w:rPr>
  </w:style>
  <w:style w:type="character" w:customStyle="1" w:styleId="TextChar">
    <w:name w:val="Text Char"/>
    <w:link w:val="Text"/>
    <w:rsid w:val="00584E2D"/>
    <w:rPr>
      <w:szCs w:val="24"/>
    </w:rPr>
  </w:style>
  <w:style w:type="character" w:styleId="UnresolvedMention">
    <w:name w:val="Unresolved Mention"/>
    <w:basedOn w:val="DefaultParagraphFont"/>
    <w:uiPriority w:val="99"/>
    <w:semiHidden/>
    <w:unhideWhenUsed/>
    <w:rsid w:val="00120F92"/>
    <w:rPr>
      <w:color w:val="605E5C"/>
      <w:shd w:val="clear" w:color="auto" w:fill="E1DFDD"/>
    </w:rPr>
  </w:style>
  <w:style w:type="paragraph" w:customStyle="1" w:styleId="Newparagraph">
    <w:name w:val="New paragraph"/>
    <w:basedOn w:val="Normal"/>
    <w:qFormat/>
    <w:rsid w:val="00136F08"/>
    <w:pPr>
      <w:spacing w:line="480" w:lineRule="auto"/>
      <w:ind w:firstLine="720"/>
      <w:jc w:val="left"/>
    </w:pPr>
    <w:rPr>
      <w:sz w:val="24"/>
      <w:lang w:val="en-GB" w:eastAsia="en-GB"/>
    </w:rPr>
  </w:style>
  <w:style w:type="character" w:styleId="CommentReference">
    <w:name w:val="annotation reference"/>
    <w:basedOn w:val="DefaultParagraphFont"/>
    <w:uiPriority w:val="99"/>
    <w:unhideWhenUsed/>
    <w:rsid w:val="0077777F"/>
    <w:rPr>
      <w:sz w:val="16"/>
      <w:szCs w:val="16"/>
    </w:rPr>
  </w:style>
  <w:style w:type="paragraph" w:styleId="CommentText">
    <w:name w:val="annotation text"/>
    <w:basedOn w:val="Normal"/>
    <w:link w:val="CommentTextChar"/>
    <w:uiPriority w:val="99"/>
    <w:unhideWhenUsed/>
    <w:rsid w:val="0077777F"/>
    <w:pPr>
      <w:spacing w:line="240" w:lineRule="auto"/>
      <w:jc w:val="left"/>
    </w:pPr>
    <w:rPr>
      <w:szCs w:val="20"/>
      <w:lang w:val="en-GB" w:eastAsia="en-GB"/>
    </w:rPr>
  </w:style>
  <w:style w:type="character" w:customStyle="1" w:styleId="CommentTextChar">
    <w:name w:val="Comment Text Char"/>
    <w:basedOn w:val="DefaultParagraphFont"/>
    <w:link w:val="CommentText"/>
    <w:uiPriority w:val="99"/>
    <w:rsid w:val="0077777F"/>
    <w:rPr>
      <w:lang w:val="en-GB" w:eastAsia="en-GB"/>
    </w:rPr>
  </w:style>
  <w:style w:type="paragraph" w:customStyle="1" w:styleId="References">
    <w:name w:val="References"/>
    <w:basedOn w:val="Normal"/>
    <w:qFormat/>
    <w:rsid w:val="00155196"/>
    <w:pPr>
      <w:spacing w:before="120" w:line="360" w:lineRule="auto"/>
      <w:ind w:left="720" w:hanging="720"/>
      <w:contextualSpacing/>
      <w:jc w:val="left"/>
    </w:pPr>
    <w:rPr>
      <w:sz w:val="24"/>
      <w:lang w:val="en-GB" w:eastAsia="en-GB"/>
    </w:rPr>
  </w:style>
  <w:style w:type="table" w:styleId="TableGrid">
    <w:name w:val="Table Grid"/>
    <w:basedOn w:val="TableNormal"/>
    <w:rsid w:val="0087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Normal"/>
    <w:qFormat/>
    <w:rsid w:val="00870FEA"/>
    <w:pPr>
      <w:spacing w:before="240" w:line="360" w:lineRule="auto"/>
      <w:jc w:val="left"/>
    </w:pPr>
    <w:rPr>
      <w:sz w:val="24"/>
      <w:lang w:val="en-GB" w:eastAsia="en-GB"/>
    </w:rPr>
  </w:style>
  <w:style w:type="table" w:styleId="PlainTable2">
    <w:name w:val="Plain Table 2"/>
    <w:basedOn w:val="TableNormal"/>
    <w:uiPriority w:val="42"/>
    <w:rsid w:val="00870FE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870FE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22165677/" TargetMode="External"/><Relationship Id="rId18" Type="http://schemas.openxmlformats.org/officeDocument/2006/relationships/hyperlink" Target="https://doi.org/10.1016/j.jep.2010.03.031" TargetMode="External"/><Relationship Id="rId26" Type="http://schemas.openxmlformats.org/officeDocument/2006/relationships/hyperlink" Target="https://www.researchgate.net/publication/242313845_MORINGA_OLEIFERA_SEEDS_AS_NATURAL_COAGULANT_FOR_WATER_TREATMENT" TargetMode="External"/><Relationship Id="rId39" Type="http://schemas.openxmlformats.org/officeDocument/2006/relationships/header" Target="header1.xml"/><Relationship Id="rId21" Type="http://schemas.openxmlformats.org/officeDocument/2006/relationships/hyperlink" Target="https://doi.org/10.3390/polym13060904" TargetMode="External"/><Relationship Id="rId34" Type="http://schemas.openxmlformats.org/officeDocument/2006/relationships/hyperlink" Target="https://doi.org/10.3390/foods10092136"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5248/gengpi.2022.3.11.43" TargetMode="External"/><Relationship Id="rId29" Type="http://schemas.openxmlformats.org/officeDocument/2006/relationships/hyperlink" Target="https://doi.org/10.1186/1472-6882-14-3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306208208_White_popinac_as_potential_phyto-coagulant_to_reduce_turbidity_of_river_water" TargetMode="External"/><Relationship Id="rId24" Type="http://schemas.openxmlformats.org/officeDocument/2006/relationships/hyperlink" Target="https://doi.org/10.2166/aqua.2024.130" TargetMode="External"/><Relationship Id="rId32" Type="http://schemas.openxmlformats.org/officeDocument/2006/relationships/hyperlink" Target="https://journals.sta.uwi.edu/ojs/index.php/ta/article/view/6510" TargetMode="External"/><Relationship Id="rId37" Type="http://schemas.openxmlformats.org/officeDocument/2006/relationships/hyperlink" Target="https://doi.org/10.3390/ecsoc-23-06703"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heliyon.2021.e08451" TargetMode="External"/><Relationship Id="rId23" Type="http://schemas.openxmlformats.org/officeDocument/2006/relationships/hyperlink" Target="https://www.researchgate.net/publication/371037059_ANTIMICROBIAL_AND_PHYTOCHEMICAL_ANALYSIS_OF_NYMPHAEA_NAUCHALI_LEAF_EXTRACTS_Corresponding_Author" TargetMode="External"/><Relationship Id="rId28" Type="http://schemas.openxmlformats.org/officeDocument/2006/relationships/hyperlink" Target="https://doi.org/10.1016/j.jwpe.2021.102096" TargetMode="External"/><Relationship Id="rId36" Type="http://schemas.openxmlformats.org/officeDocument/2006/relationships/hyperlink" Target="https://www.unwater.org/publications/un-world-water-development-report-2023" TargetMode="External"/><Relationship Id="rId10" Type="http://schemas.openxmlformats.org/officeDocument/2006/relationships/image" Target="media/image3.png"/><Relationship Id="rId19" Type="http://schemas.openxmlformats.org/officeDocument/2006/relationships/hyperlink" Target="https://doi.org/10.1007/s12010-015-1499-0" TargetMode="External"/><Relationship Id="rId31" Type="http://schemas.openxmlformats.org/officeDocument/2006/relationships/hyperlink" Target="https://doi.org/10.1016/j.powtec.2017.08.040"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86/1476-0711-12-27" TargetMode="External"/><Relationship Id="rId22" Type="http://schemas.openxmlformats.org/officeDocument/2006/relationships/hyperlink" Target="https://doi.org/10.3390/w14223751" TargetMode="External"/><Relationship Id="rId27" Type="http://schemas.openxmlformats.org/officeDocument/2006/relationships/hyperlink" Target="https://doi.org/10.47310/jpms2025140215" TargetMode="External"/><Relationship Id="rId30" Type="http://schemas.openxmlformats.org/officeDocument/2006/relationships/hyperlink" Target="https://doi.org/10.1016/j.chemosphere.2021.129540" TargetMode="External"/><Relationship Id="rId35" Type="http://schemas.openxmlformats.org/officeDocument/2006/relationships/hyperlink" Target="https://doi.org/10.1016/j.clet.2021.100382" TargetMode="External"/><Relationship Id="rId43"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1086/513476" TargetMode="External"/><Relationship Id="rId17" Type="http://schemas.openxmlformats.org/officeDocument/2006/relationships/hyperlink" Target="https://doi.org/10.1016/j.indcrop.2015.06.027" TargetMode="External"/><Relationship Id="rId25" Type="http://schemas.openxmlformats.org/officeDocument/2006/relationships/hyperlink" Target="https://doi.org/10.3389/fnut.2023.1156155" TargetMode="External"/><Relationship Id="rId33" Type="http://schemas.openxmlformats.org/officeDocument/2006/relationships/hyperlink" Target="https://www.researchgate.net/publication/266487888_Evaluation_of_Bioactivities_of_Nymphaea_nouchali_Burm_f_-_the_National_Flower_of_Bangladesh" TargetMode="External"/><Relationship Id="rId38" Type="http://schemas.openxmlformats.org/officeDocument/2006/relationships/hyperlink" Target="https://www.who.int/news-room/fact-sheets/detail/drinking-water" TargetMode="External"/><Relationship Id="rId46" Type="http://schemas.openxmlformats.org/officeDocument/2006/relationships/theme" Target="theme/theme1.xml"/><Relationship Id="rId20" Type="http://schemas.openxmlformats.org/officeDocument/2006/relationships/hyperlink" Target="https://doi.org/10.33263/LIANBS132.095" TargetMode="External"/><Relationship Id="rId4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NG-FILES\15-05-2024\WEB-Templates\TODO\cjues-doc\ws-cju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EA67C-6484-4129-B9A7-62F13C1D5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ws-cjues</Template>
  <TotalTime>2</TotalTime>
  <Pages>11</Pages>
  <Words>15735</Words>
  <Characters>89694</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CJUES</vt:lpstr>
    </vt:vector>
  </TitlesOfParts>
  <Company/>
  <LinksUpToDate>false</LinksUpToDate>
  <CharactersWithSpaces>105219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CJUES</dc:title>
  <dc:creator>Dr Vindya Udalamaththa</dc:creator>
  <dc:description>for support email rajesh@wspc.com.sg</dc:description>
  <cp:lastModifiedBy>SDI 1084</cp:lastModifiedBy>
  <cp:revision>5</cp:revision>
  <cp:lastPrinted>2024-05-15T07:02:00Z</cp:lastPrinted>
  <dcterms:created xsi:type="dcterms:W3CDTF">2026-02-18T04:53:00Z</dcterms:created>
  <dcterms:modified xsi:type="dcterms:W3CDTF">2026-03-13T09:54:00Z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2566b40e-a961-45b9-9044-eb4f32b06395</vt:lpwstr>
  </property>
</Properties>
</file>