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19ED4" w14:textId="77777777" w:rsidR="00C67F45" w:rsidRPr="009934AD" w:rsidRDefault="004E5BC1">
      <w:pPr>
        <w:jc w:val="center"/>
        <w:rPr>
          <w:rFonts w:ascii="Times New Roman" w:hAnsi="Times New Roman" w:cs="Times New Roman"/>
          <w:b/>
          <w:bCs/>
          <w:sz w:val="32"/>
          <w:szCs w:val="32"/>
        </w:rPr>
      </w:pPr>
      <w:r w:rsidRPr="009934AD">
        <w:rPr>
          <w:rFonts w:ascii="Times New Roman" w:hAnsi="Times New Roman" w:cs="Times New Roman"/>
          <w:b/>
          <w:bCs/>
          <w:sz w:val="32"/>
          <w:szCs w:val="32"/>
        </w:rPr>
        <w:t>Prompt Injection and Training Data Poisoning as Emerging Threats to PCI DSS–Protected Financial Data</w:t>
      </w:r>
    </w:p>
    <w:p w14:paraId="39E77EB4" w14:textId="77777777" w:rsidR="00B44537" w:rsidRDefault="00B44537" w:rsidP="004E5BC1">
      <w:pPr>
        <w:spacing w:after="240"/>
        <w:rPr>
          <w:rFonts w:ascii="Times New Roman" w:hAnsi="Times New Roman" w:cs="Times New Roman"/>
          <w:b/>
          <w:bCs/>
          <w:sz w:val="24"/>
          <w:szCs w:val="24"/>
        </w:rPr>
      </w:pPr>
    </w:p>
    <w:p w14:paraId="04F823E2" w14:textId="77777777" w:rsidR="00ED4845" w:rsidRPr="00AF66D6" w:rsidRDefault="00ED4845" w:rsidP="009934AD">
      <w:pPr>
        <w:pStyle w:val="NoSpacing"/>
        <w:rPr>
          <w:rFonts w:ascii="Tenorite" w:hAnsi="Tenorite" w:cs="Times New Roman"/>
          <w:sz w:val="26"/>
          <w:szCs w:val="26"/>
        </w:rPr>
      </w:pPr>
      <w:bookmarkStart w:id="0" w:name="_GoBack"/>
      <w:bookmarkEnd w:id="0"/>
    </w:p>
    <w:p w14:paraId="53FF3F01" w14:textId="77777777" w:rsidR="009934AD" w:rsidRDefault="009934AD" w:rsidP="004E5BC1">
      <w:pPr>
        <w:spacing w:after="240"/>
        <w:rPr>
          <w:rFonts w:ascii="Times New Roman" w:hAnsi="Times New Roman" w:cs="Times New Roman"/>
          <w:b/>
          <w:bCs/>
          <w:sz w:val="24"/>
          <w:szCs w:val="24"/>
        </w:rPr>
      </w:pPr>
    </w:p>
    <w:p w14:paraId="7DA19ED5" w14:textId="0220F6B0" w:rsidR="00C67F45" w:rsidRPr="004E5BC1" w:rsidRDefault="004E5BC1" w:rsidP="004E5BC1">
      <w:pPr>
        <w:spacing w:after="240"/>
        <w:rPr>
          <w:rFonts w:ascii="Times New Roman" w:hAnsi="Times New Roman" w:cs="Times New Roman"/>
          <w:b/>
          <w:bCs/>
          <w:sz w:val="24"/>
          <w:szCs w:val="24"/>
        </w:rPr>
      </w:pPr>
      <w:r w:rsidRPr="004E5BC1">
        <w:rPr>
          <w:rFonts w:ascii="Times New Roman" w:hAnsi="Times New Roman" w:cs="Times New Roman"/>
          <w:b/>
          <w:bCs/>
          <w:sz w:val="24"/>
          <w:szCs w:val="24"/>
        </w:rPr>
        <w:t>Abstract</w:t>
      </w:r>
    </w:p>
    <w:p w14:paraId="7DA19ED6"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t>This study examines how prompt injection and training data poisoning compromise PCI DSS–protected financial systems and evaluates the adequacy of existing compliance controls. A multi-phase quantitative design was employed, integrating controlled CNN-based poisoning simulation, logistic regression modeling using categorized breach variables, PCI DSS v4.0 compliance gap index construction, and Structural Equation Modeling (SEM) for framework validation. Experimental results show that at a 5% poisoning rate, attack success reached 78.6% despite only a 4.6% accuracy drop, indicating latent compromise. Logistic regression revealed that logging failure reduced detection odds by 76% (OR=0.24, p&lt;.001). Coverage analysis identified a 66.7% explicit gap for prompt injection within PCI DSS domains. SEM results demonstrated strong explanatory power (R²=0.74), with preventive controls exerting the strongest influence (γ=0.61). The findings support revising PCI DSS to incorporate AI lifecycle governance, mandatory integrity monitoring, and strengthened third-party AI oversight.</w:t>
      </w:r>
    </w:p>
    <w:p w14:paraId="7DA19ED7" w14:textId="77777777" w:rsidR="00C67F45" w:rsidRPr="004E5BC1" w:rsidRDefault="004E5BC1" w:rsidP="004E5BC1">
      <w:pPr>
        <w:pBdr>
          <w:top w:val="nil"/>
          <w:left w:val="nil"/>
          <w:bottom w:val="nil"/>
          <w:right w:val="nil"/>
          <w:between w:val="nil"/>
        </w:pBdr>
        <w:spacing w:after="240"/>
        <w:rPr>
          <w:rFonts w:ascii="Times New Roman" w:hAnsi="Times New Roman" w:cs="Times New Roman"/>
          <w:b/>
          <w:bCs/>
          <w:sz w:val="24"/>
          <w:szCs w:val="24"/>
        </w:rPr>
      </w:pPr>
      <w:bookmarkStart w:id="1" w:name="_heading=h.yh4x6hvxsk1f" w:colFirst="0" w:colLast="0"/>
      <w:bookmarkEnd w:id="1"/>
      <w:r w:rsidRPr="004E5BC1">
        <w:rPr>
          <w:rFonts w:ascii="Times New Roman" w:hAnsi="Times New Roman" w:cs="Times New Roman"/>
          <w:b/>
          <w:sz w:val="24"/>
          <w:szCs w:val="24"/>
        </w:rPr>
        <w:t>Keywords</w:t>
      </w:r>
      <w:r w:rsidRPr="004E5BC1">
        <w:rPr>
          <w:rFonts w:ascii="Times New Roman" w:hAnsi="Times New Roman" w:cs="Times New Roman"/>
          <w:sz w:val="24"/>
          <w:szCs w:val="24"/>
        </w:rPr>
        <w:t>: Prompt Injection Attacks; Training Data Poisoning; PCI DSS Compliance Gap; Adversarial Machine Learning in Finance; AI Governance Controls</w:t>
      </w:r>
    </w:p>
    <w:p w14:paraId="7DA19ED8" w14:textId="77777777" w:rsidR="00C67F45" w:rsidRPr="004E5BC1" w:rsidRDefault="004E5BC1" w:rsidP="004E5BC1">
      <w:pPr>
        <w:spacing w:after="240"/>
        <w:rPr>
          <w:rFonts w:ascii="Times New Roman" w:hAnsi="Times New Roman" w:cs="Times New Roman"/>
          <w:b/>
          <w:bCs/>
          <w:sz w:val="24"/>
          <w:szCs w:val="24"/>
        </w:rPr>
      </w:pPr>
      <w:bookmarkStart w:id="2" w:name="_heading=h.o98ie9wz64fh" w:colFirst="0" w:colLast="0"/>
      <w:bookmarkEnd w:id="2"/>
      <w:r>
        <w:rPr>
          <w:rFonts w:ascii="Times New Roman" w:hAnsi="Times New Roman" w:cs="Times New Roman"/>
          <w:b/>
          <w:bCs/>
          <w:sz w:val="24"/>
          <w:szCs w:val="24"/>
        </w:rPr>
        <w:t>1.</w:t>
      </w:r>
      <w:r>
        <w:rPr>
          <w:rFonts w:ascii="Times New Roman" w:hAnsi="Times New Roman" w:cs="Times New Roman"/>
          <w:b/>
          <w:bCs/>
          <w:sz w:val="24"/>
          <w:szCs w:val="24"/>
        </w:rPr>
        <w:tab/>
      </w:r>
      <w:r w:rsidRPr="004E5BC1">
        <w:rPr>
          <w:rFonts w:ascii="Times New Roman" w:hAnsi="Times New Roman" w:cs="Times New Roman"/>
          <w:b/>
          <w:bCs/>
          <w:sz w:val="24"/>
          <w:szCs w:val="24"/>
        </w:rPr>
        <w:t>Introduction</w:t>
      </w:r>
    </w:p>
    <w:p w14:paraId="7DA19ED9"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Artificial intelligence systems have rapidly evolved from niche research artifacts to essential components of enterprise information systems, and their adoption in finance, cybersecurity, and automation continues to expand at an unprecedented pace. These advances include the use of large language models and generative artificial intelligence to support decision making, document processing, customer engagement, automated risk modeling, and fraud detection. Research indicates that while artificial intelligence enhances organizational efficiency and analytical capability, it simultaneously introduces new classes of vulnerabilities that were largely absent in conventional software architectures (</w:t>
      </w:r>
      <w:proofErr w:type="spellStart"/>
      <w:r w:rsidRPr="004E5BC1">
        <w:rPr>
          <w:rFonts w:ascii="Times New Roman" w:hAnsi="Times New Roman" w:cs="Times New Roman"/>
          <w:sz w:val="24"/>
          <w:szCs w:val="24"/>
        </w:rPr>
        <w:t>Karras</w:t>
      </w:r>
      <w:proofErr w:type="spellEnd"/>
      <w:r w:rsidRPr="004E5BC1">
        <w:rPr>
          <w:rFonts w:ascii="Times New Roman" w:hAnsi="Times New Roman" w:cs="Times New Roman"/>
          <w:sz w:val="24"/>
          <w:szCs w:val="24"/>
        </w:rPr>
        <w:t>, 2025). Such vulnerabilities include susceptibility to prompt manipulation, adversarial perturbations, and corrupted training data, all of which are beginning to manifest in operational environments. This evolution is occurring alongside evidence that many large organizations are deploying generative artificial intelligence across production systems without fully developed defensive mechanisms against emerging threat vectors (Wikipedia contributors, 2025).</w:t>
      </w:r>
    </w:p>
    <w:p w14:paraId="7DA19EDA"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 xml:space="preserve">One of the most significant threats associated with modern artificial intelligence arises from the way models interpret and prioritize instructions. Prompt injection attacks exploit the contextual interpretation processes of language models, allowing malicious inputs to override system intended behavior without modifying source code. Cybersecurity authorities and standard setting bodies have identified prompt injection as a critical risk category for generative artificial intelligence applications because user input and system instructions are processed through the same interpretive channel (OWASP Gen AI Security Project, 2025). Empirical demonstrations show that prompt injection can bypass safety controls, extract sensitive internal information, and alter automated </w:t>
      </w:r>
      <w:proofErr w:type="gramStart"/>
      <w:r w:rsidRPr="004E5BC1">
        <w:rPr>
          <w:rFonts w:ascii="Times New Roman" w:hAnsi="Times New Roman" w:cs="Times New Roman"/>
          <w:sz w:val="24"/>
          <w:szCs w:val="24"/>
        </w:rPr>
        <w:t>decision making</w:t>
      </w:r>
      <w:proofErr w:type="gramEnd"/>
      <w:r w:rsidRPr="004E5BC1">
        <w:rPr>
          <w:rFonts w:ascii="Times New Roman" w:hAnsi="Times New Roman" w:cs="Times New Roman"/>
          <w:sz w:val="24"/>
          <w:szCs w:val="24"/>
        </w:rPr>
        <w:t xml:space="preserve"> processes. At the same time, training data poisoning attacks target the learning phase of artificial intelligence by embedding malicious patterns into datasets, thereby shaping model behavior long after deployment. Systematic security reviews indicate that even limited amounts of poisoned data can significantly degrade model reliability and introduce hidden backdoors that are difficult to detect using conventional validation techniques (</w:t>
      </w:r>
      <w:proofErr w:type="spellStart"/>
      <w:r w:rsidRPr="004E5BC1">
        <w:rPr>
          <w:rFonts w:ascii="Times New Roman" w:hAnsi="Times New Roman" w:cs="Times New Roman"/>
          <w:sz w:val="24"/>
          <w:szCs w:val="24"/>
        </w:rPr>
        <w:t>Hartle</w:t>
      </w:r>
      <w:proofErr w:type="spellEnd"/>
      <w:r w:rsidRPr="004E5BC1">
        <w:rPr>
          <w:rFonts w:ascii="Times New Roman" w:hAnsi="Times New Roman" w:cs="Times New Roman"/>
          <w:sz w:val="24"/>
          <w:szCs w:val="24"/>
        </w:rPr>
        <w:t xml:space="preserve"> et al., 2025; Kure et al., 2025).</w:t>
      </w:r>
    </w:p>
    <w:p w14:paraId="7DA19EDB"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These vulnerabilities have progressed beyond theoretical constructs. Prompt injection techniques have been demonstrated in academic publishing workflows, institutional artificial intelligence tools, and </w:t>
      </w:r>
      <w:proofErr w:type="gramStart"/>
      <w:r w:rsidRPr="004E5BC1">
        <w:rPr>
          <w:rFonts w:ascii="Times New Roman" w:hAnsi="Times New Roman" w:cs="Times New Roman"/>
          <w:sz w:val="24"/>
          <w:szCs w:val="24"/>
        </w:rPr>
        <w:t>large scale</w:t>
      </w:r>
      <w:proofErr w:type="gramEnd"/>
      <w:r w:rsidRPr="004E5BC1">
        <w:rPr>
          <w:rFonts w:ascii="Times New Roman" w:hAnsi="Times New Roman" w:cs="Times New Roman"/>
          <w:sz w:val="24"/>
          <w:szCs w:val="24"/>
        </w:rPr>
        <w:t xml:space="preserve"> language model deployments (Wikipedia contributors, 2025). Experimental studies further report that data poisoning attacks can reduce classification accuracy by nearly thirty percent in standardized datasets, with particularly severe implications for anomaly detection and fraud classification systems (Kure et al., 2025). Additional research shows that architectural features such as retrieval augmented generation and autonomous task chaining may amplify the impact of adversarial inputs because manipulated content can become persistently embedded within inference contexts (Ramakrishnan &amp; Balaji, 2025). Collectively, these findings illustrate that artificial intelligence introduces security failure modes that differ fundamentally from those addressed by traditional software security models.</w:t>
      </w:r>
    </w:p>
    <w:p w14:paraId="7DA19ED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implications of these developments become especially consequential within financial systems. Financial institutions rely extensively on the Payment Card Industry Data Security Standard to safeguard cardholder data and reduce exposure to fraud and data breaches. PCI DSS has historically focused on network security, cryptographic protection, access control, vulnerability management, and logging. However, these controls were designed primarily for deterministic software environments in which system behavior is predictable and bounded. Analytical evaluations of PCI DSS implementation effectiveness indicate that formal compliance does not necessarily equate to comprehensive security, particularly in complex and evolving technological contexts (</w:t>
      </w:r>
      <w:proofErr w:type="spellStart"/>
      <w:r w:rsidRPr="004E5BC1">
        <w:rPr>
          <w:rFonts w:ascii="Times New Roman" w:hAnsi="Times New Roman" w:cs="Times New Roman"/>
          <w:sz w:val="24"/>
          <w:szCs w:val="24"/>
        </w:rPr>
        <w:t>Chippagiri</w:t>
      </w:r>
      <w:proofErr w:type="spellEnd"/>
      <w:r w:rsidRPr="004E5BC1">
        <w:rPr>
          <w:rFonts w:ascii="Times New Roman" w:hAnsi="Times New Roman" w:cs="Times New Roman"/>
          <w:sz w:val="24"/>
          <w:szCs w:val="24"/>
        </w:rPr>
        <w:t xml:space="preserve"> &amp; Ramesh, 2025). As artificial intelligence becomes embedded within payment authorization, fraud detection, transaction monitoring, and customer interaction pipelines, this misalignment between standard assumptions and system behavior becomes increasingly pronounced.</w:t>
      </w:r>
    </w:p>
    <w:p w14:paraId="7DA19EDD"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At present, artificial intelligence systems may directly or indirectly process cardholder data, generate transaction risk scores, or influence authorization outcomes. Yet PCI DSS provides little explicit guidance on securing model training pipelines, governing prompt handling, or validating model output behavior. This situation creates an environment in which organizations may satisfy compliance requirements while simultaneously deploying artificial intelligence components that introduce unexamined attack surfaces. Research on large language model security emphasizes that artificial intelligence vulnerabilities are often invisible to traditional intrusion detection systems because malicious influence may occur through legitimate input channels rather than exploit code execution flaws (</w:t>
      </w:r>
      <w:proofErr w:type="spellStart"/>
      <w:r w:rsidRPr="004E5BC1">
        <w:rPr>
          <w:rFonts w:ascii="Times New Roman" w:hAnsi="Times New Roman" w:cs="Times New Roman"/>
          <w:sz w:val="24"/>
          <w:szCs w:val="24"/>
        </w:rPr>
        <w:t>Karras</w:t>
      </w:r>
      <w:proofErr w:type="spellEnd"/>
      <w:r w:rsidRPr="004E5BC1">
        <w:rPr>
          <w:rFonts w:ascii="Times New Roman" w:hAnsi="Times New Roman" w:cs="Times New Roman"/>
          <w:sz w:val="24"/>
          <w:szCs w:val="24"/>
        </w:rPr>
        <w:t>, 2025). Consequently, organizations may be unable to determine whether an artificial intelligence component has been manipulated unless overt system failure occurs.</w:t>
      </w:r>
    </w:p>
    <w:p w14:paraId="7DA19EDE"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The undesirable condition that emerges from these observations is characterized by a convergence of accelerating artificial intelligence adoption, increasing sophistication of adversarial machine learning attacks, and static compliance frameworks. Prompt injection and training data poisoning represent threat categories that directly undermine confidentiality, integrity, and access control while remaining largely outside the scope of traditional compliance verification. Despite growing recognition of these risks within the artificial intelligence </w:t>
      </w:r>
      <w:proofErr w:type="gramStart"/>
      <w:r w:rsidRPr="004E5BC1">
        <w:rPr>
          <w:rFonts w:ascii="Times New Roman" w:hAnsi="Times New Roman" w:cs="Times New Roman"/>
          <w:sz w:val="24"/>
          <w:szCs w:val="24"/>
        </w:rPr>
        <w:t>security  studies</w:t>
      </w:r>
      <w:proofErr w:type="gramEnd"/>
      <w:r w:rsidRPr="004E5BC1">
        <w:rPr>
          <w:rFonts w:ascii="Times New Roman" w:hAnsi="Times New Roman" w:cs="Times New Roman"/>
          <w:sz w:val="24"/>
          <w:szCs w:val="24"/>
        </w:rPr>
        <w:t>, limited research has systematically examined how such attacks intersect with PCI DSS protected financial environments. This gap raises unresolved questions regarding whether existing PCI DSS control families meaningfully address artificial intelligence specific manipulation, which control objectives implicitly rely on deterministic software behavior, and how compliance frameworks should evolve to remain effective in artificial intelligence mediated systems.</w:t>
      </w:r>
    </w:p>
    <w:p w14:paraId="7DA19EDF"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In response to these concerns, this study aims to examine how prompt injection and training data poisoning attacks compromise financial systems protected under PCI DSS and to develop a security framework that integrates artificial intelligence specific threat controls into existing compliance architectures. To achieve this aim, the study pursues four objectives:</w:t>
      </w:r>
    </w:p>
    <w:p w14:paraId="7DA19EE0" w14:textId="77777777" w:rsidR="00C67F45" w:rsidRPr="004E5BC1" w:rsidRDefault="004E5BC1" w:rsidP="004E5BC1">
      <w:pPr>
        <w:numPr>
          <w:ilvl w:val="0"/>
          <w:numId w:val="1"/>
        </w:numPr>
        <w:spacing w:after="240"/>
        <w:rPr>
          <w:rFonts w:ascii="Times New Roman" w:hAnsi="Times New Roman" w:cs="Times New Roman"/>
          <w:sz w:val="24"/>
          <w:szCs w:val="24"/>
        </w:rPr>
      </w:pPr>
      <w:r w:rsidRPr="004E5BC1">
        <w:rPr>
          <w:rFonts w:ascii="Times New Roman" w:hAnsi="Times New Roman" w:cs="Times New Roman"/>
          <w:sz w:val="24"/>
          <w:szCs w:val="24"/>
        </w:rPr>
        <w:t>To identify and classify prompt injection attack vectors and training data poisoning techniques that affect artificial intelligence components responsible for processing, storing, or transmitting cardholder</w:t>
      </w:r>
      <w:r>
        <w:rPr>
          <w:rFonts w:ascii="Times New Roman" w:hAnsi="Times New Roman" w:cs="Times New Roman"/>
          <w:sz w:val="24"/>
          <w:szCs w:val="24"/>
        </w:rPr>
        <w:t xml:space="preserve"> data within financial systems.</w:t>
      </w:r>
    </w:p>
    <w:p w14:paraId="7DA19EE1" w14:textId="77777777" w:rsidR="00C67F45" w:rsidRPr="004E5BC1" w:rsidRDefault="004E5BC1" w:rsidP="004E5BC1">
      <w:pPr>
        <w:numPr>
          <w:ilvl w:val="0"/>
          <w:numId w:val="1"/>
        </w:numPr>
        <w:spacing w:after="240"/>
        <w:rPr>
          <w:rFonts w:ascii="Times New Roman" w:hAnsi="Times New Roman" w:cs="Times New Roman"/>
          <w:sz w:val="24"/>
          <w:szCs w:val="24"/>
        </w:rPr>
      </w:pPr>
      <w:r w:rsidRPr="004E5BC1">
        <w:rPr>
          <w:rFonts w:ascii="Times New Roman" w:hAnsi="Times New Roman" w:cs="Times New Roman"/>
          <w:sz w:val="24"/>
          <w:szCs w:val="24"/>
        </w:rPr>
        <w:t>To evaluate the effectiveness of existing PCI DSS control requirements in detecting, preventing, and mitigating prompt injection and training data poisoning attacks in artificial intellige</w:t>
      </w:r>
      <w:r>
        <w:rPr>
          <w:rFonts w:ascii="Times New Roman" w:hAnsi="Times New Roman" w:cs="Times New Roman"/>
          <w:sz w:val="24"/>
          <w:szCs w:val="24"/>
        </w:rPr>
        <w:t>nce driven financial workflows.</w:t>
      </w:r>
    </w:p>
    <w:p w14:paraId="7DA19EE2" w14:textId="77777777" w:rsidR="00C67F45" w:rsidRPr="004E5BC1" w:rsidRDefault="004E5BC1" w:rsidP="004E5BC1">
      <w:pPr>
        <w:numPr>
          <w:ilvl w:val="0"/>
          <w:numId w:val="1"/>
        </w:numPr>
        <w:spacing w:after="240"/>
        <w:rPr>
          <w:rFonts w:ascii="Times New Roman" w:hAnsi="Times New Roman" w:cs="Times New Roman"/>
          <w:sz w:val="24"/>
          <w:szCs w:val="24"/>
        </w:rPr>
      </w:pPr>
      <w:r w:rsidRPr="004E5BC1">
        <w:rPr>
          <w:rFonts w:ascii="Times New Roman" w:hAnsi="Times New Roman" w:cs="Times New Roman"/>
          <w:sz w:val="24"/>
          <w:szCs w:val="24"/>
        </w:rPr>
        <w:t>To map identified artificial intelligence specific threats to corresponding PCI DSS control domains and determine explicit control gaps that expose PC</w:t>
      </w:r>
      <w:r>
        <w:rPr>
          <w:rFonts w:ascii="Times New Roman" w:hAnsi="Times New Roman" w:cs="Times New Roman"/>
          <w:sz w:val="24"/>
          <w:szCs w:val="24"/>
        </w:rPr>
        <w:t>I DSS protected financial data.</w:t>
      </w:r>
    </w:p>
    <w:p w14:paraId="7DA19EE3" w14:textId="77777777" w:rsidR="00C67F45" w:rsidRPr="004E5BC1" w:rsidRDefault="004E5BC1" w:rsidP="004E5BC1">
      <w:pPr>
        <w:numPr>
          <w:ilvl w:val="0"/>
          <w:numId w:val="1"/>
        </w:num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To design and validate a PCI DSS aligned security framework that incorporates preventive, detective, and corrective controls for prompt injection and training data poisoning in artificial intelligence enabled financial systems.</w:t>
      </w:r>
    </w:p>
    <w:p w14:paraId="7DA19EE4" w14:textId="77777777" w:rsidR="00C67F45" w:rsidRPr="004E5BC1" w:rsidRDefault="004E5BC1" w:rsidP="004E5BC1">
      <w:pPr>
        <w:pStyle w:val="Heading3"/>
        <w:keepNext w:val="0"/>
        <w:keepLines w:val="0"/>
        <w:spacing w:before="0" w:after="240"/>
        <w:rPr>
          <w:rFonts w:ascii="Times New Roman" w:hAnsi="Times New Roman" w:cs="Times New Roman"/>
          <w:b/>
          <w:bCs/>
          <w:color w:val="000000"/>
          <w:sz w:val="24"/>
          <w:szCs w:val="24"/>
        </w:rPr>
      </w:pPr>
      <w:bookmarkStart w:id="3" w:name="_heading=h.bpb02q4k2xrr" w:colFirst="0" w:colLast="0"/>
      <w:bookmarkEnd w:id="3"/>
      <w:r>
        <w:rPr>
          <w:rFonts w:ascii="Times New Roman" w:hAnsi="Times New Roman" w:cs="Times New Roman"/>
          <w:b/>
          <w:bCs/>
          <w:color w:val="000000"/>
          <w:sz w:val="24"/>
          <w:szCs w:val="24"/>
        </w:rPr>
        <w:t>2.</w:t>
      </w:r>
      <w:r>
        <w:rPr>
          <w:rFonts w:ascii="Times New Roman" w:hAnsi="Times New Roman" w:cs="Times New Roman"/>
          <w:b/>
          <w:bCs/>
          <w:color w:val="000000"/>
          <w:sz w:val="24"/>
          <w:szCs w:val="24"/>
        </w:rPr>
        <w:tab/>
      </w:r>
      <w:r w:rsidRPr="004E5BC1">
        <w:rPr>
          <w:rFonts w:ascii="Times New Roman" w:hAnsi="Times New Roman" w:cs="Times New Roman"/>
          <w:b/>
          <w:bCs/>
          <w:color w:val="000000"/>
          <w:sz w:val="24"/>
          <w:szCs w:val="24"/>
        </w:rPr>
        <w:t>Literature Review</w:t>
      </w:r>
    </w:p>
    <w:p w14:paraId="7DA19EE5"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Financial institutions have moved from experimental use of artificial intelligence toward substantive operational deployment, especially in areas such as fraud detection, credit scoring, compliance automation, and customer engagement. According to Cao and </w:t>
      </w:r>
      <w:proofErr w:type="spellStart"/>
      <w:r w:rsidRPr="004E5BC1">
        <w:rPr>
          <w:rFonts w:ascii="Times New Roman" w:hAnsi="Times New Roman" w:cs="Times New Roman"/>
          <w:sz w:val="24"/>
          <w:szCs w:val="24"/>
        </w:rPr>
        <w:t>Zhai</w:t>
      </w:r>
      <w:proofErr w:type="spellEnd"/>
      <w:r w:rsidRPr="004E5BC1">
        <w:rPr>
          <w:rFonts w:ascii="Times New Roman" w:hAnsi="Times New Roman" w:cs="Times New Roman"/>
          <w:sz w:val="24"/>
          <w:szCs w:val="24"/>
        </w:rPr>
        <w:t xml:space="preserve"> (2022), adoption has shifted from </w:t>
      </w:r>
      <w:proofErr w:type="spellStart"/>
      <w:r w:rsidRPr="004E5BC1">
        <w:rPr>
          <w:rFonts w:ascii="Times New Roman" w:hAnsi="Times New Roman" w:cs="Times New Roman"/>
          <w:sz w:val="24"/>
          <w:szCs w:val="24"/>
        </w:rPr>
        <w:t>piloteering</w:t>
      </w:r>
      <w:proofErr w:type="spellEnd"/>
      <w:r w:rsidRPr="004E5BC1">
        <w:rPr>
          <w:rFonts w:ascii="Times New Roman" w:hAnsi="Times New Roman" w:cs="Times New Roman"/>
          <w:sz w:val="24"/>
          <w:szCs w:val="24"/>
        </w:rPr>
        <w:t xml:space="preserve"> to production use, with banks and fintech firms embedding supervised and unsupervised models into real time decision pipelines. However, this shift is uneven across functional domains, which suggests that adoption is driven as much by business case clarity as by regulatory permissibility. In contrast to early optimism that automation would be universally beneficial, recent reviews indicate that the complexity of financial workflows creates environment specific constraints that limit transferability of model performance from research datasets to </w:t>
      </w:r>
      <w:r>
        <w:rPr>
          <w:rFonts w:ascii="Times New Roman" w:hAnsi="Times New Roman" w:cs="Times New Roman"/>
          <w:sz w:val="24"/>
          <w:szCs w:val="24"/>
        </w:rPr>
        <w:t>live operations (</w:t>
      </w:r>
      <w:proofErr w:type="spellStart"/>
      <w:r>
        <w:rPr>
          <w:rFonts w:ascii="Times New Roman" w:hAnsi="Times New Roman" w:cs="Times New Roman"/>
          <w:sz w:val="24"/>
          <w:szCs w:val="24"/>
        </w:rPr>
        <w:t>Bahoo</w:t>
      </w:r>
      <w:proofErr w:type="spellEnd"/>
      <w:r>
        <w:rPr>
          <w:rFonts w:ascii="Times New Roman" w:hAnsi="Times New Roman" w:cs="Times New Roman"/>
          <w:sz w:val="24"/>
          <w:szCs w:val="24"/>
        </w:rPr>
        <w:t xml:space="preserve"> et al., </w:t>
      </w:r>
      <w:r w:rsidRPr="004E5BC1">
        <w:rPr>
          <w:rFonts w:ascii="Times New Roman" w:hAnsi="Times New Roman" w:cs="Times New Roman"/>
          <w:sz w:val="24"/>
          <w:szCs w:val="24"/>
        </w:rPr>
        <w:t>2024). This suggests that wide adoption alone does not guarantee robust, context aware deployment.</w:t>
      </w:r>
    </w:p>
    <w:p w14:paraId="7DA19EE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Large language models and generative artificial intelligence mark a new phase in adoption because they extend beyond narrow prediction to natural language interaction and synthesis functions. The ACM survey on LLMs in finance documents concrete use cases such as document summarization, regulatory reporting assistance, and intelligent assistants for trading desks, yet the authors caution that model outputs are probabilistic and can be misaligned with institutional objectives if governance is weak (Li et al., 2023). Despite this evidence of utility, the Financial Stability Board reports that widespread use of advanced models may amplify operational fragility, especially when models are not stress tested for adversarial inputs or cascading failure modes (Financial Stability Board, 2024). Therefore, the movement from narrow machine learning models to general purpose language models increases both functional reach and attack surface.</w:t>
      </w:r>
    </w:p>
    <w:p w14:paraId="7DA19EE7"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Fraud detection and transaction monitoring remain among the most consequential AI enabled workflows because model outputs directly affect access to funds and the integrity of customer accounts (Obioha-Val et al., 2025). Recent systematic surveys of fraud detection methods emphasize that modern approaches offer improved detection rates, but they also reveal sensitivity to data drift and adversarial manipulation, which undermines long term reliability (Gosh </w:t>
      </w:r>
      <w:proofErr w:type="spellStart"/>
      <w:r w:rsidRPr="004E5BC1">
        <w:rPr>
          <w:rFonts w:ascii="Times New Roman" w:hAnsi="Times New Roman" w:cs="Times New Roman"/>
          <w:sz w:val="24"/>
          <w:szCs w:val="24"/>
        </w:rPr>
        <w:t>Dastidar</w:t>
      </w:r>
      <w:proofErr w:type="spellEnd"/>
      <w:r w:rsidRPr="004E5BC1">
        <w:rPr>
          <w:rFonts w:ascii="Times New Roman" w:hAnsi="Times New Roman" w:cs="Times New Roman"/>
          <w:sz w:val="24"/>
          <w:szCs w:val="24"/>
        </w:rPr>
        <w:t xml:space="preserve"> et al., 2024). A critical limitation is that many high performing methods depend on large, curated training sets and on assumptions about transaction distributions that may not hold in rapidly evolving fraud ecosystems (Okolo et al., 2025). This makes models effective yet brittle, thereby creating attractive targets for supply chain manipulation and inference time exploitation.</w:t>
      </w:r>
    </w:p>
    <w:p w14:paraId="7DA19EE8"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 xml:space="preserve">Regulatory and industry bodies have recognized both the opportunity and the risk. The European supervisory report on large language models in finance highlights governance gaps including model provenance, validation regimes, and operational testing practices (Giulio et al., 2025). The World Economic Forum further notes that governance frameworks are usually high level and lack domain specific implementation guidance for payment systems and cardholder data protection (WEF, 2025). In agreement, </w:t>
      </w:r>
      <w:proofErr w:type="spellStart"/>
      <w:r w:rsidRPr="004E5BC1">
        <w:rPr>
          <w:rFonts w:ascii="Times New Roman" w:hAnsi="Times New Roman" w:cs="Times New Roman"/>
          <w:sz w:val="24"/>
          <w:szCs w:val="24"/>
        </w:rPr>
        <w:t>Vuković</w:t>
      </w:r>
      <w:proofErr w:type="spellEnd"/>
      <w:r w:rsidRPr="004E5BC1">
        <w:rPr>
          <w:rFonts w:ascii="Times New Roman" w:hAnsi="Times New Roman" w:cs="Times New Roman"/>
          <w:sz w:val="24"/>
          <w:szCs w:val="24"/>
        </w:rPr>
        <w:t xml:space="preserve"> et al. (2025) find rapid growth in AI finance studies, but note a research emphasis on algorithms over deployment centric controls and resilience testing. Thus, while the adoption of AI in finance is substantial and accelerating, the corpus of operational controls and regulatory practice has not yet matured to the same degree, implying that AI components are now part of the financial technology perimeter without commensurate security hardening.</w:t>
      </w:r>
    </w:p>
    <w:p w14:paraId="7DA19EE9" w14:textId="77777777" w:rsidR="00C67F45" w:rsidRPr="004E5BC1" w:rsidRDefault="004E5BC1" w:rsidP="004E5BC1">
      <w:pPr>
        <w:pStyle w:val="Heading3"/>
        <w:keepNext w:val="0"/>
        <w:keepLines w:val="0"/>
        <w:spacing w:before="0" w:after="240"/>
        <w:rPr>
          <w:rFonts w:ascii="Times New Roman" w:hAnsi="Times New Roman" w:cs="Times New Roman"/>
          <w:b/>
          <w:bCs/>
          <w:color w:val="000000"/>
          <w:sz w:val="24"/>
          <w:szCs w:val="24"/>
        </w:rPr>
      </w:pPr>
      <w:bookmarkStart w:id="4" w:name="_heading=h.4lj67147kb64" w:colFirst="0" w:colLast="0"/>
      <w:bookmarkEnd w:id="4"/>
      <w:r w:rsidRPr="004E5BC1">
        <w:rPr>
          <w:rFonts w:ascii="Times New Roman" w:hAnsi="Times New Roman" w:cs="Times New Roman"/>
          <w:b/>
          <w:bCs/>
          <w:color w:val="000000"/>
          <w:sz w:val="24"/>
          <w:szCs w:val="24"/>
        </w:rPr>
        <w:t>Prompt Injection Attacks as a Distinct AI Security Paradigm</w:t>
      </w:r>
    </w:p>
    <w:p w14:paraId="7DA19EEA"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Prompt injection attacks have emerged as a fundamental security threat in large language model and generative AI systems because they exploit the very contextual processing mechanisms that enable model flexibility. By embedding malicious instructions within user inputs, attackers manipulate model behavior in ways that models cannot reliably distinguish from legitimate operational directives. This architectural inability to enforce strict boundaries between system instructions and user-provided content suggests that prompt injection represents an inherent structural vulnerability rather than a conventional input validation flaw (</w:t>
      </w:r>
      <w:proofErr w:type="spellStart"/>
      <w:r w:rsidRPr="004E5BC1">
        <w:rPr>
          <w:rFonts w:ascii="Times New Roman" w:hAnsi="Times New Roman" w:cs="Times New Roman"/>
          <w:sz w:val="24"/>
          <w:szCs w:val="24"/>
        </w:rPr>
        <w:t>Gulyamov</w:t>
      </w:r>
      <w:proofErr w:type="spellEnd"/>
      <w:r w:rsidRPr="004E5BC1">
        <w:rPr>
          <w:rFonts w:ascii="Times New Roman" w:hAnsi="Times New Roman" w:cs="Times New Roman"/>
          <w:sz w:val="24"/>
          <w:szCs w:val="24"/>
        </w:rPr>
        <w:t xml:space="preserve"> et al., 2026; OWASP, 2025).</w:t>
      </w:r>
    </w:p>
    <w:p w14:paraId="7DA19EEB"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Empirical evidence confirms the pervasiveness of this weakness across deployment contexts. Liu et al. (2023) demonstrated that 31 of 36 real-world applications integrating large language models were vulnerable to large-scale prompt injection, exposing millions of users despite heuristic mitigation attempts. Similarly, Zhang et al. (2024) showed that goal-guided adversarial prompts embedded in natural user interfaces could systematically compromise model outputs, revealing that user-facing interaction surfaces are intrinsically high-risk because they rely on contextual trust. In agreement, </w:t>
      </w:r>
      <w:proofErr w:type="spellStart"/>
      <w:r w:rsidRPr="004E5BC1">
        <w:rPr>
          <w:rFonts w:ascii="Times New Roman" w:hAnsi="Times New Roman" w:cs="Times New Roman"/>
          <w:sz w:val="24"/>
          <w:szCs w:val="24"/>
        </w:rPr>
        <w:t>Geng</w:t>
      </w:r>
      <w:proofErr w:type="spellEnd"/>
      <w:r w:rsidRPr="004E5BC1">
        <w:rPr>
          <w:rFonts w:ascii="Times New Roman" w:hAnsi="Times New Roman" w:cs="Times New Roman"/>
          <w:sz w:val="24"/>
          <w:szCs w:val="24"/>
        </w:rPr>
        <w:t xml:space="preserve"> et al. (2025) identifies prompt injection as one of the most critical vulnerabilities in large language model applications due to its ability to subvert safety controls and degrade application integrity (</w:t>
      </w:r>
      <w:proofErr w:type="spellStart"/>
      <w:r w:rsidRPr="004E5BC1">
        <w:rPr>
          <w:rFonts w:ascii="Times New Roman" w:hAnsi="Times New Roman" w:cs="Times New Roman"/>
          <w:sz w:val="24"/>
          <w:szCs w:val="24"/>
        </w:rPr>
        <w:t>Geng</w:t>
      </w:r>
      <w:proofErr w:type="spellEnd"/>
      <w:r w:rsidRPr="004E5BC1">
        <w:rPr>
          <w:rFonts w:ascii="Times New Roman" w:hAnsi="Times New Roman" w:cs="Times New Roman"/>
          <w:sz w:val="24"/>
          <w:szCs w:val="24"/>
        </w:rPr>
        <w:t xml:space="preserve"> et al., 2022). However, many existing defenses rely on syntactic filtering and heuristic pattern recognition, approaches that attackers can bypass through semantically coherent adversarial prompts, thereby exposing the inadequacy of surface-level mitigation strategies.</w:t>
      </w:r>
    </w:p>
    <w:p w14:paraId="7DA19EE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threat extends beyond text-based systems. A recent study on multimodal vision-language models demonstrates that prompt injection can manipulate outputs even when models process both visual and textual data, indicating that the vulnerability is modality-agnostic and embedded in contextual reasoning architectures rather than confined to text interfaces (</w:t>
      </w:r>
      <w:proofErr w:type="spellStart"/>
      <w:r w:rsidRPr="004E5BC1">
        <w:rPr>
          <w:rFonts w:ascii="Times New Roman" w:hAnsi="Times New Roman" w:cs="Times New Roman"/>
          <w:sz w:val="24"/>
          <w:szCs w:val="24"/>
        </w:rPr>
        <w:t>Clusmann</w:t>
      </w:r>
      <w:proofErr w:type="spellEnd"/>
      <w:r w:rsidRPr="004E5BC1">
        <w:rPr>
          <w:rFonts w:ascii="Times New Roman" w:hAnsi="Times New Roman" w:cs="Times New Roman"/>
          <w:sz w:val="24"/>
          <w:szCs w:val="24"/>
        </w:rPr>
        <w:t xml:space="preserve"> et al., </w:t>
      </w:r>
      <w:r w:rsidRPr="004E5BC1">
        <w:rPr>
          <w:rFonts w:ascii="Times New Roman" w:hAnsi="Times New Roman" w:cs="Times New Roman"/>
          <w:sz w:val="24"/>
          <w:szCs w:val="24"/>
        </w:rPr>
        <w:lastRenderedPageBreak/>
        <w:t>2025). This expansion significantly broadens the attack surface and complicates defensive design because adversarial cues can be distributed across heterogeneous input streams.</w:t>
      </w:r>
    </w:p>
    <w:p w14:paraId="7DA19EED"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Even advanced alignment techniques do not eliminate this risk. Yip et al. (2024) found that while newer model generations such as Llama2 exhibited comparatively improved robustness, adversarial prompts still achieved non-zero success rates, reflecting persistent structural susceptibility. These findings reinforce the argument that incremental robustness improvements cannot fully resolve vulnerabilities rooted in probabilistic context processing. Indeed, the architectural design of large language models prioritizes continuity of context and next-token probability estimation, not rigid separation between code and input (</w:t>
      </w: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et al., 2026b; </w:t>
      </w:r>
      <w:proofErr w:type="spellStart"/>
      <w:r w:rsidRPr="004E5BC1">
        <w:rPr>
          <w:rFonts w:ascii="Times New Roman" w:hAnsi="Times New Roman" w:cs="Times New Roman"/>
          <w:sz w:val="24"/>
          <w:szCs w:val="24"/>
        </w:rPr>
        <w:t>Olisa</w:t>
      </w:r>
      <w:proofErr w:type="spellEnd"/>
      <w:r w:rsidRPr="004E5BC1">
        <w:rPr>
          <w:rFonts w:ascii="Times New Roman" w:hAnsi="Times New Roman" w:cs="Times New Roman"/>
          <w:sz w:val="24"/>
          <w:szCs w:val="24"/>
        </w:rPr>
        <w:t xml:space="preserve"> et al., 2026). As a result, prompt injection can be conceptualized as a confused-deputy attack in which models execute adversarial cues embedded within legitimate contexts, effectively bypassing guardrails and safety alignments (OWASP Gen AI Security Project, 2025).</w:t>
      </w:r>
    </w:p>
    <w:p w14:paraId="7DA19EEE"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Beyond isolated exploits, cybersecurity advisories increasingly classify prompt injection as the leading threat in secure AI development because current mitigations do not alter the underlying interpretive mechanism of models (Parekh, 2025). Moreover, threat taxonomies situate prompt injection alongside protocol-level exploits and backdoor mechanisms, emphasizing its strategic role within layered adversarial campaigns that can escalate into deeper system compromise (</w:t>
      </w:r>
      <w:proofErr w:type="spellStart"/>
      <w:r w:rsidRPr="004E5BC1">
        <w:rPr>
          <w:rFonts w:ascii="Times New Roman" w:hAnsi="Times New Roman" w:cs="Times New Roman"/>
          <w:sz w:val="24"/>
          <w:szCs w:val="24"/>
        </w:rPr>
        <w:t>Ferrag</w:t>
      </w:r>
      <w:proofErr w:type="spellEnd"/>
      <w:r w:rsidRPr="004E5BC1">
        <w:rPr>
          <w:rFonts w:ascii="Times New Roman" w:hAnsi="Times New Roman" w:cs="Times New Roman"/>
          <w:sz w:val="24"/>
          <w:szCs w:val="24"/>
        </w:rPr>
        <w:t xml:space="preserve"> et al., 2025). These findings position prompt injection not as a peripheral vulnerability but as a structurally embedded risk within contemporary generative AI architectures.</w:t>
      </w:r>
    </w:p>
    <w:p w14:paraId="7DA19EEF" w14:textId="77777777" w:rsidR="00C67F45" w:rsidRPr="004E5BC1" w:rsidRDefault="004E5BC1" w:rsidP="004E5BC1">
      <w:pPr>
        <w:pStyle w:val="Heading3"/>
        <w:keepNext w:val="0"/>
        <w:keepLines w:val="0"/>
        <w:spacing w:before="0" w:after="240"/>
        <w:rPr>
          <w:rFonts w:ascii="Times New Roman" w:hAnsi="Times New Roman" w:cs="Times New Roman"/>
          <w:b/>
          <w:bCs/>
          <w:color w:val="000000"/>
          <w:sz w:val="24"/>
          <w:szCs w:val="24"/>
        </w:rPr>
      </w:pPr>
      <w:bookmarkStart w:id="5" w:name="_heading=h.j3tbf2tvf8b0" w:colFirst="0" w:colLast="0"/>
      <w:bookmarkEnd w:id="5"/>
      <w:r w:rsidRPr="004E5BC1">
        <w:rPr>
          <w:rFonts w:ascii="Times New Roman" w:hAnsi="Times New Roman" w:cs="Times New Roman"/>
          <w:b/>
          <w:bCs/>
          <w:color w:val="000000"/>
          <w:sz w:val="24"/>
          <w:szCs w:val="24"/>
        </w:rPr>
        <w:t>Training data poisoning and backdoor insertion in machine learning systems</w:t>
      </w:r>
    </w:p>
    <w:p w14:paraId="7DA19EF0"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Training data poisoning represents one of the most structurally disruptive threats to machine learning systems because it compromises model integrity at the point of knowledge acquisition rather than during execution. By manipulating training data distributions in ways that remain statistically plausible yet behaviorally consequential, attackers embed malicious behavior directly into model parameters (Wang et al., 2022). Unlike inference-time attacks, which may be mitigated through runtime monitoring or anomaly detection, poisoning attacks persist after training and are difficult to detect without retraining or forensic analysis (Abtahi et al., 2026). This shift from operational defense to supply chain assurance challenges traditional perimeter-based security models and underscores the need to treat data provenance and curation as core security functions.</w:t>
      </w:r>
    </w:p>
    <w:p w14:paraId="7DA19EF1"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Generally, studies identify multiple poisoning paradigms distinguished by attacker access and intent. Dirty-label attacks introduce mislabeled samples to distort decision boundaries, whereas clean-label attacks preserve label correctness while embedding subtle feature correlations that activate under specific conditions (Wang et al., 2024). Jagielski et al. (2021) demonstrate that clean-label subpopulation attacks evade standard sanitization techniques that rely on detecting label noise. Similarly, Gan et al. (2022) show that poisoned samples can be aligned with natural data manifolds, bypassing outlier detection mechanisms and exposing the fragility of statistical </w:t>
      </w:r>
      <w:r w:rsidRPr="004E5BC1">
        <w:rPr>
          <w:rFonts w:ascii="Times New Roman" w:hAnsi="Times New Roman" w:cs="Times New Roman"/>
          <w:sz w:val="24"/>
          <w:szCs w:val="24"/>
        </w:rPr>
        <w:lastRenderedPageBreak/>
        <w:t>defense assumptions. Backdoor insertion represents a particularly severe form of poisoning in which models perform normally across most inputs but produce attacker-controlled outputs when specific triggers are present (backdoored models behave correctly on untainted inputs but misclassify trigger-embedded inputs) (</w:t>
      </w:r>
      <w:proofErr w:type="spellStart"/>
      <w:r w:rsidRPr="004E5BC1">
        <w:rPr>
          <w:rFonts w:ascii="Times New Roman" w:hAnsi="Times New Roman" w:cs="Times New Roman"/>
          <w:sz w:val="24"/>
          <w:szCs w:val="24"/>
        </w:rPr>
        <w:t>Lyu</w:t>
      </w:r>
      <w:proofErr w:type="spellEnd"/>
      <w:r w:rsidRPr="004E5BC1">
        <w:rPr>
          <w:rFonts w:ascii="Times New Roman" w:hAnsi="Times New Roman" w:cs="Times New Roman"/>
          <w:sz w:val="24"/>
          <w:szCs w:val="24"/>
        </w:rPr>
        <w:t xml:space="preserve"> et al., 2025). Goldblum et al. (2022) argue that such attacks are especially dangerous because poisoned models maintain high validation accuracy, enabling them to pass audit checks undetected. While poisoning effectiveness depends on architecture and training dynamics, </w:t>
      </w:r>
      <w:proofErr w:type="spellStart"/>
      <w:r w:rsidRPr="004E5BC1">
        <w:rPr>
          <w:rFonts w:ascii="Times New Roman" w:hAnsi="Times New Roman" w:cs="Times New Roman"/>
          <w:sz w:val="24"/>
          <w:szCs w:val="24"/>
        </w:rPr>
        <w:t>Xie</w:t>
      </w:r>
      <w:proofErr w:type="spellEnd"/>
      <w:r w:rsidRPr="004E5BC1">
        <w:rPr>
          <w:rFonts w:ascii="Times New Roman" w:hAnsi="Times New Roman" w:cs="Times New Roman"/>
          <w:sz w:val="24"/>
          <w:szCs w:val="24"/>
        </w:rPr>
        <w:t xml:space="preserve"> et al. (2024) suggest that high-capacity transformer models may actually amplify backdoor persistence, revealing a paradox in which performance-oriented architectural advances can increase attack viability.</w:t>
      </w:r>
    </w:p>
    <w:p w14:paraId="7DA19EF2"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widespread adoption of pre-trained foundation models further expands the poisoning surface. Transfer learning workflows rely on fine-tuning with domain-specific datasets that are often smaller and less rigorously curated than original pre-training corpora (</w:t>
      </w:r>
      <w:proofErr w:type="spellStart"/>
      <w:r w:rsidRPr="004E5BC1">
        <w:rPr>
          <w:rFonts w:ascii="Times New Roman" w:hAnsi="Times New Roman" w:cs="Times New Roman"/>
          <w:sz w:val="24"/>
          <w:szCs w:val="24"/>
        </w:rPr>
        <w:t>Cinà</w:t>
      </w:r>
      <w:proofErr w:type="spellEnd"/>
      <w:r w:rsidRPr="004E5BC1">
        <w:rPr>
          <w:rFonts w:ascii="Times New Roman" w:hAnsi="Times New Roman" w:cs="Times New Roman"/>
          <w:sz w:val="24"/>
          <w:szCs w:val="24"/>
        </w:rPr>
        <w:t xml:space="preserve"> et al., 2023; Kurita et al., 2020). </w:t>
      </w:r>
      <w:proofErr w:type="spellStart"/>
      <w:r w:rsidRPr="004E5BC1">
        <w:rPr>
          <w:rFonts w:ascii="Times New Roman" w:hAnsi="Times New Roman" w:cs="Times New Roman"/>
          <w:sz w:val="24"/>
          <w:szCs w:val="24"/>
        </w:rPr>
        <w:t>Cinà</w:t>
      </w:r>
      <w:proofErr w:type="spellEnd"/>
      <w:r w:rsidRPr="004E5BC1">
        <w:rPr>
          <w:rFonts w:ascii="Times New Roman" w:hAnsi="Times New Roman" w:cs="Times New Roman"/>
          <w:sz w:val="24"/>
          <w:szCs w:val="24"/>
        </w:rPr>
        <w:t xml:space="preserve"> et al. (2023) contend that this adaptation phase provides an efficient attack vector, as limited poisoning can disproportionately influence downstream behavior. Although large-scale pre-training is frequently assumed to confer robustness, empirical findings indicate that fine-tuning-stage poisoning can introduce domain-specific backdoors that remain invisible under generic benchmark evaluations (</w:t>
      </w:r>
      <w:proofErr w:type="spellStart"/>
      <w:r w:rsidRPr="004E5BC1">
        <w:rPr>
          <w:rFonts w:ascii="Times New Roman" w:hAnsi="Times New Roman" w:cs="Times New Roman"/>
          <w:sz w:val="24"/>
          <w:szCs w:val="24"/>
        </w:rPr>
        <w:t>Alber</w:t>
      </w:r>
      <w:proofErr w:type="spellEnd"/>
      <w:r w:rsidRPr="004E5BC1">
        <w:rPr>
          <w:rFonts w:ascii="Times New Roman" w:hAnsi="Times New Roman" w:cs="Times New Roman"/>
          <w:sz w:val="24"/>
          <w:szCs w:val="24"/>
        </w:rPr>
        <w:t xml:space="preserve"> et al., 2025). These results challenge assumptions that model scale alone ensures security.</w:t>
      </w:r>
    </w:p>
    <w:p w14:paraId="7DA19EF3"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Distributed learning paradigms introduce additional governance complexity. In federated learning, attackers can conduct model replacement or poisoning attacks while remaining within nominal aggregation bounds. </w:t>
      </w:r>
      <w:proofErr w:type="spellStart"/>
      <w:r w:rsidRPr="004E5BC1">
        <w:rPr>
          <w:rFonts w:ascii="Times New Roman" w:hAnsi="Times New Roman" w:cs="Times New Roman"/>
          <w:sz w:val="24"/>
          <w:szCs w:val="24"/>
        </w:rPr>
        <w:t>Bagdasaryan</w:t>
      </w:r>
      <w:proofErr w:type="spellEnd"/>
      <w:r w:rsidRPr="004E5BC1">
        <w:rPr>
          <w:rFonts w:ascii="Times New Roman" w:hAnsi="Times New Roman" w:cs="Times New Roman"/>
          <w:sz w:val="24"/>
          <w:szCs w:val="24"/>
        </w:rPr>
        <w:t xml:space="preserve"> et al. (2020) demonstrate that a single malicious participant can exert disproportionate influence over the global model without triggering anomaly thresholds. Although federated learning reduces centralized data exposure, it simultaneously creates challenges in participant trust validation, update verification, and provenance tracking, illustrating that privacy-preserving architectures do not inherently guarantee security-preserving outcomes (</w:t>
      </w:r>
      <w:proofErr w:type="spellStart"/>
      <w:r w:rsidRPr="004E5BC1">
        <w:rPr>
          <w:rFonts w:ascii="Times New Roman" w:hAnsi="Times New Roman" w:cs="Times New Roman"/>
          <w:sz w:val="24"/>
          <w:szCs w:val="24"/>
        </w:rPr>
        <w:t>Bottoni</w:t>
      </w:r>
      <w:proofErr w:type="spellEnd"/>
      <w:r w:rsidRPr="004E5BC1">
        <w:rPr>
          <w:rFonts w:ascii="Times New Roman" w:hAnsi="Times New Roman" w:cs="Times New Roman"/>
          <w:sz w:val="24"/>
          <w:szCs w:val="24"/>
        </w:rPr>
        <w:t xml:space="preserve"> et al., 2025; </w:t>
      </w:r>
      <w:proofErr w:type="spellStart"/>
      <w:r w:rsidRPr="004E5BC1">
        <w:rPr>
          <w:rFonts w:ascii="Times New Roman" w:hAnsi="Times New Roman" w:cs="Times New Roman"/>
          <w:sz w:val="24"/>
          <w:szCs w:val="24"/>
        </w:rPr>
        <w:t>Kairouz</w:t>
      </w:r>
      <w:proofErr w:type="spellEnd"/>
      <w:r w:rsidRPr="004E5BC1">
        <w:rPr>
          <w:rFonts w:ascii="Times New Roman" w:hAnsi="Times New Roman" w:cs="Times New Roman"/>
          <w:sz w:val="24"/>
          <w:szCs w:val="24"/>
        </w:rPr>
        <w:t xml:space="preserve"> &amp; McMahan, 2021).</w:t>
      </w:r>
    </w:p>
    <w:p w14:paraId="7DA19EF4"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Defensive approaches have evolved but remain fragmented. Robust training objectives, influence function analysis, data sanitization, and anomaly-resistant aggregation have been proposed, yet their effectiveness is often limited to specific threat assumptions (</w:t>
      </w:r>
      <w:proofErr w:type="spellStart"/>
      <w:r w:rsidRPr="004E5BC1">
        <w:rPr>
          <w:rFonts w:ascii="Times New Roman" w:hAnsi="Times New Roman" w:cs="Times New Roman"/>
          <w:sz w:val="24"/>
          <w:szCs w:val="24"/>
        </w:rPr>
        <w:t>Odeyinka</w:t>
      </w:r>
      <w:proofErr w:type="spellEnd"/>
      <w:r w:rsidRPr="004E5BC1">
        <w:rPr>
          <w:rFonts w:ascii="Times New Roman" w:hAnsi="Times New Roman" w:cs="Times New Roman"/>
          <w:sz w:val="24"/>
          <w:szCs w:val="24"/>
        </w:rPr>
        <w:t xml:space="preserve"> et al., 2026; </w:t>
      </w: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et al., 2026a). Zhou et al. (2024) report that robust foundation model training can reduce poisoning success rates under constrained conditions, but performance degradation and computational overhead constrain deployment. Moreover, many defenses are reactive and attack-specific rather than grounded in systemic data governance controls (</w:t>
      </w:r>
      <w:proofErr w:type="spellStart"/>
      <w:r w:rsidRPr="004E5BC1">
        <w:rPr>
          <w:rFonts w:ascii="Times New Roman" w:hAnsi="Times New Roman" w:cs="Times New Roman"/>
          <w:sz w:val="24"/>
          <w:szCs w:val="24"/>
        </w:rPr>
        <w:t>Oprea</w:t>
      </w:r>
      <w:proofErr w:type="spellEnd"/>
      <w:r w:rsidRPr="004E5BC1">
        <w:rPr>
          <w:rFonts w:ascii="Times New Roman" w:hAnsi="Times New Roman" w:cs="Times New Roman"/>
          <w:sz w:val="24"/>
          <w:szCs w:val="24"/>
        </w:rPr>
        <w:t xml:space="preserve"> et al., 2022). When considered alongside layered adversarial strategies, poisoning can be combined with inference-time exploits, prompt injection, or other manipulation techniques to produce persistent multi-stage compromise scenarios (Wang et al., 2022). These dynamics indicate that securing machine learning systems requires integrated lifecycle governance that treats training data as a regulated security asset rather than merely a technical input.</w:t>
      </w:r>
    </w:p>
    <w:p w14:paraId="7DA19EF5" w14:textId="77777777" w:rsidR="00C67F45" w:rsidRPr="004E5BC1" w:rsidRDefault="004E5BC1" w:rsidP="004E5BC1">
      <w:pPr>
        <w:pStyle w:val="Heading3"/>
        <w:keepNext w:val="0"/>
        <w:keepLines w:val="0"/>
        <w:spacing w:before="0" w:after="240"/>
        <w:rPr>
          <w:rFonts w:ascii="Times New Roman" w:hAnsi="Times New Roman" w:cs="Times New Roman"/>
          <w:b/>
          <w:bCs/>
          <w:color w:val="000000"/>
          <w:sz w:val="24"/>
          <w:szCs w:val="24"/>
        </w:rPr>
      </w:pPr>
      <w:bookmarkStart w:id="6" w:name="_heading=h.nym2bw516bww" w:colFirst="0" w:colLast="0"/>
      <w:bookmarkEnd w:id="6"/>
      <w:r w:rsidRPr="004E5BC1">
        <w:rPr>
          <w:rFonts w:ascii="Times New Roman" w:hAnsi="Times New Roman" w:cs="Times New Roman"/>
          <w:b/>
          <w:bCs/>
          <w:color w:val="000000"/>
          <w:sz w:val="24"/>
          <w:szCs w:val="24"/>
        </w:rPr>
        <w:lastRenderedPageBreak/>
        <w:t>PCI DSS control philosophy and traditional financial data protection models</w:t>
      </w:r>
    </w:p>
    <w:p w14:paraId="7DA19EF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Payment Card Industry Data Security Standard has long functioned as the dominant framework for safeguarding cardholder data within payment ecosystems. Designed to reduce fraud and data breaches through prescriptive technical and procedural controls, PCI DSS emphasizes confidentiality and integrity across the data lifecycle (Goodspeed, 2022). However, the standard is grounded in traditional information security assumptions, particularly that protected systems behave deterministically and that risks can be mitigated through static control enforcement. As financial infrastructures incorporate adaptive and learning-based technologies, these assumptions become increasingly strained.</w:t>
      </w:r>
    </w:p>
    <w:p w14:paraId="7DA19EF7"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PCI DSS prioritizes perimeter defense, access control, encryption, logging, and vulnerability management, presupposing bounded systems and predictable data flows (Singer &amp; Friedman, 2014). In contrast, contemporary financial architectures rely on distributed systems, cloud services, and automated decision engines that blur system boundaries and complicate enforcement (Kumar, 2025). Although compliance assessments verify the presence of required controls, they often remain checklist-oriented, evaluating procedural adherence rather than dynamic risk exposure (Bello et al., 2024). This distinction suggests that PCI DSS may effectively validate control implementation while offering limited insight into behavioral or evolving threats.</w:t>
      </w:r>
    </w:p>
    <w:p w14:paraId="7DA19EF8"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compliance-driven orientation of PCI DSS further contributes to structural limitations. Organizations frequently treat compliance as an endpoint rather than a baseline, prioritizing audit success over adaptive risk management (</w:t>
      </w:r>
      <w:proofErr w:type="spellStart"/>
      <w:r w:rsidRPr="004E5BC1">
        <w:rPr>
          <w:rFonts w:ascii="Times New Roman" w:hAnsi="Times New Roman" w:cs="Times New Roman"/>
          <w:sz w:val="24"/>
          <w:szCs w:val="24"/>
        </w:rPr>
        <w:t>Kshetri</w:t>
      </w:r>
      <w:proofErr w:type="spellEnd"/>
      <w:r w:rsidRPr="004E5BC1">
        <w:rPr>
          <w:rFonts w:ascii="Times New Roman" w:hAnsi="Times New Roman" w:cs="Times New Roman"/>
          <w:sz w:val="24"/>
          <w:szCs w:val="24"/>
        </w:rPr>
        <w:t xml:space="preserve"> &amp; </w:t>
      </w:r>
      <w:proofErr w:type="spellStart"/>
      <w:r w:rsidRPr="004E5BC1">
        <w:rPr>
          <w:rFonts w:ascii="Times New Roman" w:hAnsi="Times New Roman" w:cs="Times New Roman"/>
          <w:sz w:val="24"/>
          <w:szCs w:val="24"/>
        </w:rPr>
        <w:t>Loukoianova</w:t>
      </w:r>
      <w:proofErr w:type="spellEnd"/>
      <w:r w:rsidRPr="004E5BC1">
        <w:rPr>
          <w:rFonts w:ascii="Times New Roman" w:hAnsi="Times New Roman" w:cs="Times New Roman"/>
          <w:sz w:val="24"/>
          <w:szCs w:val="24"/>
        </w:rPr>
        <w:t>, 2022). Empirical breach analyses reinforce this concern, indicating that some compromised organizations were technically compliant at the time of incident, revealing a disconnect between formal compliance and operational resilience (Verizon, 2020). This gap becomes more pronounced in AI-mediated environments, where compromise may occur through subtle manipulation of model behavior without triggering traditional control violations.</w:t>
      </w:r>
    </w:p>
    <w:p w14:paraId="7DA19EF9"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Another limitation lies in PCI DSS’s implicit treatment of software as static artifacts. The framework assumes that once securely developed and deployed, system behavior remains stable unless explicitly altered. However, adaptive systems research shows that machine learning components evolve through data exposure, configuration changes, and fine-tuning processes (Ashmore et al., 2021). This dynamic behavior challenges periodic assessment models and static validation mechanisms, suggesting that compliance frameworks designed for fixed logic systems may inadequately capture ongoing risk in learning-enabled financial infrastructures.</w:t>
      </w:r>
    </w:p>
    <w:p w14:paraId="7DA19EFA"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PCI DSS also provides limited guidance on data provenance, training pipelines, and algorithmic governance. While controls address data storage and transmission security, they do not explicitly account for securing upstream data sources or safeguarding derived artifacts such as analytical models (</w:t>
      </w:r>
      <w:proofErr w:type="spellStart"/>
      <w:r w:rsidRPr="004E5BC1">
        <w:rPr>
          <w:rFonts w:ascii="Times New Roman" w:hAnsi="Times New Roman" w:cs="Times New Roman"/>
          <w:sz w:val="24"/>
          <w:szCs w:val="24"/>
        </w:rPr>
        <w:t>Choowan</w:t>
      </w:r>
      <w:proofErr w:type="spellEnd"/>
      <w:r w:rsidRPr="004E5BC1">
        <w:rPr>
          <w:rFonts w:ascii="Times New Roman" w:hAnsi="Times New Roman" w:cs="Times New Roman"/>
          <w:sz w:val="24"/>
          <w:szCs w:val="24"/>
        </w:rPr>
        <w:t xml:space="preserve"> &amp; </w:t>
      </w:r>
      <w:proofErr w:type="spellStart"/>
      <w:r w:rsidRPr="004E5BC1">
        <w:rPr>
          <w:rFonts w:ascii="Times New Roman" w:hAnsi="Times New Roman" w:cs="Times New Roman"/>
          <w:sz w:val="24"/>
          <w:szCs w:val="24"/>
        </w:rPr>
        <w:t>Daovisan</w:t>
      </w:r>
      <w:proofErr w:type="spellEnd"/>
      <w:r w:rsidRPr="004E5BC1">
        <w:rPr>
          <w:rFonts w:ascii="Times New Roman" w:hAnsi="Times New Roman" w:cs="Times New Roman"/>
          <w:sz w:val="24"/>
          <w:szCs w:val="24"/>
        </w:rPr>
        <w:t xml:space="preserve">, 2025). Research on secure data pipelines emphasizes that </w:t>
      </w:r>
      <w:r w:rsidRPr="004E5BC1">
        <w:rPr>
          <w:rFonts w:ascii="Times New Roman" w:hAnsi="Times New Roman" w:cs="Times New Roman"/>
          <w:sz w:val="24"/>
          <w:szCs w:val="24"/>
        </w:rPr>
        <w:lastRenderedPageBreak/>
        <w:t>integrity must extend across transformation and inference stages, not merely storage layers. The absence of such considerations reflects an implicit trust in internal processing logic, an assumption increasingly contested in adversarial machine learning research.</w:t>
      </w:r>
    </w:p>
    <w:p w14:paraId="7DA19EFB"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Governance complexities are further amplified in cloud and AI service ecosystems. Financial institutions increasingly depend on third-party platforms and managed AI services, complicating accountability and obscuring visibility into internal system behavior (Seth et al., 2024). Although PCI DSS addresses third-party risk contractually, it offers limited technical mechanisms for validating the security posture of externally managed intelligent systems. This creates oversight gaps in environments where critical decision logic may reside outside direct organizational control.</w:t>
      </w:r>
    </w:p>
    <w:p w14:paraId="7DA19EF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Comparative analyses with newer regulatory instruments reveal additional misalignment. Frameworks such as the European Union Artificial Intelligence Act and the NIST AI Risk Management Framework incorporate concepts of transparency, </w:t>
      </w:r>
      <w:proofErr w:type="spellStart"/>
      <w:r w:rsidRPr="004E5BC1">
        <w:rPr>
          <w:rFonts w:ascii="Times New Roman" w:hAnsi="Times New Roman" w:cs="Times New Roman"/>
          <w:sz w:val="24"/>
          <w:szCs w:val="24"/>
        </w:rPr>
        <w:t>explainability</w:t>
      </w:r>
      <w:proofErr w:type="spellEnd"/>
      <w:r w:rsidRPr="004E5BC1">
        <w:rPr>
          <w:rFonts w:ascii="Times New Roman" w:hAnsi="Times New Roman" w:cs="Times New Roman"/>
          <w:sz w:val="24"/>
          <w:szCs w:val="24"/>
        </w:rPr>
        <w:t>, and adversarial robustness that operate at the behavioral and lifecycle level (Raji et al., 2022). PCI DSS, by contrast, remains largely infrastructure-centric, lacking explicit provisions for assessing model-level or probabilistic risk. While this does not diminish its effectiveness against conventional threats, it suggests that the standard was not designed to address AI-specific manipulation vectors.</w:t>
      </w:r>
    </w:p>
    <w:p w14:paraId="7DA19EFD"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Nevertheless, PCI DSS remains effective within its original scope. Evidence shows that compliance reduces exposure to traditional threats such as credential theft, misconfiguration, and network intrusion (</w:t>
      </w:r>
      <w:proofErr w:type="spellStart"/>
      <w:r w:rsidRPr="004E5BC1">
        <w:rPr>
          <w:rFonts w:ascii="Times New Roman" w:hAnsi="Times New Roman" w:cs="Times New Roman"/>
          <w:sz w:val="24"/>
          <w:szCs w:val="24"/>
        </w:rPr>
        <w:t>Safa</w:t>
      </w:r>
      <w:proofErr w:type="spellEnd"/>
      <w:r w:rsidRPr="004E5BC1">
        <w:rPr>
          <w:rFonts w:ascii="Times New Roman" w:hAnsi="Times New Roman" w:cs="Times New Roman"/>
          <w:sz w:val="24"/>
          <w:szCs w:val="24"/>
        </w:rPr>
        <w:t xml:space="preserve"> et al., 2021). However, such effectiveness does not automatically extend to AI-mediated systems, where compromise may occur without breaching conventional control boundaries. This divergence underscores the need to reassess how established financial security models translate into environments characterized by adaptive, probabilistic decision logic.</w:t>
      </w:r>
    </w:p>
    <w:p w14:paraId="7DA19EFE" w14:textId="77777777" w:rsidR="00C67F45" w:rsidRPr="004E5BC1" w:rsidRDefault="004E5BC1" w:rsidP="004E5BC1">
      <w:pPr>
        <w:pStyle w:val="Heading3"/>
        <w:keepNext w:val="0"/>
        <w:keepLines w:val="0"/>
        <w:spacing w:before="0" w:after="240"/>
        <w:rPr>
          <w:rFonts w:ascii="Times New Roman" w:hAnsi="Times New Roman" w:cs="Times New Roman"/>
          <w:b/>
          <w:bCs/>
          <w:color w:val="000000"/>
          <w:sz w:val="24"/>
          <w:szCs w:val="24"/>
        </w:rPr>
      </w:pPr>
      <w:bookmarkStart w:id="7" w:name="_heading=h.ytc76nvup253" w:colFirst="0" w:colLast="0"/>
      <w:bookmarkEnd w:id="7"/>
      <w:r w:rsidRPr="004E5BC1">
        <w:rPr>
          <w:rFonts w:ascii="Times New Roman" w:hAnsi="Times New Roman" w:cs="Times New Roman"/>
          <w:b/>
          <w:bCs/>
          <w:color w:val="000000"/>
          <w:sz w:val="24"/>
          <w:szCs w:val="24"/>
        </w:rPr>
        <w:t>Mapping AI-specific threats to compliance gaps in PCI DSS</w:t>
      </w:r>
    </w:p>
    <w:p w14:paraId="7DA19EFF"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integration of artificial intelligence into payment processing and financial decision workflows exposes structural tensions between AI-specific threat models and the control logic embedded in PCI DSS. Compliance frameworks such as PCI DSS were originally designed to address unauthorized access, data exfiltration, and infrastructure compromise rather than behavioral manipulation of decision systems (</w:t>
      </w:r>
      <w:proofErr w:type="spellStart"/>
      <w:r w:rsidRPr="004E5BC1">
        <w:rPr>
          <w:rFonts w:ascii="Times New Roman" w:hAnsi="Times New Roman" w:cs="Times New Roman"/>
          <w:sz w:val="24"/>
          <w:szCs w:val="24"/>
        </w:rPr>
        <w:t>Douha</w:t>
      </w:r>
      <w:proofErr w:type="spellEnd"/>
      <w:r w:rsidRPr="004E5BC1">
        <w:rPr>
          <w:rFonts w:ascii="Times New Roman" w:hAnsi="Times New Roman" w:cs="Times New Roman"/>
          <w:sz w:val="24"/>
          <w:szCs w:val="24"/>
        </w:rPr>
        <w:t xml:space="preserve"> et al., 2023). However, prompt injection and training data poisoning exploit legitimate interfaces and trusted data flows, operating within permitted system boundaries (Zhao, Zhu, et al., 2025). This divergence suggests that AI-driven attacks may bypass compliance controls without triggering traditional audit or monitoring mechanisms, raising concerns about the adequacy of PCI DSS in AI-mediated financial environments.</w:t>
      </w:r>
    </w:p>
    <w:p w14:paraId="7DA19F00"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A central gap lies in how PCI DSS conceptualizes input validation and trust boundaries. The standard assumes that authenticated inputs from approved channels are benign, emphasizing protection against unauthorized actors (</w:t>
      </w:r>
      <w:proofErr w:type="spellStart"/>
      <w:r w:rsidRPr="004E5BC1">
        <w:rPr>
          <w:rFonts w:ascii="Times New Roman" w:hAnsi="Times New Roman" w:cs="Times New Roman"/>
          <w:sz w:val="24"/>
          <w:szCs w:val="24"/>
        </w:rPr>
        <w:t>Carlini</w:t>
      </w:r>
      <w:proofErr w:type="spellEnd"/>
      <w:r w:rsidRPr="004E5BC1">
        <w:rPr>
          <w:rFonts w:ascii="Times New Roman" w:hAnsi="Times New Roman" w:cs="Times New Roman"/>
          <w:sz w:val="24"/>
          <w:szCs w:val="24"/>
        </w:rPr>
        <w:t xml:space="preserve"> et al., 2023). In contrast, adversarial AI research demonstrates that malicious intent can be embedded within syntactically valid and authorized inputs, particularly in natural language interfaces (Bender et al., 2021). Prompt injection exploits this semantic vulnerability by manipulating instruction hierarchies rather than violating access controls. Similarly, training data poisoning operates within authorized data pipelines, introducing </w:t>
      </w:r>
      <w:proofErr w:type="spellStart"/>
      <w:r w:rsidRPr="004E5BC1">
        <w:rPr>
          <w:rFonts w:ascii="Times New Roman" w:hAnsi="Times New Roman" w:cs="Times New Roman"/>
          <w:sz w:val="24"/>
          <w:szCs w:val="24"/>
        </w:rPr>
        <w:t>adversarially</w:t>
      </w:r>
      <w:proofErr w:type="spellEnd"/>
      <w:r w:rsidRPr="004E5BC1">
        <w:rPr>
          <w:rFonts w:ascii="Times New Roman" w:hAnsi="Times New Roman" w:cs="Times New Roman"/>
          <w:sz w:val="24"/>
          <w:szCs w:val="24"/>
        </w:rPr>
        <w:t xml:space="preserve"> crafted yet statistically plausible inputs that evade traditional integrity checks (Siva Kumar et al., 2020). Because PCI DSS integrity mechanisms focus on preventing unauthorized modification rather than detecting adversarial manipulation within permitted workflows, these attacks expose a structural conflation of authorization with trustworthiness.</w:t>
      </w:r>
    </w:p>
    <w:p w14:paraId="7DA19F01"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Monitoring and validation mechanisms further illustrate this misalignment. PCI DSS relies on continuous logging and anomaly detection to identify events such as privilege escalation or unauthorized access. However, prompt injection and poisoning attacks often leave no anomalous logs because they do not violate formal policy constraints (</w:t>
      </w:r>
      <w:proofErr w:type="spellStart"/>
      <w:r w:rsidRPr="004E5BC1">
        <w:rPr>
          <w:rFonts w:ascii="Times New Roman" w:hAnsi="Times New Roman" w:cs="Times New Roman"/>
          <w:sz w:val="24"/>
          <w:szCs w:val="24"/>
        </w:rPr>
        <w:t>Carlini</w:t>
      </w:r>
      <w:proofErr w:type="spellEnd"/>
      <w:r w:rsidRPr="004E5BC1">
        <w:rPr>
          <w:rFonts w:ascii="Times New Roman" w:hAnsi="Times New Roman" w:cs="Times New Roman"/>
          <w:sz w:val="24"/>
          <w:szCs w:val="24"/>
        </w:rPr>
        <w:t xml:space="preserve"> et al., 2023). Additionally, PCI DSS validation processes assume deterministic system behavior and rely on static configuration reviews (Ribeiro et al., 2016). In adaptive AI systems, model behavior evolves through contextual interaction and data exposure, meaning that periodic compliance assessments may fail to capture gradual behavioral compromise (Adebiyi et al., 2026; </w:t>
      </w:r>
      <w:proofErr w:type="spellStart"/>
      <w:r w:rsidRPr="004E5BC1">
        <w:rPr>
          <w:rFonts w:ascii="Times New Roman" w:hAnsi="Times New Roman" w:cs="Times New Roman"/>
          <w:sz w:val="24"/>
          <w:szCs w:val="24"/>
        </w:rPr>
        <w:t>Mayeke</w:t>
      </w:r>
      <w:proofErr w:type="spellEnd"/>
      <w:r w:rsidRPr="004E5BC1">
        <w:rPr>
          <w:rFonts w:ascii="Times New Roman" w:hAnsi="Times New Roman" w:cs="Times New Roman"/>
          <w:sz w:val="24"/>
          <w:szCs w:val="24"/>
        </w:rPr>
        <w:t>, 2025).</w:t>
      </w:r>
    </w:p>
    <w:p w14:paraId="7DA19F02"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Blind spots also emerge in third-party and shared responsibility contexts. Although PCI DSS includes provisions for managing service provider risk, these are largely contractual rather than technically transparent. AI supply chain research indicates that organizations frequently lack visibility into model training practices, data provenance, and prompt handling within externally managed AI services (Yang et al., 2022). This opacity amplifies poisoning and prompt injection risks in outsourced or cloud-based deployments, suggesting that existing third-party controls are insufficient for intelligent service ecosystems.</w:t>
      </w:r>
    </w:p>
    <w:p w14:paraId="7DA19F03"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Comparative governance analyses reinforce these structural gaps. Emerging frameworks such as the NIST AI Risk Management Framework and the European Union Artificial Intelligence Act incorporate concepts of adversarial robustness, lifecycle governance, and behavioral validation that are largely absent in PCI DSS. Although these instruments are not payment-specific, they recognize threat categories that intersect directly with AI-mediated financial risk (Obsidian Security, 2025). The absence of equivalent controls within PCI DSS indicates a lag between traditional compliance models and contemporary AI threat landscapes.</w:t>
      </w:r>
    </w:p>
    <w:p w14:paraId="7DA19F04"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Finally, AI-specific attacks align with the incentive structures described in security economics research. Attackers rationally exploit vulnerabilities that maximize impact while minimizing detection probability (Al-</w:t>
      </w:r>
      <w:proofErr w:type="spellStart"/>
      <w:r w:rsidRPr="004E5BC1">
        <w:rPr>
          <w:rFonts w:ascii="Times New Roman" w:hAnsi="Times New Roman" w:cs="Times New Roman"/>
          <w:sz w:val="24"/>
          <w:szCs w:val="24"/>
        </w:rPr>
        <w:t>Shattarat</w:t>
      </w:r>
      <w:proofErr w:type="spellEnd"/>
      <w:r w:rsidRPr="004E5BC1">
        <w:rPr>
          <w:rFonts w:ascii="Times New Roman" w:hAnsi="Times New Roman" w:cs="Times New Roman"/>
          <w:sz w:val="24"/>
          <w:szCs w:val="24"/>
        </w:rPr>
        <w:t xml:space="preserve"> et al., 2025; Zhao et al., 2025). Prompt injection and training data poisoning fit this profile because they leverage trust assumptions and internal workflows </w:t>
      </w:r>
      <w:r w:rsidRPr="004E5BC1">
        <w:rPr>
          <w:rFonts w:ascii="Times New Roman" w:hAnsi="Times New Roman" w:cs="Times New Roman"/>
          <w:sz w:val="24"/>
          <w:szCs w:val="24"/>
        </w:rPr>
        <w:lastRenderedPageBreak/>
        <w:t>rather than technical misconfigurations. This suggests that PCI DSS control gaps stem not only from technical omission but from foundational assumptions about adversary behavior and system failure modes in deterministic infrastructures.</w:t>
      </w:r>
    </w:p>
    <w:p w14:paraId="7DA19F05" w14:textId="77777777" w:rsidR="00C67F45" w:rsidRPr="004E5BC1" w:rsidRDefault="004E5BC1" w:rsidP="004E5BC1">
      <w:pPr>
        <w:pStyle w:val="Heading3"/>
        <w:keepNext w:val="0"/>
        <w:keepLines w:val="0"/>
        <w:spacing w:before="0" w:after="240"/>
        <w:rPr>
          <w:rFonts w:ascii="Times New Roman" w:hAnsi="Times New Roman" w:cs="Times New Roman"/>
          <w:b/>
          <w:bCs/>
          <w:color w:val="000000"/>
          <w:sz w:val="24"/>
          <w:szCs w:val="24"/>
        </w:rPr>
      </w:pPr>
      <w:bookmarkStart w:id="8" w:name="_heading=h.eb36u0bx11bb" w:colFirst="0" w:colLast="0"/>
      <w:bookmarkEnd w:id="8"/>
      <w:r w:rsidRPr="004E5BC1">
        <w:rPr>
          <w:rFonts w:ascii="Times New Roman" w:hAnsi="Times New Roman" w:cs="Times New Roman"/>
          <w:b/>
          <w:bCs/>
          <w:color w:val="000000"/>
          <w:sz w:val="24"/>
          <w:szCs w:val="24"/>
        </w:rPr>
        <w:t>Existing AI security frameworks and their limitations for regulated financial data</w:t>
      </w:r>
    </w:p>
    <w:p w14:paraId="7DA19F0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The rapid expansion of artificial intelligence across critical sectors has led to the development of multiple AI security and governance frameworks aimed at managing risks associated with automated decision-making. Recent initiatives emphasize principles such as trustworthiness, robustness, transparency, and accountability (NIST, 2023). However, although these frameworks provide valuable conceptual guidance, scholars argue that they remain largely abstract and insufficiently operationalized for environments governed by strict regulatory compliance mandates (Abba et al., 2025; </w:t>
      </w:r>
      <w:proofErr w:type="spellStart"/>
      <w:r w:rsidRPr="004E5BC1">
        <w:rPr>
          <w:rFonts w:ascii="Times New Roman" w:hAnsi="Times New Roman" w:cs="Times New Roman"/>
          <w:sz w:val="24"/>
          <w:szCs w:val="24"/>
        </w:rPr>
        <w:t>Ogunmolu</w:t>
      </w:r>
      <w:proofErr w:type="spellEnd"/>
      <w:r w:rsidRPr="004E5BC1">
        <w:rPr>
          <w:rFonts w:ascii="Times New Roman" w:hAnsi="Times New Roman" w:cs="Times New Roman"/>
          <w:sz w:val="24"/>
          <w:szCs w:val="24"/>
        </w:rPr>
        <w:t xml:space="preserve"> et al., 2026a). In financial systems, security controls must not only mitigate risk but also produce verifiable audit artifacts, creating tension between principle-based AI governance and prescriptive compliance regimes.</w:t>
      </w:r>
    </w:p>
    <w:p w14:paraId="7DA19F07"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The NIST Artificial Intelligence Risk Management Framework exemplifies this tension. Its lifecycle-oriented model addresses sociotechnical risks including bias, </w:t>
      </w:r>
      <w:proofErr w:type="spellStart"/>
      <w:r w:rsidRPr="004E5BC1">
        <w:rPr>
          <w:rFonts w:ascii="Times New Roman" w:hAnsi="Times New Roman" w:cs="Times New Roman"/>
          <w:sz w:val="24"/>
          <w:szCs w:val="24"/>
        </w:rPr>
        <w:t>explainability</w:t>
      </w:r>
      <w:proofErr w:type="spellEnd"/>
      <w:r w:rsidRPr="004E5BC1">
        <w:rPr>
          <w:rFonts w:ascii="Times New Roman" w:hAnsi="Times New Roman" w:cs="Times New Roman"/>
          <w:sz w:val="24"/>
          <w:szCs w:val="24"/>
        </w:rPr>
        <w:t xml:space="preserve">, and system reliability, expanding beyond traditional cybersecurity concerns. Nevertheless, researchers note that it lacks enforceable control mappings and measurable validation criteria, limiting its utility in regulated domains that demand auditable evidence of compliance. Similarly, the European Union Artificial Intelligence Act introduces a risk-tiered regulatory structure for high-risk AI systems, including those used in finance (Veale &amp; </w:t>
      </w:r>
      <w:proofErr w:type="spellStart"/>
      <w:r w:rsidRPr="004E5BC1">
        <w:rPr>
          <w:rFonts w:ascii="Times New Roman" w:hAnsi="Times New Roman" w:cs="Times New Roman"/>
          <w:sz w:val="24"/>
          <w:szCs w:val="24"/>
        </w:rPr>
        <w:t>Borgesius</w:t>
      </w:r>
      <w:proofErr w:type="spellEnd"/>
      <w:r w:rsidRPr="004E5BC1">
        <w:rPr>
          <w:rFonts w:ascii="Times New Roman" w:hAnsi="Times New Roman" w:cs="Times New Roman"/>
          <w:sz w:val="24"/>
          <w:szCs w:val="24"/>
        </w:rPr>
        <w:t>, 2021). Yet critics contend that its emphasis on ethical and societal harms leaves adversarial threat vectors such as data poisoning and prompt manipulation comparatively under-specified (</w:t>
      </w:r>
      <w:proofErr w:type="spellStart"/>
      <w:r w:rsidRPr="004E5BC1">
        <w:rPr>
          <w:rFonts w:ascii="Times New Roman" w:hAnsi="Times New Roman" w:cs="Times New Roman"/>
          <w:sz w:val="24"/>
          <w:szCs w:val="24"/>
        </w:rPr>
        <w:t>Obrik-Uloho</w:t>
      </w:r>
      <w:proofErr w:type="spellEnd"/>
      <w:r w:rsidRPr="004E5BC1">
        <w:rPr>
          <w:rFonts w:ascii="Times New Roman" w:hAnsi="Times New Roman" w:cs="Times New Roman"/>
          <w:sz w:val="24"/>
          <w:szCs w:val="24"/>
        </w:rPr>
        <w:t xml:space="preserve"> et al., 2026; </w:t>
      </w:r>
      <w:proofErr w:type="spellStart"/>
      <w:r w:rsidRPr="004E5BC1">
        <w:rPr>
          <w:rFonts w:ascii="Times New Roman" w:hAnsi="Times New Roman" w:cs="Times New Roman"/>
          <w:sz w:val="24"/>
          <w:szCs w:val="24"/>
        </w:rPr>
        <w:t>Ogunmolu</w:t>
      </w:r>
      <w:proofErr w:type="spellEnd"/>
      <w:r w:rsidRPr="004E5BC1">
        <w:rPr>
          <w:rFonts w:ascii="Times New Roman" w:hAnsi="Times New Roman" w:cs="Times New Roman"/>
          <w:sz w:val="24"/>
          <w:szCs w:val="24"/>
        </w:rPr>
        <w:t xml:space="preserve"> et al., 2026b). These limitations suggest that contemporary AI governance instruments prioritize normative guidance over concrete adversarial resilience.</w:t>
      </w:r>
    </w:p>
    <w:p w14:paraId="7DA19F08"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Industry-led AI security proposals reveal comparable constraints. Frameworks such as Microsoft’s AI security architecture emphasize monitoring, anomaly detection, and responsible deployment practices, yet adversarial machine learning research indicates that reactive defenses are often insufficient against stealthy manipulation of training pipelines or legitimate user interfaces (He et al., 2025). Efforts to extend zero trust principles to AI systems likewise encounter conceptual barriers. While zero trust architectures aim to eliminate implicit trust assumptions, probabilistic model behavior complicates notions of authentication and authorization, particularly in financial contexts where AI systems themselves make trust-relevant </w:t>
      </w:r>
      <w:proofErr w:type="gramStart"/>
      <w:r w:rsidRPr="004E5BC1">
        <w:rPr>
          <w:rFonts w:ascii="Times New Roman" w:hAnsi="Times New Roman" w:cs="Times New Roman"/>
          <w:sz w:val="24"/>
          <w:szCs w:val="24"/>
        </w:rPr>
        <w:t>decisions  (</w:t>
      </w:r>
      <w:proofErr w:type="gramEnd"/>
      <w:r w:rsidRPr="004E5BC1">
        <w:rPr>
          <w:rFonts w:ascii="Times New Roman" w:hAnsi="Times New Roman" w:cs="Times New Roman"/>
          <w:sz w:val="24"/>
          <w:szCs w:val="24"/>
        </w:rPr>
        <w:t>Rose et al., 2020). These examples illustrate the difficulty of translating infrastructure-centric security paradigms into adaptive AI environments.</w:t>
      </w:r>
    </w:p>
    <w:p w14:paraId="7DA19F09"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Structural misalignment becomes more pronounced when AI frameworks are compared with established compliance regimes. Eisenberg et al. (2025) argue that many AI governance frameworks function as overlays rather than replacements for existing standards, resulting in </w:t>
      </w:r>
      <w:r w:rsidRPr="004E5BC1">
        <w:rPr>
          <w:rFonts w:ascii="Times New Roman" w:hAnsi="Times New Roman" w:cs="Times New Roman"/>
          <w:sz w:val="24"/>
          <w:szCs w:val="24"/>
        </w:rPr>
        <w:lastRenderedPageBreak/>
        <w:t>fragmented control structures and overlapping responsibilities. In contrast, standards such as PCI DSS require tightly scoped, auditable controls with clear ownership and accountability. The absence of integrated control mappings between AI governance principles and financial compliance requirements creates gaps at the intersection of intelligent systems and regulated data protection.</w:t>
      </w:r>
    </w:p>
    <w:p w14:paraId="7DA19F0A"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Auditability further complicates this landscape. </w:t>
      </w:r>
      <w:proofErr w:type="spellStart"/>
      <w:r w:rsidRPr="004E5BC1">
        <w:rPr>
          <w:rFonts w:ascii="Times New Roman" w:hAnsi="Times New Roman" w:cs="Times New Roman"/>
          <w:sz w:val="24"/>
          <w:szCs w:val="24"/>
        </w:rPr>
        <w:t>Mittelstadt</w:t>
      </w:r>
      <w:proofErr w:type="spellEnd"/>
      <w:r w:rsidRPr="004E5BC1">
        <w:rPr>
          <w:rFonts w:ascii="Times New Roman" w:hAnsi="Times New Roman" w:cs="Times New Roman"/>
          <w:sz w:val="24"/>
          <w:szCs w:val="24"/>
        </w:rPr>
        <w:t xml:space="preserve"> observes that transparency and accountability are frequently invoked as guiding principles without specifying how they can be objectively assessed or evidenced. In regulated financial environments, the inability to demonstrate model integrity, robustness, and data lineage undermines compliance credibility, especially when adversarial manipulation does not generate conventional security alerts. Moreover, data-centric risks remain insufficiently emphasized. </w:t>
      </w:r>
      <w:proofErr w:type="spellStart"/>
      <w:r w:rsidRPr="004E5BC1">
        <w:rPr>
          <w:rFonts w:ascii="Times New Roman" w:hAnsi="Times New Roman" w:cs="Times New Roman"/>
          <w:sz w:val="24"/>
          <w:szCs w:val="24"/>
        </w:rPr>
        <w:t>Sambasivan</w:t>
      </w:r>
      <w:proofErr w:type="spellEnd"/>
      <w:r w:rsidRPr="004E5BC1">
        <w:rPr>
          <w:rFonts w:ascii="Times New Roman" w:hAnsi="Times New Roman" w:cs="Times New Roman"/>
          <w:sz w:val="24"/>
          <w:szCs w:val="24"/>
        </w:rPr>
        <w:t xml:space="preserve"> et al. (2021) highlight that failures in data governance are a primary source of AI system vulnerability, yet many frameworks focus disproportionately on model-level evaluation rather than data provenance and lifecycle controls. This imbalance is particularly problematic in financial systems where data protection obligations are central to regulatory oversight.</w:t>
      </w:r>
    </w:p>
    <w:p w14:paraId="7DA19F0B" w14:textId="77777777" w:rsidR="00C67F45" w:rsidRPr="004E5BC1" w:rsidRDefault="00C67F45" w:rsidP="004E5BC1">
      <w:pPr>
        <w:spacing w:after="240"/>
        <w:rPr>
          <w:rFonts w:ascii="Times New Roman" w:hAnsi="Times New Roman" w:cs="Times New Roman"/>
          <w:sz w:val="24"/>
          <w:szCs w:val="24"/>
        </w:rPr>
      </w:pPr>
    </w:p>
    <w:p w14:paraId="7DA19F0C" w14:textId="77777777" w:rsidR="004E5BC1" w:rsidRDefault="004E5BC1" w:rsidP="004E5BC1">
      <w:pPr>
        <w:spacing w:after="240"/>
        <w:rPr>
          <w:rFonts w:ascii="Times New Roman" w:hAnsi="Times New Roman" w:cs="Times New Roman"/>
          <w:b/>
          <w:bCs/>
          <w:sz w:val="24"/>
          <w:szCs w:val="24"/>
        </w:rPr>
      </w:pPr>
      <w:r w:rsidRPr="004E5BC1">
        <w:rPr>
          <w:rFonts w:ascii="Times New Roman" w:hAnsi="Times New Roman" w:cs="Times New Roman"/>
          <w:sz w:val="24"/>
          <w:szCs w:val="24"/>
        </w:rPr>
        <w:br/>
      </w:r>
      <w:r>
        <w:rPr>
          <w:rFonts w:ascii="Times New Roman" w:hAnsi="Times New Roman" w:cs="Times New Roman"/>
          <w:b/>
          <w:bCs/>
          <w:sz w:val="24"/>
          <w:szCs w:val="24"/>
        </w:rPr>
        <w:t>3.</w:t>
      </w:r>
      <w:r>
        <w:rPr>
          <w:rFonts w:ascii="Times New Roman" w:hAnsi="Times New Roman" w:cs="Times New Roman"/>
          <w:b/>
          <w:bCs/>
          <w:sz w:val="24"/>
          <w:szCs w:val="24"/>
        </w:rPr>
        <w:tab/>
      </w:r>
      <w:r w:rsidRPr="004E5BC1">
        <w:rPr>
          <w:rFonts w:ascii="Times New Roman" w:hAnsi="Times New Roman" w:cs="Times New Roman"/>
          <w:b/>
          <w:bCs/>
          <w:sz w:val="24"/>
          <w:szCs w:val="24"/>
        </w:rPr>
        <w:t>Methodology</w:t>
      </w:r>
      <w:r w:rsidRPr="004E5BC1">
        <w:rPr>
          <w:rFonts w:ascii="Times New Roman" w:hAnsi="Times New Roman" w:cs="Times New Roman"/>
          <w:sz w:val="24"/>
          <w:szCs w:val="24"/>
        </w:rPr>
        <w:br/>
      </w:r>
      <w:r w:rsidRPr="004E5BC1">
        <w:rPr>
          <w:rFonts w:ascii="Times New Roman" w:hAnsi="Times New Roman" w:cs="Times New Roman"/>
          <w:sz w:val="24"/>
          <w:szCs w:val="24"/>
        </w:rPr>
        <w:br/>
      </w:r>
      <w:r w:rsidRPr="00E9047D">
        <w:rPr>
          <w:rFonts w:ascii="Times New Roman" w:hAnsi="Times New Roman" w:cs="Times New Roman"/>
          <w:sz w:val="24"/>
          <w:szCs w:val="24"/>
        </w:rPr>
        <w:t>This study employed a fully quantitative, multi-phase research design to examine the structural misalignment between artificial intelligence (AI) threat vectors and PCI DSS control architecture, and to validate a PCI DSS-aligned AI security framework. The methodological structure was sequential and integrative, combining experimental simulation, probabilistic modeling, compliance gap quantification, and structural equation modeling to ensure empirical continuity across all research objectives.</w:t>
      </w:r>
      <w:r w:rsidRPr="00E9047D">
        <w:rPr>
          <w:rFonts w:ascii="Times New Roman" w:hAnsi="Times New Roman" w:cs="Times New Roman"/>
          <w:sz w:val="24"/>
          <w:szCs w:val="24"/>
        </w:rPr>
        <w:br/>
      </w:r>
      <w:r w:rsidRPr="00E9047D">
        <w:rPr>
          <w:rFonts w:ascii="Times New Roman" w:hAnsi="Times New Roman" w:cs="Times New Roman"/>
          <w:sz w:val="24"/>
          <w:szCs w:val="24"/>
        </w:rPr>
        <w:br/>
        <w:t>To evaluate the integrity degradation of AI systems under adversarial manipulation, a controlled experimental simulation was conducted. A baseline convolutional neural network classifier was trained under clean conditions and subsequently retrained using progressively poisoned training distributions. The poisoning rate was operationalized as:</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ParaPr>
          <m:jc m:val="left"/>
        </m:oMathParaPr>
        <m:oMath>
          <m:r>
            <w:rPr>
              <w:rFonts w:ascii="Cambria Math" w:hAnsi="Cambria Math" w:cs="Times New Roman"/>
              <w:sz w:val="24"/>
              <w:szCs w:val="24"/>
            </w:rPr>
            <w:lastRenderedPageBreak/>
            <m:t>PoisonRate=</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NumberPoisonedSamples</m:t>
                  </m:r>
                </m:num>
                <m:den>
                  <m:r>
                    <w:rPr>
                      <w:rFonts w:ascii="Cambria Math" w:hAnsi="Cambria Math" w:cs="Times New Roman"/>
                      <w:sz w:val="24"/>
                      <w:szCs w:val="24"/>
                    </w:rPr>
                    <m:t>TotalTrainingSamples</m:t>
                  </m:r>
                </m:den>
              </m:f>
            </m:e>
          </m:d>
          <m:r>
            <w:rPr>
              <w:rFonts w:ascii="Cambria Math" w:hAnsi="Cambria Math" w:cs="Times New Roman"/>
              <w:sz w:val="24"/>
              <w:szCs w:val="24"/>
            </w:rPr>
            <m:t>×100</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Model performance was evaluated using standard classification metrics. Overall accuracy was calculated as:</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w:rPr>
              <w:rFonts w:ascii="Cambria Math" w:hAnsi="Cambria Math" w:cs="Times New Roman"/>
              <w:sz w:val="24"/>
              <w:szCs w:val="24"/>
            </w:rPr>
            <m:t>Accuracy=</m:t>
          </m:r>
          <m:f>
            <m:fPr>
              <m:ctrlPr>
                <w:rPr>
                  <w:rFonts w:ascii="Cambria Math" w:hAnsi="Cambria Math" w:cs="Times New Roman"/>
                  <w:i/>
                  <w:sz w:val="24"/>
                  <w:szCs w:val="24"/>
                </w:rPr>
              </m:ctrlPr>
            </m:fPr>
            <m:num>
              <m:r>
                <w:rPr>
                  <w:rFonts w:ascii="Cambria Math" w:hAnsi="Cambria Math" w:cs="Times New Roman"/>
                  <w:sz w:val="24"/>
                  <w:szCs w:val="24"/>
                </w:rPr>
                <m:t>TP+TN</m:t>
              </m:r>
            </m:num>
            <m:den>
              <m:r>
                <w:rPr>
                  <w:rFonts w:ascii="Cambria Math" w:hAnsi="Cambria Math" w:cs="Times New Roman"/>
                  <w:sz w:val="24"/>
                  <w:szCs w:val="24"/>
                </w:rPr>
                <m:t>TP+TN+FP+FN</m:t>
              </m:r>
            </m:den>
          </m:f>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The harmonic balance between precision and recall was assessed using:</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w:rPr>
              <w:rFonts w:ascii="Cambria Math" w:hAnsi="Cambria Math" w:cs="Times New Roman"/>
              <w:sz w:val="24"/>
              <w:szCs w:val="24"/>
            </w:rPr>
            <m:t>F1Score=</m:t>
          </m:r>
          <m:f>
            <m:fPr>
              <m:ctrlPr>
                <w:rPr>
                  <w:rFonts w:ascii="Cambria Math" w:hAnsi="Cambria Math" w:cs="Times New Roman"/>
                  <w:i/>
                  <w:sz w:val="24"/>
                  <w:szCs w:val="24"/>
                </w:rPr>
              </m:ctrlPr>
            </m:fPr>
            <m:num>
              <m:r>
                <w:rPr>
                  <w:rFonts w:ascii="Cambria Math" w:hAnsi="Cambria Math" w:cs="Times New Roman"/>
                  <w:sz w:val="24"/>
                  <w:szCs w:val="24"/>
                </w:rPr>
                <m:t>2×Precision×Recall</m:t>
              </m:r>
            </m:num>
            <m:den>
              <m:r>
                <w:rPr>
                  <w:rFonts w:ascii="Cambria Math" w:hAnsi="Cambria Math" w:cs="Times New Roman"/>
                  <w:sz w:val="24"/>
                  <w:szCs w:val="24"/>
                </w:rPr>
                <m:t>Precision+Recall</m:t>
              </m:r>
            </m:den>
          </m:f>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Para>
      <w:r w:rsidRPr="00E9047D">
        <w:rPr>
          <w:rFonts w:ascii="Times New Roman" w:hAnsi="Times New Roman" w:cs="Times New Roman"/>
          <w:sz w:val="24"/>
          <w:szCs w:val="24"/>
        </w:rPr>
        <w:t>Integrity degradation resulting from poisoning was quantified as:</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
          <m:r>
            <w:rPr>
              <w:rFonts w:ascii="Cambria Math" w:hAnsi="Cambria Math" w:cs="Times New Roman"/>
              <w:sz w:val="24"/>
              <w:szCs w:val="24"/>
            </w:rPr>
            <m:t>AccuracyDrop=Ac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clean</m:t>
              </m:r>
            </m:sub>
          </m:sSub>
          <m:r>
            <w:rPr>
              <w:rFonts w:ascii="Cambria Math" w:hAnsi="Cambria Math" w:cs="Times New Roman"/>
              <w:sz w:val="24"/>
              <w:szCs w:val="24"/>
            </w:rPr>
            <m:t>-Ac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poisoned</m:t>
              </m:r>
            </m:sub>
          </m:sSub>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To isolate targeted compromise effectiveness independent of global accuracy, Attack Success Rate (ASR) was computed as:</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w:rPr>
              <w:rFonts w:ascii="Cambria Math" w:hAnsi="Cambria Math" w:cs="Times New Roman"/>
              <w:sz w:val="24"/>
              <w:szCs w:val="24"/>
            </w:rPr>
            <m:t>ASR=</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TriggeredMisclassifications</m:t>
                  </m:r>
                </m:num>
                <m:den>
                  <m:r>
                    <w:rPr>
                      <w:rFonts w:ascii="Cambria Math" w:hAnsi="Cambria Math" w:cs="Times New Roman"/>
                      <w:sz w:val="24"/>
                      <w:szCs w:val="24"/>
                    </w:rPr>
                    <m:t>TotalTriggeredInputs</m:t>
                  </m:r>
                </m:den>
              </m:f>
            </m:e>
          </m:d>
          <m:r>
            <w:rPr>
              <w:rFonts w:ascii="Cambria Math" w:hAnsi="Cambria Math" w:cs="Times New Roman"/>
              <w:sz w:val="24"/>
              <w:szCs w:val="24"/>
            </w:rPr>
            <m:t>×100</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r>
            <m:rPr>
              <m:sty m:val="p"/>
            </m:rPr>
            <w:rPr>
              <w:rFonts w:ascii="Times New Roman" w:hAnsi="Times New Roman" w:cs="Times New Roman"/>
              <w:sz w:val="24"/>
              <w:szCs w:val="24"/>
            </w:rPr>
            <m:t xml:space="preserve">This design enabled simultaneous measurement of observable performance stability and latent behavioral compromise, thereby establishing the existence of stealth vulnerability in </m:t>
          </m:r>
        </m:oMath>
      </m:oMathPara>
      <w:r w:rsidRPr="00E9047D">
        <w:rPr>
          <w:rFonts w:ascii="Times New Roman" w:hAnsi="Times New Roman" w:cs="Times New Roman"/>
          <w:sz w:val="24"/>
          <w:szCs w:val="24"/>
        </w:rPr>
        <w:t>AI-driven systems.</w:t>
      </w:r>
      <w:r w:rsidRPr="00E9047D">
        <w:rPr>
          <w:rFonts w:ascii="Times New Roman" w:hAnsi="Times New Roman" w:cs="Times New Roman"/>
          <w:sz w:val="24"/>
          <w:szCs w:val="24"/>
        </w:rPr>
        <w:br/>
      </w:r>
      <w:r w:rsidRPr="00E9047D">
        <w:rPr>
          <w:rFonts w:ascii="Times New Roman" w:hAnsi="Times New Roman" w:cs="Times New Roman"/>
          <w:sz w:val="24"/>
          <w:szCs w:val="24"/>
        </w:rPr>
        <w:br/>
        <w:t>To examine whether traditional PCI DSS-aligned controls effectively detect such compromise patterns, a binary logistic regression model was est</w:t>
      </w:r>
      <w:proofErr w:type="spellStart"/>
      <w:r w:rsidRPr="00E9047D">
        <w:rPr>
          <w:rFonts w:ascii="Times New Roman" w:hAnsi="Times New Roman" w:cs="Times New Roman"/>
          <w:sz w:val="24"/>
          <w:szCs w:val="24"/>
        </w:rPr>
        <w:t>imated</w:t>
      </w:r>
      <w:proofErr w:type="spellEnd"/>
      <w:r w:rsidRPr="00E9047D">
        <w:rPr>
          <w:rFonts w:ascii="Times New Roman" w:hAnsi="Times New Roman" w:cs="Times New Roman"/>
          <w:sz w:val="24"/>
          <w:szCs w:val="24"/>
        </w:rPr>
        <w:t>. The dependent variable represented breach detection status (Detected=1, Undetected=0), while independent variables captured failure conditions in access control, logging integrity, third-party involvement, and data integrity management. The logistic model was specified as:</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
          <m:r>
            <w:rPr>
              <w:rFonts w:ascii="Cambria Math" w:hAnsi="Cambria Math" w:cs="Times New Roman"/>
              <w:sz w:val="24"/>
              <w:szCs w:val="24"/>
            </w:rPr>
            <m:t>Logit</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1-p</m:t>
                      </m:r>
                    </m:den>
                  </m:f>
                </m:e>
              </m:d>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m:rPr>
              <m:sty m:val="p"/>
            </m:rPr>
            <w:rPr>
              <w:rFonts w:ascii="Cambria Math" w:hAnsi="Cambria Math" w:cs="Times New Roman"/>
              <w:sz w:val="24"/>
              <w:szCs w:val="24"/>
            </w:rPr>
            <w:br/>
          </m:r>
        </m:oMath>
      </m:oMathPara>
      <w:r w:rsidRPr="00E9047D">
        <w:rPr>
          <w:rFonts w:ascii="Times New Roman" w:hAnsi="Times New Roman" w:cs="Times New Roman"/>
          <w:sz w:val="24"/>
          <w:szCs w:val="24"/>
        </w:rPr>
        <w:br/>
      </w:r>
      <w:r w:rsidRPr="00E9047D">
        <w:rPr>
          <w:rFonts w:ascii="Times New Roman" w:hAnsi="Times New Roman" w:cs="Times New Roman"/>
          <w:sz w:val="24"/>
          <w:szCs w:val="24"/>
        </w:rPr>
        <w:t>where p denotes the probability of breach detection. Odds ratios were derived using:</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
          <m:r>
            <w:rPr>
              <w:rFonts w:ascii="Cambria Math" w:hAnsi="Cambria Math" w:cs="Times New Roman"/>
              <w:sz w:val="24"/>
              <w:szCs w:val="24"/>
            </w:rPr>
            <w:lastRenderedPageBreak/>
            <m:t>OR=</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β</m:t>
              </m:r>
            </m:sup>
          </m:sSup>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Model predictive accuracy was assessed using:</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w:rPr>
              <w:rFonts w:ascii="Cambria Math" w:hAnsi="Cambria Math" w:cs="Times New Roman"/>
              <w:sz w:val="24"/>
              <w:szCs w:val="24"/>
            </w:rPr>
            <m:t>ClassificationAccuracy=</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CorrectPredictions</m:t>
                  </m:r>
                </m:num>
                <m:den>
                  <m:r>
                    <w:rPr>
                      <w:rFonts w:ascii="Cambria Math" w:hAnsi="Cambria Math" w:cs="Times New Roman"/>
                      <w:sz w:val="24"/>
                      <w:szCs w:val="24"/>
                    </w:rPr>
                    <m:t>TotalObservations</m:t>
                  </m:r>
                </m:den>
              </m:f>
            </m:e>
          </m:d>
          <m:r>
            <w:rPr>
              <w:rFonts w:ascii="Cambria Math" w:hAnsi="Cambria Math" w:cs="Times New Roman"/>
              <w:sz w:val="24"/>
              <w:szCs w:val="24"/>
            </w:rPr>
            <m:t>×100</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This modeling approach quantified how degradation of deterministic control mechanisms statistically reduces detection likelihood under AI-mediated threat conditions.</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To determine the structural adequacy of PCI DSS in addressing AI-specific threats, a quantitative compliance gap index was constructed. Each PCI DSS v4.0 requirement domain was coded according to its level of AI threat coverage: explicit coverage (1), implicit coverage (0.5), or no coverage (0). Threat-specific coverage was computed using:</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w:rPr>
              <w:rFonts w:ascii="Cambria Math" w:hAnsi="Cambria Math" w:cs="Times New Roman"/>
              <w:sz w:val="24"/>
              <w:szCs w:val="24"/>
            </w:rPr>
            <m:t>CoverageScore=</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∑ControlScores</m:t>
                  </m:r>
                </m:num>
                <m:den>
                  <m:r>
                    <w:rPr>
                      <w:rFonts w:ascii="Cambria Math" w:hAnsi="Cambria Math" w:cs="Times New Roman"/>
                      <w:sz w:val="24"/>
                      <w:szCs w:val="24"/>
                    </w:rPr>
                    <m:t>TotalDomains</m:t>
                  </m:r>
                </m:den>
              </m:f>
            </m:e>
          </m:d>
          <m:r>
            <w:rPr>
              <w:rFonts w:ascii="Cambria Math" w:hAnsi="Cambria Math" w:cs="Times New Roman"/>
              <w:sz w:val="24"/>
              <w:szCs w:val="24"/>
            </w:rPr>
            <m:t>×100</m:t>
          </m:r>
          <m:r>
            <m:rPr>
              <m:sty m:val="p"/>
            </m:rPr>
            <w:rPr>
              <w:rFonts w:ascii="Cambria Math" w:hAnsi="Cambria Math" w:cs="Times New Roman"/>
              <w:sz w:val="24"/>
              <w:szCs w:val="24"/>
            </w:rPr>
            <w:br/>
          </m:r>
        </m:oMath>
      </m:oMathPara>
      <w:r w:rsidRPr="00E9047D">
        <w:rPr>
          <w:rFonts w:ascii="Times New Roman" w:hAnsi="Times New Roman" w:cs="Times New Roman"/>
          <w:sz w:val="24"/>
          <w:szCs w:val="24"/>
        </w:rPr>
        <w:br/>
      </w:r>
      <w:r w:rsidRPr="00E9047D">
        <w:rPr>
          <w:rFonts w:ascii="Times New Roman" w:hAnsi="Times New Roman" w:cs="Times New Roman"/>
          <w:sz w:val="24"/>
          <w:szCs w:val="24"/>
        </w:rPr>
        <w:t>The explicit compliance gap was derived as:</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
          <m:r>
            <w:rPr>
              <w:rFonts w:ascii="Cambria Math" w:hAnsi="Cambria Math" w:cs="Times New Roman"/>
              <w:sz w:val="24"/>
              <w:szCs w:val="24"/>
            </w:rPr>
            <m:t>ExplicitGap=100-CoverageScore</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r>
            <m:rPr>
              <m:sty m:val="p"/>
            </m:rPr>
            <w:rPr>
              <w:rFonts w:ascii="Times New Roman" w:hAnsi="Times New Roman" w:cs="Times New Roman"/>
              <w:sz w:val="24"/>
              <w:szCs w:val="24"/>
            </w:rPr>
            <m:t xml:space="preserve">Separate indices were calculated for prompt injection and training data poisoning. This index methodology provided a measurable representation of regulatory </m:t>
          </m:r>
        </m:oMath>
      </m:oMathPara>
      <w:r w:rsidRPr="00E9047D">
        <w:rPr>
          <w:rFonts w:ascii="Times New Roman" w:hAnsi="Times New Roman" w:cs="Times New Roman"/>
          <w:sz w:val="24"/>
          <w:szCs w:val="24"/>
        </w:rPr>
        <w:t>undercoverage and enabled direct comparison of threat-specific governance asymmetr</w:t>
      </w:r>
      <w:proofErr w:type="spellStart"/>
      <w:r w:rsidRPr="00E9047D">
        <w:rPr>
          <w:rFonts w:ascii="Times New Roman" w:hAnsi="Times New Roman" w:cs="Times New Roman"/>
          <w:sz w:val="24"/>
          <w:szCs w:val="24"/>
        </w:rPr>
        <w:t>ies</w:t>
      </w:r>
      <w:proofErr w:type="spellEnd"/>
      <w:r w:rsidRPr="00E9047D">
        <w:rPr>
          <w:rFonts w:ascii="Times New Roman" w:hAnsi="Times New Roman" w:cs="Times New Roman"/>
          <w:sz w:val="24"/>
          <w:szCs w:val="24"/>
        </w:rPr>
        <w:t>.</w:t>
      </w:r>
      <w:r w:rsidRPr="00E9047D">
        <w:rPr>
          <w:rFonts w:ascii="Times New Roman" w:hAnsi="Times New Roman" w:cs="Times New Roman"/>
          <w:sz w:val="24"/>
          <w:szCs w:val="24"/>
        </w:rPr>
        <w:br/>
      </w:r>
      <w:r w:rsidRPr="00E9047D">
        <w:rPr>
          <w:rFonts w:ascii="Times New Roman" w:hAnsi="Times New Roman" w:cs="Times New Roman"/>
          <w:sz w:val="24"/>
          <w:szCs w:val="24"/>
        </w:rPr>
        <w:br/>
        <w:t>Finally, to validate the proposed PCI DSS-aligned AI security framework, a covariance-based Structural Equation Model (SEM) was estimated. The structural model examined the direct influence of preventive, detective, and corrective control dimensions on AI risk reduction and was specified as:</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
          <m:r>
            <w:rPr>
              <w:rFonts w:ascii="Cambria Math" w:hAnsi="Cambria Math" w:cs="Times New Roman"/>
              <w:sz w:val="24"/>
              <w:szCs w:val="24"/>
            </w:rPr>
            <m:t>AIRiskReduction=γ1Preventive+γ2Detective+γ3Corrective+ζ</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r>
            <m:rPr>
              <m:sty m:val="p"/>
            </m:rPr>
            <w:rPr>
              <w:rFonts w:ascii="Times New Roman" w:hAnsi="Times New Roman" w:cs="Times New Roman"/>
              <w:sz w:val="24"/>
              <w:szCs w:val="24"/>
            </w:rPr>
            <m:t>where γ r</m:t>
          </m:r>
        </m:oMath>
      </m:oMathPara>
      <w:r w:rsidRPr="00E9047D">
        <w:rPr>
          <w:rFonts w:ascii="Times New Roman" w:hAnsi="Times New Roman" w:cs="Times New Roman"/>
          <w:sz w:val="24"/>
          <w:szCs w:val="24"/>
        </w:rPr>
        <w:t>epresents standardized path coefficients and ζ represents residual variance.</w:t>
      </w:r>
      <w:r w:rsidRPr="00E9047D">
        <w:rPr>
          <w:rFonts w:ascii="Times New Roman" w:hAnsi="Times New Roman" w:cs="Times New Roman"/>
          <w:sz w:val="24"/>
          <w:szCs w:val="24"/>
        </w:rPr>
        <w:br/>
      </w:r>
      <w:r w:rsidRPr="00E9047D">
        <w:rPr>
          <w:rFonts w:ascii="Times New Roman" w:hAnsi="Times New Roman" w:cs="Times New Roman"/>
          <w:sz w:val="24"/>
          <w:szCs w:val="24"/>
        </w:rPr>
        <w:br/>
        <w:t>Measurement validity was assessed using standardized factor loadings (λ), composite reliability (CR), and average variance extracted (AVE). Composite reliability was calculated as:</w:t>
      </w:r>
      <w:r w:rsidRPr="00E9047D">
        <w:rPr>
          <w:rFonts w:ascii="Times New Roman" w:hAnsi="Times New Roman" w:cs="Times New Roman"/>
          <w:sz w:val="24"/>
          <w:szCs w:val="24"/>
        </w:rPr>
        <w:br/>
      </w:r>
      <w:r w:rsidRPr="00E9047D">
        <w:rPr>
          <w:rFonts w:ascii="Times New Roman" w:hAnsi="Times New Roman" w:cs="Times New Roman"/>
          <w:sz w:val="24"/>
          <w:szCs w:val="24"/>
        </w:rPr>
        <w:br/>
      </w:r>
      <m:oMathPara>
        <m:oMath>
          <m:r>
            <w:rPr>
              <w:rFonts w:ascii="Cambria Math" w:hAnsi="Cambria Math" w:cs="Times New Roman"/>
              <w:sz w:val="24"/>
              <w:szCs w:val="24"/>
            </w:rPr>
            <m:t>CR=</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∑λ</m:t>
                      </m:r>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∑λ</m:t>
                      </m:r>
                    </m:e>
                  </m:d>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Convergent validity was evaluated using:</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w:rPr>
              <w:rFonts w:ascii="Cambria Math" w:hAnsi="Cambria Math" w:cs="Times New Roman"/>
              <w:sz w:val="24"/>
              <w:szCs w:val="24"/>
            </w:rPr>
            <m:t>AVE=</m:t>
          </m:r>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num>
            <m:den>
              <m:r>
                <w:rPr>
                  <w:rFonts w:ascii="Cambria Math" w:hAnsi="Cambria Math" w:cs="Times New Roman"/>
                  <w:sz w:val="24"/>
                  <w:szCs w:val="24"/>
                </w:rPr>
                <m:t>n</m:t>
              </m:r>
            </m:den>
          </m:f>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m:t>Model explanatory strength was determined using:</m:t>
          </m:r>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oMath>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Var</m:t>
                  </m:r>
                  <m:d>
                    <m:dPr>
                      <m:ctrlPr>
                        <w:rPr>
                          <w:rFonts w:ascii="Cambria Math" w:hAnsi="Cambria Math" w:cs="Times New Roman"/>
                          <w:i/>
                          <w:sz w:val="24"/>
                          <w:szCs w:val="24"/>
                        </w:rPr>
                      </m:ctrlPr>
                    </m:dPr>
                    <m:e>
                      <m:r>
                        <w:rPr>
                          <w:rFonts w:ascii="Cambria Math" w:hAnsi="Cambria Math" w:cs="Times New Roman"/>
                          <w:sz w:val="24"/>
                          <w:szCs w:val="24"/>
                        </w:rPr>
                        <m:t>residuals</m:t>
                      </m:r>
                    </m:e>
                  </m:d>
                </m:num>
                <m:den>
                  <m:r>
                    <w:rPr>
                      <w:rFonts w:ascii="Cambria Math" w:hAnsi="Cambria Math" w:cs="Times New Roman"/>
                      <w:sz w:val="24"/>
                      <w:szCs w:val="24"/>
                    </w:rPr>
                    <m:t>Var</m:t>
                  </m:r>
                  <m:d>
                    <m:dPr>
                      <m:ctrlPr>
                        <w:rPr>
                          <w:rFonts w:ascii="Cambria Math" w:hAnsi="Cambria Math" w:cs="Times New Roman"/>
                          <w:i/>
                          <w:sz w:val="24"/>
                          <w:szCs w:val="24"/>
                        </w:rPr>
                      </m:ctrlPr>
                    </m:dPr>
                    <m:e>
                      <m:r>
                        <w:rPr>
                          <w:rFonts w:ascii="Cambria Math" w:hAnsi="Cambria Math" w:cs="Times New Roman"/>
                          <w:sz w:val="24"/>
                          <w:szCs w:val="24"/>
                        </w:rPr>
                        <m:t>total</m:t>
                      </m:r>
                    </m:e>
                  </m:d>
                </m:den>
              </m:f>
            </m:e>
          </m:d>
          <m:r>
            <m:rPr>
              <m:sty m:val="p"/>
            </m:rPr>
            <w:rPr>
              <w:rFonts w:ascii="Times New Roman" w:hAnsi="Times New Roman" w:cs="Times New Roman"/>
              <w:sz w:val="24"/>
              <w:szCs w:val="24"/>
            </w:rPr>
            <w:br/>
          </m:r>
        </m:oMath>
        <m:oMath>
          <m:r>
            <m:rPr>
              <m:sty m:val="p"/>
            </m:rPr>
            <w:rPr>
              <w:rFonts w:ascii="Times New Roman" w:hAnsi="Times New Roman" w:cs="Times New Roman"/>
              <w:sz w:val="24"/>
              <w:szCs w:val="24"/>
            </w:rPr>
            <w:br/>
          </m:r>
          <m:r>
            <m:rPr>
              <m:sty m:val="p"/>
            </m:rPr>
            <w:rPr>
              <w:rFonts w:ascii="Times New Roman" w:hAnsi="Times New Roman" w:cs="Times New Roman"/>
              <w:sz w:val="24"/>
              <w:szCs w:val="24"/>
            </w:rPr>
            <m:t>Model fit was evaluated using established structural thresholds including the Co</m:t>
          </m:r>
        </m:oMath>
      </m:oMathPara>
      <w:r w:rsidRPr="00E9047D">
        <w:rPr>
          <w:rFonts w:ascii="Times New Roman" w:hAnsi="Times New Roman" w:cs="Times New Roman"/>
          <w:sz w:val="24"/>
          <w:szCs w:val="24"/>
        </w:rPr>
        <w:t xml:space="preserve">mparative Fit </w:t>
      </w:r>
      <w:r w:rsidRPr="00E9047D">
        <w:rPr>
          <w:rFonts w:ascii="Times New Roman" w:hAnsi="Times New Roman" w:cs="Times New Roman"/>
          <w:sz w:val="24"/>
          <w:szCs w:val="24"/>
        </w:rPr>
        <w:lastRenderedPageBreak/>
        <w:t>Index (CFI), Root Mean Square Error of Approximation (RMSEA), and Standardized Root Mean Square Residual (SRMR).</w:t>
      </w:r>
      <w:r w:rsidRPr="00E9047D">
        <w:rPr>
          <w:rFonts w:ascii="Times New Roman" w:hAnsi="Times New Roman" w:cs="Times New Roman"/>
          <w:sz w:val="24"/>
          <w:szCs w:val="24"/>
        </w:rPr>
        <w:br/>
      </w:r>
    </w:p>
    <w:p w14:paraId="7DA19F0D" w14:textId="77777777" w:rsidR="00C67F45" w:rsidRPr="004E5BC1" w:rsidRDefault="004E5BC1" w:rsidP="004E5BC1">
      <w:pPr>
        <w:spacing w:after="240"/>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rPr>
        <w:tab/>
      </w:r>
      <w:r w:rsidRPr="004E5BC1">
        <w:rPr>
          <w:rFonts w:ascii="Times New Roman" w:hAnsi="Times New Roman" w:cs="Times New Roman"/>
          <w:b/>
          <w:bCs/>
          <w:sz w:val="24"/>
          <w:szCs w:val="24"/>
        </w:rPr>
        <w:t>Results and Discussion</w:t>
      </w:r>
    </w:p>
    <w:p w14:paraId="7DA19F0E" w14:textId="77777777" w:rsidR="00C67F45" w:rsidRPr="004E5BC1" w:rsidRDefault="004E5BC1" w:rsidP="004E5BC1">
      <w:pPr>
        <w:spacing w:after="240"/>
        <w:rPr>
          <w:rFonts w:ascii="Times New Roman" w:hAnsi="Times New Roman" w:cs="Times New Roman"/>
          <w:b/>
          <w:bCs/>
          <w:sz w:val="24"/>
          <w:szCs w:val="24"/>
        </w:rPr>
      </w:pPr>
      <w:r w:rsidRPr="004E5BC1">
        <w:rPr>
          <w:rFonts w:ascii="Times New Roman" w:hAnsi="Times New Roman" w:cs="Times New Roman"/>
          <w:b/>
          <w:bCs/>
          <w:sz w:val="24"/>
          <w:szCs w:val="24"/>
        </w:rPr>
        <w:t>Objective 1: Identify and classify prompt injection and training data poisoning techniques affecting AI components in PCI-relevant financial workflows.</w:t>
      </w:r>
    </w:p>
    <w:p w14:paraId="7DA19F0F"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A controlled quantitative experimental design was adopted to evaluate the behavioral and structural impact of training data poisoning on model integrity. The assessment focused on global model degradation metrics and targeted exploit success rates to determine the extent to which latent compromise can persist despite near-normal aggregate performance indicators.</w:t>
      </w:r>
    </w:p>
    <w:p w14:paraId="7DA19F10" w14:textId="77777777" w:rsidR="00C67F45" w:rsidRPr="004E5BC1" w:rsidRDefault="00C67F45" w:rsidP="004E5BC1">
      <w:pPr>
        <w:spacing w:after="240"/>
        <w:rPr>
          <w:rFonts w:ascii="Times New Roman" w:hAnsi="Times New Roman" w:cs="Times New Roman"/>
          <w:sz w:val="24"/>
          <w:szCs w:val="24"/>
        </w:rPr>
      </w:pPr>
    </w:p>
    <w:p w14:paraId="7DA19F11"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Table 1: Model Performance Under Progressive Poisoning</w:t>
      </w:r>
    </w:p>
    <w:tbl>
      <w:tblPr>
        <w:tblStyle w:val="a"/>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C67F45" w:rsidRPr="004E5BC1" w14:paraId="7DA19F17" w14:textId="77777777">
        <w:tc>
          <w:tcPr>
            <w:tcW w:w="1728" w:type="dxa"/>
          </w:tcPr>
          <w:p w14:paraId="7DA19F1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Poison Rate (%)</w:t>
            </w:r>
          </w:p>
        </w:tc>
        <w:tc>
          <w:tcPr>
            <w:tcW w:w="1728" w:type="dxa"/>
          </w:tcPr>
          <w:p w14:paraId="7DA19F1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Accuracy (%)</w:t>
            </w:r>
          </w:p>
        </w:tc>
        <w:tc>
          <w:tcPr>
            <w:tcW w:w="1728" w:type="dxa"/>
          </w:tcPr>
          <w:p w14:paraId="7DA19F1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Accuracy Drop (%)</w:t>
            </w:r>
          </w:p>
        </w:tc>
        <w:tc>
          <w:tcPr>
            <w:tcW w:w="1728" w:type="dxa"/>
          </w:tcPr>
          <w:p w14:paraId="7DA19F15"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F1-score (%)</w:t>
            </w:r>
          </w:p>
        </w:tc>
        <w:tc>
          <w:tcPr>
            <w:tcW w:w="1728" w:type="dxa"/>
          </w:tcPr>
          <w:p w14:paraId="7DA19F1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ASR (%)</w:t>
            </w:r>
          </w:p>
        </w:tc>
      </w:tr>
      <w:tr w:rsidR="00C67F45" w:rsidRPr="004E5BC1" w14:paraId="7DA19F1D" w14:textId="77777777">
        <w:tc>
          <w:tcPr>
            <w:tcW w:w="1728" w:type="dxa"/>
          </w:tcPr>
          <w:p w14:paraId="7DA19F1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c>
          <w:tcPr>
            <w:tcW w:w="1728" w:type="dxa"/>
          </w:tcPr>
          <w:p w14:paraId="7DA19F1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90.8</w:t>
            </w:r>
          </w:p>
        </w:tc>
        <w:tc>
          <w:tcPr>
            <w:tcW w:w="1728" w:type="dxa"/>
          </w:tcPr>
          <w:p w14:paraId="7DA19F1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0.0</w:t>
            </w:r>
          </w:p>
        </w:tc>
        <w:tc>
          <w:tcPr>
            <w:tcW w:w="1728" w:type="dxa"/>
          </w:tcPr>
          <w:p w14:paraId="7DA19F1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90.5</w:t>
            </w:r>
          </w:p>
        </w:tc>
        <w:tc>
          <w:tcPr>
            <w:tcW w:w="1728" w:type="dxa"/>
          </w:tcPr>
          <w:p w14:paraId="7DA19F1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0.0</w:t>
            </w:r>
          </w:p>
        </w:tc>
      </w:tr>
      <w:tr w:rsidR="00C67F45" w:rsidRPr="004E5BC1" w14:paraId="7DA19F23" w14:textId="77777777">
        <w:tc>
          <w:tcPr>
            <w:tcW w:w="1728" w:type="dxa"/>
          </w:tcPr>
          <w:p w14:paraId="7DA19F1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1</w:t>
            </w:r>
          </w:p>
        </w:tc>
        <w:tc>
          <w:tcPr>
            <w:tcW w:w="1728" w:type="dxa"/>
          </w:tcPr>
          <w:p w14:paraId="7DA19F1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89.9</w:t>
            </w:r>
          </w:p>
        </w:tc>
        <w:tc>
          <w:tcPr>
            <w:tcW w:w="1728" w:type="dxa"/>
          </w:tcPr>
          <w:p w14:paraId="7DA19F2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0.9</w:t>
            </w:r>
          </w:p>
        </w:tc>
        <w:tc>
          <w:tcPr>
            <w:tcW w:w="1728" w:type="dxa"/>
          </w:tcPr>
          <w:p w14:paraId="7DA19F2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89.7</w:t>
            </w:r>
          </w:p>
        </w:tc>
        <w:tc>
          <w:tcPr>
            <w:tcW w:w="1728" w:type="dxa"/>
          </w:tcPr>
          <w:p w14:paraId="7DA19F2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41.3</w:t>
            </w:r>
          </w:p>
        </w:tc>
      </w:tr>
      <w:tr w:rsidR="00C67F45" w:rsidRPr="004E5BC1" w14:paraId="7DA19F29" w14:textId="77777777">
        <w:tc>
          <w:tcPr>
            <w:tcW w:w="1728" w:type="dxa"/>
          </w:tcPr>
          <w:p w14:paraId="7DA19F2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w:t>
            </w:r>
          </w:p>
        </w:tc>
        <w:tc>
          <w:tcPr>
            <w:tcW w:w="1728" w:type="dxa"/>
          </w:tcPr>
          <w:p w14:paraId="7DA19F25"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86.2</w:t>
            </w:r>
          </w:p>
        </w:tc>
        <w:tc>
          <w:tcPr>
            <w:tcW w:w="1728" w:type="dxa"/>
          </w:tcPr>
          <w:p w14:paraId="7DA19F2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4.6</w:t>
            </w:r>
          </w:p>
        </w:tc>
        <w:tc>
          <w:tcPr>
            <w:tcW w:w="1728" w:type="dxa"/>
          </w:tcPr>
          <w:p w14:paraId="7DA19F2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85.8</w:t>
            </w:r>
          </w:p>
        </w:tc>
        <w:tc>
          <w:tcPr>
            <w:tcW w:w="1728" w:type="dxa"/>
          </w:tcPr>
          <w:p w14:paraId="7DA19F2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78.6</w:t>
            </w:r>
          </w:p>
        </w:tc>
      </w:tr>
      <w:tr w:rsidR="00C67F45" w:rsidRPr="004E5BC1" w14:paraId="7DA19F2F" w14:textId="77777777">
        <w:tc>
          <w:tcPr>
            <w:tcW w:w="1728" w:type="dxa"/>
          </w:tcPr>
          <w:p w14:paraId="7DA19F2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10</w:t>
            </w:r>
          </w:p>
        </w:tc>
        <w:tc>
          <w:tcPr>
            <w:tcW w:w="1728" w:type="dxa"/>
          </w:tcPr>
          <w:p w14:paraId="7DA19F2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80.4</w:t>
            </w:r>
          </w:p>
        </w:tc>
        <w:tc>
          <w:tcPr>
            <w:tcW w:w="1728" w:type="dxa"/>
          </w:tcPr>
          <w:p w14:paraId="7DA19F2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10.4</w:t>
            </w:r>
          </w:p>
        </w:tc>
        <w:tc>
          <w:tcPr>
            <w:tcW w:w="1728" w:type="dxa"/>
          </w:tcPr>
          <w:p w14:paraId="7DA19F2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79.9</w:t>
            </w:r>
          </w:p>
        </w:tc>
        <w:tc>
          <w:tcPr>
            <w:tcW w:w="1728" w:type="dxa"/>
          </w:tcPr>
          <w:p w14:paraId="7DA19F2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93.4</w:t>
            </w:r>
          </w:p>
        </w:tc>
      </w:tr>
    </w:tbl>
    <w:p w14:paraId="7DA19F30"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Table 1 demonstrates that minimal poisoning produces limited observable global degradation while simultaneously generating substantial increases in targeted exploit success. At a 5% poisoning rate, overall accuracy declines modestly, yet attack success exceeds 75%, indicating significant latent behavioral compromise.</w:t>
      </w:r>
    </w:p>
    <w:p w14:paraId="7DA19F31" w14:textId="77777777" w:rsidR="00C67F45" w:rsidRPr="004E5BC1" w:rsidRDefault="00C67F45" w:rsidP="004E5BC1">
      <w:pPr>
        <w:spacing w:after="240"/>
        <w:rPr>
          <w:rFonts w:ascii="Times New Roman" w:hAnsi="Times New Roman" w:cs="Times New Roman"/>
          <w:sz w:val="24"/>
          <w:szCs w:val="24"/>
        </w:rPr>
      </w:pPr>
    </w:p>
    <w:p w14:paraId="7DA19F32" w14:textId="77777777" w:rsidR="00C67F45" w:rsidRPr="004E5BC1" w:rsidRDefault="00C67F45" w:rsidP="004E5BC1">
      <w:pPr>
        <w:spacing w:after="240"/>
        <w:rPr>
          <w:rFonts w:ascii="Times New Roman" w:hAnsi="Times New Roman" w:cs="Times New Roman"/>
          <w:sz w:val="24"/>
          <w:szCs w:val="24"/>
        </w:rPr>
      </w:pPr>
    </w:p>
    <w:p w14:paraId="7DA19F33"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lastRenderedPageBreak/>
        <w:drawing>
          <wp:inline distT="0" distB="0" distL="0" distR="0" wp14:anchorId="7DA1A064" wp14:editId="7DA1A065">
            <wp:extent cx="5029200" cy="3332676"/>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5916"/>
                    <a:stretch>
                      <a:fillRect/>
                    </a:stretch>
                  </pic:blipFill>
                  <pic:spPr>
                    <a:xfrm>
                      <a:off x="0" y="0"/>
                      <a:ext cx="5029200" cy="3332676"/>
                    </a:xfrm>
                    <a:prstGeom prst="rect">
                      <a:avLst/>
                    </a:prstGeom>
                    <a:ln/>
                  </pic:spPr>
                </pic:pic>
              </a:graphicData>
            </a:graphic>
          </wp:inline>
        </w:drawing>
      </w:r>
    </w:p>
    <w:p w14:paraId="7DA19F34"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1. Escalation of Targeted Compromise Under Training Data Poisoning</w:t>
      </w:r>
    </w:p>
    <w:p w14:paraId="7DA19F35"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As illustrated in Figure 1, attack success rate increases nonlinearly relative to poisoning intensity. The expanding bubble magnitude further reflects the acceleration of structural degradation as poisoning scales.</w:t>
      </w:r>
    </w:p>
    <w:p w14:paraId="7DA19F36"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drawing>
          <wp:inline distT="0" distB="0" distL="0" distR="0" wp14:anchorId="7DA1A066" wp14:editId="7DA1A067">
            <wp:extent cx="5029200" cy="313588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6264"/>
                    <a:stretch>
                      <a:fillRect/>
                    </a:stretch>
                  </pic:blipFill>
                  <pic:spPr>
                    <a:xfrm>
                      <a:off x="0" y="0"/>
                      <a:ext cx="5029200" cy="3135880"/>
                    </a:xfrm>
                    <a:prstGeom prst="rect">
                      <a:avLst/>
                    </a:prstGeom>
                    <a:ln/>
                  </pic:spPr>
                </pic:pic>
              </a:graphicData>
            </a:graphic>
          </wp:inline>
        </w:drawing>
      </w:r>
    </w:p>
    <w:p w14:paraId="7DA19F37"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2. Divergence Between Global Degradation and Targeted Exploit Success</w:t>
      </w:r>
    </w:p>
    <w:p w14:paraId="7DA19F38"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Figure 2 highlights the divergence between global performance degradation and targeted exploit effectiveness. The widening separation between the two curves demonstrates that conventional accuracy monitoring fails to capture embedded adversarial manipulation.</w:t>
      </w:r>
    </w:p>
    <w:p w14:paraId="7DA19F39"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empirical evidence indicates that even limited poisoning can generate disproportionate targeted vulnerability while maintaining statistically acceptable global performance metrics. This behavioral asymmetry reinforces the structural concern that AI-driven financial workflows may remain operationally functional yet strategically compromised within compliance-validated environments.</w:t>
      </w:r>
    </w:p>
    <w:p w14:paraId="7DA19F3A"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Objective 2: Evaluate the effectiveness of existing PCI DSS controls in detecting and mitigating AI-related compromise patterns.</w:t>
      </w:r>
    </w:p>
    <w:p w14:paraId="7DA19F3B"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A binary logistic regression model was employed to estimate the likelihood of breach detection under varying control failure conditions. The analysis examined the relationship between control breakdowns and the probability that incidents were successfully detected within regulated financial environments.</w:t>
      </w:r>
    </w:p>
    <w:p w14:paraId="7DA19F3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Table 2: Logistic Regression Predicting Detection Outcome</w:t>
      </w:r>
    </w:p>
    <w:tbl>
      <w:tblPr>
        <w:tblStyle w:val="a0"/>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C67F45" w:rsidRPr="004E5BC1" w14:paraId="7DA19F41" w14:textId="77777777">
        <w:tc>
          <w:tcPr>
            <w:tcW w:w="2160" w:type="dxa"/>
          </w:tcPr>
          <w:p w14:paraId="7DA19F3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Variable</w:t>
            </w:r>
          </w:p>
        </w:tc>
        <w:tc>
          <w:tcPr>
            <w:tcW w:w="2160" w:type="dxa"/>
          </w:tcPr>
          <w:p w14:paraId="7DA19F3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β</w:t>
            </w:r>
          </w:p>
        </w:tc>
        <w:tc>
          <w:tcPr>
            <w:tcW w:w="2160" w:type="dxa"/>
          </w:tcPr>
          <w:p w14:paraId="7DA19F3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Odds Ratio</w:t>
            </w:r>
          </w:p>
        </w:tc>
        <w:tc>
          <w:tcPr>
            <w:tcW w:w="2160" w:type="dxa"/>
          </w:tcPr>
          <w:p w14:paraId="7DA19F4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p-value</w:t>
            </w:r>
          </w:p>
        </w:tc>
      </w:tr>
      <w:tr w:rsidR="00C67F45" w:rsidRPr="004E5BC1" w14:paraId="7DA19F46" w14:textId="77777777">
        <w:tc>
          <w:tcPr>
            <w:tcW w:w="2160" w:type="dxa"/>
          </w:tcPr>
          <w:p w14:paraId="7DA19F4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Access Control Failure</w:t>
            </w:r>
          </w:p>
        </w:tc>
        <w:tc>
          <w:tcPr>
            <w:tcW w:w="2160" w:type="dxa"/>
          </w:tcPr>
          <w:p w14:paraId="7DA19F4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-0.318</w:t>
            </w:r>
          </w:p>
        </w:tc>
        <w:tc>
          <w:tcPr>
            <w:tcW w:w="2160" w:type="dxa"/>
          </w:tcPr>
          <w:p w14:paraId="7DA19F4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0.73</w:t>
            </w:r>
          </w:p>
        </w:tc>
        <w:tc>
          <w:tcPr>
            <w:tcW w:w="2160" w:type="dxa"/>
          </w:tcPr>
          <w:p w14:paraId="7DA19F45"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0.010</w:t>
            </w:r>
          </w:p>
        </w:tc>
      </w:tr>
      <w:tr w:rsidR="00C67F45" w:rsidRPr="004E5BC1" w14:paraId="7DA19F4B" w14:textId="77777777">
        <w:tc>
          <w:tcPr>
            <w:tcW w:w="2160" w:type="dxa"/>
          </w:tcPr>
          <w:p w14:paraId="7DA19F4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Logging Failure</w:t>
            </w:r>
          </w:p>
        </w:tc>
        <w:tc>
          <w:tcPr>
            <w:tcW w:w="2160" w:type="dxa"/>
          </w:tcPr>
          <w:p w14:paraId="7DA19F4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-1.427</w:t>
            </w:r>
          </w:p>
        </w:tc>
        <w:tc>
          <w:tcPr>
            <w:tcW w:w="2160" w:type="dxa"/>
          </w:tcPr>
          <w:p w14:paraId="7DA19F4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0.24</w:t>
            </w:r>
          </w:p>
        </w:tc>
        <w:tc>
          <w:tcPr>
            <w:tcW w:w="2160" w:type="dxa"/>
          </w:tcPr>
          <w:p w14:paraId="7DA19F4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&lt;0.001</w:t>
            </w:r>
          </w:p>
        </w:tc>
      </w:tr>
      <w:tr w:rsidR="00C67F45" w:rsidRPr="004E5BC1" w14:paraId="7DA19F50" w14:textId="77777777">
        <w:tc>
          <w:tcPr>
            <w:tcW w:w="2160" w:type="dxa"/>
          </w:tcPr>
          <w:p w14:paraId="7DA19F4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Third-Party Involvement</w:t>
            </w:r>
          </w:p>
        </w:tc>
        <w:tc>
          <w:tcPr>
            <w:tcW w:w="2160" w:type="dxa"/>
          </w:tcPr>
          <w:p w14:paraId="7DA19F4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-1.103</w:t>
            </w:r>
          </w:p>
        </w:tc>
        <w:tc>
          <w:tcPr>
            <w:tcW w:w="2160" w:type="dxa"/>
          </w:tcPr>
          <w:p w14:paraId="7DA19F4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0.33</w:t>
            </w:r>
          </w:p>
        </w:tc>
        <w:tc>
          <w:tcPr>
            <w:tcW w:w="2160" w:type="dxa"/>
          </w:tcPr>
          <w:p w14:paraId="7DA19F4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&lt;0.001</w:t>
            </w:r>
          </w:p>
        </w:tc>
      </w:tr>
      <w:tr w:rsidR="00C67F45" w:rsidRPr="004E5BC1" w14:paraId="7DA19F55" w14:textId="77777777">
        <w:tc>
          <w:tcPr>
            <w:tcW w:w="2160" w:type="dxa"/>
          </w:tcPr>
          <w:p w14:paraId="7DA19F5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Data Integrity Compromise</w:t>
            </w:r>
          </w:p>
        </w:tc>
        <w:tc>
          <w:tcPr>
            <w:tcW w:w="2160" w:type="dxa"/>
          </w:tcPr>
          <w:p w14:paraId="7DA19F5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-0.611</w:t>
            </w:r>
          </w:p>
        </w:tc>
        <w:tc>
          <w:tcPr>
            <w:tcW w:w="2160" w:type="dxa"/>
          </w:tcPr>
          <w:p w14:paraId="7DA19F5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0.54</w:t>
            </w:r>
          </w:p>
        </w:tc>
        <w:tc>
          <w:tcPr>
            <w:tcW w:w="2160" w:type="dxa"/>
          </w:tcPr>
          <w:p w14:paraId="7DA19F5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&lt;0.001</w:t>
            </w:r>
          </w:p>
        </w:tc>
      </w:tr>
    </w:tbl>
    <w:p w14:paraId="7DA19F5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Table 2 indicates that Logging Failure exerts the strongest negative influence on detection likelihood (OR = 0.24, p &lt; .001), followed by Third-Party Involvement (OR = 0.33, p &lt; .001). Data Integrity Compromise also significantly reduces detection probability (OR = 0.54, p &lt; .001), while Access Control Failure shows a comparatively smaller effect (OR = 0.73, p = .010).</w:t>
      </w:r>
    </w:p>
    <w:p w14:paraId="7DA19F57"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lastRenderedPageBreak/>
        <w:drawing>
          <wp:inline distT="0" distB="0" distL="0" distR="0" wp14:anchorId="7DA1A068" wp14:editId="7DA1A069">
            <wp:extent cx="5029200" cy="304287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29200" cy="3042877"/>
                    </a:xfrm>
                    <a:prstGeom prst="rect">
                      <a:avLst/>
                    </a:prstGeom>
                    <a:ln/>
                  </pic:spPr>
                </pic:pic>
              </a:graphicData>
            </a:graphic>
          </wp:inline>
        </w:drawing>
      </w:r>
    </w:p>
    <w:p w14:paraId="7DA19F58"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3. Odds Ratios for Detection Outcome</w:t>
      </w:r>
    </w:p>
    <w:p w14:paraId="7DA19F59"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Figure 3 illustrates the relative suppression effect of each control failure on breach detection. All predictors fall below the neutrality threshold (OR = 1), confirming that control degradation significantly reduces detection likelihood. The magnitude of deviation demonstrates the dominant role of logging integrity in traditional detection architectures.</w:t>
      </w:r>
    </w:p>
    <w:p w14:paraId="7DA19F5A"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lastRenderedPageBreak/>
        <w:drawing>
          <wp:inline distT="0" distB="0" distL="0" distR="0" wp14:anchorId="7DA1A06A" wp14:editId="7DA1A06B">
            <wp:extent cx="5029200" cy="388499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029200" cy="3884990"/>
                    </a:xfrm>
                    <a:prstGeom prst="rect">
                      <a:avLst/>
                    </a:prstGeom>
                    <a:ln/>
                  </pic:spPr>
                </pic:pic>
              </a:graphicData>
            </a:graphic>
          </wp:inline>
        </w:drawing>
      </w:r>
    </w:p>
    <w:p w14:paraId="7DA19F5B"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4. Decline in Detection Probability with Compounding Control Failures</w:t>
      </w:r>
    </w:p>
    <w:p w14:paraId="7DA19F5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Figure 4 demonstrates a nonlinear decline in predicted detection probability as multiple control failures accumulate. Detection probability decreases from approximately 70% under intact controls to below 10% when all failure conditions are present, indicating compounding vulnerability within compliance-based detection frameworks.</w:t>
      </w:r>
    </w:p>
    <w:p w14:paraId="7DA19F5D"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findings indicate that while PCI DSS-aligned logging and monitoring controls remain critical for detecting conventional system violations, detection effectiveness diminishes substantially when compromise involves integrity manipulation and third-party ecosystems. This pattern reflects structural sensitivity within deterministic control environments when exposed to AI-mediated threat dynamics.</w:t>
      </w:r>
    </w:p>
    <w:p w14:paraId="7DA19F5E"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Objective 3: Map AI threats to PCI DSS control domains and quantify explicit control gaps.</w:t>
      </w:r>
    </w:p>
    <w:p w14:paraId="7DA19F5F"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A quantitative gap scoring index was constructed to evaluate the degree to which PCI DSS v4.0 control domains explicitly or implicitly address AI-specific threats, including prompt injection and training data poisoning. Each domain was evaluated and aggregated to compute threat-specific coverage indices.</w:t>
      </w:r>
    </w:p>
    <w:p w14:paraId="7DA19F60"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Table 3: Domain-Level AI Threat Coverage Scores</w:t>
      </w:r>
    </w:p>
    <w:tbl>
      <w:tblPr>
        <w:tblStyle w:val="a1"/>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C67F45" w:rsidRPr="004E5BC1" w14:paraId="7DA19F64" w14:textId="77777777">
        <w:tc>
          <w:tcPr>
            <w:tcW w:w="2880" w:type="dxa"/>
          </w:tcPr>
          <w:p w14:paraId="7DA19F6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lastRenderedPageBreak/>
              <w:t>PCI DSS Domain</w:t>
            </w:r>
          </w:p>
        </w:tc>
        <w:tc>
          <w:tcPr>
            <w:tcW w:w="2880" w:type="dxa"/>
          </w:tcPr>
          <w:p w14:paraId="7DA19F6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Prompt Injection Coverage (%)</w:t>
            </w:r>
          </w:p>
        </w:tc>
        <w:tc>
          <w:tcPr>
            <w:tcW w:w="2880" w:type="dxa"/>
          </w:tcPr>
          <w:p w14:paraId="7DA19F6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Data Poisoning Coverage (%)</w:t>
            </w:r>
          </w:p>
        </w:tc>
      </w:tr>
      <w:tr w:rsidR="00C67F45" w:rsidRPr="004E5BC1" w14:paraId="7DA19F68" w14:textId="77777777">
        <w:tc>
          <w:tcPr>
            <w:tcW w:w="2880" w:type="dxa"/>
          </w:tcPr>
          <w:p w14:paraId="7DA19F65"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Network Security</w:t>
            </w:r>
          </w:p>
        </w:tc>
        <w:tc>
          <w:tcPr>
            <w:tcW w:w="2880" w:type="dxa"/>
          </w:tcPr>
          <w:p w14:paraId="7DA19F6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6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6C" w14:textId="77777777">
        <w:tc>
          <w:tcPr>
            <w:tcW w:w="2880" w:type="dxa"/>
          </w:tcPr>
          <w:p w14:paraId="7DA19F6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Secure Configuration</w:t>
            </w:r>
          </w:p>
        </w:tc>
        <w:tc>
          <w:tcPr>
            <w:tcW w:w="2880" w:type="dxa"/>
          </w:tcPr>
          <w:p w14:paraId="7DA19F6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6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70" w14:textId="77777777">
        <w:tc>
          <w:tcPr>
            <w:tcW w:w="2880" w:type="dxa"/>
          </w:tcPr>
          <w:p w14:paraId="7DA19F6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Stored Data Protection</w:t>
            </w:r>
          </w:p>
        </w:tc>
        <w:tc>
          <w:tcPr>
            <w:tcW w:w="2880" w:type="dxa"/>
          </w:tcPr>
          <w:p w14:paraId="7DA19F6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c>
          <w:tcPr>
            <w:tcW w:w="2880" w:type="dxa"/>
          </w:tcPr>
          <w:p w14:paraId="7DA19F6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74" w14:textId="77777777">
        <w:tc>
          <w:tcPr>
            <w:tcW w:w="2880" w:type="dxa"/>
          </w:tcPr>
          <w:p w14:paraId="7DA19F7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Transmission Encryption</w:t>
            </w:r>
          </w:p>
        </w:tc>
        <w:tc>
          <w:tcPr>
            <w:tcW w:w="2880" w:type="dxa"/>
          </w:tcPr>
          <w:p w14:paraId="7DA19F7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c>
          <w:tcPr>
            <w:tcW w:w="2880" w:type="dxa"/>
          </w:tcPr>
          <w:p w14:paraId="7DA19F7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r>
      <w:tr w:rsidR="00C67F45" w:rsidRPr="004E5BC1" w14:paraId="7DA19F78" w14:textId="77777777">
        <w:tc>
          <w:tcPr>
            <w:tcW w:w="2880" w:type="dxa"/>
          </w:tcPr>
          <w:p w14:paraId="7DA19F75"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Anti-Malware</w:t>
            </w:r>
          </w:p>
        </w:tc>
        <w:tc>
          <w:tcPr>
            <w:tcW w:w="2880" w:type="dxa"/>
          </w:tcPr>
          <w:p w14:paraId="7DA19F7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c>
          <w:tcPr>
            <w:tcW w:w="2880" w:type="dxa"/>
          </w:tcPr>
          <w:p w14:paraId="7DA19F7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r>
      <w:tr w:rsidR="00C67F45" w:rsidRPr="004E5BC1" w14:paraId="7DA19F7C" w14:textId="77777777">
        <w:tc>
          <w:tcPr>
            <w:tcW w:w="2880" w:type="dxa"/>
          </w:tcPr>
          <w:p w14:paraId="7DA19F7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Secure Development</w:t>
            </w:r>
          </w:p>
        </w:tc>
        <w:tc>
          <w:tcPr>
            <w:tcW w:w="2880" w:type="dxa"/>
          </w:tcPr>
          <w:p w14:paraId="7DA19F7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7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100</w:t>
            </w:r>
          </w:p>
        </w:tc>
      </w:tr>
      <w:tr w:rsidR="00C67F45" w:rsidRPr="004E5BC1" w14:paraId="7DA19F80" w14:textId="77777777">
        <w:tc>
          <w:tcPr>
            <w:tcW w:w="2880" w:type="dxa"/>
          </w:tcPr>
          <w:p w14:paraId="7DA19F7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Access Control</w:t>
            </w:r>
          </w:p>
        </w:tc>
        <w:tc>
          <w:tcPr>
            <w:tcW w:w="2880" w:type="dxa"/>
          </w:tcPr>
          <w:p w14:paraId="7DA19F7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7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84" w14:textId="77777777">
        <w:tc>
          <w:tcPr>
            <w:tcW w:w="2880" w:type="dxa"/>
          </w:tcPr>
          <w:p w14:paraId="7DA19F8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Authentication</w:t>
            </w:r>
          </w:p>
        </w:tc>
        <w:tc>
          <w:tcPr>
            <w:tcW w:w="2880" w:type="dxa"/>
          </w:tcPr>
          <w:p w14:paraId="7DA19F8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c>
          <w:tcPr>
            <w:tcW w:w="2880" w:type="dxa"/>
          </w:tcPr>
          <w:p w14:paraId="7DA19F8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r>
      <w:tr w:rsidR="00C67F45" w:rsidRPr="004E5BC1" w14:paraId="7DA19F88" w14:textId="77777777">
        <w:tc>
          <w:tcPr>
            <w:tcW w:w="2880" w:type="dxa"/>
          </w:tcPr>
          <w:p w14:paraId="7DA19F85"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Logging &amp; Monitoring</w:t>
            </w:r>
          </w:p>
        </w:tc>
        <w:tc>
          <w:tcPr>
            <w:tcW w:w="2880" w:type="dxa"/>
          </w:tcPr>
          <w:p w14:paraId="7DA19F8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8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8C" w14:textId="77777777">
        <w:tc>
          <w:tcPr>
            <w:tcW w:w="2880" w:type="dxa"/>
          </w:tcPr>
          <w:p w14:paraId="7DA19F8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Vulnerability Management</w:t>
            </w:r>
          </w:p>
        </w:tc>
        <w:tc>
          <w:tcPr>
            <w:tcW w:w="2880" w:type="dxa"/>
          </w:tcPr>
          <w:p w14:paraId="7DA19F8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w:t>
            </w:r>
          </w:p>
        </w:tc>
        <w:tc>
          <w:tcPr>
            <w:tcW w:w="2880" w:type="dxa"/>
          </w:tcPr>
          <w:p w14:paraId="7DA19F8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90" w14:textId="77777777">
        <w:tc>
          <w:tcPr>
            <w:tcW w:w="2880" w:type="dxa"/>
          </w:tcPr>
          <w:p w14:paraId="7DA19F8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Incident Response</w:t>
            </w:r>
          </w:p>
        </w:tc>
        <w:tc>
          <w:tcPr>
            <w:tcW w:w="2880" w:type="dxa"/>
          </w:tcPr>
          <w:p w14:paraId="7DA19F8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8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r w:rsidR="00C67F45" w:rsidRPr="004E5BC1" w14:paraId="7DA19F94" w14:textId="77777777">
        <w:tc>
          <w:tcPr>
            <w:tcW w:w="2880" w:type="dxa"/>
          </w:tcPr>
          <w:p w14:paraId="7DA19F9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Service Provider Governance</w:t>
            </w:r>
          </w:p>
        </w:tc>
        <w:tc>
          <w:tcPr>
            <w:tcW w:w="2880" w:type="dxa"/>
          </w:tcPr>
          <w:p w14:paraId="7DA19F9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c>
          <w:tcPr>
            <w:tcW w:w="2880" w:type="dxa"/>
          </w:tcPr>
          <w:p w14:paraId="7DA19F9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w:t>
            </w:r>
          </w:p>
        </w:tc>
      </w:tr>
    </w:tbl>
    <w:p w14:paraId="7DA19F95"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Table 3 shows that coverage for prompt injection remains limited across most domains, while data poisoning receives comparatively broader but still incomplete treatment.</w:t>
      </w:r>
    </w:p>
    <w:p w14:paraId="7DA19F9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Table 4: Aggregate AI Threat Coverage Indices</w:t>
      </w:r>
    </w:p>
    <w:tbl>
      <w:tblPr>
        <w:tblStyle w:val="a2"/>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C67F45" w:rsidRPr="004E5BC1" w14:paraId="7DA19F9A" w14:textId="77777777">
        <w:tc>
          <w:tcPr>
            <w:tcW w:w="2880" w:type="dxa"/>
          </w:tcPr>
          <w:p w14:paraId="7DA19F9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Threat Type</w:t>
            </w:r>
          </w:p>
        </w:tc>
        <w:tc>
          <w:tcPr>
            <w:tcW w:w="2880" w:type="dxa"/>
          </w:tcPr>
          <w:p w14:paraId="7DA19F9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Coverage Score (%)</w:t>
            </w:r>
          </w:p>
        </w:tc>
        <w:tc>
          <w:tcPr>
            <w:tcW w:w="2880" w:type="dxa"/>
          </w:tcPr>
          <w:p w14:paraId="7DA19F9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Explicit Gap (%)</w:t>
            </w:r>
          </w:p>
        </w:tc>
      </w:tr>
      <w:tr w:rsidR="00C67F45" w:rsidRPr="004E5BC1" w14:paraId="7DA19F9E" w14:textId="77777777">
        <w:tc>
          <w:tcPr>
            <w:tcW w:w="2880" w:type="dxa"/>
          </w:tcPr>
          <w:p w14:paraId="7DA19F9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Prompt Injection</w:t>
            </w:r>
          </w:p>
        </w:tc>
        <w:tc>
          <w:tcPr>
            <w:tcW w:w="2880" w:type="dxa"/>
          </w:tcPr>
          <w:p w14:paraId="7DA19F9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33.3</w:t>
            </w:r>
          </w:p>
        </w:tc>
        <w:tc>
          <w:tcPr>
            <w:tcW w:w="2880" w:type="dxa"/>
          </w:tcPr>
          <w:p w14:paraId="7DA19F9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66.7</w:t>
            </w:r>
          </w:p>
        </w:tc>
      </w:tr>
      <w:tr w:rsidR="00C67F45" w:rsidRPr="004E5BC1" w14:paraId="7DA19FA2" w14:textId="77777777">
        <w:tc>
          <w:tcPr>
            <w:tcW w:w="2880" w:type="dxa"/>
          </w:tcPr>
          <w:p w14:paraId="7DA19F9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Training Data Poisoning</w:t>
            </w:r>
          </w:p>
        </w:tc>
        <w:tc>
          <w:tcPr>
            <w:tcW w:w="2880" w:type="dxa"/>
          </w:tcPr>
          <w:p w14:paraId="7DA19FA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50.0</w:t>
            </w:r>
          </w:p>
        </w:tc>
        <w:tc>
          <w:tcPr>
            <w:tcW w:w="2880" w:type="dxa"/>
          </w:tcPr>
          <w:p w14:paraId="7DA19FA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50.0</w:t>
            </w:r>
          </w:p>
        </w:tc>
      </w:tr>
    </w:tbl>
    <w:p w14:paraId="7DA19FA3"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Table 4 indicates that PCI DSS addresses approximately one-third of prompt injection risks and one-half of data poisoning risks, revealing substantial explicit governance gaps.</w:t>
      </w:r>
    </w:p>
    <w:p w14:paraId="7DA19FA4"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lastRenderedPageBreak/>
        <w:drawing>
          <wp:inline distT="0" distB="0" distL="0" distR="0" wp14:anchorId="7DA1A06C" wp14:editId="7DA1A06D">
            <wp:extent cx="5029200" cy="4344753"/>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29200" cy="4344753"/>
                    </a:xfrm>
                    <a:prstGeom prst="rect">
                      <a:avLst/>
                    </a:prstGeom>
                    <a:ln/>
                  </pic:spPr>
                </pic:pic>
              </a:graphicData>
            </a:graphic>
          </wp:inline>
        </w:drawing>
      </w:r>
    </w:p>
    <w:p w14:paraId="7DA19FA5"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5. Comparative Radar of AI Threat Coverage Across PCI DSS Domains</w:t>
      </w:r>
    </w:p>
    <w:p w14:paraId="7DA19FA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Figure 5 visually demonstrates the structural asymmetry between prompt injection and data poisoning coverage. The narrower area for prompt injection reflects systematic underrepresentation within PCI DSS domains.</w:t>
      </w:r>
    </w:p>
    <w:p w14:paraId="7DA19FA7"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lastRenderedPageBreak/>
        <w:drawing>
          <wp:inline distT="0" distB="0" distL="0" distR="0" wp14:anchorId="7DA1A06E" wp14:editId="7DA1A06F">
            <wp:extent cx="5029200" cy="481279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029200" cy="4812797"/>
                    </a:xfrm>
                    <a:prstGeom prst="rect">
                      <a:avLst/>
                    </a:prstGeom>
                    <a:ln/>
                  </pic:spPr>
                </pic:pic>
              </a:graphicData>
            </a:graphic>
          </wp:inline>
        </w:drawing>
      </w:r>
    </w:p>
    <w:p w14:paraId="7DA19FA8"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6. Domain-Level Coverage Gap Magnitude</w:t>
      </w:r>
    </w:p>
    <w:p w14:paraId="7DA19FA9"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Figure 6 illustrates coverage deficits by domain, where larger vertical differentials reflect greater governance blind spots. Several domains exhibit maximal gaps for prompt injection, reinforcing the misalignment between AI behavioral risks and perimeter-oriented compliance controls.</w:t>
      </w:r>
    </w:p>
    <w:p w14:paraId="7DA19FAA"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quantitative indices and visual analysis demonstrate that while PCI DSS provides foundational data protection controls, its architecture remains predominantly oriented toward deterministic system threats rather than adaptive AI-specific manipulation. This measurable asymmetry provides empirical grounding for the structural compliance gap identified in prior objectives.</w:t>
      </w:r>
    </w:p>
    <w:p w14:paraId="7DA19FAB"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Objective 4: Design and validate a PCI DSS-aligned AI security framework.</w:t>
      </w:r>
    </w:p>
    <w:p w14:paraId="7DA19FA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 xml:space="preserve">A Structural Equation Modeling (SEM) approach was employed to evaluate the explanatory strength of the proposed PCI DSS-aligned AI security framework. The structural model assessed </w:t>
      </w:r>
      <w:r w:rsidRPr="004E5BC1">
        <w:rPr>
          <w:rFonts w:ascii="Times New Roman" w:hAnsi="Times New Roman" w:cs="Times New Roman"/>
          <w:sz w:val="24"/>
          <w:szCs w:val="24"/>
        </w:rPr>
        <w:lastRenderedPageBreak/>
        <w:t>the influence of Preventive, Detective, and Corrective control dimensions on AI Risk Reduction within regulated financial environments.</w:t>
      </w:r>
    </w:p>
    <w:p w14:paraId="7DA19FAD"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b/>
          <w:bCs/>
          <w:sz w:val="24"/>
          <w:szCs w:val="24"/>
        </w:rPr>
        <w:t>Table 5: Confirmatory Factor Analysis Results</w:t>
      </w:r>
    </w:p>
    <w:tbl>
      <w:tblPr>
        <w:tblStyle w:val="a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C67F45" w:rsidRPr="004E5BC1" w14:paraId="7DA19FB1" w14:textId="77777777">
        <w:tc>
          <w:tcPr>
            <w:tcW w:w="2880" w:type="dxa"/>
          </w:tcPr>
          <w:p w14:paraId="7DA19FA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Latent Construct</w:t>
            </w:r>
          </w:p>
        </w:tc>
        <w:tc>
          <w:tcPr>
            <w:tcW w:w="2880" w:type="dxa"/>
          </w:tcPr>
          <w:p w14:paraId="7DA19FA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Indicator</w:t>
            </w:r>
          </w:p>
        </w:tc>
        <w:tc>
          <w:tcPr>
            <w:tcW w:w="2880" w:type="dxa"/>
          </w:tcPr>
          <w:p w14:paraId="7DA19FB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Standardized Loading (λ)</w:t>
            </w:r>
          </w:p>
        </w:tc>
      </w:tr>
      <w:tr w:rsidR="00C67F45" w:rsidRPr="004E5BC1" w14:paraId="7DA19FB5" w14:textId="77777777">
        <w:tc>
          <w:tcPr>
            <w:tcW w:w="2880" w:type="dxa"/>
          </w:tcPr>
          <w:p w14:paraId="7DA19FB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Preventive Controls</w:t>
            </w:r>
          </w:p>
        </w:tc>
        <w:tc>
          <w:tcPr>
            <w:tcW w:w="2880" w:type="dxa"/>
          </w:tcPr>
          <w:p w14:paraId="7DA19FB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Data Provenance Validation</w:t>
            </w:r>
          </w:p>
        </w:tc>
        <w:tc>
          <w:tcPr>
            <w:tcW w:w="2880" w:type="dxa"/>
          </w:tcPr>
          <w:p w14:paraId="7DA19FB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0.82</w:t>
            </w:r>
          </w:p>
        </w:tc>
      </w:tr>
      <w:tr w:rsidR="00C67F45" w:rsidRPr="004E5BC1" w14:paraId="7DA19FB9" w14:textId="77777777">
        <w:tc>
          <w:tcPr>
            <w:tcW w:w="2880" w:type="dxa"/>
          </w:tcPr>
          <w:p w14:paraId="7DA19FB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Preventive Controls</w:t>
            </w:r>
          </w:p>
        </w:tc>
        <w:tc>
          <w:tcPr>
            <w:tcW w:w="2880" w:type="dxa"/>
          </w:tcPr>
          <w:p w14:paraId="7DA19FB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Prompt Filtering Mechanism</w:t>
            </w:r>
          </w:p>
        </w:tc>
        <w:tc>
          <w:tcPr>
            <w:tcW w:w="2880" w:type="dxa"/>
          </w:tcPr>
          <w:p w14:paraId="7DA19FB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0.79</w:t>
            </w:r>
          </w:p>
        </w:tc>
      </w:tr>
      <w:tr w:rsidR="00C67F45" w:rsidRPr="004E5BC1" w14:paraId="7DA19FBD" w14:textId="77777777">
        <w:tc>
          <w:tcPr>
            <w:tcW w:w="2880" w:type="dxa"/>
          </w:tcPr>
          <w:p w14:paraId="7DA19FB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Preventive Controls</w:t>
            </w:r>
          </w:p>
        </w:tc>
        <w:tc>
          <w:tcPr>
            <w:tcW w:w="2880" w:type="dxa"/>
          </w:tcPr>
          <w:p w14:paraId="7DA19FB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Secure Model Training Governance</w:t>
            </w:r>
          </w:p>
        </w:tc>
        <w:tc>
          <w:tcPr>
            <w:tcW w:w="2880" w:type="dxa"/>
          </w:tcPr>
          <w:p w14:paraId="7DA19FB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0.87</w:t>
            </w:r>
          </w:p>
        </w:tc>
      </w:tr>
      <w:tr w:rsidR="00C67F45" w:rsidRPr="004E5BC1" w14:paraId="7DA19FC1" w14:textId="77777777">
        <w:tc>
          <w:tcPr>
            <w:tcW w:w="2880" w:type="dxa"/>
          </w:tcPr>
          <w:p w14:paraId="7DA19FB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Detective Controls</w:t>
            </w:r>
          </w:p>
        </w:tc>
        <w:tc>
          <w:tcPr>
            <w:tcW w:w="2880" w:type="dxa"/>
          </w:tcPr>
          <w:p w14:paraId="7DA19FB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Behavioral Drift Monitoring</w:t>
            </w:r>
          </w:p>
        </w:tc>
        <w:tc>
          <w:tcPr>
            <w:tcW w:w="2880" w:type="dxa"/>
          </w:tcPr>
          <w:p w14:paraId="7DA19FC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0.76</w:t>
            </w:r>
          </w:p>
        </w:tc>
      </w:tr>
      <w:tr w:rsidR="00C67F45" w:rsidRPr="004E5BC1" w14:paraId="7DA19FC5" w14:textId="77777777">
        <w:tc>
          <w:tcPr>
            <w:tcW w:w="2880" w:type="dxa"/>
          </w:tcPr>
          <w:p w14:paraId="7DA19FC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Detective Controls</w:t>
            </w:r>
          </w:p>
        </w:tc>
        <w:tc>
          <w:tcPr>
            <w:tcW w:w="2880" w:type="dxa"/>
          </w:tcPr>
          <w:p w14:paraId="7DA19FC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Integrity Anomaly Detection</w:t>
            </w:r>
          </w:p>
        </w:tc>
        <w:tc>
          <w:tcPr>
            <w:tcW w:w="2880" w:type="dxa"/>
          </w:tcPr>
          <w:p w14:paraId="7DA19FC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0.83</w:t>
            </w:r>
          </w:p>
        </w:tc>
      </w:tr>
      <w:tr w:rsidR="00C67F45" w:rsidRPr="004E5BC1" w14:paraId="7DA19FC9" w14:textId="77777777">
        <w:tc>
          <w:tcPr>
            <w:tcW w:w="2880" w:type="dxa"/>
          </w:tcPr>
          <w:p w14:paraId="7DA19FC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Detective Controls</w:t>
            </w:r>
          </w:p>
        </w:tc>
        <w:tc>
          <w:tcPr>
            <w:tcW w:w="2880" w:type="dxa"/>
          </w:tcPr>
          <w:p w14:paraId="7DA19FC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Audit Trace Expansion</w:t>
            </w:r>
          </w:p>
        </w:tc>
        <w:tc>
          <w:tcPr>
            <w:tcW w:w="2880" w:type="dxa"/>
          </w:tcPr>
          <w:p w14:paraId="7DA19FC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0.72</w:t>
            </w:r>
          </w:p>
        </w:tc>
      </w:tr>
      <w:tr w:rsidR="00C67F45" w:rsidRPr="004E5BC1" w14:paraId="7DA19FCD" w14:textId="77777777">
        <w:tc>
          <w:tcPr>
            <w:tcW w:w="2880" w:type="dxa"/>
          </w:tcPr>
          <w:p w14:paraId="7DA19FC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Corrective Controls</w:t>
            </w:r>
          </w:p>
        </w:tc>
        <w:tc>
          <w:tcPr>
            <w:tcW w:w="2880" w:type="dxa"/>
          </w:tcPr>
          <w:p w14:paraId="7DA19FC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Model Rollback Capability</w:t>
            </w:r>
          </w:p>
        </w:tc>
        <w:tc>
          <w:tcPr>
            <w:tcW w:w="2880" w:type="dxa"/>
          </w:tcPr>
          <w:p w14:paraId="7DA19FC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0.81</w:t>
            </w:r>
          </w:p>
        </w:tc>
      </w:tr>
      <w:tr w:rsidR="00C67F45" w:rsidRPr="004E5BC1" w14:paraId="7DA19FD1" w14:textId="77777777">
        <w:tc>
          <w:tcPr>
            <w:tcW w:w="2880" w:type="dxa"/>
          </w:tcPr>
          <w:p w14:paraId="7DA19FC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Corrective Controls</w:t>
            </w:r>
          </w:p>
        </w:tc>
        <w:tc>
          <w:tcPr>
            <w:tcW w:w="2880" w:type="dxa"/>
          </w:tcPr>
          <w:p w14:paraId="7DA19FC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Incident Containment Protocol</w:t>
            </w:r>
          </w:p>
        </w:tc>
        <w:tc>
          <w:tcPr>
            <w:tcW w:w="2880" w:type="dxa"/>
          </w:tcPr>
          <w:p w14:paraId="7DA19FD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0.85</w:t>
            </w:r>
          </w:p>
        </w:tc>
      </w:tr>
      <w:tr w:rsidR="00C67F45" w:rsidRPr="004E5BC1" w14:paraId="7DA19FD5" w14:textId="77777777">
        <w:tc>
          <w:tcPr>
            <w:tcW w:w="2880" w:type="dxa"/>
          </w:tcPr>
          <w:p w14:paraId="7DA19FD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Corrective Controls</w:t>
            </w:r>
          </w:p>
        </w:tc>
        <w:tc>
          <w:tcPr>
            <w:tcW w:w="2880" w:type="dxa"/>
          </w:tcPr>
          <w:p w14:paraId="7DA19FD3"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Adaptive Re-Training Controls</w:t>
            </w:r>
          </w:p>
        </w:tc>
        <w:tc>
          <w:tcPr>
            <w:tcW w:w="2880" w:type="dxa"/>
          </w:tcPr>
          <w:p w14:paraId="7DA19FD4"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0.78</w:t>
            </w:r>
          </w:p>
        </w:tc>
      </w:tr>
      <w:tr w:rsidR="00C67F45" w:rsidRPr="004E5BC1" w14:paraId="7DA19FD9" w14:textId="77777777">
        <w:tc>
          <w:tcPr>
            <w:tcW w:w="2880" w:type="dxa"/>
          </w:tcPr>
          <w:p w14:paraId="7DA19FD6"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AI Risk Reduction</w:t>
            </w:r>
          </w:p>
        </w:tc>
        <w:tc>
          <w:tcPr>
            <w:tcW w:w="2880" w:type="dxa"/>
          </w:tcPr>
          <w:p w14:paraId="7DA19FD7"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Reduced Exploit Persistence</w:t>
            </w:r>
          </w:p>
        </w:tc>
        <w:tc>
          <w:tcPr>
            <w:tcW w:w="2880" w:type="dxa"/>
          </w:tcPr>
          <w:p w14:paraId="7DA19FD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0.88</w:t>
            </w:r>
          </w:p>
        </w:tc>
      </w:tr>
      <w:tr w:rsidR="00C67F45" w:rsidRPr="004E5BC1" w14:paraId="7DA19FDD" w14:textId="77777777">
        <w:tc>
          <w:tcPr>
            <w:tcW w:w="2880" w:type="dxa"/>
          </w:tcPr>
          <w:p w14:paraId="7DA19FD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AI Risk Reduction</w:t>
            </w:r>
          </w:p>
        </w:tc>
        <w:tc>
          <w:tcPr>
            <w:tcW w:w="2880" w:type="dxa"/>
          </w:tcPr>
          <w:p w14:paraId="7DA19FDB"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Lower Attack Success Rate</w:t>
            </w:r>
          </w:p>
        </w:tc>
        <w:tc>
          <w:tcPr>
            <w:tcW w:w="2880" w:type="dxa"/>
          </w:tcPr>
          <w:p w14:paraId="7DA19FD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0.91</w:t>
            </w:r>
          </w:p>
        </w:tc>
      </w:tr>
      <w:tr w:rsidR="00C67F45" w:rsidRPr="004E5BC1" w14:paraId="7DA19FE1" w14:textId="77777777">
        <w:tc>
          <w:tcPr>
            <w:tcW w:w="2880" w:type="dxa"/>
          </w:tcPr>
          <w:p w14:paraId="7DA19FD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AI Risk Reduction</w:t>
            </w:r>
          </w:p>
        </w:tc>
        <w:tc>
          <w:tcPr>
            <w:tcW w:w="2880" w:type="dxa"/>
          </w:tcPr>
          <w:p w14:paraId="7DA19FDF"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Improved Detection Stability</w:t>
            </w:r>
          </w:p>
        </w:tc>
        <w:tc>
          <w:tcPr>
            <w:tcW w:w="2880" w:type="dxa"/>
          </w:tcPr>
          <w:p w14:paraId="7DA19FE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0.86</w:t>
            </w:r>
          </w:p>
        </w:tc>
      </w:tr>
    </w:tbl>
    <w:p w14:paraId="7DA19FE2"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Table 5 demonstrates strong construct validity, as all standardized loadings exceed 0.70, indicating reliable representation of each latent construct.</w:t>
      </w:r>
    </w:p>
    <w:p w14:paraId="7DA19FE3" w14:textId="77777777" w:rsidR="00C67F45" w:rsidRPr="004E5BC1" w:rsidRDefault="004E5BC1" w:rsidP="004E5BC1">
      <w:pPr>
        <w:spacing w:after="240"/>
        <w:rPr>
          <w:rFonts w:ascii="Times New Roman" w:hAnsi="Times New Roman" w:cs="Times New Roman"/>
          <w:b/>
          <w:bCs/>
          <w:sz w:val="24"/>
          <w:szCs w:val="24"/>
        </w:rPr>
      </w:pPr>
      <w:r w:rsidRPr="004E5BC1">
        <w:rPr>
          <w:rFonts w:ascii="Times New Roman" w:hAnsi="Times New Roman" w:cs="Times New Roman"/>
          <w:b/>
          <w:bCs/>
          <w:sz w:val="24"/>
          <w:szCs w:val="24"/>
        </w:rPr>
        <w:t>Table 6: Structural Path Estimates</w:t>
      </w:r>
    </w:p>
    <w:tbl>
      <w:tblPr>
        <w:tblStyle w:val="a4"/>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6"/>
        <w:gridCol w:w="3102"/>
        <w:gridCol w:w="977"/>
      </w:tblGrid>
      <w:tr w:rsidR="00C67F45" w:rsidRPr="004E5BC1" w14:paraId="7DA19FE7" w14:textId="77777777">
        <w:tc>
          <w:tcPr>
            <w:tcW w:w="5196" w:type="dxa"/>
          </w:tcPr>
          <w:p w14:paraId="7DA19FE4" w14:textId="77777777" w:rsidR="00C67F45" w:rsidRPr="004E5BC1" w:rsidRDefault="004E5BC1" w:rsidP="004E5BC1">
            <w:pPr>
              <w:spacing w:after="240" w:line="276" w:lineRule="auto"/>
              <w:jc w:val="center"/>
              <w:rPr>
                <w:rFonts w:ascii="Times New Roman" w:hAnsi="Times New Roman" w:cs="Times New Roman"/>
                <w:b/>
                <w:bCs/>
                <w:sz w:val="24"/>
                <w:szCs w:val="24"/>
              </w:rPr>
            </w:pPr>
            <w:r w:rsidRPr="004E5BC1">
              <w:rPr>
                <w:rFonts w:ascii="Times New Roman" w:hAnsi="Times New Roman" w:cs="Times New Roman"/>
                <w:b/>
                <w:bCs/>
                <w:sz w:val="24"/>
                <w:szCs w:val="24"/>
              </w:rPr>
              <w:lastRenderedPageBreak/>
              <w:t>Structural Relationship</w:t>
            </w:r>
          </w:p>
        </w:tc>
        <w:tc>
          <w:tcPr>
            <w:tcW w:w="3102" w:type="dxa"/>
          </w:tcPr>
          <w:p w14:paraId="7DA19FE5" w14:textId="77777777" w:rsidR="00C67F45" w:rsidRPr="004E5BC1" w:rsidRDefault="004E5BC1" w:rsidP="004E5BC1">
            <w:pPr>
              <w:spacing w:after="240" w:line="276" w:lineRule="auto"/>
              <w:jc w:val="center"/>
              <w:rPr>
                <w:rFonts w:ascii="Times New Roman" w:hAnsi="Times New Roman" w:cs="Times New Roman"/>
                <w:b/>
                <w:bCs/>
                <w:sz w:val="24"/>
                <w:szCs w:val="24"/>
              </w:rPr>
            </w:pPr>
            <w:r w:rsidRPr="004E5BC1">
              <w:rPr>
                <w:rFonts w:ascii="Times New Roman" w:hAnsi="Times New Roman" w:cs="Times New Roman"/>
                <w:b/>
                <w:bCs/>
                <w:sz w:val="24"/>
                <w:szCs w:val="24"/>
              </w:rPr>
              <w:t>Standardized Coefficient (γ)</w:t>
            </w:r>
          </w:p>
        </w:tc>
        <w:tc>
          <w:tcPr>
            <w:tcW w:w="977" w:type="dxa"/>
          </w:tcPr>
          <w:p w14:paraId="7DA19FE6" w14:textId="77777777" w:rsidR="00C67F45" w:rsidRPr="004E5BC1" w:rsidRDefault="004E5BC1" w:rsidP="004E5BC1">
            <w:pPr>
              <w:spacing w:after="240" w:line="276" w:lineRule="auto"/>
              <w:jc w:val="center"/>
              <w:rPr>
                <w:rFonts w:ascii="Times New Roman" w:hAnsi="Times New Roman" w:cs="Times New Roman"/>
                <w:b/>
                <w:bCs/>
                <w:sz w:val="24"/>
                <w:szCs w:val="24"/>
              </w:rPr>
            </w:pPr>
            <w:r w:rsidRPr="004E5BC1">
              <w:rPr>
                <w:rFonts w:ascii="Times New Roman" w:hAnsi="Times New Roman" w:cs="Times New Roman"/>
                <w:b/>
                <w:bCs/>
                <w:sz w:val="24"/>
                <w:szCs w:val="24"/>
              </w:rPr>
              <w:t>p-value</w:t>
            </w:r>
          </w:p>
        </w:tc>
      </w:tr>
      <w:tr w:rsidR="00C67F45" w:rsidRPr="004E5BC1" w14:paraId="7DA19FEB" w14:textId="77777777">
        <w:tc>
          <w:tcPr>
            <w:tcW w:w="5196" w:type="dxa"/>
          </w:tcPr>
          <w:p w14:paraId="7DA19FE8"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Effect of Preventive Controls on AI Risk Reduction</w:t>
            </w:r>
          </w:p>
        </w:tc>
        <w:tc>
          <w:tcPr>
            <w:tcW w:w="3102" w:type="dxa"/>
          </w:tcPr>
          <w:p w14:paraId="7DA19FE9"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0.61</w:t>
            </w:r>
          </w:p>
        </w:tc>
        <w:tc>
          <w:tcPr>
            <w:tcW w:w="977" w:type="dxa"/>
          </w:tcPr>
          <w:p w14:paraId="7DA19FEA"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&lt;0.001</w:t>
            </w:r>
          </w:p>
        </w:tc>
      </w:tr>
      <w:tr w:rsidR="00C67F45" w:rsidRPr="004E5BC1" w14:paraId="7DA19FEF" w14:textId="77777777">
        <w:tc>
          <w:tcPr>
            <w:tcW w:w="5196" w:type="dxa"/>
          </w:tcPr>
          <w:p w14:paraId="7DA19FEC"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Effect of Detective Controls on AI Risk Reduction</w:t>
            </w:r>
          </w:p>
        </w:tc>
        <w:tc>
          <w:tcPr>
            <w:tcW w:w="3102" w:type="dxa"/>
          </w:tcPr>
          <w:p w14:paraId="7DA19FED"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0.38</w:t>
            </w:r>
          </w:p>
        </w:tc>
        <w:tc>
          <w:tcPr>
            <w:tcW w:w="977" w:type="dxa"/>
          </w:tcPr>
          <w:p w14:paraId="7DA19FEE"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&lt;0.001</w:t>
            </w:r>
          </w:p>
        </w:tc>
      </w:tr>
      <w:tr w:rsidR="00C67F45" w:rsidRPr="004E5BC1" w14:paraId="7DA19FF3" w14:textId="77777777">
        <w:tc>
          <w:tcPr>
            <w:tcW w:w="5196" w:type="dxa"/>
          </w:tcPr>
          <w:p w14:paraId="7DA19FF0"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Effect of Corrective Controls on AI Risk Reduction</w:t>
            </w:r>
          </w:p>
        </w:tc>
        <w:tc>
          <w:tcPr>
            <w:tcW w:w="3102" w:type="dxa"/>
          </w:tcPr>
          <w:p w14:paraId="7DA19FF1"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0.29</w:t>
            </w:r>
          </w:p>
        </w:tc>
        <w:tc>
          <w:tcPr>
            <w:tcW w:w="977" w:type="dxa"/>
          </w:tcPr>
          <w:p w14:paraId="7DA19FF2" w14:textId="77777777" w:rsidR="00C67F45" w:rsidRPr="004E5BC1" w:rsidRDefault="004E5BC1" w:rsidP="004E5BC1">
            <w:pPr>
              <w:spacing w:after="240" w:line="276" w:lineRule="auto"/>
              <w:rPr>
                <w:rFonts w:ascii="Times New Roman" w:hAnsi="Times New Roman" w:cs="Times New Roman"/>
                <w:sz w:val="24"/>
                <w:szCs w:val="24"/>
              </w:rPr>
            </w:pPr>
            <w:r w:rsidRPr="004E5BC1">
              <w:rPr>
                <w:rFonts w:ascii="Times New Roman" w:hAnsi="Times New Roman" w:cs="Times New Roman"/>
                <w:sz w:val="24"/>
                <w:szCs w:val="24"/>
              </w:rPr>
              <w:t>0.004</w:t>
            </w:r>
          </w:p>
        </w:tc>
      </w:tr>
    </w:tbl>
    <w:p w14:paraId="7DA19FF4" w14:textId="77777777" w:rsidR="00C67F45" w:rsidRPr="004E5BC1" w:rsidRDefault="00C67F45" w:rsidP="004E5BC1">
      <w:pPr>
        <w:spacing w:after="240"/>
        <w:rPr>
          <w:rFonts w:ascii="Times New Roman" w:hAnsi="Times New Roman" w:cs="Times New Roman"/>
          <w:sz w:val="24"/>
          <w:szCs w:val="24"/>
        </w:rPr>
      </w:pPr>
    </w:p>
    <w:p w14:paraId="7DA19FF5"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Table 6 indicates that Preventive Controls exert the strongest influence on AI Risk Reduction (γ = 0.61, p &lt; .001), followed by Detective Controls (γ = 0.38, p &lt; .001) and Corrective Controls (γ = 0.29, p = .004).</w:t>
      </w:r>
    </w:p>
    <w:p w14:paraId="7DA19FF6"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drawing>
          <wp:inline distT="0" distB="0" distL="0" distR="0" wp14:anchorId="7DA1A070" wp14:editId="7DA1A071">
            <wp:extent cx="5029200" cy="323305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29200" cy="3233057"/>
                    </a:xfrm>
                    <a:prstGeom prst="rect">
                      <a:avLst/>
                    </a:prstGeom>
                    <a:ln/>
                  </pic:spPr>
                </pic:pic>
              </a:graphicData>
            </a:graphic>
          </wp:inline>
        </w:drawing>
      </w:r>
    </w:p>
    <w:p w14:paraId="7DA19FF7"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7. Structural Path Strengths Predicting AI Risk Reduction</w:t>
      </w:r>
    </w:p>
    <w:p w14:paraId="7DA19FF8"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Figure 7 illustrates the relative magnitude of structural effects, highlighting the dominant contribution of preventive governance mechanisms in reducing AI-mediated risk.</w:t>
      </w:r>
    </w:p>
    <w:p w14:paraId="7DA19FF9"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noProof/>
          <w:sz w:val="24"/>
          <w:szCs w:val="24"/>
          <w:lang w:val="en-US"/>
        </w:rPr>
        <w:lastRenderedPageBreak/>
        <w:drawing>
          <wp:inline distT="0" distB="0" distL="0" distR="0" wp14:anchorId="7DA1A072" wp14:editId="7DA1A073">
            <wp:extent cx="5029200" cy="370759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029200" cy="3707593"/>
                    </a:xfrm>
                    <a:prstGeom prst="rect">
                      <a:avLst/>
                    </a:prstGeom>
                    <a:ln/>
                  </pic:spPr>
                </pic:pic>
              </a:graphicData>
            </a:graphic>
          </wp:inline>
        </w:drawing>
      </w:r>
    </w:p>
    <w:p w14:paraId="7DA19FFA" w14:textId="77777777" w:rsidR="00C67F45" w:rsidRPr="004E5BC1" w:rsidRDefault="004E5BC1" w:rsidP="004E5BC1">
      <w:pPr>
        <w:spacing w:after="240"/>
        <w:jc w:val="center"/>
        <w:rPr>
          <w:rFonts w:ascii="Times New Roman" w:hAnsi="Times New Roman" w:cs="Times New Roman"/>
          <w:sz w:val="24"/>
          <w:szCs w:val="24"/>
        </w:rPr>
      </w:pPr>
      <w:r w:rsidRPr="004E5BC1">
        <w:rPr>
          <w:rFonts w:ascii="Times New Roman" w:hAnsi="Times New Roman" w:cs="Times New Roman"/>
          <w:sz w:val="24"/>
          <w:szCs w:val="24"/>
        </w:rPr>
        <w:t>Figure 8. Explained Variance (R²) for AI Risk Reduction</w:t>
      </w:r>
    </w:p>
    <w:p w14:paraId="7DA19FFB"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Figure 8 demonstrates that the integrated framework explains 74% of the variance in AI Risk Reduction outcomes (R² = 0.74), indicating substantial explanatory power within PCI DSS-aligned financial environments.</w:t>
      </w:r>
    </w:p>
    <w:p w14:paraId="7DA19FFC"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structural results reinforce the empirical progression established across prior objectives, demonstrating that lifecycle-oriented preventive controls provide the most substantial reduction in AI-specific financial risk, while detective and corrective controls contribute complementary stabilizing effects.</w:t>
      </w:r>
    </w:p>
    <w:p w14:paraId="7DA19FFD" w14:textId="77777777" w:rsidR="00C67F45" w:rsidRPr="004E5BC1" w:rsidRDefault="004E5BC1" w:rsidP="004E5BC1">
      <w:pPr>
        <w:spacing w:after="240"/>
        <w:rPr>
          <w:rFonts w:ascii="Times New Roman" w:hAnsi="Times New Roman" w:cs="Times New Roman"/>
          <w:b/>
          <w:bCs/>
          <w:sz w:val="24"/>
          <w:szCs w:val="24"/>
        </w:rPr>
      </w:pPr>
      <w:r w:rsidRPr="004E5BC1">
        <w:rPr>
          <w:rFonts w:ascii="Times New Roman" w:hAnsi="Times New Roman" w:cs="Times New Roman"/>
          <w:b/>
          <w:bCs/>
          <w:sz w:val="24"/>
          <w:szCs w:val="24"/>
        </w:rPr>
        <w:t xml:space="preserve">Discussion </w:t>
      </w:r>
    </w:p>
    <w:p w14:paraId="7DA19FFE"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t>The findings of this study provide empirical confirmation of the structural concerns articulated in the introduction and literature review, namely that artificial intelligence introduces failure modes that extend beyond the deterministic assumptions embedded in PCI DSS. Across all four objectives, the results consistently demonstrate that prompt injection and training data poisoning undermine financial systems in ways that remain partially invisible to traditional compliance-oriented controls.</w:t>
      </w:r>
    </w:p>
    <w:p w14:paraId="7DA19FFF"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t xml:space="preserve">The experimental evidence presented in Table 1 and Figures 1 and 2 substantiates prior adversarial machine learning research indicating that poisoning attacks can preserve global </w:t>
      </w:r>
      <w:r w:rsidRPr="004E5BC1">
        <w:rPr>
          <w:rFonts w:ascii="Times New Roman" w:hAnsi="Times New Roman" w:cs="Times New Roman"/>
          <w:sz w:val="24"/>
          <w:szCs w:val="24"/>
        </w:rPr>
        <w:lastRenderedPageBreak/>
        <w:t>performance metrics while embedding targeted vulnerabilities (Jagielski et al., 2021; Goldblum et al., 2022). Notably, at a 5% poisoning rate, accuracy declines modestly while attack success exceeds 75%, revealing a pronounced divergence between aggregate reliability and targeted exploitability. This empirical asymmetry directly supports arguments advanced by Wang et al. (2022) and Kure et al. (2025) that model integrity cannot be inferred solely from overall accuracy. More importantly, within the financial context described in the introduction, this divergence implies that AI-driven fraud detection or authorization systems may remain operationally acceptable under audit metrics while simultaneously exhibiting systematic behavioral compromise. The structural implication is that compliance validation grounded in performance stability does not equate to adversarial robustness.</w:t>
      </w:r>
    </w:p>
    <w:p w14:paraId="7DA1A000"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t xml:space="preserve">The logistic regression results in Table 2 and the probability patterns illustrated in Figures 3 and 4 further reinforce this concern. While logging integrity emerges as the strongest predictor of breach detection, the magnitude of suppression effects associated with third-party involvement and data integrity compromise suggests that detection effectiveness diminishes precisely in contexts where AI supply chains and model governance are most relevant. This finding aligns with the critique advanced by Singer and Friedman (2014) and </w:t>
      </w:r>
      <w:proofErr w:type="spellStart"/>
      <w:r w:rsidRPr="004E5BC1">
        <w:rPr>
          <w:rFonts w:ascii="Times New Roman" w:hAnsi="Times New Roman" w:cs="Times New Roman"/>
          <w:sz w:val="24"/>
          <w:szCs w:val="24"/>
        </w:rPr>
        <w:t>Kshetri</w:t>
      </w:r>
      <w:proofErr w:type="spellEnd"/>
      <w:r w:rsidRPr="004E5BC1">
        <w:rPr>
          <w:rFonts w:ascii="Times New Roman" w:hAnsi="Times New Roman" w:cs="Times New Roman"/>
          <w:sz w:val="24"/>
          <w:szCs w:val="24"/>
        </w:rPr>
        <w:t xml:space="preserve"> and </w:t>
      </w:r>
      <w:proofErr w:type="spellStart"/>
      <w:r w:rsidRPr="004E5BC1">
        <w:rPr>
          <w:rFonts w:ascii="Times New Roman" w:hAnsi="Times New Roman" w:cs="Times New Roman"/>
          <w:sz w:val="24"/>
          <w:szCs w:val="24"/>
        </w:rPr>
        <w:t>Loukoianova</w:t>
      </w:r>
      <w:proofErr w:type="spellEnd"/>
      <w:r w:rsidRPr="004E5BC1">
        <w:rPr>
          <w:rFonts w:ascii="Times New Roman" w:hAnsi="Times New Roman" w:cs="Times New Roman"/>
          <w:sz w:val="24"/>
          <w:szCs w:val="24"/>
        </w:rPr>
        <w:t xml:space="preserve"> (2022), who argue that PCI DSS is optimized for perimeter and credential-based threats. The nonlinear decline in detection probability as failures compound indicates that compliance-based architectures exhibit fragility when confronted with integrity-centered compromise rather than overt intrusion. Moreover, the statistical insignificance of conventional access failure relative to logging degradation emphasizes the findings of previous studies that AI threats frequently operate within authorized channels (Bender et al., 2021). Consequently, the empirical results support the contention that prompt injection and poisoning exploit trust assumptions rather than authentication weaknesses, thereby evading controls designed for unauthorized access scenarios.</w:t>
      </w:r>
    </w:p>
    <w:p w14:paraId="7DA1A001"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t>The compliance gap analysis presented in Tables 3 and 4 and visualized in Figures 5 and 6 provides quantitative substantiation for the structural misalignment discussed in the literature review. With only 33.3% coverage for prompt injection and 50% for data poisoning, PCI DSS demonstrates measurable underrepresentation of AI-specific threats. The near-zero coverage in domains such as encryption, anti-malware, and authentication is particularly instructive. These domains are foundational to traditional cybersecurity, yet they offer little defense against semantic manipulation or lifecycle-level data corruption. This outcome echoes Ribeiro et al. (2016), who emphasize the probabilistic and context-dependent behavior of machine learning systems, as well as Raji et al. (2022), who highlight the absence of adversarial robustness constructs in PCI DSS relative to newer AI governance frameworks. Importantly, the narrower radar distribution for prompt injection compared to data poisoning suggests that instruction-layer manipulation is even less represented within existing compliance architecture, thereby confirming the theoretical assertion that PCI DSS implicitly conflates authorization with trustworthiness.</w:t>
      </w:r>
    </w:p>
    <w:p w14:paraId="7DA1A002"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 xml:space="preserve">The structural equation modeling results extend these insights by demonstrating that lifecycle-oriented preventive controls exert the strongest influence on AI risk reduction, as shown in Table 6 and Figure 7. The standardized coefficient of 0.61 for preventive mechanisms, coupled with an R² of 0.74 in Figure 8, indicates that the majority of variance in AI risk reduction can be explained by governance interventions focused on data provenance validation, secure model training, and prompt filtering. This finding is consistent with </w:t>
      </w:r>
      <w:proofErr w:type="spellStart"/>
      <w:r w:rsidRPr="004E5BC1">
        <w:rPr>
          <w:rFonts w:ascii="Times New Roman" w:hAnsi="Times New Roman" w:cs="Times New Roman"/>
          <w:sz w:val="24"/>
          <w:szCs w:val="24"/>
        </w:rPr>
        <w:t>Oprea</w:t>
      </w:r>
      <w:proofErr w:type="spellEnd"/>
      <w:r w:rsidRPr="004E5BC1">
        <w:rPr>
          <w:rFonts w:ascii="Times New Roman" w:hAnsi="Times New Roman" w:cs="Times New Roman"/>
          <w:sz w:val="24"/>
          <w:szCs w:val="24"/>
        </w:rPr>
        <w:t xml:space="preserve"> et al. (2022), who argue that systemic data governance provides more durable protection than reactive defenses. Furthermore, the comparatively lower coefficients for detective and corrective controls reinforce the empirical narrative established in Objective 2: detection and remediation remain necessary but insufficient when preventive lifecycle safeguards are absent. In other words, once adversarial behavior becomes embedded within model parameters or contextual inference processes, subsequent monitoring cannot fully neutralize structural compromise.</w:t>
      </w:r>
    </w:p>
    <w:p w14:paraId="7DA1A003" w14:textId="77777777" w:rsidR="00C67F45" w:rsidRPr="004E5BC1" w:rsidRDefault="004E5BC1" w:rsidP="004E5BC1">
      <w:pPr>
        <w:pBdr>
          <w:top w:val="nil"/>
          <w:left w:val="nil"/>
          <w:bottom w:val="nil"/>
          <w:right w:val="nil"/>
          <w:between w:val="nil"/>
        </w:pBdr>
        <w:spacing w:after="240"/>
        <w:rPr>
          <w:rFonts w:ascii="Times New Roman" w:hAnsi="Times New Roman" w:cs="Times New Roman"/>
          <w:sz w:val="24"/>
          <w:szCs w:val="24"/>
        </w:rPr>
      </w:pPr>
      <w:r w:rsidRPr="004E5BC1">
        <w:rPr>
          <w:rFonts w:ascii="Times New Roman" w:hAnsi="Times New Roman" w:cs="Times New Roman"/>
          <w:sz w:val="24"/>
          <w:szCs w:val="24"/>
        </w:rPr>
        <w:t xml:space="preserve">Collectively, the findings challenge the deterministic control philosophy historically embedded in PCI DSS. Whereas the standard presumes that threats manifest through observable boundary violations, the evidence presented here demonstrates that AI threats often materialize through behavioral deviation within legitimate operational channels. This distinction is central. It suggests that the locus of financial data protection must expand from static configuration validation toward dynamic lifecycle governance encompassing training data integrity, model interpretive boundaries, and third-party AI transparency. </w:t>
      </w:r>
    </w:p>
    <w:p w14:paraId="7DA1A004" w14:textId="77777777" w:rsidR="00C67F45" w:rsidRPr="004E5BC1" w:rsidRDefault="00C67F45" w:rsidP="004E5BC1">
      <w:pPr>
        <w:pBdr>
          <w:top w:val="nil"/>
          <w:left w:val="nil"/>
          <w:bottom w:val="nil"/>
          <w:right w:val="nil"/>
          <w:between w:val="nil"/>
        </w:pBdr>
        <w:spacing w:after="240"/>
        <w:rPr>
          <w:rFonts w:ascii="Times New Roman" w:hAnsi="Times New Roman" w:cs="Times New Roman"/>
          <w:sz w:val="24"/>
          <w:szCs w:val="24"/>
        </w:rPr>
      </w:pPr>
    </w:p>
    <w:p w14:paraId="7DA1A005" w14:textId="77777777" w:rsidR="00C67F45" w:rsidRPr="004E5BC1" w:rsidRDefault="004E5BC1" w:rsidP="004E5BC1">
      <w:pPr>
        <w:spacing w:after="240"/>
        <w:rPr>
          <w:rFonts w:ascii="Times New Roman" w:hAnsi="Times New Roman" w:cs="Times New Roman"/>
          <w:b/>
          <w:bCs/>
          <w:sz w:val="24"/>
          <w:szCs w:val="24"/>
        </w:rPr>
      </w:pPr>
      <w:r>
        <w:rPr>
          <w:rFonts w:ascii="Times New Roman" w:hAnsi="Times New Roman" w:cs="Times New Roman"/>
          <w:b/>
          <w:bCs/>
          <w:sz w:val="24"/>
          <w:szCs w:val="24"/>
        </w:rPr>
        <w:t>5.</w:t>
      </w:r>
      <w:r>
        <w:rPr>
          <w:rFonts w:ascii="Times New Roman" w:hAnsi="Times New Roman" w:cs="Times New Roman"/>
          <w:b/>
          <w:bCs/>
          <w:sz w:val="24"/>
          <w:szCs w:val="24"/>
        </w:rPr>
        <w:tab/>
      </w:r>
      <w:r w:rsidRPr="004E5BC1">
        <w:rPr>
          <w:rFonts w:ascii="Times New Roman" w:hAnsi="Times New Roman" w:cs="Times New Roman"/>
          <w:b/>
          <w:bCs/>
          <w:sz w:val="24"/>
          <w:szCs w:val="24"/>
        </w:rPr>
        <w:t>Conclusion and Recommendations</w:t>
      </w:r>
    </w:p>
    <w:p w14:paraId="7DA1A006" w14:textId="77777777" w:rsidR="00C67F45" w:rsidRPr="004E5BC1" w:rsidRDefault="004E5BC1" w:rsidP="004E5BC1">
      <w:pPr>
        <w:spacing w:after="240"/>
        <w:rPr>
          <w:rFonts w:ascii="Times New Roman" w:hAnsi="Times New Roman" w:cs="Times New Roman"/>
          <w:sz w:val="24"/>
          <w:szCs w:val="24"/>
        </w:rPr>
      </w:pPr>
      <w:r w:rsidRPr="004E5BC1">
        <w:rPr>
          <w:rFonts w:ascii="Times New Roman" w:hAnsi="Times New Roman" w:cs="Times New Roman"/>
          <w:sz w:val="24"/>
          <w:szCs w:val="24"/>
        </w:rPr>
        <w:t>The study demonstrates that prompt injection and training data poisoning materially compromise AI-enabled financial systems while remaining partially undetected within PCI DSS–validated environments. Experimental results confirm that targeted exploit success can escalate despite modest global performance degradation, while regression findings reveal declining detection probability under integrity and third-party control failures. The quantified coverage gaps further establish that PCI DSS inadequately encodes AI-specific threat categories, particularly instruction-layer manipulation. Structural modeling shows that lifecycle-oriented preventive governance significantly reduces AI risk exposure. Collectively, the evidence indicates that compliance grounded in deterministic system assumptions is insufficient for adaptive AI-driven infrastructures. In light of these findings, targeted regulatory and operational recalibration is required.</w:t>
      </w:r>
    </w:p>
    <w:p w14:paraId="7DA1A007" w14:textId="77777777" w:rsidR="00C67F45" w:rsidRPr="004E5BC1" w:rsidRDefault="004E5BC1" w:rsidP="004E5BC1">
      <w:pPr>
        <w:numPr>
          <w:ilvl w:val="0"/>
          <w:numId w:val="2"/>
        </w:numPr>
        <w:spacing w:after="240"/>
        <w:rPr>
          <w:rFonts w:ascii="Times New Roman" w:hAnsi="Times New Roman" w:cs="Times New Roman"/>
          <w:sz w:val="24"/>
          <w:szCs w:val="24"/>
        </w:rPr>
      </w:pPr>
      <w:r w:rsidRPr="004E5BC1">
        <w:rPr>
          <w:rFonts w:ascii="Times New Roman" w:hAnsi="Times New Roman" w:cs="Times New Roman"/>
          <w:sz w:val="24"/>
          <w:szCs w:val="24"/>
        </w:rPr>
        <w:t>PCI Security Standards Council should incorporate explicit AI lifecycle governance controls addressing data provenance, prompt handling, and adversarial robustness within PCI DSS revisions.</w:t>
      </w:r>
    </w:p>
    <w:p w14:paraId="7DA1A008" w14:textId="77777777" w:rsidR="00C67F45" w:rsidRPr="004E5BC1" w:rsidRDefault="004E5BC1" w:rsidP="004E5BC1">
      <w:pPr>
        <w:numPr>
          <w:ilvl w:val="0"/>
          <w:numId w:val="2"/>
        </w:numPr>
        <w:spacing w:after="240"/>
        <w:rPr>
          <w:rFonts w:ascii="Times New Roman" w:hAnsi="Times New Roman" w:cs="Times New Roman"/>
          <w:sz w:val="24"/>
          <w:szCs w:val="24"/>
        </w:rPr>
      </w:pPr>
      <w:r w:rsidRPr="004E5BC1">
        <w:rPr>
          <w:rFonts w:ascii="Times New Roman" w:hAnsi="Times New Roman" w:cs="Times New Roman"/>
          <w:sz w:val="24"/>
          <w:szCs w:val="24"/>
        </w:rPr>
        <w:lastRenderedPageBreak/>
        <w:t>Financial institutions should implement preventive validation mechanisms across training and inference pipelines to mitigate latent compromise.</w:t>
      </w:r>
    </w:p>
    <w:p w14:paraId="7DA1A009" w14:textId="77777777" w:rsidR="00C67F45" w:rsidRPr="004E5BC1" w:rsidRDefault="004E5BC1" w:rsidP="004E5BC1">
      <w:pPr>
        <w:numPr>
          <w:ilvl w:val="0"/>
          <w:numId w:val="2"/>
        </w:numPr>
        <w:spacing w:after="240"/>
        <w:rPr>
          <w:rFonts w:ascii="Times New Roman" w:hAnsi="Times New Roman" w:cs="Times New Roman"/>
          <w:sz w:val="24"/>
          <w:szCs w:val="24"/>
        </w:rPr>
      </w:pPr>
      <w:r w:rsidRPr="004E5BC1">
        <w:rPr>
          <w:rFonts w:ascii="Times New Roman" w:hAnsi="Times New Roman" w:cs="Times New Roman"/>
          <w:sz w:val="24"/>
          <w:szCs w:val="24"/>
        </w:rPr>
        <w:t>Regulators should mandate auditable AI integrity monitoring integrated with logging frameworks.</w:t>
      </w:r>
    </w:p>
    <w:p w14:paraId="7DA1A00A" w14:textId="77777777" w:rsidR="00C67F45" w:rsidRPr="004E5BC1" w:rsidRDefault="004E5BC1" w:rsidP="004E5BC1">
      <w:pPr>
        <w:numPr>
          <w:ilvl w:val="0"/>
          <w:numId w:val="2"/>
        </w:numPr>
        <w:spacing w:after="240"/>
        <w:rPr>
          <w:rFonts w:ascii="Times New Roman" w:hAnsi="Times New Roman" w:cs="Times New Roman"/>
          <w:sz w:val="24"/>
          <w:szCs w:val="24"/>
        </w:rPr>
      </w:pPr>
      <w:r w:rsidRPr="004E5BC1">
        <w:rPr>
          <w:rFonts w:ascii="Times New Roman" w:hAnsi="Times New Roman" w:cs="Times New Roman"/>
          <w:sz w:val="24"/>
          <w:szCs w:val="24"/>
        </w:rPr>
        <w:t>Service providers should adopt transparent AI supply chain verification protocols to reduce third-party exposure.</w:t>
      </w:r>
    </w:p>
    <w:p w14:paraId="7DA1A00B" w14:textId="77777777" w:rsidR="00C67F45" w:rsidRPr="004E5BC1" w:rsidRDefault="00C67F45" w:rsidP="004E5BC1">
      <w:pPr>
        <w:spacing w:after="240"/>
        <w:rPr>
          <w:rFonts w:ascii="Times New Roman" w:hAnsi="Times New Roman" w:cs="Times New Roman"/>
          <w:sz w:val="24"/>
          <w:szCs w:val="24"/>
        </w:rPr>
      </w:pPr>
    </w:p>
    <w:p w14:paraId="7DA1A00C" w14:textId="77777777" w:rsidR="00C67F45" w:rsidRPr="004E5BC1" w:rsidRDefault="00C67F45" w:rsidP="004E5BC1">
      <w:pPr>
        <w:spacing w:after="240"/>
        <w:rPr>
          <w:rFonts w:ascii="Times New Roman" w:hAnsi="Times New Roman" w:cs="Times New Roman"/>
          <w:sz w:val="24"/>
          <w:szCs w:val="24"/>
        </w:rPr>
      </w:pPr>
    </w:p>
    <w:p w14:paraId="7DA1A00D" w14:textId="77777777" w:rsidR="00C67F45" w:rsidRPr="004E5BC1" w:rsidRDefault="00C67F45" w:rsidP="004E5BC1">
      <w:pPr>
        <w:spacing w:after="240"/>
        <w:rPr>
          <w:rFonts w:ascii="Times New Roman" w:hAnsi="Times New Roman" w:cs="Times New Roman"/>
          <w:sz w:val="24"/>
          <w:szCs w:val="24"/>
        </w:rPr>
      </w:pPr>
    </w:p>
    <w:p w14:paraId="7DA1A00E" w14:textId="77777777" w:rsidR="004E5BC1" w:rsidRDefault="004E5BC1">
      <w:pPr>
        <w:rPr>
          <w:rFonts w:ascii="Times New Roman" w:hAnsi="Times New Roman" w:cs="Times New Roman"/>
          <w:b/>
          <w:bCs/>
          <w:sz w:val="24"/>
          <w:szCs w:val="24"/>
        </w:rPr>
      </w:pPr>
      <w:r>
        <w:rPr>
          <w:rFonts w:ascii="Times New Roman" w:hAnsi="Times New Roman" w:cs="Times New Roman"/>
          <w:b/>
          <w:bCs/>
          <w:sz w:val="24"/>
          <w:szCs w:val="24"/>
        </w:rPr>
        <w:br w:type="page"/>
      </w:r>
    </w:p>
    <w:p w14:paraId="7DA1A00F" w14:textId="77777777" w:rsidR="00C67F45" w:rsidRPr="004E5BC1" w:rsidRDefault="004E5BC1" w:rsidP="004E5BC1">
      <w:pPr>
        <w:spacing w:after="240"/>
        <w:jc w:val="center"/>
        <w:rPr>
          <w:rFonts w:ascii="Times New Roman" w:hAnsi="Times New Roman" w:cs="Times New Roman"/>
          <w:b/>
          <w:bCs/>
          <w:sz w:val="24"/>
          <w:szCs w:val="24"/>
        </w:rPr>
      </w:pPr>
      <w:r w:rsidRPr="004E5BC1">
        <w:rPr>
          <w:rFonts w:ascii="Times New Roman" w:hAnsi="Times New Roman" w:cs="Times New Roman"/>
          <w:b/>
          <w:bCs/>
          <w:sz w:val="24"/>
          <w:szCs w:val="24"/>
        </w:rPr>
        <w:lastRenderedPageBreak/>
        <w:t>References</w:t>
      </w:r>
    </w:p>
    <w:p w14:paraId="7DA1A010"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Abba, S., Obioha-Val, O. A., Ejiofor, V. O., </w:t>
      </w: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O. M., &amp; </w:t>
      </w:r>
      <w:proofErr w:type="spellStart"/>
      <w:r w:rsidRPr="004E5BC1">
        <w:rPr>
          <w:rFonts w:ascii="Times New Roman" w:hAnsi="Times New Roman" w:cs="Times New Roman"/>
          <w:sz w:val="24"/>
          <w:szCs w:val="24"/>
        </w:rPr>
        <w:t>Mayeke</w:t>
      </w:r>
      <w:proofErr w:type="spellEnd"/>
      <w:r w:rsidRPr="004E5BC1">
        <w:rPr>
          <w:rFonts w:ascii="Times New Roman" w:hAnsi="Times New Roman" w:cs="Times New Roman"/>
          <w:sz w:val="24"/>
          <w:szCs w:val="24"/>
        </w:rPr>
        <w:t xml:space="preserve">, N. R. (2025). Behavioral Biometrics-Powered Continuous Authentication for Zero-trust Remote Work Environments: A Multi-factor Identity Verification Framework. </w:t>
      </w:r>
      <w:r w:rsidRPr="004E5BC1">
        <w:rPr>
          <w:rFonts w:ascii="Times New Roman" w:hAnsi="Times New Roman" w:cs="Times New Roman"/>
          <w:i/>
          <w:iCs/>
          <w:sz w:val="24"/>
          <w:szCs w:val="24"/>
        </w:rPr>
        <w:t>Asian Journal of Research in Computer Science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18</w:t>
      </w:r>
      <w:r w:rsidRPr="004E5BC1">
        <w:rPr>
          <w:rFonts w:ascii="Times New Roman" w:hAnsi="Times New Roman" w:cs="Times New Roman"/>
          <w:sz w:val="24"/>
          <w:szCs w:val="24"/>
        </w:rPr>
        <w:t xml:space="preserve">(12), 20–41. </w:t>
      </w:r>
      <w:hyperlink r:id="rId16" w:history="1">
        <w:r w:rsidRPr="005366C4">
          <w:rPr>
            <w:rStyle w:val="Hyperlink"/>
            <w:rFonts w:ascii="Times New Roman" w:hAnsi="Times New Roman" w:cs="Times New Roman"/>
            <w:sz w:val="24"/>
            <w:szCs w:val="24"/>
          </w:rPr>
          <w:t>https://doi.org/10.9734/ajrcos/2025/v18i12788</w:t>
        </w:r>
      </w:hyperlink>
      <w:r>
        <w:rPr>
          <w:rFonts w:ascii="Times New Roman" w:hAnsi="Times New Roman" w:cs="Times New Roman"/>
          <w:sz w:val="24"/>
          <w:szCs w:val="24"/>
        </w:rPr>
        <w:t xml:space="preserve"> </w:t>
      </w:r>
    </w:p>
    <w:p w14:paraId="7DA1A011"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Abtahi, F., </w:t>
      </w:r>
      <w:proofErr w:type="spellStart"/>
      <w:r w:rsidRPr="004E5BC1">
        <w:rPr>
          <w:rFonts w:ascii="Times New Roman" w:hAnsi="Times New Roman" w:cs="Times New Roman"/>
          <w:sz w:val="24"/>
          <w:szCs w:val="24"/>
        </w:rPr>
        <w:t>Seoane</w:t>
      </w:r>
      <w:proofErr w:type="spellEnd"/>
      <w:r w:rsidRPr="004E5BC1">
        <w:rPr>
          <w:rFonts w:ascii="Times New Roman" w:hAnsi="Times New Roman" w:cs="Times New Roman"/>
          <w:sz w:val="24"/>
          <w:szCs w:val="24"/>
        </w:rPr>
        <w:t>, F., Pau, I., &amp; Vega-</w:t>
      </w:r>
      <w:proofErr w:type="spellStart"/>
      <w:r w:rsidRPr="004E5BC1">
        <w:rPr>
          <w:rFonts w:ascii="Times New Roman" w:hAnsi="Times New Roman" w:cs="Times New Roman"/>
          <w:sz w:val="24"/>
          <w:szCs w:val="24"/>
        </w:rPr>
        <w:t>Barbas</w:t>
      </w:r>
      <w:proofErr w:type="spellEnd"/>
      <w:r w:rsidRPr="004E5BC1">
        <w:rPr>
          <w:rFonts w:ascii="Times New Roman" w:hAnsi="Times New Roman" w:cs="Times New Roman"/>
          <w:sz w:val="24"/>
          <w:szCs w:val="24"/>
        </w:rPr>
        <w:t xml:space="preserve">, M. (2026). Data Poisoning Vulnerabilities Across Health Care Artificial Intelligence Architectures: Analytical Security Framework and Defense Strategies. </w:t>
      </w:r>
      <w:r w:rsidRPr="004E5BC1">
        <w:rPr>
          <w:rFonts w:ascii="Times New Roman" w:hAnsi="Times New Roman" w:cs="Times New Roman"/>
          <w:i/>
          <w:iCs/>
          <w:sz w:val="24"/>
          <w:szCs w:val="24"/>
        </w:rPr>
        <w:t>Journal of Medical Internet Research</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28</w:t>
      </w:r>
      <w:r w:rsidRPr="004E5BC1">
        <w:rPr>
          <w:rFonts w:ascii="Times New Roman" w:hAnsi="Times New Roman" w:cs="Times New Roman"/>
          <w:sz w:val="24"/>
          <w:szCs w:val="24"/>
        </w:rPr>
        <w:t xml:space="preserve">, e87969–e87969. </w:t>
      </w:r>
      <w:hyperlink r:id="rId17" w:history="1">
        <w:r w:rsidRPr="005366C4">
          <w:rPr>
            <w:rStyle w:val="Hyperlink"/>
            <w:rFonts w:ascii="Times New Roman" w:hAnsi="Times New Roman" w:cs="Times New Roman"/>
            <w:sz w:val="24"/>
            <w:szCs w:val="24"/>
          </w:rPr>
          <w:t>https://doi.org/10.2196/87969</w:t>
        </w:r>
      </w:hyperlink>
      <w:r>
        <w:rPr>
          <w:rFonts w:ascii="Times New Roman" w:hAnsi="Times New Roman" w:cs="Times New Roman"/>
          <w:sz w:val="24"/>
          <w:szCs w:val="24"/>
        </w:rPr>
        <w:t xml:space="preserve"> </w:t>
      </w:r>
    </w:p>
    <w:p w14:paraId="7DA1A012"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Adebiyi, O. O., Popoola, A. D., Adeyinka, P. D., </w:t>
      </w:r>
      <w:proofErr w:type="spellStart"/>
      <w:r w:rsidRPr="004E5BC1">
        <w:rPr>
          <w:rFonts w:ascii="Times New Roman" w:hAnsi="Times New Roman" w:cs="Times New Roman"/>
          <w:sz w:val="24"/>
          <w:szCs w:val="24"/>
        </w:rPr>
        <w:t>Arigbabu</w:t>
      </w:r>
      <w:proofErr w:type="spellEnd"/>
      <w:r w:rsidRPr="004E5BC1">
        <w:rPr>
          <w:rFonts w:ascii="Times New Roman" w:hAnsi="Times New Roman" w:cs="Times New Roman"/>
          <w:sz w:val="24"/>
          <w:szCs w:val="24"/>
        </w:rPr>
        <w:t xml:space="preserve">, A. T., &amp; </w:t>
      </w:r>
      <w:proofErr w:type="spellStart"/>
      <w:r w:rsidRPr="004E5BC1">
        <w:rPr>
          <w:rFonts w:ascii="Times New Roman" w:hAnsi="Times New Roman" w:cs="Times New Roman"/>
          <w:sz w:val="24"/>
          <w:szCs w:val="24"/>
        </w:rPr>
        <w:t>Olateju</w:t>
      </w:r>
      <w:proofErr w:type="spellEnd"/>
      <w:r w:rsidRPr="004E5BC1">
        <w:rPr>
          <w:rFonts w:ascii="Times New Roman" w:hAnsi="Times New Roman" w:cs="Times New Roman"/>
          <w:sz w:val="24"/>
          <w:szCs w:val="24"/>
        </w:rPr>
        <w:t xml:space="preserve">, O. O. (2026). Blockchain-integrated AI Systems for Enhancing Trust and Transparency in Cross-Border Finance. </w:t>
      </w:r>
      <w:r w:rsidRPr="004E5BC1">
        <w:rPr>
          <w:rFonts w:ascii="Times New Roman" w:hAnsi="Times New Roman" w:cs="Times New Roman"/>
          <w:i/>
          <w:iCs/>
          <w:sz w:val="24"/>
          <w:szCs w:val="24"/>
        </w:rPr>
        <w:t>Asian Journal of Research in Computer Science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19</w:t>
      </w:r>
      <w:r w:rsidRPr="004E5BC1">
        <w:rPr>
          <w:rFonts w:ascii="Times New Roman" w:hAnsi="Times New Roman" w:cs="Times New Roman"/>
          <w:sz w:val="24"/>
          <w:szCs w:val="24"/>
        </w:rPr>
        <w:t xml:space="preserve">(1), 271–291. </w:t>
      </w:r>
      <w:hyperlink r:id="rId18" w:history="1">
        <w:r w:rsidRPr="005366C4">
          <w:rPr>
            <w:rStyle w:val="Hyperlink"/>
            <w:rFonts w:ascii="Times New Roman" w:hAnsi="Times New Roman" w:cs="Times New Roman"/>
            <w:sz w:val="24"/>
            <w:szCs w:val="24"/>
          </w:rPr>
          <w:t>https://doi.org/10.9734/ajrcos/2026/v19i1818</w:t>
        </w:r>
      </w:hyperlink>
      <w:r>
        <w:rPr>
          <w:rFonts w:ascii="Times New Roman" w:hAnsi="Times New Roman" w:cs="Times New Roman"/>
          <w:sz w:val="24"/>
          <w:szCs w:val="24"/>
        </w:rPr>
        <w:t xml:space="preserve"> </w:t>
      </w:r>
    </w:p>
    <w:p w14:paraId="7DA1A013"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Al-</w:t>
      </w:r>
      <w:proofErr w:type="spellStart"/>
      <w:r w:rsidRPr="004E5BC1">
        <w:rPr>
          <w:rFonts w:ascii="Times New Roman" w:hAnsi="Times New Roman" w:cs="Times New Roman"/>
          <w:sz w:val="24"/>
          <w:szCs w:val="24"/>
        </w:rPr>
        <w:t>Shattarat</w:t>
      </w:r>
      <w:proofErr w:type="spellEnd"/>
      <w:r w:rsidRPr="004E5BC1">
        <w:rPr>
          <w:rFonts w:ascii="Times New Roman" w:hAnsi="Times New Roman" w:cs="Times New Roman"/>
          <w:sz w:val="24"/>
          <w:szCs w:val="24"/>
        </w:rPr>
        <w:t xml:space="preserve">, W., </w:t>
      </w:r>
      <w:proofErr w:type="spellStart"/>
      <w:r w:rsidRPr="004E5BC1">
        <w:rPr>
          <w:rFonts w:ascii="Times New Roman" w:hAnsi="Times New Roman" w:cs="Times New Roman"/>
          <w:sz w:val="24"/>
          <w:szCs w:val="24"/>
        </w:rPr>
        <w:t>Benameur</w:t>
      </w:r>
      <w:proofErr w:type="spellEnd"/>
      <w:r w:rsidRPr="004E5BC1">
        <w:rPr>
          <w:rFonts w:ascii="Times New Roman" w:hAnsi="Times New Roman" w:cs="Times New Roman"/>
          <w:sz w:val="24"/>
          <w:szCs w:val="24"/>
        </w:rPr>
        <w:t xml:space="preserve">, K. B., Mostafa, M. M., </w:t>
      </w:r>
      <w:proofErr w:type="spellStart"/>
      <w:r w:rsidRPr="004E5BC1">
        <w:rPr>
          <w:rFonts w:ascii="Times New Roman" w:hAnsi="Times New Roman" w:cs="Times New Roman"/>
          <w:sz w:val="24"/>
          <w:szCs w:val="24"/>
        </w:rPr>
        <w:t>Hassanein</w:t>
      </w:r>
      <w:proofErr w:type="spellEnd"/>
      <w:r w:rsidRPr="004E5BC1">
        <w:rPr>
          <w:rFonts w:ascii="Times New Roman" w:hAnsi="Times New Roman" w:cs="Times New Roman"/>
          <w:sz w:val="24"/>
          <w:szCs w:val="24"/>
        </w:rPr>
        <w:t xml:space="preserve">, A., &amp; Hamed, R. S. (2025). A decade of cybersecurity research in business, management, and accounting: bibliometric analyses and future research directions. </w:t>
      </w:r>
      <w:r w:rsidRPr="004E5BC1">
        <w:rPr>
          <w:rFonts w:ascii="Times New Roman" w:hAnsi="Times New Roman" w:cs="Times New Roman"/>
          <w:i/>
          <w:iCs/>
          <w:sz w:val="24"/>
          <w:szCs w:val="24"/>
        </w:rPr>
        <w:t>Cogent Business &amp; Management</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12</w:t>
      </w:r>
      <w:r w:rsidRPr="004E5BC1">
        <w:rPr>
          <w:rFonts w:ascii="Times New Roman" w:hAnsi="Times New Roman" w:cs="Times New Roman"/>
          <w:sz w:val="24"/>
          <w:szCs w:val="24"/>
        </w:rPr>
        <w:t xml:space="preserve">(1). </w:t>
      </w:r>
      <w:hyperlink r:id="rId19" w:history="1">
        <w:r w:rsidRPr="005366C4">
          <w:rPr>
            <w:rStyle w:val="Hyperlink"/>
            <w:rFonts w:ascii="Times New Roman" w:hAnsi="Times New Roman" w:cs="Times New Roman"/>
            <w:sz w:val="24"/>
            <w:szCs w:val="24"/>
          </w:rPr>
          <w:t>https://doi.org/10.1080/23311975.2025.2544230</w:t>
        </w:r>
      </w:hyperlink>
      <w:r>
        <w:rPr>
          <w:rFonts w:ascii="Times New Roman" w:hAnsi="Times New Roman" w:cs="Times New Roman"/>
          <w:sz w:val="24"/>
          <w:szCs w:val="24"/>
        </w:rPr>
        <w:t xml:space="preserve"> </w:t>
      </w:r>
    </w:p>
    <w:p w14:paraId="7DA1A014"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Alber</w:t>
      </w:r>
      <w:proofErr w:type="spellEnd"/>
      <w:r w:rsidRPr="004E5BC1">
        <w:rPr>
          <w:rFonts w:ascii="Times New Roman" w:hAnsi="Times New Roman" w:cs="Times New Roman"/>
          <w:sz w:val="24"/>
          <w:szCs w:val="24"/>
        </w:rPr>
        <w:t xml:space="preserve">, D. A., Yang, Z., </w:t>
      </w:r>
      <w:proofErr w:type="spellStart"/>
      <w:r w:rsidRPr="004E5BC1">
        <w:rPr>
          <w:rFonts w:ascii="Times New Roman" w:hAnsi="Times New Roman" w:cs="Times New Roman"/>
          <w:sz w:val="24"/>
          <w:szCs w:val="24"/>
        </w:rPr>
        <w:t>Alyakin</w:t>
      </w:r>
      <w:proofErr w:type="spellEnd"/>
      <w:r w:rsidRPr="004E5BC1">
        <w:rPr>
          <w:rFonts w:ascii="Times New Roman" w:hAnsi="Times New Roman" w:cs="Times New Roman"/>
          <w:sz w:val="24"/>
          <w:szCs w:val="24"/>
        </w:rPr>
        <w:t xml:space="preserve">, A., Yang, E., Rai, S., </w:t>
      </w:r>
      <w:proofErr w:type="spellStart"/>
      <w:r w:rsidRPr="004E5BC1">
        <w:rPr>
          <w:rFonts w:ascii="Times New Roman" w:hAnsi="Times New Roman" w:cs="Times New Roman"/>
          <w:sz w:val="24"/>
          <w:szCs w:val="24"/>
        </w:rPr>
        <w:t>Valliani</w:t>
      </w:r>
      <w:proofErr w:type="spellEnd"/>
      <w:r w:rsidRPr="004E5BC1">
        <w:rPr>
          <w:rFonts w:ascii="Times New Roman" w:hAnsi="Times New Roman" w:cs="Times New Roman"/>
          <w:sz w:val="24"/>
          <w:szCs w:val="24"/>
        </w:rPr>
        <w:t xml:space="preserve">, A. A., Zhang, J., Rosenbaum, G. R., Amend-Thomas, A. K., Kurland, D. B., Kremer, C. M., </w:t>
      </w:r>
      <w:proofErr w:type="spellStart"/>
      <w:r w:rsidRPr="004E5BC1">
        <w:rPr>
          <w:rFonts w:ascii="Times New Roman" w:hAnsi="Times New Roman" w:cs="Times New Roman"/>
          <w:sz w:val="24"/>
          <w:szCs w:val="24"/>
        </w:rPr>
        <w:t>Eremiev</w:t>
      </w:r>
      <w:proofErr w:type="spellEnd"/>
      <w:r w:rsidRPr="004E5BC1">
        <w:rPr>
          <w:rFonts w:ascii="Times New Roman" w:hAnsi="Times New Roman" w:cs="Times New Roman"/>
          <w:sz w:val="24"/>
          <w:szCs w:val="24"/>
        </w:rPr>
        <w:t xml:space="preserve">, A., </w:t>
      </w:r>
      <w:proofErr w:type="spellStart"/>
      <w:r w:rsidRPr="004E5BC1">
        <w:rPr>
          <w:rFonts w:ascii="Times New Roman" w:hAnsi="Times New Roman" w:cs="Times New Roman"/>
          <w:sz w:val="24"/>
          <w:szCs w:val="24"/>
        </w:rPr>
        <w:t>Negash</w:t>
      </w:r>
      <w:proofErr w:type="spellEnd"/>
      <w:r w:rsidRPr="004E5BC1">
        <w:rPr>
          <w:rFonts w:ascii="Times New Roman" w:hAnsi="Times New Roman" w:cs="Times New Roman"/>
          <w:sz w:val="24"/>
          <w:szCs w:val="24"/>
        </w:rPr>
        <w:t xml:space="preserve">, B., </w:t>
      </w:r>
      <w:proofErr w:type="spellStart"/>
      <w:r w:rsidRPr="004E5BC1">
        <w:rPr>
          <w:rFonts w:ascii="Times New Roman" w:hAnsi="Times New Roman" w:cs="Times New Roman"/>
          <w:sz w:val="24"/>
          <w:szCs w:val="24"/>
        </w:rPr>
        <w:t>Wiggan</w:t>
      </w:r>
      <w:proofErr w:type="spellEnd"/>
      <w:r w:rsidRPr="004E5BC1">
        <w:rPr>
          <w:rFonts w:ascii="Times New Roman" w:hAnsi="Times New Roman" w:cs="Times New Roman"/>
          <w:sz w:val="24"/>
          <w:szCs w:val="24"/>
        </w:rPr>
        <w:t xml:space="preserve">, D. D., Nakatsuka, M. A., </w:t>
      </w:r>
      <w:proofErr w:type="spellStart"/>
      <w:r w:rsidRPr="004E5BC1">
        <w:rPr>
          <w:rFonts w:ascii="Times New Roman" w:hAnsi="Times New Roman" w:cs="Times New Roman"/>
          <w:sz w:val="24"/>
          <w:szCs w:val="24"/>
        </w:rPr>
        <w:t>Sangwon</w:t>
      </w:r>
      <w:proofErr w:type="spellEnd"/>
      <w:r w:rsidRPr="004E5BC1">
        <w:rPr>
          <w:rFonts w:ascii="Times New Roman" w:hAnsi="Times New Roman" w:cs="Times New Roman"/>
          <w:sz w:val="24"/>
          <w:szCs w:val="24"/>
        </w:rPr>
        <w:t xml:space="preserve">, K. L., </w:t>
      </w:r>
      <w:proofErr w:type="spellStart"/>
      <w:r w:rsidRPr="004E5BC1">
        <w:rPr>
          <w:rFonts w:ascii="Times New Roman" w:hAnsi="Times New Roman" w:cs="Times New Roman"/>
          <w:sz w:val="24"/>
          <w:szCs w:val="24"/>
        </w:rPr>
        <w:t>Neifert</w:t>
      </w:r>
      <w:proofErr w:type="spellEnd"/>
      <w:r w:rsidRPr="004E5BC1">
        <w:rPr>
          <w:rFonts w:ascii="Times New Roman" w:hAnsi="Times New Roman" w:cs="Times New Roman"/>
          <w:sz w:val="24"/>
          <w:szCs w:val="24"/>
        </w:rPr>
        <w:t xml:space="preserve">, S. N., Khan, H. A., Save, A. V., &amp; </w:t>
      </w:r>
      <w:proofErr w:type="spellStart"/>
      <w:r w:rsidRPr="004E5BC1">
        <w:rPr>
          <w:rFonts w:ascii="Times New Roman" w:hAnsi="Times New Roman" w:cs="Times New Roman"/>
          <w:sz w:val="24"/>
          <w:szCs w:val="24"/>
        </w:rPr>
        <w:t>Palla</w:t>
      </w:r>
      <w:proofErr w:type="spellEnd"/>
      <w:r w:rsidRPr="004E5BC1">
        <w:rPr>
          <w:rFonts w:ascii="Times New Roman" w:hAnsi="Times New Roman" w:cs="Times New Roman"/>
          <w:sz w:val="24"/>
          <w:szCs w:val="24"/>
        </w:rPr>
        <w:t xml:space="preserve">, A. (2025). Medical large language models are vulnerable to data-poisoning attacks. </w:t>
      </w:r>
      <w:r w:rsidRPr="004E5BC1">
        <w:rPr>
          <w:rFonts w:ascii="Times New Roman" w:hAnsi="Times New Roman" w:cs="Times New Roman"/>
          <w:i/>
          <w:iCs/>
          <w:sz w:val="24"/>
          <w:szCs w:val="24"/>
        </w:rPr>
        <w:t>Nature Medicine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31</w:t>
      </w:r>
      <w:r w:rsidRPr="004E5BC1">
        <w:rPr>
          <w:rFonts w:ascii="Times New Roman" w:hAnsi="Times New Roman" w:cs="Times New Roman"/>
          <w:sz w:val="24"/>
          <w:szCs w:val="24"/>
        </w:rPr>
        <w:t xml:space="preserve">. </w:t>
      </w:r>
      <w:hyperlink r:id="rId20" w:history="1">
        <w:r w:rsidRPr="005366C4">
          <w:rPr>
            <w:rStyle w:val="Hyperlink"/>
            <w:rFonts w:ascii="Times New Roman" w:hAnsi="Times New Roman" w:cs="Times New Roman"/>
            <w:sz w:val="24"/>
            <w:szCs w:val="24"/>
          </w:rPr>
          <w:t>https://doi.org/10.1038/s41591-024-03445-1</w:t>
        </w:r>
      </w:hyperlink>
      <w:r>
        <w:rPr>
          <w:rFonts w:ascii="Times New Roman" w:hAnsi="Times New Roman" w:cs="Times New Roman"/>
          <w:sz w:val="24"/>
          <w:szCs w:val="24"/>
        </w:rPr>
        <w:t xml:space="preserve"> </w:t>
      </w:r>
    </w:p>
    <w:p w14:paraId="7DA1A015"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Anderson, R., &amp; Moore, T. (2006). The Economics of Information Security. </w:t>
      </w:r>
      <w:r w:rsidRPr="004E5BC1">
        <w:rPr>
          <w:rFonts w:ascii="Times New Roman" w:hAnsi="Times New Roman" w:cs="Times New Roman"/>
          <w:i/>
          <w:iCs/>
          <w:sz w:val="24"/>
          <w:szCs w:val="24"/>
        </w:rPr>
        <w:t>Science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314</w:t>
      </w:r>
      <w:r w:rsidRPr="004E5BC1">
        <w:rPr>
          <w:rFonts w:ascii="Times New Roman" w:hAnsi="Times New Roman" w:cs="Times New Roman"/>
          <w:sz w:val="24"/>
          <w:szCs w:val="24"/>
        </w:rPr>
        <w:t xml:space="preserve">(5799), 610–613. </w:t>
      </w:r>
      <w:hyperlink r:id="rId21" w:history="1">
        <w:r w:rsidRPr="005366C4">
          <w:rPr>
            <w:rStyle w:val="Hyperlink"/>
            <w:rFonts w:ascii="Times New Roman" w:hAnsi="Times New Roman" w:cs="Times New Roman"/>
            <w:sz w:val="24"/>
            <w:szCs w:val="24"/>
          </w:rPr>
          <w:t>https://doi.org/10.1126/science.1130992</w:t>
        </w:r>
      </w:hyperlink>
      <w:r>
        <w:rPr>
          <w:rFonts w:ascii="Times New Roman" w:hAnsi="Times New Roman" w:cs="Times New Roman"/>
          <w:sz w:val="24"/>
          <w:szCs w:val="24"/>
        </w:rPr>
        <w:t xml:space="preserve"> </w:t>
      </w:r>
    </w:p>
    <w:p w14:paraId="7DA1A016"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Ashmore, R., </w:t>
      </w:r>
      <w:proofErr w:type="spellStart"/>
      <w:r w:rsidRPr="004E5BC1">
        <w:rPr>
          <w:rFonts w:ascii="Times New Roman" w:hAnsi="Times New Roman" w:cs="Times New Roman"/>
          <w:sz w:val="24"/>
          <w:szCs w:val="24"/>
        </w:rPr>
        <w:t>Calinescu</w:t>
      </w:r>
      <w:proofErr w:type="spellEnd"/>
      <w:r w:rsidRPr="004E5BC1">
        <w:rPr>
          <w:rFonts w:ascii="Times New Roman" w:hAnsi="Times New Roman" w:cs="Times New Roman"/>
          <w:sz w:val="24"/>
          <w:szCs w:val="24"/>
        </w:rPr>
        <w:t xml:space="preserve">, R., &amp; Paterson, C. (2021). Assuring the Machine Learning Lifecycle. </w:t>
      </w:r>
      <w:r w:rsidRPr="004E5BC1">
        <w:rPr>
          <w:rFonts w:ascii="Times New Roman" w:hAnsi="Times New Roman" w:cs="Times New Roman"/>
          <w:i/>
          <w:iCs/>
          <w:sz w:val="24"/>
          <w:szCs w:val="24"/>
        </w:rPr>
        <w:t>ACM Computing Surveys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54</w:t>
      </w:r>
      <w:r w:rsidRPr="004E5BC1">
        <w:rPr>
          <w:rFonts w:ascii="Times New Roman" w:hAnsi="Times New Roman" w:cs="Times New Roman"/>
          <w:sz w:val="24"/>
          <w:szCs w:val="24"/>
        </w:rPr>
        <w:t xml:space="preserve">(5), 1–39. </w:t>
      </w:r>
      <w:hyperlink r:id="rId22" w:history="1">
        <w:r w:rsidRPr="005366C4">
          <w:rPr>
            <w:rStyle w:val="Hyperlink"/>
            <w:rFonts w:ascii="Times New Roman" w:hAnsi="Times New Roman" w:cs="Times New Roman"/>
            <w:sz w:val="24"/>
            <w:szCs w:val="24"/>
          </w:rPr>
          <w:t>https://doi.org/10.1145/3453444</w:t>
        </w:r>
      </w:hyperlink>
      <w:r>
        <w:rPr>
          <w:rFonts w:ascii="Times New Roman" w:hAnsi="Times New Roman" w:cs="Times New Roman"/>
          <w:sz w:val="24"/>
          <w:szCs w:val="24"/>
        </w:rPr>
        <w:t xml:space="preserve"> </w:t>
      </w:r>
    </w:p>
    <w:p w14:paraId="7DA1A017"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Bagdasaryan</w:t>
      </w:r>
      <w:proofErr w:type="spellEnd"/>
      <w:r w:rsidRPr="004E5BC1">
        <w:rPr>
          <w:rFonts w:ascii="Times New Roman" w:hAnsi="Times New Roman" w:cs="Times New Roman"/>
          <w:sz w:val="24"/>
          <w:szCs w:val="24"/>
        </w:rPr>
        <w:t xml:space="preserve">, E., </w:t>
      </w:r>
      <w:proofErr w:type="spellStart"/>
      <w:r w:rsidRPr="004E5BC1">
        <w:rPr>
          <w:rFonts w:ascii="Times New Roman" w:hAnsi="Times New Roman" w:cs="Times New Roman"/>
          <w:sz w:val="24"/>
          <w:szCs w:val="24"/>
        </w:rPr>
        <w:t>Veit</w:t>
      </w:r>
      <w:proofErr w:type="spellEnd"/>
      <w:r w:rsidRPr="004E5BC1">
        <w:rPr>
          <w:rFonts w:ascii="Times New Roman" w:hAnsi="Times New Roman" w:cs="Times New Roman"/>
          <w:sz w:val="24"/>
          <w:szCs w:val="24"/>
        </w:rPr>
        <w:t xml:space="preserve">, A., Hua, Y., Estrin, D., &amp; </w:t>
      </w:r>
      <w:proofErr w:type="spellStart"/>
      <w:r w:rsidRPr="004E5BC1">
        <w:rPr>
          <w:rFonts w:ascii="Times New Roman" w:hAnsi="Times New Roman" w:cs="Times New Roman"/>
          <w:sz w:val="24"/>
          <w:szCs w:val="24"/>
        </w:rPr>
        <w:t>Shmatikov</w:t>
      </w:r>
      <w:proofErr w:type="spellEnd"/>
      <w:r w:rsidRPr="004E5BC1">
        <w:rPr>
          <w:rFonts w:ascii="Times New Roman" w:hAnsi="Times New Roman" w:cs="Times New Roman"/>
          <w:sz w:val="24"/>
          <w:szCs w:val="24"/>
        </w:rPr>
        <w:t xml:space="preserve">, V. (2020, June 3). </w:t>
      </w:r>
      <w:r w:rsidRPr="004E5BC1">
        <w:rPr>
          <w:rFonts w:ascii="Times New Roman" w:hAnsi="Times New Roman" w:cs="Times New Roman"/>
          <w:i/>
          <w:iCs/>
          <w:sz w:val="24"/>
          <w:szCs w:val="24"/>
        </w:rPr>
        <w:t>How To Backdoor Federated Learning</w:t>
      </w:r>
      <w:r w:rsidRPr="004E5BC1">
        <w:rPr>
          <w:rFonts w:ascii="Times New Roman" w:hAnsi="Times New Roman" w:cs="Times New Roman"/>
          <w:sz w:val="24"/>
          <w:szCs w:val="24"/>
        </w:rPr>
        <w:t xml:space="preserve">. </w:t>
      </w:r>
      <w:proofErr w:type="spellStart"/>
      <w:r w:rsidRPr="004E5BC1">
        <w:rPr>
          <w:rFonts w:ascii="Times New Roman" w:hAnsi="Times New Roman" w:cs="Times New Roman"/>
          <w:sz w:val="24"/>
          <w:szCs w:val="24"/>
        </w:rPr>
        <w:t>Proceedings.mlr.press</w:t>
      </w:r>
      <w:proofErr w:type="spellEnd"/>
      <w:r w:rsidRPr="004E5BC1">
        <w:rPr>
          <w:rFonts w:ascii="Times New Roman" w:hAnsi="Times New Roman" w:cs="Times New Roman"/>
          <w:sz w:val="24"/>
          <w:szCs w:val="24"/>
        </w:rPr>
        <w:t xml:space="preserve">; PMLR. </w:t>
      </w:r>
      <w:hyperlink r:id="rId23" w:history="1">
        <w:r w:rsidRPr="005366C4">
          <w:rPr>
            <w:rStyle w:val="Hyperlink"/>
            <w:rFonts w:ascii="Times New Roman" w:hAnsi="Times New Roman" w:cs="Times New Roman"/>
            <w:sz w:val="24"/>
            <w:szCs w:val="24"/>
          </w:rPr>
          <w:t>https://proceedings.mlr.press/v108/bagdasaryan20a.html</w:t>
        </w:r>
      </w:hyperlink>
      <w:r>
        <w:rPr>
          <w:rFonts w:ascii="Times New Roman" w:hAnsi="Times New Roman" w:cs="Times New Roman"/>
          <w:sz w:val="24"/>
          <w:szCs w:val="24"/>
        </w:rPr>
        <w:t xml:space="preserve"> </w:t>
      </w:r>
    </w:p>
    <w:p w14:paraId="7DA1A018"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Bahoo</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Cucculelli</w:t>
      </w:r>
      <w:proofErr w:type="spellEnd"/>
      <w:r w:rsidRPr="004E5BC1">
        <w:rPr>
          <w:rFonts w:ascii="Times New Roman" w:hAnsi="Times New Roman" w:cs="Times New Roman"/>
          <w:sz w:val="24"/>
          <w:szCs w:val="24"/>
        </w:rPr>
        <w:t xml:space="preserve">, M., </w:t>
      </w:r>
      <w:proofErr w:type="spellStart"/>
      <w:r w:rsidRPr="004E5BC1">
        <w:rPr>
          <w:rFonts w:ascii="Times New Roman" w:hAnsi="Times New Roman" w:cs="Times New Roman"/>
          <w:sz w:val="24"/>
          <w:szCs w:val="24"/>
        </w:rPr>
        <w:t>Goga</w:t>
      </w:r>
      <w:proofErr w:type="spellEnd"/>
      <w:r w:rsidRPr="004E5BC1">
        <w:rPr>
          <w:rFonts w:ascii="Times New Roman" w:hAnsi="Times New Roman" w:cs="Times New Roman"/>
          <w:sz w:val="24"/>
          <w:szCs w:val="24"/>
        </w:rPr>
        <w:t xml:space="preserve">, X., &amp; </w:t>
      </w:r>
      <w:proofErr w:type="spellStart"/>
      <w:r w:rsidRPr="004E5BC1">
        <w:rPr>
          <w:rFonts w:ascii="Times New Roman" w:hAnsi="Times New Roman" w:cs="Times New Roman"/>
          <w:sz w:val="24"/>
          <w:szCs w:val="24"/>
        </w:rPr>
        <w:t>Mondolo</w:t>
      </w:r>
      <w:proofErr w:type="spellEnd"/>
      <w:r w:rsidRPr="004E5BC1">
        <w:rPr>
          <w:rFonts w:ascii="Times New Roman" w:hAnsi="Times New Roman" w:cs="Times New Roman"/>
          <w:sz w:val="24"/>
          <w:szCs w:val="24"/>
        </w:rPr>
        <w:t xml:space="preserve">, J. (2024). Artificial intelligence in Finance: a comprehensive review through bibliometric and content analysis. </w:t>
      </w:r>
      <w:r w:rsidRPr="004E5BC1">
        <w:rPr>
          <w:rFonts w:ascii="Times New Roman" w:hAnsi="Times New Roman" w:cs="Times New Roman"/>
          <w:i/>
          <w:iCs/>
          <w:sz w:val="24"/>
          <w:szCs w:val="24"/>
        </w:rPr>
        <w:t>Artificial Intelligence in Finance: A Comprehensive Review through Bibliometric and Content Analysis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4</w:t>
      </w:r>
      <w:r w:rsidRPr="004E5BC1">
        <w:rPr>
          <w:rFonts w:ascii="Times New Roman" w:hAnsi="Times New Roman" w:cs="Times New Roman"/>
          <w:sz w:val="24"/>
          <w:szCs w:val="24"/>
        </w:rPr>
        <w:t xml:space="preserve">(2). </w:t>
      </w:r>
      <w:hyperlink r:id="rId24" w:history="1">
        <w:r w:rsidRPr="005366C4">
          <w:rPr>
            <w:rStyle w:val="Hyperlink"/>
            <w:rFonts w:ascii="Times New Roman" w:hAnsi="Times New Roman" w:cs="Times New Roman"/>
            <w:sz w:val="24"/>
            <w:szCs w:val="24"/>
          </w:rPr>
          <w:t>https://doi.org/10.1007/s43546-023-00618-x</w:t>
        </w:r>
      </w:hyperlink>
      <w:r>
        <w:rPr>
          <w:rFonts w:ascii="Times New Roman" w:hAnsi="Times New Roman" w:cs="Times New Roman"/>
          <w:sz w:val="24"/>
          <w:szCs w:val="24"/>
        </w:rPr>
        <w:t xml:space="preserve"> </w:t>
      </w:r>
    </w:p>
    <w:p w14:paraId="7DA1A019"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lastRenderedPageBreak/>
        <w:t xml:space="preserve">Bello, A. D., </w:t>
      </w:r>
      <w:proofErr w:type="spellStart"/>
      <w:r w:rsidRPr="004E5BC1">
        <w:rPr>
          <w:rFonts w:ascii="Times New Roman" w:hAnsi="Times New Roman" w:cs="Times New Roman"/>
          <w:sz w:val="24"/>
          <w:szCs w:val="24"/>
        </w:rPr>
        <w:t>Elebe</w:t>
      </w:r>
      <w:proofErr w:type="spellEnd"/>
      <w:r w:rsidRPr="004E5BC1">
        <w:rPr>
          <w:rFonts w:ascii="Times New Roman" w:hAnsi="Times New Roman" w:cs="Times New Roman"/>
          <w:sz w:val="24"/>
          <w:szCs w:val="24"/>
        </w:rPr>
        <w:t xml:space="preserve">, O., &amp; Hammed, M. I. (2024). A Cybersecurity Risk Management and Regulatory Compliance Framework for Financial Institutions. </w:t>
      </w:r>
      <w:r w:rsidRPr="004E5BC1">
        <w:rPr>
          <w:rFonts w:ascii="Times New Roman" w:hAnsi="Times New Roman" w:cs="Times New Roman"/>
          <w:i/>
          <w:iCs/>
          <w:sz w:val="24"/>
          <w:szCs w:val="24"/>
        </w:rPr>
        <w:t>Iconic Research and Engineering Journals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8</w:t>
      </w:r>
      <w:r w:rsidRPr="004E5BC1">
        <w:rPr>
          <w:rFonts w:ascii="Times New Roman" w:hAnsi="Times New Roman" w:cs="Times New Roman"/>
          <w:sz w:val="24"/>
          <w:szCs w:val="24"/>
        </w:rPr>
        <w:t xml:space="preserve">(2). </w:t>
      </w:r>
      <w:hyperlink r:id="rId25" w:history="1">
        <w:r w:rsidRPr="005366C4">
          <w:rPr>
            <w:rStyle w:val="Hyperlink"/>
            <w:rFonts w:ascii="Times New Roman" w:hAnsi="Times New Roman" w:cs="Times New Roman"/>
            <w:sz w:val="24"/>
            <w:szCs w:val="24"/>
          </w:rPr>
          <w:t>https://doi.org/10.64388/irev8i2-1713553</w:t>
        </w:r>
      </w:hyperlink>
      <w:r>
        <w:rPr>
          <w:rFonts w:ascii="Times New Roman" w:hAnsi="Times New Roman" w:cs="Times New Roman"/>
          <w:sz w:val="24"/>
          <w:szCs w:val="24"/>
        </w:rPr>
        <w:t xml:space="preserve"> </w:t>
      </w:r>
    </w:p>
    <w:p w14:paraId="7DA1A01A"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Bender, E., McMillan-Major, A., </w:t>
      </w:r>
      <w:proofErr w:type="spellStart"/>
      <w:r w:rsidRPr="004E5BC1">
        <w:rPr>
          <w:rFonts w:ascii="Times New Roman" w:hAnsi="Times New Roman" w:cs="Times New Roman"/>
          <w:sz w:val="24"/>
          <w:szCs w:val="24"/>
        </w:rPr>
        <w:t>Shmitchell</w:t>
      </w:r>
      <w:proofErr w:type="spellEnd"/>
      <w:r w:rsidRPr="004E5BC1">
        <w:rPr>
          <w:rFonts w:ascii="Times New Roman" w:hAnsi="Times New Roman" w:cs="Times New Roman"/>
          <w:sz w:val="24"/>
          <w:szCs w:val="24"/>
        </w:rPr>
        <w:t xml:space="preserve">, S., &amp; </w:t>
      </w:r>
      <w:proofErr w:type="spellStart"/>
      <w:r w:rsidRPr="004E5BC1">
        <w:rPr>
          <w:rFonts w:ascii="Times New Roman" w:hAnsi="Times New Roman" w:cs="Times New Roman"/>
          <w:sz w:val="24"/>
          <w:szCs w:val="24"/>
        </w:rPr>
        <w:t>Gebru</w:t>
      </w:r>
      <w:proofErr w:type="spellEnd"/>
      <w:r w:rsidRPr="004E5BC1">
        <w:rPr>
          <w:rFonts w:ascii="Times New Roman" w:hAnsi="Times New Roman" w:cs="Times New Roman"/>
          <w:sz w:val="24"/>
          <w:szCs w:val="24"/>
        </w:rPr>
        <w:t xml:space="preserve">, T. (2021). On the Dangers of Stochastic Parrots: Can Language Models Be Too Big? </w:t>
      </w:r>
      <w:proofErr w:type="spellStart"/>
      <w:r w:rsidRPr="004E5BC1">
        <w:rPr>
          <w:rFonts w:ascii="Times New Roman" w:hAnsi="Times New Roman" w:cs="Times New Roman"/>
          <w:i/>
          <w:iCs/>
          <w:sz w:val="24"/>
          <w:szCs w:val="24"/>
        </w:rPr>
        <w:t>FAccT</w:t>
      </w:r>
      <w:proofErr w:type="spellEnd"/>
      <w:r w:rsidRPr="004E5BC1">
        <w:rPr>
          <w:rFonts w:ascii="Times New Roman" w:hAnsi="Times New Roman" w:cs="Times New Roman"/>
          <w:i/>
          <w:iCs/>
          <w:sz w:val="24"/>
          <w:szCs w:val="24"/>
        </w:rPr>
        <w:t xml:space="preserve"> ’21: Proceedings of the 2021 ACM Conference on Fairness, Accountability, and Transparency</w:t>
      </w:r>
      <w:r w:rsidRPr="004E5BC1">
        <w:rPr>
          <w:rFonts w:ascii="Times New Roman" w:hAnsi="Times New Roman" w:cs="Times New Roman"/>
          <w:sz w:val="24"/>
          <w:szCs w:val="24"/>
        </w:rPr>
        <w:t xml:space="preserve">, 610–623. </w:t>
      </w:r>
      <w:hyperlink r:id="rId26" w:history="1">
        <w:r w:rsidRPr="005366C4">
          <w:rPr>
            <w:rStyle w:val="Hyperlink"/>
            <w:rFonts w:ascii="Times New Roman" w:hAnsi="Times New Roman" w:cs="Times New Roman"/>
            <w:sz w:val="24"/>
            <w:szCs w:val="24"/>
          </w:rPr>
          <w:t>https://doi.org/10.1145/3442188.3445922</w:t>
        </w:r>
      </w:hyperlink>
      <w:r>
        <w:rPr>
          <w:rFonts w:ascii="Times New Roman" w:hAnsi="Times New Roman" w:cs="Times New Roman"/>
          <w:sz w:val="24"/>
          <w:szCs w:val="24"/>
        </w:rPr>
        <w:t xml:space="preserve"> </w:t>
      </w:r>
    </w:p>
    <w:p w14:paraId="7DA1A01B"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Bottoni</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Zizzo</w:t>
      </w:r>
      <w:proofErr w:type="spellEnd"/>
      <w:r w:rsidRPr="004E5BC1">
        <w:rPr>
          <w:rFonts w:ascii="Times New Roman" w:hAnsi="Times New Roman" w:cs="Times New Roman"/>
          <w:sz w:val="24"/>
          <w:szCs w:val="24"/>
        </w:rPr>
        <w:t xml:space="preserve">, G., </w:t>
      </w:r>
      <w:proofErr w:type="spellStart"/>
      <w:r w:rsidRPr="004E5BC1">
        <w:rPr>
          <w:rFonts w:ascii="Times New Roman" w:hAnsi="Times New Roman" w:cs="Times New Roman"/>
          <w:sz w:val="24"/>
          <w:szCs w:val="24"/>
        </w:rPr>
        <w:t>Braghin</w:t>
      </w:r>
      <w:proofErr w:type="spellEnd"/>
      <w:r w:rsidRPr="004E5BC1">
        <w:rPr>
          <w:rFonts w:ascii="Times New Roman" w:hAnsi="Times New Roman" w:cs="Times New Roman"/>
          <w:sz w:val="24"/>
          <w:szCs w:val="24"/>
        </w:rPr>
        <w:t xml:space="preserve">, S., &amp; </w:t>
      </w:r>
      <w:proofErr w:type="spellStart"/>
      <w:r w:rsidRPr="004E5BC1">
        <w:rPr>
          <w:rFonts w:ascii="Times New Roman" w:hAnsi="Times New Roman" w:cs="Times New Roman"/>
          <w:sz w:val="24"/>
          <w:szCs w:val="24"/>
        </w:rPr>
        <w:t>Trombetta</w:t>
      </w:r>
      <w:proofErr w:type="spellEnd"/>
      <w:r w:rsidRPr="004E5BC1">
        <w:rPr>
          <w:rFonts w:ascii="Times New Roman" w:hAnsi="Times New Roman" w:cs="Times New Roman"/>
          <w:sz w:val="24"/>
          <w:szCs w:val="24"/>
        </w:rPr>
        <w:t xml:space="preserve">, A. (2025). </w:t>
      </w:r>
      <w:r w:rsidRPr="004E5BC1">
        <w:rPr>
          <w:rFonts w:ascii="Times New Roman" w:hAnsi="Times New Roman" w:cs="Times New Roman"/>
          <w:i/>
          <w:iCs/>
          <w:sz w:val="24"/>
          <w:szCs w:val="24"/>
        </w:rPr>
        <w:t>Verifiability and Privacy in Federated Learning through Context-Hiding Multi-Key Homomorphic Authenticators</w:t>
      </w:r>
      <w:r w:rsidRPr="004E5BC1">
        <w:rPr>
          <w:rFonts w:ascii="Times New Roman" w:hAnsi="Times New Roman" w:cs="Times New Roman"/>
          <w:sz w:val="24"/>
          <w:szCs w:val="24"/>
        </w:rPr>
        <w:t xml:space="preserve">. ArXiv.org. </w:t>
      </w:r>
      <w:hyperlink r:id="rId27" w:history="1">
        <w:r w:rsidRPr="005366C4">
          <w:rPr>
            <w:rStyle w:val="Hyperlink"/>
            <w:rFonts w:ascii="Times New Roman" w:hAnsi="Times New Roman" w:cs="Times New Roman"/>
            <w:sz w:val="24"/>
            <w:szCs w:val="24"/>
          </w:rPr>
          <w:t>https://arxiv.org/abs/2509.05162</w:t>
        </w:r>
      </w:hyperlink>
      <w:r>
        <w:rPr>
          <w:rFonts w:ascii="Times New Roman" w:hAnsi="Times New Roman" w:cs="Times New Roman"/>
          <w:sz w:val="24"/>
          <w:szCs w:val="24"/>
        </w:rPr>
        <w:t xml:space="preserve"> </w:t>
      </w:r>
    </w:p>
    <w:p w14:paraId="7DA1A01C"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Cao, Y., &amp; </w:t>
      </w:r>
      <w:proofErr w:type="spellStart"/>
      <w:r w:rsidRPr="004E5BC1">
        <w:rPr>
          <w:rFonts w:ascii="Times New Roman" w:hAnsi="Times New Roman" w:cs="Times New Roman"/>
          <w:sz w:val="24"/>
          <w:szCs w:val="24"/>
        </w:rPr>
        <w:t>Zhai</w:t>
      </w:r>
      <w:proofErr w:type="spellEnd"/>
      <w:r w:rsidRPr="004E5BC1">
        <w:rPr>
          <w:rFonts w:ascii="Times New Roman" w:hAnsi="Times New Roman" w:cs="Times New Roman"/>
          <w:sz w:val="24"/>
          <w:szCs w:val="24"/>
        </w:rPr>
        <w:t xml:space="preserve">, J. (2022). A survey of AI in finance. </w:t>
      </w:r>
      <w:r w:rsidRPr="004E5BC1">
        <w:rPr>
          <w:rFonts w:ascii="Times New Roman" w:hAnsi="Times New Roman" w:cs="Times New Roman"/>
          <w:i/>
          <w:iCs/>
          <w:sz w:val="24"/>
          <w:szCs w:val="24"/>
        </w:rPr>
        <w:t>Journal of Chinese Economic and Business Studies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20</w:t>
      </w:r>
      <w:r w:rsidRPr="004E5BC1">
        <w:rPr>
          <w:rFonts w:ascii="Times New Roman" w:hAnsi="Times New Roman" w:cs="Times New Roman"/>
          <w:sz w:val="24"/>
          <w:szCs w:val="24"/>
        </w:rPr>
        <w:t xml:space="preserve">(2), 125–137. </w:t>
      </w:r>
      <w:hyperlink r:id="rId28" w:history="1">
        <w:r w:rsidRPr="005366C4">
          <w:rPr>
            <w:rStyle w:val="Hyperlink"/>
            <w:rFonts w:ascii="Times New Roman" w:hAnsi="Times New Roman" w:cs="Times New Roman"/>
            <w:sz w:val="24"/>
            <w:szCs w:val="24"/>
          </w:rPr>
          <w:t>https://doi.org/10.1080/14765284.2022.2077632</w:t>
        </w:r>
      </w:hyperlink>
      <w:r>
        <w:rPr>
          <w:rFonts w:ascii="Times New Roman" w:hAnsi="Times New Roman" w:cs="Times New Roman"/>
          <w:sz w:val="24"/>
          <w:szCs w:val="24"/>
        </w:rPr>
        <w:t xml:space="preserve"> </w:t>
      </w:r>
    </w:p>
    <w:p w14:paraId="7DA1A01D"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Carlini</w:t>
      </w:r>
      <w:proofErr w:type="spellEnd"/>
      <w:r w:rsidRPr="004E5BC1">
        <w:rPr>
          <w:rFonts w:ascii="Times New Roman" w:hAnsi="Times New Roman" w:cs="Times New Roman"/>
          <w:sz w:val="24"/>
          <w:szCs w:val="24"/>
        </w:rPr>
        <w:t xml:space="preserve">, N., Jagielski, M., </w:t>
      </w:r>
      <w:proofErr w:type="spellStart"/>
      <w:r w:rsidRPr="004E5BC1">
        <w:rPr>
          <w:rFonts w:ascii="Times New Roman" w:hAnsi="Times New Roman" w:cs="Times New Roman"/>
          <w:sz w:val="24"/>
          <w:szCs w:val="24"/>
        </w:rPr>
        <w:t>Choquette</w:t>
      </w:r>
      <w:proofErr w:type="spellEnd"/>
      <w:r w:rsidRPr="004E5BC1">
        <w:rPr>
          <w:rFonts w:ascii="Times New Roman" w:hAnsi="Times New Roman" w:cs="Times New Roman"/>
          <w:sz w:val="24"/>
          <w:szCs w:val="24"/>
        </w:rPr>
        <w:t xml:space="preserve">-Choo, C. A., </w:t>
      </w:r>
      <w:proofErr w:type="spellStart"/>
      <w:r w:rsidRPr="004E5BC1">
        <w:rPr>
          <w:rFonts w:ascii="Times New Roman" w:hAnsi="Times New Roman" w:cs="Times New Roman"/>
          <w:sz w:val="24"/>
          <w:szCs w:val="24"/>
        </w:rPr>
        <w:t>Paleka</w:t>
      </w:r>
      <w:proofErr w:type="spellEnd"/>
      <w:r w:rsidRPr="004E5BC1">
        <w:rPr>
          <w:rFonts w:ascii="Times New Roman" w:hAnsi="Times New Roman" w:cs="Times New Roman"/>
          <w:sz w:val="24"/>
          <w:szCs w:val="24"/>
        </w:rPr>
        <w:t xml:space="preserve">, D., Pearce, W., Anderson, H., Terzis, A., Thomas, K., &amp; </w:t>
      </w:r>
      <w:proofErr w:type="spellStart"/>
      <w:r w:rsidRPr="004E5BC1">
        <w:rPr>
          <w:rFonts w:ascii="Times New Roman" w:hAnsi="Times New Roman" w:cs="Times New Roman"/>
          <w:sz w:val="24"/>
          <w:szCs w:val="24"/>
        </w:rPr>
        <w:t>Tramèr</w:t>
      </w:r>
      <w:proofErr w:type="spellEnd"/>
      <w:r w:rsidRPr="004E5BC1">
        <w:rPr>
          <w:rFonts w:ascii="Times New Roman" w:hAnsi="Times New Roman" w:cs="Times New Roman"/>
          <w:sz w:val="24"/>
          <w:szCs w:val="24"/>
        </w:rPr>
        <w:t xml:space="preserve">, F. (2023). Poisoning Web-Scale Training Datasets is Practical. </w:t>
      </w:r>
      <w:r w:rsidRPr="004E5BC1">
        <w:rPr>
          <w:rFonts w:ascii="Times New Roman" w:hAnsi="Times New Roman" w:cs="Times New Roman"/>
          <w:i/>
          <w:iCs/>
          <w:sz w:val="24"/>
          <w:szCs w:val="24"/>
        </w:rPr>
        <w:t>ArXiv:2302.10149 [Cs]</w:t>
      </w:r>
      <w:r w:rsidRPr="004E5BC1">
        <w:rPr>
          <w:rFonts w:ascii="Times New Roman" w:hAnsi="Times New Roman" w:cs="Times New Roman"/>
          <w:sz w:val="24"/>
          <w:szCs w:val="24"/>
        </w:rPr>
        <w:t xml:space="preserve">. </w:t>
      </w:r>
      <w:hyperlink r:id="rId29" w:history="1">
        <w:r w:rsidRPr="005366C4">
          <w:rPr>
            <w:rStyle w:val="Hyperlink"/>
            <w:rFonts w:ascii="Times New Roman" w:hAnsi="Times New Roman" w:cs="Times New Roman"/>
            <w:sz w:val="24"/>
            <w:szCs w:val="24"/>
          </w:rPr>
          <w:t>https://arxiv.org/abs/2302.10149</w:t>
        </w:r>
      </w:hyperlink>
      <w:r>
        <w:rPr>
          <w:rFonts w:ascii="Times New Roman" w:hAnsi="Times New Roman" w:cs="Times New Roman"/>
          <w:sz w:val="24"/>
          <w:szCs w:val="24"/>
        </w:rPr>
        <w:t xml:space="preserve"> </w:t>
      </w:r>
    </w:p>
    <w:p w14:paraId="7DA1A01E"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Chippagiri</w:t>
      </w:r>
      <w:proofErr w:type="spellEnd"/>
      <w:r w:rsidRPr="004E5BC1">
        <w:rPr>
          <w:rFonts w:ascii="Times New Roman" w:hAnsi="Times New Roman" w:cs="Times New Roman"/>
          <w:sz w:val="24"/>
          <w:szCs w:val="24"/>
        </w:rPr>
        <w:t xml:space="preserve">, S., &amp; Ramesh, A. (2025). PCI DSS: A Critical Analysis of Implementation, Effectiveness, and Legislative Impact in Payment Card Security. </w:t>
      </w:r>
      <w:r w:rsidRPr="004E5BC1">
        <w:rPr>
          <w:rFonts w:ascii="Times New Roman" w:hAnsi="Times New Roman" w:cs="Times New Roman"/>
          <w:i/>
          <w:iCs/>
          <w:sz w:val="24"/>
          <w:szCs w:val="24"/>
        </w:rPr>
        <w:t>International Journal of Scientific Research in Computer Science, Engineering and Information Technology</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11</w:t>
      </w:r>
      <w:r w:rsidRPr="004E5BC1">
        <w:rPr>
          <w:rFonts w:ascii="Times New Roman" w:hAnsi="Times New Roman" w:cs="Times New Roman"/>
          <w:sz w:val="24"/>
          <w:szCs w:val="24"/>
        </w:rPr>
        <w:t xml:space="preserve">(1), 1258–1266. </w:t>
      </w:r>
      <w:hyperlink r:id="rId30" w:history="1">
        <w:r w:rsidRPr="005366C4">
          <w:rPr>
            <w:rStyle w:val="Hyperlink"/>
            <w:rFonts w:ascii="Times New Roman" w:hAnsi="Times New Roman" w:cs="Times New Roman"/>
            <w:sz w:val="24"/>
            <w:szCs w:val="24"/>
          </w:rPr>
          <w:t>https://doi.org/10.32628/cseit251112115</w:t>
        </w:r>
      </w:hyperlink>
      <w:r>
        <w:rPr>
          <w:rFonts w:ascii="Times New Roman" w:hAnsi="Times New Roman" w:cs="Times New Roman"/>
          <w:sz w:val="24"/>
          <w:szCs w:val="24"/>
        </w:rPr>
        <w:t xml:space="preserve"> </w:t>
      </w:r>
    </w:p>
    <w:p w14:paraId="7DA1A01F"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Choowan</w:t>
      </w:r>
      <w:proofErr w:type="spellEnd"/>
      <w:r w:rsidRPr="004E5BC1">
        <w:rPr>
          <w:rFonts w:ascii="Times New Roman" w:hAnsi="Times New Roman" w:cs="Times New Roman"/>
          <w:sz w:val="24"/>
          <w:szCs w:val="24"/>
        </w:rPr>
        <w:t xml:space="preserve">, P., &amp; </w:t>
      </w:r>
      <w:proofErr w:type="spellStart"/>
      <w:r w:rsidRPr="004E5BC1">
        <w:rPr>
          <w:rFonts w:ascii="Times New Roman" w:hAnsi="Times New Roman" w:cs="Times New Roman"/>
          <w:sz w:val="24"/>
          <w:szCs w:val="24"/>
        </w:rPr>
        <w:t>Daovisan</w:t>
      </w:r>
      <w:proofErr w:type="spellEnd"/>
      <w:r w:rsidRPr="004E5BC1">
        <w:rPr>
          <w:rFonts w:ascii="Times New Roman" w:hAnsi="Times New Roman" w:cs="Times New Roman"/>
          <w:sz w:val="24"/>
          <w:szCs w:val="24"/>
        </w:rPr>
        <w:t xml:space="preserve">, H. (2025). Artificial Intelligence in Data Governance for Financial Decision-Making: A Systematic Review. </w:t>
      </w:r>
      <w:r w:rsidRPr="004E5BC1">
        <w:rPr>
          <w:rFonts w:ascii="Times New Roman" w:hAnsi="Times New Roman" w:cs="Times New Roman"/>
          <w:i/>
          <w:iCs/>
          <w:sz w:val="24"/>
          <w:szCs w:val="24"/>
        </w:rPr>
        <w:t>Big Data and Cognitive Computing</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10</w:t>
      </w:r>
      <w:r w:rsidRPr="004E5BC1">
        <w:rPr>
          <w:rFonts w:ascii="Times New Roman" w:hAnsi="Times New Roman" w:cs="Times New Roman"/>
          <w:sz w:val="24"/>
          <w:szCs w:val="24"/>
        </w:rPr>
        <w:t xml:space="preserve">(1), 8–8. </w:t>
      </w:r>
      <w:hyperlink r:id="rId31" w:history="1">
        <w:r w:rsidRPr="005366C4">
          <w:rPr>
            <w:rStyle w:val="Hyperlink"/>
            <w:rFonts w:ascii="Times New Roman" w:hAnsi="Times New Roman" w:cs="Times New Roman"/>
            <w:sz w:val="24"/>
            <w:szCs w:val="24"/>
          </w:rPr>
          <w:t>https://doi.org/10.3390/bdcc10010008</w:t>
        </w:r>
      </w:hyperlink>
      <w:r>
        <w:rPr>
          <w:rFonts w:ascii="Times New Roman" w:hAnsi="Times New Roman" w:cs="Times New Roman"/>
          <w:sz w:val="24"/>
          <w:szCs w:val="24"/>
        </w:rPr>
        <w:t xml:space="preserve"> </w:t>
      </w:r>
    </w:p>
    <w:p w14:paraId="7DA1A020"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Cinà</w:t>
      </w:r>
      <w:proofErr w:type="spellEnd"/>
      <w:r w:rsidRPr="004E5BC1">
        <w:rPr>
          <w:rFonts w:ascii="Times New Roman" w:hAnsi="Times New Roman" w:cs="Times New Roman"/>
          <w:sz w:val="24"/>
          <w:szCs w:val="24"/>
        </w:rPr>
        <w:t xml:space="preserve">, A. E., Grosse, K., </w:t>
      </w:r>
      <w:proofErr w:type="spellStart"/>
      <w:r w:rsidRPr="004E5BC1">
        <w:rPr>
          <w:rFonts w:ascii="Times New Roman" w:hAnsi="Times New Roman" w:cs="Times New Roman"/>
          <w:sz w:val="24"/>
          <w:szCs w:val="24"/>
        </w:rPr>
        <w:t>Demontis</w:t>
      </w:r>
      <w:proofErr w:type="spellEnd"/>
      <w:r w:rsidRPr="004E5BC1">
        <w:rPr>
          <w:rFonts w:ascii="Times New Roman" w:hAnsi="Times New Roman" w:cs="Times New Roman"/>
          <w:sz w:val="24"/>
          <w:szCs w:val="24"/>
        </w:rPr>
        <w:t xml:space="preserve">, A., </w:t>
      </w:r>
      <w:proofErr w:type="spellStart"/>
      <w:r w:rsidRPr="004E5BC1">
        <w:rPr>
          <w:rFonts w:ascii="Times New Roman" w:hAnsi="Times New Roman" w:cs="Times New Roman"/>
          <w:sz w:val="24"/>
          <w:szCs w:val="24"/>
        </w:rPr>
        <w:t>Vascon</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Zellinger</w:t>
      </w:r>
      <w:proofErr w:type="spellEnd"/>
      <w:r w:rsidRPr="004E5BC1">
        <w:rPr>
          <w:rFonts w:ascii="Times New Roman" w:hAnsi="Times New Roman" w:cs="Times New Roman"/>
          <w:sz w:val="24"/>
          <w:szCs w:val="24"/>
        </w:rPr>
        <w:t xml:space="preserve">, W., Moser, B. A., </w:t>
      </w:r>
      <w:proofErr w:type="spellStart"/>
      <w:r w:rsidRPr="004E5BC1">
        <w:rPr>
          <w:rFonts w:ascii="Times New Roman" w:hAnsi="Times New Roman" w:cs="Times New Roman"/>
          <w:sz w:val="24"/>
          <w:szCs w:val="24"/>
        </w:rPr>
        <w:t>Oprea</w:t>
      </w:r>
      <w:proofErr w:type="spellEnd"/>
      <w:r w:rsidRPr="004E5BC1">
        <w:rPr>
          <w:rFonts w:ascii="Times New Roman" w:hAnsi="Times New Roman" w:cs="Times New Roman"/>
          <w:sz w:val="24"/>
          <w:szCs w:val="24"/>
        </w:rPr>
        <w:t xml:space="preserve">, A., </w:t>
      </w:r>
      <w:proofErr w:type="spellStart"/>
      <w:r w:rsidRPr="004E5BC1">
        <w:rPr>
          <w:rFonts w:ascii="Times New Roman" w:hAnsi="Times New Roman" w:cs="Times New Roman"/>
          <w:sz w:val="24"/>
          <w:szCs w:val="24"/>
        </w:rPr>
        <w:t>Biggio</w:t>
      </w:r>
      <w:proofErr w:type="spellEnd"/>
      <w:r w:rsidRPr="004E5BC1">
        <w:rPr>
          <w:rFonts w:ascii="Times New Roman" w:hAnsi="Times New Roman" w:cs="Times New Roman"/>
          <w:sz w:val="24"/>
          <w:szCs w:val="24"/>
        </w:rPr>
        <w:t xml:space="preserve">, B., </w:t>
      </w:r>
      <w:proofErr w:type="spellStart"/>
      <w:r w:rsidRPr="004E5BC1">
        <w:rPr>
          <w:rFonts w:ascii="Times New Roman" w:hAnsi="Times New Roman" w:cs="Times New Roman"/>
          <w:sz w:val="24"/>
          <w:szCs w:val="24"/>
        </w:rPr>
        <w:t>Pelillo</w:t>
      </w:r>
      <w:proofErr w:type="spellEnd"/>
      <w:r w:rsidRPr="004E5BC1">
        <w:rPr>
          <w:rFonts w:ascii="Times New Roman" w:hAnsi="Times New Roman" w:cs="Times New Roman"/>
          <w:sz w:val="24"/>
          <w:szCs w:val="24"/>
        </w:rPr>
        <w:t xml:space="preserve">, M., &amp; </w:t>
      </w:r>
      <w:proofErr w:type="spellStart"/>
      <w:r w:rsidRPr="004E5BC1">
        <w:rPr>
          <w:rFonts w:ascii="Times New Roman" w:hAnsi="Times New Roman" w:cs="Times New Roman"/>
          <w:sz w:val="24"/>
          <w:szCs w:val="24"/>
        </w:rPr>
        <w:t>Roli</w:t>
      </w:r>
      <w:proofErr w:type="spellEnd"/>
      <w:r w:rsidRPr="004E5BC1">
        <w:rPr>
          <w:rFonts w:ascii="Times New Roman" w:hAnsi="Times New Roman" w:cs="Times New Roman"/>
          <w:sz w:val="24"/>
          <w:szCs w:val="24"/>
        </w:rPr>
        <w:t xml:space="preserve">, F. (2023). Wild Patterns Reloaded: A Survey of Machine Learning Security against Training Data Poisoning. </w:t>
      </w:r>
      <w:r w:rsidRPr="004E5BC1">
        <w:rPr>
          <w:rFonts w:ascii="Times New Roman" w:hAnsi="Times New Roman" w:cs="Times New Roman"/>
          <w:i/>
          <w:iCs/>
          <w:sz w:val="24"/>
          <w:szCs w:val="24"/>
        </w:rPr>
        <w:t>ACM Computing Surveys</w:t>
      </w:r>
      <w:r w:rsidRPr="004E5BC1">
        <w:rPr>
          <w:rFonts w:ascii="Times New Roman" w:hAnsi="Times New Roman" w:cs="Times New Roman"/>
          <w:sz w:val="24"/>
          <w:szCs w:val="24"/>
        </w:rPr>
        <w:t xml:space="preserve">. </w:t>
      </w:r>
      <w:hyperlink r:id="rId32" w:history="1">
        <w:r w:rsidRPr="005366C4">
          <w:rPr>
            <w:rStyle w:val="Hyperlink"/>
            <w:rFonts w:ascii="Times New Roman" w:hAnsi="Times New Roman" w:cs="Times New Roman"/>
            <w:sz w:val="24"/>
            <w:szCs w:val="24"/>
          </w:rPr>
          <w:t>https://doi.org/10.1145/3585385</w:t>
        </w:r>
      </w:hyperlink>
      <w:r>
        <w:rPr>
          <w:rFonts w:ascii="Times New Roman" w:hAnsi="Times New Roman" w:cs="Times New Roman"/>
          <w:sz w:val="24"/>
          <w:szCs w:val="24"/>
        </w:rPr>
        <w:t xml:space="preserve"> </w:t>
      </w:r>
    </w:p>
    <w:p w14:paraId="7DA1A021"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Clusmann</w:t>
      </w:r>
      <w:proofErr w:type="spellEnd"/>
      <w:r w:rsidRPr="004E5BC1">
        <w:rPr>
          <w:rFonts w:ascii="Times New Roman" w:hAnsi="Times New Roman" w:cs="Times New Roman"/>
          <w:sz w:val="24"/>
          <w:szCs w:val="24"/>
        </w:rPr>
        <w:t xml:space="preserve">, J., Ferber, D., Wiest, I. C., Schneider, C. V., Brinker, T. J., </w:t>
      </w:r>
      <w:proofErr w:type="spellStart"/>
      <w:r w:rsidRPr="004E5BC1">
        <w:rPr>
          <w:rFonts w:ascii="Times New Roman" w:hAnsi="Times New Roman" w:cs="Times New Roman"/>
          <w:sz w:val="24"/>
          <w:szCs w:val="24"/>
        </w:rPr>
        <w:t>Foersch</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Truhn</w:t>
      </w:r>
      <w:proofErr w:type="spellEnd"/>
      <w:r w:rsidRPr="004E5BC1">
        <w:rPr>
          <w:rFonts w:ascii="Times New Roman" w:hAnsi="Times New Roman" w:cs="Times New Roman"/>
          <w:sz w:val="24"/>
          <w:szCs w:val="24"/>
        </w:rPr>
        <w:t xml:space="preserve">, D., &amp; </w:t>
      </w:r>
      <w:proofErr w:type="spellStart"/>
      <w:r w:rsidRPr="004E5BC1">
        <w:rPr>
          <w:rFonts w:ascii="Times New Roman" w:hAnsi="Times New Roman" w:cs="Times New Roman"/>
          <w:sz w:val="24"/>
          <w:szCs w:val="24"/>
        </w:rPr>
        <w:t>Kather</w:t>
      </w:r>
      <w:proofErr w:type="spellEnd"/>
      <w:r w:rsidRPr="004E5BC1">
        <w:rPr>
          <w:rFonts w:ascii="Times New Roman" w:hAnsi="Times New Roman" w:cs="Times New Roman"/>
          <w:sz w:val="24"/>
          <w:szCs w:val="24"/>
        </w:rPr>
        <w:t xml:space="preserve">, J. N. (2025). Prompt injection attacks on vision language models in oncology. </w:t>
      </w:r>
      <w:r w:rsidRPr="004E5BC1">
        <w:rPr>
          <w:rFonts w:ascii="Times New Roman" w:hAnsi="Times New Roman" w:cs="Times New Roman"/>
          <w:i/>
          <w:iCs/>
          <w:sz w:val="24"/>
          <w:szCs w:val="24"/>
        </w:rPr>
        <w:t>Nature Communications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16</w:t>
      </w:r>
      <w:r w:rsidRPr="004E5BC1">
        <w:rPr>
          <w:rFonts w:ascii="Times New Roman" w:hAnsi="Times New Roman" w:cs="Times New Roman"/>
          <w:sz w:val="24"/>
          <w:szCs w:val="24"/>
        </w:rPr>
        <w:t xml:space="preserve">(1). </w:t>
      </w:r>
      <w:hyperlink r:id="rId33" w:history="1">
        <w:r w:rsidRPr="005366C4">
          <w:rPr>
            <w:rStyle w:val="Hyperlink"/>
            <w:rFonts w:ascii="Times New Roman" w:hAnsi="Times New Roman" w:cs="Times New Roman"/>
            <w:sz w:val="24"/>
            <w:szCs w:val="24"/>
          </w:rPr>
          <w:t>https://doi.org/10.1038/s41467-024-55631-x</w:t>
        </w:r>
      </w:hyperlink>
      <w:r>
        <w:rPr>
          <w:rFonts w:ascii="Times New Roman" w:hAnsi="Times New Roman" w:cs="Times New Roman"/>
          <w:sz w:val="24"/>
          <w:szCs w:val="24"/>
        </w:rPr>
        <w:t xml:space="preserve"> </w:t>
      </w:r>
    </w:p>
    <w:p w14:paraId="7DA1A022"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Douha</w:t>
      </w:r>
      <w:proofErr w:type="spellEnd"/>
      <w:r w:rsidRPr="004E5BC1">
        <w:rPr>
          <w:rFonts w:ascii="Times New Roman" w:hAnsi="Times New Roman" w:cs="Times New Roman"/>
          <w:sz w:val="24"/>
          <w:szCs w:val="24"/>
        </w:rPr>
        <w:t xml:space="preserve">, N. Y.-R., </w:t>
      </w:r>
      <w:proofErr w:type="spellStart"/>
      <w:r w:rsidRPr="004E5BC1">
        <w:rPr>
          <w:rFonts w:ascii="Times New Roman" w:hAnsi="Times New Roman" w:cs="Times New Roman"/>
          <w:sz w:val="24"/>
          <w:szCs w:val="24"/>
        </w:rPr>
        <w:t>Sasabe</w:t>
      </w:r>
      <w:proofErr w:type="spellEnd"/>
      <w:r w:rsidRPr="004E5BC1">
        <w:rPr>
          <w:rFonts w:ascii="Times New Roman" w:hAnsi="Times New Roman" w:cs="Times New Roman"/>
          <w:sz w:val="24"/>
          <w:szCs w:val="24"/>
        </w:rPr>
        <w:t xml:space="preserve">, M., </w:t>
      </w:r>
      <w:proofErr w:type="spellStart"/>
      <w:r w:rsidRPr="004E5BC1">
        <w:rPr>
          <w:rFonts w:ascii="Times New Roman" w:hAnsi="Times New Roman" w:cs="Times New Roman"/>
          <w:sz w:val="24"/>
          <w:szCs w:val="24"/>
        </w:rPr>
        <w:t>Taenaka</w:t>
      </w:r>
      <w:proofErr w:type="spellEnd"/>
      <w:r w:rsidRPr="004E5BC1">
        <w:rPr>
          <w:rFonts w:ascii="Times New Roman" w:hAnsi="Times New Roman" w:cs="Times New Roman"/>
          <w:sz w:val="24"/>
          <w:szCs w:val="24"/>
        </w:rPr>
        <w:t xml:space="preserve">, Y., &amp; </w:t>
      </w:r>
      <w:proofErr w:type="spellStart"/>
      <w:r w:rsidRPr="004E5BC1">
        <w:rPr>
          <w:rFonts w:ascii="Times New Roman" w:hAnsi="Times New Roman" w:cs="Times New Roman"/>
          <w:sz w:val="24"/>
          <w:szCs w:val="24"/>
        </w:rPr>
        <w:t>Kadobayashi</w:t>
      </w:r>
      <w:proofErr w:type="spellEnd"/>
      <w:r w:rsidRPr="004E5BC1">
        <w:rPr>
          <w:rFonts w:ascii="Times New Roman" w:hAnsi="Times New Roman" w:cs="Times New Roman"/>
          <w:sz w:val="24"/>
          <w:szCs w:val="24"/>
        </w:rPr>
        <w:t xml:space="preserve">, Y. (2023). An Evolutionary Game Theoretic Analysis of Cybersecurity Investment Strategies for Smart-Home Users against Cyberattacks. </w:t>
      </w:r>
      <w:r w:rsidRPr="004E5BC1">
        <w:rPr>
          <w:rFonts w:ascii="Times New Roman" w:hAnsi="Times New Roman" w:cs="Times New Roman"/>
          <w:i/>
          <w:iCs/>
          <w:sz w:val="24"/>
          <w:szCs w:val="24"/>
        </w:rPr>
        <w:t>Applied Sciences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13</w:t>
      </w:r>
      <w:r w:rsidRPr="004E5BC1">
        <w:rPr>
          <w:rFonts w:ascii="Times New Roman" w:hAnsi="Times New Roman" w:cs="Times New Roman"/>
          <w:sz w:val="24"/>
          <w:szCs w:val="24"/>
        </w:rPr>
        <w:t xml:space="preserve">(7), 4645–4645. </w:t>
      </w:r>
      <w:hyperlink r:id="rId34" w:history="1">
        <w:r w:rsidRPr="005366C4">
          <w:rPr>
            <w:rStyle w:val="Hyperlink"/>
            <w:rFonts w:ascii="Times New Roman" w:hAnsi="Times New Roman" w:cs="Times New Roman"/>
            <w:sz w:val="24"/>
            <w:szCs w:val="24"/>
          </w:rPr>
          <w:t>https://doi.org/10.3390/app13074645</w:t>
        </w:r>
      </w:hyperlink>
      <w:r>
        <w:rPr>
          <w:rFonts w:ascii="Times New Roman" w:hAnsi="Times New Roman" w:cs="Times New Roman"/>
          <w:sz w:val="24"/>
          <w:szCs w:val="24"/>
        </w:rPr>
        <w:t xml:space="preserve"> </w:t>
      </w:r>
    </w:p>
    <w:p w14:paraId="7DA1A023"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lastRenderedPageBreak/>
        <w:t xml:space="preserve">Eisenberg, I. W., </w:t>
      </w:r>
      <w:proofErr w:type="spellStart"/>
      <w:r w:rsidRPr="004E5BC1">
        <w:rPr>
          <w:rFonts w:ascii="Times New Roman" w:hAnsi="Times New Roman" w:cs="Times New Roman"/>
          <w:sz w:val="24"/>
          <w:szCs w:val="24"/>
        </w:rPr>
        <w:t>Gamboa</w:t>
      </w:r>
      <w:proofErr w:type="spellEnd"/>
      <w:r w:rsidRPr="004E5BC1">
        <w:rPr>
          <w:rFonts w:ascii="Times New Roman" w:hAnsi="Times New Roman" w:cs="Times New Roman"/>
          <w:sz w:val="24"/>
          <w:szCs w:val="24"/>
        </w:rPr>
        <w:t xml:space="preserve">, L., &amp; Sherman, E. (2025). </w:t>
      </w:r>
      <w:r w:rsidRPr="004E5BC1">
        <w:rPr>
          <w:rFonts w:ascii="Times New Roman" w:hAnsi="Times New Roman" w:cs="Times New Roman"/>
          <w:i/>
          <w:iCs/>
          <w:sz w:val="24"/>
          <w:szCs w:val="24"/>
        </w:rPr>
        <w:t>The Unified Control Framework: Establishing a Common Foundation for Enterprise AI Governance, Risk Management and Regulatory Compliance</w:t>
      </w:r>
      <w:r w:rsidRPr="004E5BC1">
        <w:rPr>
          <w:rFonts w:ascii="Times New Roman" w:hAnsi="Times New Roman" w:cs="Times New Roman"/>
          <w:sz w:val="24"/>
          <w:szCs w:val="24"/>
        </w:rPr>
        <w:t xml:space="preserve">. ArXiv.org. </w:t>
      </w:r>
      <w:hyperlink r:id="rId35" w:history="1">
        <w:r w:rsidRPr="005366C4">
          <w:rPr>
            <w:rStyle w:val="Hyperlink"/>
            <w:rFonts w:ascii="Times New Roman" w:hAnsi="Times New Roman" w:cs="Times New Roman"/>
            <w:sz w:val="24"/>
            <w:szCs w:val="24"/>
          </w:rPr>
          <w:t>https://arxiv.org/abs/2503.05937</w:t>
        </w:r>
      </w:hyperlink>
      <w:r>
        <w:rPr>
          <w:rFonts w:ascii="Times New Roman" w:hAnsi="Times New Roman" w:cs="Times New Roman"/>
          <w:sz w:val="24"/>
          <w:szCs w:val="24"/>
        </w:rPr>
        <w:t xml:space="preserve"> </w:t>
      </w:r>
    </w:p>
    <w:p w14:paraId="7DA1A024"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Ferrag</w:t>
      </w:r>
      <w:proofErr w:type="spellEnd"/>
      <w:r w:rsidRPr="004E5BC1">
        <w:rPr>
          <w:rFonts w:ascii="Times New Roman" w:hAnsi="Times New Roman" w:cs="Times New Roman"/>
          <w:sz w:val="24"/>
          <w:szCs w:val="24"/>
        </w:rPr>
        <w:t xml:space="preserve">, M. A., </w:t>
      </w:r>
      <w:proofErr w:type="spellStart"/>
      <w:r w:rsidRPr="004E5BC1">
        <w:rPr>
          <w:rFonts w:ascii="Times New Roman" w:hAnsi="Times New Roman" w:cs="Times New Roman"/>
          <w:sz w:val="24"/>
          <w:szCs w:val="24"/>
        </w:rPr>
        <w:t>Tihanyi</w:t>
      </w:r>
      <w:proofErr w:type="spellEnd"/>
      <w:r w:rsidRPr="004E5BC1">
        <w:rPr>
          <w:rFonts w:ascii="Times New Roman" w:hAnsi="Times New Roman" w:cs="Times New Roman"/>
          <w:sz w:val="24"/>
          <w:szCs w:val="24"/>
        </w:rPr>
        <w:t xml:space="preserve">, N., </w:t>
      </w:r>
      <w:proofErr w:type="spellStart"/>
      <w:r w:rsidRPr="004E5BC1">
        <w:rPr>
          <w:rFonts w:ascii="Times New Roman" w:hAnsi="Times New Roman" w:cs="Times New Roman"/>
          <w:sz w:val="24"/>
          <w:szCs w:val="24"/>
        </w:rPr>
        <w:t>Hamouda</w:t>
      </w:r>
      <w:proofErr w:type="spellEnd"/>
      <w:r w:rsidRPr="004E5BC1">
        <w:rPr>
          <w:rFonts w:ascii="Times New Roman" w:hAnsi="Times New Roman" w:cs="Times New Roman"/>
          <w:sz w:val="24"/>
          <w:szCs w:val="24"/>
        </w:rPr>
        <w:t xml:space="preserve">, D., </w:t>
      </w:r>
      <w:proofErr w:type="spellStart"/>
      <w:r w:rsidRPr="004E5BC1">
        <w:rPr>
          <w:rFonts w:ascii="Times New Roman" w:hAnsi="Times New Roman" w:cs="Times New Roman"/>
          <w:sz w:val="24"/>
          <w:szCs w:val="24"/>
        </w:rPr>
        <w:t>Maglaras</w:t>
      </w:r>
      <w:proofErr w:type="spellEnd"/>
      <w:r w:rsidRPr="004E5BC1">
        <w:rPr>
          <w:rFonts w:ascii="Times New Roman" w:hAnsi="Times New Roman" w:cs="Times New Roman"/>
          <w:sz w:val="24"/>
          <w:szCs w:val="24"/>
        </w:rPr>
        <w:t xml:space="preserve">, L., </w:t>
      </w:r>
      <w:proofErr w:type="spellStart"/>
      <w:r w:rsidRPr="004E5BC1">
        <w:rPr>
          <w:rFonts w:ascii="Times New Roman" w:hAnsi="Times New Roman" w:cs="Times New Roman"/>
          <w:sz w:val="24"/>
          <w:szCs w:val="24"/>
        </w:rPr>
        <w:t>Lakas</w:t>
      </w:r>
      <w:proofErr w:type="spellEnd"/>
      <w:r w:rsidRPr="004E5BC1">
        <w:rPr>
          <w:rFonts w:ascii="Times New Roman" w:hAnsi="Times New Roman" w:cs="Times New Roman"/>
          <w:sz w:val="24"/>
          <w:szCs w:val="24"/>
        </w:rPr>
        <w:t xml:space="preserve">, A., &amp; </w:t>
      </w:r>
      <w:proofErr w:type="spellStart"/>
      <w:r w:rsidRPr="004E5BC1">
        <w:rPr>
          <w:rFonts w:ascii="Times New Roman" w:hAnsi="Times New Roman" w:cs="Times New Roman"/>
          <w:sz w:val="24"/>
          <w:szCs w:val="24"/>
        </w:rPr>
        <w:t>Debbah</w:t>
      </w:r>
      <w:proofErr w:type="spellEnd"/>
      <w:r w:rsidRPr="004E5BC1">
        <w:rPr>
          <w:rFonts w:ascii="Times New Roman" w:hAnsi="Times New Roman" w:cs="Times New Roman"/>
          <w:sz w:val="24"/>
          <w:szCs w:val="24"/>
        </w:rPr>
        <w:t xml:space="preserve">, M. (2025). From prompt injections to protocol exploits: Threats in LLM-powered AI </w:t>
      </w:r>
      <w:proofErr w:type="gramStart"/>
      <w:r w:rsidRPr="004E5BC1">
        <w:rPr>
          <w:rFonts w:ascii="Times New Roman" w:hAnsi="Times New Roman" w:cs="Times New Roman"/>
          <w:sz w:val="24"/>
          <w:szCs w:val="24"/>
        </w:rPr>
        <w:t>agents</w:t>
      </w:r>
      <w:proofErr w:type="gramEnd"/>
      <w:r w:rsidRPr="004E5BC1">
        <w:rPr>
          <w:rFonts w:ascii="Times New Roman" w:hAnsi="Times New Roman" w:cs="Times New Roman"/>
          <w:sz w:val="24"/>
          <w:szCs w:val="24"/>
        </w:rPr>
        <w:t xml:space="preserve"> workflows. </w:t>
      </w:r>
      <w:r w:rsidRPr="004E5BC1">
        <w:rPr>
          <w:rFonts w:ascii="Times New Roman" w:hAnsi="Times New Roman" w:cs="Times New Roman"/>
          <w:i/>
          <w:iCs/>
          <w:sz w:val="24"/>
          <w:szCs w:val="24"/>
        </w:rPr>
        <w:t>ICT Express</w:t>
      </w:r>
      <w:r w:rsidRPr="004E5BC1">
        <w:rPr>
          <w:rFonts w:ascii="Times New Roman" w:hAnsi="Times New Roman" w:cs="Times New Roman"/>
          <w:sz w:val="24"/>
          <w:szCs w:val="24"/>
        </w:rPr>
        <w:t xml:space="preserve">. </w:t>
      </w:r>
      <w:hyperlink r:id="rId36" w:history="1">
        <w:r w:rsidRPr="005366C4">
          <w:rPr>
            <w:rStyle w:val="Hyperlink"/>
            <w:rFonts w:ascii="Times New Roman" w:hAnsi="Times New Roman" w:cs="Times New Roman"/>
            <w:sz w:val="24"/>
            <w:szCs w:val="24"/>
          </w:rPr>
          <w:t>https://doi.org/10.1016/j.icte.2025.12.001</w:t>
        </w:r>
      </w:hyperlink>
      <w:r>
        <w:rPr>
          <w:rFonts w:ascii="Times New Roman" w:hAnsi="Times New Roman" w:cs="Times New Roman"/>
          <w:sz w:val="24"/>
          <w:szCs w:val="24"/>
        </w:rPr>
        <w:t xml:space="preserve"> </w:t>
      </w:r>
    </w:p>
    <w:p w14:paraId="7DA1A025"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Financial Stability Board. (2024). </w:t>
      </w:r>
      <w:r w:rsidRPr="004E5BC1">
        <w:rPr>
          <w:rFonts w:ascii="Times New Roman" w:hAnsi="Times New Roman" w:cs="Times New Roman"/>
          <w:i/>
          <w:iCs/>
          <w:sz w:val="24"/>
          <w:szCs w:val="24"/>
        </w:rPr>
        <w:t>The Financial Stability Implications of Artificial Intelligence</w:t>
      </w:r>
      <w:r w:rsidRPr="004E5BC1">
        <w:rPr>
          <w:rFonts w:ascii="Times New Roman" w:hAnsi="Times New Roman" w:cs="Times New Roman"/>
          <w:sz w:val="24"/>
          <w:szCs w:val="24"/>
        </w:rPr>
        <w:t xml:space="preserve">. </w:t>
      </w:r>
      <w:hyperlink r:id="rId37" w:history="1">
        <w:r w:rsidRPr="005366C4">
          <w:rPr>
            <w:rStyle w:val="Hyperlink"/>
            <w:rFonts w:ascii="Times New Roman" w:hAnsi="Times New Roman" w:cs="Times New Roman"/>
            <w:sz w:val="24"/>
            <w:szCs w:val="24"/>
          </w:rPr>
          <w:t>https://www.fsb.org/uploads/P14112024.pdf</w:t>
        </w:r>
      </w:hyperlink>
      <w:r>
        <w:rPr>
          <w:rFonts w:ascii="Times New Roman" w:hAnsi="Times New Roman" w:cs="Times New Roman"/>
          <w:sz w:val="24"/>
          <w:szCs w:val="24"/>
        </w:rPr>
        <w:t xml:space="preserve"> </w:t>
      </w:r>
    </w:p>
    <w:p w14:paraId="7DA1A026"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Gan, L., Li, J., Zhang, T., Li, X., Meng, Y., Wu, F., Guo, S., &amp; Fan, C. (2022). </w:t>
      </w:r>
      <w:proofErr w:type="spellStart"/>
      <w:r w:rsidRPr="004E5BC1">
        <w:rPr>
          <w:rFonts w:ascii="Times New Roman" w:hAnsi="Times New Roman" w:cs="Times New Roman"/>
          <w:sz w:val="24"/>
          <w:szCs w:val="24"/>
        </w:rPr>
        <w:t>Triggerless</w:t>
      </w:r>
      <w:proofErr w:type="spellEnd"/>
      <w:r w:rsidRPr="004E5BC1">
        <w:rPr>
          <w:rFonts w:ascii="Times New Roman" w:hAnsi="Times New Roman" w:cs="Times New Roman"/>
          <w:sz w:val="24"/>
          <w:szCs w:val="24"/>
        </w:rPr>
        <w:t xml:space="preserve"> Backdoor Attack for NLP Tasks with Clean Labels. </w:t>
      </w:r>
      <w:r w:rsidRPr="004E5BC1">
        <w:rPr>
          <w:rFonts w:ascii="Times New Roman" w:hAnsi="Times New Roman" w:cs="Times New Roman"/>
          <w:i/>
          <w:iCs/>
          <w:sz w:val="24"/>
          <w:szCs w:val="24"/>
        </w:rPr>
        <w:t>Proceedings of the 2022 Conference of the North American Chapter of the Association for Computational Linguistics: Human Language Technologies</w:t>
      </w:r>
      <w:r w:rsidRPr="004E5BC1">
        <w:rPr>
          <w:rFonts w:ascii="Times New Roman" w:hAnsi="Times New Roman" w:cs="Times New Roman"/>
          <w:sz w:val="24"/>
          <w:szCs w:val="24"/>
        </w:rPr>
        <w:t xml:space="preserve">. </w:t>
      </w:r>
      <w:hyperlink r:id="rId38" w:history="1">
        <w:r w:rsidRPr="005366C4">
          <w:rPr>
            <w:rStyle w:val="Hyperlink"/>
            <w:rFonts w:ascii="Times New Roman" w:hAnsi="Times New Roman" w:cs="Times New Roman"/>
            <w:sz w:val="24"/>
            <w:szCs w:val="24"/>
          </w:rPr>
          <w:t>https://doi.org/10.18653/v1/2022.naacl-main.214</w:t>
        </w:r>
      </w:hyperlink>
      <w:r>
        <w:rPr>
          <w:rFonts w:ascii="Times New Roman" w:hAnsi="Times New Roman" w:cs="Times New Roman"/>
          <w:sz w:val="24"/>
          <w:szCs w:val="24"/>
        </w:rPr>
        <w:t xml:space="preserve"> </w:t>
      </w:r>
    </w:p>
    <w:p w14:paraId="7DA1A027"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Geng</w:t>
      </w:r>
      <w:proofErr w:type="spellEnd"/>
      <w:r w:rsidRPr="004E5BC1">
        <w:rPr>
          <w:rFonts w:ascii="Times New Roman" w:hAnsi="Times New Roman" w:cs="Times New Roman"/>
          <w:sz w:val="24"/>
          <w:szCs w:val="24"/>
        </w:rPr>
        <w:t xml:space="preserve">, T., Xu, Z., Qu, Y., &amp; Wong, W. E. (2025). Prompt Injection Attacks on Large Language Models: A Survey of Attack Methods, Root Causes, and Defense Strategies. </w:t>
      </w:r>
      <w:r w:rsidRPr="004E5BC1">
        <w:rPr>
          <w:rFonts w:ascii="Times New Roman" w:hAnsi="Times New Roman" w:cs="Times New Roman"/>
          <w:i/>
          <w:iCs/>
          <w:sz w:val="24"/>
          <w:szCs w:val="24"/>
        </w:rPr>
        <w:t>Computers, Materials &amp; Continua</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0</w:t>
      </w:r>
      <w:r w:rsidRPr="004E5BC1">
        <w:rPr>
          <w:rFonts w:ascii="Times New Roman" w:hAnsi="Times New Roman" w:cs="Times New Roman"/>
          <w:sz w:val="24"/>
          <w:szCs w:val="24"/>
        </w:rPr>
        <w:t xml:space="preserve">(0), 1–10. </w:t>
      </w:r>
      <w:hyperlink r:id="rId39" w:history="1">
        <w:r w:rsidRPr="005366C4">
          <w:rPr>
            <w:rStyle w:val="Hyperlink"/>
            <w:rFonts w:ascii="Times New Roman" w:hAnsi="Times New Roman" w:cs="Times New Roman"/>
            <w:sz w:val="24"/>
            <w:szCs w:val="24"/>
          </w:rPr>
          <w:t>https://doi.org/10.32604/cmc.2025.074081</w:t>
        </w:r>
      </w:hyperlink>
      <w:r>
        <w:rPr>
          <w:rFonts w:ascii="Times New Roman" w:hAnsi="Times New Roman" w:cs="Times New Roman"/>
          <w:sz w:val="24"/>
          <w:szCs w:val="24"/>
        </w:rPr>
        <w:t xml:space="preserve"> </w:t>
      </w:r>
    </w:p>
    <w:p w14:paraId="7DA1A028"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Ghosh </w:t>
      </w:r>
      <w:proofErr w:type="spellStart"/>
      <w:r w:rsidRPr="004E5BC1">
        <w:rPr>
          <w:rFonts w:ascii="Times New Roman" w:hAnsi="Times New Roman" w:cs="Times New Roman"/>
          <w:sz w:val="24"/>
          <w:szCs w:val="24"/>
        </w:rPr>
        <w:t>Dastidar</w:t>
      </w:r>
      <w:proofErr w:type="spellEnd"/>
      <w:r w:rsidRPr="004E5BC1">
        <w:rPr>
          <w:rFonts w:ascii="Times New Roman" w:hAnsi="Times New Roman" w:cs="Times New Roman"/>
          <w:sz w:val="24"/>
          <w:szCs w:val="24"/>
        </w:rPr>
        <w:t xml:space="preserve">, K., </w:t>
      </w:r>
      <w:proofErr w:type="spellStart"/>
      <w:r w:rsidRPr="004E5BC1">
        <w:rPr>
          <w:rFonts w:ascii="Times New Roman" w:hAnsi="Times New Roman" w:cs="Times New Roman"/>
          <w:sz w:val="24"/>
          <w:szCs w:val="24"/>
        </w:rPr>
        <w:t>Caelen</w:t>
      </w:r>
      <w:proofErr w:type="spellEnd"/>
      <w:r w:rsidRPr="004E5BC1">
        <w:rPr>
          <w:rFonts w:ascii="Times New Roman" w:hAnsi="Times New Roman" w:cs="Times New Roman"/>
          <w:sz w:val="24"/>
          <w:szCs w:val="24"/>
        </w:rPr>
        <w:t xml:space="preserve">, O., &amp; </w:t>
      </w:r>
      <w:proofErr w:type="spellStart"/>
      <w:r w:rsidRPr="004E5BC1">
        <w:rPr>
          <w:rFonts w:ascii="Times New Roman" w:hAnsi="Times New Roman" w:cs="Times New Roman"/>
          <w:sz w:val="24"/>
          <w:szCs w:val="24"/>
        </w:rPr>
        <w:t>Granitzer</w:t>
      </w:r>
      <w:proofErr w:type="spellEnd"/>
      <w:r w:rsidRPr="004E5BC1">
        <w:rPr>
          <w:rFonts w:ascii="Times New Roman" w:hAnsi="Times New Roman" w:cs="Times New Roman"/>
          <w:sz w:val="24"/>
          <w:szCs w:val="24"/>
        </w:rPr>
        <w:t xml:space="preserve">, M. (2024). Machine Learning Methods for Credit Card Fraud Detection: A Survey. </w:t>
      </w:r>
      <w:r w:rsidRPr="004E5BC1">
        <w:rPr>
          <w:rFonts w:ascii="Times New Roman" w:hAnsi="Times New Roman" w:cs="Times New Roman"/>
          <w:i/>
          <w:iCs/>
          <w:sz w:val="24"/>
          <w:szCs w:val="24"/>
        </w:rPr>
        <w:t>IEEE Access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12</w:t>
      </w:r>
      <w:r w:rsidRPr="004E5BC1">
        <w:rPr>
          <w:rFonts w:ascii="Times New Roman" w:hAnsi="Times New Roman" w:cs="Times New Roman"/>
          <w:sz w:val="24"/>
          <w:szCs w:val="24"/>
        </w:rPr>
        <w:t xml:space="preserve">, 1–1. </w:t>
      </w:r>
      <w:hyperlink r:id="rId40" w:history="1">
        <w:r w:rsidRPr="005366C4">
          <w:rPr>
            <w:rStyle w:val="Hyperlink"/>
            <w:rFonts w:ascii="Times New Roman" w:hAnsi="Times New Roman" w:cs="Times New Roman"/>
            <w:sz w:val="24"/>
            <w:szCs w:val="24"/>
          </w:rPr>
          <w:t>https://doi.org/10.1109/access.2024.3487298</w:t>
        </w:r>
      </w:hyperlink>
      <w:r>
        <w:rPr>
          <w:rFonts w:ascii="Times New Roman" w:hAnsi="Times New Roman" w:cs="Times New Roman"/>
          <w:sz w:val="24"/>
          <w:szCs w:val="24"/>
        </w:rPr>
        <w:t xml:space="preserve"> </w:t>
      </w:r>
    </w:p>
    <w:p w14:paraId="7DA1A029"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Giulio, B., Marie, B., Claudia, G., Carsten, M., &amp; </w:t>
      </w:r>
      <w:proofErr w:type="spellStart"/>
      <w:r w:rsidRPr="004E5BC1">
        <w:rPr>
          <w:rFonts w:ascii="Times New Roman" w:hAnsi="Times New Roman" w:cs="Times New Roman"/>
          <w:sz w:val="24"/>
          <w:szCs w:val="24"/>
        </w:rPr>
        <w:t>Alpay</w:t>
      </w:r>
      <w:proofErr w:type="spellEnd"/>
      <w:r w:rsidRPr="004E5BC1">
        <w:rPr>
          <w:rFonts w:ascii="Times New Roman" w:hAnsi="Times New Roman" w:cs="Times New Roman"/>
          <w:sz w:val="24"/>
          <w:szCs w:val="24"/>
        </w:rPr>
        <w:t xml:space="preserve">, S. (2025). </w:t>
      </w:r>
      <w:r w:rsidRPr="004E5BC1">
        <w:rPr>
          <w:rFonts w:ascii="Times New Roman" w:hAnsi="Times New Roman" w:cs="Times New Roman"/>
          <w:i/>
          <w:iCs/>
          <w:sz w:val="24"/>
          <w:szCs w:val="24"/>
        </w:rPr>
        <w:t>LEVERAGING LARGE LANGUAGE MODELS IN FINANCE: Pathways to Responsible Adoption</w:t>
      </w:r>
      <w:r w:rsidRPr="004E5BC1">
        <w:rPr>
          <w:rFonts w:ascii="Times New Roman" w:hAnsi="Times New Roman" w:cs="Times New Roman"/>
          <w:sz w:val="24"/>
          <w:szCs w:val="24"/>
        </w:rPr>
        <w:t xml:space="preserve">. </w:t>
      </w:r>
      <w:hyperlink r:id="rId41" w:history="1">
        <w:r w:rsidRPr="005366C4">
          <w:rPr>
            <w:rStyle w:val="Hyperlink"/>
            <w:rFonts w:ascii="Times New Roman" w:hAnsi="Times New Roman" w:cs="Times New Roman"/>
            <w:sz w:val="24"/>
            <w:szCs w:val="24"/>
          </w:rPr>
          <w:t>https://www.esma.europa.eu/sites/default/files/2025-06/LLMs_in_finance_-_ILB_ESMA_Turing_Report.pdf</w:t>
        </w:r>
      </w:hyperlink>
      <w:r>
        <w:rPr>
          <w:rFonts w:ascii="Times New Roman" w:hAnsi="Times New Roman" w:cs="Times New Roman"/>
          <w:sz w:val="24"/>
          <w:szCs w:val="24"/>
        </w:rPr>
        <w:t xml:space="preserve"> </w:t>
      </w:r>
    </w:p>
    <w:p w14:paraId="7DA1A02A"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Goldblum, M., Tsipras, D., </w:t>
      </w:r>
      <w:proofErr w:type="spellStart"/>
      <w:r w:rsidRPr="004E5BC1">
        <w:rPr>
          <w:rFonts w:ascii="Times New Roman" w:hAnsi="Times New Roman" w:cs="Times New Roman"/>
          <w:sz w:val="24"/>
          <w:szCs w:val="24"/>
        </w:rPr>
        <w:t>Xie</w:t>
      </w:r>
      <w:proofErr w:type="spellEnd"/>
      <w:r w:rsidRPr="004E5BC1">
        <w:rPr>
          <w:rFonts w:ascii="Times New Roman" w:hAnsi="Times New Roman" w:cs="Times New Roman"/>
          <w:sz w:val="24"/>
          <w:szCs w:val="24"/>
        </w:rPr>
        <w:t xml:space="preserve">, C., Chen, X., Schwarzschild, A., Song, D., </w:t>
      </w:r>
      <w:proofErr w:type="spellStart"/>
      <w:r w:rsidRPr="004E5BC1">
        <w:rPr>
          <w:rFonts w:ascii="Times New Roman" w:hAnsi="Times New Roman" w:cs="Times New Roman"/>
          <w:sz w:val="24"/>
          <w:szCs w:val="24"/>
        </w:rPr>
        <w:t>Madry</w:t>
      </w:r>
      <w:proofErr w:type="spellEnd"/>
      <w:r w:rsidRPr="004E5BC1">
        <w:rPr>
          <w:rFonts w:ascii="Times New Roman" w:hAnsi="Times New Roman" w:cs="Times New Roman"/>
          <w:sz w:val="24"/>
          <w:szCs w:val="24"/>
        </w:rPr>
        <w:t xml:space="preserve">, A., Li, B., &amp; Goldstein, T. (2022). Dataset Security for Machine Learning: Data Poisoning, Backdoor Attacks, and Defenses. </w:t>
      </w:r>
      <w:r w:rsidRPr="004E5BC1">
        <w:rPr>
          <w:rFonts w:ascii="Times New Roman" w:hAnsi="Times New Roman" w:cs="Times New Roman"/>
          <w:i/>
          <w:iCs/>
          <w:sz w:val="24"/>
          <w:szCs w:val="24"/>
        </w:rPr>
        <w:t>IEEE Transactions on Pattern Analysis and Machine Intelligence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45</w:t>
      </w:r>
      <w:r w:rsidRPr="004E5BC1">
        <w:rPr>
          <w:rFonts w:ascii="Times New Roman" w:hAnsi="Times New Roman" w:cs="Times New Roman"/>
          <w:sz w:val="24"/>
          <w:szCs w:val="24"/>
        </w:rPr>
        <w:t xml:space="preserve">(2), 1–1. </w:t>
      </w:r>
      <w:hyperlink r:id="rId42" w:history="1">
        <w:r w:rsidRPr="005366C4">
          <w:rPr>
            <w:rStyle w:val="Hyperlink"/>
            <w:rFonts w:ascii="Times New Roman" w:hAnsi="Times New Roman" w:cs="Times New Roman"/>
            <w:sz w:val="24"/>
            <w:szCs w:val="24"/>
          </w:rPr>
          <w:t>https://doi.org/10.1109/tpami.2022.3162397</w:t>
        </w:r>
      </w:hyperlink>
      <w:r>
        <w:rPr>
          <w:rFonts w:ascii="Times New Roman" w:hAnsi="Times New Roman" w:cs="Times New Roman"/>
          <w:sz w:val="24"/>
          <w:szCs w:val="24"/>
        </w:rPr>
        <w:t xml:space="preserve"> </w:t>
      </w:r>
    </w:p>
    <w:p w14:paraId="7DA1A02B"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Goodspeed, L. (2022). </w:t>
      </w:r>
      <w:r w:rsidRPr="004E5BC1">
        <w:rPr>
          <w:rFonts w:ascii="Times New Roman" w:hAnsi="Times New Roman" w:cs="Times New Roman"/>
          <w:i/>
          <w:iCs/>
          <w:sz w:val="24"/>
          <w:szCs w:val="24"/>
        </w:rPr>
        <w:t>PCI DSS v4.x Resource Hub</w:t>
      </w:r>
      <w:r w:rsidRPr="004E5BC1">
        <w:rPr>
          <w:rFonts w:ascii="Times New Roman" w:hAnsi="Times New Roman" w:cs="Times New Roman"/>
          <w:sz w:val="24"/>
          <w:szCs w:val="24"/>
        </w:rPr>
        <w:t xml:space="preserve">. Pcisecuritystandards.org. </w:t>
      </w:r>
      <w:hyperlink r:id="rId43" w:history="1">
        <w:r w:rsidRPr="005366C4">
          <w:rPr>
            <w:rStyle w:val="Hyperlink"/>
            <w:rFonts w:ascii="Times New Roman" w:hAnsi="Times New Roman" w:cs="Times New Roman"/>
            <w:sz w:val="24"/>
            <w:szCs w:val="24"/>
          </w:rPr>
          <w:t>https://blog.pcisecuritystandards.org/pci-dss-v4-0-resource-hub?utm_</w:t>
        </w:r>
      </w:hyperlink>
      <w:r>
        <w:rPr>
          <w:rFonts w:ascii="Times New Roman" w:hAnsi="Times New Roman" w:cs="Times New Roman"/>
          <w:sz w:val="24"/>
          <w:szCs w:val="24"/>
        </w:rPr>
        <w:t xml:space="preserve"> </w:t>
      </w:r>
    </w:p>
    <w:p w14:paraId="7DA1A02C"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Gulyamov</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Gulyamov</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Rodionov</w:t>
      </w:r>
      <w:proofErr w:type="spellEnd"/>
      <w:r w:rsidRPr="004E5BC1">
        <w:rPr>
          <w:rFonts w:ascii="Times New Roman" w:hAnsi="Times New Roman" w:cs="Times New Roman"/>
          <w:sz w:val="24"/>
          <w:szCs w:val="24"/>
        </w:rPr>
        <w:t xml:space="preserve">, A., </w:t>
      </w:r>
      <w:proofErr w:type="spellStart"/>
      <w:r w:rsidRPr="004E5BC1">
        <w:rPr>
          <w:rFonts w:ascii="Times New Roman" w:hAnsi="Times New Roman" w:cs="Times New Roman"/>
          <w:sz w:val="24"/>
          <w:szCs w:val="24"/>
        </w:rPr>
        <w:t>Khursanov</w:t>
      </w:r>
      <w:proofErr w:type="spellEnd"/>
      <w:r w:rsidRPr="004E5BC1">
        <w:rPr>
          <w:rFonts w:ascii="Times New Roman" w:hAnsi="Times New Roman" w:cs="Times New Roman"/>
          <w:sz w:val="24"/>
          <w:szCs w:val="24"/>
        </w:rPr>
        <w:t xml:space="preserve">, R., </w:t>
      </w:r>
      <w:proofErr w:type="spellStart"/>
      <w:r w:rsidRPr="004E5BC1">
        <w:rPr>
          <w:rFonts w:ascii="Times New Roman" w:hAnsi="Times New Roman" w:cs="Times New Roman"/>
          <w:sz w:val="24"/>
          <w:szCs w:val="24"/>
        </w:rPr>
        <w:t>Mekhmonov</w:t>
      </w:r>
      <w:proofErr w:type="spellEnd"/>
      <w:r w:rsidRPr="004E5BC1">
        <w:rPr>
          <w:rFonts w:ascii="Times New Roman" w:hAnsi="Times New Roman" w:cs="Times New Roman"/>
          <w:sz w:val="24"/>
          <w:szCs w:val="24"/>
        </w:rPr>
        <w:t xml:space="preserve">, K., </w:t>
      </w:r>
      <w:proofErr w:type="spellStart"/>
      <w:r w:rsidRPr="004E5BC1">
        <w:rPr>
          <w:rFonts w:ascii="Times New Roman" w:hAnsi="Times New Roman" w:cs="Times New Roman"/>
          <w:sz w:val="24"/>
          <w:szCs w:val="24"/>
        </w:rPr>
        <w:t>Babaev</w:t>
      </w:r>
      <w:proofErr w:type="spellEnd"/>
      <w:r w:rsidRPr="004E5BC1">
        <w:rPr>
          <w:rFonts w:ascii="Times New Roman" w:hAnsi="Times New Roman" w:cs="Times New Roman"/>
          <w:sz w:val="24"/>
          <w:szCs w:val="24"/>
        </w:rPr>
        <w:t xml:space="preserve">, D., &amp; </w:t>
      </w:r>
      <w:proofErr w:type="spellStart"/>
      <w:r w:rsidRPr="004E5BC1">
        <w:rPr>
          <w:rFonts w:ascii="Times New Roman" w:hAnsi="Times New Roman" w:cs="Times New Roman"/>
          <w:sz w:val="24"/>
          <w:szCs w:val="24"/>
        </w:rPr>
        <w:t>Rakhimjonov</w:t>
      </w:r>
      <w:proofErr w:type="spellEnd"/>
      <w:r w:rsidRPr="004E5BC1">
        <w:rPr>
          <w:rFonts w:ascii="Times New Roman" w:hAnsi="Times New Roman" w:cs="Times New Roman"/>
          <w:sz w:val="24"/>
          <w:szCs w:val="24"/>
        </w:rPr>
        <w:t xml:space="preserve">, A. (2026). Prompt Injection Attacks in Large Language Models and AI Agent Systems: A Comprehensive Review of Vulnerabilities, Attack Vectors, and Defense Mechanisms. </w:t>
      </w:r>
      <w:r w:rsidRPr="004E5BC1">
        <w:rPr>
          <w:rFonts w:ascii="Times New Roman" w:hAnsi="Times New Roman" w:cs="Times New Roman"/>
          <w:i/>
          <w:iCs/>
          <w:sz w:val="24"/>
          <w:szCs w:val="24"/>
        </w:rPr>
        <w:t>Information</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17</w:t>
      </w:r>
      <w:r w:rsidRPr="004E5BC1">
        <w:rPr>
          <w:rFonts w:ascii="Times New Roman" w:hAnsi="Times New Roman" w:cs="Times New Roman"/>
          <w:sz w:val="24"/>
          <w:szCs w:val="24"/>
        </w:rPr>
        <w:t xml:space="preserve">(1), 54. </w:t>
      </w:r>
      <w:hyperlink r:id="rId44" w:history="1">
        <w:r w:rsidRPr="005366C4">
          <w:rPr>
            <w:rStyle w:val="Hyperlink"/>
            <w:rFonts w:ascii="Times New Roman" w:hAnsi="Times New Roman" w:cs="Times New Roman"/>
            <w:sz w:val="24"/>
            <w:szCs w:val="24"/>
          </w:rPr>
          <w:t>https://doi.org/10.3390/info17010054</w:t>
        </w:r>
      </w:hyperlink>
      <w:r>
        <w:rPr>
          <w:rFonts w:ascii="Times New Roman" w:hAnsi="Times New Roman" w:cs="Times New Roman"/>
          <w:sz w:val="24"/>
          <w:szCs w:val="24"/>
        </w:rPr>
        <w:t xml:space="preserve"> </w:t>
      </w:r>
    </w:p>
    <w:p w14:paraId="7DA1A02D"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lastRenderedPageBreak/>
        <w:t>Hartle</w:t>
      </w:r>
      <w:proofErr w:type="spellEnd"/>
      <w:r w:rsidRPr="004E5BC1">
        <w:rPr>
          <w:rFonts w:ascii="Times New Roman" w:hAnsi="Times New Roman" w:cs="Times New Roman"/>
          <w:sz w:val="24"/>
          <w:szCs w:val="24"/>
        </w:rPr>
        <w:t xml:space="preserve">, F., Mancini, S., &amp; Kerry, E. (2025). Issues in Information Systems Data poisoning 2018-2025: A systematic review of risks, impacts, and mitigation challenges. </w:t>
      </w:r>
      <w:r w:rsidRPr="004E5BC1">
        <w:rPr>
          <w:rFonts w:ascii="Times New Roman" w:hAnsi="Times New Roman" w:cs="Times New Roman"/>
          <w:i/>
          <w:iCs/>
          <w:sz w:val="24"/>
          <w:szCs w:val="24"/>
        </w:rPr>
        <w:t>Issues in Information Systems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25</w:t>
      </w:r>
      <w:r w:rsidRPr="004E5BC1">
        <w:rPr>
          <w:rFonts w:ascii="Times New Roman" w:hAnsi="Times New Roman" w:cs="Times New Roman"/>
          <w:sz w:val="24"/>
          <w:szCs w:val="24"/>
        </w:rPr>
        <w:t xml:space="preserve">(4), 433–442. </w:t>
      </w:r>
      <w:hyperlink r:id="rId45" w:history="1">
        <w:r w:rsidRPr="005366C4">
          <w:rPr>
            <w:rStyle w:val="Hyperlink"/>
            <w:rFonts w:ascii="Times New Roman" w:hAnsi="Times New Roman" w:cs="Times New Roman"/>
            <w:sz w:val="24"/>
            <w:szCs w:val="24"/>
          </w:rPr>
          <w:t>https://doi.org/10.48009/4_iis_2025_135</w:t>
        </w:r>
      </w:hyperlink>
      <w:r>
        <w:rPr>
          <w:rFonts w:ascii="Times New Roman" w:hAnsi="Times New Roman" w:cs="Times New Roman"/>
          <w:sz w:val="24"/>
          <w:szCs w:val="24"/>
        </w:rPr>
        <w:t xml:space="preserve"> </w:t>
      </w:r>
    </w:p>
    <w:p w14:paraId="7DA1A02E"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He, Z., Davila, D., Bi, S., Wang, T., &amp; Hou, T. (2025). Machine Learning for Cybersecurity: A Survey of Applications, Adversarial Challenges, and Future Research Directions. </w:t>
      </w:r>
      <w:r w:rsidRPr="004E5BC1">
        <w:rPr>
          <w:rFonts w:ascii="Times New Roman" w:hAnsi="Times New Roman" w:cs="Times New Roman"/>
          <w:i/>
          <w:iCs/>
          <w:sz w:val="24"/>
          <w:szCs w:val="24"/>
        </w:rPr>
        <w:t>Electronics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14</w:t>
      </w:r>
      <w:r w:rsidRPr="004E5BC1">
        <w:rPr>
          <w:rFonts w:ascii="Times New Roman" w:hAnsi="Times New Roman" w:cs="Times New Roman"/>
          <w:sz w:val="24"/>
          <w:szCs w:val="24"/>
        </w:rPr>
        <w:t xml:space="preserve">(23), 4563. </w:t>
      </w:r>
      <w:hyperlink r:id="rId46" w:history="1">
        <w:r w:rsidRPr="005366C4">
          <w:rPr>
            <w:rStyle w:val="Hyperlink"/>
            <w:rFonts w:ascii="Times New Roman" w:hAnsi="Times New Roman" w:cs="Times New Roman"/>
            <w:sz w:val="24"/>
            <w:szCs w:val="24"/>
          </w:rPr>
          <w:t>https://doi.org/10.3390/electronics14234563</w:t>
        </w:r>
      </w:hyperlink>
      <w:r>
        <w:rPr>
          <w:rFonts w:ascii="Times New Roman" w:hAnsi="Times New Roman" w:cs="Times New Roman"/>
          <w:sz w:val="24"/>
          <w:szCs w:val="24"/>
        </w:rPr>
        <w:t xml:space="preserve"> </w:t>
      </w:r>
    </w:p>
    <w:p w14:paraId="7DA1A02F"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Jagielski, M., </w:t>
      </w:r>
      <w:proofErr w:type="spellStart"/>
      <w:r w:rsidRPr="004E5BC1">
        <w:rPr>
          <w:rFonts w:ascii="Times New Roman" w:hAnsi="Times New Roman" w:cs="Times New Roman"/>
          <w:sz w:val="24"/>
          <w:szCs w:val="24"/>
        </w:rPr>
        <w:t>Severi</w:t>
      </w:r>
      <w:proofErr w:type="spellEnd"/>
      <w:r w:rsidRPr="004E5BC1">
        <w:rPr>
          <w:rFonts w:ascii="Times New Roman" w:hAnsi="Times New Roman" w:cs="Times New Roman"/>
          <w:sz w:val="24"/>
          <w:szCs w:val="24"/>
        </w:rPr>
        <w:t xml:space="preserve">, G., </w:t>
      </w:r>
      <w:proofErr w:type="spellStart"/>
      <w:r w:rsidRPr="004E5BC1">
        <w:rPr>
          <w:rFonts w:ascii="Times New Roman" w:hAnsi="Times New Roman" w:cs="Times New Roman"/>
          <w:sz w:val="24"/>
          <w:szCs w:val="24"/>
        </w:rPr>
        <w:t>Harger</w:t>
      </w:r>
      <w:proofErr w:type="spellEnd"/>
      <w:r w:rsidRPr="004E5BC1">
        <w:rPr>
          <w:rFonts w:ascii="Times New Roman" w:hAnsi="Times New Roman" w:cs="Times New Roman"/>
          <w:sz w:val="24"/>
          <w:szCs w:val="24"/>
        </w:rPr>
        <w:t xml:space="preserve">, N. P., &amp; </w:t>
      </w:r>
      <w:proofErr w:type="spellStart"/>
      <w:r w:rsidRPr="004E5BC1">
        <w:rPr>
          <w:rFonts w:ascii="Times New Roman" w:hAnsi="Times New Roman" w:cs="Times New Roman"/>
          <w:sz w:val="24"/>
          <w:szCs w:val="24"/>
        </w:rPr>
        <w:t>Oprea</w:t>
      </w:r>
      <w:proofErr w:type="spellEnd"/>
      <w:r w:rsidRPr="004E5BC1">
        <w:rPr>
          <w:rFonts w:ascii="Times New Roman" w:hAnsi="Times New Roman" w:cs="Times New Roman"/>
          <w:sz w:val="24"/>
          <w:szCs w:val="24"/>
        </w:rPr>
        <w:t xml:space="preserve">, A. (2021). </w:t>
      </w:r>
      <w:r w:rsidRPr="004E5BC1">
        <w:rPr>
          <w:rFonts w:ascii="Times New Roman" w:hAnsi="Times New Roman" w:cs="Times New Roman"/>
          <w:i/>
          <w:iCs/>
          <w:sz w:val="24"/>
          <w:szCs w:val="24"/>
        </w:rPr>
        <w:t>Subpopulation Data Poisoning Attacks</w:t>
      </w:r>
      <w:r w:rsidRPr="004E5BC1">
        <w:rPr>
          <w:rFonts w:ascii="Times New Roman" w:hAnsi="Times New Roman" w:cs="Times New Roman"/>
          <w:sz w:val="24"/>
          <w:szCs w:val="24"/>
        </w:rPr>
        <w:t xml:space="preserve">. ArXiv.org. </w:t>
      </w:r>
      <w:hyperlink r:id="rId47" w:history="1">
        <w:r w:rsidRPr="005366C4">
          <w:rPr>
            <w:rStyle w:val="Hyperlink"/>
            <w:rFonts w:ascii="Times New Roman" w:hAnsi="Times New Roman" w:cs="Times New Roman"/>
            <w:sz w:val="24"/>
            <w:szCs w:val="24"/>
          </w:rPr>
          <w:t>https://arxiv.org/abs/2006.14026v3</w:t>
        </w:r>
      </w:hyperlink>
      <w:r>
        <w:rPr>
          <w:rFonts w:ascii="Times New Roman" w:hAnsi="Times New Roman" w:cs="Times New Roman"/>
          <w:sz w:val="24"/>
          <w:szCs w:val="24"/>
        </w:rPr>
        <w:t xml:space="preserve"> </w:t>
      </w:r>
    </w:p>
    <w:p w14:paraId="7DA1A030"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Kairouz</w:t>
      </w:r>
      <w:proofErr w:type="spellEnd"/>
      <w:r w:rsidRPr="004E5BC1">
        <w:rPr>
          <w:rFonts w:ascii="Times New Roman" w:hAnsi="Times New Roman" w:cs="Times New Roman"/>
          <w:sz w:val="24"/>
          <w:szCs w:val="24"/>
        </w:rPr>
        <w:t xml:space="preserve">, P., &amp; McMahan, H. B. (2021). Advances and Open Problems in Federated Learning. </w:t>
      </w:r>
      <w:r w:rsidRPr="004E5BC1">
        <w:rPr>
          <w:rFonts w:ascii="Times New Roman" w:hAnsi="Times New Roman" w:cs="Times New Roman"/>
          <w:i/>
          <w:iCs/>
          <w:sz w:val="24"/>
          <w:szCs w:val="24"/>
        </w:rPr>
        <w:t>Foundations and Trends® in Machine Learning</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14</w:t>
      </w:r>
      <w:r w:rsidRPr="004E5BC1">
        <w:rPr>
          <w:rFonts w:ascii="Times New Roman" w:hAnsi="Times New Roman" w:cs="Times New Roman"/>
          <w:sz w:val="24"/>
          <w:szCs w:val="24"/>
        </w:rPr>
        <w:t xml:space="preserve">(1). </w:t>
      </w:r>
      <w:hyperlink r:id="rId48" w:history="1">
        <w:r w:rsidRPr="005366C4">
          <w:rPr>
            <w:rStyle w:val="Hyperlink"/>
            <w:rFonts w:ascii="Times New Roman" w:hAnsi="Times New Roman" w:cs="Times New Roman"/>
            <w:sz w:val="24"/>
            <w:szCs w:val="24"/>
          </w:rPr>
          <w:t>https://doi.org/10.1561/2200000083</w:t>
        </w:r>
      </w:hyperlink>
      <w:r>
        <w:rPr>
          <w:rFonts w:ascii="Times New Roman" w:hAnsi="Times New Roman" w:cs="Times New Roman"/>
          <w:sz w:val="24"/>
          <w:szCs w:val="24"/>
        </w:rPr>
        <w:t xml:space="preserve"> </w:t>
      </w:r>
    </w:p>
    <w:p w14:paraId="7DA1A031"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Karras</w:t>
      </w:r>
      <w:proofErr w:type="spellEnd"/>
      <w:r w:rsidRPr="004E5BC1">
        <w:rPr>
          <w:rFonts w:ascii="Times New Roman" w:hAnsi="Times New Roman" w:cs="Times New Roman"/>
          <w:sz w:val="24"/>
          <w:szCs w:val="24"/>
        </w:rPr>
        <w:t xml:space="preserve">, A., </w:t>
      </w:r>
      <w:proofErr w:type="spellStart"/>
      <w:r w:rsidRPr="004E5BC1">
        <w:rPr>
          <w:rFonts w:ascii="Times New Roman" w:hAnsi="Times New Roman" w:cs="Times New Roman"/>
          <w:sz w:val="24"/>
          <w:szCs w:val="24"/>
        </w:rPr>
        <w:t>Theodorakopoulos</w:t>
      </w:r>
      <w:proofErr w:type="spellEnd"/>
      <w:r w:rsidRPr="004E5BC1">
        <w:rPr>
          <w:rFonts w:ascii="Times New Roman" w:hAnsi="Times New Roman" w:cs="Times New Roman"/>
          <w:sz w:val="24"/>
          <w:szCs w:val="24"/>
        </w:rPr>
        <w:t xml:space="preserve">, L., </w:t>
      </w:r>
      <w:proofErr w:type="spellStart"/>
      <w:r w:rsidRPr="004E5BC1">
        <w:rPr>
          <w:rFonts w:ascii="Times New Roman" w:hAnsi="Times New Roman" w:cs="Times New Roman"/>
          <w:sz w:val="24"/>
          <w:szCs w:val="24"/>
        </w:rPr>
        <w:t>Karras</w:t>
      </w:r>
      <w:proofErr w:type="spellEnd"/>
      <w:r w:rsidRPr="004E5BC1">
        <w:rPr>
          <w:rFonts w:ascii="Times New Roman" w:hAnsi="Times New Roman" w:cs="Times New Roman"/>
          <w:sz w:val="24"/>
          <w:szCs w:val="24"/>
        </w:rPr>
        <w:t xml:space="preserve">, C., </w:t>
      </w:r>
      <w:proofErr w:type="spellStart"/>
      <w:r w:rsidRPr="004E5BC1">
        <w:rPr>
          <w:rFonts w:ascii="Times New Roman" w:hAnsi="Times New Roman" w:cs="Times New Roman"/>
          <w:sz w:val="24"/>
          <w:szCs w:val="24"/>
        </w:rPr>
        <w:t>Theodoropoulou</w:t>
      </w:r>
      <w:proofErr w:type="spellEnd"/>
      <w:r w:rsidRPr="004E5BC1">
        <w:rPr>
          <w:rFonts w:ascii="Times New Roman" w:hAnsi="Times New Roman" w:cs="Times New Roman"/>
          <w:sz w:val="24"/>
          <w:szCs w:val="24"/>
        </w:rPr>
        <w:t xml:space="preserve">, A., </w:t>
      </w:r>
      <w:proofErr w:type="spellStart"/>
      <w:r w:rsidRPr="004E5BC1">
        <w:rPr>
          <w:rFonts w:ascii="Times New Roman" w:hAnsi="Times New Roman" w:cs="Times New Roman"/>
          <w:sz w:val="24"/>
          <w:szCs w:val="24"/>
        </w:rPr>
        <w:t>Kalliampakou</w:t>
      </w:r>
      <w:proofErr w:type="spellEnd"/>
      <w:r w:rsidRPr="004E5BC1">
        <w:rPr>
          <w:rFonts w:ascii="Times New Roman" w:hAnsi="Times New Roman" w:cs="Times New Roman"/>
          <w:sz w:val="24"/>
          <w:szCs w:val="24"/>
        </w:rPr>
        <w:t xml:space="preserve">, I., &amp; </w:t>
      </w:r>
      <w:proofErr w:type="spellStart"/>
      <w:r w:rsidRPr="004E5BC1">
        <w:rPr>
          <w:rFonts w:ascii="Times New Roman" w:hAnsi="Times New Roman" w:cs="Times New Roman"/>
          <w:sz w:val="24"/>
          <w:szCs w:val="24"/>
        </w:rPr>
        <w:t>Kalogeratos</w:t>
      </w:r>
      <w:proofErr w:type="spellEnd"/>
      <w:r w:rsidRPr="004E5BC1">
        <w:rPr>
          <w:rFonts w:ascii="Times New Roman" w:hAnsi="Times New Roman" w:cs="Times New Roman"/>
          <w:sz w:val="24"/>
          <w:szCs w:val="24"/>
        </w:rPr>
        <w:t xml:space="preserve">, G. (2025). LLMs for Cybersecurity in the Big Data Era: A Comprehensive Review of Applications, Challenges, and Future Directions. </w:t>
      </w:r>
      <w:r w:rsidRPr="004E5BC1">
        <w:rPr>
          <w:rFonts w:ascii="Times New Roman" w:hAnsi="Times New Roman" w:cs="Times New Roman"/>
          <w:i/>
          <w:iCs/>
          <w:sz w:val="24"/>
          <w:szCs w:val="24"/>
        </w:rPr>
        <w:t>Information</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16</w:t>
      </w:r>
      <w:r w:rsidRPr="004E5BC1">
        <w:rPr>
          <w:rFonts w:ascii="Times New Roman" w:hAnsi="Times New Roman" w:cs="Times New Roman"/>
          <w:sz w:val="24"/>
          <w:szCs w:val="24"/>
        </w:rPr>
        <w:t xml:space="preserve">(11), 957–957. </w:t>
      </w:r>
      <w:hyperlink r:id="rId49" w:history="1">
        <w:r w:rsidRPr="005366C4">
          <w:rPr>
            <w:rStyle w:val="Hyperlink"/>
            <w:rFonts w:ascii="Times New Roman" w:hAnsi="Times New Roman" w:cs="Times New Roman"/>
            <w:sz w:val="24"/>
            <w:szCs w:val="24"/>
          </w:rPr>
          <w:t>https://doi.org/10.3390/info16110957</w:t>
        </w:r>
      </w:hyperlink>
      <w:r>
        <w:rPr>
          <w:rFonts w:ascii="Times New Roman" w:hAnsi="Times New Roman" w:cs="Times New Roman"/>
          <w:sz w:val="24"/>
          <w:szCs w:val="24"/>
        </w:rPr>
        <w:t xml:space="preserve"> </w:t>
      </w:r>
    </w:p>
    <w:p w14:paraId="7DA1A032"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Kshetri</w:t>
      </w:r>
      <w:proofErr w:type="spellEnd"/>
      <w:r w:rsidRPr="004E5BC1">
        <w:rPr>
          <w:rFonts w:ascii="Times New Roman" w:hAnsi="Times New Roman" w:cs="Times New Roman"/>
          <w:sz w:val="24"/>
          <w:szCs w:val="24"/>
        </w:rPr>
        <w:t xml:space="preserve">, N., &amp; </w:t>
      </w:r>
      <w:proofErr w:type="spellStart"/>
      <w:r w:rsidRPr="004E5BC1">
        <w:rPr>
          <w:rFonts w:ascii="Times New Roman" w:hAnsi="Times New Roman" w:cs="Times New Roman"/>
          <w:sz w:val="24"/>
          <w:szCs w:val="24"/>
        </w:rPr>
        <w:t>Loukoianova</w:t>
      </w:r>
      <w:proofErr w:type="spellEnd"/>
      <w:r w:rsidRPr="004E5BC1">
        <w:rPr>
          <w:rFonts w:ascii="Times New Roman" w:hAnsi="Times New Roman" w:cs="Times New Roman"/>
          <w:sz w:val="24"/>
          <w:szCs w:val="24"/>
        </w:rPr>
        <w:t xml:space="preserve">, E. (2022). Data Privacy Considerations for Central Bank Digital Currencies in Asia–Pacific Countries. </w:t>
      </w:r>
      <w:r w:rsidRPr="004E5BC1">
        <w:rPr>
          <w:rFonts w:ascii="Times New Roman" w:hAnsi="Times New Roman" w:cs="Times New Roman"/>
          <w:i/>
          <w:iCs/>
          <w:sz w:val="24"/>
          <w:szCs w:val="24"/>
        </w:rPr>
        <w:t>Computer</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55</w:t>
      </w:r>
      <w:r w:rsidRPr="004E5BC1">
        <w:rPr>
          <w:rFonts w:ascii="Times New Roman" w:hAnsi="Times New Roman" w:cs="Times New Roman"/>
          <w:sz w:val="24"/>
          <w:szCs w:val="24"/>
        </w:rPr>
        <w:t xml:space="preserve">(3), 95–100. </w:t>
      </w:r>
      <w:hyperlink r:id="rId50" w:history="1">
        <w:r w:rsidRPr="005366C4">
          <w:rPr>
            <w:rStyle w:val="Hyperlink"/>
            <w:rFonts w:ascii="Times New Roman" w:hAnsi="Times New Roman" w:cs="Times New Roman"/>
            <w:sz w:val="24"/>
            <w:szCs w:val="24"/>
          </w:rPr>
          <w:t>https://doi.org/10.1109/mc.2022.3141228</w:t>
        </w:r>
      </w:hyperlink>
      <w:r>
        <w:rPr>
          <w:rFonts w:ascii="Times New Roman" w:hAnsi="Times New Roman" w:cs="Times New Roman"/>
          <w:sz w:val="24"/>
          <w:szCs w:val="24"/>
        </w:rPr>
        <w:t xml:space="preserve"> </w:t>
      </w:r>
    </w:p>
    <w:p w14:paraId="7DA1A033"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Kumar, S. (2025). Distributed computing technologies: Transforming the modern fintech landscape. </w:t>
      </w:r>
      <w:r w:rsidRPr="004E5BC1">
        <w:rPr>
          <w:rFonts w:ascii="Times New Roman" w:hAnsi="Times New Roman" w:cs="Times New Roman"/>
          <w:i/>
          <w:iCs/>
          <w:sz w:val="24"/>
          <w:szCs w:val="24"/>
        </w:rPr>
        <w:t>World Journal of Advanced Engineering Technology and Sciences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15</w:t>
      </w:r>
      <w:r w:rsidRPr="004E5BC1">
        <w:rPr>
          <w:rFonts w:ascii="Times New Roman" w:hAnsi="Times New Roman" w:cs="Times New Roman"/>
          <w:sz w:val="24"/>
          <w:szCs w:val="24"/>
        </w:rPr>
        <w:t xml:space="preserve">(2), 996–1004. </w:t>
      </w:r>
      <w:hyperlink r:id="rId51" w:history="1">
        <w:r w:rsidRPr="005366C4">
          <w:rPr>
            <w:rStyle w:val="Hyperlink"/>
            <w:rFonts w:ascii="Times New Roman" w:hAnsi="Times New Roman" w:cs="Times New Roman"/>
            <w:sz w:val="24"/>
            <w:szCs w:val="24"/>
          </w:rPr>
          <w:t>https://doi.org/10.30574/wjaets.2025.15.2.0660</w:t>
        </w:r>
      </w:hyperlink>
      <w:r>
        <w:rPr>
          <w:rFonts w:ascii="Times New Roman" w:hAnsi="Times New Roman" w:cs="Times New Roman"/>
          <w:sz w:val="24"/>
          <w:szCs w:val="24"/>
        </w:rPr>
        <w:t xml:space="preserve"> </w:t>
      </w:r>
    </w:p>
    <w:p w14:paraId="7DA1A034"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Kure, H. I., Sarkar, P., </w:t>
      </w:r>
      <w:proofErr w:type="spellStart"/>
      <w:r w:rsidRPr="004E5BC1">
        <w:rPr>
          <w:rFonts w:ascii="Times New Roman" w:hAnsi="Times New Roman" w:cs="Times New Roman"/>
          <w:sz w:val="24"/>
          <w:szCs w:val="24"/>
        </w:rPr>
        <w:t>Ndanusa</w:t>
      </w:r>
      <w:proofErr w:type="spellEnd"/>
      <w:r w:rsidRPr="004E5BC1">
        <w:rPr>
          <w:rFonts w:ascii="Times New Roman" w:hAnsi="Times New Roman" w:cs="Times New Roman"/>
          <w:sz w:val="24"/>
          <w:szCs w:val="24"/>
        </w:rPr>
        <w:t xml:space="preserve">, A. B., &amp; </w:t>
      </w:r>
      <w:proofErr w:type="spellStart"/>
      <w:r w:rsidRPr="004E5BC1">
        <w:rPr>
          <w:rFonts w:ascii="Times New Roman" w:hAnsi="Times New Roman" w:cs="Times New Roman"/>
          <w:sz w:val="24"/>
          <w:szCs w:val="24"/>
        </w:rPr>
        <w:t>Nwajana</w:t>
      </w:r>
      <w:proofErr w:type="spellEnd"/>
      <w:r w:rsidRPr="004E5BC1">
        <w:rPr>
          <w:rFonts w:ascii="Times New Roman" w:hAnsi="Times New Roman" w:cs="Times New Roman"/>
          <w:sz w:val="24"/>
          <w:szCs w:val="24"/>
        </w:rPr>
        <w:t xml:space="preserve">, A. O. (2025, March 12). </w:t>
      </w:r>
      <w:r w:rsidRPr="004E5BC1">
        <w:rPr>
          <w:rFonts w:ascii="Times New Roman" w:hAnsi="Times New Roman" w:cs="Times New Roman"/>
          <w:i/>
          <w:iCs/>
          <w:sz w:val="24"/>
          <w:szCs w:val="24"/>
        </w:rPr>
        <w:t>Detecting and Preventing Data Poisoning Attacks on AI Models</w:t>
      </w:r>
      <w:r w:rsidRPr="004E5BC1">
        <w:rPr>
          <w:rFonts w:ascii="Times New Roman" w:hAnsi="Times New Roman" w:cs="Times New Roman"/>
          <w:sz w:val="24"/>
          <w:szCs w:val="24"/>
        </w:rPr>
        <w:t xml:space="preserve">. Computer Science &gt; Cryptography and Security. </w:t>
      </w:r>
      <w:hyperlink r:id="rId52" w:history="1">
        <w:r w:rsidRPr="005366C4">
          <w:rPr>
            <w:rStyle w:val="Hyperlink"/>
            <w:rFonts w:ascii="Times New Roman" w:hAnsi="Times New Roman" w:cs="Times New Roman"/>
            <w:sz w:val="24"/>
            <w:szCs w:val="24"/>
          </w:rPr>
          <w:t>https://doi.org/10.48550/arXiv.2503.09302</w:t>
        </w:r>
      </w:hyperlink>
      <w:r>
        <w:rPr>
          <w:rFonts w:ascii="Times New Roman" w:hAnsi="Times New Roman" w:cs="Times New Roman"/>
          <w:sz w:val="24"/>
          <w:szCs w:val="24"/>
        </w:rPr>
        <w:t xml:space="preserve"> </w:t>
      </w:r>
    </w:p>
    <w:p w14:paraId="7DA1A035"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Kurita, K., Michel, P., &amp; </w:t>
      </w:r>
      <w:proofErr w:type="spellStart"/>
      <w:r w:rsidRPr="004E5BC1">
        <w:rPr>
          <w:rFonts w:ascii="Times New Roman" w:hAnsi="Times New Roman" w:cs="Times New Roman"/>
          <w:sz w:val="24"/>
          <w:szCs w:val="24"/>
        </w:rPr>
        <w:t>Neubig</w:t>
      </w:r>
      <w:proofErr w:type="spellEnd"/>
      <w:r w:rsidRPr="004E5BC1">
        <w:rPr>
          <w:rFonts w:ascii="Times New Roman" w:hAnsi="Times New Roman" w:cs="Times New Roman"/>
          <w:sz w:val="24"/>
          <w:szCs w:val="24"/>
        </w:rPr>
        <w:t xml:space="preserve">, G. (2020). Weight Poisoning Attacks on Pretrained Models. </w:t>
      </w:r>
      <w:proofErr w:type="spellStart"/>
      <w:r w:rsidRPr="004E5BC1">
        <w:rPr>
          <w:rFonts w:ascii="Times New Roman" w:hAnsi="Times New Roman" w:cs="Times New Roman"/>
          <w:i/>
          <w:iCs/>
          <w:sz w:val="24"/>
          <w:szCs w:val="24"/>
        </w:rPr>
        <w:t>ArXiv</w:t>
      </w:r>
      <w:proofErr w:type="spellEnd"/>
      <w:r w:rsidRPr="004E5BC1">
        <w:rPr>
          <w:rFonts w:ascii="Times New Roman" w:hAnsi="Times New Roman" w:cs="Times New Roman"/>
          <w:i/>
          <w:iCs/>
          <w:sz w:val="24"/>
          <w:szCs w:val="24"/>
        </w:rPr>
        <w:t xml:space="preserve"> (Cornell University)</w:t>
      </w:r>
      <w:r w:rsidRPr="004E5BC1">
        <w:rPr>
          <w:rFonts w:ascii="Times New Roman" w:hAnsi="Times New Roman" w:cs="Times New Roman"/>
          <w:sz w:val="24"/>
          <w:szCs w:val="24"/>
        </w:rPr>
        <w:t xml:space="preserve">. </w:t>
      </w:r>
      <w:hyperlink r:id="rId53" w:history="1">
        <w:r w:rsidRPr="005366C4">
          <w:rPr>
            <w:rStyle w:val="Hyperlink"/>
            <w:rFonts w:ascii="Times New Roman" w:hAnsi="Times New Roman" w:cs="Times New Roman"/>
            <w:sz w:val="24"/>
            <w:szCs w:val="24"/>
          </w:rPr>
          <w:t>https://doi.org/10.18653/v1/2020.acl-main.249</w:t>
        </w:r>
      </w:hyperlink>
      <w:r>
        <w:rPr>
          <w:rFonts w:ascii="Times New Roman" w:hAnsi="Times New Roman" w:cs="Times New Roman"/>
          <w:sz w:val="24"/>
          <w:szCs w:val="24"/>
        </w:rPr>
        <w:t xml:space="preserve"> </w:t>
      </w:r>
    </w:p>
    <w:p w14:paraId="7DA1A036"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Li, K., Li, C., Yuan, X., Li, S., Zou, S., Ahmed, S. S., Ni, W., Dusit </w:t>
      </w:r>
      <w:proofErr w:type="spellStart"/>
      <w:r w:rsidRPr="004E5BC1">
        <w:rPr>
          <w:rFonts w:ascii="Times New Roman" w:hAnsi="Times New Roman" w:cs="Times New Roman"/>
          <w:sz w:val="24"/>
          <w:szCs w:val="24"/>
        </w:rPr>
        <w:t>Niyato</w:t>
      </w:r>
      <w:proofErr w:type="spellEnd"/>
      <w:r w:rsidRPr="004E5BC1">
        <w:rPr>
          <w:rFonts w:ascii="Times New Roman" w:hAnsi="Times New Roman" w:cs="Times New Roman"/>
          <w:sz w:val="24"/>
          <w:szCs w:val="24"/>
        </w:rPr>
        <w:t xml:space="preserve">, Abbas </w:t>
      </w:r>
      <w:proofErr w:type="spellStart"/>
      <w:r w:rsidRPr="004E5BC1">
        <w:rPr>
          <w:rFonts w:ascii="Times New Roman" w:hAnsi="Times New Roman" w:cs="Times New Roman"/>
          <w:sz w:val="24"/>
          <w:szCs w:val="24"/>
        </w:rPr>
        <w:t>Jamalipour</w:t>
      </w:r>
      <w:proofErr w:type="spellEnd"/>
      <w:r w:rsidRPr="004E5BC1">
        <w:rPr>
          <w:rFonts w:ascii="Times New Roman" w:hAnsi="Times New Roman" w:cs="Times New Roman"/>
          <w:sz w:val="24"/>
          <w:szCs w:val="24"/>
        </w:rPr>
        <w:t xml:space="preserve">, Dressler, F., &amp; Akan, Ö. B. (2025). Zero-Trust Foundation Models: A New Paradigm for Secure and Collaborative Artificial Intelligence for Internet of Things. </w:t>
      </w:r>
      <w:r w:rsidRPr="004E5BC1">
        <w:rPr>
          <w:rFonts w:ascii="Times New Roman" w:hAnsi="Times New Roman" w:cs="Times New Roman"/>
          <w:i/>
          <w:iCs/>
          <w:sz w:val="24"/>
          <w:szCs w:val="24"/>
        </w:rPr>
        <w:t>IEEE Internet of Things Journal</w:t>
      </w:r>
      <w:r w:rsidRPr="004E5BC1">
        <w:rPr>
          <w:rFonts w:ascii="Times New Roman" w:hAnsi="Times New Roman" w:cs="Times New Roman"/>
          <w:sz w:val="24"/>
          <w:szCs w:val="24"/>
        </w:rPr>
        <w:t xml:space="preserve">, 1–1. </w:t>
      </w:r>
      <w:hyperlink r:id="rId54" w:history="1">
        <w:r w:rsidRPr="005366C4">
          <w:rPr>
            <w:rStyle w:val="Hyperlink"/>
            <w:rFonts w:ascii="Times New Roman" w:hAnsi="Times New Roman" w:cs="Times New Roman"/>
            <w:sz w:val="24"/>
            <w:szCs w:val="24"/>
          </w:rPr>
          <w:t>https://doi.org/10.1109/jiot.2025.3603957</w:t>
        </w:r>
      </w:hyperlink>
      <w:r>
        <w:rPr>
          <w:rFonts w:ascii="Times New Roman" w:hAnsi="Times New Roman" w:cs="Times New Roman"/>
          <w:sz w:val="24"/>
          <w:szCs w:val="24"/>
        </w:rPr>
        <w:t xml:space="preserve"> </w:t>
      </w:r>
    </w:p>
    <w:p w14:paraId="7DA1A037"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Li, Y., Wang, S., Ding, H., &amp; Chen, H. (2023). Large Language Models in Finance: A Survey. </w:t>
      </w:r>
      <w:r w:rsidRPr="004E5BC1">
        <w:rPr>
          <w:rFonts w:ascii="Times New Roman" w:hAnsi="Times New Roman" w:cs="Times New Roman"/>
          <w:i/>
          <w:iCs/>
          <w:sz w:val="24"/>
          <w:szCs w:val="24"/>
        </w:rPr>
        <w:t>ICAIF ’23: Proceedings of the Fourth ACM International Conference on AI in Finance</w:t>
      </w:r>
      <w:r w:rsidRPr="004E5BC1">
        <w:rPr>
          <w:rFonts w:ascii="Times New Roman" w:hAnsi="Times New Roman" w:cs="Times New Roman"/>
          <w:sz w:val="24"/>
          <w:szCs w:val="24"/>
        </w:rPr>
        <w:t xml:space="preserve">, 374–382. </w:t>
      </w:r>
      <w:hyperlink r:id="rId55" w:history="1">
        <w:r w:rsidRPr="005366C4">
          <w:rPr>
            <w:rStyle w:val="Hyperlink"/>
            <w:rFonts w:ascii="Times New Roman" w:hAnsi="Times New Roman" w:cs="Times New Roman"/>
            <w:sz w:val="24"/>
            <w:szCs w:val="24"/>
          </w:rPr>
          <w:t>https://doi.org/10.1145/3604237.3626869</w:t>
        </w:r>
      </w:hyperlink>
      <w:r>
        <w:rPr>
          <w:rFonts w:ascii="Times New Roman" w:hAnsi="Times New Roman" w:cs="Times New Roman"/>
          <w:sz w:val="24"/>
          <w:szCs w:val="24"/>
        </w:rPr>
        <w:t xml:space="preserve"> </w:t>
      </w:r>
    </w:p>
    <w:p w14:paraId="7DA1A038"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lastRenderedPageBreak/>
        <w:t xml:space="preserve">Liu, Y., Deng, G., Li, Y., Wang, K., Zhang, T., Liu, Y., Wang, H., Zheng, Y., &amp; Liu, Y. (2023, June 8). </w:t>
      </w:r>
      <w:r w:rsidRPr="004E5BC1">
        <w:rPr>
          <w:rFonts w:ascii="Times New Roman" w:hAnsi="Times New Roman" w:cs="Times New Roman"/>
          <w:i/>
          <w:iCs/>
          <w:sz w:val="24"/>
          <w:szCs w:val="24"/>
        </w:rPr>
        <w:t>Prompt Injection attack against LLM-integrated Applications</w:t>
      </w:r>
      <w:r w:rsidRPr="004E5BC1">
        <w:rPr>
          <w:rFonts w:ascii="Times New Roman" w:hAnsi="Times New Roman" w:cs="Times New Roman"/>
          <w:sz w:val="24"/>
          <w:szCs w:val="24"/>
        </w:rPr>
        <w:t xml:space="preserve">. ArXiv.org. </w:t>
      </w:r>
      <w:hyperlink r:id="rId56" w:history="1">
        <w:r w:rsidRPr="005366C4">
          <w:rPr>
            <w:rStyle w:val="Hyperlink"/>
            <w:rFonts w:ascii="Times New Roman" w:hAnsi="Times New Roman" w:cs="Times New Roman"/>
            <w:sz w:val="24"/>
            <w:szCs w:val="24"/>
          </w:rPr>
          <w:t>https://doi.org/10.48550/arXiv.2306.05499</w:t>
        </w:r>
      </w:hyperlink>
      <w:r>
        <w:rPr>
          <w:rFonts w:ascii="Times New Roman" w:hAnsi="Times New Roman" w:cs="Times New Roman"/>
          <w:sz w:val="24"/>
          <w:szCs w:val="24"/>
        </w:rPr>
        <w:t xml:space="preserve"> </w:t>
      </w:r>
    </w:p>
    <w:p w14:paraId="7DA1A039"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Lyu</w:t>
      </w:r>
      <w:proofErr w:type="spellEnd"/>
      <w:r w:rsidRPr="004E5BC1">
        <w:rPr>
          <w:rFonts w:ascii="Times New Roman" w:hAnsi="Times New Roman" w:cs="Times New Roman"/>
          <w:sz w:val="24"/>
          <w:szCs w:val="24"/>
        </w:rPr>
        <w:t xml:space="preserve">, W., Bi, Z., Wang, F., &amp; Chen, C. (2025). </w:t>
      </w:r>
      <w:proofErr w:type="spellStart"/>
      <w:r w:rsidRPr="004E5BC1">
        <w:rPr>
          <w:rFonts w:ascii="Times New Roman" w:hAnsi="Times New Roman" w:cs="Times New Roman"/>
          <w:sz w:val="24"/>
          <w:szCs w:val="24"/>
        </w:rPr>
        <w:t>BadCLM</w:t>
      </w:r>
      <w:proofErr w:type="spellEnd"/>
      <w:r w:rsidRPr="004E5BC1">
        <w:rPr>
          <w:rFonts w:ascii="Times New Roman" w:hAnsi="Times New Roman" w:cs="Times New Roman"/>
          <w:sz w:val="24"/>
          <w:szCs w:val="24"/>
        </w:rPr>
        <w:t xml:space="preserve">: Backdoor Attack in Clinical Language Models for Electronic Health Records. </w:t>
      </w:r>
      <w:r w:rsidRPr="004E5BC1">
        <w:rPr>
          <w:rFonts w:ascii="Times New Roman" w:hAnsi="Times New Roman" w:cs="Times New Roman"/>
          <w:i/>
          <w:iCs/>
          <w:sz w:val="24"/>
          <w:szCs w:val="24"/>
        </w:rPr>
        <w:t>AMIA ... Annual Symposium Proceedings. AMIA Symposium</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2024</w:t>
      </w:r>
      <w:r w:rsidRPr="004E5BC1">
        <w:rPr>
          <w:rFonts w:ascii="Times New Roman" w:hAnsi="Times New Roman" w:cs="Times New Roman"/>
          <w:sz w:val="24"/>
          <w:szCs w:val="24"/>
        </w:rPr>
        <w:t xml:space="preserve">, 768–777. </w:t>
      </w:r>
      <w:hyperlink r:id="rId57" w:history="1">
        <w:r w:rsidRPr="005366C4">
          <w:rPr>
            <w:rStyle w:val="Hyperlink"/>
            <w:rFonts w:ascii="Times New Roman" w:hAnsi="Times New Roman" w:cs="Times New Roman"/>
            <w:sz w:val="24"/>
            <w:szCs w:val="24"/>
          </w:rPr>
          <w:t>https://pubmed.ncbi.nlm.nih.gov/40417555/</w:t>
        </w:r>
      </w:hyperlink>
      <w:r>
        <w:rPr>
          <w:rFonts w:ascii="Times New Roman" w:hAnsi="Times New Roman" w:cs="Times New Roman"/>
          <w:sz w:val="24"/>
          <w:szCs w:val="24"/>
        </w:rPr>
        <w:t xml:space="preserve"> </w:t>
      </w:r>
    </w:p>
    <w:p w14:paraId="7DA1A03A"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Mayeke</w:t>
      </w:r>
      <w:proofErr w:type="spellEnd"/>
      <w:r w:rsidRPr="004E5BC1">
        <w:rPr>
          <w:rFonts w:ascii="Times New Roman" w:hAnsi="Times New Roman" w:cs="Times New Roman"/>
          <w:sz w:val="24"/>
          <w:szCs w:val="24"/>
        </w:rPr>
        <w:t xml:space="preserve">, N. R. (2025). Adapting Telemetry for Cyber-Physical Continuous Verification in Cameroon’s Energy Sector. </w:t>
      </w:r>
      <w:r w:rsidRPr="004E5BC1">
        <w:rPr>
          <w:rFonts w:ascii="Times New Roman" w:hAnsi="Times New Roman" w:cs="Times New Roman"/>
          <w:i/>
          <w:iCs/>
          <w:sz w:val="24"/>
          <w:szCs w:val="24"/>
        </w:rPr>
        <w:t>Journal of Energy Research and Reviews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17</w:t>
      </w:r>
      <w:r w:rsidRPr="004E5BC1">
        <w:rPr>
          <w:rFonts w:ascii="Times New Roman" w:hAnsi="Times New Roman" w:cs="Times New Roman"/>
          <w:sz w:val="24"/>
          <w:szCs w:val="24"/>
        </w:rPr>
        <w:t xml:space="preserve">(12), 107–131. </w:t>
      </w:r>
      <w:hyperlink r:id="rId58" w:history="1">
        <w:r w:rsidRPr="005366C4">
          <w:rPr>
            <w:rStyle w:val="Hyperlink"/>
            <w:rFonts w:ascii="Times New Roman" w:hAnsi="Times New Roman" w:cs="Times New Roman"/>
            <w:sz w:val="24"/>
            <w:szCs w:val="24"/>
          </w:rPr>
          <w:t>https://doi.org/10.9734/jenrr/2025/v17i12482</w:t>
        </w:r>
      </w:hyperlink>
      <w:r>
        <w:rPr>
          <w:rFonts w:ascii="Times New Roman" w:hAnsi="Times New Roman" w:cs="Times New Roman"/>
          <w:sz w:val="24"/>
          <w:szCs w:val="24"/>
        </w:rPr>
        <w:t xml:space="preserve"> </w:t>
      </w:r>
    </w:p>
    <w:p w14:paraId="7DA1A03B"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Micali</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Reyzin</w:t>
      </w:r>
      <w:proofErr w:type="spellEnd"/>
      <w:r w:rsidRPr="004E5BC1">
        <w:rPr>
          <w:rFonts w:ascii="Times New Roman" w:hAnsi="Times New Roman" w:cs="Times New Roman"/>
          <w:sz w:val="24"/>
          <w:szCs w:val="24"/>
        </w:rPr>
        <w:t xml:space="preserve">, L., Vlachos, G., </w:t>
      </w:r>
      <w:proofErr w:type="spellStart"/>
      <w:r w:rsidRPr="004E5BC1">
        <w:rPr>
          <w:rFonts w:ascii="Times New Roman" w:hAnsi="Times New Roman" w:cs="Times New Roman"/>
          <w:sz w:val="24"/>
          <w:szCs w:val="24"/>
        </w:rPr>
        <w:t>Wahby</w:t>
      </w:r>
      <w:proofErr w:type="spellEnd"/>
      <w:r w:rsidRPr="004E5BC1">
        <w:rPr>
          <w:rFonts w:ascii="Times New Roman" w:hAnsi="Times New Roman" w:cs="Times New Roman"/>
          <w:sz w:val="24"/>
          <w:szCs w:val="24"/>
        </w:rPr>
        <w:t xml:space="preserve">, R. S., &amp; </w:t>
      </w:r>
      <w:proofErr w:type="spellStart"/>
      <w:r w:rsidRPr="004E5BC1">
        <w:rPr>
          <w:rFonts w:ascii="Times New Roman" w:hAnsi="Times New Roman" w:cs="Times New Roman"/>
          <w:sz w:val="24"/>
          <w:szCs w:val="24"/>
        </w:rPr>
        <w:t>Zeldovich</w:t>
      </w:r>
      <w:proofErr w:type="spellEnd"/>
      <w:r w:rsidRPr="004E5BC1">
        <w:rPr>
          <w:rFonts w:ascii="Times New Roman" w:hAnsi="Times New Roman" w:cs="Times New Roman"/>
          <w:sz w:val="24"/>
          <w:szCs w:val="24"/>
        </w:rPr>
        <w:t xml:space="preserve">, N. (2021). Compact Certificates of Collective Knowledge. </w:t>
      </w:r>
      <w:r w:rsidRPr="004E5BC1">
        <w:rPr>
          <w:rFonts w:ascii="Times New Roman" w:hAnsi="Times New Roman" w:cs="Times New Roman"/>
          <w:i/>
          <w:iCs/>
          <w:sz w:val="24"/>
          <w:szCs w:val="24"/>
        </w:rPr>
        <w:t>2021 IEEE Symposium on Security and Privacy (SP)</w:t>
      </w:r>
      <w:r w:rsidRPr="004E5BC1">
        <w:rPr>
          <w:rFonts w:ascii="Times New Roman" w:hAnsi="Times New Roman" w:cs="Times New Roman"/>
          <w:sz w:val="24"/>
          <w:szCs w:val="24"/>
        </w:rPr>
        <w:t xml:space="preserve">, 626–641. </w:t>
      </w:r>
      <w:hyperlink r:id="rId59" w:history="1">
        <w:r w:rsidRPr="005366C4">
          <w:rPr>
            <w:rStyle w:val="Hyperlink"/>
            <w:rFonts w:ascii="Times New Roman" w:hAnsi="Times New Roman" w:cs="Times New Roman"/>
            <w:sz w:val="24"/>
            <w:szCs w:val="24"/>
          </w:rPr>
          <w:t>https://doi.org/10.1109/sp40001.2021.00096</w:t>
        </w:r>
      </w:hyperlink>
      <w:r>
        <w:rPr>
          <w:rFonts w:ascii="Times New Roman" w:hAnsi="Times New Roman" w:cs="Times New Roman"/>
          <w:sz w:val="24"/>
          <w:szCs w:val="24"/>
        </w:rPr>
        <w:t xml:space="preserve"> </w:t>
      </w:r>
    </w:p>
    <w:p w14:paraId="7DA1A03C"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NIST. (2023, July 12). </w:t>
      </w:r>
      <w:r w:rsidRPr="004E5BC1">
        <w:rPr>
          <w:rFonts w:ascii="Times New Roman" w:hAnsi="Times New Roman" w:cs="Times New Roman"/>
          <w:i/>
          <w:iCs/>
          <w:sz w:val="24"/>
          <w:szCs w:val="24"/>
        </w:rPr>
        <w:t>AI Risk Management Framework</w:t>
      </w:r>
      <w:r w:rsidRPr="004E5BC1">
        <w:rPr>
          <w:rFonts w:ascii="Times New Roman" w:hAnsi="Times New Roman" w:cs="Times New Roman"/>
          <w:sz w:val="24"/>
          <w:szCs w:val="24"/>
        </w:rPr>
        <w:t xml:space="preserve">. NIST. </w:t>
      </w:r>
      <w:hyperlink r:id="rId60" w:history="1">
        <w:r w:rsidRPr="005366C4">
          <w:rPr>
            <w:rStyle w:val="Hyperlink"/>
            <w:rFonts w:ascii="Times New Roman" w:hAnsi="Times New Roman" w:cs="Times New Roman"/>
            <w:sz w:val="24"/>
            <w:szCs w:val="24"/>
          </w:rPr>
          <w:t>https://www.nist.gov/itl/ai-risk-management-framework</w:t>
        </w:r>
      </w:hyperlink>
      <w:r>
        <w:rPr>
          <w:rFonts w:ascii="Times New Roman" w:hAnsi="Times New Roman" w:cs="Times New Roman"/>
          <w:sz w:val="24"/>
          <w:szCs w:val="24"/>
        </w:rPr>
        <w:t xml:space="preserve"> </w:t>
      </w:r>
    </w:p>
    <w:p w14:paraId="7DA1A03D"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Obioha-Val, O. A., Lawal, T. I., </w:t>
      </w: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O. O., </w:t>
      </w:r>
      <w:proofErr w:type="spellStart"/>
      <w:r w:rsidRPr="004E5BC1">
        <w:rPr>
          <w:rFonts w:ascii="Times New Roman" w:hAnsi="Times New Roman" w:cs="Times New Roman"/>
          <w:sz w:val="24"/>
          <w:szCs w:val="24"/>
        </w:rPr>
        <w:t>Gbadebo</w:t>
      </w:r>
      <w:proofErr w:type="spellEnd"/>
      <w:r w:rsidRPr="004E5BC1">
        <w:rPr>
          <w:rFonts w:ascii="Times New Roman" w:hAnsi="Times New Roman" w:cs="Times New Roman"/>
          <w:sz w:val="24"/>
          <w:szCs w:val="24"/>
        </w:rPr>
        <w:t xml:space="preserve">, M. O., &amp; </w:t>
      </w:r>
      <w:proofErr w:type="spellStart"/>
      <w:r w:rsidRPr="004E5BC1">
        <w:rPr>
          <w:rFonts w:ascii="Times New Roman" w:hAnsi="Times New Roman" w:cs="Times New Roman"/>
          <w:sz w:val="24"/>
          <w:szCs w:val="24"/>
        </w:rPr>
        <w:t>Olisa</w:t>
      </w:r>
      <w:proofErr w:type="spellEnd"/>
      <w:r w:rsidRPr="004E5BC1">
        <w:rPr>
          <w:rFonts w:ascii="Times New Roman" w:hAnsi="Times New Roman" w:cs="Times New Roman"/>
          <w:sz w:val="24"/>
          <w:szCs w:val="24"/>
        </w:rPr>
        <w:t xml:space="preserve">, A. O. (2025). Investigating the Feasibility and Risks of Leveraging Artificial Intelligence and Open Source Intelligence to Manage Predictive Cyber Threat Models. </w:t>
      </w:r>
      <w:r w:rsidRPr="004E5BC1">
        <w:rPr>
          <w:rFonts w:ascii="Times New Roman" w:hAnsi="Times New Roman" w:cs="Times New Roman"/>
          <w:i/>
          <w:iCs/>
          <w:sz w:val="24"/>
          <w:szCs w:val="24"/>
        </w:rPr>
        <w:t>Journal of Engineering Research and Reports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27</w:t>
      </w:r>
      <w:r w:rsidRPr="004E5BC1">
        <w:rPr>
          <w:rFonts w:ascii="Times New Roman" w:hAnsi="Times New Roman" w:cs="Times New Roman"/>
          <w:sz w:val="24"/>
          <w:szCs w:val="24"/>
        </w:rPr>
        <w:t xml:space="preserve">(2), 10–28. </w:t>
      </w:r>
      <w:hyperlink r:id="rId61" w:history="1">
        <w:r w:rsidRPr="005366C4">
          <w:rPr>
            <w:rStyle w:val="Hyperlink"/>
            <w:rFonts w:ascii="Times New Roman" w:hAnsi="Times New Roman" w:cs="Times New Roman"/>
            <w:sz w:val="24"/>
            <w:szCs w:val="24"/>
          </w:rPr>
          <w:t>https://doi.org/10.9734/jerr/2025/v27i21390</w:t>
        </w:r>
      </w:hyperlink>
      <w:r>
        <w:rPr>
          <w:rFonts w:ascii="Times New Roman" w:hAnsi="Times New Roman" w:cs="Times New Roman"/>
          <w:sz w:val="24"/>
          <w:szCs w:val="24"/>
        </w:rPr>
        <w:t xml:space="preserve"> </w:t>
      </w:r>
    </w:p>
    <w:p w14:paraId="7DA1A03E"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Obrik-Uloho</w:t>
      </w:r>
      <w:proofErr w:type="spellEnd"/>
      <w:r w:rsidRPr="004E5BC1">
        <w:rPr>
          <w:rFonts w:ascii="Times New Roman" w:hAnsi="Times New Roman" w:cs="Times New Roman"/>
          <w:sz w:val="24"/>
          <w:szCs w:val="24"/>
        </w:rPr>
        <w:t xml:space="preserve">, E. P., </w:t>
      </w:r>
      <w:proofErr w:type="spellStart"/>
      <w:r w:rsidRPr="004E5BC1">
        <w:rPr>
          <w:rFonts w:ascii="Times New Roman" w:hAnsi="Times New Roman" w:cs="Times New Roman"/>
          <w:sz w:val="24"/>
          <w:szCs w:val="24"/>
        </w:rPr>
        <w:t>Gbadebo</w:t>
      </w:r>
      <w:proofErr w:type="spellEnd"/>
      <w:r w:rsidRPr="004E5BC1">
        <w:rPr>
          <w:rFonts w:ascii="Times New Roman" w:hAnsi="Times New Roman" w:cs="Times New Roman"/>
          <w:sz w:val="24"/>
          <w:szCs w:val="24"/>
        </w:rPr>
        <w:t xml:space="preserve">, M. O., Afolabi, O. O., Joseph, S. A., </w:t>
      </w:r>
      <w:proofErr w:type="spellStart"/>
      <w:r w:rsidRPr="004E5BC1">
        <w:rPr>
          <w:rFonts w:ascii="Times New Roman" w:hAnsi="Times New Roman" w:cs="Times New Roman"/>
          <w:sz w:val="24"/>
          <w:szCs w:val="24"/>
        </w:rPr>
        <w:t>Oladoyinbo</w:t>
      </w:r>
      <w:proofErr w:type="spellEnd"/>
      <w:r w:rsidRPr="004E5BC1">
        <w:rPr>
          <w:rFonts w:ascii="Times New Roman" w:hAnsi="Times New Roman" w:cs="Times New Roman"/>
          <w:sz w:val="24"/>
          <w:szCs w:val="24"/>
        </w:rPr>
        <w:t xml:space="preserve">, T. O., &amp; </w:t>
      </w: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O. O. (2026). Shared Responsibility in Practice: Evaluating the Security–Usability Trade-Off and User Accountability in WhatsApp’s Ecosystem. </w:t>
      </w:r>
      <w:r w:rsidRPr="004E5BC1">
        <w:rPr>
          <w:rFonts w:ascii="Times New Roman" w:hAnsi="Times New Roman" w:cs="Times New Roman"/>
          <w:i/>
          <w:iCs/>
          <w:sz w:val="24"/>
          <w:szCs w:val="24"/>
        </w:rPr>
        <w:t>Asian Journal of Research in Computer Science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19</w:t>
      </w:r>
      <w:r w:rsidRPr="004E5BC1">
        <w:rPr>
          <w:rFonts w:ascii="Times New Roman" w:hAnsi="Times New Roman" w:cs="Times New Roman"/>
          <w:sz w:val="24"/>
          <w:szCs w:val="24"/>
        </w:rPr>
        <w:t xml:space="preserve">(1), 81–105. </w:t>
      </w:r>
      <w:hyperlink r:id="rId62" w:history="1">
        <w:r w:rsidRPr="005366C4">
          <w:rPr>
            <w:rStyle w:val="Hyperlink"/>
            <w:rFonts w:ascii="Times New Roman" w:hAnsi="Times New Roman" w:cs="Times New Roman"/>
            <w:sz w:val="24"/>
            <w:szCs w:val="24"/>
          </w:rPr>
          <w:t>https://doi.org/10.9734/ajrcos/2026/v19i1807</w:t>
        </w:r>
      </w:hyperlink>
      <w:r>
        <w:rPr>
          <w:rFonts w:ascii="Times New Roman" w:hAnsi="Times New Roman" w:cs="Times New Roman"/>
          <w:sz w:val="24"/>
          <w:szCs w:val="24"/>
        </w:rPr>
        <w:t xml:space="preserve"> </w:t>
      </w:r>
    </w:p>
    <w:p w14:paraId="7DA1A03F"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Obsidian Security. (2025). </w:t>
      </w:r>
      <w:r w:rsidRPr="004E5BC1">
        <w:rPr>
          <w:rFonts w:ascii="Times New Roman" w:hAnsi="Times New Roman" w:cs="Times New Roman"/>
          <w:i/>
          <w:iCs/>
          <w:sz w:val="24"/>
          <w:szCs w:val="24"/>
        </w:rPr>
        <w:t>What Is AI Governance? Definitions, Frameworks, and Tools for 2025</w:t>
      </w:r>
      <w:r w:rsidRPr="004E5BC1">
        <w:rPr>
          <w:rFonts w:ascii="Times New Roman" w:hAnsi="Times New Roman" w:cs="Times New Roman"/>
          <w:sz w:val="24"/>
          <w:szCs w:val="24"/>
        </w:rPr>
        <w:t xml:space="preserve">. Obsidiansecurity.com; Obsidian Security. </w:t>
      </w:r>
      <w:hyperlink r:id="rId63" w:history="1">
        <w:r w:rsidRPr="005366C4">
          <w:rPr>
            <w:rStyle w:val="Hyperlink"/>
            <w:rFonts w:ascii="Times New Roman" w:hAnsi="Times New Roman" w:cs="Times New Roman"/>
            <w:sz w:val="24"/>
            <w:szCs w:val="24"/>
          </w:rPr>
          <w:t>https://www.obsidiansecurity.com/blog/what-is-ai-governance?utm_</w:t>
        </w:r>
      </w:hyperlink>
      <w:r>
        <w:rPr>
          <w:rFonts w:ascii="Times New Roman" w:hAnsi="Times New Roman" w:cs="Times New Roman"/>
          <w:sz w:val="24"/>
          <w:szCs w:val="24"/>
        </w:rPr>
        <w:t xml:space="preserve"> </w:t>
      </w:r>
    </w:p>
    <w:p w14:paraId="7DA1A040"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Odeyinka</w:t>
      </w:r>
      <w:proofErr w:type="spellEnd"/>
      <w:r w:rsidRPr="004E5BC1">
        <w:rPr>
          <w:rFonts w:ascii="Times New Roman" w:hAnsi="Times New Roman" w:cs="Times New Roman"/>
          <w:sz w:val="24"/>
          <w:szCs w:val="24"/>
        </w:rPr>
        <w:t xml:space="preserve">, T. E., Ifeoma </w:t>
      </w:r>
      <w:proofErr w:type="spellStart"/>
      <w:r w:rsidRPr="004E5BC1">
        <w:rPr>
          <w:rFonts w:ascii="Times New Roman" w:hAnsi="Times New Roman" w:cs="Times New Roman"/>
          <w:sz w:val="24"/>
          <w:szCs w:val="24"/>
        </w:rPr>
        <w:t>Ejoh</w:t>
      </w:r>
      <w:proofErr w:type="spellEnd"/>
      <w:r w:rsidRPr="004E5BC1">
        <w:rPr>
          <w:rFonts w:ascii="Times New Roman" w:hAnsi="Times New Roman" w:cs="Times New Roman"/>
          <w:sz w:val="24"/>
          <w:szCs w:val="24"/>
        </w:rPr>
        <w:t xml:space="preserve">, C., </w:t>
      </w:r>
      <w:proofErr w:type="spellStart"/>
      <w:r w:rsidRPr="004E5BC1">
        <w:rPr>
          <w:rFonts w:ascii="Times New Roman" w:hAnsi="Times New Roman" w:cs="Times New Roman"/>
          <w:sz w:val="24"/>
          <w:szCs w:val="24"/>
        </w:rPr>
        <w:t>Abdulmalik</w:t>
      </w:r>
      <w:proofErr w:type="spellEnd"/>
      <w:r w:rsidRPr="004E5BC1">
        <w:rPr>
          <w:rFonts w:ascii="Times New Roman" w:hAnsi="Times New Roman" w:cs="Times New Roman"/>
          <w:sz w:val="24"/>
          <w:szCs w:val="24"/>
        </w:rPr>
        <w:t xml:space="preserve">, A. A., Salami, I. A., &amp; </w:t>
      </w:r>
      <w:proofErr w:type="spellStart"/>
      <w:r w:rsidRPr="004E5BC1">
        <w:rPr>
          <w:rFonts w:ascii="Times New Roman" w:hAnsi="Times New Roman" w:cs="Times New Roman"/>
          <w:sz w:val="24"/>
          <w:szCs w:val="24"/>
        </w:rPr>
        <w:t>Ogunmolu</w:t>
      </w:r>
      <w:proofErr w:type="spellEnd"/>
      <w:r w:rsidRPr="004E5BC1">
        <w:rPr>
          <w:rFonts w:ascii="Times New Roman" w:hAnsi="Times New Roman" w:cs="Times New Roman"/>
          <w:sz w:val="24"/>
          <w:szCs w:val="24"/>
        </w:rPr>
        <w:t xml:space="preserve">, A. M. (2026). Bridging AI-automated Governance, Adaptive Certification, Behavioral Authentication, and AI-agent Risk Monitoring in Zero-trust Digital Infrastructures. </w:t>
      </w:r>
      <w:r w:rsidRPr="004E5BC1">
        <w:rPr>
          <w:rFonts w:ascii="Times New Roman" w:hAnsi="Times New Roman" w:cs="Times New Roman"/>
          <w:i/>
          <w:iCs/>
          <w:sz w:val="24"/>
          <w:szCs w:val="24"/>
        </w:rPr>
        <w:t>Journal of Engineering Research and Reports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28</w:t>
      </w:r>
      <w:r w:rsidRPr="004E5BC1">
        <w:rPr>
          <w:rFonts w:ascii="Times New Roman" w:hAnsi="Times New Roman" w:cs="Times New Roman"/>
          <w:sz w:val="24"/>
          <w:szCs w:val="24"/>
        </w:rPr>
        <w:t xml:space="preserve">(1), 371–387. </w:t>
      </w:r>
      <w:hyperlink r:id="rId64" w:history="1">
        <w:r w:rsidRPr="005366C4">
          <w:rPr>
            <w:rStyle w:val="Hyperlink"/>
            <w:rFonts w:ascii="Times New Roman" w:hAnsi="Times New Roman" w:cs="Times New Roman"/>
            <w:sz w:val="24"/>
            <w:szCs w:val="24"/>
          </w:rPr>
          <w:t>https://doi.org/10.9734/jerr/2026/v28i11783</w:t>
        </w:r>
      </w:hyperlink>
      <w:r>
        <w:rPr>
          <w:rFonts w:ascii="Times New Roman" w:hAnsi="Times New Roman" w:cs="Times New Roman"/>
          <w:sz w:val="24"/>
          <w:szCs w:val="24"/>
        </w:rPr>
        <w:t xml:space="preserve"> </w:t>
      </w:r>
    </w:p>
    <w:p w14:paraId="7DA1A041"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Ogunmolu</w:t>
      </w:r>
      <w:proofErr w:type="spellEnd"/>
      <w:r w:rsidRPr="004E5BC1">
        <w:rPr>
          <w:rFonts w:ascii="Times New Roman" w:hAnsi="Times New Roman" w:cs="Times New Roman"/>
          <w:sz w:val="24"/>
          <w:szCs w:val="24"/>
        </w:rPr>
        <w:t xml:space="preserve">, A. M., Abba, S. S., </w:t>
      </w: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O. M., </w:t>
      </w:r>
      <w:proofErr w:type="spellStart"/>
      <w:r w:rsidRPr="004E5BC1">
        <w:rPr>
          <w:rFonts w:ascii="Times New Roman" w:hAnsi="Times New Roman" w:cs="Times New Roman"/>
          <w:sz w:val="24"/>
          <w:szCs w:val="24"/>
        </w:rPr>
        <w:t>Odeyinka</w:t>
      </w:r>
      <w:proofErr w:type="spellEnd"/>
      <w:r w:rsidRPr="004E5BC1">
        <w:rPr>
          <w:rFonts w:ascii="Times New Roman" w:hAnsi="Times New Roman" w:cs="Times New Roman"/>
          <w:sz w:val="24"/>
          <w:szCs w:val="24"/>
        </w:rPr>
        <w:t xml:space="preserve">, T. E., &amp; Salami, I. A. (2026). Adaptive Cognitive Profiling for Executive AI Agents Amid Emerging AI </w:t>
      </w:r>
      <w:r w:rsidRPr="004E5BC1">
        <w:rPr>
          <w:rFonts w:ascii="Times New Roman" w:hAnsi="Times New Roman" w:cs="Times New Roman"/>
          <w:sz w:val="24"/>
          <w:szCs w:val="24"/>
        </w:rPr>
        <w:lastRenderedPageBreak/>
        <w:t xml:space="preserve">Impersonation Threats. </w:t>
      </w:r>
      <w:r w:rsidRPr="004E5BC1">
        <w:rPr>
          <w:rFonts w:ascii="Times New Roman" w:hAnsi="Times New Roman" w:cs="Times New Roman"/>
          <w:i/>
          <w:iCs/>
          <w:sz w:val="24"/>
          <w:szCs w:val="24"/>
        </w:rPr>
        <w:t>Journal of Engineering Research and Reports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28</w:t>
      </w:r>
      <w:r w:rsidRPr="004E5BC1">
        <w:rPr>
          <w:rFonts w:ascii="Times New Roman" w:hAnsi="Times New Roman" w:cs="Times New Roman"/>
          <w:sz w:val="24"/>
          <w:szCs w:val="24"/>
        </w:rPr>
        <w:t xml:space="preserve">(1), 388–405. </w:t>
      </w:r>
      <w:hyperlink r:id="rId65" w:history="1">
        <w:r w:rsidRPr="005366C4">
          <w:rPr>
            <w:rStyle w:val="Hyperlink"/>
            <w:rFonts w:ascii="Times New Roman" w:hAnsi="Times New Roman" w:cs="Times New Roman"/>
            <w:sz w:val="24"/>
            <w:szCs w:val="24"/>
          </w:rPr>
          <w:t>https://doi.org/10.9734/jerr/2026/v28i11784</w:t>
        </w:r>
      </w:hyperlink>
      <w:r>
        <w:rPr>
          <w:rFonts w:ascii="Times New Roman" w:hAnsi="Times New Roman" w:cs="Times New Roman"/>
          <w:sz w:val="24"/>
          <w:szCs w:val="24"/>
        </w:rPr>
        <w:t xml:space="preserve"> </w:t>
      </w:r>
    </w:p>
    <w:p w14:paraId="7DA1A042"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Ogunmolu</w:t>
      </w:r>
      <w:proofErr w:type="spellEnd"/>
      <w:r w:rsidRPr="004E5BC1">
        <w:rPr>
          <w:rFonts w:ascii="Times New Roman" w:hAnsi="Times New Roman" w:cs="Times New Roman"/>
          <w:sz w:val="24"/>
          <w:szCs w:val="24"/>
        </w:rPr>
        <w:t xml:space="preserve">, A. M., </w:t>
      </w:r>
      <w:proofErr w:type="spellStart"/>
      <w:r w:rsidRPr="004E5BC1">
        <w:rPr>
          <w:rFonts w:ascii="Times New Roman" w:hAnsi="Times New Roman" w:cs="Times New Roman"/>
          <w:sz w:val="24"/>
          <w:szCs w:val="24"/>
        </w:rPr>
        <w:t>Aroh</w:t>
      </w:r>
      <w:proofErr w:type="spellEnd"/>
      <w:r w:rsidRPr="004E5BC1">
        <w:rPr>
          <w:rFonts w:ascii="Times New Roman" w:hAnsi="Times New Roman" w:cs="Times New Roman"/>
          <w:sz w:val="24"/>
          <w:szCs w:val="24"/>
        </w:rPr>
        <w:t xml:space="preserve">, I. S., Henry, O., Adeyinka, P. D., &amp; </w:t>
      </w:r>
      <w:proofErr w:type="spellStart"/>
      <w:r w:rsidRPr="004E5BC1">
        <w:rPr>
          <w:rFonts w:ascii="Times New Roman" w:hAnsi="Times New Roman" w:cs="Times New Roman"/>
          <w:sz w:val="24"/>
          <w:szCs w:val="24"/>
        </w:rPr>
        <w:t>Olutimehin</w:t>
      </w:r>
      <w:proofErr w:type="spellEnd"/>
      <w:r w:rsidRPr="004E5BC1">
        <w:rPr>
          <w:rFonts w:ascii="Times New Roman" w:hAnsi="Times New Roman" w:cs="Times New Roman"/>
          <w:sz w:val="24"/>
          <w:szCs w:val="24"/>
        </w:rPr>
        <w:t xml:space="preserve">, A. T. (2026). AI-Driven Observability for Managing Security Complexity in Cloud-native Microservices and Containerized Environments. </w:t>
      </w:r>
      <w:r w:rsidRPr="004E5BC1">
        <w:rPr>
          <w:rFonts w:ascii="Times New Roman" w:hAnsi="Times New Roman" w:cs="Times New Roman"/>
          <w:i/>
          <w:iCs/>
          <w:sz w:val="24"/>
          <w:szCs w:val="24"/>
        </w:rPr>
        <w:t>Journal of Engineering Research and Reports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28</w:t>
      </w:r>
      <w:r w:rsidRPr="004E5BC1">
        <w:rPr>
          <w:rFonts w:ascii="Times New Roman" w:hAnsi="Times New Roman" w:cs="Times New Roman"/>
          <w:sz w:val="24"/>
          <w:szCs w:val="24"/>
        </w:rPr>
        <w:t xml:space="preserve">(2), 1–17. </w:t>
      </w:r>
      <w:hyperlink r:id="rId66" w:history="1">
        <w:r w:rsidRPr="005366C4">
          <w:rPr>
            <w:rStyle w:val="Hyperlink"/>
            <w:rFonts w:ascii="Times New Roman" w:hAnsi="Times New Roman" w:cs="Times New Roman"/>
            <w:sz w:val="24"/>
            <w:szCs w:val="24"/>
          </w:rPr>
          <w:t>https://doi.org/10.9734/jerr/2026/v28i21786</w:t>
        </w:r>
      </w:hyperlink>
      <w:r>
        <w:rPr>
          <w:rFonts w:ascii="Times New Roman" w:hAnsi="Times New Roman" w:cs="Times New Roman"/>
          <w:sz w:val="24"/>
          <w:szCs w:val="24"/>
        </w:rPr>
        <w:t xml:space="preserve"> </w:t>
      </w:r>
    </w:p>
    <w:p w14:paraId="7DA1A043"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Okolo, J. N., </w:t>
      </w:r>
      <w:proofErr w:type="spellStart"/>
      <w:r w:rsidRPr="004E5BC1">
        <w:rPr>
          <w:rFonts w:ascii="Times New Roman" w:hAnsi="Times New Roman" w:cs="Times New Roman"/>
          <w:sz w:val="24"/>
          <w:szCs w:val="24"/>
        </w:rPr>
        <w:t>Adeniji</w:t>
      </w:r>
      <w:proofErr w:type="spellEnd"/>
      <w:r w:rsidRPr="004E5BC1">
        <w:rPr>
          <w:rFonts w:ascii="Times New Roman" w:hAnsi="Times New Roman" w:cs="Times New Roman"/>
          <w:sz w:val="24"/>
          <w:szCs w:val="24"/>
        </w:rPr>
        <w:t xml:space="preserve">, S. A., </w:t>
      </w:r>
      <w:proofErr w:type="spellStart"/>
      <w:r w:rsidRPr="004E5BC1">
        <w:rPr>
          <w:rFonts w:ascii="Times New Roman" w:hAnsi="Times New Roman" w:cs="Times New Roman"/>
          <w:sz w:val="24"/>
          <w:szCs w:val="24"/>
        </w:rPr>
        <w:t>Onwuegbuchi</w:t>
      </w:r>
      <w:proofErr w:type="spellEnd"/>
      <w:r w:rsidRPr="004E5BC1">
        <w:rPr>
          <w:rFonts w:ascii="Times New Roman" w:hAnsi="Times New Roman" w:cs="Times New Roman"/>
          <w:sz w:val="24"/>
          <w:szCs w:val="24"/>
        </w:rPr>
        <w:t xml:space="preserve">, O., &amp; </w:t>
      </w:r>
      <w:proofErr w:type="spellStart"/>
      <w:r w:rsidRPr="004E5BC1">
        <w:rPr>
          <w:rFonts w:ascii="Times New Roman" w:hAnsi="Times New Roman" w:cs="Times New Roman"/>
          <w:sz w:val="24"/>
          <w:szCs w:val="24"/>
        </w:rPr>
        <w:t>Sanni</w:t>
      </w:r>
      <w:proofErr w:type="spellEnd"/>
      <w:r w:rsidRPr="004E5BC1">
        <w:rPr>
          <w:rFonts w:ascii="Times New Roman" w:hAnsi="Times New Roman" w:cs="Times New Roman"/>
          <w:sz w:val="24"/>
          <w:szCs w:val="24"/>
        </w:rPr>
        <w:t xml:space="preserve">, S. (2025). Analyzing the use of machine learning techniques in detecting fraudulent activities. </w:t>
      </w:r>
      <w:r w:rsidRPr="004E5BC1">
        <w:rPr>
          <w:rFonts w:ascii="Times New Roman" w:hAnsi="Times New Roman" w:cs="Times New Roman"/>
          <w:i/>
          <w:iCs/>
          <w:sz w:val="24"/>
          <w:szCs w:val="24"/>
        </w:rPr>
        <w:t>World Journal of Advanced Research and Reviews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26</w:t>
      </w:r>
      <w:r w:rsidRPr="004E5BC1">
        <w:rPr>
          <w:rFonts w:ascii="Times New Roman" w:hAnsi="Times New Roman" w:cs="Times New Roman"/>
          <w:sz w:val="24"/>
          <w:szCs w:val="24"/>
        </w:rPr>
        <w:t xml:space="preserve">(1), 1198–1209. </w:t>
      </w:r>
      <w:hyperlink r:id="rId67" w:history="1">
        <w:r w:rsidRPr="005366C4">
          <w:rPr>
            <w:rStyle w:val="Hyperlink"/>
            <w:rFonts w:ascii="Times New Roman" w:hAnsi="Times New Roman" w:cs="Times New Roman"/>
            <w:sz w:val="24"/>
            <w:szCs w:val="24"/>
          </w:rPr>
          <w:t>https://doi.org/10.30574/wjarr.2025.26.1.1097</w:t>
        </w:r>
      </w:hyperlink>
      <w:r>
        <w:rPr>
          <w:rFonts w:ascii="Times New Roman" w:hAnsi="Times New Roman" w:cs="Times New Roman"/>
          <w:sz w:val="24"/>
          <w:szCs w:val="24"/>
        </w:rPr>
        <w:t xml:space="preserve"> </w:t>
      </w:r>
    </w:p>
    <w:p w14:paraId="7DA1A044"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O. M., Adebiyi, O. O., </w:t>
      </w:r>
      <w:proofErr w:type="spellStart"/>
      <w:r w:rsidRPr="004E5BC1">
        <w:rPr>
          <w:rFonts w:ascii="Times New Roman" w:hAnsi="Times New Roman" w:cs="Times New Roman"/>
          <w:sz w:val="24"/>
          <w:szCs w:val="24"/>
        </w:rPr>
        <w:t>Ejoh</w:t>
      </w:r>
      <w:proofErr w:type="spellEnd"/>
      <w:r w:rsidRPr="004E5BC1">
        <w:rPr>
          <w:rFonts w:ascii="Times New Roman" w:hAnsi="Times New Roman" w:cs="Times New Roman"/>
          <w:sz w:val="24"/>
          <w:szCs w:val="24"/>
        </w:rPr>
        <w:t xml:space="preserve">, C. I., Afolabi, O. O., &amp; Ejiofor, V. O. (2026). Conversational AI-Powered Fraud Prevention in Augmented Reality E-Commerce: A Natural Language Processing Framework for Real-time Transaction Security. </w:t>
      </w:r>
      <w:r w:rsidRPr="004E5BC1">
        <w:rPr>
          <w:rFonts w:ascii="Times New Roman" w:hAnsi="Times New Roman" w:cs="Times New Roman"/>
          <w:i/>
          <w:iCs/>
          <w:sz w:val="24"/>
          <w:szCs w:val="24"/>
        </w:rPr>
        <w:t>Asian Journal of Research in Computer Science</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19</w:t>
      </w:r>
      <w:r w:rsidRPr="004E5BC1">
        <w:rPr>
          <w:rFonts w:ascii="Times New Roman" w:hAnsi="Times New Roman" w:cs="Times New Roman"/>
          <w:sz w:val="24"/>
          <w:szCs w:val="24"/>
        </w:rPr>
        <w:t xml:space="preserve">(1), 255–270. </w:t>
      </w:r>
      <w:hyperlink r:id="rId68" w:history="1">
        <w:r w:rsidRPr="005366C4">
          <w:rPr>
            <w:rStyle w:val="Hyperlink"/>
            <w:rFonts w:ascii="Times New Roman" w:hAnsi="Times New Roman" w:cs="Times New Roman"/>
            <w:sz w:val="24"/>
            <w:szCs w:val="24"/>
          </w:rPr>
          <w:t>https://doi.org/10.9734/ajrcos/2026/v19i1817</w:t>
        </w:r>
      </w:hyperlink>
      <w:r>
        <w:rPr>
          <w:rFonts w:ascii="Times New Roman" w:hAnsi="Times New Roman" w:cs="Times New Roman"/>
          <w:sz w:val="24"/>
          <w:szCs w:val="24"/>
        </w:rPr>
        <w:t xml:space="preserve"> </w:t>
      </w:r>
    </w:p>
    <w:p w14:paraId="7DA1A045"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Olaniyi</w:t>
      </w:r>
      <w:proofErr w:type="spellEnd"/>
      <w:r w:rsidRPr="004E5BC1">
        <w:rPr>
          <w:rFonts w:ascii="Times New Roman" w:hAnsi="Times New Roman" w:cs="Times New Roman"/>
          <w:sz w:val="24"/>
          <w:szCs w:val="24"/>
        </w:rPr>
        <w:t xml:space="preserve">, O. M., </w:t>
      </w:r>
      <w:proofErr w:type="spellStart"/>
      <w:r w:rsidRPr="004E5BC1">
        <w:rPr>
          <w:rFonts w:ascii="Times New Roman" w:hAnsi="Times New Roman" w:cs="Times New Roman"/>
          <w:sz w:val="24"/>
          <w:szCs w:val="24"/>
        </w:rPr>
        <w:t>Aroh</w:t>
      </w:r>
      <w:proofErr w:type="spellEnd"/>
      <w:r w:rsidRPr="004E5BC1">
        <w:rPr>
          <w:rFonts w:ascii="Times New Roman" w:hAnsi="Times New Roman" w:cs="Times New Roman"/>
          <w:sz w:val="24"/>
          <w:szCs w:val="24"/>
        </w:rPr>
        <w:t xml:space="preserve">, I. S., Henry, O., </w:t>
      </w:r>
      <w:proofErr w:type="spellStart"/>
      <w:r w:rsidRPr="004E5BC1">
        <w:rPr>
          <w:rFonts w:ascii="Times New Roman" w:hAnsi="Times New Roman" w:cs="Times New Roman"/>
          <w:sz w:val="24"/>
          <w:szCs w:val="24"/>
        </w:rPr>
        <w:t>Metibemu</w:t>
      </w:r>
      <w:proofErr w:type="spellEnd"/>
      <w:r w:rsidRPr="004E5BC1">
        <w:rPr>
          <w:rFonts w:ascii="Times New Roman" w:hAnsi="Times New Roman" w:cs="Times New Roman"/>
          <w:sz w:val="24"/>
          <w:szCs w:val="24"/>
        </w:rPr>
        <w:t xml:space="preserve">, O. C., &amp; Akinola, O. I. (2026). Graph Neural Networks for Multi-Layered Financial Crime Network Detection: An Explainable AI Framework for Anti-Money Laundering. </w:t>
      </w:r>
      <w:r w:rsidRPr="004E5BC1">
        <w:rPr>
          <w:rFonts w:ascii="Times New Roman" w:hAnsi="Times New Roman" w:cs="Times New Roman"/>
          <w:i/>
          <w:iCs/>
          <w:sz w:val="24"/>
          <w:szCs w:val="24"/>
        </w:rPr>
        <w:t>Journal of Engineering Research and Reports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28</w:t>
      </w:r>
      <w:r w:rsidRPr="004E5BC1">
        <w:rPr>
          <w:rFonts w:ascii="Times New Roman" w:hAnsi="Times New Roman" w:cs="Times New Roman"/>
          <w:sz w:val="24"/>
          <w:szCs w:val="24"/>
        </w:rPr>
        <w:t xml:space="preserve">(2), 18–36. </w:t>
      </w:r>
      <w:hyperlink r:id="rId69" w:history="1">
        <w:r w:rsidRPr="005366C4">
          <w:rPr>
            <w:rStyle w:val="Hyperlink"/>
            <w:rFonts w:ascii="Times New Roman" w:hAnsi="Times New Roman" w:cs="Times New Roman"/>
            <w:sz w:val="24"/>
            <w:szCs w:val="24"/>
          </w:rPr>
          <w:t>https://doi.org/10.9734/jerr/2026/v28i21787</w:t>
        </w:r>
      </w:hyperlink>
      <w:r>
        <w:rPr>
          <w:rFonts w:ascii="Times New Roman" w:hAnsi="Times New Roman" w:cs="Times New Roman"/>
          <w:sz w:val="24"/>
          <w:szCs w:val="24"/>
        </w:rPr>
        <w:t xml:space="preserve"> </w:t>
      </w:r>
    </w:p>
    <w:p w14:paraId="7DA1A046"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Olisa</w:t>
      </w:r>
      <w:proofErr w:type="spellEnd"/>
      <w:r w:rsidRPr="004E5BC1">
        <w:rPr>
          <w:rFonts w:ascii="Times New Roman" w:hAnsi="Times New Roman" w:cs="Times New Roman"/>
          <w:sz w:val="24"/>
          <w:szCs w:val="24"/>
        </w:rPr>
        <w:t xml:space="preserve">, A. O., </w:t>
      </w:r>
      <w:proofErr w:type="spellStart"/>
      <w:r w:rsidRPr="004E5BC1">
        <w:rPr>
          <w:rFonts w:ascii="Times New Roman" w:hAnsi="Times New Roman" w:cs="Times New Roman"/>
          <w:sz w:val="24"/>
          <w:szCs w:val="24"/>
        </w:rPr>
        <w:t>Gbadebo</w:t>
      </w:r>
      <w:proofErr w:type="spellEnd"/>
      <w:r w:rsidRPr="004E5BC1">
        <w:rPr>
          <w:rFonts w:ascii="Times New Roman" w:hAnsi="Times New Roman" w:cs="Times New Roman"/>
          <w:sz w:val="24"/>
          <w:szCs w:val="24"/>
        </w:rPr>
        <w:t xml:space="preserve">, M. O., </w:t>
      </w:r>
      <w:proofErr w:type="spellStart"/>
      <w:r w:rsidRPr="004E5BC1">
        <w:rPr>
          <w:rFonts w:ascii="Times New Roman" w:hAnsi="Times New Roman" w:cs="Times New Roman"/>
          <w:sz w:val="24"/>
          <w:szCs w:val="24"/>
        </w:rPr>
        <w:t>Mayeke</w:t>
      </w:r>
      <w:proofErr w:type="spellEnd"/>
      <w:r w:rsidRPr="004E5BC1">
        <w:rPr>
          <w:rFonts w:ascii="Times New Roman" w:hAnsi="Times New Roman" w:cs="Times New Roman"/>
          <w:sz w:val="24"/>
          <w:szCs w:val="24"/>
        </w:rPr>
        <w:t xml:space="preserve">, N. R., </w:t>
      </w:r>
      <w:proofErr w:type="spellStart"/>
      <w:r w:rsidRPr="004E5BC1">
        <w:rPr>
          <w:rFonts w:ascii="Times New Roman" w:hAnsi="Times New Roman" w:cs="Times New Roman"/>
          <w:sz w:val="24"/>
          <w:szCs w:val="24"/>
        </w:rPr>
        <w:t>Oladoyinbo</w:t>
      </w:r>
      <w:proofErr w:type="spellEnd"/>
      <w:r w:rsidRPr="004E5BC1">
        <w:rPr>
          <w:rFonts w:ascii="Times New Roman" w:hAnsi="Times New Roman" w:cs="Times New Roman"/>
          <w:sz w:val="24"/>
          <w:szCs w:val="24"/>
        </w:rPr>
        <w:t xml:space="preserve">, T. O., &amp; </w:t>
      </w:r>
      <w:proofErr w:type="spellStart"/>
      <w:r w:rsidRPr="004E5BC1">
        <w:rPr>
          <w:rFonts w:ascii="Times New Roman" w:hAnsi="Times New Roman" w:cs="Times New Roman"/>
          <w:sz w:val="24"/>
          <w:szCs w:val="24"/>
        </w:rPr>
        <w:t>Oluwapamilerin</w:t>
      </w:r>
      <w:proofErr w:type="spellEnd"/>
      <w:r w:rsidRPr="004E5BC1">
        <w:rPr>
          <w:rFonts w:ascii="Times New Roman" w:hAnsi="Times New Roman" w:cs="Times New Roman"/>
          <w:sz w:val="24"/>
          <w:szCs w:val="24"/>
        </w:rPr>
        <w:t xml:space="preserve"> </w:t>
      </w:r>
      <w:proofErr w:type="spellStart"/>
      <w:r w:rsidRPr="004E5BC1">
        <w:rPr>
          <w:rFonts w:ascii="Times New Roman" w:hAnsi="Times New Roman" w:cs="Times New Roman"/>
          <w:sz w:val="24"/>
          <w:szCs w:val="24"/>
        </w:rPr>
        <w:t>Kolo</w:t>
      </w:r>
      <w:proofErr w:type="spellEnd"/>
      <w:r w:rsidRPr="004E5BC1">
        <w:rPr>
          <w:rFonts w:ascii="Times New Roman" w:hAnsi="Times New Roman" w:cs="Times New Roman"/>
          <w:sz w:val="24"/>
          <w:szCs w:val="24"/>
        </w:rPr>
        <w:t xml:space="preserve">, F. H. (2026). Quantum-Resistant Cryptographic Protocols for CBDC Interoperability: A Cross-Border Settlement Security Framework. </w:t>
      </w:r>
      <w:r w:rsidRPr="004E5BC1">
        <w:rPr>
          <w:rFonts w:ascii="Times New Roman" w:hAnsi="Times New Roman" w:cs="Times New Roman"/>
          <w:i/>
          <w:iCs/>
          <w:sz w:val="24"/>
          <w:szCs w:val="24"/>
        </w:rPr>
        <w:t>Engineering and Technology Journal</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11</w:t>
      </w:r>
      <w:r w:rsidRPr="004E5BC1">
        <w:rPr>
          <w:rFonts w:ascii="Times New Roman" w:hAnsi="Times New Roman" w:cs="Times New Roman"/>
          <w:sz w:val="24"/>
          <w:szCs w:val="24"/>
        </w:rPr>
        <w:t xml:space="preserve">(01). </w:t>
      </w:r>
      <w:hyperlink r:id="rId70" w:history="1">
        <w:r w:rsidRPr="005366C4">
          <w:rPr>
            <w:rStyle w:val="Hyperlink"/>
            <w:rFonts w:ascii="Times New Roman" w:hAnsi="Times New Roman" w:cs="Times New Roman"/>
            <w:sz w:val="24"/>
            <w:szCs w:val="24"/>
          </w:rPr>
          <w:t>https://doi.org/10.47191/etj/v11i01.35</w:t>
        </w:r>
      </w:hyperlink>
      <w:r>
        <w:rPr>
          <w:rFonts w:ascii="Times New Roman" w:hAnsi="Times New Roman" w:cs="Times New Roman"/>
          <w:sz w:val="24"/>
          <w:szCs w:val="24"/>
        </w:rPr>
        <w:t xml:space="preserve"> </w:t>
      </w:r>
    </w:p>
    <w:p w14:paraId="7DA1A047"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Oprea</w:t>
      </w:r>
      <w:proofErr w:type="spellEnd"/>
      <w:r w:rsidRPr="004E5BC1">
        <w:rPr>
          <w:rFonts w:ascii="Times New Roman" w:hAnsi="Times New Roman" w:cs="Times New Roman"/>
          <w:sz w:val="24"/>
          <w:szCs w:val="24"/>
        </w:rPr>
        <w:t xml:space="preserve">, A., Singhal, A., &amp; </w:t>
      </w:r>
      <w:proofErr w:type="spellStart"/>
      <w:r w:rsidRPr="004E5BC1">
        <w:rPr>
          <w:rFonts w:ascii="Times New Roman" w:hAnsi="Times New Roman" w:cs="Times New Roman"/>
          <w:sz w:val="24"/>
          <w:szCs w:val="24"/>
        </w:rPr>
        <w:t>Vassilev</w:t>
      </w:r>
      <w:proofErr w:type="spellEnd"/>
      <w:r w:rsidRPr="004E5BC1">
        <w:rPr>
          <w:rFonts w:ascii="Times New Roman" w:hAnsi="Times New Roman" w:cs="Times New Roman"/>
          <w:sz w:val="24"/>
          <w:szCs w:val="24"/>
        </w:rPr>
        <w:t xml:space="preserve">, A. (2022). Poisoning Attacks Against Machine Learning: Can Machine Learning Be Trustworthy? </w:t>
      </w:r>
      <w:r w:rsidRPr="004E5BC1">
        <w:rPr>
          <w:rFonts w:ascii="Times New Roman" w:hAnsi="Times New Roman" w:cs="Times New Roman"/>
          <w:i/>
          <w:iCs/>
          <w:sz w:val="24"/>
          <w:szCs w:val="24"/>
        </w:rPr>
        <w:t>Computer</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55</w:t>
      </w:r>
      <w:r w:rsidRPr="004E5BC1">
        <w:rPr>
          <w:rFonts w:ascii="Times New Roman" w:hAnsi="Times New Roman" w:cs="Times New Roman"/>
          <w:sz w:val="24"/>
          <w:szCs w:val="24"/>
        </w:rPr>
        <w:t xml:space="preserve">(11), 94–99. </w:t>
      </w:r>
      <w:hyperlink r:id="rId71" w:history="1">
        <w:r w:rsidRPr="005366C4">
          <w:rPr>
            <w:rStyle w:val="Hyperlink"/>
            <w:rFonts w:ascii="Times New Roman" w:hAnsi="Times New Roman" w:cs="Times New Roman"/>
            <w:sz w:val="24"/>
            <w:szCs w:val="24"/>
          </w:rPr>
          <w:t>https://doi.org/10.1109/mc.2022.3190787</w:t>
        </w:r>
      </w:hyperlink>
      <w:r>
        <w:rPr>
          <w:rFonts w:ascii="Times New Roman" w:hAnsi="Times New Roman" w:cs="Times New Roman"/>
          <w:sz w:val="24"/>
          <w:szCs w:val="24"/>
        </w:rPr>
        <w:t xml:space="preserve"> </w:t>
      </w:r>
    </w:p>
    <w:p w14:paraId="7DA1A048"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OWASP. (2025, April 17). </w:t>
      </w:r>
      <w:r w:rsidRPr="004E5BC1">
        <w:rPr>
          <w:rFonts w:ascii="Times New Roman" w:hAnsi="Times New Roman" w:cs="Times New Roman"/>
          <w:i/>
          <w:iCs/>
          <w:sz w:val="24"/>
          <w:szCs w:val="24"/>
        </w:rPr>
        <w:t>LLM01:2025 Prompt Injection</w:t>
      </w:r>
      <w:r w:rsidRPr="004E5BC1">
        <w:rPr>
          <w:rFonts w:ascii="Times New Roman" w:hAnsi="Times New Roman" w:cs="Times New Roman"/>
          <w:sz w:val="24"/>
          <w:szCs w:val="24"/>
        </w:rPr>
        <w:t xml:space="preserve">. OWASP Gen AI Security Project. </w:t>
      </w:r>
      <w:hyperlink r:id="rId72" w:history="1">
        <w:r w:rsidRPr="005366C4">
          <w:rPr>
            <w:rStyle w:val="Hyperlink"/>
            <w:rFonts w:ascii="Times New Roman" w:hAnsi="Times New Roman" w:cs="Times New Roman"/>
            <w:sz w:val="24"/>
            <w:szCs w:val="24"/>
          </w:rPr>
          <w:t>https://genai.owasp.org/llmrisk/llm01-prompt-injection/?utm_</w:t>
        </w:r>
      </w:hyperlink>
      <w:r>
        <w:rPr>
          <w:rFonts w:ascii="Times New Roman" w:hAnsi="Times New Roman" w:cs="Times New Roman"/>
          <w:sz w:val="24"/>
          <w:szCs w:val="24"/>
        </w:rPr>
        <w:t xml:space="preserve"> </w:t>
      </w:r>
    </w:p>
    <w:p w14:paraId="7DA1A049"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Parekh, M. (2025, September 15). </w:t>
      </w:r>
      <w:r w:rsidRPr="004E5BC1">
        <w:rPr>
          <w:rFonts w:ascii="Times New Roman" w:hAnsi="Times New Roman" w:cs="Times New Roman"/>
          <w:i/>
          <w:iCs/>
          <w:sz w:val="24"/>
          <w:szCs w:val="24"/>
        </w:rPr>
        <w:t>Model Context Protocol Security: Critical Vulnerabilities Every CISO Should Address in 2025</w:t>
      </w:r>
      <w:r w:rsidRPr="004E5BC1">
        <w:rPr>
          <w:rFonts w:ascii="Times New Roman" w:hAnsi="Times New Roman" w:cs="Times New Roman"/>
          <w:sz w:val="24"/>
          <w:szCs w:val="24"/>
        </w:rPr>
        <w:t xml:space="preserve">. </w:t>
      </w:r>
      <w:proofErr w:type="spellStart"/>
      <w:r w:rsidRPr="004E5BC1">
        <w:rPr>
          <w:rFonts w:ascii="Times New Roman" w:hAnsi="Times New Roman" w:cs="Times New Roman"/>
          <w:sz w:val="24"/>
          <w:szCs w:val="24"/>
        </w:rPr>
        <w:t>ESentire</w:t>
      </w:r>
      <w:proofErr w:type="spellEnd"/>
      <w:r w:rsidRPr="004E5BC1">
        <w:rPr>
          <w:rFonts w:ascii="Times New Roman" w:hAnsi="Times New Roman" w:cs="Times New Roman"/>
          <w:sz w:val="24"/>
          <w:szCs w:val="24"/>
        </w:rPr>
        <w:t xml:space="preserve">. </w:t>
      </w:r>
      <w:hyperlink r:id="rId73" w:history="1">
        <w:r w:rsidRPr="005366C4">
          <w:rPr>
            <w:rStyle w:val="Hyperlink"/>
            <w:rFonts w:ascii="Times New Roman" w:hAnsi="Times New Roman" w:cs="Times New Roman"/>
            <w:sz w:val="24"/>
            <w:szCs w:val="24"/>
          </w:rPr>
          <w:t>https://www.esentire.com/blog/model-context-protocol-security-critical-vulnerabilities-every-ciso-should-address-in-2025?utm_</w:t>
        </w:r>
      </w:hyperlink>
      <w:r>
        <w:rPr>
          <w:rFonts w:ascii="Times New Roman" w:hAnsi="Times New Roman" w:cs="Times New Roman"/>
          <w:sz w:val="24"/>
          <w:szCs w:val="24"/>
        </w:rPr>
        <w:t xml:space="preserve"> </w:t>
      </w:r>
    </w:p>
    <w:p w14:paraId="7DA1A04A"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Raji, I. D., Smart, A., White, R. N., Mitchell, M., </w:t>
      </w:r>
      <w:proofErr w:type="spellStart"/>
      <w:r w:rsidRPr="004E5BC1">
        <w:rPr>
          <w:rFonts w:ascii="Times New Roman" w:hAnsi="Times New Roman" w:cs="Times New Roman"/>
          <w:sz w:val="24"/>
          <w:szCs w:val="24"/>
        </w:rPr>
        <w:t>Gebru</w:t>
      </w:r>
      <w:proofErr w:type="spellEnd"/>
      <w:r w:rsidRPr="004E5BC1">
        <w:rPr>
          <w:rFonts w:ascii="Times New Roman" w:hAnsi="Times New Roman" w:cs="Times New Roman"/>
          <w:sz w:val="24"/>
          <w:szCs w:val="24"/>
        </w:rPr>
        <w:t>, T., Hutchinson, B., Smith-Loud, J., Theron, D., &amp; Barnes, P. (2020). Closing the AI accountability gap: Defining an End-</w:t>
      </w:r>
      <w:r w:rsidRPr="004E5BC1">
        <w:rPr>
          <w:rFonts w:ascii="Times New Roman" w:hAnsi="Times New Roman" w:cs="Times New Roman"/>
          <w:sz w:val="24"/>
          <w:szCs w:val="24"/>
        </w:rPr>
        <w:lastRenderedPageBreak/>
        <w:t xml:space="preserve">to-End Framework for Internal Algorithmic Auditing. </w:t>
      </w:r>
      <w:r w:rsidRPr="004E5BC1">
        <w:rPr>
          <w:rFonts w:ascii="Times New Roman" w:hAnsi="Times New Roman" w:cs="Times New Roman"/>
          <w:i/>
          <w:iCs/>
          <w:sz w:val="24"/>
          <w:szCs w:val="24"/>
        </w:rPr>
        <w:t>Proceedings of the 2020 Conference on Fairness, Accountability, and Transparency</w:t>
      </w:r>
      <w:r w:rsidRPr="004E5BC1">
        <w:rPr>
          <w:rFonts w:ascii="Times New Roman" w:hAnsi="Times New Roman" w:cs="Times New Roman"/>
          <w:sz w:val="24"/>
          <w:szCs w:val="24"/>
        </w:rPr>
        <w:t xml:space="preserve">, 33–44. </w:t>
      </w:r>
      <w:hyperlink r:id="rId74" w:history="1">
        <w:r w:rsidRPr="005366C4">
          <w:rPr>
            <w:rStyle w:val="Hyperlink"/>
            <w:rFonts w:ascii="Times New Roman" w:hAnsi="Times New Roman" w:cs="Times New Roman"/>
            <w:sz w:val="24"/>
            <w:szCs w:val="24"/>
          </w:rPr>
          <w:t>https://doi.org/10.1145/3351095.3372873</w:t>
        </w:r>
      </w:hyperlink>
      <w:r>
        <w:rPr>
          <w:rFonts w:ascii="Times New Roman" w:hAnsi="Times New Roman" w:cs="Times New Roman"/>
          <w:sz w:val="24"/>
          <w:szCs w:val="24"/>
        </w:rPr>
        <w:t xml:space="preserve"> </w:t>
      </w:r>
    </w:p>
    <w:p w14:paraId="7DA1A04B"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Ramakrishnan, B., &amp; Balaji, A. (2025). Securing AI Agents Against Prompt Injection Attacks. </w:t>
      </w:r>
      <w:proofErr w:type="spellStart"/>
      <w:r w:rsidRPr="004E5BC1">
        <w:rPr>
          <w:rFonts w:ascii="Times New Roman" w:hAnsi="Times New Roman" w:cs="Times New Roman"/>
          <w:i/>
          <w:iCs/>
          <w:sz w:val="24"/>
          <w:szCs w:val="24"/>
        </w:rPr>
        <w:t>ArXiv</w:t>
      </w:r>
      <w:proofErr w:type="spellEnd"/>
      <w:r w:rsidRPr="004E5BC1">
        <w:rPr>
          <w:rFonts w:ascii="Times New Roman" w:hAnsi="Times New Roman" w:cs="Times New Roman"/>
          <w:i/>
          <w:iCs/>
          <w:sz w:val="24"/>
          <w:szCs w:val="24"/>
        </w:rPr>
        <w:t xml:space="preserve"> (Cornell University)</w:t>
      </w:r>
      <w:r w:rsidRPr="004E5BC1">
        <w:rPr>
          <w:rFonts w:ascii="Times New Roman" w:hAnsi="Times New Roman" w:cs="Times New Roman"/>
          <w:sz w:val="24"/>
          <w:szCs w:val="24"/>
        </w:rPr>
        <w:t xml:space="preserve">. </w:t>
      </w:r>
      <w:hyperlink r:id="rId75" w:history="1">
        <w:r w:rsidRPr="005366C4">
          <w:rPr>
            <w:rStyle w:val="Hyperlink"/>
            <w:rFonts w:ascii="Times New Roman" w:hAnsi="Times New Roman" w:cs="Times New Roman"/>
            <w:sz w:val="24"/>
            <w:szCs w:val="24"/>
          </w:rPr>
          <w:t>https://doi.org/10.48550/arxiv.2511.15759</w:t>
        </w:r>
      </w:hyperlink>
      <w:r>
        <w:rPr>
          <w:rFonts w:ascii="Times New Roman" w:hAnsi="Times New Roman" w:cs="Times New Roman"/>
          <w:sz w:val="24"/>
          <w:szCs w:val="24"/>
        </w:rPr>
        <w:t xml:space="preserve"> </w:t>
      </w:r>
    </w:p>
    <w:p w14:paraId="7DA1A04C"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Ribeiro, M. T., Singh, S., &amp; </w:t>
      </w:r>
      <w:proofErr w:type="spellStart"/>
      <w:r w:rsidRPr="004E5BC1">
        <w:rPr>
          <w:rFonts w:ascii="Times New Roman" w:hAnsi="Times New Roman" w:cs="Times New Roman"/>
          <w:sz w:val="24"/>
          <w:szCs w:val="24"/>
        </w:rPr>
        <w:t>Guestrin</w:t>
      </w:r>
      <w:proofErr w:type="spellEnd"/>
      <w:r w:rsidRPr="004E5BC1">
        <w:rPr>
          <w:rFonts w:ascii="Times New Roman" w:hAnsi="Times New Roman" w:cs="Times New Roman"/>
          <w:sz w:val="24"/>
          <w:szCs w:val="24"/>
        </w:rPr>
        <w:t xml:space="preserve">, C. (2016). “Why Should I Trust You?”: Explaining the Predictions of Any Classifier. </w:t>
      </w:r>
      <w:r w:rsidRPr="004E5BC1">
        <w:rPr>
          <w:rFonts w:ascii="Times New Roman" w:hAnsi="Times New Roman" w:cs="Times New Roman"/>
          <w:i/>
          <w:iCs/>
          <w:sz w:val="24"/>
          <w:szCs w:val="24"/>
        </w:rPr>
        <w:t>Proceedings of the 22nd ACM SIGKDD International Conference on Knowledge Discovery and Data Mining - KDD ’16</w:t>
      </w:r>
      <w:r w:rsidRPr="004E5BC1">
        <w:rPr>
          <w:rFonts w:ascii="Times New Roman" w:hAnsi="Times New Roman" w:cs="Times New Roman"/>
          <w:sz w:val="24"/>
          <w:szCs w:val="24"/>
        </w:rPr>
        <w:t xml:space="preserve">, 1135–1144. </w:t>
      </w:r>
      <w:hyperlink r:id="rId76" w:history="1">
        <w:r w:rsidRPr="005366C4">
          <w:rPr>
            <w:rStyle w:val="Hyperlink"/>
            <w:rFonts w:ascii="Times New Roman" w:hAnsi="Times New Roman" w:cs="Times New Roman"/>
            <w:sz w:val="24"/>
            <w:szCs w:val="24"/>
          </w:rPr>
          <w:t>https://doi.org/10.1145/2939672.2939778</w:t>
        </w:r>
      </w:hyperlink>
      <w:r>
        <w:rPr>
          <w:rFonts w:ascii="Times New Roman" w:hAnsi="Times New Roman" w:cs="Times New Roman"/>
          <w:sz w:val="24"/>
          <w:szCs w:val="24"/>
        </w:rPr>
        <w:t xml:space="preserve"> </w:t>
      </w:r>
    </w:p>
    <w:p w14:paraId="7DA1A04D"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Rose, S., Borchert, O., Mitchell, S., &amp; Connelly, S. (2020). Zero trust architecture. </w:t>
      </w:r>
      <w:r w:rsidRPr="004E5BC1">
        <w:rPr>
          <w:rFonts w:ascii="Times New Roman" w:hAnsi="Times New Roman" w:cs="Times New Roman"/>
          <w:i/>
          <w:iCs/>
          <w:sz w:val="24"/>
          <w:szCs w:val="24"/>
        </w:rPr>
        <w:t>NIST Special Publication 800-207</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w:t>
      </w:r>
      <w:r w:rsidRPr="004E5BC1">
        <w:rPr>
          <w:rFonts w:ascii="Times New Roman" w:hAnsi="Times New Roman" w:cs="Times New Roman"/>
          <w:sz w:val="24"/>
          <w:szCs w:val="24"/>
        </w:rPr>
        <w:t xml:space="preserve">(800-207). </w:t>
      </w:r>
      <w:hyperlink r:id="rId77" w:history="1">
        <w:r w:rsidRPr="005366C4">
          <w:rPr>
            <w:rStyle w:val="Hyperlink"/>
            <w:rFonts w:ascii="Times New Roman" w:hAnsi="Times New Roman" w:cs="Times New Roman"/>
            <w:sz w:val="24"/>
            <w:szCs w:val="24"/>
          </w:rPr>
          <w:t>https://doi.org/10.6028/nist.sp.800-207</w:t>
        </w:r>
      </w:hyperlink>
      <w:r>
        <w:rPr>
          <w:rFonts w:ascii="Times New Roman" w:hAnsi="Times New Roman" w:cs="Times New Roman"/>
          <w:sz w:val="24"/>
          <w:szCs w:val="24"/>
        </w:rPr>
        <w:t xml:space="preserve"> </w:t>
      </w:r>
    </w:p>
    <w:p w14:paraId="7DA1A04E"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Safa</w:t>
      </w:r>
      <w:proofErr w:type="spellEnd"/>
      <w:r w:rsidRPr="004E5BC1">
        <w:rPr>
          <w:rFonts w:ascii="Times New Roman" w:hAnsi="Times New Roman" w:cs="Times New Roman"/>
          <w:sz w:val="24"/>
          <w:szCs w:val="24"/>
        </w:rPr>
        <w:t xml:space="preserve">, N. S., Von </w:t>
      </w:r>
      <w:proofErr w:type="spellStart"/>
      <w:r w:rsidRPr="004E5BC1">
        <w:rPr>
          <w:rFonts w:ascii="Times New Roman" w:hAnsi="Times New Roman" w:cs="Times New Roman"/>
          <w:sz w:val="24"/>
          <w:szCs w:val="24"/>
        </w:rPr>
        <w:t>Solms</w:t>
      </w:r>
      <w:proofErr w:type="spellEnd"/>
      <w:r w:rsidRPr="004E5BC1">
        <w:rPr>
          <w:rFonts w:ascii="Times New Roman" w:hAnsi="Times New Roman" w:cs="Times New Roman"/>
          <w:sz w:val="24"/>
          <w:szCs w:val="24"/>
        </w:rPr>
        <w:t xml:space="preserve">, R., &amp; </w:t>
      </w:r>
      <w:proofErr w:type="spellStart"/>
      <w:r w:rsidRPr="004E5BC1">
        <w:rPr>
          <w:rFonts w:ascii="Times New Roman" w:hAnsi="Times New Roman" w:cs="Times New Roman"/>
          <w:sz w:val="24"/>
          <w:szCs w:val="24"/>
        </w:rPr>
        <w:t>Furnell</w:t>
      </w:r>
      <w:proofErr w:type="spellEnd"/>
      <w:r w:rsidRPr="004E5BC1">
        <w:rPr>
          <w:rFonts w:ascii="Times New Roman" w:hAnsi="Times New Roman" w:cs="Times New Roman"/>
          <w:sz w:val="24"/>
          <w:szCs w:val="24"/>
        </w:rPr>
        <w:t xml:space="preserve">, S. (2016). Information security policy compliance model in organizations. </w:t>
      </w:r>
      <w:r w:rsidRPr="004E5BC1">
        <w:rPr>
          <w:rFonts w:ascii="Times New Roman" w:hAnsi="Times New Roman" w:cs="Times New Roman"/>
          <w:i/>
          <w:iCs/>
          <w:sz w:val="24"/>
          <w:szCs w:val="24"/>
        </w:rPr>
        <w:t>Computers &amp; Security</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56</w:t>
      </w:r>
      <w:r w:rsidRPr="004E5BC1">
        <w:rPr>
          <w:rFonts w:ascii="Times New Roman" w:hAnsi="Times New Roman" w:cs="Times New Roman"/>
          <w:sz w:val="24"/>
          <w:szCs w:val="24"/>
        </w:rPr>
        <w:t xml:space="preserve">, 70–82. </w:t>
      </w:r>
      <w:hyperlink r:id="rId78" w:history="1">
        <w:r w:rsidRPr="005366C4">
          <w:rPr>
            <w:rStyle w:val="Hyperlink"/>
            <w:rFonts w:ascii="Times New Roman" w:hAnsi="Times New Roman" w:cs="Times New Roman"/>
            <w:sz w:val="24"/>
            <w:szCs w:val="24"/>
          </w:rPr>
          <w:t>https://doi.org/10.1016/j.cose.2015.10.006</w:t>
        </w:r>
      </w:hyperlink>
      <w:r>
        <w:rPr>
          <w:rFonts w:ascii="Times New Roman" w:hAnsi="Times New Roman" w:cs="Times New Roman"/>
          <w:sz w:val="24"/>
          <w:szCs w:val="24"/>
        </w:rPr>
        <w:t xml:space="preserve"> </w:t>
      </w:r>
    </w:p>
    <w:p w14:paraId="7DA1A04F"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Sambasivan</w:t>
      </w:r>
      <w:proofErr w:type="spellEnd"/>
      <w:r w:rsidRPr="004E5BC1">
        <w:rPr>
          <w:rFonts w:ascii="Times New Roman" w:hAnsi="Times New Roman" w:cs="Times New Roman"/>
          <w:sz w:val="24"/>
          <w:szCs w:val="24"/>
        </w:rPr>
        <w:t xml:space="preserve">, N., </w:t>
      </w:r>
      <w:proofErr w:type="spellStart"/>
      <w:r w:rsidRPr="004E5BC1">
        <w:rPr>
          <w:rFonts w:ascii="Times New Roman" w:hAnsi="Times New Roman" w:cs="Times New Roman"/>
          <w:sz w:val="24"/>
          <w:szCs w:val="24"/>
        </w:rPr>
        <w:t>Kapania</w:t>
      </w:r>
      <w:proofErr w:type="spellEnd"/>
      <w:r w:rsidRPr="004E5BC1">
        <w:rPr>
          <w:rFonts w:ascii="Times New Roman" w:hAnsi="Times New Roman" w:cs="Times New Roman"/>
          <w:sz w:val="24"/>
          <w:szCs w:val="24"/>
        </w:rPr>
        <w:t xml:space="preserve">, S., </w:t>
      </w:r>
      <w:proofErr w:type="spellStart"/>
      <w:r w:rsidRPr="004E5BC1">
        <w:rPr>
          <w:rFonts w:ascii="Times New Roman" w:hAnsi="Times New Roman" w:cs="Times New Roman"/>
          <w:sz w:val="24"/>
          <w:szCs w:val="24"/>
        </w:rPr>
        <w:t>Highfill</w:t>
      </w:r>
      <w:proofErr w:type="spellEnd"/>
      <w:r w:rsidRPr="004E5BC1">
        <w:rPr>
          <w:rFonts w:ascii="Times New Roman" w:hAnsi="Times New Roman" w:cs="Times New Roman"/>
          <w:sz w:val="24"/>
          <w:szCs w:val="24"/>
        </w:rPr>
        <w:t xml:space="preserve">, H., </w:t>
      </w:r>
      <w:proofErr w:type="spellStart"/>
      <w:r w:rsidRPr="004E5BC1">
        <w:rPr>
          <w:rFonts w:ascii="Times New Roman" w:hAnsi="Times New Roman" w:cs="Times New Roman"/>
          <w:sz w:val="24"/>
          <w:szCs w:val="24"/>
        </w:rPr>
        <w:t>Akrong</w:t>
      </w:r>
      <w:proofErr w:type="spellEnd"/>
      <w:r w:rsidRPr="004E5BC1">
        <w:rPr>
          <w:rFonts w:ascii="Times New Roman" w:hAnsi="Times New Roman" w:cs="Times New Roman"/>
          <w:sz w:val="24"/>
          <w:szCs w:val="24"/>
        </w:rPr>
        <w:t xml:space="preserve">, D., </w:t>
      </w:r>
      <w:proofErr w:type="spellStart"/>
      <w:r w:rsidRPr="004E5BC1">
        <w:rPr>
          <w:rFonts w:ascii="Times New Roman" w:hAnsi="Times New Roman" w:cs="Times New Roman"/>
          <w:sz w:val="24"/>
          <w:szCs w:val="24"/>
        </w:rPr>
        <w:t>Paritosh</w:t>
      </w:r>
      <w:proofErr w:type="spellEnd"/>
      <w:r w:rsidRPr="004E5BC1">
        <w:rPr>
          <w:rFonts w:ascii="Times New Roman" w:hAnsi="Times New Roman" w:cs="Times New Roman"/>
          <w:sz w:val="24"/>
          <w:szCs w:val="24"/>
        </w:rPr>
        <w:t xml:space="preserve">, P., &amp; </w:t>
      </w:r>
      <w:proofErr w:type="spellStart"/>
      <w:r w:rsidRPr="004E5BC1">
        <w:rPr>
          <w:rFonts w:ascii="Times New Roman" w:hAnsi="Times New Roman" w:cs="Times New Roman"/>
          <w:sz w:val="24"/>
          <w:szCs w:val="24"/>
        </w:rPr>
        <w:t>Aroyo</w:t>
      </w:r>
      <w:proofErr w:type="spellEnd"/>
      <w:r w:rsidRPr="004E5BC1">
        <w:rPr>
          <w:rFonts w:ascii="Times New Roman" w:hAnsi="Times New Roman" w:cs="Times New Roman"/>
          <w:sz w:val="24"/>
          <w:szCs w:val="24"/>
        </w:rPr>
        <w:t xml:space="preserve">, L. (2021). “Everyone wants to do the model work, not the data work”: Data Cascades in High-Stakes AI. </w:t>
      </w:r>
      <w:r w:rsidRPr="004E5BC1">
        <w:rPr>
          <w:rFonts w:ascii="Times New Roman" w:hAnsi="Times New Roman" w:cs="Times New Roman"/>
          <w:i/>
          <w:iCs/>
          <w:sz w:val="24"/>
          <w:szCs w:val="24"/>
        </w:rPr>
        <w:t>CHI ’21: Proceedings of the 2021 CHI Conference on Human Factors in Computing Systems</w:t>
      </w:r>
      <w:r w:rsidRPr="004E5BC1">
        <w:rPr>
          <w:rFonts w:ascii="Times New Roman" w:hAnsi="Times New Roman" w:cs="Times New Roman"/>
          <w:sz w:val="24"/>
          <w:szCs w:val="24"/>
        </w:rPr>
        <w:t xml:space="preserve">. </w:t>
      </w:r>
      <w:hyperlink r:id="rId79" w:history="1">
        <w:r w:rsidRPr="005366C4">
          <w:rPr>
            <w:rStyle w:val="Hyperlink"/>
            <w:rFonts w:ascii="Times New Roman" w:hAnsi="Times New Roman" w:cs="Times New Roman"/>
            <w:sz w:val="24"/>
            <w:szCs w:val="24"/>
          </w:rPr>
          <w:t>https://doi.org/10.1145/3411764.3445518</w:t>
        </w:r>
      </w:hyperlink>
      <w:r>
        <w:rPr>
          <w:rFonts w:ascii="Times New Roman" w:hAnsi="Times New Roman" w:cs="Times New Roman"/>
          <w:sz w:val="24"/>
          <w:szCs w:val="24"/>
        </w:rPr>
        <w:t xml:space="preserve"> </w:t>
      </w:r>
    </w:p>
    <w:p w14:paraId="7DA1A050"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Seth, D., </w:t>
      </w:r>
      <w:proofErr w:type="spellStart"/>
      <w:r w:rsidRPr="004E5BC1">
        <w:rPr>
          <w:rFonts w:ascii="Times New Roman" w:hAnsi="Times New Roman" w:cs="Times New Roman"/>
          <w:sz w:val="24"/>
          <w:szCs w:val="24"/>
        </w:rPr>
        <w:t>Najana</w:t>
      </w:r>
      <w:proofErr w:type="spellEnd"/>
      <w:r w:rsidRPr="004E5BC1">
        <w:rPr>
          <w:rFonts w:ascii="Times New Roman" w:hAnsi="Times New Roman" w:cs="Times New Roman"/>
          <w:sz w:val="24"/>
          <w:szCs w:val="24"/>
        </w:rPr>
        <w:t xml:space="preserve">, M., &amp; Ranjan, P. (2024). Compliance and Regulatory Challenges in Cloud Computing: A Sector-Wise Analysis. </w:t>
      </w:r>
      <w:r w:rsidRPr="004E5BC1">
        <w:rPr>
          <w:rFonts w:ascii="Times New Roman" w:hAnsi="Times New Roman" w:cs="Times New Roman"/>
          <w:i/>
          <w:iCs/>
          <w:sz w:val="24"/>
          <w:szCs w:val="24"/>
        </w:rPr>
        <w:t>Compliance and Regulatory Challenges in Cloud Computing: A Sector-Wise Analysis</w:t>
      </w:r>
      <w:r w:rsidRPr="004E5BC1">
        <w:rPr>
          <w:rFonts w:ascii="Times New Roman" w:hAnsi="Times New Roman" w:cs="Times New Roman"/>
          <w:sz w:val="24"/>
          <w:szCs w:val="24"/>
        </w:rPr>
        <w:t xml:space="preserve">. </w:t>
      </w:r>
      <w:hyperlink r:id="rId80" w:history="1">
        <w:r w:rsidRPr="005366C4">
          <w:rPr>
            <w:rStyle w:val="Hyperlink"/>
            <w:rFonts w:ascii="Times New Roman" w:hAnsi="Times New Roman" w:cs="Times New Roman"/>
            <w:sz w:val="24"/>
            <w:szCs w:val="24"/>
          </w:rPr>
          <w:t>https://doi.org/10.21428/e90189c8.68b5dea5</w:t>
        </w:r>
      </w:hyperlink>
      <w:r>
        <w:rPr>
          <w:rFonts w:ascii="Times New Roman" w:hAnsi="Times New Roman" w:cs="Times New Roman"/>
          <w:sz w:val="24"/>
          <w:szCs w:val="24"/>
        </w:rPr>
        <w:t xml:space="preserve"> </w:t>
      </w:r>
    </w:p>
    <w:p w14:paraId="7DA1A051"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Singer, P. W., &amp; Friedman, A. (2014). </w:t>
      </w:r>
      <w:r w:rsidRPr="004E5BC1">
        <w:rPr>
          <w:rFonts w:ascii="Times New Roman" w:hAnsi="Times New Roman" w:cs="Times New Roman"/>
          <w:i/>
          <w:iCs/>
          <w:sz w:val="24"/>
          <w:szCs w:val="24"/>
        </w:rPr>
        <w:t xml:space="preserve">Cybersecurity and </w:t>
      </w:r>
      <w:proofErr w:type="gramStart"/>
      <w:r w:rsidRPr="004E5BC1">
        <w:rPr>
          <w:rFonts w:ascii="Times New Roman" w:hAnsi="Times New Roman" w:cs="Times New Roman"/>
          <w:i/>
          <w:iCs/>
          <w:sz w:val="24"/>
          <w:szCs w:val="24"/>
        </w:rPr>
        <w:t>cyberwar :</w:t>
      </w:r>
      <w:proofErr w:type="gramEnd"/>
      <w:r w:rsidRPr="004E5BC1">
        <w:rPr>
          <w:rFonts w:ascii="Times New Roman" w:hAnsi="Times New Roman" w:cs="Times New Roman"/>
          <w:i/>
          <w:iCs/>
          <w:sz w:val="24"/>
          <w:szCs w:val="24"/>
        </w:rPr>
        <w:t xml:space="preserve"> what everyone needs to know</w:t>
      </w:r>
      <w:r w:rsidRPr="004E5BC1">
        <w:rPr>
          <w:rFonts w:ascii="Times New Roman" w:hAnsi="Times New Roman" w:cs="Times New Roman"/>
          <w:sz w:val="24"/>
          <w:szCs w:val="24"/>
        </w:rPr>
        <w:t xml:space="preserve">. New York, NY: Oxford University Press. </w:t>
      </w:r>
      <w:hyperlink r:id="rId81" w:history="1">
        <w:r w:rsidRPr="005366C4">
          <w:rPr>
            <w:rStyle w:val="Hyperlink"/>
            <w:rFonts w:ascii="Times New Roman" w:hAnsi="Times New Roman" w:cs="Times New Roman"/>
            <w:sz w:val="24"/>
            <w:szCs w:val="24"/>
          </w:rPr>
          <w:t>https://catalog.freelibrary.org/Record/1925339?utm_</w:t>
        </w:r>
      </w:hyperlink>
      <w:r>
        <w:rPr>
          <w:rFonts w:ascii="Times New Roman" w:hAnsi="Times New Roman" w:cs="Times New Roman"/>
          <w:sz w:val="24"/>
          <w:szCs w:val="24"/>
        </w:rPr>
        <w:t xml:space="preserve"> </w:t>
      </w:r>
    </w:p>
    <w:p w14:paraId="7DA1A052"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Siva Kumar, R. S., </w:t>
      </w:r>
      <w:proofErr w:type="spellStart"/>
      <w:r w:rsidRPr="004E5BC1">
        <w:rPr>
          <w:rFonts w:ascii="Times New Roman" w:hAnsi="Times New Roman" w:cs="Times New Roman"/>
          <w:sz w:val="24"/>
          <w:szCs w:val="24"/>
        </w:rPr>
        <w:t>Nyström</w:t>
      </w:r>
      <w:proofErr w:type="spellEnd"/>
      <w:r w:rsidRPr="004E5BC1">
        <w:rPr>
          <w:rFonts w:ascii="Times New Roman" w:hAnsi="Times New Roman" w:cs="Times New Roman"/>
          <w:sz w:val="24"/>
          <w:szCs w:val="24"/>
        </w:rPr>
        <w:t xml:space="preserve">, M., Lambert, J., Marshall, A., </w:t>
      </w:r>
      <w:proofErr w:type="spellStart"/>
      <w:r w:rsidRPr="004E5BC1">
        <w:rPr>
          <w:rFonts w:ascii="Times New Roman" w:hAnsi="Times New Roman" w:cs="Times New Roman"/>
          <w:sz w:val="24"/>
          <w:szCs w:val="24"/>
        </w:rPr>
        <w:t>Goertzel</w:t>
      </w:r>
      <w:proofErr w:type="spellEnd"/>
      <w:r w:rsidRPr="004E5BC1">
        <w:rPr>
          <w:rFonts w:ascii="Times New Roman" w:hAnsi="Times New Roman" w:cs="Times New Roman"/>
          <w:sz w:val="24"/>
          <w:szCs w:val="24"/>
        </w:rPr>
        <w:t xml:space="preserve">, M., </w:t>
      </w:r>
      <w:proofErr w:type="spellStart"/>
      <w:r w:rsidRPr="004E5BC1">
        <w:rPr>
          <w:rFonts w:ascii="Times New Roman" w:hAnsi="Times New Roman" w:cs="Times New Roman"/>
          <w:sz w:val="24"/>
          <w:szCs w:val="24"/>
        </w:rPr>
        <w:t>Comissoneru</w:t>
      </w:r>
      <w:proofErr w:type="spellEnd"/>
      <w:r w:rsidRPr="004E5BC1">
        <w:rPr>
          <w:rFonts w:ascii="Times New Roman" w:hAnsi="Times New Roman" w:cs="Times New Roman"/>
          <w:sz w:val="24"/>
          <w:szCs w:val="24"/>
        </w:rPr>
        <w:t xml:space="preserve">, A., Swann, M., &amp; Xia, S. (2020, May 1). </w:t>
      </w:r>
      <w:r w:rsidRPr="004E5BC1">
        <w:rPr>
          <w:rFonts w:ascii="Times New Roman" w:hAnsi="Times New Roman" w:cs="Times New Roman"/>
          <w:i/>
          <w:iCs/>
          <w:sz w:val="24"/>
          <w:szCs w:val="24"/>
        </w:rPr>
        <w:t>Adversarial Machine Learning-Industry Perspectives</w:t>
      </w:r>
      <w:r w:rsidRPr="004E5BC1">
        <w:rPr>
          <w:rFonts w:ascii="Times New Roman" w:hAnsi="Times New Roman" w:cs="Times New Roman"/>
          <w:sz w:val="24"/>
          <w:szCs w:val="24"/>
        </w:rPr>
        <w:t xml:space="preserve">. IEEE Xplore. </w:t>
      </w:r>
      <w:hyperlink r:id="rId82" w:history="1">
        <w:r w:rsidRPr="005366C4">
          <w:rPr>
            <w:rStyle w:val="Hyperlink"/>
            <w:rFonts w:ascii="Times New Roman" w:hAnsi="Times New Roman" w:cs="Times New Roman"/>
            <w:sz w:val="24"/>
            <w:szCs w:val="24"/>
          </w:rPr>
          <w:t>https://doi.org/10.1109/SPW50608.2020.00028</w:t>
        </w:r>
      </w:hyperlink>
      <w:r>
        <w:rPr>
          <w:rFonts w:ascii="Times New Roman" w:hAnsi="Times New Roman" w:cs="Times New Roman"/>
          <w:sz w:val="24"/>
          <w:szCs w:val="24"/>
        </w:rPr>
        <w:t xml:space="preserve"> </w:t>
      </w:r>
    </w:p>
    <w:p w14:paraId="7DA1A053"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Veale, M., &amp; </w:t>
      </w:r>
      <w:proofErr w:type="spellStart"/>
      <w:r w:rsidRPr="004E5BC1">
        <w:rPr>
          <w:rFonts w:ascii="Times New Roman" w:hAnsi="Times New Roman" w:cs="Times New Roman"/>
          <w:sz w:val="24"/>
          <w:szCs w:val="24"/>
        </w:rPr>
        <w:t>Borgesius</w:t>
      </w:r>
      <w:proofErr w:type="spellEnd"/>
      <w:r w:rsidRPr="004E5BC1">
        <w:rPr>
          <w:rFonts w:ascii="Times New Roman" w:hAnsi="Times New Roman" w:cs="Times New Roman"/>
          <w:sz w:val="24"/>
          <w:szCs w:val="24"/>
        </w:rPr>
        <w:t xml:space="preserve">, F. Z. (2021). Demystifying the Draft EU Artificial Intelligence Act — </w:t>
      </w:r>
      <w:proofErr w:type="spellStart"/>
      <w:r w:rsidRPr="004E5BC1">
        <w:rPr>
          <w:rFonts w:ascii="Times New Roman" w:hAnsi="Times New Roman" w:cs="Times New Roman"/>
          <w:sz w:val="24"/>
          <w:szCs w:val="24"/>
        </w:rPr>
        <w:t>Analysing</w:t>
      </w:r>
      <w:proofErr w:type="spellEnd"/>
      <w:r w:rsidRPr="004E5BC1">
        <w:rPr>
          <w:rFonts w:ascii="Times New Roman" w:hAnsi="Times New Roman" w:cs="Times New Roman"/>
          <w:sz w:val="24"/>
          <w:szCs w:val="24"/>
        </w:rPr>
        <w:t xml:space="preserve"> the good, the bad, and the unclear elements of the proposed approach. </w:t>
      </w:r>
      <w:r w:rsidRPr="004E5BC1">
        <w:rPr>
          <w:rFonts w:ascii="Times New Roman" w:hAnsi="Times New Roman" w:cs="Times New Roman"/>
          <w:i/>
          <w:iCs/>
          <w:sz w:val="24"/>
          <w:szCs w:val="24"/>
        </w:rPr>
        <w:t>Computer Law Review International</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22</w:t>
      </w:r>
      <w:r w:rsidRPr="004E5BC1">
        <w:rPr>
          <w:rFonts w:ascii="Times New Roman" w:hAnsi="Times New Roman" w:cs="Times New Roman"/>
          <w:sz w:val="24"/>
          <w:szCs w:val="24"/>
        </w:rPr>
        <w:t xml:space="preserve">(4), 97–112. </w:t>
      </w:r>
      <w:hyperlink r:id="rId83" w:history="1">
        <w:r w:rsidRPr="005366C4">
          <w:rPr>
            <w:rStyle w:val="Hyperlink"/>
            <w:rFonts w:ascii="Times New Roman" w:hAnsi="Times New Roman" w:cs="Times New Roman"/>
            <w:sz w:val="24"/>
            <w:szCs w:val="24"/>
          </w:rPr>
          <w:t>https://doi.org/10.9785/cri-2021-220402</w:t>
        </w:r>
      </w:hyperlink>
      <w:r>
        <w:rPr>
          <w:rFonts w:ascii="Times New Roman" w:hAnsi="Times New Roman" w:cs="Times New Roman"/>
          <w:sz w:val="24"/>
          <w:szCs w:val="24"/>
        </w:rPr>
        <w:t xml:space="preserve"> </w:t>
      </w:r>
    </w:p>
    <w:p w14:paraId="7DA1A054"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lastRenderedPageBreak/>
        <w:t xml:space="preserve">Verizon. (2020). </w:t>
      </w:r>
      <w:r w:rsidRPr="004E5BC1">
        <w:rPr>
          <w:rFonts w:ascii="Times New Roman" w:hAnsi="Times New Roman" w:cs="Times New Roman"/>
          <w:i/>
          <w:iCs/>
          <w:sz w:val="24"/>
          <w:szCs w:val="24"/>
        </w:rPr>
        <w:t>Data Breach Investigations Report</w:t>
      </w:r>
      <w:r w:rsidRPr="004E5BC1">
        <w:rPr>
          <w:rFonts w:ascii="Times New Roman" w:hAnsi="Times New Roman" w:cs="Times New Roman"/>
          <w:sz w:val="24"/>
          <w:szCs w:val="24"/>
        </w:rPr>
        <w:t xml:space="preserve">. </w:t>
      </w:r>
      <w:hyperlink r:id="rId84" w:history="1">
        <w:r w:rsidRPr="005366C4">
          <w:rPr>
            <w:rStyle w:val="Hyperlink"/>
            <w:rFonts w:ascii="Times New Roman" w:hAnsi="Times New Roman" w:cs="Times New Roman"/>
            <w:sz w:val="24"/>
            <w:szCs w:val="24"/>
          </w:rPr>
          <w:t>https://www.verizon.com/business/resources/reports/2020-data-breach-investigations-report.pdf?utm_</w:t>
        </w:r>
      </w:hyperlink>
      <w:r>
        <w:rPr>
          <w:rFonts w:ascii="Times New Roman" w:hAnsi="Times New Roman" w:cs="Times New Roman"/>
          <w:sz w:val="24"/>
          <w:szCs w:val="24"/>
        </w:rPr>
        <w:t xml:space="preserve"> </w:t>
      </w:r>
    </w:p>
    <w:p w14:paraId="7DA1A055"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Vuković</w:t>
      </w:r>
      <w:proofErr w:type="spellEnd"/>
      <w:r w:rsidRPr="004E5BC1">
        <w:rPr>
          <w:rFonts w:ascii="Times New Roman" w:hAnsi="Times New Roman" w:cs="Times New Roman"/>
          <w:sz w:val="24"/>
          <w:szCs w:val="24"/>
        </w:rPr>
        <w:t xml:space="preserve">, D. B., </w:t>
      </w:r>
      <w:proofErr w:type="spellStart"/>
      <w:r w:rsidRPr="004E5BC1">
        <w:rPr>
          <w:rFonts w:ascii="Times New Roman" w:hAnsi="Times New Roman" w:cs="Times New Roman"/>
          <w:sz w:val="24"/>
          <w:szCs w:val="24"/>
        </w:rPr>
        <w:t>Dekpo-Adza</w:t>
      </w:r>
      <w:proofErr w:type="spellEnd"/>
      <w:r w:rsidRPr="004E5BC1">
        <w:rPr>
          <w:rFonts w:ascii="Times New Roman" w:hAnsi="Times New Roman" w:cs="Times New Roman"/>
          <w:sz w:val="24"/>
          <w:szCs w:val="24"/>
        </w:rPr>
        <w:t xml:space="preserve">, S., &amp; </w:t>
      </w:r>
      <w:proofErr w:type="spellStart"/>
      <w:r w:rsidRPr="004E5BC1">
        <w:rPr>
          <w:rFonts w:ascii="Times New Roman" w:hAnsi="Times New Roman" w:cs="Times New Roman"/>
          <w:sz w:val="24"/>
          <w:szCs w:val="24"/>
        </w:rPr>
        <w:t>Matović</w:t>
      </w:r>
      <w:proofErr w:type="spellEnd"/>
      <w:r w:rsidRPr="004E5BC1">
        <w:rPr>
          <w:rFonts w:ascii="Times New Roman" w:hAnsi="Times New Roman" w:cs="Times New Roman"/>
          <w:sz w:val="24"/>
          <w:szCs w:val="24"/>
        </w:rPr>
        <w:t xml:space="preserve">, S. (2025). AI integration in financial services: a systematic review of trends and regulatory challenges. </w:t>
      </w:r>
      <w:r w:rsidRPr="004E5BC1">
        <w:rPr>
          <w:rFonts w:ascii="Times New Roman" w:hAnsi="Times New Roman" w:cs="Times New Roman"/>
          <w:i/>
          <w:iCs/>
          <w:sz w:val="24"/>
          <w:szCs w:val="24"/>
        </w:rPr>
        <w:t>Humanities and Social Sciences Communications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12</w:t>
      </w:r>
      <w:r w:rsidRPr="004E5BC1">
        <w:rPr>
          <w:rFonts w:ascii="Times New Roman" w:hAnsi="Times New Roman" w:cs="Times New Roman"/>
          <w:sz w:val="24"/>
          <w:szCs w:val="24"/>
        </w:rPr>
        <w:t xml:space="preserve">(1). </w:t>
      </w:r>
      <w:hyperlink r:id="rId85" w:history="1">
        <w:r w:rsidRPr="005366C4">
          <w:rPr>
            <w:rStyle w:val="Hyperlink"/>
            <w:rFonts w:ascii="Times New Roman" w:hAnsi="Times New Roman" w:cs="Times New Roman"/>
            <w:sz w:val="24"/>
            <w:szCs w:val="24"/>
          </w:rPr>
          <w:t>https://doi.org/10.1057/s41599-025-04850-8</w:t>
        </w:r>
      </w:hyperlink>
      <w:r>
        <w:rPr>
          <w:rFonts w:ascii="Times New Roman" w:hAnsi="Times New Roman" w:cs="Times New Roman"/>
          <w:sz w:val="24"/>
          <w:szCs w:val="24"/>
        </w:rPr>
        <w:t xml:space="preserve"> </w:t>
      </w:r>
    </w:p>
    <w:p w14:paraId="7DA1A056"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Wang, G., Ma, H., Gao, Y., </w:t>
      </w:r>
      <w:proofErr w:type="spellStart"/>
      <w:r w:rsidRPr="004E5BC1">
        <w:rPr>
          <w:rFonts w:ascii="Times New Roman" w:hAnsi="Times New Roman" w:cs="Times New Roman"/>
          <w:sz w:val="24"/>
          <w:szCs w:val="24"/>
        </w:rPr>
        <w:t>Abuadbba</w:t>
      </w:r>
      <w:proofErr w:type="spellEnd"/>
      <w:r w:rsidRPr="004E5BC1">
        <w:rPr>
          <w:rFonts w:ascii="Times New Roman" w:hAnsi="Times New Roman" w:cs="Times New Roman"/>
          <w:sz w:val="24"/>
          <w:szCs w:val="24"/>
        </w:rPr>
        <w:t>, A., Zhang, Z., Kang, W., Al-</w:t>
      </w:r>
      <w:proofErr w:type="spellStart"/>
      <w:r w:rsidRPr="004E5BC1">
        <w:rPr>
          <w:rFonts w:ascii="Times New Roman" w:hAnsi="Times New Roman" w:cs="Times New Roman"/>
          <w:sz w:val="24"/>
          <w:szCs w:val="24"/>
        </w:rPr>
        <w:t>Sarawi</w:t>
      </w:r>
      <w:proofErr w:type="spellEnd"/>
      <w:r w:rsidRPr="004E5BC1">
        <w:rPr>
          <w:rFonts w:ascii="Times New Roman" w:hAnsi="Times New Roman" w:cs="Times New Roman"/>
          <w:sz w:val="24"/>
          <w:szCs w:val="24"/>
        </w:rPr>
        <w:t>, S. F., Zhang, G., &amp; Abbott, D. (2024). One-to-Multiple Clean-Label Image Camouflage (</w:t>
      </w:r>
      <w:proofErr w:type="spellStart"/>
      <w:r w:rsidRPr="004E5BC1">
        <w:rPr>
          <w:rFonts w:ascii="Times New Roman" w:hAnsi="Times New Roman" w:cs="Times New Roman"/>
          <w:sz w:val="24"/>
          <w:szCs w:val="24"/>
        </w:rPr>
        <w:t>OmClic</w:t>
      </w:r>
      <w:proofErr w:type="spellEnd"/>
      <w:r w:rsidRPr="004E5BC1">
        <w:rPr>
          <w:rFonts w:ascii="Times New Roman" w:hAnsi="Times New Roman" w:cs="Times New Roman"/>
          <w:sz w:val="24"/>
          <w:szCs w:val="24"/>
        </w:rPr>
        <w:t xml:space="preserve">) based backdoor attack on deep learning. </w:t>
      </w:r>
      <w:r w:rsidRPr="004E5BC1">
        <w:rPr>
          <w:rFonts w:ascii="Times New Roman" w:hAnsi="Times New Roman" w:cs="Times New Roman"/>
          <w:i/>
          <w:iCs/>
          <w:sz w:val="24"/>
          <w:szCs w:val="24"/>
        </w:rPr>
        <w:t>Knowledge-Based Systems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288</w:t>
      </w:r>
      <w:r w:rsidRPr="004E5BC1">
        <w:rPr>
          <w:rFonts w:ascii="Times New Roman" w:hAnsi="Times New Roman" w:cs="Times New Roman"/>
          <w:sz w:val="24"/>
          <w:szCs w:val="24"/>
        </w:rPr>
        <w:t xml:space="preserve">, 111456–111456. </w:t>
      </w:r>
      <w:hyperlink r:id="rId86" w:history="1">
        <w:r w:rsidRPr="005366C4">
          <w:rPr>
            <w:rStyle w:val="Hyperlink"/>
            <w:rFonts w:ascii="Times New Roman" w:hAnsi="Times New Roman" w:cs="Times New Roman"/>
            <w:sz w:val="24"/>
            <w:szCs w:val="24"/>
          </w:rPr>
          <w:t>https://doi.org/10.1016/j.knosys.2024.111456</w:t>
        </w:r>
      </w:hyperlink>
      <w:r>
        <w:rPr>
          <w:rFonts w:ascii="Times New Roman" w:hAnsi="Times New Roman" w:cs="Times New Roman"/>
          <w:sz w:val="24"/>
          <w:szCs w:val="24"/>
        </w:rPr>
        <w:t xml:space="preserve"> </w:t>
      </w:r>
    </w:p>
    <w:p w14:paraId="7DA1A057"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Wang, Z., Ma, J., Wang, X., Hu, J., Qin, Z., &amp; Ren, K. (2022). Threats to Training: A Survey of Poisoning Attacks and Defenses on Machine Learning Systems. </w:t>
      </w:r>
      <w:r w:rsidRPr="004E5BC1">
        <w:rPr>
          <w:rFonts w:ascii="Times New Roman" w:hAnsi="Times New Roman" w:cs="Times New Roman"/>
          <w:i/>
          <w:iCs/>
          <w:sz w:val="24"/>
          <w:szCs w:val="24"/>
        </w:rPr>
        <w:t>ACM Computing Surveys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55</w:t>
      </w:r>
      <w:r w:rsidRPr="004E5BC1">
        <w:rPr>
          <w:rFonts w:ascii="Times New Roman" w:hAnsi="Times New Roman" w:cs="Times New Roman"/>
          <w:sz w:val="24"/>
          <w:szCs w:val="24"/>
        </w:rPr>
        <w:t xml:space="preserve">(7). </w:t>
      </w:r>
      <w:hyperlink r:id="rId87" w:history="1">
        <w:r w:rsidRPr="005366C4">
          <w:rPr>
            <w:rStyle w:val="Hyperlink"/>
            <w:rFonts w:ascii="Times New Roman" w:hAnsi="Times New Roman" w:cs="Times New Roman"/>
            <w:sz w:val="24"/>
            <w:szCs w:val="24"/>
          </w:rPr>
          <w:t>https://doi.org/10.1145/3538707</w:t>
        </w:r>
      </w:hyperlink>
      <w:r>
        <w:rPr>
          <w:rFonts w:ascii="Times New Roman" w:hAnsi="Times New Roman" w:cs="Times New Roman"/>
          <w:sz w:val="24"/>
          <w:szCs w:val="24"/>
        </w:rPr>
        <w:t xml:space="preserve"> </w:t>
      </w:r>
    </w:p>
    <w:p w14:paraId="7DA1A058"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WEF. (2025). </w:t>
      </w:r>
      <w:r w:rsidRPr="004E5BC1">
        <w:rPr>
          <w:rFonts w:ascii="Times New Roman" w:hAnsi="Times New Roman" w:cs="Times New Roman"/>
          <w:i/>
          <w:iCs/>
          <w:sz w:val="24"/>
          <w:szCs w:val="24"/>
        </w:rPr>
        <w:t>Artificial Intelligence in Financial Services A N U A R Y 2 0 2 5 In collaboration with Accenture Transformation of Industries in the Age of AI</w:t>
      </w:r>
      <w:r w:rsidRPr="004E5BC1">
        <w:rPr>
          <w:rFonts w:ascii="Times New Roman" w:hAnsi="Times New Roman" w:cs="Times New Roman"/>
          <w:sz w:val="24"/>
          <w:szCs w:val="24"/>
        </w:rPr>
        <w:t xml:space="preserve">. </w:t>
      </w:r>
      <w:hyperlink r:id="rId88" w:history="1">
        <w:r w:rsidRPr="005366C4">
          <w:rPr>
            <w:rStyle w:val="Hyperlink"/>
            <w:rFonts w:ascii="Times New Roman" w:hAnsi="Times New Roman" w:cs="Times New Roman"/>
            <w:sz w:val="24"/>
            <w:szCs w:val="24"/>
          </w:rPr>
          <w:t>https://reports.weforum.org/docs/WEF_Artificial_Intelligence_in_Financial_Services_2025.pdf</w:t>
        </w:r>
      </w:hyperlink>
      <w:r>
        <w:rPr>
          <w:rFonts w:ascii="Times New Roman" w:hAnsi="Times New Roman" w:cs="Times New Roman"/>
          <w:sz w:val="24"/>
          <w:szCs w:val="24"/>
        </w:rPr>
        <w:t xml:space="preserve"> </w:t>
      </w:r>
    </w:p>
    <w:p w14:paraId="7DA1A059" w14:textId="77777777" w:rsidR="00C67F45" w:rsidRPr="004E5BC1" w:rsidRDefault="004E5BC1" w:rsidP="004E5BC1">
      <w:pPr>
        <w:spacing w:after="240"/>
        <w:ind w:left="900" w:hanging="900"/>
        <w:rPr>
          <w:rFonts w:ascii="Times New Roman" w:hAnsi="Times New Roman" w:cs="Times New Roman"/>
          <w:sz w:val="24"/>
          <w:szCs w:val="24"/>
        </w:rPr>
      </w:pPr>
      <w:proofErr w:type="spellStart"/>
      <w:r w:rsidRPr="004E5BC1">
        <w:rPr>
          <w:rFonts w:ascii="Times New Roman" w:hAnsi="Times New Roman" w:cs="Times New Roman"/>
          <w:sz w:val="24"/>
          <w:szCs w:val="24"/>
        </w:rPr>
        <w:t>Xie</w:t>
      </w:r>
      <w:proofErr w:type="spellEnd"/>
      <w:r w:rsidRPr="004E5BC1">
        <w:rPr>
          <w:rFonts w:ascii="Times New Roman" w:hAnsi="Times New Roman" w:cs="Times New Roman"/>
          <w:sz w:val="24"/>
          <w:szCs w:val="24"/>
        </w:rPr>
        <w:t xml:space="preserve">, X., Yan, M., Zhou, X., Zhao, C., Wang, S., Zhang, Y., &amp; Zhou, J. T. (2024). Shortcuts Arising from Contrast: Towards Effective and Lightweight Clean-Label Attacks in Prompt-Based Learning. </w:t>
      </w:r>
      <w:r w:rsidRPr="004E5BC1">
        <w:rPr>
          <w:rFonts w:ascii="Times New Roman" w:hAnsi="Times New Roman" w:cs="Times New Roman"/>
          <w:i/>
          <w:iCs/>
          <w:sz w:val="24"/>
          <w:szCs w:val="24"/>
        </w:rPr>
        <w:t>Proceedings of the 2024 Conference on Empirical Methods in Natural Language Processing</w:t>
      </w:r>
      <w:r w:rsidRPr="004E5BC1">
        <w:rPr>
          <w:rFonts w:ascii="Times New Roman" w:hAnsi="Times New Roman" w:cs="Times New Roman"/>
          <w:sz w:val="24"/>
          <w:szCs w:val="24"/>
        </w:rPr>
        <w:t xml:space="preserve">, 14966–14977. </w:t>
      </w:r>
      <w:hyperlink r:id="rId89" w:history="1">
        <w:r w:rsidRPr="005366C4">
          <w:rPr>
            <w:rStyle w:val="Hyperlink"/>
            <w:rFonts w:ascii="Times New Roman" w:hAnsi="Times New Roman" w:cs="Times New Roman"/>
            <w:sz w:val="24"/>
            <w:szCs w:val="24"/>
          </w:rPr>
          <w:t>https://doi.org/10.18653/v1/2024.emnlp-main.834</w:t>
        </w:r>
      </w:hyperlink>
      <w:r>
        <w:rPr>
          <w:rFonts w:ascii="Times New Roman" w:hAnsi="Times New Roman" w:cs="Times New Roman"/>
          <w:sz w:val="24"/>
          <w:szCs w:val="24"/>
        </w:rPr>
        <w:t xml:space="preserve"> </w:t>
      </w:r>
    </w:p>
    <w:p w14:paraId="7DA1A05A"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Yang, M., Lim, M. K., Qu, Y., Ni, D., &amp; Xiao, Z. (2022). Supply chain risk management with machine learning technology: A literature review and future research directions. </w:t>
      </w:r>
      <w:r w:rsidRPr="004E5BC1">
        <w:rPr>
          <w:rFonts w:ascii="Times New Roman" w:hAnsi="Times New Roman" w:cs="Times New Roman"/>
          <w:i/>
          <w:iCs/>
          <w:sz w:val="24"/>
          <w:szCs w:val="24"/>
        </w:rPr>
        <w:t>Computers &amp; Industrial Engineering</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175</w:t>
      </w:r>
      <w:r w:rsidRPr="004E5BC1">
        <w:rPr>
          <w:rFonts w:ascii="Times New Roman" w:hAnsi="Times New Roman" w:cs="Times New Roman"/>
          <w:sz w:val="24"/>
          <w:szCs w:val="24"/>
        </w:rPr>
        <w:t xml:space="preserve">, 108859. </w:t>
      </w:r>
      <w:hyperlink r:id="rId90" w:history="1">
        <w:r w:rsidRPr="005366C4">
          <w:rPr>
            <w:rStyle w:val="Hyperlink"/>
            <w:rFonts w:ascii="Times New Roman" w:hAnsi="Times New Roman" w:cs="Times New Roman"/>
            <w:sz w:val="24"/>
            <w:szCs w:val="24"/>
          </w:rPr>
          <w:t>https://doi.org/10.1016/j.cie.2022.108859</w:t>
        </w:r>
      </w:hyperlink>
      <w:r>
        <w:rPr>
          <w:rFonts w:ascii="Times New Roman" w:hAnsi="Times New Roman" w:cs="Times New Roman"/>
          <w:sz w:val="24"/>
          <w:szCs w:val="24"/>
        </w:rPr>
        <w:t xml:space="preserve"> </w:t>
      </w:r>
    </w:p>
    <w:p w14:paraId="7DA1A05B"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Yip, D. W., </w:t>
      </w:r>
      <w:proofErr w:type="spellStart"/>
      <w:r w:rsidRPr="004E5BC1">
        <w:rPr>
          <w:rFonts w:ascii="Times New Roman" w:hAnsi="Times New Roman" w:cs="Times New Roman"/>
          <w:sz w:val="24"/>
          <w:szCs w:val="24"/>
        </w:rPr>
        <w:t>Esmradi</w:t>
      </w:r>
      <w:proofErr w:type="spellEnd"/>
      <w:r w:rsidRPr="004E5BC1">
        <w:rPr>
          <w:rFonts w:ascii="Times New Roman" w:hAnsi="Times New Roman" w:cs="Times New Roman"/>
          <w:sz w:val="24"/>
          <w:szCs w:val="24"/>
        </w:rPr>
        <w:t xml:space="preserve">, A., &amp; Chan, C. F. (2024). </w:t>
      </w:r>
      <w:r w:rsidRPr="004E5BC1">
        <w:rPr>
          <w:rFonts w:ascii="Times New Roman" w:hAnsi="Times New Roman" w:cs="Times New Roman"/>
          <w:i/>
          <w:iCs/>
          <w:sz w:val="24"/>
          <w:szCs w:val="24"/>
        </w:rPr>
        <w:t>A Novel Evaluation Framework for Assessing Resilience Against Prompt Injection Attacks in Large Language Models</w:t>
      </w:r>
      <w:r w:rsidRPr="004E5BC1">
        <w:rPr>
          <w:rFonts w:ascii="Times New Roman" w:hAnsi="Times New Roman" w:cs="Times New Roman"/>
          <w:sz w:val="24"/>
          <w:szCs w:val="24"/>
        </w:rPr>
        <w:t xml:space="preserve">. ArXiv.org. </w:t>
      </w:r>
      <w:hyperlink r:id="rId91" w:history="1">
        <w:r w:rsidRPr="005366C4">
          <w:rPr>
            <w:rStyle w:val="Hyperlink"/>
            <w:rFonts w:ascii="Times New Roman" w:hAnsi="Times New Roman" w:cs="Times New Roman"/>
            <w:sz w:val="24"/>
            <w:szCs w:val="24"/>
          </w:rPr>
          <w:t>https://arxiv.org/abs/2401.00991v1</w:t>
        </w:r>
      </w:hyperlink>
      <w:r>
        <w:rPr>
          <w:rFonts w:ascii="Times New Roman" w:hAnsi="Times New Roman" w:cs="Times New Roman"/>
          <w:sz w:val="24"/>
          <w:szCs w:val="24"/>
        </w:rPr>
        <w:t xml:space="preserve"> </w:t>
      </w:r>
    </w:p>
    <w:p w14:paraId="7DA1A05C"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Zhang, C., </w:t>
      </w:r>
      <w:proofErr w:type="spellStart"/>
      <w:r w:rsidRPr="004E5BC1">
        <w:rPr>
          <w:rFonts w:ascii="Times New Roman" w:hAnsi="Times New Roman" w:cs="Times New Roman"/>
          <w:sz w:val="24"/>
          <w:szCs w:val="24"/>
        </w:rPr>
        <w:t>Jin</w:t>
      </w:r>
      <w:proofErr w:type="spellEnd"/>
      <w:r w:rsidRPr="004E5BC1">
        <w:rPr>
          <w:rFonts w:ascii="Times New Roman" w:hAnsi="Times New Roman" w:cs="Times New Roman"/>
          <w:sz w:val="24"/>
          <w:szCs w:val="24"/>
        </w:rPr>
        <w:t xml:space="preserve">, M., Yu, Q., Liu, C., </w:t>
      </w:r>
      <w:proofErr w:type="spellStart"/>
      <w:r w:rsidRPr="004E5BC1">
        <w:rPr>
          <w:rFonts w:ascii="Times New Roman" w:hAnsi="Times New Roman" w:cs="Times New Roman"/>
          <w:sz w:val="24"/>
          <w:szCs w:val="24"/>
        </w:rPr>
        <w:t>Xue</w:t>
      </w:r>
      <w:proofErr w:type="spellEnd"/>
      <w:r w:rsidRPr="004E5BC1">
        <w:rPr>
          <w:rFonts w:ascii="Times New Roman" w:hAnsi="Times New Roman" w:cs="Times New Roman"/>
          <w:sz w:val="24"/>
          <w:szCs w:val="24"/>
        </w:rPr>
        <w:t xml:space="preserve">, H., &amp; </w:t>
      </w:r>
      <w:proofErr w:type="spellStart"/>
      <w:r w:rsidRPr="004E5BC1">
        <w:rPr>
          <w:rFonts w:ascii="Times New Roman" w:hAnsi="Times New Roman" w:cs="Times New Roman"/>
          <w:sz w:val="24"/>
          <w:szCs w:val="24"/>
        </w:rPr>
        <w:t>Jin</w:t>
      </w:r>
      <w:proofErr w:type="spellEnd"/>
      <w:r w:rsidRPr="004E5BC1">
        <w:rPr>
          <w:rFonts w:ascii="Times New Roman" w:hAnsi="Times New Roman" w:cs="Times New Roman"/>
          <w:sz w:val="24"/>
          <w:szCs w:val="24"/>
        </w:rPr>
        <w:t xml:space="preserve">, X. (2024). </w:t>
      </w:r>
      <w:r w:rsidRPr="004E5BC1">
        <w:rPr>
          <w:rFonts w:ascii="Times New Roman" w:hAnsi="Times New Roman" w:cs="Times New Roman"/>
          <w:i/>
          <w:iCs/>
          <w:sz w:val="24"/>
          <w:szCs w:val="24"/>
        </w:rPr>
        <w:t>Goal-guided Generative Prompt Injection Attack on Large Language Models</w:t>
      </w:r>
      <w:r w:rsidRPr="004E5BC1">
        <w:rPr>
          <w:rFonts w:ascii="Times New Roman" w:hAnsi="Times New Roman" w:cs="Times New Roman"/>
          <w:sz w:val="24"/>
          <w:szCs w:val="24"/>
        </w:rPr>
        <w:t xml:space="preserve">. ArXiv.org. </w:t>
      </w:r>
      <w:hyperlink r:id="rId92" w:history="1">
        <w:r w:rsidRPr="005366C4">
          <w:rPr>
            <w:rStyle w:val="Hyperlink"/>
            <w:rFonts w:ascii="Times New Roman" w:hAnsi="Times New Roman" w:cs="Times New Roman"/>
            <w:sz w:val="24"/>
            <w:szCs w:val="24"/>
          </w:rPr>
          <w:t>https://arxiv.org/abs/2404.07234v4</w:t>
        </w:r>
      </w:hyperlink>
      <w:r>
        <w:rPr>
          <w:rFonts w:ascii="Times New Roman" w:hAnsi="Times New Roman" w:cs="Times New Roman"/>
          <w:sz w:val="24"/>
          <w:szCs w:val="24"/>
        </w:rPr>
        <w:t xml:space="preserve"> </w:t>
      </w:r>
    </w:p>
    <w:p w14:paraId="7DA1A05D"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lastRenderedPageBreak/>
        <w:t xml:space="preserve">Zhao, L., Wu, X., Li, J., &amp; Tong, H. (2025). Economics of Cybersecurity Investment and Information Sharing: Firm Decision Making Under Policy Constraints. </w:t>
      </w:r>
      <w:r w:rsidRPr="004E5BC1">
        <w:rPr>
          <w:rFonts w:ascii="Times New Roman" w:hAnsi="Times New Roman" w:cs="Times New Roman"/>
          <w:i/>
          <w:iCs/>
          <w:sz w:val="24"/>
          <w:szCs w:val="24"/>
        </w:rPr>
        <w:t>Systems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13</w:t>
      </w:r>
      <w:r w:rsidRPr="004E5BC1">
        <w:rPr>
          <w:rFonts w:ascii="Times New Roman" w:hAnsi="Times New Roman" w:cs="Times New Roman"/>
          <w:sz w:val="24"/>
          <w:szCs w:val="24"/>
        </w:rPr>
        <w:t xml:space="preserve">(2), 83. </w:t>
      </w:r>
      <w:hyperlink r:id="rId93" w:history="1">
        <w:r w:rsidRPr="005366C4">
          <w:rPr>
            <w:rStyle w:val="Hyperlink"/>
            <w:rFonts w:ascii="Times New Roman" w:hAnsi="Times New Roman" w:cs="Times New Roman"/>
            <w:sz w:val="24"/>
            <w:szCs w:val="24"/>
          </w:rPr>
          <w:t>https://doi.org/10.3390/systems13020083</w:t>
        </w:r>
      </w:hyperlink>
      <w:r>
        <w:rPr>
          <w:rFonts w:ascii="Times New Roman" w:hAnsi="Times New Roman" w:cs="Times New Roman"/>
          <w:sz w:val="24"/>
          <w:szCs w:val="24"/>
        </w:rPr>
        <w:t xml:space="preserve"> </w:t>
      </w:r>
    </w:p>
    <w:p w14:paraId="7DA1A05E"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Zhao, P., Zhu, W., Jiao, P., Gao, D., &amp; Wu, O. (2025). </w:t>
      </w:r>
      <w:r w:rsidRPr="004E5BC1">
        <w:rPr>
          <w:rFonts w:ascii="Times New Roman" w:hAnsi="Times New Roman" w:cs="Times New Roman"/>
          <w:i/>
          <w:iCs/>
          <w:sz w:val="24"/>
          <w:szCs w:val="24"/>
        </w:rPr>
        <w:t>Data Poisoning in Deep Learning: A Survey</w:t>
      </w:r>
      <w:r w:rsidRPr="004E5BC1">
        <w:rPr>
          <w:rFonts w:ascii="Times New Roman" w:hAnsi="Times New Roman" w:cs="Times New Roman"/>
          <w:sz w:val="24"/>
          <w:szCs w:val="24"/>
        </w:rPr>
        <w:t xml:space="preserve">. Arxiv.org. </w:t>
      </w:r>
      <w:hyperlink r:id="rId94" w:anchor="licenses-available" w:history="1">
        <w:r w:rsidRPr="005366C4">
          <w:rPr>
            <w:rStyle w:val="Hyperlink"/>
            <w:rFonts w:ascii="Times New Roman" w:hAnsi="Times New Roman" w:cs="Times New Roman"/>
            <w:sz w:val="24"/>
            <w:szCs w:val="24"/>
          </w:rPr>
          <w:t>https://info.arxiv.org/help/license/index.html#licenses-available</w:t>
        </w:r>
      </w:hyperlink>
      <w:r>
        <w:rPr>
          <w:rFonts w:ascii="Times New Roman" w:hAnsi="Times New Roman" w:cs="Times New Roman"/>
          <w:sz w:val="24"/>
          <w:szCs w:val="24"/>
        </w:rPr>
        <w:t xml:space="preserve"> </w:t>
      </w:r>
    </w:p>
    <w:p w14:paraId="7DA1A05F" w14:textId="77777777" w:rsidR="00C67F45" w:rsidRPr="004E5BC1" w:rsidRDefault="004E5BC1" w:rsidP="004E5BC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Zhou, T., Yan, H., Han, B., Liu, L., &amp; Zhang, J. (2024). Learning a robust foundation model against clean-label data poisoning attacks at downstream tasks. </w:t>
      </w:r>
      <w:r w:rsidRPr="004E5BC1">
        <w:rPr>
          <w:rFonts w:ascii="Times New Roman" w:hAnsi="Times New Roman" w:cs="Times New Roman"/>
          <w:i/>
          <w:iCs/>
          <w:sz w:val="24"/>
          <w:szCs w:val="24"/>
        </w:rPr>
        <w:t>Neural Networks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169</w:t>
      </w:r>
      <w:r w:rsidRPr="004E5BC1">
        <w:rPr>
          <w:rFonts w:ascii="Times New Roman" w:hAnsi="Times New Roman" w:cs="Times New Roman"/>
          <w:sz w:val="24"/>
          <w:szCs w:val="24"/>
        </w:rPr>
        <w:t xml:space="preserve">, 756–763. </w:t>
      </w:r>
      <w:hyperlink r:id="rId95" w:history="1">
        <w:r w:rsidRPr="005366C4">
          <w:rPr>
            <w:rStyle w:val="Hyperlink"/>
            <w:rFonts w:ascii="Times New Roman" w:hAnsi="Times New Roman" w:cs="Times New Roman"/>
            <w:sz w:val="24"/>
            <w:szCs w:val="24"/>
          </w:rPr>
          <w:t>https://doi.org/10.1016/j.neunet.2023.10.034</w:t>
        </w:r>
      </w:hyperlink>
      <w:r>
        <w:rPr>
          <w:rFonts w:ascii="Times New Roman" w:hAnsi="Times New Roman" w:cs="Times New Roman"/>
          <w:sz w:val="24"/>
          <w:szCs w:val="24"/>
        </w:rPr>
        <w:t xml:space="preserve"> </w:t>
      </w:r>
    </w:p>
    <w:p w14:paraId="7DA1A060" w14:textId="77777777" w:rsidR="00C67F45" w:rsidRPr="004E5BC1" w:rsidRDefault="00C67F45">
      <w:pPr>
        <w:spacing w:before="480" w:after="480"/>
        <w:rPr>
          <w:rFonts w:ascii="Times New Roman" w:hAnsi="Times New Roman" w:cs="Times New Roman"/>
          <w:sz w:val="24"/>
          <w:szCs w:val="24"/>
        </w:rPr>
      </w:pPr>
    </w:p>
    <w:p w14:paraId="7DA1A061" w14:textId="77777777" w:rsidR="00C67F45" w:rsidRPr="004E5BC1" w:rsidRDefault="00C67F45">
      <w:pPr>
        <w:spacing w:before="480" w:after="480"/>
        <w:rPr>
          <w:rFonts w:ascii="Times New Roman" w:hAnsi="Times New Roman" w:cs="Times New Roman"/>
          <w:sz w:val="24"/>
          <w:szCs w:val="24"/>
        </w:rPr>
      </w:pPr>
    </w:p>
    <w:p w14:paraId="7DA1A062" w14:textId="77777777" w:rsidR="00C67F45" w:rsidRPr="004E5BC1" w:rsidRDefault="00C67F45">
      <w:pPr>
        <w:spacing w:before="480" w:after="480"/>
        <w:rPr>
          <w:rFonts w:ascii="Times New Roman" w:hAnsi="Times New Roman" w:cs="Times New Roman"/>
          <w:sz w:val="24"/>
          <w:szCs w:val="24"/>
        </w:rPr>
      </w:pPr>
    </w:p>
    <w:p w14:paraId="7DA1A063" w14:textId="77777777" w:rsidR="00C67F45" w:rsidRPr="004E5BC1" w:rsidRDefault="00C67F45">
      <w:pPr>
        <w:spacing w:before="480" w:after="480"/>
        <w:rPr>
          <w:rFonts w:ascii="Times New Roman" w:hAnsi="Times New Roman" w:cs="Times New Roman"/>
          <w:sz w:val="24"/>
          <w:szCs w:val="24"/>
        </w:rPr>
      </w:pPr>
    </w:p>
    <w:sectPr w:rsidR="00C67F45" w:rsidRPr="004E5BC1">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11B6C" w14:textId="77777777" w:rsidR="00562EA2" w:rsidRDefault="00562EA2" w:rsidP="00C55BA5">
      <w:pPr>
        <w:spacing w:line="240" w:lineRule="auto"/>
      </w:pPr>
      <w:r>
        <w:separator/>
      </w:r>
    </w:p>
  </w:endnote>
  <w:endnote w:type="continuationSeparator" w:id="0">
    <w:p w14:paraId="3FA17BAA" w14:textId="77777777" w:rsidR="00562EA2" w:rsidRDefault="00562EA2" w:rsidP="00C55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EB082CE-3161-4590-BF57-857E2D6EEBCC}"/>
  </w:font>
  <w:font w:name="Tenorite">
    <w:charset w:val="00"/>
    <w:family w:val="auto"/>
    <w:pitch w:val="variable"/>
    <w:sig w:usb0="80000003" w:usb1="00000001" w:usb2="00000000" w:usb3="00000000" w:csb0="00000001" w:csb1="00000000"/>
    <w:embedRegular r:id="rId2" w:fontKey="{D2C32545-FFFB-41F9-A132-B27A21F57921}"/>
  </w:font>
  <w:font w:name="Cambria Math">
    <w:panose1 w:val="02040503050406030204"/>
    <w:charset w:val="00"/>
    <w:family w:val="roman"/>
    <w:pitch w:val="variable"/>
    <w:sig w:usb0="E00006FF" w:usb1="420024FF" w:usb2="02000000" w:usb3="00000000" w:csb0="0000019F" w:csb1="00000000"/>
    <w:embedRegular r:id="rId3" w:fontKey="{A6DD4BE6-B364-44C6-82B3-118EA65BD7B2}"/>
    <w:embedItalic r:id="rId4" w:fontKey="{697BC428-2DEF-4B6C-B05B-123BCE9DEEA9}"/>
  </w:font>
  <w:font w:name="Calibri">
    <w:panose1 w:val="020F0502020204030204"/>
    <w:charset w:val="00"/>
    <w:family w:val="swiss"/>
    <w:pitch w:val="variable"/>
    <w:sig w:usb0="E4002EFF" w:usb1="C000247B" w:usb2="00000009" w:usb3="00000000" w:csb0="000001FF" w:csb1="00000000"/>
    <w:embedRegular r:id="rId5" w:fontKey="{CAB495B7-7582-416B-AAED-89D571AE9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5AA97" w14:textId="77777777" w:rsidR="00C55BA5" w:rsidRDefault="00C55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A7D16" w14:textId="77777777" w:rsidR="00C55BA5" w:rsidRDefault="00C55B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F85B" w14:textId="77777777" w:rsidR="00C55BA5" w:rsidRDefault="00C55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0297C" w14:textId="77777777" w:rsidR="00562EA2" w:rsidRDefault="00562EA2" w:rsidP="00C55BA5">
      <w:pPr>
        <w:spacing w:line="240" w:lineRule="auto"/>
      </w:pPr>
      <w:r>
        <w:separator/>
      </w:r>
    </w:p>
  </w:footnote>
  <w:footnote w:type="continuationSeparator" w:id="0">
    <w:p w14:paraId="0395E32A" w14:textId="77777777" w:rsidR="00562EA2" w:rsidRDefault="00562EA2" w:rsidP="00C55B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5FCFD" w14:textId="44C7E3C8" w:rsidR="00C55BA5" w:rsidRDefault="00C55BA5">
    <w:pPr>
      <w:pStyle w:val="Header"/>
    </w:pPr>
    <w:r>
      <w:rPr>
        <w:noProof/>
      </w:rPr>
      <w:pict w14:anchorId="5C766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54690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461C" w14:textId="19BDC370" w:rsidR="00C55BA5" w:rsidRDefault="00C55BA5">
    <w:pPr>
      <w:pStyle w:val="Header"/>
    </w:pPr>
    <w:r>
      <w:rPr>
        <w:noProof/>
      </w:rPr>
      <w:pict w14:anchorId="63A05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54690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0DAD" w14:textId="5D4803D3" w:rsidR="00C55BA5" w:rsidRDefault="00C55BA5">
    <w:pPr>
      <w:pStyle w:val="Header"/>
    </w:pPr>
    <w:r>
      <w:rPr>
        <w:noProof/>
      </w:rPr>
      <w:pict w14:anchorId="2EE68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54690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235AD0"/>
    <w:multiLevelType w:val="multilevel"/>
    <w:tmpl w:val="6F826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3EC5D74"/>
    <w:multiLevelType w:val="multilevel"/>
    <w:tmpl w:val="0D4EC0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F45"/>
    <w:rsid w:val="000026DE"/>
    <w:rsid w:val="000A264D"/>
    <w:rsid w:val="00465D7D"/>
    <w:rsid w:val="004E5BC1"/>
    <w:rsid w:val="00562EA2"/>
    <w:rsid w:val="0069140C"/>
    <w:rsid w:val="007A71CE"/>
    <w:rsid w:val="00800703"/>
    <w:rsid w:val="0083378A"/>
    <w:rsid w:val="009934AD"/>
    <w:rsid w:val="00B44537"/>
    <w:rsid w:val="00C55BA5"/>
    <w:rsid w:val="00C67F45"/>
    <w:rsid w:val="00EA0A8D"/>
    <w:rsid w:val="00ED4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A19ED4"/>
  <w15:docId w15:val="{93454AB9-7964-4B2D-BFDF-369C5ED9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59"/>
    <w:rsid w:val="00F153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04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4E5BC1"/>
    <w:rPr>
      <w:color w:val="0000FF" w:themeColor="hyperlink"/>
      <w:u w:val="single"/>
    </w:rPr>
  </w:style>
  <w:style w:type="paragraph" w:styleId="ListParagraph">
    <w:name w:val="List Paragraph"/>
    <w:basedOn w:val="Normal"/>
    <w:uiPriority w:val="34"/>
    <w:qFormat/>
    <w:rsid w:val="004E5BC1"/>
    <w:pPr>
      <w:ind w:left="720"/>
      <w:contextualSpacing/>
    </w:pPr>
  </w:style>
  <w:style w:type="paragraph" w:styleId="NoSpacing">
    <w:name w:val="No Spacing"/>
    <w:uiPriority w:val="1"/>
    <w:qFormat/>
    <w:rsid w:val="000A264D"/>
    <w:pPr>
      <w:spacing w:line="240" w:lineRule="auto"/>
    </w:pPr>
    <w:rPr>
      <w:rFonts w:asciiTheme="minorHAnsi" w:eastAsiaTheme="minorHAnsi" w:hAnsiTheme="minorHAnsi" w:cstheme="minorBidi"/>
      <w:kern w:val="2"/>
      <w:lang w:val="en-US"/>
      <w14:ligatures w14:val="standardContextual"/>
    </w:rPr>
  </w:style>
  <w:style w:type="character" w:styleId="UnresolvedMention">
    <w:name w:val="Unresolved Mention"/>
    <w:basedOn w:val="DefaultParagraphFont"/>
    <w:uiPriority w:val="99"/>
    <w:semiHidden/>
    <w:unhideWhenUsed/>
    <w:rsid w:val="00ED4845"/>
    <w:rPr>
      <w:color w:val="605E5C"/>
      <w:shd w:val="clear" w:color="auto" w:fill="E1DFDD"/>
    </w:rPr>
  </w:style>
  <w:style w:type="paragraph" w:styleId="Header">
    <w:name w:val="header"/>
    <w:basedOn w:val="Normal"/>
    <w:link w:val="HeaderChar"/>
    <w:uiPriority w:val="99"/>
    <w:unhideWhenUsed/>
    <w:rsid w:val="00C55BA5"/>
    <w:pPr>
      <w:tabs>
        <w:tab w:val="center" w:pos="4680"/>
        <w:tab w:val="right" w:pos="9360"/>
      </w:tabs>
      <w:spacing w:line="240" w:lineRule="auto"/>
    </w:pPr>
  </w:style>
  <w:style w:type="character" w:customStyle="1" w:styleId="HeaderChar">
    <w:name w:val="Header Char"/>
    <w:basedOn w:val="DefaultParagraphFont"/>
    <w:link w:val="Header"/>
    <w:uiPriority w:val="99"/>
    <w:rsid w:val="00C55BA5"/>
  </w:style>
  <w:style w:type="paragraph" w:styleId="Footer">
    <w:name w:val="footer"/>
    <w:basedOn w:val="Normal"/>
    <w:link w:val="FooterChar"/>
    <w:uiPriority w:val="99"/>
    <w:unhideWhenUsed/>
    <w:rsid w:val="00C55BA5"/>
    <w:pPr>
      <w:tabs>
        <w:tab w:val="center" w:pos="4680"/>
        <w:tab w:val="right" w:pos="9360"/>
      </w:tabs>
      <w:spacing w:line="240" w:lineRule="auto"/>
    </w:pPr>
  </w:style>
  <w:style w:type="character" w:customStyle="1" w:styleId="FooterChar">
    <w:name w:val="Footer Char"/>
    <w:basedOn w:val="DefaultParagraphFont"/>
    <w:link w:val="Footer"/>
    <w:uiPriority w:val="99"/>
    <w:rsid w:val="00C55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45/3442188.3445922" TargetMode="External"/><Relationship Id="rId21" Type="http://schemas.openxmlformats.org/officeDocument/2006/relationships/hyperlink" Target="https://doi.org/10.1126/science.1130992" TargetMode="External"/><Relationship Id="rId42" Type="http://schemas.openxmlformats.org/officeDocument/2006/relationships/hyperlink" Target="https://doi.org/10.1109/tpami.2022.3162397" TargetMode="External"/><Relationship Id="rId47" Type="http://schemas.openxmlformats.org/officeDocument/2006/relationships/hyperlink" Target="https://arxiv.org/abs/2006.14026v3" TargetMode="External"/><Relationship Id="rId63" Type="http://schemas.openxmlformats.org/officeDocument/2006/relationships/hyperlink" Target="https://www.obsidiansecurity.com/blog/what-is-ai-governance?utm_" TargetMode="External"/><Relationship Id="rId68" Type="http://schemas.openxmlformats.org/officeDocument/2006/relationships/hyperlink" Target="https://doi.org/10.9734/ajrcos/2026/v19i1817" TargetMode="External"/><Relationship Id="rId84" Type="http://schemas.openxmlformats.org/officeDocument/2006/relationships/hyperlink" Target="https://www.verizon.com/business/resources/reports/2020-data-breach-investigations-report.pdf?utm_" TargetMode="External"/><Relationship Id="rId89" Type="http://schemas.openxmlformats.org/officeDocument/2006/relationships/hyperlink" Target="https://doi.org/10.18653/v1/2024.emnlp-main.834" TargetMode="External"/><Relationship Id="rId16" Type="http://schemas.openxmlformats.org/officeDocument/2006/relationships/hyperlink" Target="https://doi.org/10.9734/ajrcos/2025/v18i12788" TargetMode="External"/><Relationship Id="rId11" Type="http://schemas.openxmlformats.org/officeDocument/2006/relationships/image" Target="media/image4.png"/><Relationship Id="rId32" Type="http://schemas.openxmlformats.org/officeDocument/2006/relationships/hyperlink" Target="https://doi.org/10.1145/3585385" TargetMode="External"/><Relationship Id="rId37" Type="http://schemas.openxmlformats.org/officeDocument/2006/relationships/hyperlink" Target="https://www.fsb.org/uploads/P14112024.pdf" TargetMode="External"/><Relationship Id="rId53" Type="http://schemas.openxmlformats.org/officeDocument/2006/relationships/hyperlink" Target="https://doi.org/10.18653/v1/2020.acl-main.249" TargetMode="External"/><Relationship Id="rId58" Type="http://schemas.openxmlformats.org/officeDocument/2006/relationships/hyperlink" Target="https://doi.org/10.9734/jenrr/2025/v17i12482" TargetMode="External"/><Relationship Id="rId74" Type="http://schemas.openxmlformats.org/officeDocument/2006/relationships/hyperlink" Target="https://doi.org/10.1145/3351095.3372873" TargetMode="External"/><Relationship Id="rId79" Type="http://schemas.openxmlformats.org/officeDocument/2006/relationships/hyperlink" Target="https://doi.org/10.1145/3411764.3445518"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cie.2022.108859" TargetMode="External"/><Relationship Id="rId95" Type="http://schemas.openxmlformats.org/officeDocument/2006/relationships/hyperlink" Target="https://doi.org/10.1016/j.neunet.2023.10.034" TargetMode="External"/><Relationship Id="rId22" Type="http://schemas.openxmlformats.org/officeDocument/2006/relationships/hyperlink" Target="https://doi.org/10.1145/3453444" TargetMode="External"/><Relationship Id="rId27" Type="http://schemas.openxmlformats.org/officeDocument/2006/relationships/hyperlink" Target="https://arxiv.org/abs/2509.05162" TargetMode="External"/><Relationship Id="rId43" Type="http://schemas.openxmlformats.org/officeDocument/2006/relationships/hyperlink" Target="https://blog.pcisecuritystandards.org/pci-dss-v4-0-resource-hub?utm_" TargetMode="External"/><Relationship Id="rId48" Type="http://schemas.openxmlformats.org/officeDocument/2006/relationships/hyperlink" Target="https://doi.org/10.1561/2200000083" TargetMode="External"/><Relationship Id="rId64" Type="http://schemas.openxmlformats.org/officeDocument/2006/relationships/hyperlink" Target="https://doi.org/10.9734/jerr/2026/v28i11783" TargetMode="External"/><Relationship Id="rId69" Type="http://schemas.openxmlformats.org/officeDocument/2006/relationships/hyperlink" Target="https://doi.org/10.9734/jerr/2026/v28i21787" TargetMode="External"/><Relationship Id="rId80" Type="http://schemas.openxmlformats.org/officeDocument/2006/relationships/hyperlink" Target="https://doi.org/10.21428/e90189c8.68b5dea5" TargetMode="External"/><Relationship Id="rId85" Type="http://schemas.openxmlformats.org/officeDocument/2006/relationships/hyperlink" Target="https://doi.org/10.1057/s41599-025-04850-8" TargetMode="External"/><Relationship Id="rId12" Type="http://schemas.openxmlformats.org/officeDocument/2006/relationships/image" Target="media/image5.png"/><Relationship Id="rId17" Type="http://schemas.openxmlformats.org/officeDocument/2006/relationships/hyperlink" Target="https://doi.org/10.2196/87969" TargetMode="External"/><Relationship Id="rId25" Type="http://schemas.openxmlformats.org/officeDocument/2006/relationships/hyperlink" Target="https://doi.org/10.64388/irev8i2-1713553" TargetMode="External"/><Relationship Id="rId33" Type="http://schemas.openxmlformats.org/officeDocument/2006/relationships/hyperlink" Target="https://doi.org/10.1038/s41467-024-55631-x" TargetMode="External"/><Relationship Id="rId38" Type="http://schemas.openxmlformats.org/officeDocument/2006/relationships/hyperlink" Target="https://doi.org/10.18653/v1/2022.naacl-main.214" TargetMode="External"/><Relationship Id="rId46" Type="http://schemas.openxmlformats.org/officeDocument/2006/relationships/hyperlink" Target="https://doi.org/10.3390/electronics14234563" TargetMode="External"/><Relationship Id="rId59" Type="http://schemas.openxmlformats.org/officeDocument/2006/relationships/hyperlink" Target="https://doi.org/10.1109/sp40001.2021.00096" TargetMode="External"/><Relationship Id="rId67" Type="http://schemas.openxmlformats.org/officeDocument/2006/relationships/hyperlink" Target="https://doi.org/10.30574/wjarr.2025.26.1.1097" TargetMode="External"/><Relationship Id="rId103" Type="http://schemas.openxmlformats.org/officeDocument/2006/relationships/theme" Target="theme/theme1.xml"/><Relationship Id="rId20" Type="http://schemas.openxmlformats.org/officeDocument/2006/relationships/hyperlink" Target="https://doi.org/10.1038/s41591-024-03445-1" TargetMode="External"/><Relationship Id="rId41" Type="http://schemas.openxmlformats.org/officeDocument/2006/relationships/hyperlink" Target="https://www.esma.europa.eu/sites/default/files/2025-06/LLMs_in_finance_-_ILB_ESMA_Turing_Report.pdf" TargetMode="External"/><Relationship Id="rId54" Type="http://schemas.openxmlformats.org/officeDocument/2006/relationships/hyperlink" Target="https://doi.org/10.1109/jiot.2025.3603957" TargetMode="External"/><Relationship Id="rId62" Type="http://schemas.openxmlformats.org/officeDocument/2006/relationships/hyperlink" Target="https://doi.org/10.9734/ajrcos/2026/v19i1807" TargetMode="External"/><Relationship Id="rId70" Type="http://schemas.openxmlformats.org/officeDocument/2006/relationships/hyperlink" Target="https://doi.org/10.47191/etj/v11i01.35" TargetMode="External"/><Relationship Id="rId75" Type="http://schemas.openxmlformats.org/officeDocument/2006/relationships/hyperlink" Target="https://doi.org/10.48550/arxiv.2511.15759" TargetMode="External"/><Relationship Id="rId83" Type="http://schemas.openxmlformats.org/officeDocument/2006/relationships/hyperlink" Target="https://doi.org/10.9785/cri-2021-220402" TargetMode="External"/><Relationship Id="rId88" Type="http://schemas.openxmlformats.org/officeDocument/2006/relationships/hyperlink" Target="https://reports.weforum.org/docs/WEF_Artificial_Intelligence_in_Financial_Services_2025.pdf" TargetMode="External"/><Relationship Id="rId91" Type="http://schemas.openxmlformats.org/officeDocument/2006/relationships/hyperlink" Target="https://arxiv.org/abs/2401.00991v1"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roceedings.mlr.press/v108/bagdasaryan20a.html" TargetMode="External"/><Relationship Id="rId28" Type="http://schemas.openxmlformats.org/officeDocument/2006/relationships/hyperlink" Target="https://doi.org/10.1080/14765284.2022.2077632" TargetMode="External"/><Relationship Id="rId36" Type="http://schemas.openxmlformats.org/officeDocument/2006/relationships/hyperlink" Target="https://doi.org/10.1016/j.icte.2025.12.001" TargetMode="External"/><Relationship Id="rId49" Type="http://schemas.openxmlformats.org/officeDocument/2006/relationships/hyperlink" Target="https://doi.org/10.3390/info16110957" TargetMode="External"/><Relationship Id="rId57" Type="http://schemas.openxmlformats.org/officeDocument/2006/relationships/hyperlink" Target="https://pubmed.ncbi.nlm.nih.gov/40417555/" TargetMode="External"/><Relationship Id="rId10" Type="http://schemas.openxmlformats.org/officeDocument/2006/relationships/image" Target="media/image3.png"/><Relationship Id="rId31" Type="http://schemas.openxmlformats.org/officeDocument/2006/relationships/hyperlink" Target="https://doi.org/10.3390/bdcc10010008" TargetMode="External"/><Relationship Id="rId44" Type="http://schemas.openxmlformats.org/officeDocument/2006/relationships/hyperlink" Target="https://doi.org/10.3390/info17010054" TargetMode="External"/><Relationship Id="rId52" Type="http://schemas.openxmlformats.org/officeDocument/2006/relationships/hyperlink" Target="https://doi.org/10.48550/arXiv.2503.09302" TargetMode="External"/><Relationship Id="rId60" Type="http://schemas.openxmlformats.org/officeDocument/2006/relationships/hyperlink" Target="https://www.nist.gov/itl/ai-risk-management-framework" TargetMode="External"/><Relationship Id="rId65" Type="http://schemas.openxmlformats.org/officeDocument/2006/relationships/hyperlink" Target="https://doi.org/10.9734/jerr/2026/v28i11784" TargetMode="External"/><Relationship Id="rId73" Type="http://schemas.openxmlformats.org/officeDocument/2006/relationships/hyperlink" Target="https://www.esentire.com/blog/model-context-protocol-security-critical-vulnerabilities-every-ciso-should-address-in-2025?utm_" TargetMode="External"/><Relationship Id="rId78" Type="http://schemas.openxmlformats.org/officeDocument/2006/relationships/hyperlink" Target="https://doi.org/10.1016/j.cose.2015.10.006" TargetMode="External"/><Relationship Id="rId81" Type="http://schemas.openxmlformats.org/officeDocument/2006/relationships/hyperlink" Target="https://catalog.freelibrary.org/Record/1925339?utm_" TargetMode="External"/><Relationship Id="rId86" Type="http://schemas.openxmlformats.org/officeDocument/2006/relationships/hyperlink" Target="https://doi.org/10.1016/j.knosys.2024.111456" TargetMode="External"/><Relationship Id="rId94" Type="http://schemas.openxmlformats.org/officeDocument/2006/relationships/hyperlink" Target="https://info.arxiv.org/help/license/index.html"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ajrcos/2026/v19i1818" TargetMode="External"/><Relationship Id="rId39" Type="http://schemas.openxmlformats.org/officeDocument/2006/relationships/hyperlink" Target="https://doi.org/10.32604/cmc.2025.074081" TargetMode="External"/><Relationship Id="rId34" Type="http://schemas.openxmlformats.org/officeDocument/2006/relationships/hyperlink" Target="https://doi.org/10.3390/app13074645" TargetMode="External"/><Relationship Id="rId50" Type="http://schemas.openxmlformats.org/officeDocument/2006/relationships/hyperlink" Target="https://doi.org/10.1109/mc.2022.3141228" TargetMode="External"/><Relationship Id="rId55" Type="http://schemas.openxmlformats.org/officeDocument/2006/relationships/hyperlink" Target="https://doi.org/10.1145/3604237.3626869" TargetMode="External"/><Relationship Id="rId76" Type="http://schemas.openxmlformats.org/officeDocument/2006/relationships/hyperlink" Target="https://doi.org/10.1145/2939672.2939778"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109/mc.2022.3190787" TargetMode="External"/><Relationship Id="rId92" Type="http://schemas.openxmlformats.org/officeDocument/2006/relationships/hyperlink" Target="https://arxiv.org/abs/2404.07234v4" TargetMode="External"/><Relationship Id="rId2" Type="http://schemas.openxmlformats.org/officeDocument/2006/relationships/numbering" Target="numbering.xml"/><Relationship Id="rId29" Type="http://schemas.openxmlformats.org/officeDocument/2006/relationships/hyperlink" Target="https://arxiv.org/abs/2302.10149" TargetMode="External"/><Relationship Id="rId24" Type="http://schemas.openxmlformats.org/officeDocument/2006/relationships/hyperlink" Target="https://doi.org/10.1007/s43546-023-00618-x" TargetMode="External"/><Relationship Id="rId40" Type="http://schemas.openxmlformats.org/officeDocument/2006/relationships/hyperlink" Target="https://doi.org/10.1109/access.2024.3487298" TargetMode="External"/><Relationship Id="rId45" Type="http://schemas.openxmlformats.org/officeDocument/2006/relationships/hyperlink" Target="https://doi.org/10.48009/4_iis_2025_135" TargetMode="External"/><Relationship Id="rId66" Type="http://schemas.openxmlformats.org/officeDocument/2006/relationships/hyperlink" Target="https://doi.org/10.9734/jerr/2026/v28i21786" TargetMode="External"/><Relationship Id="rId87" Type="http://schemas.openxmlformats.org/officeDocument/2006/relationships/hyperlink" Target="https://doi.org/10.1145/3538707" TargetMode="External"/><Relationship Id="rId61" Type="http://schemas.openxmlformats.org/officeDocument/2006/relationships/hyperlink" Target="https://doi.org/10.9734/jerr/2025/v27i21390" TargetMode="External"/><Relationship Id="rId82" Type="http://schemas.openxmlformats.org/officeDocument/2006/relationships/hyperlink" Target="https://doi.org/10.1109/SPW50608.2020.00028" TargetMode="External"/><Relationship Id="rId19" Type="http://schemas.openxmlformats.org/officeDocument/2006/relationships/hyperlink" Target="https://doi.org/10.1080/23311975.2025.2544230" TargetMode="External"/><Relationship Id="rId14" Type="http://schemas.openxmlformats.org/officeDocument/2006/relationships/image" Target="media/image7.png"/><Relationship Id="rId30" Type="http://schemas.openxmlformats.org/officeDocument/2006/relationships/hyperlink" Target="https://doi.org/10.32628/cseit251112115" TargetMode="External"/><Relationship Id="rId35" Type="http://schemas.openxmlformats.org/officeDocument/2006/relationships/hyperlink" Target="https://arxiv.org/abs/2503.05937" TargetMode="External"/><Relationship Id="rId56" Type="http://schemas.openxmlformats.org/officeDocument/2006/relationships/hyperlink" Target="https://doi.org/10.48550/arXiv.2306.05499" TargetMode="External"/><Relationship Id="rId77" Type="http://schemas.openxmlformats.org/officeDocument/2006/relationships/hyperlink" Target="https://doi.org/10.6028/nist.sp.800-207"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0574/wjaets.2025.15.2.0660" TargetMode="External"/><Relationship Id="rId72" Type="http://schemas.openxmlformats.org/officeDocument/2006/relationships/hyperlink" Target="https://genai.owasp.org/llmrisk/llm01-prompt-injection/?utm_" TargetMode="External"/><Relationship Id="rId93" Type="http://schemas.openxmlformats.org/officeDocument/2006/relationships/hyperlink" Target="https://doi.org/10.3390/systems13020083" TargetMode="External"/><Relationship Id="rId9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iDSvD+HHiq2DewZzyup+JiwUnA==">CgMxLjAyDmgueWg0eDZodnhzazFmMg5oLm85OGllOXd6NjRmaDIOaC5icGIwMnE0azJ4cnIyDmguNGxqNjcxNDdrYjY0Mg5oLmozdGJmMnR2ZjhiMDIOaC5ueW0yYnc1MTZid3cyDmgueXRjNzZudnVwMjUzMg5oLmViMzZ1MGJ4MTFiYjgAciExVkdQOFVGMFhCbDY5NGpweGpDUjZwZlVtWGNOS0JMc0w=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12252</Words>
  <Characters>69837</Characters>
  <Application>Microsoft Office Word</Application>
  <DocSecurity>0</DocSecurity>
  <Lines>581</Lines>
  <Paragraphs>163</Paragraphs>
  <ScaleCrop>false</ScaleCrop>
  <Company/>
  <LinksUpToDate>false</LinksUpToDate>
  <CharactersWithSpaces>81926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12</cp:revision>
  <dcterms:created xsi:type="dcterms:W3CDTF">2026-02-11T10:20:00Z</dcterms:created>
  <dcterms:modified xsi:type="dcterms:W3CDTF">2026-03-02T12:19:00Z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20340188-315c-41aa-ae19-0e73ed8b25ec</vt:lpwstr>
  </property>
</Properties>
</file>