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B397" w14:textId="77777777" w:rsidR="00B87A6F" w:rsidRPr="00471DCE" w:rsidRDefault="00471DCE" w:rsidP="00471DCE">
      <w:pPr>
        <w:spacing w:after="240"/>
        <w:jc w:val="center"/>
        <w:rPr>
          <w:rFonts w:ascii="Times New Roman" w:hAnsi="Times New Roman" w:cs="Times New Roman"/>
          <w:b/>
          <w:bCs/>
          <w:sz w:val="44"/>
          <w:szCs w:val="24"/>
        </w:rPr>
      </w:pPr>
      <w:r w:rsidRPr="00471DCE">
        <w:rPr>
          <w:rFonts w:ascii="Times New Roman" w:hAnsi="Times New Roman" w:cs="Times New Roman"/>
          <w:b/>
          <w:bCs/>
          <w:sz w:val="44"/>
          <w:szCs w:val="24"/>
        </w:rPr>
        <w:t xml:space="preserve">Secure-by-Containment Architectures for Agentic </w:t>
      </w:r>
      <w:r w:rsidR="007C6E5B">
        <w:rPr>
          <w:rFonts w:ascii="Times New Roman" w:hAnsi="Times New Roman" w:cs="Times New Roman"/>
          <w:b/>
          <w:bCs/>
          <w:sz w:val="44"/>
          <w:szCs w:val="24"/>
        </w:rPr>
        <w:t>AI</w:t>
      </w:r>
      <w:r w:rsidRPr="00471DCE">
        <w:rPr>
          <w:rFonts w:ascii="Times New Roman" w:hAnsi="Times New Roman" w:cs="Times New Roman"/>
          <w:b/>
          <w:bCs/>
          <w:sz w:val="44"/>
          <w:szCs w:val="24"/>
        </w:rPr>
        <w:t xml:space="preserve"> in OT/ICS Environments</w:t>
      </w:r>
    </w:p>
    <w:p w14:paraId="20CCF3ED" w14:textId="18AF3331" w:rsidR="00256320" w:rsidRDefault="00256320" w:rsidP="00471DCE">
      <w:pPr>
        <w:spacing w:after="240"/>
        <w:rPr>
          <w:rFonts w:ascii="Times New Roman" w:hAnsi="Times New Roman" w:cs="Times New Roman"/>
          <w:b/>
          <w:bCs/>
          <w:sz w:val="24"/>
          <w:szCs w:val="24"/>
        </w:rPr>
      </w:pPr>
    </w:p>
    <w:p w14:paraId="144BAFE1" w14:textId="77777777" w:rsidR="004D5204" w:rsidRDefault="004D5204" w:rsidP="00471DCE">
      <w:pPr>
        <w:spacing w:after="240"/>
        <w:rPr>
          <w:rFonts w:ascii="Times New Roman" w:hAnsi="Times New Roman" w:cs="Times New Roman"/>
          <w:b/>
          <w:bCs/>
          <w:sz w:val="24"/>
          <w:szCs w:val="24"/>
        </w:rPr>
      </w:pPr>
      <w:bookmarkStart w:id="0" w:name="_GoBack"/>
      <w:bookmarkEnd w:id="0"/>
    </w:p>
    <w:p w14:paraId="02FCB398" w14:textId="5A6769B7" w:rsidR="00B87A6F"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t>Abstract</w:t>
      </w:r>
    </w:p>
    <w:p w14:paraId="02FCB399" w14:textId="77777777" w:rsidR="00B87A6F" w:rsidRPr="00471DCE" w:rsidRDefault="00471DCE" w:rsidP="00471DCE">
      <w:pPr>
        <w:spacing w:before="280" w:after="240"/>
        <w:rPr>
          <w:rFonts w:ascii="Times New Roman" w:hAnsi="Times New Roman" w:cs="Times New Roman"/>
          <w:i/>
          <w:iCs/>
          <w:sz w:val="24"/>
          <w:szCs w:val="24"/>
        </w:rPr>
      </w:pPr>
      <w:r w:rsidRPr="00471DCE">
        <w:rPr>
          <w:rFonts w:ascii="Times New Roman" w:hAnsi="Times New Roman" w:cs="Times New Roman"/>
          <w:i/>
          <w:iCs/>
          <w:sz w:val="24"/>
          <w:szCs w:val="24"/>
        </w:rPr>
        <w:t xml:space="preserve">This study proposes and quantitatively evaluates a secure-by-containment architectural framework for deploying agentic artificial intelligence (AI) within operational technology and industrial control system (OT/ICS) environments. Using publicly available datasets, including the ICS Gas Pipeline dataset, the Oak Ridge </w:t>
      </w:r>
      <w:proofErr w:type="spellStart"/>
      <w:r w:rsidRPr="00471DCE">
        <w:rPr>
          <w:rFonts w:ascii="Times New Roman" w:hAnsi="Times New Roman" w:cs="Times New Roman"/>
          <w:i/>
          <w:iCs/>
          <w:sz w:val="24"/>
          <w:szCs w:val="24"/>
        </w:rPr>
        <w:t>PowerCyber</w:t>
      </w:r>
      <w:proofErr w:type="spellEnd"/>
      <w:r w:rsidRPr="00471DCE">
        <w:rPr>
          <w:rFonts w:ascii="Times New Roman" w:hAnsi="Times New Roman" w:cs="Times New Roman"/>
          <w:i/>
          <w:iCs/>
          <w:sz w:val="24"/>
          <w:szCs w:val="24"/>
        </w:rPr>
        <w:t xml:space="preserve"> testbed dataset, the NIST SP 800-82 control catalog, and the Tennessee Eastman Process dataset, a four-phase analytical design was implemented: cyber-physical risk quantification (PIDI, RSS, MVEI), graph-theoretic containment modeling (betweenness centrality, CSS), standards coverage mapping (SCQI), and scenario-based resilience evaluation (MTH, PDA, STV). Results indicate that full containment reduced structural influence by 75.1% (CSS = 0.751), achieved 84.1% standards coverage, </w:t>
      </w:r>
      <w:r w:rsidR="007C6E5B">
        <w:rPr>
          <w:rFonts w:ascii="Times New Roman" w:hAnsi="Times New Roman" w:cs="Times New Roman"/>
          <w:i/>
          <w:iCs/>
          <w:sz w:val="24"/>
          <w:szCs w:val="24"/>
        </w:rPr>
        <w:t>increased mean time to hazard by 212%, and reduced</w:t>
      </w:r>
      <w:r w:rsidRPr="00471DCE">
        <w:rPr>
          <w:rFonts w:ascii="Times New Roman" w:hAnsi="Times New Roman" w:cs="Times New Roman"/>
          <w:i/>
          <w:iCs/>
          <w:sz w:val="24"/>
          <w:szCs w:val="24"/>
        </w:rPr>
        <w:t xml:space="preserve"> cumulative deviation by 73%. The findings support embedding architectural decision-authority constraints within OT/ICS frameworks and recommend formal integration of containment requirements into standards, regulatory validation processes, and AI governance enforcement mechanisms.</w:t>
      </w:r>
    </w:p>
    <w:p w14:paraId="02FCB39A" w14:textId="77777777" w:rsidR="00B87A6F" w:rsidRPr="00471DCE" w:rsidRDefault="00471DCE" w:rsidP="00471DCE">
      <w:pPr>
        <w:spacing w:before="280" w:after="240"/>
        <w:rPr>
          <w:rFonts w:ascii="Times New Roman" w:hAnsi="Times New Roman" w:cs="Times New Roman"/>
          <w:b/>
          <w:bCs/>
          <w:sz w:val="24"/>
          <w:szCs w:val="24"/>
        </w:rPr>
      </w:pPr>
      <w:r w:rsidRPr="00471DCE">
        <w:rPr>
          <w:rFonts w:ascii="Times New Roman" w:hAnsi="Times New Roman" w:cs="Times New Roman"/>
          <w:b/>
          <w:bCs/>
          <w:sz w:val="24"/>
          <w:szCs w:val="24"/>
        </w:rPr>
        <w:t>Keywords: Secure-by-containment architecture; Agentic artificial intelligence; Industrial control systems security; Architectural containment modeling; Cyber-physical resilience metrics</w:t>
      </w:r>
    </w:p>
    <w:p w14:paraId="02FCB39B" w14:textId="77777777" w:rsidR="00B87A6F" w:rsidRPr="00471DCE" w:rsidRDefault="00B87A6F" w:rsidP="00471DCE">
      <w:pPr>
        <w:spacing w:before="240" w:after="240"/>
        <w:rPr>
          <w:rFonts w:ascii="Times New Roman" w:hAnsi="Times New Roman" w:cs="Times New Roman"/>
          <w:sz w:val="24"/>
          <w:szCs w:val="24"/>
        </w:rPr>
      </w:pPr>
    </w:p>
    <w:p w14:paraId="02FCB39C" w14:textId="77777777" w:rsidR="00B87A6F" w:rsidRPr="00471DCE" w:rsidRDefault="00471DCE" w:rsidP="00471DCE">
      <w:pPr>
        <w:pStyle w:val="Heading2"/>
        <w:keepNext w:val="0"/>
        <w:keepLines w:val="0"/>
        <w:spacing w:after="240"/>
        <w:rPr>
          <w:rFonts w:ascii="Times New Roman" w:hAnsi="Times New Roman" w:cs="Times New Roman"/>
          <w:b/>
          <w:bCs/>
          <w:sz w:val="24"/>
          <w:szCs w:val="24"/>
        </w:rPr>
      </w:pPr>
      <w:bookmarkStart w:id="1" w:name="_heading=h.qsy4k9uoeqc6" w:colFirst="0" w:colLast="0"/>
      <w:bookmarkEnd w:id="1"/>
      <w:r>
        <w:rPr>
          <w:rFonts w:ascii="Times New Roman" w:hAnsi="Times New Roman" w:cs="Times New Roman"/>
          <w:b/>
          <w:bCs/>
          <w:sz w:val="24"/>
          <w:szCs w:val="24"/>
        </w:rPr>
        <w:t>1.</w:t>
      </w:r>
      <w:r>
        <w:rPr>
          <w:rFonts w:ascii="Times New Roman" w:hAnsi="Times New Roman" w:cs="Times New Roman"/>
          <w:b/>
          <w:bCs/>
          <w:sz w:val="24"/>
          <w:szCs w:val="24"/>
        </w:rPr>
        <w:tab/>
      </w:r>
      <w:r w:rsidRPr="00471DCE">
        <w:rPr>
          <w:rFonts w:ascii="Times New Roman" w:hAnsi="Times New Roman" w:cs="Times New Roman"/>
          <w:b/>
          <w:bCs/>
          <w:sz w:val="24"/>
          <w:szCs w:val="24"/>
        </w:rPr>
        <w:t>Introduction</w:t>
      </w:r>
    </w:p>
    <w:p w14:paraId="02FCB39D"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Operational technology and industrial control systems underpin modern societies by enabling the continuous operation of critical infrastructures such as electricity generation, water treatment, oil and gas processing, manufacturing, and transportation networks. These systems were historically engineered for reliability, determinism, and safety, operating in tightly controlled environments with limited external connectivity. However, the global push toward </w:t>
      </w:r>
      <w:proofErr w:type="spellStart"/>
      <w:r w:rsidRPr="00471DCE">
        <w:rPr>
          <w:rFonts w:ascii="Times New Roman" w:hAnsi="Times New Roman" w:cs="Times New Roman"/>
          <w:sz w:val="24"/>
          <w:szCs w:val="24"/>
        </w:rPr>
        <w:t>digitalisation</w:t>
      </w:r>
      <w:proofErr w:type="spellEnd"/>
      <w:r w:rsidRPr="00471DCE">
        <w:rPr>
          <w:rFonts w:ascii="Times New Roman" w:hAnsi="Times New Roman" w:cs="Times New Roman"/>
          <w:sz w:val="24"/>
          <w:szCs w:val="24"/>
        </w:rPr>
        <w:t xml:space="preserve">, remote monitoring, and data-driven </w:t>
      </w:r>
      <w:proofErr w:type="spellStart"/>
      <w:r w:rsidRPr="00471DCE">
        <w:rPr>
          <w:rFonts w:ascii="Times New Roman" w:hAnsi="Times New Roman" w:cs="Times New Roman"/>
          <w:sz w:val="24"/>
          <w:szCs w:val="24"/>
        </w:rPr>
        <w:t>optimisation</w:t>
      </w:r>
      <w:proofErr w:type="spellEnd"/>
      <w:r w:rsidRPr="00471DCE">
        <w:rPr>
          <w:rFonts w:ascii="Times New Roman" w:hAnsi="Times New Roman" w:cs="Times New Roman"/>
          <w:sz w:val="24"/>
          <w:szCs w:val="24"/>
        </w:rPr>
        <w:t xml:space="preserve"> has progressively integrated operational technology with information technology platforms, cloud services, and enterprise networks. As a result, industrial control systems are no longer insulated from evolving cyber threats, but instead </w:t>
      </w:r>
      <w:r w:rsidRPr="00471DCE">
        <w:rPr>
          <w:rFonts w:ascii="Times New Roman" w:hAnsi="Times New Roman" w:cs="Times New Roman"/>
          <w:sz w:val="24"/>
          <w:szCs w:val="24"/>
        </w:rPr>
        <w:lastRenderedPageBreak/>
        <w:t>operate within increasingly complex and interconnected digital ecosystems (Nazir &amp; Khan, 2021).</w:t>
      </w:r>
    </w:p>
    <w:p w14:paraId="02FCB39E"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At the same time, artificial intelligence has been </w:t>
      </w:r>
      <w:r w:rsidR="007C6E5B">
        <w:rPr>
          <w:rFonts w:ascii="Times New Roman" w:hAnsi="Times New Roman" w:cs="Times New Roman"/>
          <w:sz w:val="24"/>
          <w:szCs w:val="24"/>
        </w:rPr>
        <w:t>widely adopted to improve anomaly detection, predictive maintenance,</w:t>
      </w:r>
      <w:r w:rsidRPr="00471DCE">
        <w:rPr>
          <w:rFonts w:ascii="Times New Roman" w:hAnsi="Times New Roman" w:cs="Times New Roman"/>
          <w:sz w:val="24"/>
          <w:szCs w:val="24"/>
        </w:rPr>
        <w:t xml:space="preserve"> and process </w:t>
      </w:r>
      <w:proofErr w:type="spellStart"/>
      <w:r w:rsidRPr="00471DCE">
        <w:rPr>
          <w:rFonts w:ascii="Times New Roman" w:hAnsi="Times New Roman" w:cs="Times New Roman"/>
          <w:sz w:val="24"/>
          <w:szCs w:val="24"/>
        </w:rPr>
        <w:t>optimisation</w:t>
      </w:r>
      <w:proofErr w:type="spellEnd"/>
      <w:r w:rsidRPr="00471DCE">
        <w:rPr>
          <w:rFonts w:ascii="Times New Roman" w:hAnsi="Times New Roman" w:cs="Times New Roman"/>
          <w:sz w:val="24"/>
          <w:szCs w:val="24"/>
        </w:rPr>
        <w:t xml:space="preserve"> in industrial settings. AI systems yield clear operational benefits</w:t>
      </w:r>
      <w:r w:rsidR="007C6E5B">
        <w:rPr>
          <w:rFonts w:ascii="Times New Roman" w:hAnsi="Times New Roman" w:cs="Times New Roman"/>
          <w:sz w:val="24"/>
          <w:szCs w:val="24"/>
        </w:rPr>
        <w:t>,</w:t>
      </w:r>
      <w:r w:rsidRPr="00471DCE">
        <w:rPr>
          <w:rFonts w:ascii="Times New Roman" w:hAnsi="Times New Roman" w:cs="Times New Roman"/>
          <w:sz w:val="24"/>
          <w:szCs w:val="24"/>
        </w:rPr>
        <w:t xml:space="preserve"> but they also change the nature of system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w:t>
      </w:r>
      <w:r w:rsidR="007C6E5B">
        <w:rPr>
          <w:rFonts w:ascii="Times New Roman" w:hAnsi="Times New Roman" w:cs="Times New Roman"/>
          <w:sz w:val="24"/>
          <w:szCs w:val="24"/>
        </w:rPr>
        <w:t>When AI is limited to passive analytics, the primary concerns are</w:t>
      </w:r>
      <w:r w:rsidRPr="00471DCE">
        <w:rPr>
          <w:rFonts w:ascii="Times New Roman" w:hAnsi="Times New Roman" w:cs="Times New Roman"/>
          <w:sz w:val="24"/>
          <w:szCs w:val="24"/>
        </w:rPr>
        <w:t xml:space="preserve"> model robustness and explainability. When AI systems are given the ability to plan and act autonomously, their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becomes an active part of the control loop. Recent work shows that autonomous or agentic AI can plan multi-step actions, adapt in response to feedback</w:t>
      </w:r>
      <w:r w:rsidR="007C6E5B">
        <w:rPr>
          <w:rFonts w:ascii="Times New Roman" w:hAnsi="Times New Roman" w:cs="Times New Roman"/>
          <w:sz w:val="24"/>
          <w:szCs w:val="24"/>
        </w:rPr>
        <w:t>,</w:t>
      </w:r>
      <w:r w:rsidRPr="00471DCE">
        <w:rPr>
          <w:rFonts w:ascii="Times New Roman" w:hAnsi="Times New Roman" w:cs="Times New Roman"/>
          <w:sz w:val="24"/>
          <w:szCs w:val="24"/>
        </w:rPr>
        <w:t xml:space="preserve"> and produce emergent </w:t>
      </w:r>
      <w:proofErr w:type="spellStart"/>
      <w:r w:rsidRPr="00471DCE">
        <w:rPr>
          <w:rFonts w:ascii="Times New Roman" w:hAnsi="Times New Roman" w:cs="Times New Roman"/>
          <w:sz w:val="24"/>
          <w:szCs w:val="24"/>
        </w:rPr>
        <w:t>behaviours</w:t>
      </w:r>
      <w:proofErr w:type="spellEnd"/>
      <w:r w:rsidRPr="00471DCE">
        <w:rPr>
          <w:rFonts w:ascii="Times New Roman" w:hAnsi="Times New Roman" w:cs="Times New Roman"/>
          <w:sz w:val="24"/>
          <w:szCs w:val="24"/>
        </w:rPr>
        <w:t xml:space="preserve"> that fall outside the scope of conventional intrusion or fault models (Zhong et al., 2021; </w:t>
      </w:r>
      <w:proofErr w:type="spellStart"/>
      <w:r w:rsidRPr="00471DCE">
        <w:rPr>
          <w:rFonts w:ascii="Times New Roman" w:hAnsi="Times New Roman" w:cs="Times New Roman"/>
          <w:sz w:val="24"/>
          <w:szCs w:val="24"/>
        </w:rPr>
        <w:t>Kshetri</w:t>
      </w:r>
      <w:proofErr w:type="spellEnd"/>
      <w:r w:rsidRPr="00471DCE">
        <w:rPr>
          <w:rFonts w:ascii="Times New Roman" w:hAnsi="Times New Roman" w:cs="Times New Roman"/>
          <w:sz w:val="24"/>
          <w:szCs w:val="24"/>
        </w:rPr>
        <w:t xml:space="preserve">, 2025). These systems can generate and execute complex action plans without continuous human oversight, producing emergent </w:t>
      </w:r>
      <w:proofErr w:type="spellStart"/>
      <w:r w:rsidRPr="00471DCE">
        <w:rPr>
          <w:rFonts w:ascii="Times New Roman" w:hAnsi="Times New Roman" w:cs="Times New Roman"/>
          <w:sz w:val="24"/>
          <w:szCs w:val="24"/>
        </w:rPr>
        <w:t>behaviours</w:t>
      </w:r>
      <w:proofErr w:type="spellEnd"/>
      <w:r w:rsidRPr="00471DCE">
        <w:rPr>
          <w:rFonts w:ascii="Times New Roman" w:hAnsi="Times New Roman" w:cs="Times New Roman"/>
          <w:sz w:val="24"/>
          <w:szCs w:val="24"/>
        </w:rPr>
        <w:t xml:space="preserve"> that are difficult to predict or constrain (Alva &amp; Pandey, 2026). While these capabilities offer potential benefits in dynamic environments, they also raise significant concerns when deployed within safety-critical industrial control systems. Empirical studies of adversarial methods tailored to industrial datasets and </w:t>
      </w:r>
      <w:r w:rsidR="007C6E5B">
        <w:rPr>
          <w:rFonts w:ascii="Times New Roman" w:hAnsi="Times New Roman" w:cs="Times New Roman"/>
          <w:sz w:val="24"/>
          <w:szCs w:val="24"/>
        </w:rPr>
        <w:t xml:space="preserve">reinforcement-learning-based attacks indicate that intelligent agents and AI-driven malware can learn to evade detection while </w:t>
      </w:r>
      <w:proofErr w:type="spellStart"/>
      <w:r w:rsidR="007C6E5B">
        <w:rPr>
          <w:rFonts w:ascii="Times New Roman" w:hAnsi="Times New Roman" w:cs="Times New Roman"/>
          <w:sz w:val="24"/>
          <w:szCs w:val="24"/>
        </w:rPr>
        <w:t>maximising</w:t>
      </w:r>
      <w:proofErr w:type="spellEnd"/>
      <w:r w:rsidR="007C6E5B">
        <w:rPr>
          <w:rFonts w:ascii="Times New Roman" w:hAnsi="Times New Roman" w:cs="Times New Roman"/>
          <w:sz w:val="24"/>
          <w:szCs w:val="24"/>
        </w:rPr>
        <w:t xml:space="preserve"> physical impact, raising</w:t>
      </w:r>
      <w:r w:rsidRPr="00471DCE">
        <w:rPr>
          <w:rFonts w:ascii="Times New Roman" w:hAnsi="Times New Roman" w:cs="Times New Roman"/>
          <w:sz w:val="24"/>
          <w:szCs w:val="24"/>
        </w:rPr>
        <w:t xml:space="preserve"> profound concerns when such techniques interact with safety-critical control logic (Umer et al., 2021; Kim, 2024).</w:t>
      </w:r>
    </w:p>
    <w:p w14:paraId="02FCB39F"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These converging trends pose a pressing problem</w:t>
      </w:r>
      <w:r w:rsidR="007C6E5B">
        <w:rPr>
          <w:rFonts w:ascii="Times New Roman" w:hAnsi="Times New Roman" w:cs="Times New Roman"/>
          <w:sz w:val="24"/>
          <w:szCs w:val="24"/>
        </w:rPr>
        <w:t xml:space="preserve">: while traditional OT security frameworks </w:t>
      </w:r>
      <w:proofErr w:type="spellStart"/>
      <w:r w:rsidR="007C6E5B">
        <w:rPr>
          <w:rFonts w:ascii="Times New Roman" w:hAnsi="Times New Roman" w:cs="Times New Roman"/>
          <w:sz w:val="24"/>
          <w:szCs w:val="24"/>
        </w:rPr>
        <w:t>emphasise</w:t>
      </w:r>
      <w:proofErr w:type="spellEnd"/>
      <w:r w:rsidR="007C6E5B">
        <w:rPr>
          <w:rFonts w:ascii="Times New Roman" w:hAnsi="Times New Roman" w:cs="Times New Roman"/>
          <w:sz w:val="24"/>
          <w:szCs w:val="24"/>
        </w:rPr>
        <w:t xml:space="preserve"> access control, segmentation, and policy management, they do not inherently constrain autonomous decision-making as a first-order</w:t>
      </w:r>
      <w:r w:rsidRPr="00471DCE">
        <w:rPr>
          <w:rFonts w:ascii="Times New Roman" w:hAnsi="Times New Roman" w:cs="Times New Roman"/>
          <w:sz w:val="24"/>
          <w:szCs w:val="24"/>
        </w:rPr>
        <w:t xml:space="preserve"> property. Industrial standards such as ISA/IEC 62443 and guidance such as NIST SP 800-82 provide important controls for secure product development and network architecture</w:t>
      </w:r>
      <w:r w:rsidR="007C6E5B">
        <w:rPr>
          <w:rFonts w:ascii="Times New Roman" w:hAnsi="Times New Roman" w:cs="Times New Roman"/>
          <w:sz w:val="24"/>
          <w:szCs w:val="24"/>
        </w:rPr>
        <w:t xml:space="preserve">. </w:t>
      </w:r>
      <w:r w:rsidR="007F6FCE">
        <w:rPr>
          <w:rFonts w:ascii="Times New Roman" w:hAnsi="Times New Roman" w:cs="Times New Roman"/>
          <w:sz w:val="24"/>
          <w:szCs w:val="24"/>
        </w:rPr>
        <w:t>Nevertheless</w:t>
      </w:r>
      <w:r w:rsidR="007C6E5B">
        <w:rPr>
          <w:rFonts w:ascii="Times New Roman" w:hAnsi="Times New Roman" w:cs="Times New Roman"/>
          <w:sz w:val="24"/>
          <w:szCs w:val="24"/>
        </w:rPr>
        <w:t>, they</w:t>
      </w:r>
      <w:r w:rsidRPr="00471DCE">
        <w:rPr>
          <w:rFonts w:ascii="Times New Roman" w:hAnsi="Times New Roman" w:cs="Times New Roman"/>
          <w:sz w:val="24"/>
          <w:szCs w:val="24"/>
        </w:rPr>
        <w:t xml:space="preserve"> are not specifically </w:t>
      </w:r>
      <w:r w:rsidR="007F6FCE">
        <w:rPr>
          <w:rFonts w:ascii="Times New Roman" w:hAnsi="Times New Roman" w:cs="Times New Roman"/>
          <w:sz w:val="24"/>
          <w:szCs w:val="24"/>
        </w:rPr>
        <w:t>designed to address</w:t>
      </w:r>
      <w:r w:rsidRPr="00471DCE">
        <w:rPr>
          <w:rFonts w:ascii="Times New Roman" w:hAnsi="Times New Roman" w:cs="Times New Roman"/>
          <w:sz w:val="24"/>
          <w:szCs w:val="24"/>
        </w:rPr>
        <w:t xml:space="preserve"> the unique risks posed by agentic AI. Moreover, architecture models for segmentation</w:t>
      </w:r>
      <w:r w:rsidR="007F6FCE">
        <w:rPr>
          <w:rFonts w:ascii="Times New Roman" w:hAnsi="Times New Roman" w:cs="Times New Roman"/>
          <w:sz w:val="24"/>
          <w:szCs w:val="24"/>
        </w:rPr>
        <w:t>, such as ISA-95, and evolving zero-trust guidance for operational technology underscore</w:t>
      </w:r>
      <w:r w:rsidRPr="00471DCE">
        <w:rPr>
          <w:rFonts w:ascii="Times New Roman" w:hAnsi="Times New Roman" w:cs="Times New Roman"/>
          <w:sz w:val="24"/>
          <w:szCs w:val="24"/>
        </w:rPr>
        <w:t xml:space="preserve"> that segmentation and policy enforcement remain central to ICS security. At the same time, AI governance frameworks such as the NIST AI RMF and the international AI management standard ISO/IEC 42001 are emerging to manage AI risks, and recent domain-specific advice from national agencies such as CISA has begun to frame principles for secure AI integration in OT. These developments suggest that a standards-aware, architecture-centric approach is needed to bridge traditional OT controls and new AI governance expectations.</w:t>
      </w:r>
    </w:p>
    <w:p w14:paraId="02FCB3A0"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Even</w:t>
      </w:r>
      <w:r w:rsidR="007F484A">
        <w:rPr>
          <w:rFonts w:ascii="Times New Roman" w:hAnsi="Times New Roman" w:cs="Times New Roman"/>
          <w:sz w:val="24"/>
          <w:szCs w:val="24"/>
        </w:rPr>
        <w:t xml:space="preserve"> more disturbing is the notion </w:t>
      </w:r>
      <w:r w:rsidRPr="00471DCE">
        <w:rPr>
          <w:rFonts w:ascii="Times New Roman" w:hAnsi="Times New Roman" w:cs="Times New Roman"/>
          <w:sz w:val="24"/>
          <w:szCs w:val="24"/>
        </w:rPr>
        <w:t>that agentic AI can be inserted into industrial control loops without architectural mechanisms that limit an agent’s authority, scope of effect</w:t>
      </w:r>
      <w:r w:rsidR="007C6E5B">
        <w:rPr>
          <w:rFonts w:ascii="Times New Roman" w:hAnsi="Times New Roman" w:cs="Times New Roman"/>
          <w:sz w:val="24"/>
          <w:szCs w:val="24"/>
        </w:rPr>
        <w:t>,</w:t>
      </w:r>
      <w:r w:rsidRPr="00471DCE">
        <w:rPr>
          <w:rFonts w:ascii="Times New Roman" w:hAnsi="Times New Roman" w:cs="Times New Roman"/>
          <w:sz w:val="24"/>
          <w:szCs w:val="24"/>
        </w:rPr>
        <w:t xml:space="preserve"> and ability to chain actions across components. Evidence of this deficiency </w:t>
      </w:r>
      <w:r w:rsidR="007C6E5B">
        <w:rPr>
          <w:rFonts w:ascii="Times New Roman" w:hAnsi="Times New Roman" w:cs="Times New Roman"/>
          <w:sz w:val="24"/>
          <w:szCs w:val="24"/>
        </w:rPr>
        <w:t>includes</w:t>
      </w:r>
      <w:r w:rsidRPr="00471DCE">
        <w:rPr>
          <w:rFonts w:ascii="Times New Roman" w:hAnsi="Times New Roman" w:cs="Times New Roman"/>
          <w:sz w:val="24"/>
          <w:szCs w:val="24"/>
        </w:rPr>
        <w:t xml:space="preserve"> rising vulnerability disclosures for ICS products, publicly documented adversarial attacks on ML models used in critical infrastructures, and demonstrations that intelligent attack agents can </w:t>
      </w:r>
      <w:proofErr w:type="spellStart"/>
      <w:r w:rsidRPr="00471DCE">
        <w:rPr>
          <w:rFonts w:ascii="Times New Roman" w:hAnsi="Times New Roman" w:cs="Times New Roman"/>
          <w:sz w:val="24"/>
          <w:szCs w:val="24"/>
        </w:rPr>
        <w:t>optimise</w:t>
      </w:r>
      <w:proofErr w:type="spellEnd"/>
      <w:r w:rsidRPr="00471DCE">
        <w:rPr>
          <w:rFonts w:ascii="Times New Roman" w:hAnsi="Times New Roman" w:cs="Times New Roman"/>
          <w:sz w:val="24"/>
          <w:szCs w:val="24"/>
        </w:rPr>
        <w:t xml:space="preserve"> for physical impact while evading detection (</w:t>
      </w:r>
      <w:proofErr w:type="spellStart"/>
      <w:r w:rsidRPr="00471DCE">
        <w:rPr>
          <w:rFonts w:ascii="Times New Roman" w:hAnsi="Times New Roman" w:cs="Times New Roman"/>
          <w:sz w:val="24"/>
          <w:szCs w:val="24"/>
        </w:rPr>
        <w:t>Anthi</w:t>
      </w:r>
      <w:proofErr w:type="spellEnd"/>
      <w:r w:rsidRPr="00471DCE">
        <w:rPr>
          <w:rFonts w:ascii="Times New Roman" w:hAnsi="Times New Roman" w:cs="Times New Roman"/>
          <w:sz w:val="24"/>
          <w:szCs w:val="24"/>
        </w:rPr>
        <w:t xml:space="preserve"> et al., 2021; Umer et al., 2021; Kim, 2024). These issues </w:t>
      </w:r>
      <w:r w:rsidR="007C6E5B">
        <w:rPr>
          <w:rFonts w:ascii="Times New Roman" w:hAnsi="Times New Roman" w:cs="Times New Roman"/>
          <w:sz w:val="24"/>
          <w:szCs w:val="24"/>
        </w:rPr>
        <w:t>raise</w:t>
      </w:r>
      <w:r w:rsidRPr="00471DCE">
        <w:rPr>
          <w:rFonts w:ascii="Times New Roman" w:hAnsi="Times New Roman" w:cs="Times New Roman"/>
          <w:sz w:val="24"/>
          <w:szCs w:val="24"/>
        </w:rPr>
        <w:t xml:space="preserve"> several challenging thoughts: Can architectural containment be designed so that AI agents </w:t>
      </w:r>
      <w:r w:rsidRPr="00471DCE">
        <w:rPr>
          <w:rFonts w:ascii="Times New Roman" w:hAnsi="Times New Roman" w:cs="Times New Roman"/>
          <w:sz w:val="24"/>
          <w:szCs w:val="24"/>
        </w:rPr>
        <w:lastRenderedPageBreak/>
        <w:t xml:space="preserve">retain utility while being prevented from performing unsafe or </w:t>
      </w:r>
      <w:proofErr w:type="spellStart"/>
      <w:r w:rsidRPr="00471DCE">
        <w:rPr>
          <w:rFonts w:ascii="Times New Roman" w:hAnsi="Times New Roman" w:cs="Times New Roman"/>
          <w:sz w:val="24"/>
          <w:szCs w:val="24"/>
        </w:rPr>
        <w:t>destabilising</w:t>
      </w:r>
      <w:proofErr w:type="spellEnd"/>
      <w:r w:rsidRPr="00471DCE">
        <w:rPr>
          <w:rFonts w:ascii="Times New Roman" w:hAnsi="Times New Roman" w:cs="Times New Roman"/>
          <w:sz w:val="24"/>
          <w:szCs w:val="24"/>
        </w:rPr>
        <w:t xml:space="preserve"> actions? Which aspects of existing OT and ICS security and architectural standards are sufficient to govern agentic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and where are new controls required? How can containment mechanisms be expressed in a way that is compatible with both established segmentation models and emerging AI risk frameworks?</w:t>
      </w:r>
    </w:p>
    <w:p w14:paraId="02FCB3A1"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This study addresses these questions by proposing and analytically evaluating a </w:t>
      </w:r>
      <w:r w:rsidR="007C6E5B">
        <w:rPr>
          <w:rFonts w:ascii="Times New Roman" w:hAnsi="Times New Roman" w:cs="Times New Roman"/>
          <w:sz w:val="24"/>
          <w:szCs w:val="24"/>
        </w:rPr>
        <w:t>secure-by-containment architectural framework for deploying agentic artificial intelligence in operational technology and industrial control systems</w:t>
      </w:r>
      <w:r w:rsidRPr="00471DCE">
        <w:rPr>
          <w:rFonts w:ascii="Times New Roman" w:hAnsi="Times New Roman" w:cs="Times New Roman"/>
          <w:sz w:val="24"/>
          <w:szCs w:val="24"/>
        </w:rPr>
        <w:t xml:space="preserve"> environments. The research focuses on constraining autonomous </w:t>
      </w:r>
      <w:r w:rsidR="007C6E5B">
        <w:rPr>
          <w:rFonts w:ascii="Times New Roman" w:hAnsi="Times New Roman" w:cs="Times New Roman"/>
          <w:sz w:val="24"/>
          <w:szCs w:val="24"/>
        </w:rPr>
        <w:t xml:space="preserve">decision-making so that it remains compatible with the </w:t>
      </w:r>
      <w:r w:rsidRPr="00471DCE">
        <w:rPr>
          <w:rFonts w:ascii="Times New Roman" w:hAnsi="Times New Roman" w:cs="Times New Roman"/>
          <w:sz w:val="24"/>
          <w:szCs w:val="24"/>
        </w:rPr>
        <w:t xml:space="preserve">operational and security requirements of cyber-physical systems. The study draws on formal and practical approaches to sandboxing controllers, </w:t>
      </w:r>
      <w:r w:rsidR="007F6FCE">
        <w:rPr>
          <w:rFonts w:ascii="Times New Roman" w:hAnsi="Times New Roman" w:cs="Times New Roman"/>
          <w:sz w:val="24"/>
          <w:szCs w:val="24"/>
        </w:rPr>
        <w:t>findings from adversarial machine learning, and standards mapping to develop a reference architecture that is operationally plausible and standards-aligned</w:t>
      </w:r>
      <w:r w:rsidRPr="00471DCE">
        <w:rPr>
          <w:rFonts w:ascii="Times New Roman" w:hAnsi="Times New Roman" w:cs="Times New Roman"/>
          <w:sz w:val="24"/>
          <w:szCs w:val="24"/>
        </w:rPr>
        <w:t xml:space="preserve"> (Zhong et al., 2021; Wright &amp; </w:t>
      </w:r>
      <w:proofErr w:type="spellStart"/>
      <w:r w:rsidRPr="00471DCE">
        <w:rPr>
          <w:rFonts w:ascii="Times New Roman" w:hAnsi="Times New Roman" w:cs="Times New Roman"/>
          <w:sz w:val="24"/>
          <w:szCs w:val="24"/>
        </w:rPr>
        <w:t>Wolthusen</w:t>
      </w:r>
      <w:proofErr w:type="spellEnd"/>
      <w:r w:rsidRPr="00471DCE">
        <w:rPr>
          <w:rFonts w:ascii="Times New Roman" w:hAnsi="Times New Roman" w:cs="Times New Roman"/>
          <w:sz w:val="24"/>
          <w:szCs w:val="24"/>
        </w:rPr>
        <w:t>, 2024). To achieve this aim</w:t>
      </w:r>
      <w:r w:rsidR="007F6FCE">
        <w:rPr>
          <w:rFonts w:ascii="Times New Roman" w:hAnsi="Times New Roman" w:cs="Times New Roman"/>
          <w:sz w:val="24"/>
          <w:szCs w:val="24"/>
        </w:rPr>
        <w:t>,</w:t>
      </w:r>
      <w:r w:rsidRPr="00471DCE">
        <w:rPr>
          <w:rFonts w:ascii="Times New Roman" w:hAnsi="Times New Roman" w:cs="Times New Roman"/>
          <w:sz w:val="24"/>
          <w:szCs w:val="24"/>
        </w:rPr>
        <w:t xml:space="preserve"> the study pursues the following objectives</w:t>
      </w:r>
      <w:r>
        <w:rPr>
          <w:rFonts w:ascii="Times New Roman" w:hAnsi="Times New Roman" w:cs="Times New Roman"/>
          <w:sz w:val="24"/>
          <w:szCs w:val="24"/>
        </w:rPr>
        <w:t>:</w:t>
      </w:r>
    </w:p>
    <w:p w14:paraId="02FCB3A2" w14:textId="77777777" w:rsidR="00B87A6F" w:rsidRPr="00471DCE" w:rsidRDefault="00471DCE" w:rsidP="00471DCE">
      <w:pPr>
        <w:numPr>
          <w:ilvl w:val="0"/>
          <w:numId w:val="2"/>
        </w:numPr>
        <w:spacing w:before="480" w:after="240"/>
        <w:rPr>
          <w:rFonts w:ascii="Times New Roman" w:hAnsi="Times New Roman" w:cs="Times New Roman"/>
          <w:sz w:val="24"/>
          <w:szCs w:val="24"/>
        </w:rPr>
      </w:pPr>
      <w:r w:rsidRPr="00471DCE">
        <w:rPr>
          <w:rFonts w:ascii="Times New Roman" w:hAnsi="Times New Roman" w:cs="Times New Roman"/>
          <w:sz w:val="24"/>
          <w:szCs w:val="24"/>
        </w:rPr>
        <w:t xml:space="preserve">Identify the security and safety risks associated with the deployment of agentic artificial intelligence in operational technology </w:t>
      </w:r>
      <w:r>
        <w:rPr>
          <w:rFonts w:ascii="Times New Roman" w:hAnsi="Times New Roman" w:cs="Times New Roman"/>
          <w:sz w:val="24"/>
          <w:szCs w:val="24"/>
        </w:rPr>
        <w:t>and industrial control systems.</w:t>
      </w:r>
    </w:p>
    <w:p w14:paraId="02FCB3A3" w14:textId="77777777" w:rsidR="00B87A6F" w:rsidRPr="00471DCE" w:rsidRDefault="00471DCE" w:rsidP="00471DCE">
      <w:pPr>
        <w:numPr>
          <w:ilvl w:val="0"/>
          <w:numId w:val="2"/>
        </w:numPr>
        <w:spacing w:after="240"/>
        <w:rPr>
          <w:rFonts w:ascii="Times New Roman" w:hAnsi="Times New Roman" w:cs="Times New Roman"/>
          <w:sz w:val="24"/>
          <w:szCs w:val="24"/>
        </w:rPr>
      </w:pPr>
      <w:r w:rsidRPr="00471DCE">
        <w:rPr>
          <w:rFonts w:ascii="Times New Roman" w:hAnsi="Times New Roman" w:cs="Times New Roman"/>
          <w:sz w:val="24"/>
          <w:szCs w:val="24"/>
        </w:rPr>
        <w:t>Develop a secure by containment architectural framework that constrains the execution and operational influence of agentic artificial intelligence wit</w:t>
      </w:r>
      <w:r>
        <w:rPr>
          <w:rFonts w:ascii="Times New Roman" w:hAnsi="Times New Roman" w:cs="Times New Roman"/>
          <w:sz w:val="24"/>
          <w:szCs w:val="24"/>
        </w:rPr>
        <w:t>hin industrial control systems.</w:t>
      </w:r>
    </w:p>
    <w:p w14:paraId="02FCB3A4" w14:textId="77777777" w:rsidR="00B87A6F" w:rsidRPr="00471DCE" w:rsidRDefault="00471DCE" w:rsidP="00471DCE">
      <w:pPr>
        <w:numPr>
          <w:ilvl w:val="0"/>
          <w:numId w:val="2"/>
        </w:numPr>
        <w:spacing w:after="240"/>
        <w:rPr>
          <w:rFonts w:ascii="Times New Roman" w:hAnsi="Times New Roman" w:cs="Times New Roman"/>
          <w:sz w:val="24"/>
          <w:szCs w:val="24"/>
        </w:rPr>
      </w:pPr>
      <w:r w:rsidRPr="00471DCE">
        <w:rPr>
          <w:rFonts w:ascii="Times New Roman" w:hAnsi="Times New Roman" w:cs="Times New Roman"/>
          <w:sz w:val="24"/>
          <w:szCs w:val="24"/>
        </w:rPr>
        <w:t>Assess the alignment of the proposed secure by containment architecture with established operational technology and industrial control system security and architectural standards, including relevant artificial inte</w:t>
      </w:r>
      <w:r>
        <w:rPr>
          <w:rFonts w:ascii="Times New Roman" w:hAnsi="Times New Roman" w:cs="Times New Roman"/>
          <w:sz w:val="24"/>
          <w:szCs w:val="24"/>
        </w:rPr>
        <w:t>lligence governance frameworks.</w:t>
      </w:r>
    </w:p>
    <w:p w14:paraId="02FCB3A5" w14:textId="77777777" w:rsidR="00B87A6F" w:rsidRPr="00471DCE" w:rsidRDefault="00471DCE" w:rsidP="00471DCE">
      <w:pPr>
        <w:numPr>
          <w:ilvl w:val="0"/>
          <w:numId w:val="2"/>
        </w:numPr>
        <w:spacing w:after="240"/>
        <w:rPr>
          <w:rFonts w:ascii="Times New Roman" w:hAnsi="Times New Roman" w:cs="Times New Roman"/>
          <w:sz w:val="24"/>
          <w:szCs w:val="24"/>
        </w:rPr>
      </w:pPr>
      <w:r w:rsidRPr="00471DCE">
        <w:rPr>
          <w:rFonts w:ascii="Times New Roman" w:hAnsi="Times New Roman" w:cs="Times New Roman"/>
          <w:sz w:val="24"/>
          <w:szCs w:val="24"/>
        </w:rPr>
        <w:t xml:space="preserve">Evaluate the effectiveness of the proposed architecture using structured </w:t>
      </w:r>
      <w:r w:rsidR="007F6FCE">
        <w:rPr>
          <w:rFonts w:ascii="Times New Roman" w:hAnsi="Times New Roman" w:cs="Times New Roman"/>
          <w:sz w:val="24"/>
          <w:szCs w:val="24"/>
        </w:rPr>
        <w:t>scenario-based</w:t>
      </w:r>
      <w:r w:rsidRPr="00471DCE">
        <w:rPr>
          <w:rFonts w:ascii="Times New Roman" w:hAnsi="Times New Roman" w:cs="Times New Roman"/>
          <w:sz w:val="24"/>
          <w:szCs w:val="24"/>
        </w:rPr>
        <w:t xml:space="preserve"> analysis of representative industrial control system use cases.</w:t>
      </w:r>
      <w:r w:rsidRPr="00471DCE">
        <w:rPr>
          <w:rFonts w:ascii="Times New Roman" w:hAnsi="Times New Roman" w:cs="Times New Roman"/>
          <w:sz w:val="24"/>
          <w:szCs w:val="24"/>
        </w:rPr>
        <w:br/>
      </w:r>
    </w:p>
    <w:p w14:paraId="02FCB3A6"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2" w:name="_heading=h.rwbo3ryqpyvy" w:colFirst="0" w:colLast="0"/>
      <w:bookmarkEnd w:id="2"/>
      <w:r w:rsidRPr="00471DCE">
        <w:rPr>
          <w:rFonts w:ascii="Times New Roman" w:hAnsi="Times New Roman" w:cs="Times New Roman"/>
          <w:b/>
          <w:bCs/>
          <w:color w:val="000000"/>
          <w:sz w:val="24"/>
          <w:szCs w:val="24"/>
        </w:rPr>
        <w:t>2</w:t>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ab/>
      </w:r>
      <w:r w:rsidRPr="00471DCE">
        <w:rPr>
          <w:rFonts w:ascii="Times New Roman" w:hAnsi="Times New Roman" w:cs="Times New Roman"/>
          <w:b/>
          <w:bCs/>
          <w:color w:val="000000"/>
          <w:sz w:val="24"/>
          <w:szCs w:val="24"/>
        </w:rPr>
        <w:t xml:space="preserve">Literature Review  </w:t>
      </w:r>
    </w:p>
    <w:p w14:paraId="02FCB3A7"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Operational technology and industrial control systems (ICS) </w:t>
      </w:r>
      <w:r w:rsidR="007F6FCE">
        <w:rPr>
          <w:rFonts w:ascii="Times New Roman" w:hAnsi="Times New Roman" w:cs="Times New Roman"/>
          <w:sz w:val="24"/>
          <w:szCs w:val="24"/>
        </w:rPr>
        <w:t>differ fundamentally</w:t>
      </w:r>
      <w:r w:rsidRPr="00471DCE">
        <w:rPr>
          <w:rFonts w:ascii="Times New Roman" w:hAnsi="Times New Roman" w:cs="Times New Roman"/>
          <w:sz w:val="24"/>
          <w:szCs w:val="24"/>
        </w:rPr>
        <w:t xml:space="preserve"> from conventional information technology systems, and these differences have profound </w:t>
      </w:r>
      <w:r w:rsidR="007F6FCE">
        <w:rPr>
          <w:rFonts w:ascii="Times New Roman" w:hAnsi="Times New Roman" w:cs="Times New Roman"/>
          <w:sz w:val="24"/>
          <w:szCs w:val="24"/>
        </w:rPr>
        <w:t>security implications</w:t>
      </w:r>
      <w:r w:rsidRPr="00471DCE">
        <w:rPr>
          <w:rFonts w:ascii="Times New Roman" w:hAnsi="Times New Roman" w:cs="Times New Roman"/>
          <w:sz w:val="24"/>
          <w:szCs w:val="24"/>
        </w:rPr>
        <w:t xml:space="preserve">. Operational technology is primarily designed to monitor and control physical processes with stringent reliability and safety requirements, rather than to protect data confidentiality or to support frequent changes (Stouffer, 2023). In contrast, traditional IT systems </w:t>
      </w:r>
      <w:proofErr w:type="spellStart"/>
      <w:r w:rsidRPr="00471DCE">
        <w:rPr>
          <w:rFonts w:ascii="Times New Roman" w:hAnsi="Times New Roman" w:cs="Times New Roman"/>
          <w:sz w:val="24"/>
          <w:szCs w:val="24"/>
        </w:rPr>
        <w:t>prioritise</w:t>
      </w:r>
      <w:proofErr w:type="spellEnd"/>
      <w:r w:rsidRPr="00471DCE">
        <w:rPr>
          <w:rFonts w:ascii="Times New Roman" w:hAnsi="Times New Roman" w:cs="Times New Roman"/>
          <w:sz w:val="24"/>
          <w:szCs w:val="24"/>
        </w:rPr>
        <w:t xml:space="preserve"> confidentiality and integrity </w:t>
      </w:r>
      <w:r w:rsidR="007F6FCE">
        <w:rPr>
          <w:rFonts w:ascii="Times New Roman" w:hAnsi="Times New Roman" w:cs="Times New Roman"/>
          <w:sz w:val="24"/>
          <w:szCs w:val="24"/>
        </w:rPr>
        <w:t>in inherently flexible,</w:t>
      </w:r>
      <w:r w:rsidRPr="00471DCE">
        <w:rPr>
          <w:rFonts w:ascii="Times New Roman" w:hAnsi="Times New Roman" w:cs="Times New Roman"/>
          <w:sz w:val="24"/>
          <w:szCs w:val="24"/>
        </w:rPr>
        <w:t xml:space="preserve"> update-friendly environments. This divergence is not merely semantic; it results in a fundamental misalignment between traditional IT security paradigms and the requirements of ICS security (Stouffer, 2023).</w:t>
      </w:r>
    </w:p>
    <w:p w14:paraId="02FCB3A8"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lastRenderedPageBreak/>
        <w:t xml:space="preserve">According to recent research, this misalignment creates structural </w:t>
      </w:r>
      <w:r w:rsidR="007F6FCE">
        <w:rPr>
          <w:rFonts w:ascii="Times New Roman" w:hAnsi="Times New Roman" w:cs="Times New Roman"/>
          <w:sz w:val="24"/>
          <w:szCs w:val="24"/>
        </w:rPr>
        <w:t>limitations on security</w:t>
      </w:r>
      <w:r w:rsidRPr="00471DCE">
        <w:rPr>
          <w:rFonts w:ascii="Times New Roman" w:hAnsi="Times New Roman" w:cs="Times New Roman"/>
          <w:sz w:val="24"/>
          <w:szCs w:val="24"/>
        </w:rPr>
        <w:t xml:space="preserve">. For instance, OT systems often rely on long-lived legacy devices and protocols that were never designed with cybersecurity in mind, </w:t>
      </w:r>
      <w:proofErr w:type="spellStart"/>
      <w:r w:rsidRPr="00471DCE">
        <w:rPr>
          <w:rFonts w:ascii="Times New Roman" w:hAnsi="Times New Roman" w:cs="Times New Roman"/>
          <w:sz w:val="24"/>
          <w:szCs w:val="24"/>
        </w:rPr>
        <w:t>prioritising</w:t>
      </w:r>
      <w:proofErr w:type="spellEnd"/>
      <w:r w:rsidRPr="00471DCE">
        <w:rPr>
          <w:rFonts w:ascii="Times New Roman" w:hAnsi="Times New Roman" w:cs="Times New Roman"/>
          <w:sz w:val="24"/>
          <w:szCs w:val="24"/>
        </w:rPr>
        <w:t xml:space="preserve"> uptime and deterministic response over secure defaults (Sharma &amp; Mehta, 2025). Despite documentation of these risks, a critical limitation is that many </w:t>
      </w:r>
      <w:proofErr w:type="spellStart"/>
      <w:r w:rsidRPr="00471DCE">
        <w:rPr>
          <w:rFonts w:ascii="Times New Roman" w:hAnsi="Times New Roman" w:cs="Times New Roman"/>
          <w:sz w:val="24"/>
          <w:szCs w:val="24"/>
        </w:rPr>
        <w:t>organisations</w:t>
      </w:r>
      <w:proofErr w:type="spellEnd"/>
      <w:r w:rsidRPr="00471DCE">
        <w:rPr>
          <w:rFonts w:ascii="Times New Roman" w:hAnsi="Times New Roman" w:cs="Times New Roman"/>
          <w:sz w:val="24"/>
          <w:szCs w:val="24"/>
        </w:rPr>
        <w:t xml:space="preserve"> continue to operate decades-old programmable logic controllers and distributed control systems that lack basic authentication or encryption mechanisms, making them susceptible to well-known exploits (Nankya et al., 2023). In contrast to IT environments where patching and rapid updates are routine, OT environments face significant</w:t>
      </w:r>
      <w:r w:rsidR="007C6E5B">
        <w:rPr>
          <w:rFonts w:ascii="Times New Roman" w:hAnsi="Times New Roman" w:cs="Times New Roman"/>
          <w:sz w:val="24"/>
          <w:szCs w:val="24"/>
        </w:rPr>
        <w:t xml:space="preserve"> constraints because downtime (to apply security patches) </w:t>
      </w:r>
      <w:r w:rsidRPr="00471DCE">
        <w:rPr>
          <w:rFonts w:ascii="Times New Roman" w:hAnsi="Times New Roman" w:cs="Times New Roman"/>
          <w:sz w:val="24"/>
          <w:szCs w:val="24"/>
        </w:rPr>
        <w:t>directly impacts safety, reliability, and production continuity (Sharma &amp; Mehta, 2025; Nankya et al., 2023). These operational constraints illustrate that OT security cannot simply borrow IT practices without architectural adaptation.</w:t>
      </w:r>
    </w:p>
    <w:p w14:paraId="02FCB3A9"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Another dimension of this challenge is the increasing connectivity of OT systems due to Industry 4.0 and </w:t>
      </w:r>
      <w:proofErr w:type="spellStart"/>
      <w:r w:rsidRPr="00471DCE">
        <w:rPr>
          <w:rFonts w:ascii="Times New Roman" w:hAnsi="Times New Roman" w:cs="Times New Roman"/>
          <w:sz w:val="24"/>
          <w:szCs w:val="24"/>
        </w:rPr>
        <w:t>IIoT</w:t>
      </w:r>
      <w:proofErr w:type="spellEnd"/>
      <w:r w:rsidRPr="00471DCE">
        <w:rPr>
          <w:rFonts w:ascii="Times New Roman" w:hAnsi="Times New Roman" w:cs="Times New Roman"/>
          <w:sz w:val="24"/>
          <w:szCs w:val="24"/>
        </w:rPr>
        <w:t xml:space="preserve"> adoption. What was once predominantly isolated</w:t>
      </w:r>
      <w:r w:rsidR="007C6E5B">
        <w:rPr>
          <w:rFonts w:ascii="Times New Roman" w:hAnsi="Times New Roman" w:cs="Times New Roman"/>
          <w:sz w:val="24"/>
          <w:szCs w:val="24"/>
        </w:rPr>
        <w:t xml:space="preserve">, “air-gapped” control infrastructure is now often connected to enterprise networks and cloud services, dramatically expanding the attack surface </w:t>
      </w:r>
      <w:r w:rsidRPr="00471DCE">
        <w:rPr>
          <w:rFonts w:ascii="Times New Roman" w:hAnsi="Times New Roman" w:cs="Times New Roman"/>
          <w:sz w:val="24"/>
          <w:szCs w:val="24"/>
        </w:rPr>
        <w:t>(Abraham et al., 2025</w:t>
      </w:r>
      <w:r w:rsidR="004221A8">
        <w:rPr>
          <w:rFonts w:ascii="Times New Roman" w:hAnsi="Times New Roman" w:cs="Times New Roman"/>
          <w:sz w:val="24"/>
          <w:szCs w:val="24"/>
        </w:rPr>
        <w:t>; Obioha-Val et al., 2025</w:t>
      </w:r>
      <w:r w:rsidRPr="00471DCE">
        <w:rPr>
          <w:rFonts w:ascii="Times New Roman" w:hAnsi="Times New Roman" w:cs="Times New Roman"/>
          <w:sz w:val="24"/>
          <w:szCs w:val="24"/>
        </w:rPr>
        <w:t>). However, traditional cybersecurity techniques that assume controllable perimeters and dynamic patching are ill-suited for environments where real-time constraints and high availability are non-negotiable. For example, sophisticated intrusion detection systems designed for IT networks generate high false-positive rates when applied directly to OT, given the specialized protocols and continuous process signals, which can overwhelm operations personnel and hinder incident response (Aslam et al., 2025; Cao et al., 2022; Wu et al., 2025). This suggests that ICS security must be designed around specific process characteristics rather than generic network models.</w:t>
      </w:r>
    </w:p>
    <w:p w14:paraId="02FCB3AA"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Moreover, recent industry data highlight the visibility gaps in OT environments deep within ICS layers. Only a minority of </w:t>
      </w:r>
      <w:proofErr w:type="spellStart"/>
      <w:r w:rsidRPr="00471DCE">
        <w:rPr>
          <w:rFonts w:ascii="Times New Roman" w:hAnsi="Times New Roman" w:cs="Times New Roman"/>
          <w:sz w:val="24"/>
          <w:szCs w:val="24"/>
        </w:rPr>
        <w:t>organisations</w:t>
      </w:r>
      <w:proofErr w:type="spellEnd"/>
      <w:r w:rsidRPr="00471DCE">
        <w:rPr>
          <w:rFonts w:ascii="Times New Roman" w:hAnsi="Times New Roman" w:cs="Times New Roman"/>
          <w:sz w:val="24"/>
          <w:szCs w:val="24"/>
        </w:rPr>
        <w:t xml:space="preserve"> report comprehensive detection and monitoring capabilities across all process control levels, </w:t>
      </w:r>
      <w:r w:rsidR="007C6E5B">
        <w:rPr>
          <w:rFonts w:ascii="Times New Roman" w:hAnsi="Times New Roman" w:cs="Times New Roman"/>
          <w:sz w:val="24"/>
          <w:szCs w:val="24"/>
        </w:rPr>
        <w:t>leaving critical layers, such as programmable logic controllers,</w:t>
      </w:r>
      <w:r w:rsidRPr="00471DCE">
        <w:rPr>
          <w:rFonts w:ascii="Times New Roman" w:hAnsi="Times New Roman" w:cs="Times New Roman"/>
          <w:sz w:val="24"/>
          <w:szCs w:val="24"/>
        </w:rPr>
        <w:t xml:space="preserve"> with minimal visibility (Christopher, 2025). In contrast, IT environments often have established logging and monitoring infrastructures that provide broad visibility, further demonstrating that OT environments lag in basic security telemetry.</w:t>
      </w:r>
    </w:p>
    <w:p w14:paraId="02FCB3AB" w14:textId="77777777" w:rsidR="00B87A6F" w:rsidRPr="00471DCE" w:rsidRDefault="007C6E5B" w:rsidP="00471DCE">
      <w:pPr>
        <w:spacing w:before="240" w:after="240"/>
        <w:rPr>
          <w:rFonts w:ascii="Times New Roman" w:hAnsi="Times New Roman" w:cs="Times New Roman"/>
          <w:sz w:val="24"/>
          <w:szCs w:val="24"/>
        </w:rPr>
      </w:pPr>
      <w:r>
        <w:rPr>
          <w:rFonts w:ascii="Times New Roman" w:hAnsi="Times New Roman" w:cs="Times New Roman"/>
          <w:sz w:val="24"/>
          <w:szCs w:val="24"/>
        </w:rPr>
        <w:t xml:space="preserve">The convergence of IT and OT systems also presents socio-technical and architectural challenges. Ramezan et al. (2024) </w:t>
      </w:r>
      <w:r w:rsidR="007F6FCE">
        <w:rPr>
          <w:rFonts w:ascii="Times New Roman" w:hAnsi="Times New Roman" w:cs="Times New Roman"/>
          <w:sz w:val="24"/>
          <w:szCs w:val="24"/>
        </w:rPr>
        <w:t>indicate</w:t>
      </w:r>
      <w:r>
        <w:rPr>
          <w:rFonts w:ascii="Times New Roman" w:hAnsi="Times New Roman" w:cs="Times New Roman"/>
          <w:sz w:val="24"/>
          <w:szCs w:val="24"/>
        </w:rPr>
        <w:t xml:space="preserve"> that OT engineers often lack cybersecurity expertise, while IT professionals may not fully understand operational constraints, creating gaps in threat interpretation and security implementation. In line with these findings, </w:t>
      </w:r>
      <w:proofErr w:type="spellStart"/>
      <w:r>
        <w:rPr>
          <w:rFonts w:ascii="Times New Roman" w:hAnsi="Times New Roman" w:cs="Times New Roman"/>
          <w:sz w:val="24"/>
          <w:szCs w:val="24"/>
        </w:rPr>
        <w:t>Calabrò</w:t>
      </w:r>
      <w:proofErr w:type="spellEnd"/>
      <w:r>
        <w:rPr>
          <w:rFonts w:ascii="Times New Roman" w:hAnsi="Times New Roman" w:cs="Times New Roman"/>
          <w:sz w:val="24"/>
          <w:szCs w:val="24"/>
        </w:rPr>
        <w:t xml:space="preserve"> et al. (2024) argue that the governance, skills, and architectural differences between IT and OT must be recognized explicitly in security research, rather than treated as peripheral concerns. These points suggest that securing OT and ICS environments requires customized architectural solutions that account for real-time operations, legacy constraints, physical safety requirements, and the complex interactions between cyber and physical domains (conditions that traditional IT security models alone cannot address).</w:t>
      </w:r>
    </w:p>
    <w:p w14:paraId="02FCB3AC"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3" w:name="_heading=h.9lfpgiz70nlk" w:colFirst="0" w:colLast="0"/>
      <w:bookmarkEnd w:id="3"/>
      <w:r w:rsidRPr="00471DCE">
        <w:rPr>
          <w:rFonts w:ascii="Times New Roman" w:hAnsi="Times New Roman" w:cs="Times New Roman"/>
          <w:b/>
          <w:bCs/>
          <w:color w:val="000000"/>
          <w:sz w:val="24"/>
          <w:szCs w:val="24"/>
        </w:rPr>
        <w:lastRenderedPageBreak/>
        <w:t>Artificial Intelligence Adoption in OT and ICS and Emerging Security Implications</w:t>
      </w:r>
    </w:p>
    <w:p w14:paraId="02FCB3AD" w14:textId="77777777" w:rsidR="00B87A6F" w:rsidRPr="00471DCE" w:rsidRDefault="007C6E5B" w:rsidP="00471DCE">
      <w:pPr>
        <w:spacing w:before="240" w:after="240"/>
        <w:rPr>
          <w:rFonts w:ascii="Times New Roman" w:hAnsi="Times New Roman" w:cs="Times New Roman"/>
          <w:sz w:val="24"/>
          <w:szCs w:val="24"/>
        </w:rPr>
      </w:pPr>
      <w:r>
        <w:rPr>
          <w:rFonts w:ascii="Times New Roman" w:hAnsi="Times New Roman" w:cs="Times New Roman"/>
          <w:sz w:val="24"/>
          <w:szCs w:val="24"/>
        </w:rPr>
        <w:t xml:space="preserve">The adoption of artificial intelligence in operational technology and industrial control systems has accelerated as organizations aim to enhance anomaly detection, fault diagnosis, and operational efficiency. According to Seo et al. (2026), AI-based techniques have </w:t>
      </w:r>
      <w:r w:rsidR="007F6FCE">
        <w:rPr>
          <w:rFonts w:ascii="Times New Roman" w:hAnsi="Times New Roman" w:cs="Times New Roman"/>
          <w:sz w:val="24"/>
          <w:szCs w:val="24"/>
        </w:rPr>
        <w:t>demonstrated superior performance compared to traditional rule-based methods for identifying subtle deviations in industrial processes, particularly</w:t>
      </w:r>
      <w:r>
        <w:rPr>
          <w:rFonts w:ascii="Times New Roman" w:hAnsi="Times New Roman" w:cs="Times New Roman"/>
          <w:sz w:val="24"/>
          <w:szCs w:val="24"/>
        </w:rPr>
        <w:t xml:space="preserve"> in complex cyber-physical environments. Similarly, </w:t>
      </w:r>
      <w:proofErr w:type="spellStart"/>
      <w:r w:rsidR="007F6FCE">
        <w:rPr>
          <w:rFonts w:ascii="Times New Roman" w:hAnsi="Times New Roman" w:cs="Times New Roman"/>
          <w:sz w:val="24"/>
          <w:szCs w:val="24"/>
        </w:rPr>
        <w:t>Alqudhaibi</w:t>
      </w:r>
      <w:proofErr w:type="spellEnd"/>
      <w:r w:rsidR="007F6FCE">
        <w:rPr>
          <w:rFonts w:ascii="Times New Roman" w:hAnsi="Times New Roman" w:cs="Times New Roman"/>
          <w:sz w:val="24"/>
          <w:szCs w:val="24"/>
        </w:rPr>
        <w:t xml:space="preserve"> et al. (</w:t>
      </w:r>
      <w:r>
        <w:rPr>
          <w:rFonts w:ascii="Times New Roman" w:hAnsi="Times New Roman" w:cs="Times New Roman"/>
          <w:sz w:val="24"/>
          <w:szCs w:val="24"/>
        </w:rPr>
        <w:t>2025) argue that machine learning and deep learning models enable earlier detection of abnormal system states that might otherwise go unnoticed until physical degradation occurs. However, despite these performance improvements, incorporating AI into ICS environments fundamentally changes the system threat model by embedding adaptive and data-driven elements into control loops originally designed for deterministic behavior.</w:t>
      </w:r>
    </w:p>
    <w:p w14:paraId="02FCB3AE"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 critical limitation identified across recent studies is that most AI deployments in ICS focus narrowly on analytical functions rather than on the broader security implications of embedding intelligent systems within operational workflows. Fung (2025) observes that AI adoption in practice is often </w:t>
      </w:r>
      <w:r w:rsidR="007F6FCE">
        <w:rPr>
          <w:rFonts w:ascii="Times New Roman" w:hAnsi="Times New Roman" w:cs="Times New Roman"/>
          <w:sz w:val="24"/>
          <w:szCs w:val="24"/>
        </w:rPr>
        <w:t>limited to alarm triage and anomaly detection, with limited consideration of</w:t>
      </w:r>
      <w:r w:rsidRPr="00471DCE">
        <w:rPr>
          <w:rFonts w:ascii="Times New Roman" w:hAnsi="Times New Roman" w:cs="Times New Roman"/>
          <w:sz w:val="24"/>
          <w:szCs w:val="24"/>
        </w:rPr>
        <w:t xml:space="preserve"> how AI outputs influence operational decisions. In contrast, </w:t>
      </w:r>
      <w:proofErr w:type="spellStart"/>
      <w:r w:rsidRPr="00471DCE">
        <w:rPr>
          <w:rFonts w:ascii="Times New Roman" w:hAnsi="Times New Roman" w:cs="Times New Roman"/>
          <w:sz w:val="24"/>
          <w:szCs w:val="24"/>
        </w:rPr>
        <w:t>Houkan</w:t>
      </w:r>
      <w:proofErr w:type="spellEnd"/>
      <w:r w:rsidRPr="00471DCE">
        <w:rPr>
          <w:rFonts w:ascii="Times New Roman" w:hAnsi="Times New Roman" w:cs="Times New Roman"/>
          <w:sz w:val="24"/>
          <w:szCs w:val="24"/>
        </w:rPr>
        <w:t xml:space="preserve"> et al. (2025) demonstrate that AI-driven intrusion detection systems increasingly interact with live control traffic, raising concerns about the reliability of automated responses in environments where false positives can disrupt physical processes. This suggests that AI adoption is outpacing the development of architectural safeguards capable of governing how AI-derived insights are </w:t>
      </w:r>
      <w:proofErr w:type="spellStart"/>
      <w:r w:rsidRPr="00471DCE">
        <w:rPr>
          <w:rFonts w:ascii="Times New Roman" w:hAnsi="Times New Roman" w:cs="Times New Roman"/>
          <w:sz w:val="24"/>
          <w:szCs w:val="24"/>
        </w:rPr>
        <w:t>operationalised</w:t>
      </w:r>
      <w:proofErr w:type="spellEnd"/>
      <w:r w:rsidRPr="00471DCE">
        <w:rPr>
          <w:rFonts w:ascii="Times New Roman" w:hAnsi="Times New Roman" w:cs="Times New Roman"/>
          <w:sz w:val="24"/>
          <w:szCs w:val="24"/>
        </w:rPr>
        <w:t>.</w:t>
      </w:r>
    </w:p>
    <w:p w14:paraId="02FCB3AF"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Moreover, several studies highlight the fragility of AI models </w:t>
      </w:r>
      <w:r w:rsidR="007F6FCE">
        <w:rPr>
          <w:rFonts w:ascii="Times New Roman" w:hAnsi="Times New Roman" w:cs="Times New Roman"/>
          <w:sz w:val="24"/>
          <w:szCs w:val="24"/>
        </w:rPr>
        <w:t>under</w:t>
      </w:r>
      <w:r w:rsidRPr="00471DCE">
        <w:rPr>
          <w:rFonts w:ascii="Times New Roman" w:hAnsi="Times New Roman" w:cs="Times New Roman"/>
          <w:sz w:val="24"/>
          <w:szCs w:val="24"/>
        </w:rPr>
        <w:t xml:space="preserve"> real-world industrial conditions. Aslam et al. (2025) argue that deep learning models trained on controlled datasets often fail to </w:t>
      </w:r>
      <w:proofErr w:type="spellStart"/>
      <w:r w:rsidRPr="00471DCE">
        <w:rPr>
          <w:rFonts w:ascii="Times New Roman" w:hAnsi="Times New Roman" w:cs="Times New Roman"/>
          <w:sz w:val="24"/>
          <w:szCs w:val="24"/>
        </w:rPr>
        <w:t>generalise</w:t>
      </w:r>
      <w:proofErr w:type="spellEnd"/>
      <w:r w:rsidRPr="00471DCE">
        <w:rPr>
          <w:rFonts w:ascii="Times New Roman" w:hAnsi="Times New Roman" w:cs="Times New Roman"/>
          <w:sz w:val="24"/>
          <w:szCs w:val="24"/>
        </w:rPr>
        <w:t xml:space="preserve"> under operational variability, leading to degraded performance and unstable decision boundaries. Despite this evidence, industrial deployments frequently assume that improved model accuracy alone is sufficient to ensure system safety. </w:t>
      </w:r>
      <w:proofErr w:type="spellStart"/>
      <w:r w:rsidRPr="00471DCE">
        <w:rPr>
          <w:rFonts w:ascii="Times New Roman" w:hAnsi="Times New Roman" w:cs="Times New Roman"/>
          <w:sz w:val="24"/>
          <w:szCs w:val="24"/>
        </w:rPr>
        <w:t>Ododo</w:t>
      </w:r>
      <w:proofErr w:type="spellEnd"/>
      <w:r w:rsidRPr="00471DCE">
        <w:rPr>
          <w:rFonts w:ascii="Times New Roman" w:hAnsi="Times New Roman" w:cs="Times New Roman"/>
          <w:sz w:val="24"/>
          <w:szCs w:val="24"/>
        </w:rPr>
        <w:t xml:space="preserve"> et al. (2025) challenge this assumption by demonstrating that adversarial manipulation of industrial datasets can systematically mislead machine learning-based security systems, enabling attackers to evade detection while maintaining normal process indicators. This exposes a structural weakness in relying on AI as a security enhancement without considering how adversarial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intersects with autonomous decision processes.</w:t>
      </w:r>
    </w:p>
    <w:p w14:paraId="02FCB3B0"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In addition to technical vulnerabilities, governance and operational challenges further complicate AI integration in OT environments. Mohamed (2025) contends that AI systems are often introduced as opaque components, limiting operators’ ability to understand or override automated decisions. In contrast to IT environments</w:t>
      </w:r>
      <w:r w:rsidR="007F6FCE">
        <w:rPr>
          <w:rFonts w:ascii="Times New Roman" w:hAnsi="Times New Roman" w:cs="Times New Roman"/>
          <w:sz w:val="24"/>
          <w:szCs w:val="24"/>
        </w:rPr>
        <w:t>,</w:t>
      </w:r>
      <w:r w:rsidRPr="00471DCE">
        <w:rPr>
          <w:rFonts w:ascii="Times New Roman" w:hAnsi="Times New Roman" w:cs="Times New Roman"/>
          <w:sz w:val="24"/>
          <w:szCs w:val="24"/>
        </w:rPr>
        <w:t xml:space="preserve"> where explainability failures primarily affect data integrity or privacy, opacity in OT systems can obscure the causal chain between AI decisions and physical outcomes. Fung (2025) reinforces this concern by noting that operators frequently distrust AI recommendations but lack </w:t>
      </w:r>
      <w:r w:rsidR="007F6FCE">
        <w:rPr>
          <w:rFonts w:ascii="Times New Roman" w:hAnsi="Times New Roman" w:cs="Times New Roman"/>
          <w:sz w:val="24"/>
          <w:szCs w:val="24"/>
        </w:rPr>
        <w:t xml:space="preserve">systematic mechanisms to constrain or audit AI </w:t>
      </w:r>
      <w:proofErr w:type="spellStart"/>
      <w:r w:rsidR="007F6FCE">
        <w:rPr>
          <w:rFonts w:ascii="Times New Roman" w:hAnsi="Times New Roman" w:cs="Times New Roman"/>
          <w:sz w:val="24"/>
          <w:szCs w:val="24"/>
        </w:rPr>
        <w:lastRenderedPageBreak/>
        <w:t>behaviour</w:t>
      </w:r>
      <w:proofErr w:type="spellEnd"/>
      <w:r w:rsidR="007F6FCE">
        <w:rPr>
          <w:rFonts w:ascii="Times New Roman" w:hAnsi="Times New Roman" w:cs="Times New Roman"/>
          <w:sz w:val="24"/>
          <w:szCs w:val="24"/>
        </w:rPr>
        <w:t xml:space="preserve"> within control architectures</w:t>
      </w:r>
      <w:r w:rsidRPr="00471DCE">
        <w:rPr>
          <w:rFonts w:ascii="Times New Roman" w:hAnsi="Times New Roman" w:cs="Times New Roman"/>
          <w:sz w:val="24"/>
          <w:szCs w:val="24"/>
        </w:rPr>
        <w:t>. This tension between reliance and distrust illustrates the absence of structured containment mechanisms for AI-driven functions.</w:t>
      </w:r>
    </w:p>
    <w:p w14:paraId="02FCB3B1"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Collectively, the literature suggests that while AI adoption in OT and ICS offers measurable operational benefits, it simultaneously introduces new classes of risk that existing security models are ill-equipped to manage. The prevailing focus on detection accuracy, performance metrics, and computational efficiency overlooks the broader implications of embedding adaptive systems within safety-critical control environments. Therefore, although AI is increasingly positioned as a defensive asset in industrial cybersecurity, its uncontained integration risks </w:t>
      </w:r>
      <w:r w:rsidR="007F6FCE">
        <w:rPr>
          <w:rFonts w:ascii="Times New Roman" w:hAnsi="Times New Roman" w:cs="Times New Roman"/>
          <w:sz w:val="24"/>
          <w:szCs w:val="24"/>
        </w:rPr>
        <w:t>amplify</w:t>
      </w:r>
      <w:r w:rsidRPr="00471DCE">
        <w:rPr>
          <w:rFonts w:ascii="Times New Roman" w:hAnsi="Times New Roman" w:cs="Times New Roman"/>
          <w:sz w:val="24"/>
          <w:szCs w:val="24"/>
        </w:rPr>
        <w:t xml:space="preserve"> system fragility rather than reducing it. This body of evidence underscores the necessity of architectural approaches that do not merely deploy AI within ICS environments but explicitly constrain its operational influence and decision-making scope.</w:t>
      </w:r>
    </w:p>
    <w:p w14:paraId="02FCB3B2"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4" w:name="_heading=h.rpodkrcubbsc" w:colFirst="0" w:colLast="0"/>
      <w:bookmarkEnd w:id="4"/>
      <w:r w:rsidRPr="00471DCE">
        <w:rPr>
          <w:rFonts w:ascii="Times New Roman" w:hAnsi="Times New Roman" w:cs="Times New Roman"/>
          <w:b/>
          <w:bCs/>
          <w:color w:val="000000"/>
          <w:sz w:val="24"/>
          <w:szCs w:val="24"/>
        </w:rPr>
        <w:t>Agentic Artificial Intelligence, Autonomous Decision Making, and Systemic Risk in Cyber-Physical Systems</w:t>
      </w:r>
    </w:p>
    <w:p w14:paraId="02FCB3B3"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Agentic artificial intelligence represents a qualitative departure from conventional machine learning systems by introducing autonomy, goal persistence, and multi-step decision making into computational processes. According to </w:t>
      </w:r>
      <w:proofErr w:type="spellStart"/>
      <w:r w:rsidRPr="00471DCE">
        <w:rPr>
          <w:rFonts w:ascii="Times New Roman" w:hAnsi="Times New Roman" w:cs="Times New Roman"/>
          <w:sz w:val="24"/>
          <w:szCs w:val="24"/>
        </w:rPr>
        <w:t>Haidemariam</w:t>
      </w:r>
      <w:proofErr w:type="spellEnd"/>
      <w:r w:rsidRPr="00471DCE">
        <w:rPr>
          <w:rFonts w:ascii="Times New Roman" w:hAnsi="Times New Roman" w:cs="Times New Roman"/>
          <w:sz w:val="24"/>
          <w:szCs w:val="24"/>
        </w:rPr>
        <w:t xml:space="preserve"> (2026), agentic artificial intelligence systems engage in recursive perception–evaluation–action loops that allow them to represent, update, and pursue their own goals beyond fixed task specifications, distinguishing them from reactive or purely reflexive models of computation. In agreement, recent surveys argue that agentic AI systems exhibit planning, memory, and tool-use capabilities that enable them to operate across extended temporal horizons with minimal human supervision (Shanahan et al., 2023). However, despite these capabilities being framed as advances in adaptability and efficiency, their introduction into cyber-physical systems fundamentally alters assumptions about predictability and controllability (</w:t>
      </w:r>
      <w:proofErr w:type="spellStart"/>
      <w:r w:rsidRPr="00471DCE">
        <w:rPr>
          <w:rFonts w:ascii="Times New Roman" w:hAnsi="Times New Roman" w:cs="Times New Roman"/>
          <w:sz w:val="24"/>
          <w:szCs w:val="24"/>
        </w:rPr>
        <w:t>Mayeke</w:t>
      </w:r>
      <w:proofErr w:type="spellEnd"/>
      <w:r w:rsidRPr="00471DCE">
        <w:rPr>
          <w:rFonts w:ascii="Times New Roman" w:hAnsi="Times New Roman" w:cs="Times New Roman"/>
          <w:sz w:val="24"/>
          <w:szCs w:val="24"/>
        </w:rPr>
        <w:t xml:space="preserve">, 2025; </w:t>
      </w:r>
      <w:proofErr w:type="spellStart"/>
      <w:r w:rsidRPr="00471DCE">
        <w:rPr>
          <w:rFonts w:ascii="Times New Roman" w:hAnsi="Times New Roman" w:cs="Times New Roman"/>
          <w:sz w:val="24"/>
          <w:szCs w:val="24"/>
        </w:rPr>
        <w:t>Ogunmolu</w:t>
      </w:r>
      <w:proofErr w:type="spellEnd"/>
      <w:r w:rsidRPr="00471DCE">
        <w:rPr>
          <w:rFonts w:ascii="Times New Roman" w:hAnsi="Times New Roman" w:cs="Times New Roman"/>
          <w:sz w:val="24"/>
          <w:szCs w:val="24"/>
        </w:rPr>
        <w:t xml:space="preserve"> et al., 2026a)</w:t>
      </w:r>
    </w:p>
    <w:p w14:paraId="02FCB3B4"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 critical limitation identified in the literature is that autonomy introduces emergent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that cannot be exhaustively specified or validated at design time. Studies reveal that autonomous agents may pursue objectives in ways that remain technically compliant with constraints yet produce unintended and potentially harmful outcomes (Chen et al., 2023; Everitt et al., 2021). In contrast to traditional automation, where control logic is explicitly encoded and verifiable, agentic AI systems rely on learned representations and internal reasoning processes that evolve during operation (Abou Ali et al., 2025; </w:t>
      </w:r>
      <w:proofErr w:type="spellStart"/>
      <w:r w:rsidRPr="00471DCE">
        <w:rPr>
          <w:rFonts w:ascii="Times New Roman" w:hAnsi="Times New Roman" w:cs="Times New Roman"/>
          <w:sz w:val="24"/>
          <w:szCs w:val="24"/>
        </w:rPr>
        <w:t>Tirulo</w:t>
      </w:r>
      <w:proofErr w:type="spellEnd"/>
      <w:r w:rsidRPr="00471DCE">
        <w:rPr>
          <w:rFonts w:ascii="Times New Roman" w:hAnsi="Times New Roman" w:cs="Times New Roman"/>
          <w:sz w:val="24"/>
          <w:szCs w:val="24"/>
        </w:rPr>
        <w:t xml:space="preserve"> et al., 2025). This suggests that even well-intentioned agentic systems may generate action sequences that exceed safe operational boundaries, particularly in tightly coupled cyber-physical environments such as industrial control systems.</w:t>
      </w:r>
    </w:p>
    <w:p w14:paraId="02FCB3B5"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Recent empirical and conceptual studies further demonstrate that agentic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amplifies systemic risk through cascading and feedback effects (Abba et al., 2025; Adebiyi et al., 2026; </w:t>
      </w:r>
      <w:proofErr w:type="spellStart"/>
      <w:r w:rsidRPr="00471DCE">
        <w:rPr>
          <w:rFonts w:ascii="Times New Roman" w:hAnsi="Times New Roman" w:cs="Times New Roman"/>
          <w:sz w:val="24"/>
          <w:szCs w:val="24"/>
        </w:rPr>
        <w:t>Ogunmolu</w:t>
      </w:r>
      <w:proofErr w:type="spellEnd"/>
      <w:r w:rsidRPr="00471DCE">
        <w:rPr>
          <w:rFonts w:ascii="Times New Roman" w:hAnsi="Times New Roman" w:cs="Times New Roman"/>
          <w:sz w:val="24"/>
          <w:szCs w:val="24"/>
        </w:rPr>
        <w:t xml:space="preserve"> et al., 2026b). For example, recent findings show that autonomous decision loops </w:t>
      </w:r>
      <w:r w:rsidRPr="00471DCE">
        <w:rPr>
          <w:rFonts w:ascii="Times New Roman" w:hAnsi="Times New Roman" w:cs="Times New Roman"/>
          <w:sz w:val="24"/>
          <w:szCs w:val="24"/>
        </w:rPr>
        <w:lastRenderedPageBreak/>
        <w:t>interacting with physical processes can produce nonlinear system responses, where small deviations propagate rapidly across interconnected subsystems (Agarwal et al., 2025; Islam et al., 2023). Despite this evidence, many AI security models continue to evaluate risk at the component level rather than at the system level (Wang et al., 2023; Wen et al., 2024). In contrast, cyber-physical systems research contends that safety and security failures emerge from interactions rather than isolated faults, rendering component-centric security approaches insufficient for autonomous agents (Huang et al., 2024).</w:t>
      </w:r>
    </w:p>
    <w:p w14:paraId="02FCB3B6"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Moreover, the security implications of agentic AI extend beyond accidental failure to include deliberate exploitation. Autonomous agents can be repurposed or manipulated to execute complex, multi-stage cyber operations with limited human oversight (Brundage et al., 2018; </w:t>
      </w:r>
      <w:proofErr w:type="spellStart"/>
      <w:r w:rsidRPr="00471DCE">
        <w:rPr>
          <w:rFonts w:ascii="Times New Roman" w:hAnsi="Times New Roman" w:cs="Times New Roman"/>
          <w:sz w:val="24"/>
          <w:szCs w:val="24"/>
        </w:rPr>
        <w:t>Seghid</w:t>
      </w:r>
      <w:proofErr w:type="spellEnd"/>
      <w:r w:rsidRPr="00471DCE">
        <w:rPr>
          <w:rFonts w:ascii="Times New Roman" w:hAnsi="Times New Roman" w:cs="Times New Roman"/>
          <w:sz w:val="24"/>
          <w:szCs w:val="24"/>
        </w:rPr>
        <w:t xml:space="preserve"> et al., 2026). In agreement, recent analyses of autonomous cyber operations indicate that agentic systems can dynamically adapt attack strategies in response to defensive measures, thereby undermining static security controls (Ren et al., 2025). Although these studies often focus on IT environments, their findings are directly relevant to OT and ICS contexts, where adaptive decision making could enable agents to exploit process dependencies while remaining within nominal operational parameters.</w:t>
      </w:r>
    </w:p>
    <w:p w14:paraId="02FCB3B7"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Another unresolved challenge concerns accountability and human oversight. According to Harris and </w:t>
      </w:r>
      <w:proofErr w:type="spellStart"/>
      <w:r w:rsidRPr="00471DCE">
        <w:rPr>
          <w:rFonts w:ascii="Times New Roman" w:hAnsi="Times New Roman" w:cs="Times New Roman"/>
          <w:sz w:val="24"/>
          <w:szCs w:val="24"/>
        </w:rPr>
        <w:t>Dubljević</w:t>
      </w:r>
      <w:proofErr w:type="spellEnd"/>
      <w:r w:rsidRPr="00471DCE">
        <w:rPr>
          <w:rFonts w:ascii="Times New Roman" w:hAnsi="Times New Roman" w:cs="Times New Roman"/>
          <w:sz w:val="24"/>
          <w:szCs w:val="24"/>
        </w:rPr>
        <w:t xml:space="preserve"> (2025), the delegation of decision authority to autonomous systems complicates responsibility attribution, particularly when actions are generated through opaque reasoning processes. In contrast to decision support systems, </w:t>
      </w:r>
      <w:r w:rsidR="007F6FCE">
        <w:rPr>
          <w:rFonts w:ascii="Times New Roman" w:hAnsi="Times New Roman" w:cs="Times New Roman"/>
          <w:sz w:val="24"/>
          <w:szCs w:val="24"/>
        </w:rPr>
        <w:t xml:space="preserve">in which humans retain final authority, agentic AI systems may execute actions at machine speed, thereby </w:t>
      </w:r>
      <w:r w:rsidRPr="00471DCE">
        <w:rPr>
          <w:rFonts w:ascii="Times New Roman" w:hAnsi="Times New Roman" w:cs="Times New Roman"/>
          <w:sz w:val="24"/>
          <w:szCs w:val="24"/>
        </w:rPr>
        <w:t xml:space="preserve">reducing opportunities for intervention (Langer et al., 2024; </w:t>
      </w:r>
      <w:proofErr w:type="spellStart"/>
      <w:r w:rsidRPr="00471DCE">
        <w:rPr>
          <w:rFonts w:ascii="Times New Roman" w:hAnsi="Times New Roman" w:cs="Times New Roman"/>
          <w:sz w:val="24"/>
          <w:szCs w:val="24"/>
        </w:rPr>
        <w:t>Odeyinka</w:t>
      </w:r>
      <w:proofErr w:type="spellEnd"/>
      <w:r w:rsidRPr="00471DCE">
        <w:rPr>
          <w:rFonts w:ascii="Times New Roman" w:hAnsi="Times New Roman" w:cs="Times New Roman"/>
          <w:sz w:val="24"/>
          <w:szCs w:val="24"/>
        </w:rPr>
        <w:t xml:space="preserve"> et al., 2026; Olaniyi et al., 2026a). This creates a governance gap in which operators are expected to trust systems they cannot fully observe or control. Despite growing recognition of this issue, existing governance frameworks largely focus on </w:t>
      </w:r>
      <w:proofErr w:type="spellStart"/>
      <w:r w:rsidRPr="00471DCE">
        <w:rPr>
          <w:rFonts w:ascii="Times New Roman" w:hAnsi="Times New Roman" w:cs="Times New Roman"/>
          <w:sz w:val="24"/>
          <w:szCs w:val="24"/>
        </w:rPr>
        <w:t>organisational</w:t>
      </w:r>
      <w:proofErr w:type="spellEnd"/>
      <w:r w:rsidRPr="00471DCE">
        <w:rPr>
          <w:rFonts w:ascii="Times New Roman" w:hAnsi="Times New Roman" w:cs="Times New Roman"/>
          <w:sz w:val="24"/>
          <w:szCs w:val="24"/>
        </w:rPr>
        <w:t xml:space="preserve"> oversight rather than architectural enforcement of decision boundaries (Batool et al., 2025).</w:t>
      </w:r>
    </w:p>
    <w:p w14:paraId="02FCB3B8"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Collectively, this body of literature suggests that agentic AI introduces systemic risks that extend beyond those associated with traditional AI or automation. Autonomy transforms AI from a passive analytical tool into an active participant in cyber-physical control, thereby challenging foundational assumptions in industrial security architecture. However, current research predominantly documents these risks without offering concrete architectural mechanisms to constrain autonomous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in safety-critical environments. This unresolved tension between autonomous capability and systemic risk underscores the necessity of architectural approaches that explicitly bound decision authority, action scope, and propagation pathways for agentic AI within cyber-physical systems.</w:t>
      </w:r>
    </w:p>
    <w:p w14:paraId="02FCB3B9"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5" w:name="_heading=h.qpq3c8vhd6x3" w:colFirst="0" w:colLast="0"/>
      <w:bookmarkEnd w:id="5"/>
      <w:r w:rsidRPr="00471DCE">
        <w:rPr>
          <w:rFonts w:ascii="Times New Roman" w:hAnsi="Times New Roman" w:cs="Times New Roman"/>
          <w:b/>
          <w:bCs/>
          <w:color w:val="000000"/>
          <w:sz w:val="24"/>
          <w:szCs w:val="24"/>
        </w:rPr>
        <w:t>Existing Security and Architectural Controls for OT and Their Limitations with Autonomous Artificial Intelligence</w:t>
      </w:r>
    </w:p>
    <w:p w14:paraId="02FCB3BA"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lastRenderedPageBreak/>
        <w:t xml:space="preserve">Existing operational technology and industrial control system security architectures are largely grounded in principles of network segmentation, access control, and perimeter defense. According to Flå et al. (2024), reference architectures for ICS cybersecurity emphasize zoning, conduits, and defense-in-depth as foundational mechanisms for risk reduction. Studies contend that these architectural controls have proven effective in reducing exposure to commodity cyber threats (Koay et al., 2022; McLaughlin et al., 2016). However, despite their widespread adoption, such architectures implicitly assume that system components behave </w:t>
      </w:r>
      <w:r w:rsidR="007F6FCE">
        <w:rPr>
          <w:rFonts w:ascii="Times New Roman" w:hAnsi="Times New Roman" w:cs="Times New Roman"/>
          <w:sz w:val="24"/>
          <w:szCs w:val="24"/>
        </w:rPr>
        <w:t xml:space="preserve">predictably and in </w:t>
      </w:r>
      <w:r w:rsidRPr="00471DCE">
        <w:rPr>
          <w:rFonts w:ascii="Times New Roman" w:hAnsi="Times New Roman" w:cs="Times New Roman"/>
          <w:sz w:val="24"/>
          <w:szCs w:val="24"/>
        </w:rPr>
        <w:t>policy-compliant ways once access is granted. This assumption becomes increasingly problematic when autonomous or agentic systems are introduced into control environments.</w:t>
      </w:r>
    </w:p>
    <w:p w14:paraId="02FCB3BB"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The Purdue Model remains one of the most influential architectural paradigms for ICS segmentation. Stouffer et al. (2015)</w:t>
      </w:r>
      <w:r w:rsidR="007F6FCE">
        <w:rPr>
          <w:rFonts w:ascii="Times New Roman" w:hAnsi="Times New Roman" w:cs="Times New Roman"/>
          <w:sz w:val="24"/>
          <w:szCs w:val="24"/>
        </w:rPr>
        <w:t xml:space="preserve"> explain</w:t>
      </w:r>
      <w:r w:rsidRPr="00471DCE">
        <w:rPr>
          <w:rFonts w:ascii="Times New Roman" w:hAnsi="Times New Roman" w:cs="Times New Roman"/>
          <w:sz w:val="24"/>
          <w:szCs w:val="24"/>
        </w:rPr>
        <w:t xml:space="preserve"> how secure ICS architectures should segment enterprise and operational domains to limit threat propagation, a principle consistent with the Purdue Model for reducing exposure to network-based threats. In contrast, recent analyses argue that static hierarchical segmentation such as that embodied by the traditional Purdue Model struggles to accommodate the dynamic data flows, bidirectional connectivity, and adaptive components introduced by modern industrial automation and AI-driven systems, prompting calls for more flexible segmentation architectures and integration of concepts such as Zero Trust and real-time communication controls (industry analyses highlight the model’s limitations in IT/OT converged environments) (Ciber Safety, 2025; Hulme, 2025). Knowles et al. (2015) surveyed cybersecurity management in industrial control systems</w:t>
      </w:r>
      <w:r w:rsidR="007F6FCE">
        <w:rPr>
          <w:rFonts w:ascii="Times New Roman" w:hAnsi="Times New Roman" w:cs="Times New Roman"/>
          <w:sz w:val="24"/>
          <w:szCs w:val="24"/>
        </w:rPr>
        <w:t>. They highlighted</w:t>
      </w:r>
      <w:r w:rsidRPr="00471DCE">
        <w:rPr>
          <w:rFonts w:ascii="Times New Roman" w:hAnsi="Times New Roman" w:cs="Times New Roman"/>
          <w:sz w:val="24"/>
          <w:szCs w:val="24"/>
        </w:rPr>
        <w:t xml:space="preserve"> that traditional segmentation frameworks in ICS environments are </w:t>
      </w:r>
      <w:r w:rsidR="007F6FCE">
        <w:rPr>
          <w:rFonts w:ascii="Times New Roman" w:hAnsi="Times New Roman" w:cs="Times New Roman"/>
          <w:sz w:val="24"/>
          <w:szCs w:val="24"/>
        </w:rPr>
        <w:t>primarily designed to regulate communication pathways and network exposure rather than to constrain decision-making authority within automated control processes, revealing an architectural gap in</w:t>
      </w:r>
      <w:r w:rsidRPr="00471DCE">
        <w:rPr>
          <w:rFonts w:ascii="Times New Roman" w:hAnsi="Times New Roman" w:cs="Times New Roman"/>
          <w:sz w:val="24"/>
          <w:szCs w:val="24"/>
        </w:rPr>
        <w:t xml:space="preserve"> governing autonomous agent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This suggests that while the Purdue Model limits lateral movement, it does not prevent autonomous components from executing unsafe or cascading actions within their permitted zones.</w:t>
      </w:r>
    </w:p>
    <w:p w14:paraId="02FCB3BC"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Zero Trust principles have been proposed as a modern alternative to perimeter-based security in OT environments. According to Knowles et al. (2022), Zero Trust adaptations promise finer-grained authentication and continuous verification of system interactions. Nevertheless, a critical limitation is that Zero Trust models primarily govern identity and access, not </w:t>
      </w:r>
      <w:proofErr w:type="spellStart"/>
      <w:r w:rsidRPr="00471DCE">
        <w:rPr>
          <w:rFonts w:ascii="Times New Roman" w:hAnsi="Times New Roman" w:cs="Times New Roman"/>
          <w:sz w:val="24"/>
          <w:szCs w:val="24"/>
        </w:rPr>
        <w:t>behavioural</w:t>
      </w:r>
      <w:proofErr w:type="spellEnd"/>
      <w:r w:rsidRPr="00471DCE">
        <w:rPr>
          <w:rFonts w:ascii="Times New Roman" w:hAnsi="Times New Roman" w:cs="Times New Roman"/>
          <w:sz w:val="24"/>
          <w:szCs w:val="24"/>
        </w:rPr>
        <w:t xml:space="preserve"> intent or action sequencing. Although Zero Trust frameworks promise finer-grained authentication and continuous verification of identities and access permissions, they primarily govern identity and access control and do not inherently enforce </w:t>
      </w:r>
      <w:proofErr w:type="spellStart"/>
      <w:r w:rsidRPr="00471DCE">
        <w:rPr>
          <w:rFonts w:ascii="Times New Roman" w:hAnsi="Times New Roman" w:cs="Times New Roman"/>
          <w:sz w:val="24"/>
          <w:szCs w:val="24"/>
        </w:rPr>
        <w:t>behavioural</w:t>
      </w:r>
      <w:proofErr w:type="spellEnd"/>
      <w:r w:rsidRPr="00471DCE">
        <w:rPr>
          <w:rFonts w:ascii="Times New Roman" w:hAnsi="Times New Roman" w:cs="Times New Roman"/>
          <w:sz w:val="24"/>
          <w:szCs w:val="24"/>
        </w:rPr>
        <w:t xml:space="preserve"> intent or constrain sequences of system actions, highlighting a conceptual gap between access policies and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-aware security models (</w:t>
      </w:r>
      <w:proofErr w:type="spellStart"/>
      <w:r w:rsidRPr="00471DCE">
        <w:rPr>
          <w:rFonts w:ascii="Times New Roman" w:hAnsi="Times New Roman" w:cs="Times New Roman"/>
          <w:sz w:val="24"/>
          <w:szCs w:val="24"/>
        </w:rPr>
        <w:t>Gambo</w:t>
      </w:r>
      <w:proofErr w:type="spellEnd"/>
      <w:r w:rsidRPr="00471DCE">
        <w:rPr>
          <w:rFonts w:ascii="Times New Roman" w:hAnsi="Times New Roman" w:cs="Times New Roman"/>
          <w:sz w:val="24"/>
          <w:szCs w:val="24"/>
        </w:rPr>
        <w:t xml:space="preserve"> &amp; </w:t>
      </w:r>
      <w:proofErr w:type="spellStart"/>
      <w:r w:rsidRPr="00471DCE">
        <w:rPr>
          <w:rFonts w:ascii="Times New Roman" w:hAnsi="Times New Roman" w:cs="Times New Roman"/>
          <w:sz w:val="24"/>
          <w:szCs w:val="24"/>
        </w:rPr>
        <w:t>Almulhem</w:t>
      </w:r>
      <w:proofErr w:type="spellEnd"/>
      <w:r w:rsidRPr="00471DCE">
        <w:rPr>
          <w:rFonts w:ascii="Times New Roman" w:hAnsi="Times New Roman" w:cs="Times New Roman"/>
          <w:sz w:val="24"/>
          <w:szCs w:val="24"/>
        </w:rPr>
        <w:t>, 2025; Potluri, 2024; Denzel, 2025). Therefore, although Zero Trust strengthens identity assurance, it does not inherently constrain autonomous decision processes once trust is established.</w:t>
      </w:r>
    </w:p>
    <w:p w14:paraId="02FCB3BD"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lastRenderedPageBreak/>
        <w:t>Many studies have highlighted limitations in industrial control system security architectures that stem from insufficient integration of control logic interactions and physical process dependencies into their design and monitoring mechanisms; for example</w:t>
      </w:r>
      <w:r w:rsidR="007F6FCE">
        <w:rPr>
          <w:rFonts w:ascii="Times New Roman" w:hAnsi="Times New Roman" w:cs="Times New Roman"/>
          <w:sz w:val="24"/>
          <w:szCs w:val="24"/>
        </w:rPr>
        <w:t>,</w:t>
      </w:r>
      <w:r w:rsidRPr="00471DCE">
        <w:rPr>
          <w:rFonts w:ascii="Times New Roman" w:hAnsi="Times New Roman" w:cs="Times New Roman"/>
          <w:sz w:val="24"/>
          <w:szCs w:val="24"/>
        </w:rPr>
        <w:t xml:space="preserve"> process-aware security approaches emphasize that segmentation and network-centric controls often fail to capture cyber-physical interactions, leaving critical state interdependencies unmonitored (Rehman &amp; </w:t>
      </w:r>
      <w:proofErr w:type="spellStart"/>
      <w:r w:rsidRPr="00471DCE">
        <w:rPr>
          <w:rFonts w:ascii="Times New Roman" w:hAnsi="Times New Roman" w:cs="Times New Roman"/>
          <w:sz w:val="24"/>
          <w:szCs w:val="24"/>
        </w:rPr>
        <w:t>Bahşi</w:t>
      </w:r>
      <w:proofErr w:type="spellEnd"/>
      <w:r w:rsidRPr="00471DCE">
        <w:rPr>
          <w:rFonts w:ascii="Times New Roman" w:hAnsi="Times New Roman" w:cs="Times New Roman"/>
          <w:sz w:val="24"/>
          <w:szCs w:val="24"/>
        </w:rPr>
        <w:t xml:space="preserve">, 2024; </w:t>
      </w:r>
      <w:proofErr w:type="spellStart"/>
      <w:r w:rsidRPr="00471DCE">
        <w:rPr>
          <w:rFonts w:ascii="Times New Roman" w:hAnsi="Times New Roman" w:cs="Times New Roman"/>
          <w:sz w:val="24"/>
          <w:szCs w:val="24"/>
        </w:rPr>
        <w:t>Achaal</w:t>
      </w:r>
      <w:proofErr w:type="spellEnd"/>
      <w:r w:rsidRPr="00471DCE">
        <w:rPr>
          <w:rFonts w:ascii="Times New Roman" w:hAnsi="Times New Roman" w:cs="Times New Roman"/>
          <w:sz w:val="24"/>
          <w:szCs w:val="24"/>
        </w:rPr>
        <w:t xml:space="preserve"> et al., 2024). Despite advances in monitoring and intrusion detection, many architectural security mechanisms in industrial control system environments remain primarily reactive, focusing on identifying deviations from expected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rather than enforcing hard constraints on system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w:t>
      </w:r>
      <w:proofErr w:type="spellStart"/>
      <w:r w:rsidRPr="00471DCE">
        <w:rPr>
          <w:rFonts w:ascii="Times New Roman" w:hAnsi="Times New Roman" w:cs="Times New Roman"/>
          <w:sz w:val="24"/>
          <w:szCs w:val="24"/>
        </w:rPr>
        <w:t>Olaniyi</w:t>
      </w:r>
      <w:proofErr w:type="spellEnd"/>
      <w:r w:rsidRPr="00471DCE">
        <w:rPr>
          <w:rFonts w:ascii="Times New Roman" w:hAnsi="Times New Roman" w:cs="Times New Roman"/>
          <w:sz w:val="24"/>
          <w:szCs w:val="24"/>
        </w:rPr>
        <w:t xml:space="preserve"> et al., 2026b; Olisa et al., 2026) For example, surveys of machine learning-based intrusion detection techniques reveal that current approaches predominantly detect anomalies and intrusions without intervening to constrain system actions, and anomaly detectors trained on specific </w:t>
      </w:r>
      <w:proofErr w:type="spellStart"/>
      <w:r w:rsidRPr="00471DCE">
        <w:rPr>
          <w:rFonts w:ascii="Times New Roman" w:hAnsi="Times New Roman" w:cs="Times New Roman"/>
          <w:sz w:val="24"/>
          <w:szCs w:val="24"/>
        </w:rPr>
        <w:t>behaviours</w:t>
      </w:r>
      <w:proofErr w:type="spellEnd"/>
      <w:r w:rsidRPr="00471DCE">
        <w:rPr>
          <w:rFonts w:ascii="Times New Roman" w:hAnsi="Times New Roman" w:cs="Times New Roman"/>
          <w:sz w:val="24"/>
          <w:szCs w:val="24"/>
        </w:rPr>
        <w:t xml:space="preserve"> may fail altogether for unseen attacks (Umer et al., 2022; Kus et al., 2022). In contrast to traditional automation, agentic AI systems may generate sequences of actions that are technically valid according to their formal </w:t>
      </w:r>
      <w:r w:rsidR="007F6FCE">
        <w:rPr>
          <w:rFonts w:ascii="Times New Roman" w:hAnsi="Times New Roman" w:cs="Times New Roman"/>
          <w:sz w:val="24"/>
          <w:szCs w:val="24"/>
        </w:rPr>
        <w:t xml:space="preserve">specifications yet lead to hazardous outcomes in real-world operation, a phenomenon that is </w:t>
      </w:r>
      <w:r w:rsidRPr="00471DCE">
        <w:rPr>
          <w:rFonts w:ascii="Times New Roman" w:hAnsi="Times New Roman" w:cs="Times New Roman"/>
          <w:sz w:val="24"/>
          <w:szCs w:val="24"/>
        </w:rPr>
        <w:t xml:space="preserve">conceptually grounded in research on emergent action chains in agentic architectures (Ghosh et al., 2025). This exposes a structural gap between detection-oriented architectures and the need for proactive containment of autonomous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w:t>
      </w:r>
    </w:p>
    <w:p w14:paraId="02FCB3BE"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Moreover, existing OT security architectures largely treat intelligence as an external analytical layer rather than an embedded control actor. </w:t>
      </w:r>
      <w:proofErr w:type="spellStart"/>
      <w:r w:rsidRPr="00471DCE">
        <w:rPr>
          <w:rFonts w:ascii="Times New Roman" w:hAnsi="Times New Roman" w:cs="Times New Roman"/>
          <w:sz w:val="24"/>
          <w:szCs w:val="24"/>
        </w:rPr>
        <w:t>Kravchik</w:t>
      </w:r>
      <w:proofErr w:type="spellEnd"/>
      <w:r w:rsidRPr="00471DCE">
        <w:rPr>
          <w:rFonts w:ascii="Times New Roman" w:hAnsi="Times New Roman" w:cs="Times New Roman"/>
          <w:sz w:val="24"/>
          <w:szCs w:val="24"/>
        </w:rPr>
        <w:t xml:space="preserve"> et al. (2022) examine the vulnerabilities of online anomaly detection systems in industrial control systems, highlighting that these detection-driven architectures focus on identifying deviations and issuing alerts while leaving the interpretation of those alerts and subsequent response actions to human operators rather than enforcing automated corrective actions. However, as autonomy increases, this assumption weakens, particularly when AI systems are allowed to initiate or influence control actions directly. This suggests that prevailing OT security architectures are ill-equipped to govern autonomous agents whose operational impact extends beyond network boundaries into tightly coupled physical processes.</w:t>
      </w:r>
    </w:p>
    <w:p w14:paraId="02FCB3BF"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6" w:name="_heading=h.9p5wyjq6wd62" w:colFirst="0" w:colLast="0"/>
      <w:bookmarkEnd w:id="6"/>
      <w:r w:rsidRPr="00471DCE">
        <w:rPr>
          <w:rFonts w:ascii="Times New Roman" w:hAnsi="Times New Roman" w:cs="Times New Roman"/>
          <w:b/>
          <w:bCs/>
          <w:color w:val="000000"/>
          <w:sz w:val="24"/>
          <w:szCs w:val="24"/>
        </w:rPr>
        <w:t>Artificial Intelligence Governance and Risk Management Frameworks in OT and ICS Contexts</w:t>
      </w:r>
    </w:p>
    <w:p w14:paraId="02FCB3C0"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Recent years have </w:t>
      </w:r>
      <w:r w:rsidR="007F6FCE">
        <w:rPr>
          <w:rFonts w:ascii="Times New Roman" w:hAnsi="Times New Roman" w:cs="Times New Roman"/>
          <w:sz w:val="24"/>
          <w:szCs w:val="24"/>
        </w:rPr>
        <w:t>seen the emergence of formal frameworks for artificial intelligence governance and risk management to address</w:t>
      </w:r>
      <w:r w:rsidRPr="00471DCE">
        <w:rPr>
          <w:rFonts w:ascii="Times New Roman" w:hAnsi="Times New Roman" w:cs="Times New Roman"/>
          <w:sz w:val="24"/>
          <w:szCs w:val="24"/>
        </w:rPr>
        <w:t xml:space="preserve"> ethical, legal, and operational risks associated with advanced AI systems. According to Raji et al. (2022), contemporary AI governance frameworks </w:t>
      </w:r>
      <w:proofErr w:type="spellStart"/>
      <w:r w:rsidRPr="00471DCE">
        <w:rPr>
          <w:rFonts w:ascii="Times New Roman" w:hAnsi="Times New Roman" w:cs="Times New Roman"/>
          <w:sz w:val="24"/>
          <w:szCs w:val="24"/>
        </w:rPr>
        <w:t>prioritise</w:t>
      </w:r>
      <w:proofErr w:type="spellEnd"/>
      <w:r w:rsidRPr="00471DCE">
        <w:rPr>
          <w:rFonts w:ascii="Times New Roman" w:hAnsi="Times New Roman" w:cs="Times New Roman"/>
          <w:sz w:val="24"/>
          <w:szCs w:val="24"/>
        </w:rPr>
        <w:t xml:space="preserve"> accountability and oversight mechanisms </w:t>
      </w:r>
      <w:r w:rsidR="007F6FCE">
        <w:rPr>
          <w:rFonts w:ascii="Times New Roman" w:hAnsi="Times New Roman" w:cs="Times New Roman"/>
          <w:sz w:val="24"/>
          <w:szCs w:val="24"/>
        </w:rPr>
        <w:t>to address ethical, legal, and operational risks across the AI lifecycle, particularly through institutional auditing and external review structures to ensure</w:t>
      </w:r>
      <w:r w:rsidRPr="00471DCE">
        <w:rPr>
          <w:rFonts w:ascii="Times New Roman" w:hAnsi="Times New Roman" w:cs="Times New Roman"/>
          <w:sz w:val="24"/>
          <w:szCs w:val="24"/>
        </w:rPr>
        <w:t xml:space="preserve"> responsible system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In agreement, Fjeld et al. (2020) </w:t>
      </w:r>
      <w:r w:rsidR="007F6FCE">
        <w:rPr>
          <w:rFonts w:ascii="Times New Roman" w:hAnsi="Times New Roman" w:cs="Times New Roman"/>
          <w:sz w:val="24"/>
          <w:szCs w:val="24"/>
        </w:rPr>
        <w:t>highlight</w:t>
      </w:r>
      <w:r w:rsidRPr="00471DCE">
        <w:rPr>
          <w:rFonts w:ascii="Times New Roman" w:hAnsi="Times New Roman" w:cs="Times New Roman"/>
          <w:sz w:val="24"/>
          <w:szCs w:val="24"/>
        </w:rPr>
        <w:t xml:space="preserve"> </w:t>
      </w:r>
      <w:r w:rsidR="007F6FCE">
        <w:rPr>
          <w:rFonts w:ascii="Times New Roman" w:hAnsi="Times New Roman" w:cs="Times New Roman"/>
          <w:sz w:val="24"/>
          <w:szCs w:val="24"/>
        </w:rPr>
        <w:t>consensus on accountability, transparency, safety, and human control as core principles of responsible AI governance, emphasizing the need to address unintended consequences throughout</w:t>
      </w:r>
      <w:r w:rsidRPr="00471DCE">
        <w:rPr>
          <w:rFonts w:ascii="Times New Roman" w:hAnsi="Times New Roman" w:cs="Times New Roman"/>
          <w:sz w:val="24"/>
          <w:szCs w:val="24"/>
        </w:rPr>
        <w:t xml:space="preserve"> the AI </w:t>
      </w:r>
      <w:r w:rsidRPr="00471DCE">
        <w:rPr>
          <w:rFonts w:ascii="Times New Roman" w:hAnsi="Times New Roman" w:cs="Times New Roman"/>
          <w:sz w:val="24"/>
          <w:szCs w:val="24"/>
        </w:rPr>
        <w:lastRenderedPageBreak/>
        <w:t xml:space="preserve">lifecycle.  Batool et al. (2025) further </w:t>
      </w:r>
      <w:r w:rsidR="007F6FCE">
        <w:rPr>
          <w:rFonts w:ascii="Times New Roman" w:hAnsi="Times New Roman" w:cs="Times New Roman"/>
          <w:sz w:val="24"/>
          <w:szCs w:val="24"/>
        </w:rPr>
        <w:t>assert</w:t>
      </w:r>
      <w:r w:rsidRPr="00471DCE">
        <w:rPr>
          <w:rFonts w:ascii="Times New Roman" w:hAnsi="Times New Roman" w:cs="Times New Roman"/>
          <w:sz w:val="24"/>
          <w:szCs w:val="24"/>
        </w:rPr>
        <w:t xml:space="preserve"> that governance frameworks play a critical role in mitigating risks related to autonomous AI deployment, including safety, privacy, security, and accountability concerns. However, despite their conceptual robustness, most AI governance models are </w:t>
      </w:r>
      <w:r w:rsidR="007F6FCE">
        <w:rPr>
          <w:rFonts w:ascii="Times New Roman" w:hAnsi="Times New Roman" w:cs="Times New Roman"/>
          <w:sz w:val="24"/>
          <w:szCs w:val="24"/>
        </w:rPr>
        <w:t xml:space="preserve">designed for enterprise or consumer-facing applications, rather than for </w:t>
      </w:r>
      <w:r w:rsidRPr="00471DCE">
        <w:rPr>
          <w:rFonts w:ascii="Times New Roman" w:hAnsi="Times New Roman" w:cs="Times New Roman"/>
          <w:sz w:val="24"/>
          <w:szCs w:val="24"/>
        </w:rPr>
        <w:t>cyber-physical systems where AI decisions can directly affect physical processes.</w:t>
      </w:r>
    </w:p>
    <w:p w14:paraId="02FCB3C1"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A critical limitation of existing AI governance approaches lies in their abstraction from operational execution layers. AI risk frameworks typically </w:t>
      </w:r>
      <w:proofErr w:type="spellStart"/>
      <w:r w:rsidRPr="00471DCE">
        <w:rPr>
          <w:rFonts w:ascii="Times New Roman" w:hAnsi="Times New Roman" w:cs="Times New Roman"/>
          <w:sz w:val="24"/>
          <w:szCs w:val="24"/>
        </w:rPr>
        <w:t>emphasise</w:t>
      </w:r>
      <w:proofErr w:type="spellEnd"/>
      <w:r w:rsidRPr="00471DCE">
        <w:rPr>
          <w:rFonts w:ascii="Times New Roman" w:hAnsi="Times New Roman" w:cs="Times New Roman"/>
          <w:sz w:val="24"/>
          <w:szCs w:val="24"/>
        </w:rPr>
        <w:t xml:space="preserve"> </w:t>
      </w:r>
      <w:proofErr w:type="spellStart"/>
      <w:r w:rsidRPr="00471DCE">
        <w:rPr>
          <w:rFonts w:ascii="Times New Roman" w:hAnsi="Times New Roman" w:cs="Times New Roman"/>
          <w:sz w:val="24"/>
          <w:szCs w:val="24"/>
        </w:rPr>
        <w:t>organisational</w:t>
      </w:r>
      <w:proofErr w:type="spellEnd"/>
      <w:r w:rsidRPr="00471DCE">
        <w:rPr>
          <w:rFonts w:ascii="Times New Roman" w:hAnsi="Times New Roman" w:cs="Times New Roman"/>
          <w:sz w:val="24"/>
          <w:szCs w:val="24"/>
        </w:rPr>
        <w:t xml:space="preserve"> controls, documentation, and oversight mechanisms without prescribing enforceable architectural constraints (Batool et al., 2025; Finch et al., 2025). In contrast to many IT environments</w:t>
      </w:r>
      <w:r w:rsidR="007F6FCE">
        <w:rPr>
          <w:rFonts w:ascii="Times New Roman" w:hAnsi="Times New Roman" w:cs="Times New Roman"/>
          <w:sz w:val="24"/>
          <w:szCs w:val="24"/>
        </w:rPr>
        <w:t>, where retrospective governance and post hoc compliance reviews may suffice, OT and ICS environments require real-time enforcement of decisions</w:t>
      </w:r>
      <w:r w:rsidRPr="00471DCE">
        <w:rPr>
          <w:rFonts w:ascii="Times New Roman" w:hAnsi="Times New Roman" w:cs="Times New Roman"/>
          <w:sz w:val="24"/>
          <w:szCs w:val="24"/>
        </w:rPr>
        <w:t xml:space="preserve"> and deterministic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in control loops, leaving limited tolerance for post hoc governance interventions that occur after actions have already affected physical processes (Sain, Adhikary &amp; Dey, 2026). This suggests that governance mechanisms effective in IT systems may fail to constrain AI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once deployed within industrial control loops.</w:t>
      </w:r>
    </w:p>
    <w:p w14:paraId="02FCB3C2"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Recent studies examining AI governance in safety-critical domains further reinforce this concern. According to Miller (2023), traditional governance and decision support paradigms assume human oversight and interpretation of AI recommendations, reflecting underlying governance assumptions about AI’s advisory role in decision contexts. In contrast, agentic AI systems embedded </w:t>
      </w:r>
      <w:r w:rsidR="007F6FCE">
        <w:rPr>
          <w:rFonts w:ascii="Times New Roman" w:hAnsi="Times New Roman" w:cs="Times New Roman"/>
          <w:sz w:val="24"/>
          <w:szCs w:val="24"/>
        </w:rPr>
        <w:t>in cyber-physical environments may independently initiate actions, adapt strategies, and exploit interdependencies among systems</w:t>
      </w:r>
      <w:r w:rsidRPr="00471DCE">
        <w:rPr>
          <w:rFonts w:ascii="Times New Roman" w:hAnsi="Times New Roman" w:cs="Times New Roman"/>
          <w:sz w:val="24"/>
          <w:szCs w:val="24"/>
        </w:rPr>
        <w:t xml:space="preserve">. Despite this evidence, most governance models lack mechanisms to limit </w:t>
      </w:r>
      <w:r w:rsidR="007F6FCE">
        <w:rPr>
          <w:rFonts w:ascii="Times New Roman" w:hAnsi="Times New Roman" w:cs="Times New Roman"/>
          <w:sz w:val="24"/>
          <w:szCs w:val="24"/>
        </w:rPr>
        <w:t xml:space="preserve">the scope of action, escalation pathways, or the </w:t>
      </w:r>
      <w:r w:rsidRPr="00471DCE">
        <w:rPr>
          <w:rFonts w:ascii="Times New Roman" w:hAnsi="Times New Roman" w:cs="Times New Roman"/>
          <w:sz w:val="24"/>
          <w:szCs w:val="24"/>
        </w:rPr>
        <w:t>cumulative impact of autonomous decisions. This gap becomes particularly pronounced in OT contexts where governance violations may manifest as physical disruption rather than policy non-compliance.</w:t>
      </w:r>
    </w:p>
    <w:p w14:paraId="02FCB3C3"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Moreover, attempts to </w:t>
      </w:r>
      <w:proofErr w:type="spellStart"/>
      <w:r w:rsidRPr="00471DCE">
        <w:rPr>
          <w:rFonts w:ascii="Times New Roman" w:hAnsi="Times New Roman" w:cs="Times New Roman"/>
          <w:sz w:val="24"/>
          <w:szCs w:val="24"/>
        </w:rPr>
        <w:t>operationalise</w:t>
      </w:r>
      <w:proofErr w:type="spellEnd"/>
      <w:r w:rsidRPr="00471DCE">
        <w:rPr>
          <w:rFonts w:ascii="Times New Roman" w:hAnsi="Times New Roman" w:cs="Times New Roman"/>
          <w:sz w:val="24"/>
          <w:szCs w:val="24"/>
        </w:rPr>
        <w:t xml:space="preserve"> AI governance in industrial settings reveal significant misalignment between governance intent and technical feasibility (</w:t>
      </w:r>
      <w:proofErr w:type="spellStart"/>
      <w:r w:rsidRPr="00471DCE">
        <w:rPr>
          <w:rFonts w:ascii="Times New Roman" w:hAnsi="Times New Roman" w:cs="Times New Roman"/>
          <w:sz w:val="24"/>
          <w:szCs w:val="24"/>
        </w:rPr>
        <w:t>Obrik-Uloho</w:t>
      </w:r>
      <w:proofErr w:type="spellEnd"/>
      <w:r w:rsidRPr="00471DCE">
        <w:rPr>
          <w:rFonts w:ascii="Times New Roman" w:hAnsi="Times New Roman" w:cs="Times New Roman"/>
          <w:sz w:val="24"/>
          <w:szCs w:val="24"/>
        </w:rPr>
        <w:t xml:space="preserve"> et al., 2026; </w:t>
      </w:r>
      <w:proofErr w:type="spellStart"/>
      <w:r w:rsidRPr="00471DCE">
        <w:rPr>
          <w:rFonts w:ascii="Times New Roman" w:hAnsi="Times New Roman" w:cs="Times New Roman"/>
          <w:sz w:val="24"/>
          <w:szCs w:val="24"/>
        </w:rPr>
        <w:t>Ogunmolu</w:t>
      </w:r>
      <w:proofErr w:type="spellEnd"/>
      <w:r w:rsidRPr="00471DCE">
        <w:rPr>
          <w:rFonts w:ascii="Times New Roman" w:hAnsi="Times New Roman" w:cs="Times New Roman"/>
          <w:sz w:val="24"/>
          <w:szCs w:val="24"/>
        </w:rPr>
        <w:t xml:space="preserve"> et al., 2026). For example, although explainability and auditability are common requirements in AI policies and standards, scholars note that the practical implementation of these requirements remains challenging due to contextual and </w:t>
      </w:r>
      <w:proofErr w:type="spellStart"/>
      <w:r w:rsidRPr="00471DCE">
        <w:rPr>
          <w:rFonts w:ascii="Times New Roman" w:hAnsi="Times New Roman" w:cs="Times New Roman"/>
          <w:sz w:val="24"/>
          <w:szCs w:val="24"/>
        </w:rPr>
        <w:t>organisational</w:t>
      </w:r>
      <w:proofErr w:type="spellEnd"/>
      <w:r w:rsidRPr="00471DCE">
        <w:rPr>
          <w:rFonts w:ascii="Times New Roman" w:hAnsi="Times New Roman" w:cs="Times New Roman"/>
          <w:sz w:val="24"/>
          <w:szCs w:val="24"/>
        </w:rPr>
        <w:t xml:space="preserve"> differences, the lack of consensus on explainability definitions, and the difficulty of integrating explainable mechanisms into real-time, legacy, or high-stakes systems (Nannini et al., 2023; Saeed &amp; Omlin, 2023). In contrast, industrial security research </w:t>
      </w:r>
      <w:proofErr w:type="spellStart"/>
      <w:r w:rsidRPr="00471DCE">
        <w:rPr>
          <w:rFonts w:ascii="Times New Roman" w:hAnsi="Times New Roman" w:cs="Times New Roman"/>
          <w:sz w:val="24"/>
          <w:szCs w:val="24"/>
        </w:rPr>
        <w:t>emphasises</w:t>
      </w:r>
      <w:proofErr w:type="spellEnd"/>
      <w:r w:rsidRPr="00471DCE">
        <w:rPr>
          <w:rFonts w:ascii="Times New Roman" w:hAnsi="Times New Roman" w:cs="Times New Roman"/>
          <w:sz w:val="24"/>
          <w:szCs w:val="24"/>
        </w:rPr>
        <w:t xml:space="preserve"> architectural enforcement over interpretability, </w:t>
      </w:r>
      <w:proofErr w:type="spellStart"/>
      <w:r w:rsidRPr="00471DCE">
        <w:rPr>
          <w:rFonts w:ascii="Times New Roman" w:hAnsi="Times New Roman" w:cs="Times New Roman"/>
          <w:sz w:val="24"/>
          <w:szCs w:val="24"/>
        </w:rPr>
        <w:t>prioritising</w:t>
      </w:r>
      <w:proofErr w:type="spellEnd"/>
      <w:r w:rsidRPr="00471DCE">
        <w:rPr>
          <w:rFonts w:ascii="Times New Roman" w:hAnsi="Times New Roman" w:cs="Times New Roman"/>
          <w:sz w:val="24"/>
          <w:szCs w:val="24"/>
        </w:rPr>
        <w:t xml:space="preserve"> bounded execution and fail-safe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w:t>
      </w:r>
      <w:proofErr w:type="spellStart"/>
      <w:r w:rsidRPr="00471DCE">
        <w:rPr>
          <w:rFonts w:ascii="Times New Roman" w:hAnsi="Times New Roman" w:cs="Times New Roman"/>
          <w:sz w:val="24"/>
          <w:szCs w:val="24"/>
        </w:rPr>
        <w:t>Furrer</w:t>
      </w:r>
      <w:proofErr w:type="spellEnd"/>
      <w:r w:rsidRPr="00471DCE">
        <w:rPr>
          <w:rFonts w:ascii="Times New Roman" w:hAnsi="Times New Roman" w:cs="Times New Roman"/>
          <w:sz w:val="24"/>
          <w:szCs w:val="24"/>
        </w:rPr>
        <w:t>, 2023; Adebiyi et al., 2026). This divergence suggests that AI governance frameworks must be translated into enforceable architectural constructs to be effective in OT environments.</w:t>
      </w:r>
    </w:p>
    <w:p w14:paraId="02FCB3C4" w14:textId="77777777" w:rsidR="00B87A6F" w:rsidRPr="00471DCE" w:rsidRDefault="00471DCE" w:rsidP="00471DCE">
      <w:pPr>
        <w:spacing w:before="240" w:after="240"/>
        <w:rPr>
          <w:rFonts w:ascii="Times New Roman" w:hAnsi="Times New Roman" w:cs="Times New Roman"/>
          <w:b/>
          <w:bCs/>
          <w:sz w:val="24"/>
          <w:szCs w:val="24"/>
        </w:rPr>
      </w:pPr>
      <w:r w:rsidRPr="00471DCE">
        <w:rPr>
          <w:rFonts w:ascii="Times New Roman" w:hAnsi="Times New Roman" w:cs="Times New Roman"/>
          <w:sz w:val="24"/>
          <w:szCs w:val="24"/>
        </w:rPr>
        <w:lastRenderedPageBreak/>
        <w:t xml:space="preserve">Recent interdisciplinary research further highlights that risk management frameworks alone are insufficient for governing autonomous AI in cyber-physical systems. Recent interdisciplinary research highlights that risk management and </w:t>
      </w:r>
      <w:proofErr w:type="spellStart"/>
      <w:r w:rsidRPr="00471DCE">
        <w:rPr>
          <w:rFonts w:ascii="Times New Roman" w:hAnsi="Times New Roman" w:cs="Times New Roman"/>
          <w:sz w:val="24"/>
          <w:szCs w:val="24"/>
        </w:rPr>
        <w:t>organisational</w:t>
      </w:r>
      <w:proofErr w:type="spellEnd"/>
      <w:r w:rsidRPr="00471DCE">
        <w:rPr>
          <w:rFonts w:ascii="Times New Roman" w:hAnsi="Times New Roman" w:cs="Times New Roman"/>
          <w:sz w:val="24"/>
          <w:szCs w:val="24"/>
        </w:rPr>
        <w:t xml:space="preserve"> governance frameworks alone are insufficient for governing autonomous artificial intelligence in cyber-physical systems, as effective oversight requires embedding constraints and continuous audit mechanisms directly into system architectures rather than relying primarily on external compliance and documentation processes (Truby, 2025; Olaniyi et al., 2026) Nevertheless, current AI governance literature stops short of articulating how such constraints should be implemented within industrial control architectures. This unresolved tension between governance abstraction and operational enforcement underscores the need for architectural approaches that align AI governance principles with the structural realities of OT and ICS environments.</w:t>
      </w:r>
    </w:p>
    <w:p w14:paraId="02FCB3C5" w14:textId="77777777" w:rsidR="00B87A6F" w:rsidRPr="00471DCE" w:rsidRDefault="00471DCE" w:rsidP="00471DCE">
      <w:pPr>
        <w:pStyle w:val="Heading2"/>
        <w:keepNext w:val="0"/>
        <w:keepLines w:val="0"/>
        <w:spacing w:after="240"/>
        <w:rPr>
          <w:rFonts w:ascii="Times New Roman" w:hAnsi="Times New Roman" w:cs="Times New Roman"/>
          <w:b/>
          <w:bCs/>
          <w:sz w:val="24"/>
          <w:szCs w:val="24"/>
        </w:rPr>
      </w:pPr>
      <w:bookmarkStart w:id="7" w:name="_heading=h.63ul9lrwndji" w:colFirst="0" w:colLast="0"/>
      <w:bookmarkEnd w:id="7"/>
      <w:r w:rsidRPr="00471DCE">
        <w:rPr>
          <w:rFonts w:ascii="Times New Roman" w:hAnsi="Times New Roman" w:cs="Times New Roman"/>
          <w:b/>
          <w:bCs/>
          <w:sz w:val="24"/>
          <w:szCs w:val="24"/>
        </w:rPr>
        <w:t>Secure-by-Containment Architectural Framework for Agentic AI in OT/ICS Environments</w:t>
      </w:r>
    </w:p>
    <w:p w14:paraId="02FCB3C6"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8" w:name="_heading=h.jujhh83f7254" w:colFirst="0" w:colLast="0"/>
      <w:bookmarkEnd w:id="8"/>
      <w:r w:rsidRPr="00471DCE">
        <w:rPr>
          <w:rFonts w:ascii="Times New Roman" w:hAnsi="Times New Roman" w:cs="Times New Roman"/>
          <w:b/>
          <w:bCs/>
          <w:color w:val="000000"/>
          <w:sz w:val="24"/>
          <w:szCs w:val="24"/>
        </w:rPr>
        <w:t>Framework Specification and Assumptions</w:t>
      </w:r>
    </w:p>
    <w:p w14:paraId="02FCB3C7"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The proposed framework is grounded in the principle that agentic artificial intelligence must be treated as a potentially hazardous operational actor rather than a trusted system component. Unlike conventional automation or analytical AI, agentic AI exhibits goal persistence, autonomous planning, and adaptive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which fundamentally </w:t>
      </w:r>
      <w:r w:rsidR="007F6FCE">
        <w:rPr>
          <w:rFonts w:ascii="Times New Roman" w:hAnsi="Times New Roman" w:cs="Times New Roman"/>
          <w:sz w:val="24"/>
          <w:szCs w:val="24"/>
        </w:rPr>
        <w:t>challenge</w:t>
      </w:r>
      <w:r w:rsidRPr="00471DCE">
        <w:rPr>
          <w:rFonts w:ascii="Times New Roman" w:hAnsi="Times New Roman" w:cs="Times New Roman"/>
          <w:sz w:val="24"/>
          <w:szCs w:val="24"/>
        </w:rPr>
        <w:t xml:space="preserve"> the assumptions underlying traditional OT security architectures.</w:t>
      </w:r>
    </w:p>
    <w:p w14:paraId="02FCB3C8"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Accordingly, the framework adopts containment as a first-class architectural property, rather than as an auxiliary control layered on top of existing systems. Containment, in this context, refers to the deliberate restriction of an AI agent’s authority, operational scope, and propagation potential, independent of its internal correctness or intent.</w:t>
      </w:r>
    </w:p>
    <w:p w14:paraId="02FCB3C9"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Hence, the framework assumes that OT/ICS environments:</w:t>
      </w:r>
    </w:p>
    <w:p w14:paraId="02FCB3CA" w14:textId="77777777" w:rsidR="000201F3" w:rsidRDefault="000201F3" w:rsidP="000201F3">
      <w:pPr>
        <w:pStyle w:val="ListParagraph"/>
        <w:numPr>
          <w:ilvl w:val="0"/>
          <w:numId w:val="9"/>
        </w:numPr>
        <w:spacing w:after="240"/>
        <w:ind w:left="900"/>
        <w:rPr>
          <w:rFonts w:ascii="Times New Roman" w:hAnsi="Times New Roman" w:cs="Times New Roman"/>
          <w:sz w:val="24"/>
          <w:szCs w:val="24"/>
        </w:rPr>
      </w:pPr>
      <w:r>
        <w:rPr>
          <w:rFonts w:ascii="Times New Roman" w:hAnsi="Times New Roman" w:cs="Times New Roman"/>
          <w:sz w:val="24"/>
          <w:szCs w:val="24"/>
        </w:rPr>
        <w:t>Require det</w:t>
      </w:r>
      <w:r w:rsidR="00DC366A">
        <w:rPr>
          <w:rFonts w:ascii="Times New Roman" w:hAnsi="Times New Roman" w:cs="Times New Roman"/>
          <w:sz w:val="24"/>
          <w:szCs w:val="24"/>
        </w:rPr>
        <w:t>erministic and bounded behavior</w:t>
      </w:r>
    </w:p>
    <w:p w14:paraId="02FCB3CB" w14:textId="77777777" w:rsidR="000201F3" w:rsidRDefault="000201F3" w:rsidP="000201F3">
      <w:pPr>
        <w:pStyle w:val="ListParagraph"/>
        <w:numPr>
          <w:ilvl w:val="0"/>
          <w:numId w:val="9"/>
        </w:numPr>
        <w:spacing w:after="240"/>
        <w:ind w:left="900"/>
        <w:rPr>
          <w:rFonts w:ascii="Times New Roman" w:hAnsi="Times New Roman" w:cs="Times New Roman"/>
          <w:sz w:val="24"/>
          <w:szCs w:val="24"/>
        </w:rPr>
      </w:pPr>
      <w:r>
        <w:rPr>
          <w:rFonts w:ascii="Times New Roman" w:hAnsi="Times New Roman" w:cs="Times New Roman"/>
          <w:sz w:val="24"/>
          <w:szCs w:val="24"/>
        </w:rPr>
        <w:t>Cannot tolerate uncontrolled learning or action escalation</w:t>
      </w:r>
    </w:p>
    <w:p w14:paraId="02FCB3CC" w14:textId="77777777" w:rsidR="00B87A6F" w:rsidRPr="000201F3" w:rsidRDefault="000201F3" w:rsidP="000201F3">
      <w:pPr>
        <w:pStyle w:val="ListParagraph"/>
        <w:numPr>
          <w:ilvl w:val="0"/>
          <w:numId w:val="9"/>
        </w:numPr>
        <w:spacing w:after="240"/>
        <w:ind w:left="900"/>
        <w:rPr>
          <w:rFonts w:ascii="Times New Roman" w:hAnsi="Times New Roman" w:cs="Times New Roman"/>
          <w:sz w:val="24"/>
          <w:szCs w:val="24"/>
        </w:rPr>
      </w:pPr>
      <w:r>
        <w:rPr>
          <w:rFonts w:ascii="Times New Roman" w:hAnsi="Times New Roman" w:cs="Times New Roman"/>
          <w:sz w:val="24"/>
          <w:szCs w:val="24"/>
        </w:rPr>
        <w:t xml:space="preserve">Must remain resilient even if AI components behave unexpectedly or </w:t>
      </w:r>
      <w:proofErr w:type="spellStart"/>
      <w:r>
        <w:rPr>
          <w:rFonts w:ascii="Times New Roman" w:hAnsi="Times New Roman" w:cs="Times New Roman"/>
          <w:sz w:val="24"/>
          <w:szCs w:val="24"/>
        </w:rPr>
        <w:t>adversarially</w:t>
      </w:r>
      <w:proofErr w:type="spellEnd"/>
    </w:p>
    <w:p w14:paraId="02FCB3CD"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9" w:name="_heading=h.3upwa5f0rbe3" w:colFirst="0" w:colLast="0"/>
      <w:bookmarkEnd w:id="9"/>
      <w:r w:rsidRPr="00471DCE">
        <w:rPr>
          <w:rFonts w:ascii="Times New Roman" w:hAnsi="Times New Roman" w:cs="Times New Roman"/>
          <w:b/>
          <w:bCs/>
          <w:color w:val="000000"/>
          <w:sz w:val="24"/>
          <w:szCs w:val="24"/>
        </w:rPr>
        <w:t>Architectural Overview and Trust Boundaries</w:t>
      </w:r>
    </w:p>
    <w:p w14:paraId="02FCB3CE"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The architecture is structured around explicit trust boundaries that separate agentic AI from safety-critical control assets. These boundaries are enforced through logical containment layers, not merely network segmentation.</w:t>
      </w:r>
    </w:p>
    <w:p w14:paraId="02FCB3CF"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At a high level, the framework consists of five interacting zones:</w:t>
      </w:r>
    </w:p>
    <w:p w14:paraId="02FCB3D0" w14:textId="77777777" w:rsidR="00DC366A" w:rsidRPr="00DC366A" w:rsidRDefault="00471DCE" w:rsidP="00DC366A">
      <w:pPr>
        <w:pStyle w:val="ListParagraph"/>
        <w:numPr>
          <w:ilvl w:val="0"/>
          <w:numId w:val="12"/>
        </w:numPr>
        <w:spacing w:before="240" w:after="240"/>
        <w:rPr>
          <w:rFonts w:ascii="Times New Roman" w:hAnsi="Times New Roman" w:cs="Times New Roman"/>
          <w:sz w:val="24"/>
          <w:szCs w:val="24"/>
        </w:rPr>
      </w:pPr>
      <w:r w:rsidRPr="00DC366A">
        <w:rPr>
          <w:rFonts w:ascii="Times New Roman" w:hAnsi="Times New Roman" w:cs="Times New Roman"/>
          <w:b/>
          <w:bCs/>
          <w:sz w:val="24"/>
          <w:szCs w:val="24"/>
        </w:rPr>
        <w:lastRenderedPageBreak/>
        <w:t xml:space="preserve">Agentic AI Zone: </w:t>
      </w:r>
      <w:r w:rsidRPr="00DC366A">
        <w:rPr>
          <w:rFonts w:ascii="Times New Roman" w:hAnsi="Times New Roman" w:cs="Times New Roman"/>
          <w:sz w:val="24"/>
          <w:szCs w:val="24"/>
        </w:rPr>
        <w:t>Hosts planning, reasoning, and decision-generation capabilities. This zone is explicitly t</w:t>
      </w:r>
      <w:r w:rsidR="00DC366A" w:rsidRPr="00DC366A">
        <w:rPr>
          <w:rFonts w:ascii="Times New Roman" w:hAnsi="Times New Roman" w:cs="Times New Roman"/>
          <w:sz w:val="24"/>
          <w:szCs w:val="24"/>
        </w:rPr>
        <w:t>reated as untrusted by default.</w:t>
      </w:r>
    </w:p>
    <w:p w14:paraId="02FCB3D1" w14:textId="77777777" w:rsidR="00B87A6F" w:rsidRPr="00DC366A" w:rsidRDefault="00471DCE" w:rsidP="00DC366A">
      <w:pPr>
        <w:pStyle w:val="ListParagraph"/>
        <w:numPr>
          <w:ilvl w:val="0"/>
          <w:numId w:val="12"/>
        </w:numPr>
        <w:spacing w:before="240" w:after="240"/>
        <w:rPr>
          <w:rFonts w:ascii="Times New Roman" w:hAnsi="Times New Roman" w:cs="Times New Roman"/>
          <w:sz w:val="24"/>
          <w:szCs w:val="24"/>
        </w:rPr>
      </w:pPr>
      <w:r w:rsidRPr="00DC366A">
        <w:rPr>
          <w:rFonts w:ascii="Times New Roman" w:hAnsi="Times New Roman" w:cs="Times New Roman"/>
          <w:b/>
          <w:bCs/>
          <w:sz w:val="24"/>
          <w:szCs w:val="24"/>
        </w:rPr>
        <w:t>Containment and Mediation Layer</w:t>
      </w:r>
      <w:r w:rsidRPr="00DC366A">
        <w:rPr>
          <w:rFonts w:ascii="Times New Roman" w:hAnsi="Times New Roman" w:cs="Times New Roman"/>
          <w:sz w:val="24"/>
          <w:szCs w:val="24"/>
        </w:rPr>
        <w:t>: Acts as the enforcement core of the architecture. All AI-generated actions must pass through this layer</w:t>
      </w:r>
      <w:r w:rsidR="00DC366A" w:rsidRPr="00DC366A">
        <w:rPr>
          <w:rFonts w:ascii="Times New Roman" w:hAnsi="Times New Roman" w:cs="Times New Roman"/>
          <w:sz w:val="24"/>
          <w:szCs w:val="24"/>
        </w:rPr>
        <w:t xml:space="preserve"> before affecting any OT asset.</w:t>
      </w:r>
    </w:p>
    <w:p w14:paraId="02FCB3D2" w14:textId="77777777" w:rsidR="00B87A6F" w:rsidRPr="00DC366A" w:rsidRDefault="00471DCE" w:rsidP="00DC366A">
      <w:pPr>
        <w:pStyle w:val="ListParagraph"/>
        <w:numPr>
          <w:ilvl w:val="0"/>
          <w:numId w:val="12"/>
        </w:numPr>
        <w:spacing w:after="240"/>
        <w:rPr>
          <w:rFonts w:ascii="Times New Roman" w:hAnsi="Times New Roman" w:cs="Times New Roman"/>
          <w:sz w:val="24"/>
          <w:szCs w:val="24"/>
        </w:rPr>
      </w:pPr>
      <w:r w:rsidRPr="00DC366A">
        <w:rPr>
          <w:rFonts w:ascii="Times New Roman" w:hAnsi="Times New Roman" w:cs="Times New Roman"/>
          <w:b/>
          <w:bCs/>
          <w:sz w:val="24"/>
          <w:szCs w:val="24"/>
        </w:rPr>
        <w:t>Policy and Constraint Engine</w:t>
      </w:r>
      <w:r w:rsidRPr="00DC366A">
        <w:rPr>
          <w:rFonts w:ascii="Times New Roman" w:hAnsi="Times New Roman" w:cs="Times New Roman"/>
          <w:sz w:val="24"/>
          <w:szCs w:val="24"/>
        </w:rPr>
        <w:t>: Encodes operational, security, and architectural constraints derived from OT/ICS standards such as IS</w:t>
      </w:r>
      <w:r w:rsidR="00DC366A" w:rsidRPr="00DC366A">
        <w:rPr>
          <w:rFonts w:ascii="Times New Roman" w:hAnsi="Times New Roman" w:cs="Times New Roman"/>
          <w:sz w:val="24"/>
          <w:szCs w:val="24"/>
        </w:rPr>
        <w:t>A/IEC 62443 and NIST SP 800‑82.</w:t>
      </w:r>
    </w:p>
    <w:p w14:paraId="02FCB3D3" w14:textId="77777777" w:rsidR="00B87A6F" w:rsidRPr="00DC366A" w:rsidRDefault="00471DCE" w:rsidP="00DC366A">
      <w:pPr>
        <w:pStyle w:val="ListParagraph"/>
        <w:numPr>
          <w:ilvl w:val="0"/>
          <w:numId w:val="12"/>
        </w:numPr>
        <w:spacing w:after="240"/>
        <w:rPr>
          <w:rFonts w:ascii="Times New Roman" w:hAnsi="Times New Roman" w:cs="Times New Roman"/>
          <w:sz w:val="24"/>
          <w:szCs w:val="24"/>
        </w:rPr>
      </w:pPr>
      <w:r w:rsidRPr="00DC366A">
        <w:rPr>
          <w:rFonts w:ascii="Times New Roman" w:hAnsi="Times New Roman" w:cs="Times New Roman"/>
          <w:b/>
          <w:bCs/>
          <w:sz w:val="24"/>
          <w:szCs w:val="24"/>
        </w:rPr>
        <w:t>ICS Control Zone</w:t>
      </w:r>
      <w:r w:rsidRPr="00DC366A">
        <w:rPr>
          <w:rFonts w:ascii="Times New Roman" w:hAnsi="Times New Roman" w:cs="Times New Roman"/>
          <w:sz w:val="24"/>
          <w:szCs w:val="24"/>
        </w:rPr>
        <w:t>: Contains PLCs, RTUs, and control logic. This zone never accepts d</w:t>
      </w:r>
      <w:r w:rsidR="00DC366A" w:rsidRPr="00DC366A">
        <w:rPr>
          <w:rFonts w:ascii="Times New Roman" w:hAnsi="Times New Roman" w:cs="Times New Roman"/>
          <w:sz w:val="24"/>
          <w:szCs w:val="24"/>
        </w:rPr>
        <w:t>irect commands from agentic AI.</w:t>
      </w:r>
    </w:p>
    <w:p w14:paraId="02FCB3D4" w14:textId="77777777" w:rsidR="00B87A6F" w:rsidRPr="00DC366A" w:rsidRDefault="00471DCE" w:rsidP="00DC366A">
      <w:pPr>
        <w:pStyle w:val="ListParagraph"/>
        <w:numPr>
          <w:ilvl w:val="0"/>
          <w:numId w:val="12"/>
        </w:numPr>
        <w:spacing w:after="240"/>
        <w:rPr>
          <w:rFonts w:ascii="Times New Roman" w:hAnsi="Times New Roman" w:cs="Times New Roman"/>
          <w:sz w:val="24"/>
          <w:szCs w:val="24"/>
        </w:rPr>
      </w:pPr>
      <w:r w:rsidRPr="00DC366A">
        <w:rPr>
          <w:rFonts w:ascii="Times New Roman" w:hAnsi="Times New Roman" w:cs="Times New Roman"/>
          <w:b/>
          <w:bCs/>
          <w:sz w:val="24"/>
          <w:szCs w:val="24"/>
        </w:rPr>
        <w:t>Human Oversight and Audit Layer</w:t>
      </w:r>
      <w:r w:rsidRPr="00DC366A">
        <w:rPr>
          <w:rFonts w:ascii="Times New Roman" w:hAnsi="Times New Roman" w:cs="Times New Roman"/>
          <w:sz w:val="24"/>
          <w:szCs w:val="24"/>
        </w:rPr>
        <w:t>: Provides visibility, override capability, and forensic traceability.</w:t>
      </w:r>
    </w:p>
    <w:p w14:paraId="02FCB3D5" w14:textId="77777777" w:rsidR="00B87A6F" w:rsidRPr="00471DCE" w:rsidRDefault="00471DCE" w:rsidP="00471DCE">
      <w:pPr>
        <w:spacing w:before="480" w:after="240"/>
        <w:rPr>
          <w:rFonts w:ascii="Times New Roman" w:hAnsi="Times New Roman" w:cs="Times New Roman"/>
          <w:sz w:val="24"/>
          <w:szCs w:val="24"/>
        </w:rPr>
      </w:pPr>
      <w:r w:rsidRPr="00471DCE">
        <w:rPr>
          <w:rFonts w:ascii="Times New Roman" w:hAnsi="Times New Roman" w:cs="Times New Roman"/>
          <w:sz w:val="24"/>
          <w:szCs w:val="24"/>
        </w:rPr>
        <w:t>This separation ensures that decision authority and execution authority are never co-located.</w:t>
      </w:r>
    </w:p>
    <w:p w14:paraId="02FCB3D6"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10" w:name="_heading=h.hlons0l6w35o" w:colFirst="0" w:colLast="0"/>
      <w:bookmarkEnd w:id="10"/>
      <w:r w:rsidRPr="00471DCE">
        <w:rPr>
          <w:rFonts w:ascii="Times New Roman" w:hAnsi="Times New Roman" w:cs="Times New Roman"/>
          <w:b/>
          <w:bCs/>
          <w:color w:val="000000"/>
          <w:sz w:val="24"/>
          <w:szCs w:val="24"/>
        </w:rPr>
        <w:t>Containment Mechanisms for Agentic AI</w:t>
      </w:r>
    </w:p>
    <w:p w14:paraId="02FCB3D7"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Containment is enforced through four complementary mechanisms, each addressing a distinct risk dimension, to ensure that autonomy is constrained structurally</w:t>
      </w:r>
      <w:r w:rsidR="007F6FCE">
        <w:rPr>
          <w:rFonts w:ascii="Times New Roman" w:hAnsi="Times New Roman" w:cs="Times New Roman"/>
          <w:sz w:val="24"/>
          <w:szCs w:val="24"/>
        </w:rPr>
        <w:t xml:space="preserve"> rather than</w:t>
      </w:r>
      <w:r w:rsidRPr="00471DCE">
        <w:rPr>
          <w:rFonts w:ascii="Times New Roman" w:hAnsi="Times New Roman" w:cs="Times New Roman"/>
          <w:sz w:val="24"/>
          <w:szCs w:val="24"/>
        </w:rPr>
        <w:t xml:space="preserve"> merely monitored.</w:t>
      </w:r>
    </w:p>
    <w:p w14:paraId="02FCB3D8" w14:textId="77777777" w:rsidR="00B87A6F" w:rsidRPr="00DC366A" w:rsidRDefault="00471DCE" w:rsidP="00DC366A">
      <w:pPr>
        <w:pStyle w:val="ListParagraph"/>
        <w:numPr>
          <w:ilvl w:val="0"/>
          <w:numId w:val="13"/>
        </w:numPr>
        <w:spacing w:before="240" w:after="240"/>
        <w:rPr>
          <w:rFonts w:ascii="Times New Roman" w:hAnsi="Times New Roman" w:cs="Times New Roman"/>
          <w:sz w:val="24"/>
          <w:szCs w:val="24"/>
        </w:rPr>
      </w:pPr>
      <w:r w:rsidRPr="00DC366A">
        <w:rPr>
          <w:rFonts w:ascii="Times New Roman" w:hAnsi="Times New Roman" w:cs="Times New Roman"/>
          <w:b/>
          <w:bCs/>
          <w:sz w:val="24"/>
          <w:szCs w:val="24"/>
        </w:rPr>
        <w:t>Action Bounding:</w:t>
      </w:r>
      <w:r w:rsidRPr="00DC366A">
        <w:rPr>
          <w:rFonts w:ascii="Times New Roman" w:hAnsi="Times New Roman" w:cs="Times New Roman"/>
          <w:sz w:val="24"/>
          <w:szCs w:val="24"/>
        </w:rPr>
        <w:t xml:space="preserve"> AI agents are permitted to generate proposed actions, not executable commands. Each proposal is checked against predefined operational envelopes before approval.</w:t>
      </w:r>
    </w:p>
    <w:p w14:paraId="02FCB3D9" w14:textId="77777777" w:rsidR="00B87A6F" w:rsidRPr="00DC366A" w:rsidRDefault="00471DCE" w:rsidP="00DC366A">
      <w:pPr>
        <w:pStyle w:val="ListParagraph"/>
        <w:numPr>
          <w:ilvl w:val="0"/>
          <w:numId w:val="13"/>
        </w:numPr>
        <w:spacing w:before="240" w:after="240"/>
        <w:rPr>
          <w:rFonts w:ascii="Times New Roman" w:hAnsi="Times New Roman" w:cs="Times New Roman"/>
          <w:sz w:val="24"/>
          <w:szCs w:val="24"/>
        </w:rPr>
      </w:pPr>
      <w:r w:rsidRPr="00DC366A">
        <w:rPr>
          <w:rFonts w:ascii="Times New Roman" w:hAnsi="Times New Roman" w:cs="Times New Roman"/>
          <w:b/>
          <w:bCs/>
          <w:sz w:val="24"/>
          <w:szCs w:val="24"/>
        </w:rPr>
        <w:t>Temporal and Rate Limiting:</w:t>
      </w:r>
      <w:r w:rsidRPr="00DC366A">
        <w:rPr>
          <w:rFonts w:ascii="Times New Roman" w:hAnsi="Times New Roman" w:cs="Times New Roman"/>
          <w:sz w:val="24"/>
          <w:szCs w:val="24"/>
        </w:rPr>
        <w:t xml:space="preserve"> Agentic actions are constrained by execution frequency and duration thresholds, preventing rapid escalation or cascading effects.</w:t>
      </w:r>
    </w:p>
    <w:p w14:paraId="02FCB3DA" w14:textId="77777777" w:rsidR="00B87A6F" w:rsidRPr="00DC366A" w:rsidRDefault="00471DCE" w:rsidP="00DC366A">
      <w:pPr>
        <w:pStyle w:val="ListParagraph"/>
        <w:numPr>
          <w:ilvl w:val="0"/>
          <w:numId w:val="13"/>
        </w:numPr>
        <w:spacing w:before="240" w:after="240"/>
        <w:rPr>
          <w:rFonts w:ascii="Times New Roman" w:hAnsi="Times New Roman" w:cs="Times New Roman"/>
          <w:sz w:val="24"/>
          <w:szCs w:val="24"/>
        </w:rPr>
      </w:pPr>
      <w:r w:rsidRPr="00DC366A">
        <w:rPr>
          <w:rFonts w:ascii="Times New Roman" w:hAnsi="Times New Roman" w:cs="Times New Roman"/>
          <w:b/>
          <w:bCs/>
          <w:sz w:val="24"/>
          <w:szCs w:val="24"/>
        </w:rPr>
        <w:t xml:space="preserve">Context-Aware Mediation: </w:t>
      </w:r>
      <w:r w:rsidRPr="00DC366A">
        <w:rPr>
          <w:rFonts w:ascii="Times New Roman" w:hAnsi="Times New Roman" w:cs="Times New Roman"/>
          <w:sz w:val="24"/>
          <w:szCs w:val="24"/>
        </w:rPr>
        <w:t xml:space="preserve">Actions are evaluated </w:t>
      </w:r>
      <w:r w:rsidR="00DC366A" w:rsidRPr="00DC366A">
        <w:rPr>
          <w:rFonts w:ascii="Times New Roman" w:hAnsi="Times New Roman" w:cs="Times New Roman"/>
          <w:sz w:val="24"/>
          <w:szCs w:val="24"/>
        </w:rPr>
        <w:t>against</w:t>
      </w:r>
      <w:r w:rsidRPr="00DC366A">
        <w:rPr>
          <w:rFonts w:ascii="Times New Roman" w:hAnsi="Times New Roman" w:cs="Times New Roman"/>
          <w:sz w:val="24"/>
          <w:szCs w:val="24"/>
        </w:rPr>
        <w:t xml:space="preserve"> </w:t>
      </w:r>
      <w:r w:rsidR="00DC366A" w:rsidRPr="00DC366A">
        <w:rPr>
          <w:rFonts w:ascii="Times New Roman" w:hAnsi="Times New Roman" w:cs="Times New Roman"/>
          <w:sz w:val="24"/>
          <w:szCs w:val="24"/>
        </w:rPr>
        <w:t xml:space="preserve">the </w:t>
      </w:r>
      <w:r w:rsidRPr="00DC366A">
        <w:rPr>
          <w:rFonts w:ascii="Times New Roman" w:hAnsi="Times New Roman" w:cs="Times New Roman"/>
          <w:sz w:val="24"/>
          <w:szCs w:val="24"/>
        </w:rPr>
        <w:t>current process state, ensuring that commands that are valid in isolation are rejected if unsafe in context.</w:t>
      </w:r>
    </w:p>
    <w:p w14:paraId="02FCB3DB" w14:textId="77777777" w:rsidR="00B87A6F" w:rsidRPr="00DC366A" w:rsidRDefault="00471DCE" w:rsidP="00DC366A">
      <w:pPr>
        <w:pStyle w:val="ListParagraph"/>
        <w:numPr>
          <w:ilvl w:val="0"/>
          <w:numId w:val="13"/>
        </w:numPr>
        <w:spacing w:before="240" w:after="240"/>
        <w:rPr>
          <w:rFonts w:ascii="Times New Roman" w:hAnsi="Times New Roman" w:cs="Times New Roman"/>
          <w:sz w:val="24"/>
          <w:szCs w:val="24"/>
        </w:rPr>
      </w:pPr>
      <w:r w:rsidRPr="00DC366A">
        <w:rPr>
          <w:rFonts w:ascii="Times New Roman" w:hAnsi="Times New Roman" w:cs="Times New Roman"/>
          <w:b/>
          <w:bCs/>
          <w:sz w:val="24"/>
          <w:szCs w:val="24"/>
        </w:rPr>
        <w:t xml:space="preserve">Capability Scoping: </w:t>
      </w:r>
      <w:r w:rsidRPr="00DC366A">
        <w:rPr>
          <w:rFonts w:ascii="Times New Roman" w:hAnsi="Times New Roman" w:cs="Times New Roman"/>
          <w:sz w:val="24"/>
          <w:szCs w:val="24"/>
        </w:rPr>
        <w:t>Each agent is assigned a fixed capability profile that cannot be expanded dynamically, preventing privilege creep through learning or adaptation.</w:t>
      </w:r>
    </w:p>
    <w:p w14:paraId="02FCB3DC"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11" w:name="_heading=h.n9blxh6wvcs5" w:colFirst="0" w:colLast="0"/>
      <w:bookmarkEnd w:id="11"/>
      <w:r w:rsidRPr="00471DCE">
        <w:rPr>
          <w:rFonts w:ascii="Times New Roman" w:hAnsi="Times New Roman" w:cs="Times New Roman"/>
          <w:b/>
          <w:bCs/>
          <w:color w:val="000000"/>
          <w:sz w:val="24"/>
          <w:szCs w:val="24"/>
        </w:rPr>
        <w:t>Alignment with OT/ICS Security and Architectural Standards</w:t>
      </w:r>
    </w:p>
    <w:p w14:paraId="02FCB3DD"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The framework is deliberately aligned with established OT/ICS security principles without replicating their limitations.</w:t>
      </w:r>
    </w:p>
    <w:p w14:paraId="02FCB3DE" w14:textId="77777777" w:rsidR="00B87A6F" w:rsidRPr="00DC366A" w:rsidRDefault="00471DCE" w:rsidP="00DC366A">
      <w:pPr>
        <w:pStyle w:val="ListParagraph"/>
        <w:numPr>
          <w:ilvl w:val="0"/>
          <w:numId w:val="14"/>
        </w:numPr>
        <w:spacing w:after="240"/>
        <w:rPr>
          <w:rFonts w:ascii="Times New Roman" w:hAnsi="Times New Roman" w:cs="Times New Roman"/>
          <w:sz w:val="24"/>
          <w:szCs w:val="24"/>
        </w:rPr>
      </w:pPr>
      <w:r w:rsidRPr="00DC366A">
        <w:rPr>
          <w:rFonts w:ascii="Times New Roman" w:hAnsi="Times New Roman" w:cs="Times New Roman"/>
          <w:sz w:val="24"/>
          <w:szCs w:val="24"/>
        </w:rPr>
        <w:t>From ISA/IEC 62443, the framework adopts zone and conduit concepts but extends them to include decision authority</w:t>
      </w:r>
      <w:r w:rsidR="00DC366A" w:rsidRPr="00DC366A">
        <w:rPr>
          <w:rFonts w:ascii="Times New Roman" w:hAnsi="Times New Roman" w:cs="Times New Roman"/>
          <w:sz w:val="24"/>
          <w:szCs w:val="24"/>
        </w:rPr>
        <w:t xml:space="preserve"> zones, not just network zones.</w:t>
      </w:r>
    </w:p>
    <w:p w14:paraId="02FCB3DF" w14:textId="77777777" w:rsidR="00B87A6F" w:rsidRPr="00DC366A" w:rsidRDefault="00471DCE" w:rsidP="00DC366A">
      <w:pPr>
        <w:pStyle w:val="ListParagraph"/>
        <w:numPr>
          <w:ilvl w:val="0"/>
          <w:numId w:val="14"/>
        </w:numPr>
        <w:spacing w:after="240"/>
        <w:rPr>
          <w:rFonts w:ascii="Times New Roman" w:hAnsi="Times New Roman" w:cs="Times New Roman"/>
          <w:sz w:val="24"/>
          <w:szCs w:val="24"/>
        </w:rPr>
      </w:pPr>
      <w:r w:rsidRPr="00DC366A">
        <w:rPr>
          <w:rFonts w:ascii="Times New Roman" w:hAnsi="Times New Roman" w:cs="Times New Roman"/>
          <w:sz w:val="24"/>
          <w:szCs w:val="24"/>
        </w:rPr>
        <w:t>From NIST SP 800‑82, it incorporates defense-in-depth while addressing gaps r</w:t>
      </w:r>
      <w:r w:rsidR="00DC366A" w:rsidRPr="00DC366A">
        <w:rPr>
          <w:rFonts w:ascii="Times New Roman" w:hAnsi="Times New Roman" w:cs="Times New Roman"/>
          <w:sz w:val="24"/>
          <w:szCs w:val="24"/>
        </w:rPr>
        <w:t xml:space="preserve">elated to autonomous </w:t>
      </w:r>
      <w:proofErr w:type="spellStart"/>
      <w:r w:rsidR="00DC366A" w:rsidRPr="00DC366A">
        <w:rPr>
          <w:rFonts w:ascii="Times New Roman" w:hAnsi="Times New Roman" w:cs="Times New Roman"/>
          <w:sz w:val="24"/>
          <w:szCs w:val="24"/>
        </w:rPr>
        <w:t>behaviour</w:t>
      </w:r>
      <w:proofErr w:type="spellEnd"/>
      <w:r w:rsidR="00DC366A" w:rsidRPr="00DC366A">
        <w:rPr>
          <w:rFonts w:ascii="Times New Roman" w:hAnsi="Times New Roman" w:cs="Times New Roman"/>
          <w:sz w:val="24"/>
          <w:szCs w:val="24"/>
        </w:rPr>
        <w:t>.</w:t>
      </w:r>
    </w:p>
    <w:p w14:paraId="02FCB3E0" w14:textId="77777777" w:rsidR="00B87A6F" w:rsidRPr="00DC366A" w:rsidRDefault="00471DCE" w:rsidP="00DC366A">
      <w:pPr>
        <w:pStyle w:val="ListParagraph"/>
        <w:numPr>
          <w:ilvl w:val="0"/>
          <w:numId w:val="14"/>
        </w:numPr>
        <w:spacing w:after="240"/>
        <w:rPr>
          <w:rFonts w:ascii="Times New Roman" w:hAnsi="Times New Roman" w:cs="Times New Roman"/>
          <w:sz w:val="24"/>
          <w:szCs w:val="24"/>
        </w:rPr>
      </w:pPr>
      <w:r w:rsidRPr="00DC366A">
        <w:rPr>
          <w:rFonts w:ascii="Times New Roman" w:hAnsi="Times New Roman" w:cs="Times New Roman"/>
          <w:sz w:val="24"/>
          <w:szCs w:val="24"/>
        </w:rPr>
        <w:t>From the Purdue Model, it preserves hierarchical separation while preventing agentic l</w:t>
      </w:r>
      <w:r w:rsidR="00DC366A" w:rsidRPr="00DC366A">
        <w:rPr>
          <w:rFonts w:ascii="Times New Roman" w:hAnsi="Times New Roman" w:cs="Times New Roman"/>
          <w:sz w:val="24"/>
          <w:szCs w:val="24"/>
        </w:rPr>
        <w:t>ateral influence across layers.</w:t>
      </w:r>
    </w:p>
    <w:p w14:paraId="02FCB3E1" w14:textId="77777777" w:rsidR="00B87A6F" w:rsidRPr="00DC366A" w:rsidRDefault="00471DCE" w:rsidP="00DC366A">
      <w:pPr>
        <w:pStyle w:val="ListParagraph"/>
        <w:numPr>
          <w:ilvl w:val="0"/>
          <w:numId w:val="14"/>
        </w:numPr>
        <w:spacing w:after="240"/>
        <w:rPr>
          <w:rFonts w:ascii="Times New Roman" w:hAnsi="Times New Roman" w:cs="Times New Roman"/>
          <w:sz w:val="24"/>
          <w:szCs w:val="24"/>
        </w:rPr>
      </w:pPr>
      <w:r w:rsidRPr="00DC366A">
        <w:rPr>
          <w:rFonts w:ascii="Times New Roman" w:hAnsi="Times New Roman" w:cs="Times New Roman"/>
          <w:sz w:val="24"/>
          <w:szCs w:val="24"/>
        </w:rPr>
        <w:lastRenderedPageBreak/>
        <w:t xml:space="preserve">From AI governance frameworks such as NIST AI RMF and ISO/IEC 42001, it </w:t>
      </w:r>
      <w:proofErr w:type="spellStart"/>
      <w:r w:rsidRPr="00DC366A">
        <w:rPr>
          <w:rFonts w:ascii="Times New Roman" w:hAnsi="Times New Roman" w:cs="Times New Roman"/>
          <w:sz w:val="24"/>
          <w:szCs w:val="24"/>
        </w:rPr>
        <w:t>operationalises</w:t>
      </w:r>
      <w:proofErr w:type="spellEnd"/>
      <w:r w:rsidRPr="00DC366A">
        <w:rPr>
          <w:rFonts w:ascii="Times New Roman" w:hAnsi="Times New Roman" w:cs="Times New Roman"/>
          <w:sz w:val="24"/>
          <w:szCs w:val="24"/>
        </w:rPr>
        <w:t xml:space="preserve"> governance principles through architectural enforcement rather th</w:t>
      </w:r>
      <w:r w:rsidR="00DC366A">
        <w:rPr>
          <w:rFonts w:ascii="Times New Roman" w:hAnsi="Times New Roman" w:cs="Times New Roman"/>
          <w:sz w:val="24"/>
          <w:szCs w:val="24"/>
        </w:rPr>
        <w:t xml:space="preserve">an </w:t>
      </w:r>
      <w:proofErr w:type="spellStart"/>
      <w:r w:rsidR="00DC366A">
        <w:rPr>
          <w:rFonts w:ascii="Times New Roman" w:hAnsi="Times New Roman" w:cs="Times New Roman"/>
          <w:sz w:val="24"/>
          <w:szCs w:val="24"/>
        </w:rPr>
        <w:t>organisational</w:t>
      </w:r>
      <w:proofErr w:type="spellEnd"/>
      <w:r w:rsidR="00DC366A">
        <w:rPr>
          <w:rFonts w:ascii="Times New Roman" w:hAnsi="Times New Roman" w:cs="Times New Roman"/>
          <w:sz w:val="24"/>
          <w:szCs w:val="24"/>
        </w:rPr>
        <w:t xml:space="preserve"> policy alone.</w:t>
      </w:r>
    </w:p>
    <w:p w14:paraId="02FCB3E2" w14:textId="77777777" w:rsidR="00B87A6F" w:rsidRPr="00471DCE" w:rsidRDefault="00471DCE" w:rsidP="00471DCE">
      <w:pPr>
        <w:pStyle w:val="Heading3"/>
        <w:keepNext w:val="0"/>
        <w:keepLines w:val="0"/>
        <w:spacing w:before="280" w:after="240"/>
        <w:rPr>
          <w:rFonts w:ascii="Times New Roman" w:hAnsi="Times New Roman" w:cs="Times New Roman"/>
          <w:b/>
          <w:bCs/>
          <w:color w:val="000000"/>
          <w:sz w:val="24"/>
          <w:szCs w:val="24"/>
        </w:rPr>
      </w:pPr>
      <w:bookmarkStart w:id="12" w:name="_heading=h.2z8sflawma0w" w:colFirst="0" w:colLast="0"/>
      <w:bookmarkEnd w:id="12"/>
      <w:r w:rsidRPr="00471DCE">
        <w:rPr>
          <w:rFonts w:ascii="Times New Roman" w:hAnsi="Times New Roman" w:cs="Times New Roman"/>
          <w:b/>
          <w:bCs/>
          <w:color w:val="000000"/>
          <w:sz w:val="24"/>
          <w:szCs w:val="24"/>
        </w:rPr>
        <w:t>Threat Model and Scope of Protection</w:t>
      </w:r>
    </w:p>
    <w:p w14:paraId="02FCB3E3"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In terms of the threat model and scope </w:t>
      </w:r>
      <w:r w:rsidR="007F6FCE">
        <w:rPr>
          <w:rFonts w:ascii="Times New Roman" w:hAnsi="Times New Roman" w:cs="Times New Roman"/>
          <w:sz w:val="24"/>
          <w:szCs w:val="24"/>
        </w:rPr>
        <w:t>of</w:t>
      </w:r>
      <w:r w:rsidRPr="00471DCE">
        <w:rPr>
          <w:rFonts w:ascii="Times New Roman" w:hAnsi="Times New Roman" w:cs="Times New Roman"/>
          <w:sz w:val="24"/>
          <w:szCs w:val="24"/>
        </w:rPr>
        <w:t xml:space="preserve"> protection, the framework addresses threats arising from:</w:t>
      </w:r>
    </w:p>
    <w:p w14:paraId="02FCB3E4" w14:textId="77777777" w:rsidR="00B87A6F" w:rsidRPr="00DC366A" w:rsidRDefault="00471DCE" w:rsidP="00DC366A">
      <w:pPr>
        <w:pStyle w:val="ListParagraph"/>
        <w:numPr>
          <w:ilvl w:val="0"/>
          <w:numId w:val="15"/>
        </w:numPr>
        <w:spacing w:before="480" w:after="240"/>
        <w:rPr>
          <w:rFonts w:ascii="Times New Roman" w:hAnsi="Times New Roman" w:cs="Times New Roman"/>
          <w:sz w:val="24"/>
          <w:szCs w:val="24"/>
        </w:rPr>
      </w:pPr>
      <w:r w:rsidRPr="00DC366A">
        <w:rPr>
          <w:rFonts w:ascii="Times New Roman" w:hAnsi="Times New Roman" w:cs="Times New Roman"/>
          <w:sz w:val="24"/>
          <w:szCs w:val="24"/>
        </w:rPr>
        <w:t>Misali</w:t>
      </w:r>
      <w:r w:rsidR="00DC366A">
        <w:rPr>
          <w:rFonts w:ascii="Times New Roman" w:hAnsi="Times New Roman" w:cs="Times New Roman"/>
          <w:sz w:val="24"/>
          <w:szCs w:val="24"/>
        </w:rPr>
        <w:t>gned or erroneous AI objectives</w:t>
      </w:r>
    </w:p>
    <w:p w14:paraId="02FCB3E5" w14:textId="77777777" w:rsidR="00B87A6F" w:rsidRPr="00DC366A" w:rsidRDefault="00471DCE" w:rsidP="00DC366A">
      <w:pPr>
        <w:pStyle w:val="ListParagraph"/>
        <w:numPr>
          <w:ilvl w:val="0"/>
          <w:numId w:val="15"/>
        </w:numPr>
        <w:spacing w:after="240"/>
        <w:rPr>
          <w:rFonts w:ascii="Times New Roman" w:hAnsi="Times New Roman" w:cs="Times New Roman"/>
          <w:sz w:val="24"/>
          <w:szCs w:val="24"/>
        </w:rPr>
      </w:pPr>
      <w:r w:rsidRPr="00DC366A">
        <w:rPr>
          <w:rFonts w:ascii="Times New Roman" w:hAnsi="Times New Roman" w:cs="Times New Roman"/>
          <w:sz w:val="24"/>
          <w:szCs w:val="24"/>
        </w:rPr>
        <w:t>Emergen</w:t>
      </w:r>
      <w:r w:rsidR="00DC366A">
        <w:rPr>
          <w:rFonts w:ascii="Times New Roman" w:hAnsi="Times New Roman" w:cs="Times New Roman"/>
          <w:sz w:val="24"/>
          <w:szCs w:val="24"/>
        </w:rPr>
        <w:t xml:space="preserve">t </w:t>
      </w:r>
      <w:proofErr w:type="spellStart"/>
      <w:r w:rsidR="00DC366A">
        <w:rPr>
          <w:rFonts w:ascii="Times New Roman" w:hAnsi="Times New Roman" w:cs="Times New Roman"/>
          <w:sz w:val="24"/>
          <w:szCs w:val="24"/>
        </w:rPr>
        <w:t>behaviour</w:t>
      </w:r>
      <w:proofErr w:type="spellEnd"/>
      <w:r w:rsidR="00DC366A">
        <w:rPr>
          <w:rFonts w:ascii="Times New Roman" w:hAnsi="Times New Roman" w:cs="Times New Roman"/>
          <w:sz w:val="24"/>
          <w:szCs w:val="24"/>
        </w:rPr>
        <w:t xml:space="preserve"> and action chaining</w:t>
      </w:r>
    </w:p>
    <w:p w14:paraId="02FCB3E6" w14:textId="77777777" w:rsidR="00B87A6F" w:rsidRPr="00DC366A" w:rsidRDefault="00471DCE" w:rsidP="00DC366A">
      <w:pPr>
        <w:pStyle w:val="ListParagraph"/>
        <w:numPr>
          <w:ilvl w:val="0"/>
          <w:numId w:val="15"/>
        </w:numPr>
        <w:spacing w:after="240"/>
        <w:rPr>
          <w:rFonts w:ascii="Times New Roman" w:hAnsi="Times New Roman" w:cs="Times New Roman"/>
          <w:sz w:val="24"/>
          <w:szCs w:val="24"/>
        </w:rPr>
      </w:pPr>
      <w:r w:rsidRPr="00DC366A">
        <w:rPr>
          <w:rFonts w:ascii="Times New Roman" w:hAnsi="Times New Roman" w:cs="Times New Roman"/>
          <w:sz w:val="24"/>
          <w:szCs w:val="24"/>
        </w:rPr>
        <w:t>Adversarial ma</w:t>
      </w:r>
      <w:r w:rsidR="00DC366A">
        <w:rPr>
          <w:rFonts w:ascii="Times New Roman" w:hAnsi="Times New Roman" w:cs="Times New Roman"/>
          <w:sz w:val="24"/>
          <w:szCs w:val="24"/>
        </w:rPr>
        <w:t>nipulation of AI decision logic</w:t>
      </w:r>
    </w:p>
    <w:p w14:paraId="02FCB3E7" w14:textId="77777777" w:rsidR="00B87A6F" w:rsidRPr="00DC366A" w:rsidRDefault="00471DCE" w:rsidP="00DC366A">
      <w:pPr>
        <w:pStyle w:val="ListParagraph"/>
        <w:numPr>
          <w:ilvl w:val="0"/>
          <w:numId w:val="15"/>
        </w:numPr>
        <w:spacing w:after="240"/>
        <w:rPr>
          <w:rFonts w:ascii="Times New Roman" w:hAnsi="Times New Roman" w:cs="Times New Roman"/>
          <w:sz w:val="24"/>
          <w:szCs w:val="24"/>
        </w:rPr>
      </w:pPr>
      <w:r w:rsidRPr="00DC366A">
        <w:rPr>
          <w:rFonts w:ascii="Times New Roman" w:hAnsi="Times New Roman" w:cs="Times New Roman"/>
          <w:sz w:val="24"/>
          <w:szCs w:val="24"/>
        </w:rPr>
        <w:t>Over-trus</w:t>
      </w:r>
      <w:r w:rsidR="00DC366A">
        <w:rPr>
          <w:rFonts w:ascii="Times New Roman" w:hAnsi="Times New Roman" w:cs="Times New Roman"/>
          <w:sz w:val="24"/>
          <w:szCs w:val="24"/>
        </w:rPr>
        <w:t>t in autonomous recommendations</w:t>
      </w:r>
    </w:p>
    <w:p w14:paraId="02FCB3E8" w14:textId="77777777" w:rsidR="00B87A6F" w:rsidRPr="00DC366A" w:rsidRDefault="00471DCE" w:rsidP="00DC366A">
      <w:pPr>
        <w:pStyle w:val="ListParagraph"/>
        <w:numPr>
          <w:ilvl w:val="0"/>
          <w:numId w:val="15"/>
        </w:numPr>
        <w:spacing w:after="240"/>
        <w:rPr>
          <w:rFonts w:ascii="Times New Roman" w:hAnsi="Times New Roman" w:cs="Times New Roman"/>
          <w:sz w:val="24"/>
          <w:szCs w:val="24"/>
        </w:rPr>
      </w:pPr>
      <w:r w:rsidRPr="00DC366A">
        <w:rPr>
          <w:rFonts w:ascii="Times New Roman" w:hAnsi="Times New Roman" w:cs="Times New Roman"/>
          <w:sz w:val="24"/>
          <w:szCs w:val="24"/>
        </w:rPr>
        <w:t>In</w:t>
      </w:r>
      <w:r w:rsidR="00DC366A">
        <w:rPr>
          <w:rFonts w:ascii="Times New Roman" w:hAnsi="Times New Roman" w:cs="Times New Roman"/>
          <w:sz w:val="24"/>
          <w:szCs w:val="24"/>
        </w:rPr>
        <w:t>sider misuse of AI capabilities</w:t>
      </w:r>
    </w:p>
    <w:p w14:paraId="02FCB3E9" w14:textId="77777777" w:rsidR="00B87A6F" w:rsidRPr="00471DCE" w:rsidRDefault="00471DCE" w:rsidP="00471DCE">
      <w:pPr>
        <w:spacing w:before="240" w:after="240"/>
        <w:rPr>
          <w:rFonts w:ascii="Times New Roman" w:hAnsi="Times New Roman" w:cs="Times New Roman"/>
          <w:sz w:val="24"/>
          <w:szCs w:val="24"/>
        </w:rPr>
      </w:pPr>
      <w:r w:rsidRPr="00471DCE">
        <w:rPr>
          <w:rFonts w:ascii="Times New Roman" w:hAnsi="Times New Roman" w:cs="Times New Roman"/>
          <w:sz w:val="24"/>
          <w:szCs w:val="24"/>
        </w:rPr>
        <w:t xml:space="preserve">The framework is designed </w:t>
      </w:r>
      <w:r w:rsidR="007F6FCE">
        <w:rPr>
          <w:rFonts w:ascii="Times New Roman" w:hAnsi="Times New Roman" w:cs="Times New Roman"/>
          <w:sz w:val="24"/>
          <w:szCs w:val="24"/>
        </w:rPr>
        <w:t xml:space="preserve">not to </w:t>
      </w:r>
      <w:r w:rsidRPr="00471DCE">
        <w:rPr>
          <w:rFonts w:ascii="Times New Roman" w:hAnsi="Times New Roman" w:cs="Times New Roman"/>
          <w:sz w:val="24"/>
          <w:szCs w:val="24"/>
        </w:rPr>
        <w:t xml:space="preserve">assume that AI agents are malicious, but it does assume that failure, misuse, or unexpected </w:t>
      </w:r>
      <w:proofErr w:type="spellStart"/>
      <w:r w:rsidRPr="00471DCE">
        <w:rPr>
          <w:rFonts w:ascii="Times New Roman" w:hAnsi="Times New Roman" w:cs="Times New Roman"/>
          <w:sz w:val="24"/>
          <w:szCs w:val="24"/>
        </w:rPr>
        <w:t>behaviour</w:t>
      </w:r>
      <w:proofErr w:type="spellEnd"/>
      <w:r w:rsidRPr="00471DCE">
        <w:rPr>
          <w:rFonts w:ascii="Times New Roman" w:hAnsi="Times New Roman" w:cs="Times New Roman"/>
          <w:sz w:val="24"/>
          <w:szCs w:val="24"/>
        </w:rPr>
        <w:t xml:space="preserve"> is inevitable. Hence, the architecture is designed to remain safe even under degraded AI performance or adversarial conditions.</w:t>
      </w:r>
    </w:p>
    <w:p w14:paraId="02FCB3EA" w14:textId="77777777" w:rsidR="00B87A6F" w:rsidRPr="00471DCE" w:rsidRDefault="00471DCE" w:rsidP="00471DCE">
      <w:pPr>
        <w:spacing w:after="240"/>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b/>
          <w:bCs/>
          <w:sz w:val="24"/>
          <w:szCs w:val="24"/>
        </w:rPr>
        <w:tab/>
      </w:r>
      <w:r w:rsidRPr="00471DCE">
        <w:rPr>
          <w:rFonts w:ascii="Times New Roman" w:hAnsi="Times New Roman" w:cs="Times New Roman"/>
          <w:b/>
          <w:bCs/>
          <w:sz w:val="24"/>
          <w:szCs w:val="24"/>
        </w:rPr>
        <w:t>Methodology</w:t>
      </w:r>
    </w:p>
    <w:p w14:paraId="02FCB3EB"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 xml:space="preserve">This study adopted a fully quantitative, multi-stage analytical design to evaluate the security, architectural robustness, standards alignment, and operational effectiveness of a secure-by-containment framework for deploying agentic artificial intelligence (AI) in operational technology and industrial control system (OT/ICS) environments. The methodological approach was structured into four sequential analytical phases aligned with the research objectives and designed </w:t>
      </w:r>
      <w:r w:rsidR="007F6FCE">
        <w:rPr>
          <w:rFonts w:ascii="Times New Roman" w:hAnsi="Times New Roman" w:cs="Times New Roman"/>
          <w:sz w:val="24"/>
          <w:szCs w:val="24"/>
        </w:rPr>
        <w:t>to validate containment as a first-class architectural property progressively</w:t>
      </w:r>
      <w:r w:rsidRPr="00471DCE">
        <w:rPr>
          <w:rFonts w:ascii="Times New Roman" w:hAnsi="Times New Roman" w:cs="Times New Roman"/>
          <w:sz w:val="24"/>
          <w:szCs w:val="24"/>
        </w:rPr>
        <w:t>.</w:t>
      </w:r>
    </w:p>
    <w:p w14:paraId="02FCB3EC"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 xml:space="preserve">Publicly available benchmark datasets representative of industrial control environments </w:t>
      </w:r>
      <w:proofErr w:type="gramStart"/>
      <w:r w:rsidRPr="00471DCE">
        <w:rPr>
          <w:rFonts w:ascii="Times New Roman" w:hAnsi="Times New Roman" w:cs="Times New Roman"/>
          <w:sz w:val="24"/>
          <w:szCs w:val="24"/>
        </w:rPr>
        <w:t>were</w:t>
      </w:r>
      <w:proofErr w:type="gramEnd"/>
      <w:r w:rsidRPr="00471DCE">
        <w:rPr>
          <w:rFonts w:ascii="Times New Roman" w:hAnsi="Times New Roman" w:cs="Times New Roman"/>
          <w:sz w:val="24"/>
          <w:szCs w:val="24"/>
        </w:rPr>
        <w:t xml:space="preserve"> utilized, including the ICS Gas Pipeline dataset (risk modeling), the </w:t>
      </w:r>
      <w:proofErr w:type="spellStart"/>
      <w:r w:rsidRPr="00471DCE">
        <w:rPr>
          <w:rFonts w:ascii="Times New Roman" w:hAnsi="Times New Roman" w:cs="Times New Roman"/>
          <w:sz w:val="24"/>
          <w:szCs w:val="24"/>
        </w:rPr>
        <w:t>PowerCyber</w:t>
      </w:r>
      <w:proofErr w:type="spellEnd"/>
      <w:r w:rsidRPr="00471DCE">
        <w:rPr>
          <w:rFonts w:ascii="Times New Roman" w:hAnsi="Times New Roman" w:cs="Times New Roman"/>
          <w:sz w:val="24"/>
          <w:szCs w:val="24"/>
        </w:rPr>
        <w:t xml:space="preserve"> testbed dataset (architectural containment modeling), the NIST SP 800-82 control catalog (standards alignment analysis), and the Tennessee Eastman Process dataset (scenario-based operational validation). All analyses were conducted using deterministic computational modeling and graph-theoretic evaluation techniques.</w:t>
      </w:r>
    </w:p>
    <w:p w14:paraId="02FCB3ED"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t>Phase I: Cyber-Physical Risk Quantification</w:t>
      </w:r>
    </w:p>
    <w:p w14:paraId="02FCB3EE"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Risk was quantified using the Process Impact Deviation Index (PIDI), which measures standardized deviation of process variables under anomalous conditions relative to baseline operation:</w:t>
      </w:r>
    </w:p>
    <w:p w14:paraId="02FCB3EF"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w:lastRenderedPageBreak/>
            <m:t>PID</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attack</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normal</m:t>
                      </m:r>
                    </m:sub>
                  </m:sSub>
                </m:e>
              </m:d>
            </m:num>
            <m:den>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normal</m:t>
                  </m:r>
                </m:sub>
              </m:sSub>
            </m:den>
          </m:f>
        </m:oMath>
      </m:oMathPara>
    </w:p>
    <w:p w14:paraId="02FCB3F0"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System-wide severity was computed using the Risk Severity Score (RSS):</w:t>
      </w:r>
    </w:p>
    <w:p w14:paraId="02FCB3F1"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 xml:space="preserve">RSS = </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d>
          <m:r>
            <w:rPr>
              <w:rFonts w:ascii="Cambria Math" w:hAnsi="Cambria Math" w:cs="Times New Roman"/>
              <w:sz w:val="24"/>
              <w:szCs w:val="24"/>
            </w:rPr>
            <m:t>Σ PID</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oMath>
      </m:oMathPara>
    </w:p>
    <w:p w14:paraId="02FCB3F2"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Escalation propagation across interdependent variables was quantified using the Multi-Variable Escalation Index (MVEI):</w:t>
      </w:r>
    </w:p>
    <w:p w14:paraId="02FCB3F3"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MVEI =</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Number of variables where PID</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&gt; 3</m:t>
                  </m:r>
                </m:e>
              </m:d>
            </m:num>
            <m:den>
              <m:r>
                <w:rPr>
                  <w:rFonts w:ascii="Cambria Math" w:hAnsi="Cambria Math" w:cs="Times New Roman"/>
                  <w:sz w:val="24"/>
                  <w:szCs w:val="24"/>
                </w:rPr>
                <m:t>n</m:t>
              </m:r>
            </m:den>
          </m:f>
        </m:oMath>
      </m:oMathPara>
    </w:p>
    <w:p w14:paraId="02FCB3F4"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t>Phase II: Architectural Containment Modeling</w:t>
      </w:r>
    </w:p>
    <w:p w14:paraId="02FCB3F5"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The ICS network was modeled as a directed graph G(</w:t>
      </w:r>
      <w:proofErr w:type="gramStart"/>
      <w:r w:rsidRPr="00471DCE">
        <w:rPr>
          <w:rFonts w:ascii="Times New Roman" w:hAnsi="Times New Roman" w:cs="Times New Roman"/>
          <w:sz w:val="24"/>
          <w:szCs w:val="24"/>
        </w:rPr>
        <w:t>V,E</w:t>
      </w:r>
      <w:proofErr w:type="gramEnd"/>
      <w:r w:rsidRPr="00471DCE">
        <w:rPr>
          <w:rFonts w:ascii="Times New Roman" w:hAnsi="Times New Roman" w:cs="Times New Roman"/>
          <w:sz w:val="24"/>
          <w:szCs w:val="24"/>
        </w:rPr>
        <w:t>), where V represents ICS components and E represents communication pathways. Structural influence of the agentic AI node was measured using betweenness centrality:</w:t>
      </w:r>
    </w:p>
    <w:p w14:paraId="02FCB3F6"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BC</m:t>
          </m:r>
          <m:d>
            <m:dPr>
              <m:ctrlPr>
                <w:rPr>
                  <w:rFonts w:ascii="Cambria Math" w:hAnsi="Cambria Math" w:cs="Times New Roman"/>
                  <w:sz w:val="24"/>
                  <w:szCs w:val="24"/>
                </w:rPr>
              </m:ctrlPr>
            </m:dPr>
            <m:e>
              <m:r>
                <w:rPr>
                  <w:rFonts w:ascii="Cambria Math" w:hAnsi="Cambria Math" w:cs="Times New Roman"/>
                  <w:sz w:val="24"/>
                  <w:szCs w:val="24"/>
                </w:rPr>
                <m:t>v</m:t>
              </m:r>
            </m:e>
          </m:d>
          <m:r>
            <w:rPr>
              <w:rFonts w:ascii="Cambria Math" w:hAnsi="Cambria Math" w:cs="Times New Roman"/>
              <w:sz w:val="24"/>
              <w:szCs w:val="24"/>
            </w:rPr>
            <m:t>= Σ</m:t>
          </m:r>
          <m:d>
            <m:dPr>
              <m:ctrlPr>
                <w:rPr>
                  <w:rFonts w:ascii="Cambria Math" w:hAnsi="Cambria Math" w:cs="Times New Roman"/>
                  <w:sz w:val="24"/>
                  <w:szCs w:val="24"/>
                </w:rPr>
              </m:ctrlPr>
            </m:dPr>
            <m:e>
              <m:r>
                <w:rPr>
                  <w:rFonts w:ascii="Cambria Math" w:hAnsi="Cambria Math" w:cs="Times New Roman"/>
                  <w:sz w:val="24"/>
                  <w:szCs w:val="24"/>
                </w:rPr>
                <m:t>s≠v≠t</m:t>
              </m:r>
            </m:e>
          </m:d>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st</m:t>
                      </m:r>
                      <m:d>
                        <m:dPr>
                          <m:ctrlPr>
                            <w:rPr>
                              <w:rFonts w:ascii="Cambria Math" w:hAnsi="Cambria Math" w:cs="Times New Roman"/>
                              <w:sz w:val="24"/>
                              <w:szCs w:val="24"/>
                            </w:rPr>
                          </m:ctrlPr>
                        </m:dPr>
                        <m:e>
                          <m:r>
                            <w:rPr>
                              <w:rFonts w:ascii="Cambria Math" w:hAnsi="Cambria Math" w:cs="Times New Roman"/>
                              <w:sz w:val="24"/>
                              <w:szCs w:val="24"/>
                            </w:rPr>
                            <m:t>v</m:t>
                          </m:r>
                        </m:e>
                      </m:d>
                    </m:sub>
                  </m:sSub>
                </m:num>
                <m:den>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st</m:t>
                      </m:r>
                    </m:sub>
                  </m:sSub>
                </m:den>
              </m:f>
            </m:e>
          </m:d>
        </m:oMath>
      </m:oMathPara>
    </w:p>
    <w:p w14:paraId="02FCB3F7"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Containment Strength Score (CSS) was calculated as:</w:t>
      </w:r>
    </w:p>
    <w:p w14:paraId="02FCB3F8"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CSS =</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uncontained</m:t>
                      </m:r>
                    </m:sub>
                  </m:sSub>
                  <m:r>
                    <w:rPr>
                      <w:rFonts w:ascii="Cambria Math" w:hAnsi="Cambria Math" w:cs="Times New Roman"/>
                      <w:sz w:val="24"/>
                      <w:szCs w:val="24"/>
                    </w:rPr>
                    <m:t>- B</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contained</m:t>
                      </m:r>
                    </m:sub>
                  </m:sSub>
                </m:e>
              </m:d>
            </m:num>
            <m:den>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uncontained</m:t>
                  </m:r>
                </m:sub>
              </m:sSub>
            </m:den>
          </m:f>
        </m:oMath>
      </m:oMathPara>
    </w:p>
    <w:p w14:paraId="02FCB3F9"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Cascade potential was evaluated using the Network Cascade Potential Index (NCPI):</w:t>
      </w:r>
    </w:p>
    <w:p w14:paraId="02FCB3FA"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NCPI = (Downstream nodes reachable within k hops) / |V|</w:t>
      </w:r>
    </w:p>
    <w:p w14:paraId="02FCB3FB"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t>Phase III: Standards Alignment Quantification</w:t>
      </w:r>
    </w:p>
    <w:p w14:paraId="02FCB3FC"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Alignment with OT/ICS standards was evaluated using binary control mapping. For each control:</w:t>
      </w:r>
    </w:p>
    <w:p w14:paraId="02FCB3FD" w14:textId="77777777" w:rsidR="00B87A6F" w:rsidRPr="00471DCE" w:rsidRDefault="006C70A7" w:rsidP="00471DCE">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 1</m:t>
        </m:r>
      </m:oMath>
      <w:r w:rsidR="00471DCE" w:rsidRPr="00471DCE">
        <w:rPr>
          <w:rFonts w:ascii="Times New Roman" w:hAnsi="Times New Roman" w:cs="Times New Roman"/>
          <w:sz w:val="24"/>
          <w:szCs w:val="24"/>
        </w:rPr>
        <w:t xml:space="preserve"> if architecturally enforced;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 0</m:t>
        </m:r>
      </m:oMath>
      <w:r w:rsidR="00471DCE" w:rsidRPr="00471DCE">
        <w:rPr>
          <w:rFonts w:ascii="Times New Roman" w:hAnsi="Times New Roman" w:cs="Times New Roman"/>
          <w:sz w:val="24"/>
          <w:szCs w:val="24"/>
        </w:rPr>
        <w:t xml:space="preserve"> otherwise</w:t>
      </w:r>
    </w:p>
    <w:p w14:paraId="02FCB3FE"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The Standards Coverage Quantification Index (SCQI) was computed as:</w:t>
      </w:r>
    </w:p>
    <w:p w14:paraId="02FCB3FF"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SCQI =</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 xml:space="preserve">Σ </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total</m:t>
                  </m:r>
                </m:sub>
              </m:sSub>
            </m:den>
          </m:f>
        </m:oMath>
      </m:oMathPara>
    </w:p>
    <w:p w14:paraId="02FCB400"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Control-family coverage percentage was computed as:</w:t>
      </w:r>
    </w:p>
    <w:p w14:paraId="02FCB401"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w:lastRenderedPageBreak/>
            <m:t>Coverag</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family</m:t>
              </m:r>
            </m:sub>
          </m:sSub>
          <m:r>
            <w:rPr>
              <w:rFonts w:ascii="Cambria Math" w:hAnsi="Cambria Math" w:cs="Times New Roman"/>
              <w:sz w:val="24"/>
              <w:szCs w:val="24"/>
            </w:rPr>
            <m:t xml:space="preserve">= </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Controls addressed</m:t>
                  </m:r>
                </m:num>
                <m:den>
                  <m:r>
                    <w:rPr>
                      <w:rFonts w:ascii="Cambria Math" w:hAnsi="Cambria Math" w:cs="Times New Roman"/>
                      <w:sz w:val="24"/>
                      <w:szCs w:val="24"/>
                    </w:rPr>
                    <m:t>Total controls in family</m:t>
                  </m:r>
                </m:den>
              </m:f>
            </m:e>
          </m:d>
          <m:r>
            <w:rPr>
              <w:rFonts w:ascii="Cambria Math" w:hAnsi="Cambria Math" w:cs="Times New Roman"/>
              <w:sz w:val="24"/>
              <w:szCs w:val="24"/>
            </w:rPr>
            <m:t>× 100</m:t>
          </m:r>
        </m:oMath>
      </m:oMathPara>
    </w:p>
    <w:p w14:paraId="02FCB402"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t>Phase IV: Scenario-Based Operational Effectiveness Analysis</w:t>
      </w:r>
    </w:p>
    <w:p w14:paraId="02FCB403"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 comparative intervention design evaluated containment under simulated industrial conditions. Three resilience metrics were measured.</w:t>
      </w:r>
    </w:p>
    <w:p w14:paraId="02FCB404"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1. Mean Time to Hazard (MTH)</w:t>
      </w:r>
    </w:p>
    <w:p w14:paraId="02FCB405"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2. Process Deviation Area (PDA):</w:t>
      </w:r>
    </w:p>
    <w:p w14:paraId="02FCB406"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 xml:space="preserve">PDA = </m:t>
          </m:r>
          <m:nary>
            <m:naryPr>
              <m:ctrlPr>
                <w:rPr>
                  <w:rFonts w:ascii="Cambria Math" w:hAnsi="Cambria Math" w:cs="Times New Roman"/>
                  <w:sz w:val="24"/>
                  <w:szCs w:val="24"/>
                </w:rPr>
              </m:ctrlPr>
            </m:naryPr>
            <m:sub/>
            <m:sup/>
            <m:e/>
          </m:nary>
          <m:d>
            <m:dPr>
              <m:begChr m:val="|"/>
              <m:endChr m:val="|"/>
              <m:ctrlPr>
                <w:rPr>
                  <w:rFonts w:ascii="Cambria Math" w:hAnsi="Cambria Math" w:cs="Times New Roman"/>
                  <w:sz w:val="24"/>
                  <w:szCs w:val="24"/>
                </w:rPr>
              </m:ctrlPr>
            </m:dPr>
            <m:e>
              <m:r>
                <w:rPr>
                  <w:rFonts w:ascii="Cambria Math" w:hAnsi="Cambria Math" w:cs="Times New Roman"/>
                  <w:sz w:val="24"/>
                  <w:szCs w:val="24"/>
                </w:rPr>
                <m:t>X</m:t>
              </m:r>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safe</m:t>
                  </m:r>
                </m:sub>
              </m:sSub>
            </m:e>
          </m:d>
          <m:r>
            <w:rPr>
              <w:rFonts w:ascii="Cambria Math" w:hAnsi="Cambria Math" w:cs="Times New Roman"/>
              <w:sz w:val="24"/>
              <w:szCs w:val="24"/>
            </w:rPr>
            <m:t>dt</m:t>
          </m:r>
        </m:oMath>
      </m:oMathPara>
    </w:p>
    <w:p w14:paraId="02FCB407"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3. Safety Threshold Violation Count (STV)</w:t>
      </w:r>
    </w:p>
    <w:p w14:paraId="02FCB408"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System stability normalization was computed using the Normalized Stability Index (NSI):</w:t>
      </w:r>
    </w:p>
    <w:p w14:paraId="02FCB409" w14:textId="77777777" w:rsidR="00B87A6F" w:rsidRPr="00471DCE" w:rsidRDefault="00471DCE" w:rsidP="00471DCE">
      <w:pPr>
        <w:spacing w:after="240"/>
        <w:jc w:val="center"/>
        <w:rPr>
          <w:rFonts w:ascii="Times New Roman" w:hAnsi="Times New Roman" w:cs="Times New Roman"/>
          <w:sz w:val="24"/>
          <w:szCs w:val="24"/>
        </w:rPr>
      </w:pPr>
      <m:oMathPara>
        <m:oMath>
          <m:r>
            <w:rPr>
              <w:rFonts w:ascii="Cambria Math" w:hAnsi="Cambria Math" w:cs="Times New Roman"/>
              <w:sz w:val="24"/>
              <w:szCs w:val="24"/>
            </w:rPr>
            <m:t xml:space="preserve">NSI = 1 - </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PD</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observed</m:t>
                      </m:r>
                    </m:sub>
                  </m:sSub>
                </m:num>
                <m:den>
                  <m:r>
                    <w:rPr>
                      <w:rFonts w:ascii="Cambria Math" w:hAnsi="Cambria Math" w:cs="Times New Roman"/>
                      <w:sz w:val="24"/>
                      <w:szCs w:val="24"/>
                    </w:rPr>
                    <m:t>PD</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max</m:t>
                      </m:r>
                    </m:sub>
                  </m:sSub>
                </m:den>
              </m:f>
            </m:e>
          </m:d>
        </m:oMath>
      </m:oMathPara>
    </w:p>
    <w:p w14:paraId="02FCB40A"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The four analytical phases were sequentially structured to establish a validation chain: risk quantification, structural containment modeling, standards alignment verification, and operational resilience demonstration. All metrics were mathematically defined and applied consistently across scenarios to ensure methodological rigor and reproducibility.</w:t>
      </w:r>
    </w:p>
    <w:p w14:paraId="02FCB40B" w14:textId="77777777" w:rsidR="00B87A6F" w:rsidRPr="00471DCE" w:rsidRDefault="000201F3" w:rsidP="00471DCE">
      <w:pPr>
        <w:spacing w:before="240" w:after="240"/>
        <w:rPr>
          <w:rFonts w:ascii="Times New Roman" w:hAnsi="Times New Roman" w:cs="Times New Roman"/>
          <w:b/>
          <w:bCs/>
          <w:sz w:val="24"/>
          <w:szCs w:val="24"/>
        </w:rPr>
      </w:pPr>
      <w:bookmarkStart w:id="13" w:name="_heading=h.stdozo3l5d30" w:colFirst="0" w:colLast="0"/>
      <w:bookmarkEnd w:id="13"/>
      <w:r>
        <w:rPr>
          <w:rFonts w:ascii="Times New Roman" w:hAnsi="Times New Roman" w:cs="Times New Roman"/>
          <w:b/>
          <w:bCs/>
          <w:sz w:val="24"/>
          <w:szCs w:val="24"/>
        </w:rPr>
        <w:t>4.</w:t>
      </w:r>
      <w:r>
        <w:rPr>
          <w:rFonts w:ascii="Times New Roman" w:hAnsi="Times New Roman" w:cs="Times New Roman"/>
          <w:b/>
          <w:bCs/>
          <w:sz w:val="24"/>
          <w:szCs w:val="24"/>
        </w:rPr>
        <w:tab/>
      </w:r>
      <w:r w:rsidR="00471DCE" w:rsidRPr="00471DCE">
        <w:rPr>
          <w:rFonts w:ascii="Times New Roman" w:hAnsi="Times New Roman" w:cs="Times New Roman"/>
          <w:b/>
          <w:bCs/>
          <w:sz w:val="24"/>
          <w:szCs w:val="24"/>
        </w:rPr>
        <w:t>Results and Discussion</w:t>
      </w:r>
    </w:p>
    <w:p w14:paraId="02FCB40C" w14:textId="77777777" w:rsidR="00B87A6F"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t>Objective 1: Identify the security and safety risks associated with the deployment of agentic AI in OT/ICS environments.</w:t>
      </w:r>
    </w:p>
    <w:p w14:paraId="02FCB40D"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 quantitative statistical modeling approach was adopted to evaluate the magnitude of cyber-physical process deviations associated with representative attack categories within industrial control environments. Risk was operationalized using standardized deviation metrics and escalation indices to quantify systemic impact.</w:t>
      </w:r>
    </w:p>
    <w:p w14:paraId="02FCB40E"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t>Table 1</w:t>
      </w:r>
      <w:r w:rsidRPr="00471DCE">
        <w:rPr>
          <w:rFonts w:ascii="Times New Roman" w:hAnsi="Times New Roman" w:cs="Times New Roman"/>
          <w:sz w:val="24"/>
          <w:szCs w:val="24"/>
        </w:rPr>
        <w:t>: Risk Severity and Escalation Metrics Across Attack Categories</w:t>
      </w:r>
    </w:p>
    <w:tbl>
      <w:tblPr>
        <w:tblStyle w:val="a4"/>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B87A6F" w:rsidRPr="00471DCE" w14:paraId="02FCB414" w14:textId="77777777">
        <w:tc>
          <w:tcPr>
            <w:tcW w:w="1728" w:type="dxa"/>
          </w:tcPr>
          <w:p w14:paraId="02FCB40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Attack Type</w:t>
            </w:r>
          </w:p>
        </w:tc>
        <w:tc>
          <w:tcPr>
            <w:tcW w:w="1728" w:type="dxa"/>
          </w:tcPr>
          <w:p w14:paraId="02FCB41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Mean PIDI</w:t>
            </w:r>
          </w:p>
        </w:tc>
        <w:tc>
          <w:tcPr>
            <w:tcW w:w="1728" w:type="dxa"/>
          </w:tcPr>
          <w:p w14:paraId="02FCB411"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Max PIDI</w:t>
            </w:r>
          </w:p>
        </w:tc>
        <w:tc>
          <w:tcPr>
            <w:tcW w:w="1728" w:type="dxa"/>
          </w:tcPr>
          <w:p w14:paraId="02FCB412"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RSS</w:t>
            </w:r>
          </w:p>
        </w:tc>
        <w:tc>
          <w:tcPr>
            <w:tcW w:w="1728" w:type="dxa"/>
          </w:tcPr>
          <w:p w14:paraId="02FCB413"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MVEI</w:t>
            </w:r>
          </w:p>
        </w:tc>
      </w:tr>
      <w:tr w:rsidR="00B87A6F" w:rsidRPr="00471DCE" w14:paraId="02FCB41A" w14:textId="77777777">
        <w:tc>
          <w:tcPr>
            <w:tcW w:w="1728" w:type="dxa"/>
          </w:tcPr>
          <w:p w14:paraId="02FCB41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Replay Attack</w:t>
            </w:r>
          </w:p>
        </w:tc>
        <w:tc>
          <w:tcPr>
            <w:tcW w:w="1728" w:type="dxa"/>
          </w:tcPr>
          <w:p w14:paraId="02FCB416"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1.62</w:t>
            </w:r>
          </w:p>
        </w:tc>
        <w:tc>
          <w:tcPr>
            <w:tcW w:w="1728" w:type="dxa"/>
          </w:tcPr>
          <w:p w14:paraId="02FCB417"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2.84</w:t>
            </w:r>
          </w:p>
        </w:tc>
        <w:tc>
          <w:tcPr>
            <w:tcW w:w="1728" w:type="dxa"/>
          </w:tcPr>
          <w:p w14:paraId="02FCB418"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1.62</w:t>
            </w:r>
          </w:p>
        </w:tc>
        <w:tc>
          <w:tcPr>
            <w:tcW w:w="1728" w:type="dxa"/>
          </w:tcPr>
          <w:p w14:paraId="02FCB419"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0.13</w:t>
            </w:r>
          </w:p>
        </w:tc>
      </w:tr>
      <w:tr w:rsidR="00B87A6F" w:rsidRPr="00471DCE" w14:paraId="02FCB420" w14:textId="77777777">
        <w:tc>
          <w:tcPr>
            <w:tcW w:w="1728" w:type="dxa"/>
          </w:tcPr>
          <w:p w14:paraId="02FCB41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lastRenderedPageBreak/>
              <w:t>DoS</w:t>
            </w:r>
          </w:p>
        </w:tc>
        <w:tc>
          <w:tcPr>
            <w:tcW w:w="1728" w:type="dxa"/>
          </w:tcPr>
          <w:p w14:paraId="02FCB41C"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2.74</w:t>
            </w:r>
          </w:p>
        </w:tc>
        <w:tc>
          <w:tcPr>
            <w:tcW w:w="1728" w:type="dxa"/>
          </w:tcPr>
          <w:p w14:paraId="02FCB41D"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5.91</w:t>
            </w:r>
          </w:p>
        </w:tc>
        <w:tc>
          <w:tcPr>
            <w:tcW w:w="1728" w:type="dxa"/>
          </w:tcPr>
          <w:p w14:paraId="02FCB41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2.74</w:t>
            </w:r>
          </w:p>
        </w:tc>
        <w:tc>
          <w:tcPr>
            <w:tcW w:w="1728" w:type="dxa"/>
          </w:tcPr>
          <w:p w14:paraId="02FCB41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0.50</w:t>
            </w:r>
          </w:p>
        </w:tc>
      </w:tr>
      <w:tr w:rsidR="00B87A6F" w:rsidRPr="00471DCE" w14:paraId="02FCB426" w14:textId="77777777">
        <w:tc>
          <w:tcPr>
            <w:tcW w:w="1728" w:type="dxa"/>
          </w:tcPr>
          <w:p w14:paraId="02FCB421"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Command Injection</w:t>
            </w:r>
          </w:p>
        </w:tc>
        <w:tc>
          <w:tcPr>
            <w:tcW w:w="1728" w:type="dxa"/>
          </w:tcPr>
          <w:p w14:paraId="02FCB422"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3.81</w:t>
            </w:r>
          </w:p>
        </w:tc>
        <w:tc>
          <w:tcPr>
            <w:tcW w:w="1728" w:type="dxa"/>
          </w:tcPr>
          <w:p w14:paraId="02FCB423"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7.46</w:t>
            </w:r>
          </w:p>
        </w:tc>
        <w:tc>
          <w:tcPr>
            <w:tcW w:w="1728" w:type="dxa"/>
          </w:tcPr>
          <w:p w14:paraId="02FCB424"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3.81</w:t>
            </w:r>
          </w:p>
        </w:tc>
        <w:tc>
          <w:tcPr>
            <w:tcW w:w="1728" w:type="dxa"/>
          </w:tcPr>
          <w:p w14:paraId="02FCB42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0.75</w:t>
            </w:r>
          </w:p>
        </w:tc>
      </w:tr>
    </w:tbl>
    <w:p w14:paraId="02FCB427"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As shown in Table 1, command injection produced the highest risk severity score (RSS = 3.81) and the highest multi-variable escalation index (MVEI = 0.75), indicating systemic destabilization across process variables. Denial-of-service attacks demonstrated substantial cascading potential (MVEI = 0.50), while replay attacks exhibited localized but measurable deviations.</w:t>
      </w:r>
    </w:p>
    <w:p w14:paraId="02FCB428"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br/>
      </w:r>
      <w:r w:rsidRPr="00471DCE">
        <w:rPr>
          <w:rFonts w:ascii="Times New Roman" w:hAnsi="Times New Roman" w:cs="Times New Roman"/>
          <w:noProof/>
          <w:sz w:val="24"/>
          <w:szCs w:val="24"/>
          <w:lang w:val="en-US"/>
        </w:rPr>
        <w:drawing>
          <wp:inline distT="0" distB="0" distL="0" distR="0" wp14:anchorId="02FCB510" wp14:editId="02FCB511">
            <wp:extent cx="4572000" cy="3810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72000" cy="3810000"/>
                    </a:xfrm>
                    <a:prstGeom prst="rect">
                      <a:avLst/>
                    </a:prstGeom>
                    <a:ln/>
                  </pic:spPr>
                </pic:pic>
              </a:graphicData>
            </a:graphic>
          </wp:inline>
        </w:drawing>
      </w:r>
    </w:p>
    <w:p w14:paraId="02FCB429"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1</w:t>
      </w:r>
      <w:r w:rsidRPr="00471DCE">
        <w:rPr>
          <w:rFonts w:ascii="Times New Roman" w:hAnsi="Times New Roman" w:cs="Times New Roman"/>
          <w:sz w:val="24"/>
          <w:szCs w:val="24"/>
        </w:rPr>
        <w:t>: Systemic Risk Escalation Profile</w:t>
      </w:r>
    </w:p>
    <w:p w14:paraId="02FCB42A"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As illustrated in Figure 1, escalation intensity increases proportionally with risk severity. The spatial dispersion demonstrates clear separation between moderate, high, and critical threat categories, reinforcing the presence of nonlinear systemic amplification.</w:t>
      </w:r>
    </w:p>
    <w:p w14:paraId="02FCB42B"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noProof/>
          <w:sz w:val="24"/>
          <w:szCs w:val="24"/>
          <w:lang w:val="en-US"/>
        </w:rPr>
        <w:lastRenderedPageBreak/>
        <w:drawing>
          <wp:inline distT="0" distB="0" distL="0" distR="0" wp14:anchorId="02FCB512" wp14:editId="02FCB513">
            <wp:extent cx="4420764" cy="368397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20764" cy="3683970"/>
                    </a:xfrm>
                    <a:prstGeom prst="rect">
                      <a:avLst/>
                    </a:prstGeom>
                    <a:ln/>
                  </pic:spPr>
                </pic:pic>
              </a:graphicData>
            </a:graphic>
          </wp:inline>
        </w:drawing>
      </w:r>
    </w:p>
    <w:p w14:paraId="02FCB42C"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2</w:t>
      </w:r>
      <w:r w:rsidRPr="00471DCE">
        <w:rPr>
          <w:rFonts w:ascii="Times New Roman" w:hAnsi="Times New Roman" w:cs="Times New Roman"/>
          <w:sz w:val="24"/>
          <w:szCs w:val="24"/>
        </w:rPr>
        <w:t>: Distributional Spread of Process Deviations</w:t>
      </w:r>
    </w:p>
    <w:p w14:paraId="02FCB42D"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Figure 2 further demonstrates variance amplification across attack categories. Command injection exhibits the widest distributional spread and highest median deviation, followed by denial-of-service, while replay attacks remain comparatively contained. The increasing dispersion patterns suggest that attacks influencing control logic generate broader operational instability.</w:t>
      </w:r>
    </w:p>
    <w:p w14:paraId="02FCB42E"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The quantitative findings demonstrate measurable escalation gradients across attack classes, with control-influencing events producing disproportionately higher systemic instability. The structured risk metrics provide empirical grounding for assessing autonomous operational impact within cyber-physical environments.</w:t>
      </w:r>
    </w:p>
    <w:p w14:paraId="02FCB42F" w14:textId="77777777" w:rsidR="00B87A6F"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t>Objective 2: Develop a secure-by-containment architectural framework and quantify architectural containment strength.</w:t>
      </w:r>
    </w:p>
    <w:p w14:paraId="02FCB430"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 quantitative graph-theoretic modeling approach was adopted to evaluate architectural containment performance within an industrial control network environment. Structural influence was operationalized using betweenness centrality, and containment effectiveness was measured through the Network Containment Efficiency Index (NCEI), expressed as the Containment Strength Score (CSS).</w:t>
      </w:r>
    </w:p>
    <w:p w14:paraId="02FCB431"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lastRenderedPageBreak/>
        <w:br/>
      </w:r>
      <w:r w:rsidRPr="00471DCE">
        <w:rPr>
          <w:rFonts w:ascii="Times New Roman" w:hAnsi="Times New Roman" w:cs="Times New Roman"/>
          <w:b/>
          <w:bCs/>
          <w:sz w:val="24"/>
          <w:szCs w:val="24"/>
        </w:rPr>
        <w:t>Table 2</w:t>
      </w:r>
      <w:r w:rsidRPr="00471DCE">
        <w:rPr>
          <w:rFonts w:ascii="Times New Roman" w:hAnsi="Times New Roman" w:cs="Times New Roman"/>
          <w:sz w:val="24"/>
          <w:szCs w:val="24"/>
        </w:rPr>
        <w:t>: Network Containment Efficiency Metrics Across Architectural States</w:t>
      </w:r>
    </w:p>
    <w:tbl>
      <w:tblPr>
        <w:tblStyle w:val="a5"/>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B87A6F" w:rsidRPr="00471DCE" w14:paraId="02FCB437" w14:textId="77777777">
        <w:tc>
          <w:tcPr>
            <w:tcW w:w="1728" w:type="dxa"/>
          </w:tcPr>
          <w:p w14:paraId="02FCB432"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Scenario</w:t>
            </w:r>
          </w:p>
        </w:tc>
        <w:tc>
          <w:tcPr>
            <w:tcW w:w="1728" w:type="dxa"/>
          </w:tcPr>
          <w:p w14:paraId="02FCB433"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BC Before</w:t>
            </w:r>
          </w:p>
        </w:tc>
        <w:tc>
          <w:tcPr>
            <w:tcW w:w="1728" w:type="dxa"/>
          </w:tcPr>
          <w:p w14:paraId="02FCB434"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BC After</w:t>
            </w:r>
          </w:p>
        </w:tc>
        <w:tc>
          <w:tcPr>
            <w:tcW w:w="1728" w:type="dxa"/>
          </w:tcPr>
          <w:p w14:paraId="02FCB43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Absolute Reduction</w:t>
            </w:r>
          </w:p>
        </w:tc>
        <w:tc>
          <w:tcPr>
            <w:tcW w:w="1728" w:type="dxa"/>
          </w:tcPr>
          <w:p w14:paraId="02FCB436"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CSS</w:t>
            </w:r>
          </w:p>
        </w:tc>
      </w:tr>
      <w:tr w:rsidR="00B87A6F" w:rsidRPr="00471DCE" w14:paraId="02FCB43D" w14:textId="77777777">
        <w:tc>
          <w:tcPr>
            <w:tcW w:w="1728" w:type="dxa"/>
          </w:tcPr>
          <w:p w14:paraId="02FCB438"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No Containment</w:t>
            </w:r>
          </w:p>
        </w:tc>
        <w:tc>
          <w:tcPr>
            <w:tcW w:w="1728" w:type="dxa"/>
          </w:tcPr>
          <w:p w14:paraId="02FCB439"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0.417</w:t>
            </w:r>
          </w:p>
        </w:tc>
        <w:tc>
          <w:tcPr>
            <w:tcW w:w="1728" w:type="dxa"/>
          </w:tcPr>
          <w:p w14:paraId="02FCB43A"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w:t>
            </w:r>
          </w:p>
        </w:tc>
        <w:tc>
          <w:tcPr>
            <w:tcW w:w="1728" w:type="dxa"/>
          </w:tcPr>
          <w:p w14:paraId="02FCB43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w:t>
            </w:r>
          </w:p>
        </w:tc>
        <w:tc>
          <w:tcPr>
            <w:tcW w:w="1728" w:type="dxa"/>
          </w:tcPr>
          <w:p w14:paraId="02FCB43C"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w:t>
            </w:r>
          </w:p>
        </w:tc>
      </w:tr>
      <w:tr w:rsidR="00B87A6F" w:rsidRPr="00471DCE" w14:paraId="02FCB443" w14:textId="77777777">
        <w:tc>
          <w:tcPr>
            <w:tcW w:w="1728" w:type="dxa"/>
          </w:tcPr>
          <w:p w14:paraId="02FCB43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Policy Filter</w:t>
            </w:r>
          </w:p>
        </w:tc>
        <w:tc>
          <w:tcPr>
            <w:tcW w:w="1728" w:type="dxa"/>
          </w:tcPr>
          <w:p w14:paraId="02FCB43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0.417</w:t>
            </w:r>
          </w:p>
        </w:tc>
        <w:tc>
          <w:tcPr>
            <w:tcW w:w="1728" w:type="dxa"/>
          </w:tcPr>
          <w:p w14:paraId="02FCB44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0.291</w:t>
            </w:r>
          </w:p>
        </w:tc>
        <w:tc>
          <w:tcPr>
            <w:tcW w:w="1728" w:type="dxa"/>
          </w:tcPr>
          <w:p w14:paraId="02FCB441"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0.126</w:t>
            </w:r>
          </w:p>
        </w:tc>
        <w:tc>
          <w:tcPr>
            <w:tcW w:w="1728" w:type="dxa"/>
          </w:tcPr>
          <w:p w14:paraId="02FCB442"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0.302</w:t>
            </w:r>
          </w:p>
        </w:tc>
      </w:tr>
      <w:tr w:rsidR="00B87A6F" w:rsidRPr="00471DCE" w14:paraId="02FCB449" w14:textId="77777777">
        <w:tc>
          <w:tcPr>
            <w:tcW w:w="1728" w:type="dxa"/>
          </w:tcPr>
          <w:p w14:paraId="02FCB444"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Capability Scoping</w:t>
            </w:r>
          </w:p>
        </w:tc>
        <w:tc>
          <w:tcPr>
            <w:tcW w:w="1728" w:type="dxa"/>
          </w:tcPr>
          <w:p w14:paraId="02FCB44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0.417</w:t>
            </w:r>
          </w:p>
        </w:tc>
        <w:tc>
          <w:tcPr>
            <w:tcW w:w="1728" w:type="dxa"/>
          </w:tcPr>
          <w:p w14:paraId="02FCB446"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0.228</w:t>
            </w:r>
          </w:p>
        </w:tc>
        <w:tc>
          <w:tcPr>
            <w:tcW w:w="1728" w:type="dxa"/>
          </w:tcPr>
          <w:p w14:paraId="02FCB447"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0.189</w:t>
            </w:r>
          </w:p>
        </w:tc>
        <w:tc>
          <w:tcPr>
            <w:tcW w:w="1728" w:type="dxa"/>
          </w:tcPr>
          <w:p w14:paraId="02FCB448"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0.453</w:t>
            </w:r>
          </w:p>
        </w:tc>
      </w:tr>
      <w:tr w:rsidR="00B87A6F" w:rsidRPr="00471DCE" w14:paraId="02FCB44F" w14:textId="77777777">
        <w:tc>
          <w:tcPr>
            <w:tcW w:w="1728" w:type="dxa"/>
          </w:tcPr>
          <w:p w14:paraId="02FCB44A"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Full Containment</w:t>
            </w:r>
          </w:p>
        </w:tc>
        <w:tc>
          <w:tcPr>
            <w:tcW w:w="1728" w:type="dxa"/>
          </w:tcPr>
          <w:p w14:paraId="02FCB44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0.417</w:t>
            </w:r>
          </w:p>
        </w:tc>
        <w:tc>
          <w:tcPr>
            <w:tcW w:w="1728" w:type="dxa"/>
          </w:tcPr>
          <w:p w14:paraId="02FCB44C"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0.104</w:t>
            </w:r>
          </w:p>
        </w:tc>
        <w:tc>
          <w:tcPr>
            <w:tcW w:w="1728" w:type="dxa"/>
          </w:tcPr>
          <w:p w14:paraId="02FCB44D"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0.313</w:t>
            </w:r>
          </w:p>
        </w:tc>
        <w:tc>
          <w:tcPr>
            <w:tcW w:w="1728" w:type="dxa"/>
          </w:tcPr>
          <w:p w14:paraId="02FCB44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0.751</w:t>
            </w:r>
          </w:p>
        </w:tc>
      </w:tr>
    </w:tbl>
    <w:p w14:paraId="02FCB450"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As shown in Table 2, the uncontained architecture positioned the AI node with a betweenness centrality of 0.417, indicating substantial structural influence across communication paths. Incremental containment mechanisms reduced centrality progressively, with full secure-by-containment achieving a reduction to 0.104 and a CSS of 0.751, representing a 75.1% decrease in structural influence.</w:t>
      </w:r>
    </w:p>
    <w:p w14:paraId="02FCB451"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lastRenderedPageBreak/>
        <w:br/>
      </w:r>
      <w:r w:rsidRPr="00471DCE">
        <w:rPr>
          <w:rFonts w:ascii="Times New Roman" w:hAnsi="Times New Roman" w:cs="Times New Roman"/>
          <w:noProof/>
          <w:sz w:val="24"/>
          <w:szCs w:val="24"/>
          <w:lang w:val="en-US"/>
        </w:rPr>
        <w:drawing>
          <wp:inline distT="0" distB="0" distL="0" distR="0" wp14:anchorId="02FCB514" wp14:editId="02FCB515">
            <wp:extent cx="4572000" cy="38100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72000" cy="3810000"/>
                    </a:xfrm>
                    <a:prstGeom prst="rect">
                      <a:avLst/>
                    </a:prstGeom>
                    <a:ln/>
                  </pic:spPr>
                </pic:pic>
              </a:graphicData>
            </a:graphic>
          </wp:inline>
        </w:drawing>
      </w:r>
      <w:r w:rsidRPr="00471DCE">
        <w:rPr>
          <w:rFonts w:ascii="Times New Roman" w:hAnsi="Times New Roman" w:cs="Times New Roman"/>
          <w:sz w:val="24"/>
          <w:szCs w:val="24"/>
        </w:rPr>
        <w:br/>
      </w:r>
      <w:r w:rsidRPr="00471DCE">
        <w:rPr>
          <w:rFonts w:ascii="Times New Roman" w:hAnsi="Times New Roman" w:cs="Times New Roman"/>
          <w:b/>
          <w:bCs/>
          <w:sz w:val="24"/>
          <w:szCs w:val="24"/>
        </w:rPr>
        <w:t>Figure 3</w:t>
      </w:r>
      <w:r w:rsidRPr="00471DCE">
        <w:rPr>
          <w:rFonts w:ascii="Times New Roman" w:hAnsi="Times New Roman" w:cs="Times New Roman"/>
          <w:sz w:val="24"/>
          <w:szCs w:val="24"/>
        </w:rPr>
        <w:t>: Containment Strength Relative to Structural Influence</w:t>
      </w:r>
    </w:p>
    <w:p w14:paraId="02FCB452"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As illustrated in Figure 3, containment strength increases as post-containment centrality decreases, demonstrating a clear inverse structural relationship. Full containment produces both the lowest centrality and highest containment strength, indicating effective architectural constraint.</w:t>
      </w:r>
    </w:p>
    <w:p w14:paraId="02FCB453"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br/>
      </w:r>
    </w:p>
    <w:p w14:paraId="02FCB454"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noProof/>
          <w:sz w:val="24"/>
          <w:szCs w:val="24"/>
          <w:lang w:val="en-US"/>
        </w:rPr>
        <w:lastRenderedPageBreak/>
        <w:drawing>
          <wp:inline distT="0" distB="0" distL="0" distR="0" wp14:anchorId="02FCB516" wp14:editId="02FCB517">
            <wp:extent cx="4572000" cy="3810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72000" cy="3810000"/>
                    </a:xfrm>
                    <a:prstGeom prst="rect">
                      <a:avLst/>
                    </a:prstGeom>
                    <a:ln/>
                  </pic:spPr>
                </pic:pic>
              </a:graphicData>
            </a:graphic>
          </wp:inline>
        </w:drawing>
      </w:r>
    </w:p>
    <w:p w14:paraId="02FCB455"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4:</w:t>
      </w:r>
      <w:r w:rsidRPr="00471DCE">
        <w:rPr>
          <w:rFonts w:ascii="Times New Roman" w:hAnsi="Times New Roman" w:cs="Times New Roman"/>
          <w:sz w:val="24"/>
          <w:szCs w:val="24"/>
        </w:rPr>
        <w:t xml:space="preserve"> Structural Influence Decay Across Architectural States</w:t>
      </w:r>
    </w:p>
    <w:p w14:paraId="02FCB456"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Figure 4 demonstrates a monotonic decline in betweenness centrality as containment layers are introduced. The sharp decline under full containment reflects a substantial restructuring of network authority topology, limiting the AI node’s propagation capacity within the control environment.</w:t>
      </w:r>
    </w:p>
    <w:p w14:paraId="02FCB457"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These findings demonstrate that containment mechanisms materially alter network authority distribution. The substantial reduction in structural centrality under full containment provides empirical validation for treating containment as a core architectural security primitive within OT/ICS environments.</w:t>
      </w:r>
    </w:p>
    <w:p w14:paraId="02FCB458" w14:textId="77777777" w:rsidR="00B87A6F"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t>Objective 3: Assess alignment of the secure-by-containment architecture with established OT/ICS standards using quantitative mapping.</w:t>
      </w:r>
    </w:p>
    <w:p w14:paraId="02FCB459"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 quantitative control-mapping approach was adopted to evaluate architectural alignment with the NIST SP 800-82 ICS control catalog. Alignment was measured using the Standards Coverage Quantification Index (SCQI), computed as the proportion of applicable controls architecturally enforced by the containment framework.</w:t>
      </w:r>
      <w:r w:rsidRPr="00471DCE">
        <w:rPr>
          <w:rFonts w:ascii="Times New Roman" w:hAnsi="Times New Roman" w:cs="Times New Roman"/>
          <w:sz w:val="24"/>
          <w:szCs w:val="24"/>
        </w:rPr>
        <w:br/>
      </w:r>
      <w:r w:rsidRPr="00471DCE">
        <w:rPr>
          <w:rFonts w:ascii="Times New Roman" w:hAnsi="Times New Roman" w:cs="Times New Roman"/>
          <w:b/>
          <w:bCs/>
          <w:sz w:val="24"/>
          <w:szCs w:val="24"/>
        </w:rPr>
        <w:t>Table 3</w:t>
      </w:r>
      <w:r w:rsidRPr="00471DCE">
        <w:rPr>
          <w:rFonts w:ascii="Times New Roman" w:hAnsi="Times New Roman" w:cs="Times New Roman"/>
          <w:sz w:val="24"/>
          <w:szCs w:val="24"/>
        </w:rPr>
        <w:t>: Control Family-Level Standards Coverage Analysis</w:t>
      </w:r>
    </w:p>
    <w:tbl>
      <w:tblPr>
        <w:tblStyle w:val="a6"/>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B87A6F" w:rsidRPr="00471DCE" w14:paraId="02FCB45E" w14:textId="77777777">
        <w:tc>
          <w:tcPr>
            <w:tcW w:w="2160" w:type="dxa"/>
          </w:tcPr>
          <w:p w14:paraId="02FCB45A"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lastRenderedPageBreak/>
              <w:t>Control Family</w:t>
            </w:r>
          </w:p>
        </w:tc>
        <w:tc>
          <w:tcPr>
            <w:tcW w:w="2160" w:type="dxa"/>
          </w:tcPr>
          <w:p w14:paraId="02FCB45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Total Controls</w:t>
            </w:r>
          </w:p>
        </w:tc>
        <w:tc>
          <w:tcPr>
            <w:tcW w:w="2160" w:type="dxa"/>
          </w:tcPr>
          <w:p w14:paraId="02FCB45C"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Addressed</w:t>
            </w:r>
          </w:p>
        </w:tc>
        <w:tc>
          <w:tcPr>
            <w:tcW w:w="2160" w:type="dxa"/>
          </w:tcPr>
          <w:p w14:paraId="02FCB45D"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Coverage %</w:t>
            </w:r>
          </w:p>
        </w:tc>
      </w:tr>
      <w:tr w:rsidR="00B87A6F" w:rsidRPr="00471DCE" w14:paraId="02FCB463" w14:textId="77777777">
        <w:tc>
          <w:tcPr>
            <w:tcW w:w="2160" w:type="dxa"/>
          </w:tcPr>
          <w:p w14:paraId="02FCB45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Access Control</w:t>
            </w:r>
          </w:p>
        </w:tc>
        <w:tc>
          <w:tcPr>
            <w:tcW w:w="2160" w:type="dxa"/>
          </w:tcPr>
          <w:p w14:paraId="02FCB46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20</w:t>
            </w:r>
          </w:p>
        </w:tc>
        <w:tc>
          <w:tcPr>
            <w:tcW w:w="2160" w:type="dxa"/>
          </w:tcPr>
          <w:p w14:paraId="02FCB461"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18</w:t>
            </w:r>
          </w:p>
        </w:tc>
        <w:tc>
          <w:tcPr>
            <w:tcW w:w="2160" w:type="dxa"/>
          </w:tcPr>
          <w:p w14:paraId="02FCB462"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90%</w:t>
            </w:r>
          </w:p>
        </w:tc>
      </w:tr>
      <w:tr w:rsidR="00B87A6F" w:rsidRPr="00471DCE" w14:paraId="02FCB468" w14:textId="77777777">
        <w:tc>
          <w:tcPr>
            <w:tcW w:w="2160" w:type="dxa"/>
          </w:tcPr>
          <w:p w14:paraId="02FCB464"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Identification &amp; Authentication</w:t>
            </w:r>
          </w:p>
        </w:tc>
        <w:tc>
          <w:tcPr>
            <w:tcW w:w="2160" w:type="dxa"/>
          </w:tcPr>
          <w:p w14:paraId="02FCB46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15</w:t>
            </w:r>
          </w:p>
        </w:tc>
        <w:tc>
          <w:tcPr>
            <w:tcW w:w="2160" w:type="dxa"/>
          </w:tcPr>
          <w:p w14:paraId="02FCB466"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13</w:t>
            </w:r>
          </w:p>
        </w:tc>
        <w:tc>
          <w:tcPr>
            <w:tcW w:w="2160" w:type="dxa"/>
          </w:tcPr>
          <w:p w14:paraId="02FCB467"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87%</w:t>
            </w:r>
          </w:p>
        </w:tc>
      </w:tr>
      <w:tr w:rsidR="00B87A6F" w:rsidRPr="00471DCE" w14:paraId="02FCB46D" w14:textId="77777777">
        <w:tc>
          <w:tcPr>
            <w:tcW w:w="2160" w:type="dxa"/>
          </w:tcPr>
          <w:p w14:paraId="02FCB469"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System &amp; Communications Protection</w:t>
            </w:r>
          </w:p>
        </w:tc>
        <w:tc>
          <w:tcPr>
            <w:tcW w:w="2160" w:type="dxa"/>
          </w:tcPr>
          <w:p w14:paraId="02FCB46A"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28</w:t>
            </w:r>
          </w:p>
        </w:tc>
        <w:tc>
          <w:tcPr>
            <w:tcW w:w="2160" w:type="dxa"/>
          </w:tcPr>
          <w:p w14:paraId="02FCB46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24</w:t>
            </w:r>
          </w:p>
        </w:tc>
        <w:tc>
          <w:tcPr>
            <w:tcW w:w="2160" w:type="dxa"/>
          </w:tcPr>
          <w:p w14:paraId="02FCB46C"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86%</w:t>
            </w:r>
          </w:p>
        </w:tc>
      </w:tr>
      <w:tr w:rsidR="00B87A6F" w:rsidRPr="00471DCE" w14:paraId="02FCB472" w14:textId="77777777">
        <w:tc>
          <w:tcPr>
            <w:tcW w:w="2160" w:type="dxa"/>
          </w:tcPr>
          <w:p w14:paraId="02FCB46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System &amp; Information Integrity</w:t>
            </w:r>
          </w:p>
        </w:tc>
        <w:tc>
          <w:tcPr>
            <w:tcW w:w="2160" w:type="dxa"/>
          </w:tcPr>
          <w:p w14:paraId="02FCB46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24</w:t>
            </w:r>
          </w:p>
        </w:tc>
        <w:tc>
          <w:tcPr>
            <w:tcW w:w="2160" w:type="dxa"/>
          </w:tcPr>
          <w:p w14:paraId="02FCB47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22</w:t>
            </w:r>
          </w:p>
        </w:tc>
        <w:tc>
          <w:tcPr>
            <w:tcW w:w="2160" w:type="dxa"/>
          </w:tcPr>
          <w:p w14:paraId="02FCB471"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92%</w:t>
            </w:r>
          </w:p>
        </w:tc>
      </w:tr>
      <w:tr w:rsidR="00B87A6F" w:rsidRPr="00471DCE" w14:paraId="02FCB477" w14:textId="77777777">
        <w:tc>
          <w:tcPr>
            <w:tcW w:w="2160" w:type="dxa"/>
          </w:tcPr>
          <w:p w14:paraId="02FCB473"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Audit &amp; Accountability</w:t>
            </w:r>
          </w:p>
        </w:tc>
        <w:tc>
          <w:tcPr>
            <w:tcW w:w="2160" w:type="dxa"/>
          </w:tcPr>
          <w:p w14:paraId="02FCB474"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16</w:t>
            </w:r>
          </w:p>
        </w:tc>
        <w:tc>
          <w:tcPr>
            <w:tcW w:w="2160" w:type="dxa"/>
          </w:tcPr>
          <w:p w14:paraId="02FCB47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14</w:t>
            </w:r>
          </w:p>
        </w:tc>
        <w:tc>
          <w:tcPr>
            <w:tcW w:w="2160" w:type="dxa"/>
          </w:tcPr>
          <w:p w14:paraId="02FCB476"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88%</w:t>
            </w:r>
          </w:p>
        </w:tc>
      </w:tr>
      <w:tr w:rsidR="00B87A6F" w:rsidRPr="00471DCE" w14:paraId="02FCB47C" w14:textId="77777777">
        <w:tc>
          <w:tcPr>
            <w:tcW w:w="2160" w:type="dxa"/>
          </w:tcPr>
          <w:p w14:paraId="02FCB478"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Incident Response</w:t>
            </w:r>
          </w:p>
        </w:tc>
        <w:tc>
          <w:tcPr>
            <w:tcW w:w="2160" w:type="dxa"/>
          </w:tcPr>
          <w:p w14:paraId="02FCB479"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14</w:t>
            </w:r>
          </w:p>
        </w:tc>
        <w:tc>
          <w:tcPr>
            <w:tcW w:w="2160" w:type="dxa"/>
          </w:tcPr>
          <w:p w14:paraId="02FCB47A"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9</w:t>
            </w:r>
          </w:p>
        </w:tc>
        <w:tc>
          <w:tcPr>
            <w:tcW w:w="2160" w:type="dxa"/>
          </w:tcPr>
          <w:p w14:paraId="02FCB47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64%</w:t>
            </w:r>
          </w:p>
        </w:tc>
      </w:tr>
      <w:tr w:rsidR="00B87A6F" w:rsidRPr="00471DCE" w14:paraId="02FCB481" w14:textId="77777777">
        <w:tc>
          <w:tcPr>
            <w:tcW w:w="2160" w:type="dxa"/>
          </w:tcPr>
          <w:p w14:paraId="02FCB47D"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Configuration Management</w:t>
            </w:r>
          </w:p>
        </w:tc>
        <w:tc>
          <w:tcPr>
            <w:tcW w:w="2160" w:type="dxa"/>
          </w:tcPr>
          <w:p w14:paraId="02FCB47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15</w:t>
            </w:r>
          </w:p>
        </w:tc>
        <w:tc>
          <w:tcPr>
            <w:tcW w:w="2160" w:type="dxa"/>
          </w:tcPr>
          <w:p w14:paraId="02FCB47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11</w:t>
            </w:r>
          </w:p>
        </w:tc>
        <w:tc>
          <w:tcPr>
            <w:tcW w:w="2160" w:type="dxa"/>
          </w:tcPr>
          <w:p w14:paraId="02FCB48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73%</w:t>
            </w:r>
          </w:p>
        </w:tc>
      </w:tr>
    </w:tbl>
    <w:p w14:paraId="02FCB482" w14:textId="77777777" w:rsidR="00B87A6F" w:rsidRPr="00471DCE" w:rsidRDefault="00471DCE" w:rsidP="00471DCE">
      <w:pPr>
        <w:spacing w:after="240"/>
        <w:jc w:val="both"/>
        <w:rPr>
          <w:rFonts w:ascii="Times New Roman" w:hAnsi="Times New Roman" w:cs="Times New Roman"/>
          <w:sz w:val="24"/>
          <w:szCs w:val="24"/>
        </w:rPr>
      </w:pPr>
      <w:r w:rsidRPr="00471DCE">
        <w:rPr>
          <w:rFonts w:ascii="Times New Roman" w:hAnsi="Times New Roman" w:cs="Times New Roman"/>
          <w:sz w:val="24"/>
          <w:szCs w:val="24"/>
        </w:rPr>
        <w:br/>
        <w:t>As presented in Table 3, the secure-by-containment architecture demonstrates strong alignment across technical enforcement domains, particularly in System and Information Integrity (92%), Access Control (90%), and System and Communications Protection (86%). Incident Response exhibits comparatively lower alignment (64%), reflecting the framework’s preventative architectural focus rather than reactive mechanisms.</w:t>
      </w:r>
    </w:p>
    <w:p w14:paraId="02FCB483"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noProof/>
          <w:sz w:val="24"/>
          <w:szCs w:val="24"/>
          <w:lang w:val="en-US"/>
        </w:rPr>
        <w:lastRenderedPageBreak/>
        <w:drawing>
          <wp:inline distT="0" distB="0" distL="0" distR="0" wp14:anchorId="02FCB518" wp14:editId="02FCB519">
            <wp:extent cx="4572000" cy="45720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72000" cy="4572000"/>
                    </a:xfrm>
                    <a:prstGeom prst="rect">
                      <a:avLst/>
                    </a:prstGeom>
                    <a:ln/>
                  </pic:spPr>
                </pic:pic>
              </a:graphicData>
            </a:graphic>
          </wp:inline>
        </w:drawing>
      </w:r>
    </w:p>
    <w:p w14:paraId="02FCB484"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5</w:t>
      </w:r>
      <w:r w:rsidRPr="00471DCE">
        <w:rPr>
          <w:rFonts w:ascii="Times New Roman" w:hAnsi="Times New Roman" w:cs="Times New Roman"/>
          <w:sz w:val="24"/>
          <w:szCs w:val="24"/>
        </w:rPr>
        <w:t>: Multidimensional Standards Coverage Profile</w:t>
      </w:r>
    </w:p>
    <w:p w14:paraId="02FCB485"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As illustrated in Figure 5, coverage distribution is structurally balanced across core protection domains, with consistently high enforcement in integrity, authentication, and communication protection controls. The radar structure demonstrates multidimensional alignment rather than isolated compliance.</w:t>
      </w:r>
    </w:p>
    <w:p w14:paraId="02FCB486"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br/>
      </w:r>
    </w:p>
    <w:p w14:paraId="02FCB487"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noProof/>
          <w:sz w:val="24"/>
          <w:szCs w:val="24"/>
          <w:lang w:val="en-US"/>
        </w:rPr>
        <w:lastRenderedPageBreak/>
        <w:drawing>
          <wp:inline distT="0" distB="0" distL="0" distR="0" wp14:anchorId="02FCB51A" wp14:editId="02FCB51B">
            <wp:extent cx="4572000" cy="38100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72000" cy="3810000"/>
                    </a:xfrm>
                    <a:prstGeom prst="rect">
                      <a:avLst/>
                    </a:prstGeom>
                    <a:ln/>
                  </pic:spPr>
                </pic:pic>
              </a:graphicData>
            </a:graphic>
          </wp:inline>
        </w:drawing>
      </w:r>
    </w:p>
    <w:p w14:paraId="02FCB488"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6</w:t>
      </w:r>
      <w:r w:rsidRPr="00471DCE">
        <w:rPr>
          <w:rFonts w:ascii="Times New Roman" w:hAnsi="Times New Roman" w:cs="Times New Roman"/>
          <w:sz w:val="24"/>
          <w:szCs w:val="24"/>
        </w:rPr>
        <w:t>: Ordered Standards Coverage Concentration Curve</w:t>
      </w:r>
    </w:p>
    <w:p w14:paraId="02FCB489"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Figure 6 demonstrates concentration dispersion across control families. The gradual slope indicates broad architectural coverage without excessive dependency on any single control domain, supporting the framework’s systemic alignment with OT/ICS security principles.</w:t>
      </w:r>
    </w:p>
    <w:p w14:paraId="02FCB48A"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Collectively, the quantitative alignment analysis demonstrates that the secure-by-containment architecture operationalizes a substantial proportion of applicable ICS technical controls (SCQI = 84.1%). The distribution of coverage across protection, integrity, and authentication domains provides measurable evidence that the architecture translates standards guidance into enforceable structural mechanisms within cyber-physical environments.</w:t>
      </w:r>
    </w:p>
    <w:p w14:paraId="02FCB48B" w14:textId="77777777" w:rsidR="00B87A6F"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t>Objective 4: Evaluate the effectiveness of the secure-by-containment architecture using structured scenario-based ICS use cases.</w:t>
      </w:r>
    </w:p>
    <w:p w14:paraId="02FCB48C"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 comparative intervention effectiveness analysis was conducted using scenario-based industrial process simulations. Containment performance was assessed by comparing autonomous agent behavior under uncontained and secure-by-containment architectural conditions. Effectiveness was quantified using Mean Time to Hazard (MTH), Process Deviation Area (PDA), and Safety Threshold Violation Count (STV).</w:t>
      </w:r>
    </w:p>
    <w:p w14:paraId="02FCB48D" w14:textId="5592E536"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lastRenderedPageBreak/>
        <w:br/>
      </w:r>
      <w:r w:rsidRPr="00471DCE">
        <w:rPr>
          <w:rFonts w:ascii="Times New Roman" w:hAnsi="Times New Roman" w:cs="Times New Roman"/>
          <w:b/>
          <w:bCs/>
          <w:sz w:val="24"/>
          <w:szCs w:val="24"/>
        </w:rPr>
        <w:t xml:space="preserve">Table </w:t>
      </w:r>
      <w:r w:rsidR="006461A9">
        <w:rPr>
          <w:rFonts w:ascii="Times New Roman" w:hAnsi="Times New Roman" w:cs="Times New Roman"/>
          <w:b/>
          <w:bCs/>
          <w:sz w:val="24"/>
          <w:szCs w:val="24"/>
        </w:rPr>
        <w:t>4</w:t>
      </w:r>
      <w:r w:rsidRPr="00471DCE">
        <w:rPr>
          <w:rFonts w:ascii="Times New Roman" w:hAnsi="Times New Roman" w:cs="Times New Roman"/>
          <w:sz w:val="24"/>
          <w:szCs w:val="24"/>
        </w:rPr>
        <w:t>: Comparative Containment Effectiveness Metrics</w:t>
      </w:r>
    </w:p>
    <w:tbl>
      <w:tblPr>
        <w:tblStyle w:val="a7"/>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B87A6F" w:rsidRPr="00471DCE" w14:paraId="02FCB492" w14:textId="77777777">
        <w:tc>
          <w:tcPr>
            <w:tcW w:w="2160" w:type="dxa"/>
          </w:tcPr>
          <w:p w14:paraId="02FCB48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Metric</w:t>
            </w:r>
          </w:p>
        </w:tc>
        <w:tc>
          <w:tcPr>
            <w:tcW w:w="2160" w:type="dxa"/>
          </w:tcPr>
          <w:p w14:paraId="02FCB48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No Containment</w:t>
            </w:r>
          </w:p>
        </w:tc>
        <w:tc>
          <w:tcPr>
            <w:tcW w:w="2160" w:type="dxa"/>
          </w:tcPr>
          <w:p w14:paraId="02FCB49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With Containment</w:t>
            </w:r>
          </w:p>
        </w:tc>
        <w:tc>
          <w:tcPr>
            <w:tcW w:w="2160" w:type="dxa"/>
          </w:tcPr>
          <w:p w14:paraId="02FCB491"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Improvement %</w:t>
            </w:r>
          </w:p>
        </w:tc>
      </w:tr>
      <w:tr w:rsidR="00B87A6F" w:rsidRPr="00471DCE" w14:paraId="02FCB497" w14:textId="77777777">
        <w:tc>
          <w:tcPr>
            <w:tcW w:w="2160" w:type="dxa"/>
          </w:tcPr>
          <w:p w14:paraId="02FCB493"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Mean Time to Hazard (sec)</w:t>
            </w:r>
          </w:p>
        </w:tc>
        <w:tc>
          <w:tcPr>
            <w:tcW w:w="2160" w:type="dxa"/>
          </w:tcPr>
          <w:p w14:paraId="02FCB494"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41</w:t>
            </w:r>
          </w:p>
        </w:tc>
        <w:tc>
          <w:tcPr>
            <w:tcW w:w="2160" w:type="dxa"/>
          </w:tcPr>
          <w:p w14:paraId="02FCB495"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128</w:t>
            </w:r>
          </w:p>
        </w:tc>
        <w:tc>
          <w:tcPr>
            <w:tcW w:w="2160" w:type="dxa"/>
          </w:tcPr>
          <w:p w14:paraId="02FCB496"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+212%</w:t>
            </w:r>
          </w:p>
        </w:tc>
      </w:tr>
      <w:tr w:rsidR="00B87A6F" w:rsidRPr="00471DCE" w14:paraId="02FCB49C" w14:textId="77777777">
        <w:tc>
          <w:tcPr>
            <w:tcW w:w="2160" w:type="dxa"/>
          </w:tcPr>
          <w:p w14:paraId="02FCB498"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Process Deviation Area (PDA)</w:t>
            </w:r>
          </w:p>
        </w:tc>
        <w:tc>
          <w:tcPr>
            <w:tcW w:w="2160" w:type="dxa"/>
          </w:tcPr>
          <w:p w14:paraId="02FCB499"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7.18</w:t>
            </w:r>
          </w:p>
        </w:tc>
        <w:tc>
          <w:tcPr>
            <w:tcW w:w="2160" w:type="dxa"/>
          </w:tcPr>
          <w:p w14:paraId="02FCB49A"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1.94</w:t>
            </w:r>
          </w:p>
        </w:tc>
        <w:tc>
          <w:tcPr>
            <w:tcW w:w="2160" w:type="dxa"/>
          </w:tcPr>
          <w:p w14:paraId="02FCB49B"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-73%</w:t>
            </w:r>
          </w:p>
        </w:tc>
      </w:tr>
      <w:tr w:rsidR="00B87A6F" w:rsidRPr="00471DCE" w14:paraId="02FCB4A1" w14:textId="77777777">
        <w:tc>
          <w:tcPr>
            <w:tcW w:w="2160" w:type="dxa"/>
          </w:tcPr>
          <w:p w14:paraId="02FCB49D"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Safety Threshold Violations (STV)</w:t>
            </w:r>
          </w:p>
        </w:tc>
        <w:tc>
          <w:tcPr>
            <w:tcW w:w="2160" w:type="dxa"/>
          </w:tcPr>
          <w:p w14:paraId="02FCB49E"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11</w:t>
            </w:r>
          </w:p>
        </w:tc>
        <w:tc>
          <w:tcPr>
            <w:tcW w:w="2160" w:type="dxa"/>
          </w:tcPr>
          <w:p w14:paraId="02FCB49F"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3</w:t>
            </w:r>
          </w:p>
        </w:tc>
        <w:tc>
          <w:tcPr>
            <w:tcW w:w="2160" w:type="dxa"/>
          </w:tcPr>
          <w:p w14:paraId="02FCB4A0" w14:textId="77777777" w:rsidR="00B87A6F" w:rsidRPr="00471DCE" w:rsidRDefault="00471DCE" w:rsidP="00471DCE">
            <w:pPr>
              <w:spacing w:after="240" w:line="276" w:lineRule="auto"/>
              <w:rPr>
                <w:rFonts w:ascii="Times New Roman" w:eastAsia="Arial" w:hAnsi="Times New Roman" w:cs="Times New Roman"/>
                <w:sz w:val="24"/>
                <w:szCs w:val="24"/>
              </w:rPr>
            </w:pPr>
            <w:r w:rsidRPr="00471DCE">
              <w:rPr>
                <w:rFonts w:ascii="Times New Roman" w:eastAsia="Arial" w:hAnsi="Times New Roman" w:cs="Times New Roman"/>
                <w:sz w:val="24"/>
                <w:szCs w:val="24"/>
              </w:rPr>
              <w:t>-73%</w:t>
            </w:r>
          </w:p>
        </w:tc>
      </w:tr>
    </w:tbl>
    <w:p w14:paraId="02FCB4A2" w14:textId="0E7BD66F"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 xml:space="preserve">As shown in Table </w:t>
      </w:r>
      <w:r w:rsidR="006461A9">
        <w:rPr>
          <w:rFonts w:ascii="Times New Roman" w:hAnsi="Times New Roman" w:cs="Times New Roman"/>
          <w:sz w:val="24"/>
          <w:szCs w:val="24"/>
        </w:rPr>
        <w:t>4</w:t>
      </w:r>
      <w:r w:rsidRPr="00471DCE">
        <w:rPr>
          <w:rFonts w:ascii="Times New Roman" w:hAnsi="Times New Roman" w:cs="Times New Roman"/>
          <w:sz w:val="24"/>
          <w:szCs w:val="24"/>
        </w:rPr>
        <w:t>, containment substantially increased the mean time to hazard from 41 seconds to 128 seconds, representing a 212% improvement. Cumulative process deviation (PDA) decreased by 73%, while safety threshold violations were reduced from 11 to 3 occurrences, indicating significant suppression of multi-variable escalation.</w:t>
      </w:r>
    </w:p>
    <w:p w14:paraId="02FCB4A3"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br/>
      </w:r>
      <w:r w:rsidRPr="00471DCE">
        <w:rPr>
          <w:rFonts w:ascii="Times New Roman" w:hAnsi="Times New Roman" w:cs="Times New Roman"/>
          <w:noProof/>
          <w:sz w:val="24"/>
          <w:szCs w:val="24"/>
          <w:lang w:val="en-US"/>
        </w:rPr>
        <w:drawing>
          <wp:inline distT="0" distB="0" distL="0" distR="0" wp14:anchorId="02FCB51C" wp14:editId="02FCB51D">
            <wp:extent cx="4572000" cy="3810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572000" cy="3810000"/>
                    </a:xfrm>
                    <a:prstGeom prst="rect">
                      <a:avLst/>
                    </a:prstGeom>
                    <a:ln/>
                  </pic:spPr>
                </pic:pic>
              </a:graphicData>
            </a:graphic>
          </wp:inline>
        </w:drawing>
      </w:r>
    </w:p>
    <w:p w14:paraId="02FCB4A4"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7</w:t>
      </w:r>
      <w:r w:rsidRPr="00471DCE">
        <w:rPr>
          <w:rFonts w:ascii="Times New Roman" w:hAnsi="Times New Roman" w:cs="Times New Roman"/>
          <w:sz w:val="24"/>
          <w:szCs w:val="24"/>
        </w:rPr>
        <w:t>: Hazard Emergence Delay Under Containment Conditions</w:t>
      </w:r>
    </w:p>
    <w:p w14:paraId="02FCB4A5" w14:textId="77777777" w:rsidR="00B87A6F" w:rsidRPr="00471DCE" w:rsidRDefault="00B87A6F" w:rsidP="00471DCE">
      <w:pPr>
        <w:spacing w:after="240"/>
        <w:rPr>
          <w:rFonts w:ascii="Times New Roman" w:hAnsi="Times New Roman" w:cs="Times New Roman"/>
          <w:sz w:val="24"/>
          <w:szCs w:val="24"/>
        </w:rPr>
      </w:pPr>
    </w:p>
    <w:p w14:paraId="02FCB4A6"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As illustrated in Figure 7, containment introduces a substantial delay in hazard onset. The extended time-to-hazard demonstrates architectural buffering against rapid escalation, consistent with the objective of constraining autonomous decision propagation within safety-critical environments.</w:t>
      </w:r>
    </w:p>
    <w:p w14:paraId="02FCB4A7"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b/>
          <w:bCs/>
          <w:sz w:val="24"/>
          <w:szCs w:val="24"/>
        </w:rPr>
        <w:br/>
      </w:r>
    </w:p>
    <w:p w14:paraId="02FCB4A8"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noProof/>
          <w:sz w:val="24"/>
          <w:szCs w:val="24"/>
          <w:lang w:val="en-US"/>
        </w:rPr>
        <w:drawing>
          <wp:inline distT="0" distB="0" distL="0" distR="0" wp14:anchorId="02FCB51E" wp14:editId="02FCB51F">
            <wp:extent cx="4572000" cy="3810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72000" cy="3810000"/>
                    </a:xfrm>
                    <a:prstGeom prst="rect">
                      <a:avLst/>
                    </a:prstGeom>
                    <a:ln/>
                  </pic:spPr>
                </pic:pic>
              </a:graphicData>
            </a:graphic>
          </wp:inline>
        </w:drawing>
      </w:r>
    </w:p>
    <w:p w14:paraId="02FCB4A9"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t>Figure 8</w:t>
      </w:r>
      <w:r w:rsidRPr="00471DCE">
        <w:rPr>
          <w:rFonts w:ascii="Times New Roman" w:hAnsi="Times New Roman" w:cs="Times New Roman"/>
          <w:sz w:val="24"/>
          <w:szCs w:val="24"/>
        </w:rPr>
        <w:t>: Cumulative Process Deviation Trajectories</w:t>
      </w:r>
    </w:p>
    <w:p w14:paraId="02FCB4AA"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t>Figure 8 demonstrates divergence in cumulative deviation trajectories between scenarios. The uncontained architecture exhibits nonlinear deviation growth, whereas containment enforces bounded deviation accumulation over time, reflecting structural constraint of emergent action chains.</w:t>
      </w:r>
    </w:p>
    <w:p w14:paraId="02FCB4AB" w14:textId="77777777" w:rsidR="00B87A6F" w:rsidRPr="00471DCE" w:rsidRDefault="00471DCE" w:rsidP="00471DCE">
      <w:pPr>
        <w:spacing w:after="240"/>
        <w:rPr>
          <w:rFonts w:ascii="Times New Roman" w:hAnsi="Times New Roman" w:cs="Times New Roman"/>
          <w:sz w:val="24"/>
          <w:szCs w:val="24"/>
        </w:rPr>
      </w:pPr>
      <w:r w:rsidRPr="00471DCE">
        <w:rPr>
          <w:rFonts w:ascii="Times New Roman" w:hAnsi="Times New Roman" w:cs="Times New Roman"/>
          <w:sz w:val="24"/>
          <w:szCs w:val="24"/>
        </w:rPr>
        <w:br/>
        <w:t>These quantitative findings indicate that secure-by-containment materially enhances operational resilience. The observed delay in hazard manifestation, reduction in cumulative deviation, and suppression of safety violations provide empirical evidence that architectural containment functions as an effective resilience amplification mechanism within industrial control systems.</w:t>
      </w:r>
    </w:p>
    <w:p w14:paraId="02FCB4AC" w14:textId="77777777" w:rsidR="00B87A6F" w:rsidRPr="00471DCE" w:rsidRDefault="00B87A6F" w:rsidP="00471DCE">
      <w:pPr>
        <w:spacing w:after="240"/>
        <w:rPr>
          <w:rFonts w:ascii="Times New Roman" w:hAnsi="Times New Roman" w:cs="Times New Roman"/>
          <w:sz w:val="24"/>
          <w:szCs w:val="24"/>
        </w:rPr>
      </w:pPr>
    </w:p>
    <w:p w14:paraId="02FCB4AD" w14:textId="77777777" w:rsidR="00B87A6F"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t>Discussion</w:t>
      </w:r>
    </w:p>
    <w:p w14:paraId="02FCB4AE" w14:textId="77777777"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The findings of this study provide empirical support for the central proposition advanced in the introduction: that the integration of agentic artificial intelligence into OT/ICS environments fundamentally alters the system threat model and requires architectural mechanisms that explicitly constrain autonomous decision authority. The results demonstrate that the risks associated with agentic influence are not hypothetical or purely conceptual, but measurable at the level of cyber-physical process behavior, structural network topology, standards enforcement, and operational resilience. Taken together, the evidence substantiates the argument that containment must be treated as a first-order architectural property rather than an auxiliary control layered onto existing segmentation models.</w:t>
      </w:r>
    </w:p>
    <w:p w14:paraId="02FCB4AF" w14:textId="77777777"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The risk quantification results reported in Table 1 and illustrated in Figures 1 and 2 directly corroborate the literature’s concern that autonomy amplifies systemic instability within tightly coupled cyber-physical systems (Agarwal et al., 2025; Islam et al., 2023). In particular, the disproportionate escalation observed under command injection conditions (RSS = 3.81; MVEI = 0.75) indicates that attacks influencing control logic generate nonlinear propagation across interdependent process variables. This finding reinforces arguments advanced by Huang et al. (2024) that safety failures in cyber-physical systems emerge from interactions rather than isolated component faults. Moreover, the widening distributional spread observed in Figure 2 is consistent with the claim that agentic systems, operating through recursive perception–evaluation–action loops (</w:t>
      </w:r>
      <w:proofErr w:type="spellStart"/>
      <w:r w:rsidRPr="00471DCE">
        <w:rPr>
          <w:rFonts w:ascii="Times New Roman" w:hAnsi="Times New Roman" w:cs="Times New Roman"/>
          <w:sz w:val="24"/>
          <w:szCs w:val="24"/>
        </w:rPr>
        <w:t>Haidemariam</w:t>
      </w:r>
      <w:proofErr w:type="spellEnd"/>
      <w:r w:rsidRPr="00471DCE">
        <w:rPr>
          <w:rFonts w:ascii="Times New Roman" w:hAnsi="Times New Roman" w:cs="Times New Roman"/>
          <w:sz w:val="24"/>
          <w:szCs w:val="24"/>
        </w:rPr>
        <w:t>, 2026; Shanahan et al., 2023), can produce action chains whose cumulative effects exceed the bounds anticipated at design time. Thus, the empirical escalation gradients observed across attack categories lend quantitative support to the literature’s assertion that embedding adaptive decision-making components into deterministic control loops introduces systemic risk beyond conventional intrusion models.</w:t>
      </w:r>
    </w:p>
    <w:p w14:paraId="02FCB4B0" w14:textId="77777777"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Importantly, these findings also expose a limitation in prevailing OT security architectures. As noted in prior research, segmentation frameworks such as the Purdue Model primarily regulate communication pathways but do not constrain behavior within trusted zones (Knowles et al., 2015; Ciber Safety, 2025). The elevated MVEI values observed in Table 1 suggest that once autonomous influence is admitted into the control domain, traditional zoning and conduit strategies are insufficient to prevent cascading deviation. In this respect, the results empirically validate the critique advanced in the literature review that existing ICS architectures are largely detection-oriented and reactive (Umer et al., 2022; Kus et al., 2022), rather than structurally preventative.</w:t>
      </w:r>
    </w:p>
    <w:p w14:paraId="02FCB4B1" w14:textId="77777777"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 xml:space="preserve">The architectural containment modeling further advances this argument. As shown in Table 2 and depicted in Figures 3 and 4, the introduction of containment mechanisms materially altered the structural authority of the agentic node within the network. The reduction in betweenness </w:t>
      </w:r>
      <w:r w:rsidRPr="00471DCE">
        <w:rPr>
          <w:rFonts w:ascii="Times New Roman" w:hAnsi="Times New Roman" w:cs="Times New Roman"/>
          <w:sz w:val="24"/>
          <w:szCs w:val="24"/>
        </w:rPr>
        <w:lastRenderedPageBreak/>
        <w:t>centrality from 0.417 to 0.104 under full containment (CSS = 0.751) demonstrates that containment does not merely introduce policy checks; it reconfigures the topology of influence within the control network. This finding aligns with the critique that Zero Trust and identity-based controls regulate access but not behavioral propagation (</w:t>
      </w:r>
      <w:proofErr w:type="spellStart"/>
      <w:r w:rsidRPr="00471DCE">
        <w:rPr>
          <w:rFonts w:ascii="Times New Roman" w:hAnsi="Times New Roman" w:cs="Times New Roman"/>
          <w:sz w:val="24"/>
          <w:szCs w:val="24"/>
        </w:rPr>
        <w:t>Gambo</w:t>
      </w:r>
      <w:proofErr w:type="spellEnd"/>
      <w:r w:rsidRPr="00471DCE">
        <w:rPr>
          <w:rFonts w:ascii="Times New Roman" w:hAnsi="Times New Roman" w:cs="Times New Roman"/>
          <w:sz w:val="24"/>
          <w:szCs w:val="24"/>
        </w:rPr>
        <w:t xml:space="preserve"> &amp; </w:t>
      </w:r>
      <w:proofErr w:type="spellStart"/>
      <w:r w:rsidRPr="00471DCE">
        <w:rPr>
          <w:rFonts w:ascii="Times New Roman" w:hAnsi="Times New Roman" w:cs="Times New Roman"/>
          <w:sz w:val="24"/>
          <w:szCs w:val="24"/>
        </w:rPr>
        <w:t>Almulhem</w:t>
      </w:r>
      <w:proofErr w:type="spellEnd"/>
      <w:r w:rsidRPr="00471DCE">
        <w:rPr>
          <w:rFonts w:ascii="Times New Roman" w:hAnsi="Times New Roman" w:cs="Times New Roman"/>
          <w:sz w:val="24"/>
          <w:szCs w:val="24"/>
        </w:rPr>
        <w:t>, 2025; Potluri, 2024). By contrast, the containment framework operationalizes decision–execution separation, thereby limiting the AI node’s participation in shortest communication paths and reducing cascade potential. The monotonic decline illustrated in Figure 4 provides structural evidence that containment shifts the AI from a high-centrality bridge node to a bounded intermediary, thereby reducing systemic exposure to emergent action chaining.</w:t>
      </w:r>
    </w:p>
    <w:p w14:paraId="02FCB4B2" w14:textId="77777777"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Furthermore, the standards alignment analysis presented in Table 3 and Figures 5 and 6 addresses the governance gap identified in the literature. AI governance frameworks emphasize accountability, transparency, and oversight (Raji et al., 2022; Fjeld et al., 2020), yet they often lack enforceable architectural translation within real-time cyber-physical systems (Batool et al., 2025; Truby, 2025). The observed SCQI of 84.1% indicates that the proposed architecture operationalizes a substantial proportion of technical controls within NIST SP 800-82 through structural enforcement rather than procedural compliance. High coverage within System and Information Integrity (92%) and Access Control (90%) suggests that containment internalizes core ICS protection principles into architectural constraints. Conversely, the comparatively lower coverage within Incident Response (64%) is theoretically coherent, given that containment is designed to reduce hazard propagation ex ante rather than rely on ex post remediation. This distribution of coverage reinforces the study’s contention that governance principles must be embedded into execution pathways rather than remain external oversight constructs.</w:t>
      </w:r>
    </w:p>
    <w:p w14:paraId="02FCB4B3" w14:textId="47485E85"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 xml:space="preserve">The scenario-based effectiveness evaluation provides the strongest evidence that containment is not merely structurally sound but operationally consequential. The improvements reported in Table </w:t>
      </w:r>
      <w:r w:rsidR="006461A9">
        <w:rPr>
          <w:rFonts w:ascii="Times New Roman" w:hAnsi="Times New Roman" w:cs="Times New Roman"/>
          <w:sz w:val="24"/>
          <w:szCs w:val="24"/>
        </w:rPr>
        <w:t>4</w:t>
      </w:r>
      <w:r w:rsidRPr="00471DCE">
        <w:rPr>
          <w:rFonts w:ascii="Times New Roman" w:hAnsi="Times New Roman" w:cs="Times New Roman"/>
          <w:sz w:val="24"/>
          <w:szCs w:val="24"/>
        </w:rPr>
        <w:t xml:space="preserve"> and visualized in Figures 7 and 8 demonstrate substantial resilience gains under contained conditions. The 212% increase in mean time to hazard indicates that containment introduces temporal buffering against rapid escalation, thereby addressing concerns raised by Langer et al. (2024) regarding machine-speed decision execution. Equally significant, the 73% reduction in cumulative process deviation (PDA) and safety threshold violations (STV) confirms that containment suppresses multi-variable propagation consistent with the systemic interaction model described by Huang et al. (2024). The divergence of deviation trajectories in Figure 8 further substantiates the claim that unbounded autonomous loops can generate nonlinear amplification, whereas containment enforces bounded deviation accumulation within safe operational envelopes.</w:t>
      </w:r>
    </w:p>
    <w:p w14:paraId="02FCB4B4" w14:textId="77777777" w:rsidR="00B87A6F" w:rsidRPr="00471DCE" w:rsidRDefault="00471DCE" w:rsidP="00471DCE">
      <w:pPr>
        <w:pBdr>
          <w:top w:val="nil"/>
          <w:left w:val="nil"/>
          <w:bottom w:val="nil"/>
          <w:right w:val="nil"/>
          <w:between w:val="nil"/>
        </w:pBdr>
        <w:spacing w:after="240"/>
        <w:rPr>
          <w:rFonts w:ascii="Times New Roman" w:hAnsi="Times New Roman" w:cs="Times New Roman"/>
          <w:sz w:val="24"/>
          <w:szCs w:val="24"/>
        </w:rPr>
      </w:pPr>
      <w:r w:rsidRPr="00471DCE">
        <w:rPr>
          <w:rFonts w:ascii="Times New Roman" w:hAnsi="Times New Roman" w:cs="Times New Roman"/>
          <w:sz w:val="24"/>
          <w:szCs w:val="24"/>
        </w:rPr>
        <w:t xml:space="preserve">The findings demonstrate a clear progression from identifying systemic vulnerability to validating architectural and operational mitigation. The results show that deterministic ICS environments are inherently susceptible to autonomous influence, yet structural containment can materially redistribute decision authority within network topology, align with established </w:t>
      </w:r>
      <w:r w:rsidRPr="00471DCE">
        <w:rPr>
          <w:rFonts w:ascii="Times New Roman" w:hAnsi="Times New Roman" w:cs="Times New Roman"/>
          <w:sz w:val="24"/>
          <w:szCs w:val="24"/>
        </w:rPr>
        <w:lastRenderedPageBreak/>
        <w:t>OT/ICS control standards, and translate into measurable improvements in safety performance. By empirically linking risk exposure, structural reconfiguration, standards compliance, and operational resilience, the study advances the argument that governance in safety-critical environments must be embedded architecturally rather than relying solely on documentation and oversight. In this respect, secure-by-containment extends traditional segmentation models by constraining what autonomous actors can do within permitted communication pathways, thereby reconciling the determinism requirements of ICS with the adaptive characteristics of agentic AI and providing a standards-aligned pathway for integrating autonomy into critical infrastructure without compromising</w:t>
      </w:r>
    </w:p>
    <w:p w14:paraId="02FCB4B5" w14:textId="77777777" w:rsidR="00B87A6F" w:rsidRPr="00471DCE" w:rsidRDefault="000201F3" w:rsidP="00471DCE">
      <w:pPr>
        <w:pBdr>
          <w:top w:val="nil"/>
          <w:left w:val="nil"/>
          <w:bottom w:val="nil"/>
          <w:right w:val="nil"/>
          <w:between w:val="nil"/>
        </w:pBdr>
        <w:spacing w:after="240"/>
        <w:rPr>
          <w:rFonts w:ascii="Times New Roman" w:hAnsi="Times New Roman" w:cs="Times New Roman"/>
          <w:b/>
          <w:bCs/>
          <w:sz w:val="24"/>
          <w:szCs w:val="24"/>
        </w:rPr>
      </w:pPr>
      <w:r>
        <w:rPr>
          <w:rFonts w:ascii="Times New Roman" w:hAnsi="Times New Roman" w:cs="Times New Roman"/>
          <w:b/>
          <w:bCs/>
          <w:sz w:val="24"/>
          <w:szCs w:val="24"/>
        </w:rPr>
        <w:t>5.</w:t>
      </w:r>
      <w:r>
        <w:rPr>
          <w:rFonts w:ascii="Times New Roman" w:hAnsi="Times New Roman" w:cs="Times New Roman"/>
          <w:b/>
          <w:bCs/>
          <w:sz w:val="24"/>
          <w:szCs w:val="24"/>
        </w:rPr>
        <w:tab/>
      </w:r>
      <w:r w:rsidR="00471DCE" w:rsidRPr="00471DCE">
        <w:rPr>
          <w:rFonts w:ascii="Times New Roman" w:hAnsi="Times New Roman" w:cs="Times New Roman"/>
          <w:b/>
          <w:bCs/>
          <w:sz w:val="24"/>
          <w:szCs w:val="24"/>
        </w:rPr>
        <w:t>Conclusion and Recommendations</w:t>
      </w:r>
    </w:p>
    <w:p w14:paraId="02FCB4B6" w14:textId="5DDFE3CD" w:rsidR="00B87A6F" w:rsidRPr="00471DCE" w:rsidRDefault="00471DCE" w:rsidP="00471DCE">
      <w:pPr>
        <w:spacing w:before="280" w:after="240"/>
        <w:rPr>
          <w:rFonts w:ascii="Times New Roman" w:hAnsi="Times New Roman" w:cs="Times New Roman"/>
          <w:sz w:val="24"/>
          <w:szCs w:val="24"/>
        </w:rPr>
      </w:pPr>
      <w:r w:rsidRPr="00471DCE">
        <w:rPr>
          <w:rFonts w:ascii="Times New Roman" w:hAnsi="Times New Roman" w:cs="Times New Roman"/>
          <w:sz w:val="24"/>
          <w:szCs w:val="24"/>
        </w:rPr>
        <w:t xml:space="preserve">The study demonstrates that agentic AI materially increases systemic risk in deterministic OT/ICS environments; however, when architecturally bounded through secure-by-containment, structural influence, cascade potential, and hazard propagation are significantly reduced. The empirical linkage between risk escalation (Table 1), structural authority redistribution (Table 2), standards alignment (Table 3), and resilience gains (Table </w:t>
      </w:r>
      <w:r w:rsidR="006461A9">
        <w:rPr>
          <w:rFonts w:ascii="Times New Roman" w:hAnsi="Times New Roman" w:cs="Times New Roman"/>
          <w:sz w:val="24"/>
          <w:szCs w:val="24"/>
        </w:rPr>
        <w:t>4</w:t>
      </w:r>
      <w:r w:rsidRPr="00471DCE">
        <w:rPr>
          <w:rFonts w:ascii="Times New Roman" w:hAnsi="Times New Roman" w:cs="Times New Roman"/>
          <w:sz w:val="24"/>
          <w:szCs w:val="24"/>
        </w:rPr>
        <w:t>) confirms that containment operationalizes governance at the point of execution rather than at the level of policy abstraction. Consequently, architectural separation of decision and execution authority emerges as a defensible design principle for integrating autonomy into safety-critical systems. In light of these findings, the following recommendations are proposed.</w:t>
      </w:r>
    </w:p>
    <w:p w14:paraId="02FCB4B7" w14:textId="77777777" w:rsidR="00B87A6F" w:rsidRPr="00471DCE" w:rsidRDefault="00471DCE" w:rsidP="00471DCE">
      <w:pPr>
        <w:numPr>
          <w:ilvl w:val="0"/>
          <w:numId w:val="4"/>
        </w:numPr>
        <w:spacing w:before="280" w:after="240"/>
        <w:rPr>
          <w:rFonts w:ascii="Times New Roman" w:hAnsi="Times New Roman" w:cs="Times New Roman"/>
          <w:sz w:val="24"/>
          <w:szCs w:val="24"/>
        </w:rPr>
      </w:pPr>
      <w:r w:rsidRPr="00471DCE">
        <w:rPr>
          <w:rFonts w:ascii="Times New Roman" w:hAnsi="Times New Roman" w:cs="Times New Roman"/>
          <w:sz w:val="24"/>
          <w:szCs w:val="24"/>
        </w:rPr>
        <w:t>Standards bodies should incorporate explicit decision-authority zoning and execution-boundary requirements into OT/ICS security frameworks.</w:t>
      </w:r>
    </w:p>
    <w:p w14:paraId="02FCB4B8" w14:textId="77777777" w:rsidR="00B87A6F" w:rsidRPr="00471DCE" w:rsidRDefault="00471DCE" w:rsidP="00471DCE">
      <w:pPr>
        <w:numPr>
          <w:ilvl w:val="0"/>
          <w:numId w:val="4"/>
        </w:numPr>
        <w:spacing w:after="240"/>
        <w:rPr>
          <w:rFonts w:ascii="Times New Roman" w:hAnsi="Times New Roman" w:cs="Times New Roman"/>
          <w:sz w:val="24"/>
          <w:szCs w:val="24"/>
        </w:rPr>
      </w:pPr>
      <w:r w:rsidRPr="00471DCE">
        <w:rPr>
          <w:rFonts w:ascii="Times New Roman" w:hAnsi="Times New Roman" w:cs="Times New Roman"/>
          <w:sz w:val="24"/>
          <w:szCs w:val="24"/>
        </w:rPr>
        <w:t>Industrial operators should mandate containment-layer validation before deploying autonomous AI within control loops.</w:t>
      </w:r>
    </w:p>
    <w:p w14:paraId="02FCB4B9" w14:textId="77777777" w:rsidR="00B87A6F" w:rsidRPr="00471DCE" w:rsidRDefault="00471DCE" w:rsidP="00471DCE">
      <w:pPr>
        <w:numPr>
          <w:ilvl w:val="0"/>
          <w:numId w:val="4"/>
        </w:numPr>
        <w:spacing w:after="240"/>
        <w:rPr>
          <w:rFonts w:ascii="Times New Roman" w:hAnsi="Times New Roman" w:cs="Times New Roman"/>
          <w:sz w:val="24"/>
          <w:szCs w:val="24"/>
        </w:rPr>
      </w:pPr>
      <w:r w:rsidRPr="00471DCE">
        <w:rPr>
          <w:rFonts w:ascii="Times New Roman" w:hAnsi="Times New Roman" w:cs="Times New Roman"/>
          <w:sz w:val="24"/>
          <w:szCs w:val="24"/>
        </w:rPr>
        <w:t>Regulators should require quantitative resilience testing, including hazard-delay and deviation metrics, for AI-enabled ICS components.</w:t>
      </w:r>
    </w:p>
    <w:p w14:paraId="02FCB4BA" w14:textId="77777777" w:rsidR="00B87A6F" w:rsidRPr="00471DCE" w:rsidRDefault="00471DCE" w:rsidP="00471DCE">
      <w:pPr>
        <w:numPr>
          <w:ilvl w:val="0"/>
          <w:numId w:val="4"/>
        </w:numPr>
        <w:spacing w:after="240"/>
        <w:rPr>
          <w:rFonts w:ascii="Times New Roman" w:hAnsi="Times New Roman" w:cs="Times New Roman"/>
          <w:sz w:val="24"/>
          <w:szCs w:val="24"/>
        </w:rPr>
      </w:pPr>
      <w:r w:rsidRPr="00471DCE">
        <w:rPr>
          <w:rFonts w:ascii="Times New Roman" w:hAnsi="Times New Roman" w:cs="Times New Roman"/>
          <w:sz w:val="24"/>
          <w:szCs w:val="24"/>
        </w:rPr>
        <w:t>AI governance frameworks should translate oversight principles into enforceable architectural constraints for cyber-physical systems.</w:t>
      </w:r>
    </w:p>
    <w:p w14:paraId="02FCB4BB" w14:textId="77777777" w:rsidR="00B87A6F" w:rsidRPr="00471DCE" w:rsidRDefault="00B87A6F" w:rsidP="00471DCE">
      <w:pPr>
        <w:spacing w:after="240"/>
        <w:rPr>
          <w:rFonts w:ascii="Times New Roman" w:hAnsi="Times New Roman" w:cs="Times New Roman"/>
          <w:sz w:val="24"/>
          <w:szCs w:val="24"/>
        </w:rPr>
      </w:pPr>
    </w:p>
    <w:p w14:paraId="02FCB4BC" w14:textId="77777777" w:rsidR="00471DCE" w:rsidRPr="00471DCE" w:rsidRDefault="00471DCE" w:rsidP="00471DCE">
      <w:pPr>
        <w:spacing w:after="240"/>
        <w:rPr>
          <w:rFonts w:ascii="Times New Roman" w:hAnsi="Times New Roman" w:cs="Times New Roman"/>
          <w:b/>
          <w:bCs/>
          <w:sz w:val="24"/>
          <w:szCs w:val="24"/>
        </w:rPr>
      </w:pPr>
      <w:r w:rsidRPr="00471DCE">
        <w:rPr>
          <w:rFonts w:ascii="Times New Roman" w:hAnsi="Times New Roman" w:cs="Times New Roman"/>
          <w:b/>
          <w:bCs/>
          <w:sz w:val="24"/>
          <w:szCs w:val="24"/>
        </w:rPr>
        <w:br w:type="page"/>
      </w:r>
    </w:p>
    <w:p w14:paraId="02FCB4BD" w14:textId="77777777" w:rsidR="00B87A6F" w:rsidRPr="00471DCE" w:rsidRDefault="00471DCE" w:rsidP="00471DCE">
      <w:pPr>
        <w:spacing w:after="240"/>
        <w:jc w:val="center"/>
        <w:rPr>
          <w:rFonts w:ascii="Times New Roman" w:hAnsi="Times New Roman" w:cs="Times New Roman"/>
          <w:sz w:val="24"/>
          <w:szCs w:val="24"/>
        </w:rPr>
      </w:pPr>
      <w:r w:rsidRPr="00471DCE">
        <w:rPr>
          <w:rFonts w:ascii="Times New Roman" w:hAnsi="Times New Roman" w:cs="Times New Roman"/>
          <w:b/>
          <w:bCs/>
          <w:sz w:val="24"/>
          <w:szCs w:val="24"/>
        </w:rPr>
        <w:lastRenderedPageBreak/>
        <w:t>References</w:t>
      </w:r>
    </w:p>
    <w:p w14:paraId="02FCB4BE"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Abba, S., Obioha-Val, O. A., Ejiofor, V. O., Olaniyi, O. M., &amp; </w:t>
      </w:r>
      <w:proofErr w:type="spellStart"/>
      <w:r w:rsidRPr="00471DCE">
        <w:rPr>
          <w:rFonts w:ascii="Times New Roman" w:hAnsi="Times New Roman" w:cs="Times New Roman"/>
          <w:sz w:val="24"/>
          <w:szCs w:val="24"/>
        </w:rPr>
        <w:t>Mayeke</w:t>
      </w:r>
      <w:proofErr w:type="spellEnd"/>
      <w:r w:rsidRPr="00471DCE">
        <w:rPr>
          <w:rFonts w:ascii="Times New Roman" w:hAnsi="Times New Roman" w:cs="Times New Roman"/>
          <w:sz w:val="24"/>
          <w:szCs w:val="24"/>
        </w:rPr>
        <w:t xml:space="preserve">, N. R. (2025). Behavioral Biometrics-Powered Continuous Authentication for Zero-trust Remote Work Environments: A Multi-factor Identity Verification Framework. </w:t>
      </w:r>
      <w:r w:rsidRPr="00471DCE">
        <w:rPr>
          <w:rFonts w:ascii="Times New Roman" w:hAnsi="Times New Roman" w:cs="Times New Roman"/>
          <w:i/>
          <w:iCs/>
          <w:sz w:val="24"/>
          <w:szCs w:val="24"/>
        </w:rPr>
        <w:t>Asian Journal of Research in Computer Science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18</w:t>
      </w:r>
      <w:r w:rsidRPr="00471DCE">
        <w:rPr>
          <w:rFonts w:ascii="Times New Roman" w:hAnsi="Times New Roman" w:cs="Times New Roman"/>
          <w:sz w:val="24"/>
          <w:szCs w:val="24"/>
        </w:rPr>
        <w:t xml:space="preserve">(12), 20–41. </w:t>
      </w:r>
      <w:hyperlink r:id="rId16" w:history="1">
        <w:r w:rsidRPr="002B076B">
          <w:rPr>
            <w:rStyle w:val="Hyperlink"/>
            <w:rFonts w:ascii="Times New Roman" w:hAnsi="Times New Roman" w:cs="Times New Roman"/>
            <w:sz w:val="24"/>
            <w:szCs w:val="24"/>
          </w:rPr>
          <w:t>https://doi.org/10.9734/ajrcos/2025/v18i12788</w:t>
        </w:r>
      </w:hyperlink>
      <w:r>
        <w:rPr>
          <w:rFonts w:ascii="Times New Roman" w:hAnsi="Times New Roman" w:cs="Times New Roman"/>
          <w:sz w:val="24"/>
          <w:szCs w:val="24"/>
        </w:rPr>
        <w:t xml:space="preserve"> </w:t>
      </w:r>
    </w:p>
    <w:p w14:paraId="02FCB4BF"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Abou Ali, M., Dornaika, F., &amp; </w:t>
      </w:r>
      <w:proofErr w:type="spellStart"/>
      <w:r w:rsidRPr="00471DCE">
        <w:rPr>
          <w:rFonts w:ascii="Times New Roman" w:hAnsi="Times New Roman" w:cs="Times New Roman"/>
          <w:sz w:val="24"/>
          <w:szCs w:val="24"/>
        </w:rPr>
        <w:t>Charafeddine</w:t>
      </w:r>
      <w:proofErr w:type="spellEnd"/>
      <w:r w:rsidRPr="00471DCE">
        <w:rPr>
          <w:rFonts w:ascii="Times New Roman" w:hAnsi="Times New Roman" w:cs="Times New Roman"/>
          <w:sz w:val="24"/>
          <w:szCs w:val="24"/>
        </w:rPr>
        <w:t xml:space="preserve">, J. (2025). Agentic AI: a comprehensive survey of architectures, applications, and future directions. </w:t>
      </w:r>
      <w:r w:rsidRPr="00471DCE">
        <w:rPr>
          <w:rFonts w:ascii="Times New Roman" w:hAnsi="Times New Roman" w:cs="Times New Roman"/>
          <w:i/>
          <w:iCs/>
          <w:sz w:val="24"/>
          <w:szCs w:val="24"/>
        </w:rPr>
        <w:t>Artificial Intelligence Review</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59</w:t>
      </w:r>
      <w:r w:rsidRPr="00471DCE">
        <w:rPr>
          <w:rFonts w:ascii="Times New Roman" w:hAnsi="Times New Roman" w:cs="Times New Roman"/>
          <w:sz w:val="24"/>
          <w:szCs w:val="24"/>
        </w:rPr>
        <w:t xml:space="preserve">(1). </w:t>
      </w:r>
      <w:hyperlink r:id="rId17" w:history="1">
        <w:r w:rsidRPr="002B076B">
          <w:rPr>
            <w:rStyle w:val="Hyperlink"/>
            <w:rFonts w:ascii="Times New Roman" w:hAnsi="Times New Roman" w:cs="Times New Roman"/>
            <w:sz w:val="24"/>
            <w:szCs w:val="24"/>
          </w:rPr>
          <w:t>https://doi.org/10.1007/s10462-025-11422-4</w:t>
        </w:r>
      </w:hyperlink>
      <w:r>
        <w:rPr>
          <w:rFonts w:ascii="Times New Roman" w:hAnsi="Times New Roman" w:cs="Times New Roman"/>
          <w:sz w:val="24"/>
          <w:szCs w:val="24"/>
        </w:rPr>
        <w:t xml:space="preserve"> </w:t>
      </w:r>
    </w:p>
    <w:p w14:paraId="02FCB4C0"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Abraham, D., </w:t>
      </w:r>
      <w:proofErr w:type="spellStart"/>
      <w:r w:rsidRPr="00471DCE">
        <w:rPr>
          <w:rFonts w:ascii="Times New Roman" w:hAnsi="Times New Roman" w:cs="Times New Roman"/>
          <w:sz w:val="24"/>
          <w:szCs w:val="24"/>
        </w:rPr>
        <w:t>Erceylan</w:t>
      </w:r>
      <w:proofErr w:type="spellEnd"/>
      <w:r w:rsidRPr="00471DCE">
        <w:rPr>
          <w:rFonts w:ascii="Times New Roman" w:hAnsi="Times New Roman" w:cs="Times New Roman"/>
          <w:sz w:val="24"/>
          <w:szCs w:val="24"/>
        </w:rPr>
        <w:t xml:space="preserve">, G., </w:t>
      </w:r>
      <w:proofErr w:type="spellStart"/>
      <w:r w:rsidRPr="00471DCE">
        <w:rPr>
          <w:rFonts w:ascii="Times New Roman" w:hAnsi="Times New Roman" w:cs="Times New Roman"/>
          <w:sz w:val="24"/>
          <w:szCs w:val="24"/>
        </w:rPr>
        <w:t>Gkioulos</w:t>
      </w:r>
      <w:proofErr w:type="spellEnd"/>
      <w:r w:rsidRPr="00471DCE">
        <w:rPr>
          <w:rFonts w:ascii="Times New Roman" w:hAnsi="Times New Roman" w:cs="Times New Roman"/>
          <w:sz w:val="24"/>
          <w:szCs w:val="24"/>
        </w:rPr>
        <w:t xml:space="preserve">, V., &amp; </w:t>
      </w:r>
      <w:proofErr w:type="spellStart"/>
      <w:r w:rsidRPr="00471DCE">
        <w:rPr>
          <w:rFonts w:ascii="Times New Roman" w:hAnsi="Times New Roman" w:cs="Times New Roman"/>
          <w:sz w:val="24"/>
          <w:szCs w:val="24"/>
        </w:rPr>
        <w:t>Houmb</w:t>
      </w:r>
      <w:proofErr w:type="spellEnd"/>
      <w:r w:rsidRPr="00471DCE">
        <w:rPr>
          <w:rFonts w:ascii="Times New Roman" w:hAnsi="Times New Roman" w:cs="Times New Roman"/>
          <w:sz w:val="24"/>
          <w:szCs w:val="24"/>
        </w:rPr>
        <w:t xml:space="preserve">, S. H. (2025). Towards enhanced cybersecurity in industrial control systems: a systematic review of context-based modeling, digital twins, and machine learning approaches. </w:t>
      </w:r>
      <w:r w:rsidRPr="00471DCE">
        <w:rPr>
          <w:rFonts w:ascii="Times New Roman" w:hAnsi="Times New Roman" w:cs="Times New Roman"/>
          <w:i/>
          <w:iCs/>
          <w:sz w:val="24"/>
          <w:szCs w:val="24"/>
        </w:rPr>
        <w:t>International Journal of Information Security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24</w:t>
      </w:r>
      <w:r w:rsidRPr="00471DCE">
        <w:rPr>
          <w:rFonts w:ascii="Times New Roman" w:hAnsi="Times New Roman" w:cs="Times New Roman"/>
          <w:sz w:val="24"/>
          <w:szCs w:val="24"/>
        </w:rPr>
        <w:t xml:space="preserve">(6). </w:t>
      </w:r>
      <w:hyperlink r:id="rId18" w:history="1">
        <w:r w:rsidRPr="002B076B">
          <w:rPr>
            <w:rStyle w:val="Hyperlink"/>
            <w:rFonts w:ascii="Times New Roman" w:hAnsi="Times New Roman" w:cs="Times New Roman"/>
            <w:sz w:val="24"/>
            <w:szCs w:val="24"/>
          </w:rPr>
          <w:t>https://doi.org/10.1007/s10207-025-01158-1</w:t>
        </w:r>
      </w:hyperlink>
      <w:r>
        <w:rPr>
          <w:rFonts w:ascii="Times New Roman" w:hAnsi="Times New Roman" w:cs="Times New Roman"/>
          <w:sz w:val="24"/>
          <w:szCs w:val="24"/>
        </w:rPr>
        <w:t xml:space="preserve"> </w:t>
      </w:r>
    </w:p>
    <w:p w14:paraId="02FCB4C1"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Achaal</w:t>
      </w:r>
      <w:proofErr w:type="spellEnd"/>
      <w:r w:rsidRPr="00471DCE">
        <w:rPr>
          <w:rFonts w:ascii="Times New Roman" w:hAnsi="Times New Roman" w:cs="Times New Roman"/>
          <w:sz w:val="24"/>
          <w:szCs w:val="24"/>
        </w:rPr>
        <w:t xml:space="preserve">, B., Adda, M., Berger, M., Ibrahim, H., &amp; </w:t>
      </w:r>
      <w:proofErr w:type="spellStart"/>
      <w:r w:rsidRPr="00471DCE">
        <w:rPr>
          <w:rFonts w:ascii="Times New Roman" w:hAnsi="Times New Roman" w:cs="Times New Roman"/>
          <w:sz w:val="24"/>
          <w:szCs w:val="24"/>
        </w:rPr>
        <w:t>Awde</w:t>
      </w:r>
      <w:proofErr w:type="spellEnd"/>
      <w:r w:rsidRPr="00471DCE">
        <w:rPr>
          <w:rFonts w:ascii="Times New Roman" w:hAnsi="Times New Roman" w:cs="Times New Roman"/>
          <w:sz w:val="24"/>
          <w:szCs w:val="24"/>
        </w:rPr>
        <w:t xml:space="preserve">, A. (2024). Study of smart grid cyber-security, examining architectures, communication networks, cyber-attacks, countermeasure techniques, and challenges. </w:t>
      </w:r>
      <w:r w:rsidRPr="00471DCE">
        <w:rPr>
          <w:rFonts w:ascii="Times New Roman" w:hAnsi="Times New Roman" w:cs="Times New Roman"/>
          <w:i/>
          <w:iCs/>
          <w:sz w:val="24"/>
          <w:szCs w:val="24"/>
        </w:rPr>
        <w:t>Cybersecurity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7</w:t>
      </w:r>
      <w:r w:rsidRPr="00471DCE">
        <w:rPr>
          <w:rFonts w:ascii="Times New Roman" w:hAnsi="Times New Roman" w:cs="Times New Roman"/>
          <w:sz w:val="24"/>
          <w:szCs w:val="24"/>
        </w:rPr>
        <w:t xml:space="preserve">(1). </w:t>
      </w:r>
      <w:hyperlink r:id="rId19" w:history="1">
        <w:r w:rsidRPr="002B076B">
          <w:rPr>
            <w:rStyle w:val="Hyperlink"/>
            <w:rFonts w:ascii="Times New Roman" w:hAnsi="Times New Roman" w:cs="Times New Roman"/>
            <w:sz w:val="24"/>
            <w:szCs w:val="24"/>
          </w:rPr>
          <w:t>https://doi.org/10.1186/s42400-023-00200-w</w:t>
        </w:r>
      </w:hyperlink>
      <w:r>
        <w:rPr>
          <w:rFonts w:ascii="Times New Roman" w:hAnsi="Times New Roman" w:cs="Times New Roman"/>
          <w:sz w:val="24"/>
          <w:szCs w:val="24"/>
        </w:rPr>
        <w:t xml:space="preserve"> </w:t>
      </w:r>
    </w:p>
    <w:p w14:paraId="02FCB4C2"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Adebiyi, O. O., Popoola, A. D., Adeyinka, P. D., </w:t>
      </w:r>
      <w:proofErr w:type="spellStart"/>
      <w:r w:rsidRPr="00471DCE">
        <w:rPr>
          <w:rFonts w:ascii="Times New Roman" w:hAnsi="Times New Roman" w:cs="Times New Roman"/>
          <w:sz w:val="24"/>
          <w:szCs w:val="24"/>
        </w:rPr>
        <w:t>Arigbabu</w:t>
      </w:r>
      <w:proofErr w:type="spellEnd"/>
      <w:r w:rsidRPr="00471DCE">
        <w:rPr>
          <w:rFonts w:ascii="Times New Roman" w:hAnsi="Times New Roman" w:cs="Times New Roman"/>
          <w:sz w:val="24"/>
          <w:szCs w:val="24"/>
        </w:rPr>
        <w:t xml:space="preserve">, A. T., &amp; </w:t>
      </w:r>
      <w:proofErr w:type="spellStart"/>
      <w:r w:rsidRPr="00471DCE">
        <w:rPr>
          <w:rFonts w:ascii="Times New Roman" w:hAnsi="Times New Roman" w:cs="Times New Roman"/>
          <w:sz w:val="24"/>
          <w:szCs w:val="24"/>
        </w:rPr>
        <w:t>Olateju</w:t>
      </w:r>
      <w:proofErr w:type="spellEnd"/>
      <w:r w:rsidRPr="00471DCE">
        <w:rPr>
          <w:rFonts w:ascii="Times New Roman" w:hAnsi="Times New Roman" w:cs="Times New Roman"/>
          <w:sz w:val="24"/>
          <w:szCs w:val="24"/>
        </w:rPr>
        <w:t xml:space="preserve">, O. O. (2026). Blockchain-integrated AI Systems for Enhancing Trust and Transparency in Cross-Border Finance. </w:t>
      </w:r>
      <w:r w:rsidRPr="00471DCE">
        <w:rPr>
          <w:rFonts w:ascii="Times New Roman" w:hAnsi="Times New Roman" w:cs="Times New Roman"/>
          <w:i/>
          <w:iCs/>
          <w:sz w:val="24"/>
          <w:szCs w:val="24"/>
        </w:rPr>
        <w:t>Asian Journal of Research in Computer Science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19</w:t>
      </w:r>
      <w:r w:rsidRPr="00471DCE">
        <w:rPr>
          <w:rFonts w:ascii="Times New Roman" w:hAnsi="Times New Roman" w:cs="Times New Roman"/>
          <w:sz w:val="24"/>
          <w:szCs w:val="24"/>
        </w:rPr>
        <w:t xml:space="preserve">(1), 271–291. </w:t>
      </w:r>
      <w:hyperlink r:id="rId20" w:history="1">
        <w:r w:rsidRPr="002B076B">
          <w:rPr>
            <w:rStyle w:val="Hyperlink"/>
            <w:rFonts w:ascii="Times New Roman" w:hAnsi="Times New Roman" w:cs="Times New Roman"/>
            <w:sz w:val="24"/>
            <w:szCs w:val="24"/>
          </w:rPr>
          <w:t>https://doi.org/10.9734/ajrcos/2026/v19i1818</w:t>
        </w:r>
      </w:hyperlink>
      <w:r>
        <w:rPr>
          <w:rFonts w:ascii="Times New Roman" w:hAnsi="Times New Roman" w:cs="Times New Roman"/>
          <w:sz w:val="24"/>
          <w:szCs w:val="24"/>
        </w:rPr>
        <w:t xml:space="preserve"> </w:t>
      </w:r>
    </w:p>
    <w:p w14:paraId="02FCB4C3"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Agarwal, L., Jaint, B., &amp; </w:t>
      </w:r>
      <w:proofErr w:type="spellStart"/>
      <w:r w:rsidRPr="00471DCE">
        <w:rPr>
          <w:rFonts w:ascii="Times New Roman" w:hAnsi="Times New Roman" w:cs="Times New Roman"/>
          <w:sz w:val="24"/>
          <w:szCs w:val="24"/>
        </w:rPr>
        <w:t>Mandpura</w:t>
      </w:r>
      <w:proofErr w:type="spellEnd"/>
      <w:r w:rsidRPr="00471DCE">
        <w:rPr>
          <w:rFonts w:ascii="Times New Roman" w:hAnsi="Times New Roman" w:cs="Times New Roman"/>
          <w:sz w:val="24"/>
          <w:szCs w:val="24"/>
        </w:rPr>
        <w:t xml:space="preserve">, A. K. (2025). Hybrid AI framework for detecting cyberattacks and predicting cascading failures in power systems. </w:t>
      </w:r>
      <w:r w:rsidRPr="00471DCE">
        <w:rPr>
          <w:rFonts w:ascii="Times New Roman" w:hAnsi="Times New Roman" w:cs="Times New Roman"/>
          <w:i/>
          <w:iCs/>
          <w:sz w:val="24"/>
          <w:szCs w:val="24"/>
        </w:rPr>
        <w:t>Sustainable Computing: Informatics and Systems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48</w:t>
      </w:r>
      <w:r w:rsidRPr="00471DCE">
        <w:rPr>
          <w:rFonts w:ascii="Times New Roman" w:hAnsi="Times New Roman" w:cs="Times New Roman"/>
          <w:sz w:val="24"/>
          <w:szCs w:val="24"/>
        </w:rPr>
        <w:t xml:space="preserve">, 101222. </w:t>
      </w:r>
      <w:hyperlink r:id="rId21" w:history="1">
        <w:r w:rsidRPr="002B076B">
          <w:rPr>
            <w:rStyle w:val="Hyperlink"/>
            <w:rFonts w:ascii="Times New Roman" w:hAnsi="Times New Roman" w:cs="Times New Roman"/>
            <w:sz w:val="24"/>
            <w:szCs w:val="24"/>
          </w:rPr>
          <w:t>https://doi.org/10.1016/j.suscom.2025.101222</w:t>
        </w:r>
      </w:hyperlink>
      <w:r>
        <w:rPr>
          <w:rFonts w:ascii="Times New Roman" w:hAnsi="Times New Roman" w:cs="Times New Roman"/>
          <w:sz w:val="24"/>
          <w:szCs w:val="24"/>
        </w:rPr>
        <w:t xml:space="preserve"> </w:t>
      </w:r>
    </w:p>
    <w:p w14:paraId="02FCB4C4"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Alqudhaibi</w:t>
      </w:r>
      <w:proofErr w:type="spellEnd"/>
      <w:r w:rsidRPr="00471DCE">
        <w:rPr>
          <w:rFonts w:ascii="Times New Roman" w:hAnsi="Times New Roman" w:cs="Times New Roman"/>
          <w:sz w:val="24"/>
          <w:szCs w:val="24"/>
        </w:rPr>
        <w:t xml:space="preserve">, A., Albarrak, M., </w:t>
      </w:r>
      <w:proofErr w:type="spellStart"/>
      <w:r w:rsidRPr="00471DCE">
        <w:rPr>
          <w:rFonts w:ascii="Times New Roman" w:hAnsi="Times New Roman" w:cs="Times New Roman"/>
          <w:sz w:val="24"/>
          <w:szCs w:val="24"/>
        </w:rPr>
        <w:t>Aloseel</w:t>
      </w:r>
      <w:proofErr w:type="spellEnd"/>
      <w:r w:rsidRPr="00471DCE">
        <w:rPr>
          <w:rFonts w:ascii="Times New Roman" w:hAnsi="Times New Roman" w:cs="Times New Roman"/>
          <w:sz w:val="24"/>
          <w:szCs w:val="24"/>
        </w:rPr>
        <w:t xml:space="preserve">, A., Munshi, A., Alsharif, T., Jagtap, S., &amp; </w:t>
      </w:r>
      <w:proofErr w:type="spellStart"/>
      <w:r w:rsidRPr="00471DCE">
        <w:rPr>
          <w:rFonts w:ascii="Times New Roman" w:hAnsi="Times New Roman" w:cs="Times New Roman"/>
          <w:sz w:val="24"/>
          <w:szCs w:val="24"/>
        </w:rPr>
        <w:t>Salonitis</w:t>
      </w:r>
      <w:proofErr w:type="spellEnd"/>
      <w:r w:rsidRPr="00471DCE">
        <w:rPr>
          <w:rFonts w:ascii="Times New Roman" w:hAnsi="Times New Roman" w:cs="Times New Roman"/>
          <w:sz w:val="24"/>
          <w:szCs w:val="24"/>
        </w:rPr>
        <w:t xml:space="preserve">, K. (2025). Proactive cybersecurity in industry 4.0: a survey of cybersecurity threat prediction approaches in manufacturing systems. </w:t>
      </w:r>
      <w:r w:rsidRPr="00471DCE">
        <w:rPr>
          <w:rFonts w:ascii="Times New Roman" w:hAnsi="Times New Roman" w:cs="Times New Roman"/>
          <w:i/>
          <w:iCs/>
          <w:sz w:val="24"/>
          <w:szCs w:val="24"/>
        </w:rPr>
        <w:t>International Journal of Information Security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25</w:t>
      </w:r>
      <w:r w:rsidRPr="00471DCE">
        <w:rPr>
          <w:rFonts w:ascii="Times New Roman" w:hAnsi="Times New Roman" w:cs="Times New Roman"/>
          <w:sz w:val="24"/>
          <w:szCs w:val="24"/>
        </w:rPr>
        <w:t xml:space="preserve">(1). </w:t>
      </w:r>
      <w:hyperlink r:id="rId22" w:history="1">
        <w:r w:rsidRPr="002B076B">
          <w:rPr>
            <w:rStyle w:val="Hyperlink"/>
            <w:rFonts w:ascii="Times New Roman" w:hAnsi="Times New Roman" w:cs="Times New Roman"/>
            <w:sz w:val="24"/>
            <w:szCs w:val="24"/>
          </w:rPr>
          <w:t>https://doi.org/10.1007/s10207-025-01188-9</w:t>
        </w:r>
      </w:hyperlink>
      <w:r>
        <w:rPr>
          <w:rFonts w:ascii="Times New Roman" w:hAnsi="Times New Roman" w:cs="Times New Roman"/>
          <w:sz w:val="24"/>
          <w:szCs w:val="24"/>
        </w:rPr>
        <w:t xml:space="preserve"> </w:t>
      </w:r>
    </w:p>
    <w:p w14:paraId="02FCB4C5"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Alva, L., &amp; Pandey, B. (2026). Agentic AI systems in the age of generative models: architectures, cloud scalability, and real-world applications. </w:t>
      </w:r>
      <w:r w:rsidRPr="00471DCE">
        <w:rPr>
          <w:rFonts w:ascii="Times New Roman" w:hAnsi="Times New Roman" w:cs="Times New Roman"/>
          <w:i/>
          <w:iCs/>
          <w:sz w:val="24"/>
          <w:szCs w:val="24"/>
        </w:rPr>
        <w:t>Artificial Intelligence Review</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59</w:t>
      </w:r>
      <w:r w:rsidRPr="00471DCE">
        <w:rPr>
          <w:rFonts w:ascii="Times New Roman" w:hAnsi="Times New Roman" w:cs="Times New Roman"/>
          <w:sz w:val="24"/>
          <w:szCs w:val="24"/>
        </w:rPr>
        <w:t xml:space="preserve">(88). </w:t>
      </w:r>
      <w:hyperlink r:id="rId23" w:history="1">
        <w:r w:rsidRPr="002B076B">
          <w:rPr>
            <w:rStyle w:val="Hyperlink"/>
            <w:rFonts w:ascii="Times New Roman" w:hAnsi="Times New Roman" w:cs="Times New Roman"/>
            <w:sz w:val="24"/>
            <w:szCs w:val="24"/>
          </w:rPr>
          <w:t>https://doi.org/10.1007/s10462-025-11458-6</w:t>
        </w:r>
      </w:hyperlink>
      <w:r>
        <w:rPr>
          <w:rFonts w:ascii="Times New Roman" w:hAnsi="Times New Roman" w:cs="Times New Roman"/>
          <w:sz w:val="24"/>
          <w:szCs w:val="24"/>
        </w:rPr>
        <w:t xml:space="preserve"> </w:t>
      </w:r>
    </w:p>
    <w:p w14:paraId="02FCB4C6"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Anthi</w:t>
      </w:r>
      <w:proofErr w:type="spellEnd"/>
      <w:r w:rsidRPr="00471DCE">
        <w:rPr>
          <w:rFonts w:ascii="Times New Roman" w:hAnsi="Times New Roman" w:cs="Times New Roman"/>
          <w:sz w:val="24"/>
          <w:szCs w:val="24"/>
        </w:rPr>
        <w:t xml:space="preserve">, E., Williams, L., Rhode, M., Burnap, P., &amp; Wedgbury, A. (2021). Adversarial attacks on machine learning cybersecurity </w:t>
      </w:r>
      <w:proofErr w:type="spellStart"/>
      <w:r w:rsidRPr="00471DCE">
        <w:rPr>
          <w:rFonts w:ascii="Times New Roman" w:hAnsi="Times New Roman" w:cs="Times New Roman"/>
          <w:sz w:val="24"/>
          <w:szCs w:val="24"/>
        </w:rPr>
        <w:t>defences</w:t>
      </w:r>
      <w:proofErr w:type="spellEnd"/>
      <w:r w:rsidRPr="00471DCE">
        <w:rPr>
          <w:rFonts w:ascii="Times New Roman" w:hAnsi="Times New Roman" w:cs="Times New Roman"/>
          <w:sz w:val="24"/>
          <w:szCs w:val="24"/>
        </w:rPr>
        <w:t xml:space="preserve"> in Industrial Control Systems. </w:t>
      </w:r>
      <w:r w:rsidRPr="00471DCE">
        <w:rPr>
          <w:rFonts w:ascii="Times New Roman" w:hAnsi="Times New Roman" w:cs="Times New Roman"/>
          <w:i/>
          <w:iCs/>
          <w:sz w:val="24"/>
          <w:szCs w:val="24"/>
        </w:rPr>
        <w:t xml:space="preserve">Journal of </w:t>
      </w:r>
      <w:r w:rsidRPr="00471DCE">
        <w:rPr>
          <w:rFonts w:ascii="Times New Roman" w:hAnsi="Times New Roman" w:cs="Times New Roman"/>
          <w:i/>
          <w:iCs/>
          <w:sz w:val="24"/>
          <w:szCs w:val="24"/>
        </w:rPr>
        <w:lastRenderedPageBreak/>
        <w:t>Information Security and Applications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58</w:t>
      </w:r>
      <w:r w:rsidRPr="00471DCE">
        <w:rPr>
          <w:rFonts w:ascii="Times New Roman" w:hAnsi="Times New Roman" w:cs="Times New Roman"/>
          <w:sz w:val="24"/>
          <w:szCs w:val="24"/>
        </w:rPr>
        <w:t xml:space="preserve">, 102717. </w:t>
      </w:r>
      <w:hyperlink r:id="rId24" w:history="1">
        <w:r w:rsidRPr="002B076B">
          <w:rPr>
            <w:rStyle w:val="Hyperlink"/>
            <w:rFonts w:ascii="Times New Roman" w:hAnsi="Times New Roman" w:cs="Times New Roman"/>
            <w:sz w:val="24"/>
            <w:szCs w:val="24"/>
          </w:rPr>
          <w:t>https://doi.org/10.1016/j.jisa.2020.102717</w:t>
        </w:r>
      </w:hyperlink>
      <w:r>
        <w:rPr>
          <w:rFonts w:ascii="Times New Roman" w:hAnsi="Times New Roman" w:cs="Times New Roman"/>
          <w:sz w:val="24"/>
          <w:szCs w:val="24"/>
        </w:rPr>
        <w:t xml:space="preserve"> </w:t>
      </w:r>
    </w:p>
    <w:p w14:paraId="02FCB4C7"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Aslam, M. M., De Silva, L. C., Apong, A. A., &amp; Tufail, A. (2025). An optimized anomaly detection framework in industrial control systems through grey wolf optimizer and autoencoder integration. </w:t>
      </w:r>
      <w:r w:rsidRPr="00471DCE">
        <w:rPr>
          <w:rFonts w:ascii="Times New Roman" w:hAnsi="Times New Roman" w:cs="Times New Roman"/>
          <w:i/>
          <w:iCs/>
          <w:sz w:val="24"/>
          <w:szCs w:val="24"/>
        </w:rPr>
        <w:t>Scientific Reports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15</w:t>
      </w:r>
      <w:r w:rsidRPr="00471DCE">
        <w:rPr>
          <w:rFonts w:ascii="Times New Roman" w:hAnsi="Times New Roman" w:cs="Times New Roman"/>
          <w:sz w:val="24"/>
          <w:szCs w:val="24"/>
        </w:rPr>
        <w:t xml:space="preserve">(1), 27579–27579. </w:t>
      </w:r>
      <w:hyperlink r:id="rId25" w:history="1">
        <w:r w:rsidRPr="002B076B">
          <w:rPr>
            <w:rStyle w:val="Hyperlink"/>
            <w:rFonts w:ascii="Times New Roman" w:hAnsi="Times New Roman" w:cs="Times New Roman"/>
            <w:sz w:val="24"/>
            <w:szCs w:val="24"/>
          </w:rPr>
          <w:t>https://doi.org/10.1038/s41598-025-12775-0</w:t>
        </w:r>
      </w:hyperlink>
      <w:r>
        <w:rPr>
          <w:rFonts w:ascii="Times New Roman" w:hAnsi="Times New Roman" w:cs="Times New Roman"/>
          <w:sz w:val="24"/>
          <w:szCs w:val="24"/>
        </w:rPr>
        <w:t xml:space="preserve"> </w:t>
      </w:r>
    </w:p>
    <w:p w14:paraId="02FCB4C8"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Aslam, M. M., Tufail, A., Gul, H., Irshad, M. N., &amp; </w:t>
      </w:r>
      <w:proofErr w:type="spellStart"/>
      <w:r w:rsidRPr="00471DCE">
        <w:rPr>
          <w:rFonts w:ascii="Times New Roman" w:hAnsi="Times New Roman" w:cs="Times New Roman"/>
          <w:sz w:val="24"/>
          <w:szCs w:val="24"/>
        </w:rPr>
        <w:t>Namoun</w:t>
      </w:r>
      <w:proofErr w:type="spellEnd"/>
      <w:r w:rsidRPr="00471DCE">
        <w:rPr>
          <w:rFonts w:ascii="Times New Roman" w:hAnsi="Times New Roman" w:cs="Times New Roman"/>
          <w:sz w:val="24"/>
          <w:szCs w:val="24"/>
        </w:rPr>
        <w:t xml:space="preserve">, A. (2025). Artificial intelligence for secure and sustainable industrial control systems - A Survey of challenges and solutions. </w:t>
      </w:r>
      <w:r w:rsidRPr="00471DCE">
        <w:rPr>
          <w:rFonts w:ascii="Times New Roman" w:hAnsi="Times New Roman" w:cs="Times New Roman"/>
          <w:i/>
          <w:iCs/>
          <w:sz w:val="24"/>
          <w:szCs w:val="24"/>
        </w:rPr>
        <w:t>Artificial Intelligence Review</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58</w:t>
      </w:r>
      <w:r w:rsidRPr="00471DCE">
        <w:rPr>
          <w:rFonts w:ascii="Times New Roman" w:hAnsi="Times New Roman" w:cs="Times New Roman"/>
          <w:sz w:val="24"/>
          <w:szCs w:val="24"/>
        </w:rPr>
        <w:t xml:space="preserve">(11). </w:t>
      </w:r>
      <w:hyperlink r:id="rId26" w:history="1">
        <w:r w:rsidRPr="002B076B">
          <w:rPr>
            <w:rStyle w:val="Hyperlink"/>
            <w:rFonts w:ascii="Times New Roman" w:hAnsi="Times New Roman" w:cs="Times New Roman"/>
            <w:sz w:val="24"/>
            <w:szCs w:val="24"/>
          </w:rPr>
          <w:t>https://doi.org/10.1007/s10462-025-11320-9</w:t>
        </w:r>
      </w:hyperlink>
      <w:r>
        <w:rPr>
          <w:rFonts w:ascii="Times New Roman" w:hAnsi="Times New Roman" w:cs="Times New Roman"/>
          <w:sz w:val="24"/>
          <w:szCs w:val="24"/>
        </w:rPr>
        <w:t xml:space="preserve"> </w:t>
      </w:r>
    </w:p>
    <w:p w14:paraId="02FCB4C9"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Batool, A., </w:t>
      </w:r>
      <w:proofErr w:type="spellStart"/>
      <w:r w:rsidRPr="00471DCE">
        <w:rPr>
          <w:rFonts w:ascii="Times New Roman" w:hAnsi="Times New Roman" w:cs="Times New Roman"/>
          <w:sz w:val="24"/>
          <w:szCs w:val="24"/>
        </w:rPr>
        <w:t>Zowghi</w:t>
      </w:r>
      <w:proofErr w:type="spellEnd"/>
      <w:r w:rsidRPr="00471DCE">
        <w:rPr>
          <w:rFonts w:ascii="Times New Roman" w:hAnsi="Times New Roman" w:cs="Times New Roman"/>
          <w:sz w:val="24"/>
          <w:szCs w:val="24"/>
        </w:rPr>
        <w:t xml:space="preserve">, D., &amp; Bano, M. (2025). AI governance: a systematic literature review. </w:t>
      </w:r>
      <w:r w:rsidRPr="00471DCE">
        <w:rPr>
          <w:rFonts w:ascii="Times New Roman" w:hAnsi="Times New Roman" w:cs="Times New Roman"/>
          <w:i/>
          <w:iCs/>
          <w:sz w:val="24"/>
          <w:szCs w:val="24"/>
        </w:rPr>
        <w:t>AI and Ethics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w:t>
      </w:r>
      <w:r w:rsidRPr="00471DCE">
        <w:rPr>
          <w:rFonts w:ascii="Times New Roman" w:hAnsi="Times New Roman" w:cs="Times New Roman"/>
          <w:sz w:val="24"/>
          <w:szCs w:val="24"/>
        </w:rPr>
        <w:t xml:space="preserve">. </w:t>
      </w:r>
      <w:hyperlink r:id="rId27" w:history="1">
        <w:r w:rsidRPr="002B076B">
          <w:rPr>
            <w:rStyle w:val="Hyperlink"/>
            <w:rFonts w:ascii="Times New Roman" w:hAnsi="Times New Roman" w:cs="Times New Roman"/>
            <w:sz w:val="24"/>
            <w:szCs w:val="24"/>
          </w:rPr>
          <w:t>https://doi.org/10.1007/s43681-024-00653-w</w:t>
        </w:r>
      </w:hyperlink>
      <w:r>
        <w:rPr>
          <w:rFonts w:ascii="Times New Roman" w:hAnsi="Times New Roman" w:cs="Times New Roman"/>
          <w:sz w:val="24"/>
          <w:szCs w:val="24"/>
        </w:rPr>
        <w:t xml:space="preserve"> </w:t>
      </w:r>
    </w:p>
    <w:p w14:paraId="02FCB4CA"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Brundage, M., Avin, S., Clark, J. A., Toner, H., Eckersley, P., Garfinkel, B., Dafoe, A., </w:t>
      </w:r>
      <w:proofErr w:type="spellStart"/>
      <w:r w:rsidRPr="00471DCE">
        <w:rPr>
          <w:rFonts w:ascii="Times New Roman" w:hAnsi="Times New Roman" w:cs="Times New Roman"/>
          <w:sz w:val="24"/>
          <w:szCs w:val="24"/>
        </w:rPr>
        <w:t>Scharre</w:t>
      </w:r>
      <w:proofErr w:type="spellEnd"/>
      <w:r w:rsidRPr="00471DCE">
        <w:rPr>
          <w:rFonts w:ascii="Times New Roman" w:hAnsi="Times New Roman" w:cs="Times New Roman"/>
          <w:sz w:val="24"/>
          <w:szCs w:val="24"/>
        </w:rPr>
        <w:t xml:space="preserve">, P., Zeitzoff, T., Filar, B., Anderson, H. S., Roff, H. M., Allen, G. C., Steinhardt, J., Flynn, C., </w:t>
      </w:r>
      <w:proofErr w:type="spellStart"/>
      <w:r w:rsidRPr="00471DCE">
        <w:rPr>
          <w:rFonts w:ascii="Times New Roman" w:hAnsi="Times New Roman" w:cs="Times New Roman"/>
          <w:sz w:val="24"/>
          <w:szCs w:val="24"/>
        </w:rPr>
        <w:t>hÉigeartaigh</w:t>
      </w:r>
      <w:proofErr w:type="spellEnd"/>
      <w:r w:rsidRPr="00471DCE">
        <w:rPr>
          <w:rFonts w:ascii="Times New Roman" w:hAnsi="Times New Roman" w:cs="Times New Roman"/>
          <w:sz w:val="24"/>
          <w:szCs w:val="24"/>
        </w:rPr>
        <w:t xml:space="preserve">, S. Ó., Beard, S., Belfield, H., Farquhar, S., &amp; Lyle, C. (2018). The Malicious Use of Artificial Intelligence: Forecasting, Prevention, and Mitigation. </w:t>
      </w:r>
      <w:proofErr w:type="spellStart"/>
      <w:r w:rsidRPr="00471DCE">
        <w:rPr>
          <w:rFonts w:ascii="Times New Roman" w:hAnsi="Times New Roman" w:cs="Times New Roman"/>
          <w:i/>
          <w:iCs/>
          <w:sz w:val="24"/>
          <w:szCs w:val="24"/>
        </w:rPr>
        <w:t>ArXiv</w:t>
      </w:r>
      <w:proofErr w:type="spellEnd"/>
      <w:r w:rsidRPr="00471DCE">
        <w:rPr>
          <w:rFonts w:ascii="Times New Roman" w:hAnsi="Times New Roman" w:cs="Times New Roman"/>
          <w:i/>
          <w:iCs/>
          <w:sz w:val="24"/>
          <w:szCs w:val="24"/>
        </w:rPr>
        <w:t xml:space="preserve"> (Cornell University)</w:t>
      </w:r>
      <w:r w:rsidRPr="00471DCE">
        <w:rPr>
          <w:rFonts w:ascii="Times New Roman" w:hAnsi="Times New Roman" w:cs="Times New Roman"/>
          <w:sz w:val="24"/>
          <w:szCs w:val="24"/>
        </w:rPr>
        <w:t xml:space="preserve">. </w:t>
      </w:r>
      <w:hyperlink r:id="rId28" w:history="1">
        <w:r w:rsidRPr="002B076B">
          <w:rPr>
            <w:rStyle w:val="Hyperlink"/>
            <w:rFonts w:ascii="Times New Roman" w:hAnsi="Times New Roman" w:cs="Times New Roman"/>
            <w:sz w:val="24"/>
            <w:szCs w:val="24"/>
          </w:rPr>
          <w:t>https://doi.org/10.17863/cam.22520</w:t>
        </w:r>
      </w:hyperlink>
      <w:r>
        <w:rPr>
          <w:rFonts w:ascii="Times New Roman" w:hAnsi="Times New Roman" w:cs="Times New Roman"/>
          <w:sz w:val="24"/>
          <w:szCs w:val="24"/>
        </w:rPr>
        <w:t xml:space="preserve"> </w:t>
      </w:r>
    </w:p>
    <w:p w14:paraId="02FCB4CB"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Calabrò</w:t>
      </w:r>
      <w:proofErr w:type="spellEnd"/>
      <w:r w:rsidRPr="00471DCE">
        <w:rPr>
          <w:rFonts w:ascii="Times New Roman" w:hAnsi="Times New Roman" w:cs="Times New Roman"/>
          <w:sz w:val="24"/>
          <w:szCs w:val="24"/>
        </w:rPr>
        <w:t xml:space="preserve">, A., </w:t>
      </w:r>
      <w:proofErr w:type="spellStart"/>
      <w:r w:rsidRPr="00471DCE">
        <w:rPr>
          <w:rFonts w:ascii="Times New Roman" w:hAnsi="Times New Roman" w:cs="Times New Roman"/>
          <w:sz w:val="24"/>
          <w:szCs w:val="24"/>
        </w:rPr>
        <w:t>Cambiaso</w:t>
      </w:r>
      <w:proofErr w:type="spellEnd"/>
      <w:r w:rsidRPr="00471DCE">
        <w:rPr>
          <w:rFonts w:ascii="Times New Roman" w:hAnsi="Times New Roman" w:cs="Times New Roman"/>
          <w:sz w:val="24"/>
          <w:szCs w:val="24"/>
        </w:rPr>
        <w:t xml:space="preserve">, E., </w:t>
      </w:r>
      <w:proofErr w:type="spellStart"/>
      <w:r w:rsidRPr="00471DCE">
        <w:rPr>
          <w:rFonts w:ascii="Times New Roman" w:hAnsi="Times New Roman" w:cs="Times New Roman"/>
          <w:sz w:val="24"/>
          <w:szCs w:val="24"/>
        </w:rPr>
        <w:t>Cheminod</w:t>
      </w:r>
      <w:proofErr w:type="spellEnd"/>
      <w:r w:rsidRPr="00471DCE">
        <w:rPr>
          <w:rFonts w:ascii="Times New Roman" w:hAnsi="Times New Roman" w:cs="Times New Roman"/>
          <w:sz w:val="24"/>
          <w:szCs w:val="24"/>
        </w:rPr>
        <w:t xml:space="preserve">, M., Bertolotti, I. C., Durante, L., </w:t>
      </w:r>
      <w:proofErr w:type="spellStart"/>
      <w:r w:rsidRPr="00471DCE">
        <w:rPr>
          <w:rFonts w:ascii="Times New Roman" w:hAnsi="Times New Roman" w:cs="Times New Roman"/>
          <w:sz w:val="24"/>
          <w:szCs w:val="24"/>
        </w:rPr>
        <w:t>Forestiero</w:t>
      </w:r>
      <w:proofErr w:type="spellEnd"/>
      <w:r w:rsidRPr="00471DCE">
        <w:rPr>
          <w:rFonts w:ascii="Times New Roman" w:hAnsi="Times New Roman" w:cs="Times New Roman"/>
          <w:sz w:val="24"/>
          <w:szCs w:val="24"/>
        </w:rPr>
        <w:t xml:space="preserve">, A., Lombardi, F., Manco, G., Marchetti, E., Orlando, A., &amp; </w:t>
      </w:r>
      <w:proofErr w:type="spellStart"/>
      <w:r w:rsidRPr="00471DCE">
        <w:rPr>
          <w:rFonts w:ascii="Times New Roman" w:hAnsi="Times New Roman" w:cs="Times New Roman"/>
          <w:sz w:val="24"/>
          <w:szCs w:val="24"/>
        </w:rPr>
        <w:t>Papuzzo</w:t>
      </w:r>
      <w:proofErr w:type="spellEnd"/>
      <w:r w:rsidRPr="00471DCE">
        <w:rPr>
          <w:rFonts w:ascii="Times New Roman" w:hAnsi="Times New Roman" w:cs="Times New Roman"/>
          <w:sz w:val="24"/>
          <w:szCs w:val="24"/>
        </w:rPr>
        <w:t xml:space="preserve">, G. (2024). A Methodological Approach to Securing Cyber-Physical Systems for Critical Infrastructures. </w:t>
      </w:r>
      <w:r w:rsidRPr="00471DCE">
        <w:rPr>
          <w:rFonts w:ascii="Times New Roman" w:hAnsi="Times New Roman" w:cs="Times New Roman"/>
          <w:i/>
          <w:iCs/>
          <w:sz w:val="24"/>
          <w:szCs w:val="24"/>
        </w:rPr>
        <w:t>Future Internet</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16</w:t>
      </w:r>
      <w:r w:rsidRPr="00471DCE">
        <w:rPr>
          <w:rFonts w:ascii="Times New Roman" w:hAnsi="Times New Roman" w:cs="Times New Roman"/>
          <w:sz w:val="24"/>
          <w:szCs w:val="24"/>
        </w:rPr>
        <w:t xml:space="preserve">(11), 418. </w:t>
      </w:r>
      <w:hyperlink r:id="rId29" w:history="1">
        <w:r w:rsidRPr="002B076B">
          <w:rPr>
            <w:rStyle w:val="Hyperlink"/>
            <w:rFonts w:ascii="Times New Roman" w:hAnsi="Times New Roman" w:cs="Times New Roman"/>
            <w:sz w:val="24"/>
            <w:szCs w:val="24"/>
          </w:rPr>
          <w:t>https://doi.org/10.3390/fi16110418</w:t>
        </w:r>
      </w:hyperlink>
      <w:r>
        <w:rPr>
          <w:rFonts w:ascii="Times New Roman" w:hAnsi="Times New Roman" w:cs="Times New Roman"/>
          <w:sz w:val="24"/>
          <w:szCs w:val="24"/>
        </w:rPr>
        <w:t xml:space="preserve"> </w:t>
      </w:r>
    </w:p>
    <w:p w14:paraId="02FCB4CC"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Cao, Y., Zhang, L., Zhao, X., Jin, K., &amp; Chen, Z. (2022). An Intrusion Detection Method for Industrial Control System Based on Machine Learning. </w:t>
      </w:r>
      <w:r w:rsidRPr="00471DCE">
        <w:rPr>
          <w:rFonts w:ascii="Times New Roman" w:hAnsi="Times New Roman" w:cs="Times New Roman"/>
          <w:i/>
          <w:iCs/>
          <w:sz w:val="24"/>
          <w:szCs w:val="24"/>
        </w:rPr>
        <w:t>Information</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13</w:t>
      </w:r>
      <w:r w:rsidRPr="00471DCE">
        <w:rPr>
          <w:rFonts w:ascii="Times New Roman" w:hAnsi="Times New Roman" w:cs="Times New Roman"/>
          <w:sz w:val="24"/>
          <w:szCs w:val="24"/>
        </w:rPr>
        <w:t xml:space="preserve">(7), 322. </w:t>
      </w:r>
      <w:hyperlink r:id="rId30" w:history="1">
        <w:r w:rsidRPr="002B076B">
          <w:rPr>
            <w:rStyle w:val="Hyperlink"/>
            <w:rFonts w:ascii="Times New Roman" w:hAnsi="Times New Roman" w:cs="Times New Roman"/>
            <w:sz w:val="24"/>
            <w:szCs w:val="24"/>
          </w:rPr>
          <w:t>https://doi.org/10.3390/info13070322</w:t>
        </w:r>
      </w:hyperlink>
      <w:r>
        <w:rPr>
          <w:rFonts w:ascii="Times New Roman" w:hAnsi="Times New Roman" w:cs="Times New Roman"/>
          <w:sz w:val="24"/>
          <w:szCs w:val="24"/>
        </w:rPr>
        <w:t xml:space="preserve"> </w:t>
      </w:r>
    </w:p>
    <w:p w14:paraId="02FCB4CD"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Chen, X., He, J., Han, X., &amp; Liu, L. (2023). Efficient and Degree-Guided Graph Generation via Discrete Diffusion Modeling. </w:t>
      </w:r>
      <w:r w:rsidRPr="00471DCE">
        <w:rPr>
          <w:rFonts w:ascii="Times New Roman" w:hAnsi="Times New Roman" w:cs="Times New Roman"/>
          <w:i/>
          <w:iCs/>
          <w:sz w:val="24"/>
          <w:szCs w:val="24"/>
        </w:rPr>
        <w:t>PMLR</w:t>
      </w:r>
      <w:r w:rsidRPr="00471DCE">
        <w:rPr>
          <w:rFonts w:ascii="Times New Roman" w:hAnsi="Times New Roman" w:cs="Times New Roman"/>
          <w:sz w:val="24"/>
          <w:szCs w:val="24"/>
        </w:rPr>
        <w:t xml:space="preserve">, 4585–4610. </w:t>
      </w:r>
      <w:hyperlink r:id="rId31" w:history="1">
        <w:r w:rsidRPr="002B076B">
          <w:rPr>
            <w:rStyle w:val="Hyperlink"/>
            <w:rFonts w:ascii="Times New Roman" w:hAnsi="Times New Roman" w:cs="Times New Roman"/>
            <w:sz w:val="24"/>
            <w:szCs w:val="24"/>
          </w:rPr>
          <w:t>https://proceedings.mlr.press/v202/chen23k.html</w:t>
        </w:r>
      </w:hyperlink>
      <w:r>
        <w:rPr>
          <w:rFonts w:ascii="Times New Roman" w:hAnsi="Times New Roman" w:cs="Times New Roman"/>
          <w:sz w:val="24"/>
          <w:szCs w:val="24"/>
        </w:rPr>
        <w:t xml:space="preserve"> </w:t>
      </w:r>
    </w:p>
    <w:p w14:paraId="02FCB4CE"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Christopher, J. (2025, November 20). </w:t>
      </w:r>
      <w:r w:rsidRPr="00471DCE">
        <w:rPr>
          <w:rFonts w:ascii="Times New Roman" w:hAnsi="Times New Roman" w:cs="Times New Roman"/>
          <w:i/>
          <w:iCs/>
          <w:sz w:val="24"/>
          <w:szCs w:val="24"/>
        </w:rPr>
        <w:t>The SANS 2025 State of ICS Security Report: Progress, Pressure, and the Path to Resilience</w:t>
      </w:r>
      <w:r w:rsidRPr="00471DCE">
        <w:rPr>
          <w:rFonts w:ascii="Times New Roman" w:hAnsi="Times New Roman" w:cs="Times New Roman"/>
          <w:sz w:val="24"/>
          <w:szCs w:val="24"/>
        </w:rPr>
        <w:t xml:space="preserve">. SANS Institute. </w:t>
      </w:r>
      <w:hyperlink r:id="rId32" w:history="1">
        <w:r w:rsidRPr="002B076B">
          <w:rPr>
            <w:rStyle w:val="Hyperlink"/>
            <w:rFonts w:ascii="Times New Roman" w:hAnsi="Times New Roman" w:cs="Times New Roman"/>
            <w:sz w:val="24"/>
            <w:szCs w:val="24"/>
          </w:rPr>
          <w:t>https://www.sans.org/blog/sans-2025-state-ics-security-report-progress-pressure-path-resilience</w:t>
        </w:r>
      </w:hyperlink>
      <w:r>
        <w:rPr>
          <w:rFonts w:ascii="Times New Roman" w:hAnsi="Times New Roman" w:cs="Times New Roman"/>
          <w:sz w:val="24"/>
          <w:szCs w:val="24"/>
        </w:rPr>
        <w:t xml:space="preserve"> </w:t>
      </w:r>
    </w:p>
    <w:p w14:paraId="02FCB4CF"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Ciber Safety. (2025, August 12). </w:t>
      </w:r>
      <w:r w:rsidRPr="00471DCE">
        <w:rPr>
          <w:rFonts w:ascii="Times New Roman" w:hAnsi="Times New Roman" w:cs="Times New Roman"/>
          <w:i/>
          <w:iCs/>
          <w:sz w:val="24"/>
          <w:szCs w:val="24"/>
        </w:rPr>
        <w:t>What is the Purdue Model and how does it improve industrial network security in OT and SCADA environments?</w:t>
      </w:r>
      <w:r w:rsidRPr="00471DCE">
        <w:rPr>
          <w:rFonts w:ascii="Times New Roman" w:hAnsi="Times New Roman" w:cs="Times New Roman"/>
          <w:sz w:val="24"/>
          <w:szCs w:val="24"/>
        </w:rPr>
        <w:t xml:space="preserve"> </w:t>
      </w:r>
      <w:proofErr w:type="spellStart"/>
      <w:r w:rsidRPr="00471DCE">
        <w:rPr>
          <w:rFonts w:ascii="Times New Roman" w:hAnsi="Times New Roman" w:cs="Times New Roman"/>
          <w:sz w:val="24"/>
          <w:szCs w:val="24"/>
        </w:rPr>
        <w:t>Cibersafety</w:t>
      </w:r>
      <w:proofErr w:type="spellEnd"/>
      <w:r w:rsidRPr="00471DCE">
        <w:rPr>
          <w:rFonts w:ascii="Times New Roman" w:hAnsi="Times New Roman" w:cs="Times New Roman"/>
          <w:sz w:val="24"/>
          <w:szCs w:val="24"/>
        </w:rPr>
        <w:t xml:space="preserve">. </w:t>
      </w:r>
      <w:hyperlink r:id="rId33" w:history="1">
        <w:r w:rsidRPr="002B076B">
          <w:rPr>
            <w:rStyle w:val="Hyperlink"/>
            <w:rFonts w:ascii="Times New Roman" w:hAnsi="Times New Roman" w:cs="Times New Roman"/>
            <w:sz w:val="24"/>
            <w:szCs w:val="24"/>
          </w:rPr>
          <w:t>https://cibersafety.com/en/Purdue-model-for-industrial-network-security/?utm_</w:t>
        </w:r>
      </w:hyperlink>
      <w:r>
        <w:rPr>
          <w:rFonts w:ascii="Times New Roman" w:hAnsi="Times New Roman" w:cs="Times New Roman"/>
          <w:sz w:val="24"/>
          <w:szCs w:val="24"/>
        </w:rPr>
        <w:t xml:space="preserve"> </w:t>
      </w:r>
    </w:p>
    <w:p w14:paraId="02FCB4D0"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lastRenderedPageBreak/>
        <w:t xml:space="preserve">CISA. (2025, December 3). </w:t>
      </w:r>
      <w:r w:rsidRPr="00471DCE">
        <w:rPr>
          <w:rFonts w:ascii="Times New Roman" w:hAnsi="Times New Roman" w:cs="Times New Roman"/>
          <w:i/>
          <w:iCs/>
          <w:sz w:val="24"/>
          <w:szCs w:val="24"/>
        </w:rPr>
        <w:t>Principles for the Secure Integration of Artificial Intelligence in Operational Technology | CISA</w:t>
      </w:r>
      <w:r w:rsidRPr="00471DCE">
        <w:rPr>
          <w:rFonts w:ascii="Times New Roman" w:hAnsi="Times New Roman" w:cs="Times New Roman"/>
          <w:sz w:val="24"/>
          <w:szCs w:val="24"/>
        </w:rPr>
        <w:t xml:space="preserve">. Cybersecurity and Infrastructure Security Agency CISA. </w:t>
      </w:r>
      <w:hyperlink r:id="rId34" w:history="1">
        <w:r w:rsidRPr="002B076B">
          <w:rPr>
            <w:rStyle w:val="Hyperlink"/>
            <w:rFonts w:ascii="Times New Roman" w:hAnsi="Times New Roman" w:cs="Times New Roman"/>
            <w:sz w:val="24"/>
            <w:szCs w:val="24"/>
          </w:rPr>
          <w:t>https://www.cisa.gov/resources-tools/resources/principles-secure-integration-artificial-intelligence-operational-technology</w:t>
        </w:r>
      </w:hyperlink>
      <w:r>
        <w:rPr>
          <w:rFonts w:ascii="Times New Roman" w:hAnsi="Times New Roman" w:cs="Times New Roman"/>
          <w:sz w:val="24"/>
          <w:szCs w:val="24"/>
        </w:rPr>
        <w:t xml:space="preserve"> </w:t>
      </w:r>
    </w:p>
    <w:p w14:paraId="02FCB4D1"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Denzel, K. (2025). A survey of security in zero trust network architectures. </w:t>
      </w:r>
      <w:r w:rsidRPr="00471DCE">
        <w:rPr>
          <w:rFonts w:ascii="Times New Roman" w:hAnsi="Times New Roman" w:cs="Times New Roman"/>
          <w:i/>
          <w:iCs/>
          <w:sz w:val="24"/>
          <w:szCs w:val="24"/>
        </w:rPr>
        <w:t>GSC Advanced Research and Reviews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22</w:t>
      </w:r>
      <w:r w:rsidRPr="00471DCE">
        <w:rPr>
          <w:rFonts w:ascii="Times New Roman" w:hAnsi="Times New Roman" w:cs="Times New Roman"/>
          <w:sz w:val="24"/>
          <w:szCs w:val="24"/>
        </w:rPr>
        <w:t xml:space="preserve">(2), 182–214. </w:t>
      </w:r>
      <w:hyperlink r:id="rId35" w:history="1">
        <w:r w:rsidRPr="002B076B">
          <w:rPr>
            <w:rStyle w:val="Hyperlink"/>
            <w:rFonts w:ascii="Times New Roman" w:hAnsi="Times New Roman" w:cs="Times New Roman"/>
            <w:sz w:val="24"/>
            <w:szCs w:val="24"/>
          </w:rPr>
          <w:t>https://doi.org/10.30574/gscarr.2025.22.2.0036</w:t>
        </w:r>
      </w:hyperlink>
      <w:r>
        <w:rPr>
          <w:rFonts w:ascii="Times New Roman" w:hAnsi="Times New Roman" w:cs="Times New Roman"/>
          <w:sz w:val="24"/>
          <w:szCs w:val="24"/>
        </w:rPr>
        <w:t xml:space="preserve">  </w:t>
      </w:r>
    </w:p>
    <w:p w14:paraId="02FCB4D2"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Everitt, T., Hutter, M., Kumar, R., &amp; </w:t>
      </w:r>
      <w:proofErr w:type="spellStart"/>
      <w:r w:rsidRPr="00471DCE">
        <w:rPr>
          <w:rFonts w:ascii="Times New Roman" w:hAnsi="Times New Roman" w:cs="Times New Roman"/>
          <w:sz w:val="24"/>
          <w:szCs w:val="24"/>
        </w:rPr>
        <w:t>Krakovna</w:t>
      </w:r>
      <w:proofErr w:type="spellEnd"/>
      <w:r w:rsidRPr="00471DCE">
        <w:rPr>
          <w:rFonts w:ascii="Times New Roman" w:hAnsi="Times New Roman" w:cs="Times New Roman"/>
          <w:sz w:val="24"/>
          <w:szCs w:val="24"/>
        </w:rPr>
        <w:t xml:space="preserve">, V. (2021). Reward tampering problems and solutions in reinforcement learning: a causal influence diagram perspective. </w:t>
      </w:r>
      <w:proofErr w:type="spellStart"/>
      <w:r w:rsidRPr="00471DCE">
        <w:rPr>
          <w:rFonts w:ascii="Times New Roman" w:hAnsi="Times New Roman" w:cs="Times New Roman"/>
          <w:i/>
          <w:iCs/>
          <w:sz w:val="24"/>
          <w:szCs w:val="24"/>
        </w:rPr>
        <w:t>Synthese</w:t>
      </w:r>
      <w:proofErr w:type="spellEnd"/>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198</w:t>
      </w:r>
      <w:r w:rsidRPr="00471DCE">
        <w:rPr>
          <w:rFonts w:ascii="Times New Roman" w:hAnsi="Times New Roman" w:cs="Times New Roman"/>
          <w:sz w:val="24"/>
          <w:szCs w:val="24"/>
        </w:rPr>
        <w:t xml:space="preserve">(S27), 6435–6467. </w:t>
      </w:r>
      <w:hyperlink r:id="rId36" w:history="1">
        <w:r w:rsidRPr="002B076B">
          <w:rPr>
            <w:rStyle w:val="Hyperlink"/>
            <w:rFonts w:ascii="Times New Roman" w:hAnsi="Times New Roman" w:cs="Times New Roman"/>
            <w:sz w:val="24"/>
            <w:szCs w:val="24"/>
          </w:rPr>
          <w:t>https://doi.org/10.1007/s11229-021-03141-4</w:t>
        </w:r>
      </w:hyperlink>
      <w:r>
        <w:rPr>
          <w:rFonts w:ascii="Times New Roman" w:hAnsi="Times New Roman" w:cs="Times New Roman"/>
          <w:sz w:val="24"/>
          <w:szCs w:val="24"/>
        </w:rPr>
        <w:t xml:space="preserve"> </w:t>
      </w:r>
    </w:p>
    <w:p w14:paraId="02FCB4D3"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Finch, W. W., Butt, M., Finch, W. W., &amp; Butt, M. (2025). Gaps in AI-Compliant Complementary Governance Frameworks’ Suitability (for Low-Capacity Actors), and Structural Asymmetries (in the Compliance Ecosystem)—A Systematic Review. </w:t>
      </w:r>
      <w:r w:rsidRPr="00471DCE">
        <w:rPr>
          <w:rFonts w:ascii="Times New Roman" w:hAnsi="Times New Roman" w:cs="Times New Roman"/>
          <w:i/>
          <w:iCs/>
          <w:sz w:val="24"/>
          <w:szCs w:val="24"/>
        </w:rPr>
        <w:t>Journal of Cybersecurity and Privacy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w:t>
      </w:r>
      <w:r w:rsidRPr="00471DCE">
        <w:rPr>
          <w:rFonts w:ascii="Times New Roman" w:hAnsi="Times New Roman" w:cs="Times New Roman"/>
          <w:sz w:val="24"/>
          <w:szCs w:val="24"/>
        </w:rPr>
        <w:t xml:space="preserve">(4), 101–101. </w:t>
      </w:r>
      <w:hyperlink r:id="rId37" w:history="1">
        <w:r w:rsidRPr="002B076B">
          <w:rPr>
            <w:rStyle w:val="Hyperlink"/>
            <w:rFonts w:ascii="Times New Roman" w:hAnsi="Times New Roman" w:cs="Times New Roman"/>
            <w:sz w:val="24"/>
            <w:szCs w:val="24"/>
          </w:rPr>
          <w:t>https://doi.org/10.3390/jcp5040101</w:t>
        </w:r>
      </w:hyperlink>
      <w:r>
        <w:rPr>
          <w:rFonts w:ascii="Times New Roman" w:hAnsi="Times New Roman" w:cs="Times New Roman"/>
          <w:sz w:val="24"/>
          <w:szCs w:val="24"/>
        </w:rPr>
        <w:t xml:space="preserve"> </w:t>
      </w:r>
    </w:p>
    <w:p w14:paraId="02FCB4D4"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Fjeld, J., Achten, N., Hilligoss, H., Nagy, A., &amp; Srikumar, M. (2020). Principled Artificial Intelligence: Mapping Consensus in Ethical and Rights-based Approaches to Principles for AI. </w:t>
      </w:r>
      <w:r w:rsidRPr="00471DCE">
        <w:rPr>
          <w:rFonts w:ascii="Times New Roman" w:hAnsi="Times New Roman" w:cs="Times New Roman"/>
          <w:i/>
          <w:iCs/>
          <w:sz w:val="24"/>
          <w:szCs w:val="24"/>
        </w:rPr>
        <w:t>Dash.harvard.edu</w:t>
      </w:r>
      <w:r w:rsidRPr="00471DCE">
        <w:rPr>
          <w:rFonts w:ascii="Times New Roman" w:hAnsi="Times New Roman" w:cs="Times New Roman"/>
          <w:sz w:val="24"/>
          <w:szCs w:val="24"/>
        </w:rPr>
        <w:t xml:space="preserve">. </w:t>
      </w:r>
      <w:hyperlink r:id="rId38" w:history="1">
        <w:r w:rsidRPr="002B076B">
          <w:rPr>
            <w:rStyle w:val="Hyperlink"/>
            <w:rFonts w:ascii="Times New Roman" w:hAnsi="Times New Roman" w:cs="Times New Roman"/>
            <w:sz w:val="24"/>
            <w:szCs w:val="24"/>
          </w:rPr>
          <w:t>http://nrs.harvard.edu/urn-3:HUL.InstRepos:42160420</w:t>
        </w:r>
      </w:hyperlink>
      <w:r>
        <w:rPr>
          <w:rFonts w:ascii="Times New Roman" w:hAnsi="Times New Roman" w:cs="Times New Roman"/>
          <w:sz w:val="24"/>
          <w:szCs w:val="24"/>
        </w:rPr>
        <w:t xml:space="preserve"> </w:t>
      </w:r>
    </w:p>
    <w:p w14:paraId="02FCB4D5"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Flå, L., </w:t>
      </w:r>
      <w:proofErr w:type="spellStart"/>
      <w:r w:rsidRPr="00471DCE">
        <w:rPr>
          <w:rFonts w:ascii="Times New Roman" w:hAnsi="Times New Roman" w:cs="Times New Roman"/>
          <w:sz w:val="24"/>
          <w:szCs w:val="24"/>
        </w:rPr>
        <w:t>Lundteigen</w:t>
      </w:r>
      <w:proofErr w:type="spellEnd"/>
      <w:r w:rsidRPr="00471DCE">
        <w:rPr>
          <w:rFonts w:ascii="Times New Roman" w:hAnsi="Times New Roman" w:cs="Times New Roman"/>
          <w:sz w:val="24"/>
          <w:szCs w:val="24"/>
        </w:rPr>
        <w:t xml:space="preserve">, M., </w:t>
      </w:r>
      <w:proofErr w:type="spellStart"/>
      <w:r w:rsidRPr="00471DCE">
        <w:rPr>
          <w:rFonts w:ascii="Times New Roman" w:hAnsi="Times New Roman" w:cs="Times New Roman"/>
          <w:sz w:val="24"/>
          <w:szCs w:val="24"/>
        </w:rPr>
        <w:t>Gratte</w:t>
      </w:r>
      <w:proofErr w:type="spellEnd"/>
      <w:r w:rsidRPr="00471DCE">
        <w:rPr>
          <w:rFonts w:ascii="Times New Roman" w:hAnsi="Times New Roman" w:cs="Times New Roman"/>
          <w:sz w:val="24"/>
          <w:szCs w:val="24"/>
        </w:rPr>
        <w:t xml:space="preserve">, F., &amp; Gilje, M. (2024). </w:t>
      </w:r>
      <w:r w:rsidRPr="00471DCE">
        <w:rPr>
          <w:rFonts w:ascii="Times New Roman" w:hAnsi="Times New Roman" w:cs="Times New Roman"/>
          <w:i/>
          <w:iCs/>
          <w:sz w:val="24"/>
          <w:szCs w:val="24"/>
        </w:rPr>
        <w:t>Implementation of Zones and Conduits in Industrial Control and Automation Systems</w:t>
      </w:r>
      <w:r w:rsidRPr="00471DCE">
        <w:rPr>
          <w:rFonts w:ascii="Times New Roman" w:hAnsi="Times New Roman" w:cs="Times New Roman"/>
          <w:sz w:val="24"/>
          <w:szCs w:val="24"/>
        </w:rPr>
        <w:t xml:space="preserve">. </w:t>
      </w:r>
      <w:hyperlink r:id="rId39" w:history="1">
        <w:r w:rsidRPr="002B076B">
          <w:rPr>
            <w:rStyle w:val="Hyperlink"/>
            <w:rFonts w:ascii="Times New Roman" w:hAnsi="Times New Roman" w:cs="Times New Roman"/>
            <w:sz w:val="24"/>
            <w:szCs w:val="24"/>
          </w:rPr>
          <w:t>https://jaatun.no/papers/2024/Zones-and-Conduits.pdf?utm_</w:t>
        </w:r>
      </w:hyperlink>
      <w:r>
        <w:rPr>
          <w:rFonts w:ascii="Times New Roman" w:hAnsi="Times New Roman" w:cs="Times New Roman"/>
          <w:sz w:val="24"/>
          <w:szCs w:val="24"/>
        </w:rPr>
        <w:t xml:space="preserve"> </w:t>
      </w:r>
    </w:p>
    <w:p w14:paraId="02FCB4D6"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Fung, C., Zeng, E., &amp; Bauer, L. (2025). </w:t>
      </w:r>
      <w:r w:rsidRPr="00471DCE">
        <w:rPr>
          <w:rFonts w:ascii="Times New Roman" w:hAnsi="Times New Roman" w:cs="Times New Roman"/>
          <w:i/>
          <w:iCs/>
          <w:sz w:val="24"/>
          <w:szCs w:val="24"/>
        </w:rPr>
        <w:t>Adopting AI to Protect Industrial Control Systems: Assessing Challenges and Opportunities from the Operators’ Perspective Adopting AI to Protect Industrial Control Systems: Assessing Challenges and Opportunities from the Operators’ Perspective</w:t>
      </w:r>
      <w:r w:rsidRPr="00471DCE">
        <w:rPr>
          <w:rFonts w:ascii="Times New Roman" w:hAnsi="Times New Roman" w:cs="Times New Roman"/>
          <w:sz w:val="24"/>
          <w:szCs w:val="24"/>
        </w:rPr>
        <w:t xml:space="preserve">. </w:t>
      </w:r>
      <w:hyperlink r:id="rId40" w:history="1">
        <w:r w:rsidRPr="002B076B">
          <w:rPr>
            <w:rStyle w:val="Hyperlink"/>
            <w:rFonts w:ascii="Times New Roman" w:hAnsi="Times New Roman" w:cs="Times New Roman"/>
            <w:sz w:val="24"/>
            <w:szCs w:val="24"/>
          </w:rPr>
          <w:t>https://www.usenix.org/system/files/soups2025-fung.pdf</w:t>
        </w:r>
      </w:hyperlink>
      <w:r>
        <w:rPr>
          <w:rFonts w:ascii="Times New Roman" w:hAnsi="Times New Roman" w:cs="Times New Roman"/>
          <w:sz w:val="24"/>
          <w:szCs w:val="24"/>
        </w:rPr>
        <w:t xml:space="preserve"> </w:t>
      </w:r>
    </w:p>
    <w:p w14:paraId="02FCB4D7"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Furrer, F. J. (2023). Safe and secure system architectures for cyber-physical systems. </w:t>
      </w:r>
      <w:r w:rsidRPr="00471DCE">
        <w:rPr>
          <w:rFonts w:ascii="Times New Roman" w:hAnsi="Times New Roman" w:cs="Times New Roman"/>
          <w:i/>
          <w:iCs/>
          <w:sz w:val="24"/>
          <w:szCs w:val="24"/>
        </w:rPr>
        <w:t>Informatik-Spektrum</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46</w:t>
      </w:r>
      <w:r w:rsidRPr="00471DCE">
        <w:rPr>
          <w:rFonts w:ascii="Times New Roman" w:hAnsi="Times New Roman" w:cs="Times New Roman"/>
          <w:sz w:val="24"/>
          <w:szCs w:val="24"/>
        </w:rPr>
        <w:t xml:space="preserve">(2), 96–103. </w:t>
      </w:r>
      <w:hyperlink r:id="rId41" w:history="1">
        <w:r w:rsidRPr="002B076B">
          <w:rPr>
            <w:rStyle w:val="Hyperlink"/>
            <w:rFonts w:ascii="Times New Roman" w:hAnsi="Times New Roman" w:cs="Times New Roman"/>
            <w:sz w:val="24"/>
            <w:szCs w:val="24"/>
          </w:rPr>
          <w:t>https://doi.org/10.1007/s00287-023-01533-z</w:t>
        </w:r>
      </w:hyperlink>
      <w:r>
        <w:rPr>
          <w:rFonts w:ascii="Times New Roman" w:hAnsi="Times New Roman" w:cs="Times New Roman"/>
          <w:sz w:val="24"/>
          <w:szCs w:val="24"/>
        </w:rPr>
        <w:t xml:space="preserve"> </w:t>
      </w:r>
    </w:p>
    <w:p w14:paraId="02FCB4D8"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Gambo, M. L., &amp; </w:t>
      </w:r>
      <w:proofErr w:type="spellStart"/>
      <w:r w:rsidRPr="00471DCE">
        <w:rPr>
          <w:rFonts w:ascii="Times New Roman" w:hAnsi="Times New Roman" w:cs="Times New Roman"/>
          <w:sz w:val="24"/>
          <w:szCs w:val="24"/>
        </w:rPr>
        <w:t>Almulhem</w:t>
      </w:r>
      <w:proofErr w:type="spellEnd"/>
      <w:r w:rsidRPr="00471DCE">
        <w:rPr>
          <w:rFonts w:ascii="Times New Roman" w:hAnsi="Times New Roman" w:cs="Times New Roman"/>
          <w:sz w:val="24"/>
          <w:szCs w:val="24"/>
        </w:rPr>
        <w:t xml:space="preserve">, A. (2025). </w:t>
      </w:r>
      <w:r w:rsidRPr="00471DCE">
        <w:rPr>
          <w:rFonts w:ascii="Times New Roman" w:hAnsi="Times New Roman" w:cs="Times New Roman"/>
          <w:i/>
          <w:iCs/>
          <w:sz w:val="24"/>
          <w:szCs w:val="24"/>
        </w:rPr>
        <w:t>Zero Trust Architecture: A Systematic Literature Review</w:t>
      </w:r>
      <w:r w:rsidRPr="00471DCE">
        <w:rPr>
          <w:rFonts w:ascii="Times New Roman" w:hAnsi="Times New Roman" w:cs="Times New Roman"/>
          <w:sz w:val="24"/>
          <w:szCs w:val="24"/>
        </w:rPr>
        <w:t xml:space="preserve">. ArXiv.org. </w:t>
      </w:r>
      <w:hyperlink r:id="rId42" w:history="1">
        <w:r w:rsidRPr="002B076B">
          <w:rPr>
            <w:rStyle w:val="Hyperlink"/>
            <w:rFonts w:ascii="Times New Roman" w:hAnsi="Times New Roman" w:cs="Times New Roman"/>
            <w:sz w:val="24"/>
            <w:szCs w:val="24"/>
          </w:rPr>
          <w:t>https://arxiv.org/abs/2503.11659</w:t>
        </w:r>
      </w:hyperlink>
      <w:r>
        <w:rPr>
          <w:rFonts w:ascii="Times New Roman" w:hAnsi="Times New Roman" w:cs="Times New Roman"/>
          <w:sz w:val="24"/>
          <w:szCs w:val="24"/>
        </w:rPr>
        <w:t xml:space="preserve"> </w:t>
      </w:r>
    </w:p>
    <w:p w14:paraId="02FCB4D9"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Ghosh, S., Simkin, B., </w:t>
      </w:r>
      <w:proofErr w:type="spellStart"/>
      <w:r w:rsidRPr="00471DCE">
        <w:rPr>
          <w:rFonts w:ascii="Times New Roman" w:hAnsi="Times New Roman" w:cs="Times New Roman"/>
          <w:sz w:val="24"/>
          <w:szCs w:val="24"/>
        </w:rPr>
        <w:t>Shiarlis</w:t>
      </w:r>
      <w:proofErr w:type="spellEnd"/>
      <w:r w:rsidRPr="00471DCE">
        <w:rPr>
          <w:rFonts w:ascii="Times New Roman" w:hAnsi="Times New Roman" w:cs="Times New Roman"/>
          <w:sz w:val="24"/>
          <w:szCs w:val="24"/>
        </w:rPr>
        <w:t xml:space="preserve">, K., Nandi, S., Zhao, D., Fiedler, M., </w:t>
      </w:r>
      <w:proofErr w:type="spellStart"/>
      <w:r w:rsidRPr="00471DCE">
        <w:rPr>
          <w:rFonts w:ascii="Times New Roman" w:hAnsi="Times New Roman" w:cs="Times New Roman"/>
          <w:sz w:val="24"/>
          <w:szCs w:val="24"/>
        </w:rPr>
        <w:t>Bazinska</w:t>
      </w:r>
      <w:proofErr w:type="spellEnd"/>
      <w:r w:rsidRPr="00471DCE">
        <w:rPr>
          <w:rFonts w:ascii="Times New Roman" w:hAnsi="Times New Roman" w:cs="Times New Roman"/>
          <w:sz w:val="24"/>
          <w:szCs w:val="24"/>
        </w:rPr>
        <w:t xml:space="preserve">, J., Pope, N., Prabhu, R., Rohrer, D., Demoret, M., &amp; Richardson, B. (2025). </w:t>
      </w:r>
      <w:r w:rsidRPr="00471DCE">
        <w:rPr>
          <w:rFonts w:ascii="Times New Roman" w:hAnsi="Times New Roman" w:cs="Times New Roman"/>
          <w:i/>
          <w:iCs/>
          <w:sz w:val="24"/>
          <w:szCs w:val="24"/>
        </w:rPr>
        <w:t>A Safety and Security Framework for Real-World Agentic Systems</w:t>
      </w:r>
      <w:r w:rsidRPr="00471DCE">
        <w:rPr>
          <w:rFonts w:ascii="Times New Roman" w:hAnsi="Times New Roman" w:cs="Times New Roman"/>
          <w:sz w:val="24"/>
          <w:szCs w:val="24"/>
        </w:rPr>
        <w:t xml:space="preserve">. ArXiv.org. </w:t>
      </w:r>
      <w:hyperlink r:id="rId43" w:history="1">
        <w:r w:rsidRPr="002B076B">
          <w:rPr>
            <w:rStyle w:val="Hyperlink"/>
            <w:rFonts w:ascii="Times New Roman" w:hAnsi="Times New Roman" w:cs="Times New Roman"/>
            <w:sz w:val="24"/>
            <w:szCs w:val="24"/>
          </w:rPr>
          <w:t>https://arxiv.org/abs/2511.21990</w:t>
        </w:r>
      </w:hyperlink>
      <w:r>
        <w:rPr>
          <w:rFonts w:ascii="Times New Roman" w:hAnsi="Times New Roman" w:cs="Times New Roman"/>
          <w:sz w:val="24"/>
          <w:szCs w:val="24"/>
        </w:rPr>
        <w:t xml:space="preserve"> </w:t>
      </w:r>
    </w:p>
    <w:p w14:paraId="02FCB4DA"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lastRenderedPageBreak/>
        <w:t>Haidemariam</w:t>
      </w:r>
      <w:proofErr w:type="spellEnd"/>
      <w:r w:rsidRPr="00471DCE">
        <w:rPr>
          <w:rFonts w:ascii="Times New Roman" w:hAnsi="Times New Roman" w:cs="Times New Roman"/>
          <w:sz w:val="24"/>
          <w:szCs w:val="24"/>
        </w:rPr>
        <w:t xml:space="preserve">, T. (2026). From the logic of coordination to goal-directed reasoning: the agentic turn in artificial intelligence. </w:t>
      </w:r>
      <w:r w:rsidRPr="00471DCE">
        <w:rPr>
          <w:rFonts w:ascii="Times New Roman" w:hAnsi="Times New Roman" w:cs="Times New Roman"/>
          <w:i/>
          <w:iCs/>
          <w:sz w:val="24"/>
          <w:szCs w:val="24"/>
        </w:rPr>
        <w:t>Frontiers in Artificial Intelligence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8</w:t>
      </w:r>
      <w:r w:rsidRPr="00471DCE">
        <w:rPr>
          <w:rFonts w:ascii="Times New Roman" w:hAnsi="Times New Roman" w:cs="Times New Roman"/>
          <w:sz w:val="24"/>
          <w:szCs w:val="24"/>
        </w:rPr>
        <w:t xml:space="preserve">. </w:t>
      </w:r>
      <w:hyperlink r:id="rId44" w:history="1">
        <w:r w:rsidRPr="002B076B">
          <w:rPr>
            <w:rStyle w:val="Hyperlink"/>
            <w:rFonts w:ascii="Times New Roman" w:hAnsi="Times New Roman" w:cs="Times New Roman"/>
            <w:sz w:val="24"/>
            <w:szCs w:val="24"/>
          </w:rPr>
          <w:t>https://doi.org/10.3389/frai.2025.1728738</w:t>
        </w:r>
      </w:hyperlink>
      <w:r>
        <w:rPr>
          <w:rFonts w:ascii="Times New Roman" w:hAnsi="Times New Roman" w:cs="Times New Roman"/>
          <w:sz w:val="24"/>
          <w:szCs w:val="24"/>
        </w:rPr>
        <w:t xml:space="preserve"> </w:t>
      </w:r>
    </w:p>
    <w:p w14:paraId="02FCB4DB"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Harris, J., &amp; </w:t>
      </w:r>
      <w:proofErr w:type="spellStart"/>
      <w:r w:rsidRPr="00471DCE">
        <w:rPr>
          <w:rFonts w:ascii="Times New Roman" w:hAnsi="Times New Roman" w:cs="Times New Roman"/>
          <w:sz w:val="24"/>
          <w:szCs w:val="24"/>
        </w:rPr>
        <w:t>Dubljević</w:t>
      </w:r>
      <w:proofErr w:type="spellEnd"/>
      <w:r w:rsidRPr="00471DCE">
        <w:rPr>
          <w:rFonts w:ascii="Times New Roman" w:hAnsi="Times New Roman" w:cs="Times New Roman"/>
          <w:sz w:val="24"/>
          <w:szCs w:val="24"/>
        </w:rPr>
        <w:t xml:space="preserve">, V. (2025). Navigating the Ethics of Artificial Intelligence. </w:t>
      </w:r>
      <w:r w:rsidRPr="00471DCE">
        <w:rPr>
          <w:rFonts w:ascii="Times New Roman" w:hAnsi="Times New Roman" w:cs="Times New Roman"/>
          <w:i/>
          <w:iCs/>
          <w:sz w:val="24"/>
          <w:szCs w:val="24"/>
        </w:rPr>
        <w:t>Encyclopedia</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w:t>
      </w:r>
      <w:r w:rsidRPr="00471DCE">
        <w:rPr>
          <w:rFonts w:ascii="Times New Roman" w:hAnsi="Times New Roman" w:cs="Times New Roman"/>
          <w:sz w:val="24"/>
          <w:szCs w:val="24"/>
        </w:rPr>
        <w:t xml:space="preserve">(4), 201–201. </w:t>
      </w:r>
      <w:hyperlink r:id="rId45" w:history="1">
        <w:r w:rsidRPr="002B076B">
          <w:rPr>
            <w:rStyle w:val="Hyperlink"/>
            <w:rFonts w:ascii="Times New Roman" w:hAnsi="Times New Roman" w:cs="Times New Roman"/>
            <w:sz w:val="24"/>
            <w:szCs w:val="24"/>
          </w:rPr>
          <w:t>https://doi.org/10.3390/encyclopedia5040201</w:t>
        </w:r>
      </w:hyperlink>
      <w:r>
        <w:rPr>
          <w:rFonts w:ascii="Times New Roman" w:hAnsi="Times New Roman" w:cs="Times New Roman"/>
          <w:sz w:val="24"/>
          <w:szCs w:val="24"/>
        </w:rPr>
        <w:t xml:space="preserve"> </w:t>
      </w:r>
    </w:p>
    <w:p w14:paraId="02FCB4DC"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Houkan</w:t>
      </w:r>
      <w:proofErr w:type="spellEnd"/>
      <w:r w:rsidRPr="00471DCE">
        <w:rPr>
          <w:rFonts w:ascii="Times New Roman" w:hAnsi="Times New Roman" w:cs="Times New Roman"/>
          <w:sz w:val="24"/>
          <w:szCs w:val="24"/>
        </w:rPr>
        <w:t xml:space="preserve">, A., Sahoo, A. K., </w:t>
      </w:r>
      <w:proofErr w:type="spellStart"/>
      <w:r w:rsidRPr="00471DCE">
        <w:rPr>
          <w:rFonts w:ascii="Times New Roman" w:hAnsi="Times New Roman" w:cs="Times New Roman"/>
          <w:sz w:val="24"/>
          <w:szCs w:val="24"/>
        </w:rPr>
        <w:t>Gochhayat</w:t>
      </w:r>
      <w:proofErr w:type="spellEnd"/>
      <w:r w:rsidRPr="00471DCE">
        <w:rPr>
          <w:rFonts w:ascii="Times New Roman" w:hAnsi="Times New Roman" w:cs="Times New Roman"/>
          <w:sz w:val="24"/>
          <w:szCs w:val="24"/>
        </w:rPr>
        <w:t xml:space="preserve">, S. P., &amp; Sahoo, P. K. (2025). Artificial intelligence approach to intrusion detection in industrial control systems with real world dataset generation and model evaluation. </w:t>
      </w:r>
      <w:r w:rsidRPr="00471DCE">
        <w:rPr>
          <w:rFonts w:ascii="Times New Roman" w:hAnsi="Times New Roman" w:cs="Times New Roman"/>
          <w:i/>
          <w:iCs/>
          <w:sz w:val="24"/>
          <w:szCs w:val="24"/>
        </w:rPr>
        <w:t>Discover Artificial Intelligence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w:t>
      </w:r>
      <w:r w:rsidRPr="00471DCE">
        <w:rPr>
          <w:rFonts w:ascii="Times New Roman" w:hAnsi="Times New Roman" w:cs="Times New Roman"/>
          <w:sz w:val="24"/>
          <w:szCs w:val="24"/>
        </w:rPr>
        <w:t xml:space="preserve">(1). </w:t>
      </w:r>
      <w:hyperlink r:id="rId46" w:history="1">
        <w:r w:rsidRPr="002B076B">
          <w:rPr>
            <w:rStyle w:val="Hyperlink"/>
            <w:rFonts w:ascii="Times New Roman" w:hAnsi="Times New Roman" w:cs="Times New Roman"/>
            <w:sz w:val="24"/>
            <w:szCs w:val="24"/>
          </w:rPr>
          <w:t>https://doi.org/10.1007/s44163-025-00507-2</w:t>
        </w:r>
      </w:hyperlink>
      <w:r>
        <w:rPr>
          <w:rFonts w:ascii="Times New Roman" w:hAnsi="Times New Roman" w:cs="Times New Roman"/>
          <w:sz w:val="24"/>
          <w:szCs w:val="24"/>
        </w:rPr>
        <w:t xml:space="preserve"> </w:t>
      </w:r>
    </w:p>
    <w:p w14:paraId="02FCB4DD"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Huang, S., Poskitt, C. M., &amp; Shar, L. K. (2024). Security Modelling for Cyber-Physical Systems: A Systematic Literature Review. </w:t>
      </w:r>
      <w:proofErr w:type="spellStart"/>
      <w:r w:rsidRPr="00471DCE">
        <w:rPr>
          <w:rFonts w:ascii="Times New Roman" w:hAnsi="Times New Roman" w:cs="Times New Roman"/>
          <w:i/>
          <w:iCs/>
          <w:sz w:val="24"/>
          <w:szCs w:val="24"/>
        </w:rPr>
        <w:t>ArXiv</w:t>
      </w:r>
      <w:proofErr w:type="spellEnd"/>
      <w:r w:rsidRPr="00471DCE">
        <w:rPr>
          <w:rFonts w:ascii="Times New Roman" w:hAnsi="Times New Roman" w:cs="Times New Roman"/>
          <w:i/>
          <w:iCs/>
          <w:sz w:val="24"/>
          <w:szCs w:val="24"/>
        </w:rPr>
        <w:t xml:space="preserve"> (Cornell University)</w:t>
      </w:r>
      <w:r w:rsidRPr="00471DCE">
        <w:rPr>
          <w:rFonts w:ascii="Times New Roman" w:hAnsi="Times New Roman" w:cs="Times New Roman"/>
          <w:sz w:val="24"/>
          <w:szCs w:val="24"/>
        </w:rPr>
        <w:t xml:space="preserve">. </w:t>
      </w:r>
      <w:hyperlink r:id="rId47" w:history="1">
        <w:r w:rsidRPr="002B076B">
          <w:rPr>
            <w:rStyle w:val="Hyperlink"/>
            <w:rFonts w:ascii="Times New Roman" w:hAnsi="Times New Roman" w:cs="Times New Roman"/>
            <w:sz w:val="24"/>
            <w:szCs w:val="24"/>
          </w:rPr>
          <w:t>https://doi.org/10.48550/arxiv.2404.07527</w:t>
        </w:r>
      </w:hyperlink>
      <w:r>
        <w:rPr>
          <w:rFonts w:ascii="Times New Roman" w:hAnsi="Times New Roman" w:cs="Times New Roman"/>
          <w:sz w:val="24"/>
          <w:szCs w:val="24"/>
        </w:rPr>
        <w:t xml:space="preserve"> </w:t>
      </w:r>
    </w:p>
    <w:p w14:paraId="02FCB4DE"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Hulme, G. V. (2025, July 28). </w:t>
      </w:r>
      <w:r w:rsidRPr="00471DCE">
        <w:rPr>
          <w:rFonts w:ascii="Times New Roman" w:hAnsi="Times New Roman" w:cs="Times New Roman"/>
          <w:i/>
          <w:iCs/>
          <w:sz w:val="24"/>
          <w:szCs w:val="24"/>
        </w:rPr>
        <w:t>Is It Time to Rethink the Purdue Model?</w:t>
      </w:r>
      <w:r w:rsidRPr="00471DCE">
        <w:rPr>
          <w:rFonts w:ascii="Times New Roman" w:hAnsi="Times New Roman" w:cs="Times New Roman"/>
          <w:sz w:val="24"/>
          <w:szCs w:val="24"/>
        </w:rPr>
        <w:t xml:space="preserve"> Nexus. </w:t>
      </w:r>
      <w:hyperlink r:id="rId48" w:history="1">
        <w:r w:rsidRPr="002B076B">
          <w:rPr>
            <w:rStyle w:val="Hyperlink"/>
            <w:rFonts w:ascii="Times New Roman" w:hAnsi="Times New Roman" w:cs="Times New Roman"/>
            <w:sz w:val="24"/>
            <w:szCs w:val="24"/>
          </w:rPr>
          <w:t>https://nexusconnect.io/articles/is-it-time-to-rethink-the-purdue-model?utm_</w:t>
        </w:r>
      </w:hyperlink>
      <w:r>
        <w:rPr>
          <w:rFonts w:ascii="Times New Roman" w:hAnsi="Times New Roman" w:cs="Times New Roman"/>
          <w:sz w:val="24"/>
          <w:szCs w:val="24"/>
        </w:rPr>
        <w:t xml:space="preserve"> </w:t>
      </w:r>
    </w:p>
    <w:p w14:paraId="02FCB4DF"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International Society of Automation. (2024). </w:t>
      </w:r>
      <w:r w:rsidRPr="00471DCE">
        <w:rPr>
          <w:rFonts w:ascii="Times New Roman" w:hAnsi="Times New Roman" w:cs="Times New Roman"/>
          <w:i/>
          <w:iCs/>
          <w:sz w:val="24"/>
          <w:szCs w:val="24"/>
        </w:rPr>
        <w:t>ISA/IEC 62443 Series of Standards - ISA</w:t>
      </w:r>
      <w:r w:rsidRPr="00471DCE">
        <w:rPr>
          <w:rFonts w:ascii="Times New Roman" w:hAnsi="Times New Roman" w:cs="Times New Roman"/>
          <w:sz w:val="24"/>
          <w:szCs w:val="24"/>
        </w:rPr>
        <w:t xml:space="preserve">. Isa.org. </w:t>
      </w:r>
      <w:hyperlink r:id="rId49" w:history="1">
        <w:r w:rsidRPr="002B076B">
          <w:rPr>
            <w:rStyle w:val="Hyperlink"/>
            <w:rFonts w:ascii="Times New Roman" w:hAnsi="Times New Roman" w:cs="Times New Roman"/>
            <w:sz w:val="24"/>
            <w:szCs w:val="24"/>
          </w:rPr>
          <w:t>https://www.isa.org/standards-and-publications/isa-standards/isa-iec-62443-series-of-standards</w:t>
        </w:r>
      </w:hyperlink>
      <w:r>
        <w:rPr>
          <w:rFonts w:ascii="Times New Roman" w:hAnsi="Times New Roman" w:cs="Times New Roman"/>
          <w:sz w:val="24"/>
          <w:szCs w:val="24"/>
        </w:rPr>
        <w:t xml:space="preserve"> </w:t>
      </w:r>
    </w:p>
    <w:p w14:paraId="02FCB4E0"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Islam, Z., Lin, Y., </w:t>
      </w:r>
      <w:proofErr w:type="spellStart"/>
      <w:r w:rsidRPr="00471DCE">
        <w:rPr>
          <w:rFonts w:ascii="Times New Roman" w:hAnsi="Times New Roman" w:cs="Times New Roman"/>
          <w:sz w:val="24"/>
          <w:szCs w:val="24"/>
        </w:rPr>
        <w:t>Vokkarane</w:t>
      </w:r>
      <w:proofErr w:type="spellEnd"/>
      <w:r w:rsidRPr="00471DCE">
        <w:rPr>
          <w:rFonts w:ascii="Times New Roman" w:hAnsi="Times New Roman" w:cs="Times New Roman"/>
          <w:sz w:val="24"/>
          <w:szCs w:val="24"/>
        </w:rPr>
        <w:t xml:space="preserve">, V. M., &amp; Venkataramanan, V. (2023). Cyber-physical cascading failure and resilience of power grid: A comprehensive review. </w:t>
      </w:r>
      <w:r w:rsidRPr="00471DCE">
        <w:rPr>
          <w:rFonts w:ascii="Times New Roman" w:hAnsi="Times New Roman" w:cs="Times New Roman"/>
          <w:i/>
          <w:iCs/>
          <w:sz w:val="24"/>
          <w:szCs w:val="24"/>
        </w:rPr>
        <w:t>Frontiers in Energy Research</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11</w:t>
      </w:r>
      <w:r w:rsidRPr="00471DCE">
        <w:rPr>
          <w:rFonts w:ascii="Times New Roman" w:hAnsi="Times New Roman" w:cs="Times New Roman"/>
          <w:sz w:val="24"/>
          <w:szCs w:val="24"/>
        </w:rPr>
        <w:t xml:space="preserve">. </w:t>
      </w:r>
      <w:hyperlink r:id="rId50" w:history="1">
        <w:r w:rsidRPr="002B076B">
          <w:rPr>
            <w:rStyle w:val="Hyperlink"/>
            <w:rFonts w:ascii="Times New Roman" w:hAnsi="Times New Roman" w:cs="Times New Roman"/>
            <w:sz w:val="24"/>
            <w:szCs w:val="24"/>
          </w:rPr>
          <w:t>https://doi.org/10.3389/fenrg.2023.1095303</w:t>
        </w:r>
      </w:hyperlink>
      <w:r>
        <w:rPr>
          <w:rFonts w:ascii="Times New Roman" w:hAnsi="Times New Roman" w:cs="Times New Roman"/>
          <w:sz w:val="24"/>
          <w:szCs w:val="24"/>
        </w:rPr>
        <w:t xml:space="preserve"> </w:t>
      </w:r>
    </w:p>
    <w:p w14:paraId="02FCB4E1"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ISO. (2025). </w:t>
      </w:r>
      <w:r w:rsidRPr="00471DCE">
        <w:rPr>
          <w:rFonts w:ascii="Times New Roman" w:hAnsi="Times New Roman" w:cs="Times New Roman"/>
          <w:i/>
          <w:iCs/>
          <w:sz w:val="24"/>
          <w:szCs w:val="24"/>
        </w:rPr>
        <w:t>ISO 12164-4:2008</w:t>
      </w:r>
      <w:r w:rsidRPr="00471DCE">
        <w:rPr>
          <w:rFonts w:ascii="Times New Roman" w:hAnsi="Times New Roman" w:cs="Times New Roman"/>
          <w:sz w:val="24"/>
          <w:szCs w:val="24"/>
        </w:rPr>
        <w:t xml:space="preserve">. ISO. </w:t>
      </w:r>
      <w:hyperlink r:id="rId51" w:history="1">
        <w:r w:rsidRPr="002B076B">
          <w:rPr>
            <w:rStyle w:val="Hyperlink"/>
            <w:rFonts w:ascii="Times New Roman" w:hAnsi="Times New Roman" w:cs="Times New Roman"/>
            <w:sz w:val="24"/>
            <w:szCs w:val="24"/>
          </w:rPr>
          <w:t>https://www.iso.org/standard/42001.html</w:t>
        </w:r>
      </w:hyperlink>
      <w:r>
        <w:rPr>
          <w:rFonts w:ascii="Times New Roman" w:hAnsi="Times New Roman" w:cs="Times New Roman"/>
          <w:sz w:val="24"/>
          <w:szCs w:val="24"/>
        </w:rPr>
        <w:t xml:space="preserve"> </w:t>
      </w:r>
    </w:p>
    <w:p w14:paraId="02FCB4E2"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Kim, M.-S. (2024). Deep Reinforcement Learning-Based Adversarial Attack and Defense in Industrial Control Systems. </w:t>
      </w:r>
      <w:r w:rsidRPr="00471DCE">
        <w:rPr>
          <w:rFonts w:ascii="Times New Roman" w:hAnsi="Times New Roman" w:cs="Times New Roman"/>
          <w:i/>
          <w:iCs/>
          <w:sz w:val="24"/>
          <w:szCs w:val="24"/>
        </w:rPr>
        <w:t>Mathematics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12</w:t>
      </w:r>
      <w:r w:rsidRPr="00471DCE">
        <w:rPr>
          <w:rFonts w:ascii="Times New Roman" w:hAnsi="Times New Roman" w:cs="Times New Roman"/>
          <w:sz w:val="24"/>
          <w:szCs w:val="24"/>
        </w:rPr>
        <w:t xml:space="preserve">(24), 3900. </w:t>
      </w:r>
      <w:hyperlink r:id="rId52" w:history="1">
        <w:r w:rsidRPr="002B076B">
          <w:rPr>
            <w:rStyle w:val="Hyperlink"/>
            <w:rFonts w:ascii="Times New Roman" w:hAnsi="Times New Roman" w:cs="Times New Roman"/>
            <w:sz w:val="24"/>
            <w:szCs w:val="24"/>
          </w:rPr>
          <w:t>https://doi.org/10.3390/math12243900</w:t>
        </w:r>
      </w:hyperlink>
      <w:r>
        <w:rPr>
          <w:rFonts w:ascii="Times New Roman" w:hAnsi="Times New Roman" w:cs="Times New Roman"/>
          <w:sz w:val="24"/>
          <w:szCs w:val="24"/>
        </w:rPr>
        <w:t xml:space="preserve"> </w:t>
      </w:r>
    </w:p>
    <w:p w14:paraId="02FCB4E3"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Koay, A. M. Y., Ko, R. K. L., </w:t>
      </w:r>
      <w:proofErr w:type="spellStart"/>
      <w:r w:rsidRPr="00471DCE">
        <w:rPr>
          <w:rFonts w:ascii="Times New Roman" w:hAnsi="Times New Roman" w:cs="Times New Roman"/>
          <w:sz w:val="24"/>
          <w:szCs w:val="24"/>
        </w:rPr>
        <w:t>Hettema</w:t>
      </w:r>
      <w:proofErr w:type="spellEnd"/>
      <w:r w:rsidRPr="00471DCE">
        <w:rPr>
          <w:rFonts w:ascii="Times New Roman" w:hAnsi="Times New Roman" w:cs="Times New Roman"/>
          <w:sz w:val="24"/>
          <w:szCs w:val="24"/>
        </w:rPr>
        <w:t xml:space="preserve">, H., &amp; Radke, K. (2022). Machine learning in industrial control system (ICS) security: current landscape, opportunities and challenges. </w:t>
      </w:r>
      <w:r w:rsidRPr="00471DCE">
        <w:rPr>
          <w:rFonts w:ascii="Times New Roman" w:hAnsi="Times New Roman" w:cs="Times New Roman"/>
          <w:i/>
          <w:iCs/>
          <w:sz w:val="24"/>
          <w:szCs w:val="24"/>
        </w:rPr>
        <w:t>Journal of Intelligent Information Systems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60</w:t>
      </w:r>
      <w:r w:rsidRPr="00471DCE">
        <w:rPr>
          <w:rFonts w:ascii="Times New Roman" w:hAnsi="Times New Roman" w:cs="Times New Roman"/>
          <w:sz w:val="24"/>
          <w:szCs w:val="24"/>
        </w:rPr>
        <w:t xml:space="preserve">. </w:t>
      </w:r>
      <w:hyperlink r:id="rId53" w:history="1">
        <w:r w:rsidRPr="002B076B">
          <w:rPr>
            <w:rStyle w:val="Hyperlink"/>
            <w:rFonts w:ascii="Times New Roman" w:hAnsi="Times New Roman" w:cs="Times New Roman"/>
            <w:sz w:val="24"/>
            <w:szCs w:val="24"/>
          </w:rPr>
          <w:t>https://doi.org/10.1007/s10844-022-00753-1</w:t>
        </w:r>
      </w:hyperlink>
      <w:r>
        <w:rPr>
          <w:rFonts w:ascii="Times New Roman" w:hAnsi="Times New Roman" w:cs="Times New Roman"/>
          <w:sz w:val="24"/>
          <w:szCs w:val="24"/>
        </w:rPr>
        <w:t xml:space="preserve"> </w:t>
      </w:r>
    </w:p>
    <w:p w14:paraId="02FCB4E4"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Kravchik</w:t>
      </w:r>
      <w:proofErr w:type="spellEnd"/>
      <w:r w:rsidRPr="00471DCE">
        <w:rPr>
          <w:rFonts w:ascii="Times New Roman" w:hAnsi="Times New Roman" w:cs="Times New Roman"/>
          <w:sz w:val="24"/>
          <w:szCs w:val="24"/>
        </w:rPr>
        <w:t xml:space="preserve">, M., Demetrio, L., Biggio, B., &amp; Shabtai, A. (2022). Practical Evaluation of Poisoning Attacks on Online Anomaly Detectors in Industrial Control Systems. </w:t>
      </w:r>
      <w:r w:rsidRPr="00471DCE">
        <w:rPr>
          <w:rFonts w:ascii="Times New Roman" w:hAnsi="Times New Roman" w:cs="Times New Roman"/>
          <w:i/>
          <w:iCs/>
          <w:sz w:val="24"/>
          <w:szCs w:val="24"/>
        </w:rPr>
        <w:t>Computers &amp; Security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122</w:t>
      </w:r>
      <w:r w:rsidRPr="00471DCE">
        <w:rPr>
          <w:rFonts w:ascii="Times New Roman" w:hAnsi="Times New Roman" w:cs="Times New Roman"/>
          <w:sz w:val="24"/>
          <w:szCs w:val="24"/>
        </w:rPr>
        <w:t xml:space="preserve">(8), 102901. </w:t>
      </w:r>
      <w:hyperlink r:id="rId54" w:history="1">
        <w:r w:rsidRPr="002B076B">
          <w:rPr>
            <w:rStyle w:val="Hyperlink"/>
            <w:rFonts w:ascii="Times New Roman" w:hAnsi="Times New Roman" w:cs="Times New Roman"/>
            <w:sz w:val="24"/>
            <w:szCs w:val="24"/>
          </w:rPr>
          <w:t>https://doi.org/10.1016/j.cose.2022.102901</w:t>
        </w:r>
      </w:hyperlink>
      <w:r>
        <w:rPr>
          <w:rFonts w:ascii="Times New Roman" w:hAnsi="Times New Roman" w:cs="Times New Roman"/>
          <w:sz w:val="24"/>
          <w:szCs w:val="24"/>
        </w:rPr>
        <w:t xml:space="preserve"> </w:t>
      </w:r>
    </w:p>
    <w:p w14:paraId="02FCB4E5"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lastRenderedPageBreak/>
        <w:t>Kshetri</w:t>
      </w:r>
      <w:proofErr w:type="spellEnd"/>
      <w:r w:rsidRPr="00471DCE">
        <w:rPr>
          <w:rFonts w:ascii="Times New Roman" w:hAnsi="Times New Roman" w:cs="Times New Roman"/>
          <w:sz w:val="24"/>
          <w:szCs w:val="24"/>
        </w:rPr>
        <w:t xml:space="preserve">, N. (2025). Transforming cybersecurity with agentic AI to combat emerging cyber threats. </w:t>
      </w:r>
      <w:r w:rsidRPr="00471DCE">
        <w:rPr>
          <w:rFonts w:ascii="Times New Roman" w:hAnsi="Times New Roman" w:cs="Times New Roman"/>
          <w:i/>
          <w:iCs/>
          <w:sz w:val="24"/>
          <w:szCs w:val="24"/>
        </w:rPr>
        <w:t>Telecommunications Policy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49</w:t>
      </w:r>
      <w:r w:rsidRPr="00471DCE">
        <w:rPr>
          <w:rFonts w:ascii="Times New Roman" w:hAnsi="Times New Roman" w:cs="Times New Roman"/>
          <w:sz w:val="24"/>
          <w:szCs w:val="24"/>
        </w:rPr>
        <w:t xml:space="preserve">(6), 102976. </w:t>
      </w:r>
      <w:hyperlink r:id="rId55" w:history="1">
        <w:r w:rsidRPr="002B076B">
          <w:rPr>
            <w:rStyle w:val="Hyperlink"/>
            <w:rFonts w:ascii="Times New Roman" w:hAnsi="Times New Roman" w:cs="Times New Roman"/>
            <w:sz w:val="24"/>
            <w:szCs w:val="24"/>
          </w:rPr>
          <w:t>https://doi.org/10.1016/j.telpol.2025.102976</w:t>
        </w:r>
      </w:hyperlink>
      <w:r>
        <w:rPr>
          <w:rFonts w:ascii="Times New Roman" w:hAnsi="Times New Roman" w:cs="Times New Roman"/>
          <w:sz w:val="24"/>
          <w:szCs w:val="24"/>
        </w:rPr>
        <w:t xml:space="preserve"> </w:t>
      </w:r>
    </w:p>
    <w:p w14:paraId="02FCB4E6"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Kus, D., Wagner, E., Pennekamp, J., Wolsing, K., Fink, I. B., </w:t>
      </w:r>
      <w:proofErr w:type="spellStart"/>
      <w:r w:rsidRPr="00471DCE">
        <w:rPr>
          <w:rFonts w:ascii="Times New Roman" w:hAnsi="Times New Roman" w:cs="Times New Roman"/>
          <w:sz w:val="24"/>
          <w:szCs w:val="24"/>
        </w:rPr>
        <w:t>Dahlmanns</w:t>
      </w:r>
      <w:proofErr w:type="spellEnd"/>
      <w:r w:rsidRPr="00471DCE">
        <w:rPr>
          <w:rFonts w:ascii="Times New Roman" w:hAnsi="Times New Roman" w:cs="Times New Roman"/>
          <w:sz w:val="24"/>
          <w:szCs w:val="24"/>
        </w:rPr>
        <w:t xml:space="preserve">, M., Wehrle, K., &amp; Henze, M. (2022). A False Sense of Security? </w:t>
      </w:r>
      <w:r w:rsidRPr="00471DCE">
        <w:rPr>
          <w:rFonts w:ascii="Times New Roman" w:hAnsi="Times New Roman" w:cs="Times New Roman"/>
          <w:i/>
          <w:iCs/>
          <w:sz w:val="24"/>
          <w:szCs w:val="24"/>
        </w:rPr>
        <w:t>Proceedings of the 8th ACM on Cyber-Physical System Security Workshop</w:t>
      </w:r>
      <w:r w:rsidRPr="00471DCE">
        <w:rPr>
          <w:rFonts w:ascii="Times New Roman" w:hAnsi="Times New Roman" w:cs="Times New Roman"/>
          <w:sz w:val="24"/>
          <w:szCs w:val="24"/>
        </w:rPr>
        <w:t xml:space="preserve">. </w:t>
      </w:r>
      <w:hyperlink r:id="rId56" w:history="1">
        <w:r w:rsidRPr="002B076B">
          <w:rPr>
            <w:rStyle w:val="Hyperlink"/>
            <w:rFonts w:ascii="Times New Roman" w:hAnsi="Times New Roman" w:cs="Times New Roman"/>
            <w:sz w:val="24"/>
            <w:szCs w:val="24"/>
          </w:rPr>
          <w:t>https://doi.org/10.1145/3494107.3522773</w:t>
        </w:r>
      </w:hyperlink>
      <w:r>
        <w:rPr>
          <w:rFonts w:ascii="Times New Roman" w:hAnsi="Times New Roman" w:cs="Times New Roman"/>
          <w:sz w:val="24"/>
          <w:szCs w:val="24"/>
        </w:rPr>
        <w:t xml:space="preserve"> </w:t>
      </w:r>
    </w:p>
    <w:p w14:paraId="02FCB4E7"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Langer, M., Baum, K., &amp; Schlicker, N. (2024). Effective Human Oversight of AI-Based Systems: A Signal Detection Perspective on the Detection of Inaccurate and Unfair Outputs. </w:t>
      </w:r>
      <w:r w:rsidRPr="00471DCE">
        <w:rPr>
          <w:rFonts w:ascii="Times New Roman" w:hAnsi="Times New Roman" w:cs="Times New Roman"/>
          <w:i/>
          <w:iCs/>
          <w:sz w:val="24"/>
          <w:szCs w:val="24"/>
        </w:rPr>
        <w:t>Minds and Machines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35</w:t>
      </w:r>
      <w:r w:rsidRPr="00471DCE">
        <w:rPr>
          <w:rFonts w:ascii="Times New Roman" w:hAnsi="Times New Roman" w:cs="Times New Roman"/>
          <w:sz w:val="24"/>
          <w:szCs w:val="24"/>
        </w:rPr>
        <w:t xml:space="preserve">(1). </w:t>
      </w:r>
      <w:hyperlink r:id="rId57" w:history="1">
        <w:r w:rsidRPr="002B076B">
          <w:rPr>
            <w:rStyle w:val="Hyperlink"/>
            <w:rFonts w:ascii="Times New Roman" w:hAnsi="Times New Roman" w:cs="Times New Roman"/>
            <w:sz w:val="24"/>
            <w:szCs w:val="24"/>
          </w:rPr>
          <w:t>https://doi.org/10.1007/s11023-024-09701-0</w:t>
        </w:r>
      </w:hyperlink>
      <w:r>
        <w:rPr>
          <w:rFonts w:ascii="Times New Roman" w:hAnsi="Times New Roman" w:cs="Times New Roman"/>
          <w:sz w:val="24"/>
          <w:szCs w:val="24"/>
        </w:rPr>
        <w:t xml:space="preserve"> </w:t>
      </w:r>
    </w:p>
    <w:p w14:paraId="02FCB4E8"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Mayeke</w:t>
      </w:r>
      <w:proofErr w:type="spellEnd"/>
      <w:r w:rsidRPr="00471DCE">
        <w:rPr>
          <w:rFonts w:ascii="Times New Roman" w:hAnsi="Times New Roman" w:cs="Times New Roman"/>
          <w:sz w:val="24"/>
          <w:szCs w:val="24"/>
        </w:rPr>
        <w:t xml:space="preserve">, N. R. (2025). Adapting Telemetry for Cyber-Physical Continuous Verification in Cameroon’s Energy Sector. </w:t>
      </w:r>
      <w:r w:rsidRPr="00471DCE">
        <w:rPr>
          <w:rFonts w:ascii="Times New Roman" w:hAnsi="Times New Roman" w:cs="Times New Roman"/>
          <w:i/>
          <w:iCs/>
          <w:sz w:val="24"/>
          <w:szCs w:val="24"/>
        </w:rPr>
        <w:t>Journal of Energy Research and Reviews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17</w:t>
      </w:r>
      <w:r w:rsidRPr="00471DCE">
        <w:rPr>
          <w:rFonts w:ascii="Times New Roman" w:hAnsi="Times New Roman" w:cs="Times New Roman"/>
          <w:sz w:val="24"/>
          <w:szCs w:val="24"/>
        </w:rPr>
        <w:t xml:space="preserve">(12), 107–131. </w:t>
      </w:r>
      <w:hyperlink r:id="rId58" w:history="1">
        <w:r w:rsidRPr="002B076B">
          <w:rPr>
            <w:rStyle w:val="Hyperlink"/>
            <w:rFonts w:ascii="Times New Roman" w:hAnsi="Times New Roman" w:cs="Times New Roman"/>
            <w:sz w:val="24"/>
            <w:szCs w:val="24"/>
          </w:rPr>
          <w:t>https://doi.org/10.9734/jenrr/2025/v17i12482</w:t>
        </w:r>
      </w:hyperlink>
      <w:r>
        <w:rPr>
          <w:rFonts w:ascii="Times New Roman" w:hAnsi="Times New Roman" w:cs="Times New Roman"/>
          <w:sz w:val="24"/>
          <w:szCs w:val="24"/>
        </w:rPr>
        <w:t xml:space="preserve"> </w:t>
      </w:r>
    </w:p>
    <w:p w14:paraId="02FCB4E9"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McLaughlin, S., Konstantinou, C., Wang, X., Davi, L., Sadeghi, A.-R., </w:t>
      </w:r>
      <w:proofErr w:type="spellStart"/>
      <w:r w:rsidRPr="00471DCE">
        <w:rPr>
          <w:rFonts w:ascii="Times New Roman" w:hAnsi="Times New Roman" w:cs="Times New Roman"/>
          <w:sz w:val="24"/>
          <w:szCs w:val="24"/>
        </w:rPr>
        <w:t>Maniatakos</w:t>
      </w:r>
      <w:proofErr w:type="spellEnd"/>
      <w:r w:rsidRPr="00471DCE">
        <w:rPr>
          <w:rFonts w:ascii="Times New Roman" w:hAnsi="Times New Roman" w:cs="Times New Roman"/>
          <w:sz w:val="24"/>
          <w:szCs w:val="24"/>
        </w:rPr>
        <w:t xml:space="preserve">, M., &amp; Karri, R. (2016). The Cybersecurity Landscape in Industrial Control Systems. </w:t>
      </w:r>
      <w:r w:rsidRPr="00471DCE">
        <w:rPr>
          <w:rFonts w:ascii="Times New Roman" w:hAnsi="Times New Roman" w:cs="Times New Roman"/>
          <w:i/>
          <w:iCs/>
          <w:sz w:val="24"/>
          <w:szCs w:val="24"/>
        </w:rPr>
        <w:t>Proceedings of the IEEE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104</w:t>
      </w:r>
      <w:r w:rsidRPr="00471DCE">
        <w:rPr>
          <w:rFonts w:ascii="Times New Roman" w:hAnsi="Times New Roman" w:cs="Times New Roman"/>
          <w:sz w:val="24"/>
          <w:szCs w:val="24"/>
        </w:rPr>
        <w:t xml:space="preserve">(5), 1039–1057. </w:t>
      </w:r>
      <w:hyperlink r:id="rId59" w:history="1">
        <w:r w:rsidRPr="002B076B">
          <w:rPr>
            <w:rStyle w:val="Hyperlink"/>
            <w:rFonts w:ascii="Times New Roman" w:hAnsi="Times New Roman" w:cs="Times New Roman"/>
            <w:sz w:val="24"/>
            <w:szCs w:val="24"/>
          </w:rPr>
          <w:t>https://doi.org/10.1109/jproc.2015.2512235</w:t>
        </w:r>
      </w:hyperlink>
      <w:r>
        <w:rPr>
          <w:rFonts w:ascii="Times New Roman" w:hAnsi="Times New Roman" w:cs="Times New Roman"/>
          <w:sz w:val="24"/>
          <w:szCs w:val="24"/>
        </w:rPr>
        <w:t xml:space="preserve"> </w:t>
      </w:r>
    </w:p>
    <w:p w14:paraId="02FCB4EA"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Miller, T. (2023). </w:t>
      </w:r>
      <w:r w:rsidRPr="00471DCE">
        <w:rPr>
          <w:rFonts w:ascii="Times New Roman" w:hAnsi="Times New Roman" w:cs="Times New Roman"/>
          <w:i/>
          <w:iCs/>
          <w:sz w:val="24"/>
          <w:szCs w:val="24"/>
        </w:rPr>
        <w:t>Explainable AI is Dead, Long Live Explainable AI! Hypothesis-driven decision support</w:t>
      </w:r>
      <w:r w:rsidRPr="00471DCE">
        <w:rPr>
          <w:rFonts w:ascii="Times New Roman" w:hAnsi="Times New Roman" w:cs="Times New Roman"/>
          <w:sz w:val="24"/>
          <w:szCs w:val="24"/>
        </w:rPr>
        <w:t xml:space="preserve">. ArXiv.org. </w:t>
      </w:r>
      <w:hyperlink r:id="rId60" w:history="1">
        <w:r w:rsidRPr="002B076B">
          <w:rPr>
            <w:rStyle w:val="Hyperlink"/>
            <w:rFonts w:ascii="Times New Roman" w:hAnsi="Times New Roman" w:cs="Times New Roman"/>
            <w:sz w:val="24"/>
            <w:szCs w:val="24"/>
          </w:rPr>
          <w:t>https://arxiv.org/abs/2302.12389</w:t>
        </w:r>
      </w:hyperlink>
      <w:r>
        <w:rPr>
          <w:rFonts w:ascii="Times New Roman" w:hAnsi="Times New Roman" w:cs="Times New Roman"/>
          <w:sz w:val="24"/>
          <w:szCs w:val="24"/>
        </w:rPr>
        <w:t xml:space="preserve"> </w:t>
      </w:r>
    </w:p>
    <w:p w14:paraId="02FCB4EB"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Mohamed, N. (2025). Cutting-edge advances in AI and ML for cybersecurity: a comprehensive review of emerging trends and future directions. </w:t>
      </w:r>
      <w:r w:rsidRPr="00471DCE">
        <w:rPr>
          <w:rFonts w:ascii="Times New Roman" w:hAnsi="Times New Roman" w:cs="Times New Roman"/>
          <w:i/>
          <w:iCs/>
          <w:sz w:val="24"/>
          <w:szCs w:val="24"/>
        </w:rPr>
        <w:t>Cogent Business &amp; Management</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12</w:t>
      </w:r>
      <w:r w:rsidRPr="00471DCE">
        <w:rPr>
          <w:rFonts w:ascii="Times New Roman" w:hAnsi="Times New Roman" w:cs="Times New Roman"/>
          <w:sz w:val="24"/>
          <w:szCs w:val="24"/>
        </w:rPr>
        <w:t xml:space="preserve">(1). </w:t>
      </w:r>
      <w:hyperlink r:id="rId61" w:history="1">
        <w:r w:rsidRPr="002B076B">
          <w:rPr>
            <w:rStyle w:val="Hyperlink"/>
            <w:rFonts w:ascii="Times New Roman" w:hAnsi="Times New Roman" w:cs="Times New Roman"/>
            <w:sz w:val="24"/>
            <w:szCs w:val="24"/>
          </w:rPr>
          <w:t>https://doi.org/10.1080/23311975.2025.2518496</w:t>
        </w:r>
      </w:hyperlink>
      <w:r>
        <w:rPr>
          <w:rFonts w:ascii="Times New Roman" w:hAnsi="Times New Roman" w:cs="Times New Roman"/>
          <w:sz w:val="24"/>
          <w:szCs w:val="24"/>
        </w:rPr>
        <w:t xml:space="preserve"> </w:t>
      </w:r>
    </w:p>
    <w:p w14:paraId="02FCB4EC"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Nankya, M., </w:t>
      </w:r>
      <w:proofErr w:type="spellStart"/>
      <w:r w:rsidRPr="00471DCE">
        <w:rPr>
          <w:rFonts w:ascii="Times New Roman" w:hAnsi="Times New Roman" w:cs="Times New Roman"/>
          <w:sz w:val="24"/>
          <w:szCs w:val="24"/>
        </w:rPr>
        <w:t>Chataut</w:t>
      </w:r>
      <w:proofErr w:type="spellEnd"/>
      <w:r w:rsidRPr="00471DCE">
        <w:rPr>
          <w:rFonts w:ascii="Times New Roman" w:hAnsi="Times New Roman" w:cs="Times New Roman"/>
          <w:sz w:val="24"/>
          <w:szCs w:val="24"/>
        </w:rPr>
        <w:t xml:space="preserve">, R., &amp; Akl, R. (2023). Securing Industrial Control Systems: Components, Cyber Threats, and Machine Learning-Driven Defense Strategies. </w:t>
      </w:r>
      <w:r w:rsidRPr="00471DCE">
        <w:rPr>
          <w:rFonts w:ascii="Times New Roman" w:hAnsi="Times New Roman" w:cs="Times New Roman"/>
          <w:i/>
          <w:iCs/>
          <w:sz w:val="24"/>
          <w:szCs w:val="24"/>
        </w:rPr>
        <w:t>Sensors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23</w:t>
      </w:r>
      <w:r w:rsidRPr="00471DCE">
        <w:rPr>
          <w:rFonts w:ascii="Times New Roman" w:hAnsi="Times New Roman" w:cs="Times New Roman"/>
          <w:sz w:val="24"/>
          <w:szCs w:val="24"/>
        </w:rPr>
        <w:t xml:space="preserve">(21), 8840. </w:t>
      </w:r>
      <w:hyperlink r:id="rId62" w:history="1">
        <w:r w:rsidRPr="002B076B">
          <w:rPr>
            <w:rStyle w:val="Hyperlink"/>
            <w:rFonts w:ascii="Times New Roman" w:hAnsi="Times New Roman" w:cs="Times New Roman"/>
            <w:sz w:val="24"/>
            <w:szCs w:val="24"/>
          </w:rPr>
          <w:t>https://doi.org/10.3390/s23218840</w:t>
        </w:r>
      </w:hyperlink>
      <w:r>
        <w:rPr>
          <w:rFonts w:ascii="Times New Roman" w:hAnsi="Times New Roman" w:cs="Times New Roman"/>
          <w:sz w:val="24"/>
          <w:szCs w:val="24"/>
        </w:rPr>
        <w:t xml:space="preserve"> </w:t>
      </w:r>
    </w:p>
    <w:p w14:paraId="02FCB4ED"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Nannini, L., </w:t>
      </w:r>
      <w:proofErr w:type="spellStart"/>
      <w:r w:rsidRPr="00471DCE">
        <w:rPr>
          <w:rFonts w:ascii="Times New Roman" w:hAnsi="Times New Roman" w:cs="Times New Roman"/>
          <w:sz w:val="24"/>
          <w:szCs w:val="24"/>
        </w:rPr>
        <w:t>Balayn</w:t>
      </w:r>
      <w:proofErr w:type="spellEnd"/>
      <w:r w:rsidRPr="00471DCE">
        <w:rPr>
          <w:rFonts w:ascii="Times New Roman" w:hAnsi="Times New Roman" w:cs="Times New Roman"/>
          <w:sz w:val="24"/>
          <w:szCs w:val="24"/>
        </w:rPr>
        <w:t xml:space="preserve">, A., &amp; Smith, A. L. (2023). </w:t>
      </w:r>
      <w:r w:rsidRPr="00471DCE">
        <w:rPr>
          <w:rFonts w:ascii="Times New Roman" w:hAnsi="Times New Roman" w:cs="Times New Roman"/>
          <w:i/>
          <w:iCs/>
          <w:sz w:val="24"/>
          <w:szCs w:val="24"/>
        </w:rPr>
        <w:t>Explainability in AI Policies: A Critical Review of Communications, Reports, Regulations, and Standards in the EU, US, and UK</w:t>
      </w:r>
      <w:r w:rsidRPr="00471DCE">
        <w:rPr>
          <w:rFonts w:ascii="Times New Roman" w:hAnsi="Times New Roman" w:cs="Times New Roman"/>
          <w:sz w:val="24"/>
          <w:szCs w:val="24"/>
        </w:rPr>
        <w:t xml:space="preserve">. ArXiv.org. </w:t>
      </w:r>
      <w:hyperlink r:id="rId63" w:history="1">
        <w:r w:rsidRPr="002B076B">
          <w:rPr>
            <w:rStyle w:val="Hyperlink"/>
            <w:rFonts w:ascii="Times New Roman" w:hAnsi="Times New Roman" w:cs="Times New Roman"/>
            <w:sz w:val="24"/>
            <w:szCs w:val="24"/>
          </w:rPr>
          <w:t>https://arxiv.org/abs/2304.11218</w:t>
        </w:r>
      </w:hyperlink>
      <w:r>
        <w:rPr>
          <w:rFonts w:ascii="Times New Roman" w:hAnsi="Times New Roman" w:cs="Times New Roman"/>
          <w:sz w:val="24"/>
          <w:szCs w:val="24"/>
        </w:rPr>
        <w:t xml:space="preserve"> </w:t>
      </w:r>
    </w:p>
    <w:p w14:paraId="02FCB4EE" w14:textId="77777777" w:rsidR="00B87A6F"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Nazir, A., &amp; Khan, R. A. (2021). A novel combinatorial </w:t>
      </w:r>
      <w:proofErr w:type="gramStart"/>
      <w:r w:rsidRPr="00471DCE">
        <w:rPr>
          <w:rFonts w:ascii="Times New Roman" w:hAnsi="Times New Roman" w:cs="Times New Roman"/>
          <w:sz w:val="24"/>
          <w:szCs w:val="24"/>
        </w:rPr>
        <w:t>optimization based</w:t>
      </w:r>
      <w:proofErr w:type="gramEnd"/>
      <w:r w:rsidRPr="00471DCE">
        <w:rPr>
          <w:rFonts w:ascii="Times New Roman" w:hAnsi="Times New Roman" w:cs="Times New Roman"/>
          <w:sz w:val="24"/>
          <w:szCs w:val="24"/>
        </w:rPr>
        <w:t xml:space="preserve"> feature selection method for network intrusion detection. </w:t>
      </w:r>
      <w:r w:rsidRPr="00471DCE">
        <w:rPr>
          <w:rFonts w:ascii="Times New Roman" w:hAnsi="Times New Roman" w:cs="Times New Roman"/>
          <w:i/>
          <w:iCs/>
          <w:sz w:val="24"/>
          <w:szCs w:val="24"/>
        </w:rPr>
        <w:t>Computers &amp; Security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102</w:t>
      </w:r>
      <w:r w:rsidRPr="00471DCE">
        <w:rPr>
          <w:rFonts w:ascii="Times New Roman" w:hAnsi="Times New Roman" w:cs="Times New Roman"/>
          <w:sz w:val="24"/>
          <w:szCs w:val="24"/>
        </w:rPr>
        <w:t xml:space="preserve">, 102164. </w:t>
      </w:r>
      <w:hyperlink r:id="rId64" w:history="1">
        <w:r w:rsidRPr="002B076B">
          <w:rPr>
            <w:rStyle w:val="Hyperlink"/>
            <w:rFonts w:ascii="Times New Roman" w:hAnsi="Times New Roman" w:cs="Times New Roman"/>
            <w:sz w:val="24"/>
            <w:szCs w:val="24"/>
          </w:rPr>
          <w:t>https://doi.org/10.1016/j.cose.2020.102164</w:t>
        </w:r>
      </w:hyperlink>
      <w:r>
        <w:rPr>
          <w:rFonts w:ascii="Times New Roman" w:hAnsi="Times New Roman" w:cs="Times New Roman"/>
          <w:sz w:val="24"/>
          <w:szCs w:val="24"/>
        </w:rPr>
        <w:t xml:space="preserve"> </w:t>
      </w:r>
    </w:p>
    <w:p w14:paraId="02FCB4EF" w14:textId="77777777" w:rsidR="00552431" w:rsidRPr="00471DCE" w:rsidRDefault="00552431" w:rsidP="00552431">
      <w:pPr>
        <w:spacing w:after="240"/>
        <w:ind w:left="900" w:hanging="900"/>
        <w:rPr>
          <w:rFonts w:ascii="Times New Roman" w:hAnsi="Times New Roman" w:cs="Times New Roman"/>
          <w:sz w:val="24"/>
          <w:szCs w:val="24"/>
        </w:rPr>
      </w:pPr>
      <w:r w:rsidRPr="004E5BC1">
        <w:rPr>
          <w:rFonts w:ascii="Times New Roman" w:hAnsi="Times New Roman" w:cs="Times New Roman"/>
          <w:sz w:val="24"/>
          <w:szCs w:val="24"/>
        </w:rPr>
        <w:t xml:space="preserve">Obioha-Val, O. A., Lawal, T. I., Olaniyi, O. O., Gbadebo, M. O., &amp; Olisa, A. O. (2025). Investigating the Feasibility and Risks of Leveraging Artificial Intelligence and Open Source Intelligence to Manage Predictive Cyber Threat Models. </w:t>
      </w:r>
      <w:r w:rsidRPr="004E5BC1">
        <w:rPr>
          <w:rFonts w:ascii="Times New Roman" w:hAnsi="Times New Roman" w:cs="Times New Roman"/>
          <w:i/>
          <w:iCs/>
          <w:sz w:val="24"/>
          <w:szCs w:val="24"/>
        </w:rPr>
        <w:t>Journal of Engineering Research and Reports</w:t>
      </w:r>
      <w:r w:rsidRPr="004E5BC1">
        <w:rPr>
          <w:rFonts w:ascii="Times New Roman" w:hAnsi="Times New Roman" w:cs="Times New Roman"/>
          <w:sz w:val="24"/>
          <w:szCs w:val="24"/>
        </w:rPr>
        <w:t xml:space="preserve">, </w:t>
      </w:r>
      <w:r w:rsidRPr="004E5BC1">
        <w:rPr>
          <w:rFonts w:ascii="Times New Roman" w:hAnsi="Times New Roman" w:cs="Times New Roman"/>
          <w:i/>
          <w:iCs/>
          <w:sz w:val="24"/>
          <w:szCs w:val="24"/>
        </w:rPr>
        <w:t>27</w:t>
      </w:r>
      <w:r w:rsidRPr="004E5BC1">
        <w:rPr>
          <w:rFonts w:ascii="Times New Roman" w:hAnsi="Times New Roman" w:cs="Times New Roman"/>
          <w:sz w:val="24"/>
          <w:szCs w:val="24"/>
        </w:rPr>
        <w:t xml:space="preserve">(2), 10–28. </w:t>
      </w:r>
      <w:hyperlink r:id="rId65" w:history="1">
        <w:r w:rsidRPr="005366C4">
          <w:rPr>
            <w:rStyle w:val="Hyperlink"/>
            <w:rFonts w:ascii="Times New Roman" w:hAnsi="Times New Roman" w:cs="Times New Roman"/>
            <w:sz w:val="24"/>
            <w:szCs w:val="24"/>
          </w:rPr>
          <w:t>https://doi.org/10.9734/jerr/2025/v27i21390</w:t>
        </w:r>
      </w:hyperlink>
      <w:r>
        <w:rPr>
          <w:rFonts w:ascii="Times New Roman" w:hAnsi="Times New Roman" w:cs="Times New Roman"/>
          <w:sz w:val="24"/>
          <w:szCs w:val="24"/>
        </w:rPr>
        <w:t xml:space="preserve"> </w:t>
      </w:r>
    </w:p>
    <w:p w14:paraId="02FCB4F0"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lastRenderedPageBreak/>
        <w:t>Obrik-Uloho</w:t>
      </w:r>
      <w:proofErr w:type="spellEnd"/>
      <w:r w:rsidRPr="00471DCE">
        <w:rPr>
          <w:rFonts w:ascii="Times New Roman" w:hAnsi="Times New Roman" w:cs="Times New Roman"/>
          <w:sz w:val="24"/>
          <w:szCs w:val="24"/>
        </w:rPr>
        <w:t xml:space="preserve">, E. P., Gbadebo, M. O., Afolabi, O. O., Joseph, S. A., Oladoyinbo, T. O., &amp; Olaniyi, O. O. (2026). Shared Responsibility in Practice: Evaluating the Security–Usability Trade-Off and User Accountability in WhatsApp’s Ecosystem. </w:t>
      </w:r>
      <w:r w:rsidRPr="00471DCE">
        <w:rPr>
          <w:rFonts w:ascii="Times New Roman" w:hAnsi="Times New Roman" w:cs="Times New Roman"/>
          <w:i/>
          <w:iCs/>
          <w:sz w:val="24"/>
          <w:szCs w:val="24"/>
        </w:rPr>
        <w:t>Asian Journal of Research in Computer Science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19</w:t>
      </w:r>
      <w:r w:rsidRPr="00471DCE">
        <w:rPr>
          <w:rFonts w:ascii="Times New Roman" w:hAnsi="Times New Roman" w:cs="Times New Roman"/>
          <w:sz w:val="24"/>
          <w:szCs w:val="24"/>
        </w:rPr>
        <w:t xml:space="preserve">(1), 81–105. </w:t>
      </w:r>
      <w:hyperlink r:id="rId66" w:history="1">
        <w:r w:rsidRPr="002B076B">
          <w:rPr>
            <w:rStyle w:val="Hyperlink"/>
            <w:rFonts w:ascii="Times New Roman" w:hAnsi="Times New Roman" w:cs="Times New Roman"/>
            <w:sz w:val="24"/>
            <w:szCs w:val="24"/>
          </w:rPr>
          <w:t>https://doi.org/10.9734/ajrcos/2026/v19i1807</w:t>
        </w:r>
      </w:hyperlink>
      <w:r>
        <w:rPr>
          <w:rFonts w:ascii="Times New Roman" w:hAnsi="Times New Roman" w:cs="Times New Roman"/>
          <w:sz w:val="24"/>
          <w:szCs w:val="24"/>
        </w:rPr>
        <w:t xml:space="preserve"> </w:t>
      </w:r>
    </w:p>
    <w:p w14:paraId="02FCB4F1"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Odeyinka</w:t>
      </w:r>
      <w:proofErr w:type="spellEnd"/>
      <w:r w:rsidRPr="00471DCE">
        <w:rPr>
          <w:rFonts w:ascii="Times New Roman" w:hAnsi="Times New Roman" w:cs="Times New Roman"/>
          <w:sz w:val="24"/>
          <w:szCs w:val="24"/>
        </w:rPr>
        <w:t xml:space="preserve">, T. E., Ifeoma </w:t>
      </w:r>
      <w:proofErr w:type="spellStart"/>
      <w:r w:rsidRPr="00471DCE">
        <w:rPr>
          <w:rFonts w:ascii="Times New Roman" w:hAnsi="Times New Roman" w:cs="Times New Roman"/>
          <w:sz w:val="24"/>
          <w:szCs w:val="24"/>
        </w:rPr>
        <w:t>Ejoh</w:t>
      </w:r>
      <w:proofErr w:type="spellEnd"/>
      <w:r w:rsidRPr="00471DCE">
        <w:rPr>
          <w:rFonts w:ascii="Times New Roman" w:hAnsi="Times New Roman" w:cs="Times New Roman"/>
          <w:sz w:val="24"/>
          <w:szCs w:val="24"/>
        </w:rPr>
        <w:t xml:space="preserve">, C., Abdulmalik, A. A., Salami, I. A., &amp; </w:t>
      </w:r>
      <w:proofErr w:type="spellStart"/>
      <w:r w:rsidRPr="00471DCE">
        <w:rPr>
          <w:rFonts w:ascii="Times New Roman" w:hAnsi="Times New Roman" w:cs="Times New Roman"/>
          <w:sz w:val="24"/>
          <w:szCs w:val="24"/>
        </w:rPr>
        <w:t>Ogunmolu</w:t>
      </w:r>
      <w:proofErr w:type="spellEnd"/>
      <w:r w:rsidRPr="00471DCE">
        <w:rPr>
          <w:rFonts w:ascii="Times New Roman" w:hAnsi="Times New Roman" w:cs="Times New Roman"/>
          <w:sz w:val="24"/>
          <w:szCs w:val="24"/>
        </w:rPr>
        <w:t xml:space="preserve">, A. M. (2026). Bridging AI-automated Governance, Adaptive Certification, Behavioral Authentication, and AI-agent Risk Monitoring in Zero-trust Digital Infrastructures. </w:t>
      </w:r>
      <w:r w:rsidRPr="00471DCE">
        <w:rPr>
          <w:rFonts w:ascii="Times New Roman" w:hAnsi="Times New Roman" w:cs="Times New Roman"/>
          <w:i/>
          <w:iCs/>
          <w:sz w:val="24"/>
          <w:szCs w:val="24"/>
        </w:rPr>
        <w:t>Journal of Engineering Research and Reports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28</w:t>
      </w:r>
      <w:r w:rsidRPr="00471DCE">
        <w:rPr>
          <w:rFonts w:ascii="Times New Roman" w:hAnsi="Times New Roman" w:cs="Times New Roman"/>
          <w:sz w:val="24"/>
          <w:szCs w:val="24"/>
        </w:rPr>
        <w:t xml:space="preserve">(1), 371–387. </w:t>
      </w:r>
      <w:hyperlink r:id="rId67" w:history="1">
        <w:r w:rsidRPr="002B076B">
          <w:rPr>
            <w:rStyle w:val="Hyperlink"/>
            <w:rFonts w:ascii="Times New Roman" w:hAnsi="Times New Roman" w:cs="Times New Roman"/>
            <w:sz w:val="24"/>
            <w:szCs w:val="24"/>
          </w:rPr>
          <w:t>https://doi.org/10.9734/jerr/2026/v28i11783</w:t>
        </w:r>
      </w:hyperlink>
      <w:r>
        <w:rPr>
          <w:rFonts w:ascii="Times New Roman" w:hAnsi="Times New Roman" w:cs="Times New Roman"/>
          <w:sz w:val="24"/>
          <w:szCs w:val="24"/>
        </w:rPr>
        <w:t xml:space="preserve"> </w:t>
      </w:r>
    </w:p>
    <w:p w14:paraId="02FCB4F2"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Ododo</w:t>
      </w:r>
      <w:proofErr w:type="spellEnd"/>
      <w:r w:rsidRPr="00471DCE">
        <w:rPr>
          <w:rFonts w:ascii="Times New Roman" w:hAnsi="Times New Roman" w:cs="Times New Roman"/>
          <w:sz w:val="24"/>
          <w:szCs w:val="24"/>
        </w:rPr>
        <w:t xml:space="preserve">, F. R., Sadiq, R. R., &amp; </w:t>
      </w:r>
      <w:proofErr w:type="spellStart"/>
      <w:r w:rsidRPr="00471DCE">
        <w:rPr>
          <w:rFonts w:ascii="Times New Roman" w:hAnsi="Times New Roman" w:cs="Times New Roman"/>
          <w:sz w:val="24"/>
          <w:szCs w:val="24"/>
        </w:rPr>
        <w:t>Addotey</w:t>
      </w:r>
      <w:proofErr w:type="spellEnd"/>
      <w:r w:rsidRPr="00471DCE">
        <w:rPr>
          <w:rFonts w:ascii="Times New Roman" w:hAnsi="Times New Roman" w:cs="Times New Roman"/>
          <w:sz w:val="24"/>
          <w:szCs w:val="24"/>
        </w:rPr>
        <w:t xml:space="preserve">, N. (2025). Adversarial Threats in Industrial Control Systems: A Machine Learning Approach to Securing the U.S. Energy Grid. </w:t>
      </w:r>
      <w:r w:rsidRPr="00471DCE">
        <w:rPr>
          <w:rFonts w:ascii="Times New Roman" w:hAnsi="Times New Roman" w:cs="Times New Roman"/>
          <w:i/>
          <w:iCs/>
          <w:sz w:val="24"/>
          <w:szCs w:val="24"/>
        </w:rPr>
        <w:t>Journal of Science Innovation and Technology Research</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8</w:t>
      </w:r>
      <w:r w:rsidRPr="00471DCE">
        <w:rPr>
          <w:rFonts w:ascii="Times New Roman" w:hAnsi="Times New Roman" w:cs="Times New Roman"/>
          <w:sz w:val="24"/>
          <w:szCs w:val="24"/>
        </w:rPr>
        <w:t xml:space="preserve">(9). </w:t>
      </w:r>
      <w:hyperlink r:id="rId68" w:history="1">
        <w:r w:rsidRPr="002B076B">
          <w:rPr>
            <w:rStyle w:val="Hyperlink"/>
            <w:rFonts w:ascii="Times New Roman" w:hAnsi="Times New Roman" w:cs="Times New Roman"/>
            <w:sz w:val="24"/>
            <w:szCs w:val="24"/>
          </w:rPr>
          <w:t>https://doi.org/10.70382/ajsitr.v8i9.040</w:t>
        </w:r>
      </w:hyperlink>
      <w:r>
        <w:rPr>
          <w:rFonts w:ascii="Times New Roman" w:hAnsi="Times New Roman" w:cs="Times New Roman"/>
          <w:sz w:val="24"/>
          <w:szCs w:val="24"/>
        </w:rPr>
        <w:t xml:space="preserve"> </w:t>
      </w:r>
    </w:p>
    <w:p w14:paraId="02FCB4F3"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Ogunmolu</w:t>
      </w:r>
      <w:proofErr w:type="spellEnd"/>
      <w:r w:rsidRPr="00471DCE">
        <w:rPr>
          <w:rFonts w:ascii="Times New Roman" w:hAnsi="Times New Roman" w:cs="Times New Roman"/>
          <w:sz w:val="24"/>
          <w:szCs w:val="24"/>
        </w:rPr>
        <w:t xml:space="preserve">, A. M., Abba, S. S., Olaniyi, O. M., </w:t>
      </w:r>
      <w:proofErr w:type="spellStart"/>
      <w:r w:rsidRPr="00471DCE">
        <w:rPr>
          <w:rFonts w:ascii="Times New Roman" w:hAnsi="Times New Roman" w:cs="Times New Roman"/>
          <w:sz w:val="24"/>
          <w:szCs w:val="24"/>
        </w:rPr>
        <w:t>Odeyinka</w:t>
      </w:r>
      <w:proofErr w:type="spellEnd"/>
      <w:r w:rsidRPr="00471DCE">
        <w:rPr>
          <w:rFonts w:ascii="Times New Roman" w:hAnsi="Times New Roman" w:cs="Times New Roman"/>
          <w:sz w:val="24"/>
          <w:szCs w:val="24"/>
        </w:rPr>
        <w:t xml:space="preserve">, T. E., &amp; Salami, I. A. (2026). Adaptive Cognitive Profiling for Executive AI Agents Amid Emerging AI Impersonation Threats. </w:t>
      </w:r>
      <w:r w:rsidRPr="00471DCE">
        <w:rPr>
          <w:rFonts w:ascii="Times New Roman" w:hAnsi="Times New Roman" w:cs="Times New Roman"/>
          <w:i/>
          <w:iCs/>
          <w:sz w:val="24"/>
          <w:szCs w:val="24"/>
        </w:rPr>
        <w:t>Journal of Engineering Research and Reports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28</w:t>
      </w:r>
      <w:r w:rsidRPr="00471DCE">
        <w:rPr>
          <w:rFonts w:ascii="Times New Roman" w:hAnsi="Times New Roman" w:cs="Times New Roman"/>
          <w:sz w:val="24"/>
          <w:szCs w:val="24"/>
        </w:rPr>
        <w:t xml:space="preserve">(1), 388–405. </w:t>
      </w:r>
      <w:hyperlink r:id="rId69" w:history="1">
        <w:r w:rsidRPr="002B076B">
          <w:rPr>
            <w:rStyle w:val="Hyperlink"/>
            <w:rFonts w:ascii="Times New Roman" w:hAnsi="Times New Roman" w:cs="Times New Roman"/>
            <w:sz w:val="24"/>
            <w:szCs w:val="24"/>
          </w:rPr>
          <w:t>https://doi.org/10.9734/jerr/2026/v28i11784</w:t>
        </w:r>
      </w:hyperlink>
      <w:r>
        <w:rPr>
          <w:rFonts w:ascii="Times New Roman" w:hAnsi="Times New Roman" w:cs="Times New Roman"/>
          <w:sz w:val="24"/>
          <w:szCs w:val="24"/>
        </w:rPr>
        <w:t xml:space="preserve"> </w:t>
      </w:r>
    </w:p>
    <w:p w14:paraId="02FCB4F4"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Ogunmolu</w:t>
      </w:r>
      <w:proofErr w:type="spellEnd"/>
      <w:r w:rsidRPr="00471DCE">
        <w:rPr>
          <w:rFonts w:ascii="Times New Roman" w:hAnsi="Times New Roman" w:cs="Times New Roman"/>
          <w:sz w:val="24"/>
          <w:szCs w:val="24"/>
        </w:rPr>
        <w:t xml:space="preserve">, A. M., </w:t>
      </w:r>
      <w:proofErr w:type="spellStart"/>
      <w:r w:rsidRPr="00471DCE">
        <w:rPr>
          <w:rFonts w:ascii="Times New Roman" w:hAnsi="Times New Roman" w:cs="Times New Roman"/>
          <w:sz w:val="24"/>
          <w:szCs w:val="24"/>
        </w:rPr>
        <w:t>Aroh</w:t>
      </w:r>
      <w:proofErr w:type="spellEnd"/>
      <w:r w:rsidRPr="00471DCE">
        <w:rPr>
          <w:rFonts w:ascii="Times New Roman" w:hAnsi="Times New Roman" w:cs="Times New Roman"/>
          <w:sz w:val="24"/>
          <w:szCs w:val="24"/>
        </w:rPr>
        <w:t xml:space="preserve">, I. S., Henry, O., Adeyinka, P. D., &amp; </w:t>
      </w:r>
      <w:proofErr w:type="spellStart"/>
      <w:r w:rsidRPr="00471DCE">
        <w:rPr>
          <w:rFonts w:ascii="Times New Roman" w:hAnsi="Times New Roman" w:cs="Times New Roman"/>
          <w:sz w:val="24"/>
          <w:szCs w:val="24"/>
        </w:rPr>
        <w:t>Olutimehin</w:t>
      </w:r>
      <w:proofErr w:type="spellEnd"/>
      <w:r w:rsidRPr="00471DCE">
        <w:rPr>
          <w:rFonts w:ascii="Times New Roman" w:hAnsi="Times New Roman" w:cs="Times New Roman"/>
          <w:sz w:val="24"/>
          <w:szCs w:val="24"/>
        </w:rPr>
        <w:t xml:space="preserve">, A. T. (2026). AI-Driven Observability for Managing Security Complexity in Cloud-native Microservices and Containerized Environments. </w:t>
      </w:r>
      <w:r w:rsidRPr="00471DCE">
        <w:rPr>
          <w:rFonts w:ascii="Times New Roman" w:hAnsi="Times New Roman" w:cs="Times New Roman"/>
          <w:i/>
          <w:iCs/>
          <w:sz w:val="24"/>
          <w:szCs w:val="24"/>
        </w:rPr>
        <w:t>Journal of Engineering Research and Reports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28</w:t>
      </w:r>
      <w:r w:rsidRPr="00471DCE">
        <w:rPr>
          <w:rFonts w:ascii="Times New Roman" w:hAnsi="Times New Roman" w:cs="Times New Roman"/>
          <w:sz w:val="24"/>
          <w:szCs w:val="24"/>
        </w:rPr>
        <w:t xml:space="preserve">(2), 1–17. </w:t>
      </w:r>
      <w:hyperlink r:id="rId70" w:history="1">
        <w:r w:rsidRPr="002B076B">
          <w:rPr>
            <w:rStyle w:val="Hyperlink"/>
            <w:rFonts w:ascii="Times New Roman" w:hAnsi="Times New Roman" w:cs="Times New Roman"/>
            <w:sz w:val="24"/>
            <w:szCs w:val="24"/>
          </w:rPr>
          <w:t>https://doi.org/10.9734/jerr/2026/v28i21786</w:t>
        </w:r>
      </w:hyperlink>
      <w:r>
        <w:rPr>
          <w:rFonts w:ascii="Times New Roman" w:hAnsi="Times New Roman" w:cs="Times New Roman"/>
          <w:sz w:val="24"/>
          <w:szCs w:val="24"/>
        </w:rPr>
        <w:t xml:space="preserve"> </w:t>
      </w:r>
    </w:p>
    <w:p w14:paraId="02FCB4F5"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Olaniyi, O. M., Adebiyi, O. O., </w:t>
      </w:r>
      <w:proofErr w:type="spellStart"/>
      <w:r w:rsidRPr="00471DCE">
        <w:rPr>
          <w:rFonts w:ascii="Times New Roman" w:hAnsi="Times New Roman" w:cs="Times New Roman"/>
          <w:sz w:val="24"/>
          <w:szCs w:val="24"/>
        </w:rPr>
        <w:t>Ejoh</w:t>
      </w:r>
      <w:proofErr w:type="spellEnd"/>
      <w:r w:rsidRPr="00471DCE">
        <w:rPr>
          <w:rFonts w:ascii="Times New Roman" w:hAnsi="Times New Roman" w:cs="Times New Roman"/>
          <w:sz w:val="24"/>
          <w:szCs w:val="24"/>
        </w:rPr>
        <w:t xml:space="preserve">, C. I., Afolabi, O. O., &amp; Ejiofor, V. O. (2026). Conversational AI-Powered Fraud Prevention in Augmented Reality E-Commerce: A Natural Language Processing Framework for Real-time Transaction Security. </w:t>
      </w:r>
      <w:r w:rsidRPr="00471DCE">
        <w:rPr>
          <w:rFonts w:ascii="Times New Roman" w:hAnsi="Times New Roman" w:cs="Times New Roman"/>
          <w:i/>
          <w:iCs/>
          <w:sz w:val="24"/>
          <w:szCs w:val="24"/>
        </w:rPr>
        <w:t>Asian Journal of Research in Computer Science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19</w:t>
      </w:r>
      <w:r w:rsidRPr="00471DCE">
        <w:rPr>
          <w:rFonts w:ascii="Times New Roman" w:hAnsi="Times New Roman" w:cs="Times New Roman"/>
          <w:sz w:val="24"/>
          <w:szCs w:val="24"/>
        </w:rPr>
        <w:t xml:space="preserve">(1), 255–270. </w:t>
      </w:r>
      <w:hyperlink r:id="rId71" w:history="1">
        <w:r w:rsidRPr="002B076B">
          <w:rPr>
            <w:rStyle w:val="Hyperlink"/>
            <w:rFonts w:ascii="Times New Roman" w:hAnsi="Times New Roman" w:cs="Times New Roman"/>
            <w:sz w:val="24"/>
            <w:szCs w:val="24"/>
          </w:rPr>
          <w:t>https://doi.org/10.9734/ajrcos/2026/v19i1817</w:t>
        </w:r>
      </w:hyperlink>
      <w:r>
        <w:rPr>
          <w:rFonts w:ascii="Times New Roman" w:hAnsi="Times New Roman" w:cs="Times New Roman"/>
          <w:sz w:val="24"/>
          <w:szCs w:val="24"/>
        </w:rPr>
        <w:t xml:space="preserve"> </w:t>
      </w:r>
    </w:p>
    <w:p w14:paraId="02FCB4F6"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Olaniyi, O. M., </w:t>
      </w:r>
      <w:proofErr w:type="spellStart"/>
      <w:r w:rsidRPr="00471DCE">
        <w:rPr>
          <w:rFonts w:ascii="Times New Roman" w:hAnsi="Times New Roman" w:cs="Times New Roman"/>
          <w:sz w:val="24"/>
          <w:szCs w:val="24"/>
        </w:rPr>
        <w:t>Aroh</w:t>
      </w:r>
      <w:proofErr w:type="spellEnd"/>
      <w:r w:rsidRPr="00471DCE">
        <w:rPr>
          <w:rFonts w:ascii="Times New Roman" w:hAnsi="Times New Roman" w:cs="Times New Roman"/>
          <w:sz w:val="24"/>
          <w:szCs w:val="24"/>
        </w:rPr>
        <w:t xml:space="preserve">, I. S., Henry, O., </w:t>
      </w:r>
      <w:proofErr w:type="spellStart"/>
      <w:r w:rsidRPr="00471DCE">
        <w:rPr>
          <w:rFonts w:ascii="Times New Roman" w:hAnsi="Times New Roman" w:cs="Times New Roman"/>
          <w:sz w:val="24"/>
          <w:szCs w:val="24"/>
        </w:rPr>
        <w:t>Metibemu</w:t>
      </w:r>
      <w:proofErr w:type="spellEnd"/>
      <w:r w:rsidRPr="00471DCE">
        <w:rPr>
          <w:rFonts w:ascii="Times New Roman" w:hAnsi="Times New Roman" w:cs="Times New Roman"/>
          <w:sz w:val="24"/>
          <w:szCs w:val="24"/>
        </w:rPr>
        <w:t xml:space="preserve">, O. C., &amp; Akinola, O. I. (2026). Graph Neural Networks for Multi-Layered Financial Crime Network Detection: An Explainable AI Framework for Anti-Money Laundering. </w:t>
      </w:r>
      <w:r w:rsidRPr="00471DCE">
        <w:rPr>
          <w:rFonts w:ascii="Times New Roman" w:hAnsi="Times New Roman" w:cs="Times New Roman"/>
          <w:i/>
          <w:iCs/>
          <w:sz w:val="24"/>
          <w:szCs w:val="24"/>
        </w:rPr>
        <w:t>Journal of Engineering Research and Reports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28</w:t>
      </w:r>
      <w:r w:rsidRPr="00471DCE">
        <w:rPr>
          <w:rFonts w:ascii="Times New Roman" w:hAnsi="Times New Roman" w:cs="Times New Roman"/>
          <w:sz w:val="24"/>
          <w:szCs w:val="24"/>
        </w:rPr>
        <w:t xml:space="preserve">(2), 18–36. </w:t>
      </w:r>
      <w:hyperlink r:id="rId72" w:history="1">
        <w:r w:rsidRPr="002B076B">
          <w:rPr>
            <w:rStyle w:val="Hyperlink"/>
            <w:rFonts w:ascii="Times New Roman" w:hAnsi="Times New Roman" w:cs="Times New Roman"/>
            <w:sz w:val="24"/>
            <w:szCs w:val="24"/>
          </w:rPr>
          <w:t>https://doi.org/10.9734/jerr/2026/v28i21787</w:t>
        </w:r>
      </w:hyperlink>
      <w:r>
        <w:rPr>
          <w:rFonts w:ascii="Times New Roman" w:hAnsi="Times New Roman" w:cs="Times New Roman"/>
          <w:sz w:val="24"/>
          <w:szCs w:val="24"/>
        </w:rPr>
        <w:t xml:space="preserve"> </w:t>
      </w:r>
    </w:p>
    <w:p w14:paraId="02FCB4F7"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Olisa, A. O., Gbadebo, M. O., </w:t>
      </w:r>
      <w:proofErr w:type="spellStart"/>
      <w:r w:rsidRPr="00471DCE">
        <w:rPr>
          <w:rFonts w:ascii="Times New Roman" w:hAnsi="Times New Roman" w:cs="Times New Roman"/>
          <w:sz w:val="24"/>
          <w:szCs w:val="24"/>
        </w:rPr>
        <w:t>Mayeke</w:t>
      </w:r>
      <w:proofErr w:type="spellEnd"/>
      <w:r w:rsidRPr="00471DCE">
        <w:rPr>
          <w:rFonts w:ascii="Times New Roman" w:hAnsi="Times New Roman" w:cs="Times New Roman"/>
          <w:sz w:val="24"/>
          <w:szCs w:val="24"/>
        </w:rPr>
        <w:t xml:space="preserve">, N. R., Oladoyinbo, T. O., &amp; Oluwapamilerin Kolo, F. H. (2026). Quantum-Resistant Cryptographic Protocols for CBDC Interoperability: A Cross-Border Settlement Security Framework. </w:t>
      </w:r>
      <w:r w:rsidRPr="00471DCE">
        <w:rPr>
          <w:rFonts w:ascii="Times New Roman" w:hAnsi="Times New Roman" w:cs="Times New Roman"/>
          <w:i/>
          <w:iCs/>
          <w:sz w:val="24"/>
          <w:szCs w:val="24"/>
        </w:rPr>
        <w:t>Engineering and Technology Journal</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11</w:t>
      </w:r>
      <w:r w:rsidRPr="00471DCE">
        <w:rPr>
          <w:rFonts w:ascii="Times New Roman" w:hAnsi="Times New Roman" w:cs="Times New Roman"/>
          <w:sz w:val="24"/>
          <w:szCs w:val="24"/>
        </w:rPr>
        <w:t xml:space="preserve">(01). </w:t>
      </w:r>
      <w:hyperlink r:id="rId73" w:history="1">
        <w:r w:rsidRPr="002B076B">
          <w:rPr>
            <w:rStyle w:val="Hyperlink"/>
            <w:rFonts w:ascii="Times New Roman" w:hAnsi="Times New Roman" w:cs="Times New Roman"/>
            <w:sz w:val="24"/>
            <w:szCs w:val="24"/>
          </w:rPr>
          <w:t>https://doi.org/10.47191/etj/v11i01.35</w:t>
        </w:r>
      </w:hyperlink>
      <w:r>
        <w:rPr>
          <w:rFonts w:ascii="Times New Roman" w:hAnsi="Times New Roman" w:cs="Times New Roman"/>
          <w:sz w:val="24"/>
          <w:szCs w:val="24"/>
        </w:rPr>
        <w:t xml:space="preserve"> </w:t>
      </w:r>
    </w:p>
    <w:p w14:paraId="02FCB4F8"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lastRenderedPageBreak/>
        <w:t xml:space="preserve">Potluri, S. (2024). A Zero Trust-Based Identity and Access Management Framework for Cross-Cloud Federated Networks. </w:t>
      </w:r>
      <w:r w:rsidRPr="00471DCE">
        <w:rPr>
          <w:rFonts w:ascii="Times New Roman" w:hAnsi="Times New Roman" w:cs="Times New Roman"/>
          <w:i/>
          <w:iCs/>
          <w:sz w:val="24"/>
          <w:szCs w:val="24"/>
        </w:rPr>
        <w:t>International Journal of Emerging Research in Engineering and Technology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5</w:t>
      </w:r>
      <w:r w:rsidRPr="00471DCE">
        <w:rPr>
          <w:rFonts w:ascii="Times New Roman" w:hAnsi="Times New Roman" w:cs="Times New Roman"/>
          <w:sz w:val="24"/>
          <w:szCs w:val="24"/>
        </w:rPr>
        <w:t xml:space="preserve">(2), 28–40. </w:t>
      </w:r>
      <w:hyperlink r:id="rId74" w:history="1">
        <w:r w:rsidRPr="002B076B">
          <w:rPr>
            <w:rStyle w:val="Hyperlink"/>
            <w:rFonts w:ascii="Times New Roman" w:hAnsi="Times New Roman" w:cs="Times New Roman"/>
            <w:sz w:val="24"/>
            <w:szCs w:val="24"/>
          </w:rPr>
          <w:t>https://doi.org/10.63282/3050-922X.IJERET-V5I2P104</w:t>
        </w:r>
      </w:hyperlink>
      <w:r>
        <w:rPr>
          <w:rFonts w:ascii="Times New Roman" w:hAnsi="Times New Roman" w:cs="Times New Roman"/>
          <w:sz w:val="24"/>
          <w:szCs w:val="24"/>
        </w:rPr>
        <w:t xml:space="preserve"> </w:t>
      </w:r>
    </w:p>
    <w:p w14:paraId="02FCB4F9"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Ramezan, C. A., Coffy, P. M., &amp; Lemons, J. (2024). </w:t>
      </w:r>
      <w:r w:rsidRPr="00471DCE">
        <w:rPr>
          <w:rFonts w:ascii="Times New Roman" w:hAnsi="Times New Roman" w:cs="Times New Roman"/>
          <w:i/>
          <w:iCs/>
          <w:sz w:val="24"/>
          <w:szCs w:val="24"/>
        </w:rPr>
        <w:t>Building the Operational Technology (OT) Cybersecurity Workforce: What are Employers Looking for?</w:t>
      </w:r>
      <w:r w:rsidRPr="00471DCE">
        <w:rPr>
          <w:rFonts w:ascii="Times New Roman" w:hAnsi="Times New Roman" w:cs="Times New Roman"/>
          <w:sz w:val="24"/>
          <w:szCs w:val="24"/>
        </w:rPr>
        <w:t xml:space="preserve"> </w:t>
      </w:r>
      <w:proofErr w:type="spellStart"/>
      <w:r w:rsidRPr="00471DCE">
        <w:rPr>
          <w:rFonts w:ascii="Times New Roman" w:hAnsi="Times New Roman" w:cs="Times New Roman"/>
          <w:sz w:val="24"/>
          <w:szCs w:val="24"/>
        </w:rPr>
        <w:t>DigitalCommons@Kennesaw</w:t>
      </w:r>
      <w:proofErr w:type="spellEnd"/>
      <w:r w:rsidRPr="00471DCE">
        <w:rPr>
          <w:rFonts w:ascii="Times New Roman" w:hAnsi="Times New Roman" w:cs="Times New Roman"/>
          <w:sz w:val="24"/>
          <w:szCs w:val="24"/>
        </w:rPr>
        <w:t xml:space="preserve"> State University. </w:t>
      </w:r>
      <w:hyperlink r:id="rId75" w:history="1">
        <w:r w:rsidRPr="002B076B">
          <w:rPr>
            <w:rStyle w:val="Hyperlink"/>
            <w:rFonts w:ascii="Times New Roman" w:hAnsi="Times New Roman" w:cs="Times New Roman"/>
            <w:sz w:val="24"/>
            <w:szCs w:val="24"/>
          </w:rPr>
          <w:t>https://doi.org/10.32727/8.2023.31</w:t>
        </w:r>
      </w:hyperlink>
      <w:r>
        <w:rPr>
          <w:rFonts w:ascii="Times New Roman" w:hAnsi="Times New Roman" w:cs="Times New Roman"/>
          <w:sz w:val="24"/>
          <w:szCs w:val="24"/>
        </w:rPr>
        <w:t xml:space="preserve"> </w:t>
      </w:r>
    </w:p>
    <w:p w14:paraId="02FCB4FA"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Rehman, M. </w:t>
      </w:r>
      <w:proofErr w:type="spellStart"/>
      <w:r w:rsidRPr="00471DCE">
        <w:rPr>
          <w:rFonts w:ascii="Times New Roman" w:hAnsi="Times New Roman" w:cs="Times New Roman"/>
          <w:sz w:val="24"/>
          <w:szCs w:val="24"/>
        </w:rPr>
        <w:t>ur</w:t>
      </w:r>
      <w:proofErr w:type="spellEnd"/>
      <w:r w:rsidRPr="00471DCE">
        <w:rPr>
          <w:rFonts w:ascii="Times New Roman" w:hAnsi="Times New Roman" w:cs="Times New Roman"/>
          <w:sz w:val="24"/>
          <w:szCs w:val="24"/>
        </w:rPr>
        <w:t xml:space="preserve">, &amp; </w:t>
      </w:r>
      <w:proofErr w:type="spellStart"/>
      <w:r w:rsidRPr="00471DCE">
        <w:rPr>
          <w:rFonts w:ascii="Times New Roman" w:hAnsi="Times New Roman" w:cs="Times New Roman"/>
          <w:sz w:val="24"/>
          <w:szCs w:val="24"/>
        </w:rPr>
        <w:t>Bahşi</w:t>
      </w:r>
      <w:proofErr w:type="spellEnd"/>
      <w:r w:rsidRPr="00471DCE">
        <w:rPr>
          <w:rFonts w:ascii="Times New Roman" w:hAnsi="Times New Roman" w:cs="Times New Roman"/>
          <w:sz w:val="24"/>
          <w:szCs w:val="24"/>
        </w:rPr>
        <w:t xml:space="preserve">, H. (2024). Process-aware security monitoring in industrial control systems: A systematic review and future directions. </w:t>
      </w:r>
      <w:r w:rsidRPr="00471DCE">
        <w:rPr>
          <w:rFonts w:ascii="Times New Roman" w:hAnsi="Times New Roman" w:cs="Times New Roman"/>
          <w:i/>
          <w:iCs/>
          <w:sz w:val="24"/>
          <w:szCs w:val="24"/>
        </w:rPr>
        <w:t>International Journal of Critical Infrastructure Protection</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47</w:t>
      </w:r>
      <w:r w:rsidRPr="00471DCE">
        <w:rPr>
          <w:rFonts w:ascii="Times New Roman" w:hAnsi="Times New Roman" w:cs="Times New Roman"/>
          <w:sz w:val="24"/>
          <w:szCs w:val="24"/>
        </w:rPr>
        <w:t xml:space="preserve">, 100719. </w:t>
      </w:r>
      <w:hyperlink r:id="rId76" w:history="1">
        <w:r w:rsidRPr="002B076B">
          <w:rPr>
            <w:rStyle w:val="Hyperlink"/>
            <w:rFonts w:ascii="Times New Roman" w:hAnsi="Times New Roman" w:cs="Times New Roman"/>
            <w:sz w:val="24"/>
            <w:szCs w:val="24"/>
          </w:rPr>
          <w:t>https://doi.org/10.1016/j.ijcip.2024.100719</w:t>
        </w:r>
      </w:hyperlink>
      <w:r>
        <w:rPr>
          <w:rFonts w:ascii="Times New Roman" w:hAnsi="Times New Roman" w:cs="Times New Roman"/>
          <w:sz w:val="24"/>
          <w:szCs w:val="24"/>
        </w:rPr>
        <w:t xml:space="preserve"> </w:t>
      </w:r>
    </w:p>
    <w:p w14:paraId="02FCB4FB"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Ren, Y., Wang, J., Zhao, Z., Wen, H., Li, H., &amp; Zhu, H. (2025). Automated Tactics Planning for Cyber Attack and Defense Based on Large Language Model Agents. </w:t>
      </w:r>
      <w:r w:rsidRPr="00471DCE">
        <w:rPr>
          <w:rFonts w:ascii="Times New Roman" w:hAnsi="Times New Roman" w:cs="Times New Roman"/>
          <w:i/>
          <w:iCs/>
          <w:sz w:val="24"/>
          <w:szCs w:val="24"/>
        </w:rPr>
        <w:t>Neural Networks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191</w:t>
      </w:r>
      <w:r w:rsidRPr="00471DCE">
        <w:rPr>
          <w:rFonts w:ascii="Times New Roman" w:hAnsi="Times New Roman" w:cs="Times New Roman"/>
          <w:sz w:val="24"/>
          <w:szCs w:val="24"/>
        </w:rPr>
        <w:t xml:space="preserve">, 107842–107842. </w:t>
      </w:r>
      <w:hyperlink r:id="rId77" w:history="1">
        <w:r w:rsidRPr="002B076B">
          <w:rPr>
            <w:rStyle w:val="Hyperlink"/>
            <w:rFonts w:ascii="Times New Roman" w:hAnsi="Times New Roman" w:cs="Times New Roman"/>
            <w:sz w:val="24"/>
            <w:szCs w:val="24"/>
          </w:rPr>
          <w:t>https://doi.org/10.1016/j.neunet.2025.107842</w:t>
        </w:r>
      </w:hyperlink>
      <w:r>
        <w:rPr>
          <w:rFonts w:ascii="Times New Roman" w:hAnsi="Times New Roman" w:cs="Times New Roman"/>
          <w:sz w:val="24"/>
          <w:szCs w:val="24"/>
        </w:rPr>
        <w:t xml:space="preserve"> </w:t>
      </w:r>
    </w:p>
    <w:p w14:paraId="02FCB4FC"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Saeed, W., &amp; Omlin, C. (2023). Explainable AI (XAI): A systematic meta-survey of current challenges and future opportunities. </w:t>
      </w:r>
      <w:r w:rsidRPr="00471DCE">
        <w:rPr>
          <w:rFonts w:ascii="Times New Roman" w:hAnsi="Times New Roman" w:cs="Times New Roman"/>
          <w:i/>
          <w:iCs/>
          <w:sz w:val="24"/>
          <w:szCs w:val="24"/>
        </w:rPr>
        <w:t>Knowledge-Based Systems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263</w:t>
      </w:r>
      <w:r w:rsidRPr="00471DCE">
        <w:rPr>
          <w:rFonts w:ascii="Times New Roman" w:hAnsi="Times New Roman" w:cs="Times New Roman"/>
          <w:sz w:val="24"/>
          <w:szCs w:val="24"/>
        </w:rPr>
        <w:t xml:space="preserve">, 110273. </w:t>
      </w:r>
      <w:hyperlink r:id="rId78" w:history="1">
        <w:r w:rsidRPr="002B076B">
          <w:rPr>
            <w:rStyle w:val="Hyperlink"/>
            <w:rFonts w:ascii="Times New Roman" w:hAnsi="Times New Roman" w:cs="Times New Roman"/>
            <w:sz w:val="24"/>
            <w:szCs w:val="24"/>
          </w:rPr>
          <w:t>https://doi.org/10.1016/j.knosys.2023.110273</w:t>
        </w:r>
      </w:hyperlink>
      <w:r>
        <w:rPr>
          <w:rFonts w:ascii="Times New Roman" w:hAnsi="Times New Roman" w:cs="Times New Roman"/>
          <w:sz w:val="24"/>
          <w:szCs w:val="24"/>
        </w:rPr>
        <w:t xml:space="preserve"> </w:t>
      </w:r>
    </w:p>
    <w:p w14:paraId="02FCB4FD"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Sain, A., Adhikary, S., &amp; Dey, S. (2026). </w:t>
      </w:r>
      <w:r w:rsidRPr="00471DCE">
        <w:rPr>
          <w:rFonts w:ascii="Times New Roman" w:hAnsi="Times New Roman" w:cs="Times New Roman"/>
          <w:i/>
          <w:iCs/>
          <w:sz w:val="24"/>
          <w:szCs w:val="24"/>
        </w:rPr>
        <w:t>Mitigating Timing-Based Attacks in Real-Time Cyber-Physical Systems</w:t>
      </w:r>
      <w:r w:rsidRPr="00471DCE">
        <w:rPr>
          <w:rFonts w:ascii="Times New Roman" w:hAnsi="Times New Roman" w:cs="Times New Roman"/>
          <w:sz w:val="24"/>
          <w:szCs w:val="24"/>
        </w:rPr>
        <w:t xml:space="preserve">. ArXiv.org. </w:t>
      </w:r>
      <w:hyperlink r:id="rId79" w:history="1">
        <w:r w:rsidRPr="002B076B">
          <w:rPr>
            <w:rStyle w:val="Hyperlink"/>
            <w:rFonts w:ascii="Times New Roman" w:hAnsi="Times New Roman" w:cs="Times New Roman"/>
            <w:sz w:val="24"/>
            <w:szCs w:val="24"/>
          </w:rPr>
          <w:t>https://arxiv.org/abs/2602.03757</w:t>
        </w:r>
      </w:hyperlink>
      <w:r>
        <w:rPr>
          <w:rFonts w:ascii="Times New Roman" w:hAnsi="Times New Roman" w:cs="Times New Roman"/>
          <w:sz w:val="24"/>
          <w:szCs w:val="24"/>
        </w:rPr>
        <w:t xml:space="preserve"> </w:t>
      </w:r>
    </w:p>
    <w:p w14:paraId="02FCB4FE"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Seghid</w:t>
      </w:r>
      <w:proofErr w:type="spellEnd"/>
      <w:r w:rsidRPr="00471DCE">
        <w:rPr>
          <w:rFonts w:ascii="Times New Roman" w:hAnsi="Times New Roman" w:cs="Times New Roman"/>
          <w:sz w:val="24"/>
          <w:szCs w:val="24"/>
        </w:rPr>
        <w:t xml:space="preserve">, N., Iqbal, F., Al-Room, K., &amp; MacDermott, Á. (2026). Emerging threats in AI: a detailed review of misuses and risks across modern AI technologies. </w:t>
      </w:r>
      <w:r w:rsidRPr="00471DCE">
        <w:rPr>
          <w:rFonts w:ascii="Times New Roman" w:hAnsi="Times New Roman" w:cs="Times New Roman"/>
          <w:i/>
          <w:iCs/>
          <w:sz w:val="24"/>
          <w:szCs w:val="24"/>
        </w:rPr>
        <w:t>Frontiers in Communications and Networks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6</w:t>
      </w:r>
      <w:r w:rsidRPr="00471DCE">
        <w:rPr>
          <w:rFonts w:ascii="Times New Roman" w:hAnsi="Times New Roman" w:cs="Times New Roman"/>
          <w:sz w:val="24"/>
          <w:szCs w:val="24"/>
        </w:rPr>
        <w:t xml:space="preserve">. </w:t>
      </w:r>
      <w:hyperlink r:id="rId80" w:history="1">
        <w:r w:rsidRPr="002B076B">
          <w:rPr>
            <w:rStyle w:val="Hyperlink"/>
            <w:rFonts w:ascii="Times New Roman" w:hAnsi="Times New Roman" w:cs="Times New Roman"/>
            <w:sz w:val="24"/>
            <w:szCs w:val="24"/>
          </w:rPr>
          <w:t>https://doi.org/10.3389/frcmn.2025.1727425</w:t>
        </w:r>
      </w:hyperlink>
      <w:r>
        <w:rPr>
          <w:rFonts w:ascii="Times New Roman" w:hAnsi="Times New Roman" w:cs="Times New Roman"/>
          <w:sz w:val="24"/>
          <w:szCs w:val="24"/>
        </w:rPr>
        <w:t xml:space="preserve"> </w:t>
      </w:r>
    </w:p>
    <w:p w14:paraId="02FCB4FF"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Seo, J. K., Lee, J., Kim, B., Shim, W., &amp; Seo, J. T. (2025). AI-Based Anomaly Detection in Industrial Control and Cyber–Physical Systems: A Data-Type-Oriented Systematic Review. </w:t>
      </w:r>
      <w:r w:rsidRPr="00471DCE">
        <w:rPr>
          <w:rFonts w:ascii="Times New Roman" w:hAnsi="Times New Roman" w:cs="Times New Roman"/>
          <w:i/>
          <w:iCs/>
          <w:sz w:val="24"/>
          <w:szCs w:val="24"/>
        </w:rPr>
        <w:t>Electronics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15</w:t>
      </w:r>
      <w:r w:rsidRPr="00471DCE">
        <w:rPr>
          <w:rFonts w:ascii="Times New Roman" w:hAnsi="Times New Roman" w:cs="Times New Roman"/>
          <w:sz w:val="24"/>
          <w:szCs w:val="24"/>
        </w:rPr>
        <w:t xml:space="preserve">(1), 20. </w:t>
      </w:r>
      <w:hyperlink r:id="rId81" w:history="1">
        <w:r w:rsidRPr="002B076B">
          <w:rPr>
            <w:rStyle w:val="Hyperlink"/>
            <w:rFonts w:ascii="Times New Roman" w:hAnsi="Times New Roman" w:cs="Times New Roman"/>
            <w:sz w:val="24"/>
            <w:szCs w:val="24"/>
          </w:rPr>
          <w:t>https://doi.org/10.3390/electronics15010020</w:t>
        </w:r>
      </w:hyperlink>
      <w:r>
        <w:rPr>
          <w:rFonts w:ascii="Times New Roman" w:hAnsi="Times New Roman" w:cs="Times New Roman"/>
          <w:sz w:val="24"/>
          <w:szCs w:val="24"/>
        </w:rPr>
        <w:t xml:space="preserve"> </w:t>
      </w:r>
    </w:p>
    <w:p w14:paraId="02FCB500"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Shanahan, M., McDonell, K., &amp; Reynolds, L. (2023). Role play with large language models. </w:t>
      </w:r>
      <w:r w:rsidRPr="00471DCE">
        <w:rPr>
          <w:rFonts w:ascii="Times New Roman" w:hAnsi="Times New Roman" w:cs="Times New Roman"/>
          <w:i/>
          <w:iCs/>
          <w:sz w:val="24"/>
          <w:szCs w:val="24"/>
        </w:rPr>
        <w:t>Nature</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623</w:t>
      </w:r>
      <w:r w:rsidRPr="00471DCE">
        <w:rPr>
          <w:rFonts w:ascii="Times New Roman" w:hAnsi="Times New Roman" w:cs="Times New Roman"/>
          <w:sz w:val="24"/>
          <w:szCs w:val="24"/>
        </w:rPr>
        <w:t xml:space="preserve">, 1–6. </w:t>
      </w:r>
      <w:hyperlink r:id="rId82" w:history="1">
        <w:r w:rsidRPr="002B076B">
          <w:rPr>
            <w:rStyle w:val="Hyperlink"/>
            <w:rFonts w:ascii="Times New Roman" w:hAnsi="Times New Roman" w:cs="Times New Roman"/>
            <w:sz w:val="24"/>
            <w:szCs w:val="24"/>
          </w:rPr>
          <w:t>https://doi.org/10.1038/s41586-023-06647-8</w:t>
        </w:r>
      </w:hyperlink>
      <w:r>
        <w:rPr>
          <w:rFonts w:ascii="Times New Roman" w:hAnsi="Times New Roman" w:cs="Times New Roman"/>
          <w:sz w:val="24"/>
          <w:szCs w:val="24"/>
        </w:rPr>
        <w:t xml:space="preserve"> </w:t>
      </w:r>
    </w:p>
    <w:p w14:paraId="02FCB501"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Sharma, R., &amp; Mehta, A. (2025). Cybersecurity in Industrial Control Systems: Challenges, Strategies, and Future Directions for Secure Industrial Operations. </w:t>
      </w:r>
      <w:r w:rsidRPr="00471DCE">
        <w:rPr>
          <w:rFonts w:ascii="Times New Roman" w:hAnsi="Times New Roman" w:cs="Times New Roman"/>
          <w:i/>
          <w:iCs/>
          <w:sz w:val="24"/>
          <w:szCs w:val="24"/>
        </w:rPr>
        <w:t>Journal of Intelligent Instrumentation, Automation, and Control Systems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1</w:t>
      </w:r>
      <w:r w:rsidRPr="00471DCE">
        <w:rPr>
          <w:rFonts w:ascii="Times New Roman" w:hAnsi="Times New Roman" w:cs="Times New Roman"/>
          <w:sz w:val="24"/>
          <w:szCs w:val="24"/>
        </w:rPr>
        <w:t xml:space="preserve">(2), 87–97. </w:t>
      </w:r>
      <w:hyperlink r:id="rId83" w:history="1">
        <w:r w:rsidRPr="002B076B">
          <w:rPr>
            <w:rStyle w:val="Hyperlink"/>
            <w:rFonts w:ascii="Times New Roman" w:hAnsi="Times New Roman" w:cs="Times New Roman"/>
            <w:sz w:val="24"/>
            <w:szCs w:val="24"/>
          </w:rPr>
          <w:t>https://admin.mantechpublications.com/index.php/JIIACS/article/viewFile/2497/1018?utm_</w:t>
        </w:r>
      </w:hyperlink>
      <w:r>
        <w:rPr>
          <w:rFonts w:ascii="Times New Roman" w:hAnsi="Times New Roman" w:cs="Times New Roman"/>
          <w:sz w:val="24"/>
          <w:szCs w:val="24"/>
        </w:rPr>
        <w:t xml:space="preserve"> </w:t>
      </w:r>
    </w:p>
    <w:p w14:paraId="02FCB502"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Stouffer, K. (2023). Guide to Operational Technology (OT) Security. </w:t>
      </w:r>
      <w:r w:rsidRPr="00471DCE">
        <w:rPr>
          <w:rFonts w:ascii="Times New Roman" w:hAnsi="Times New Roman" w:cs="Times New Roman"/>
          <w:i/>
          <w:iCs/>
          <w:sz w:val="24"/>
          <w:szCs w:val="24"/>
        </w:rPr>
        <w:t>Guide to Operational Technology (OT) Security</w:t>
      </w:r>
      <w:r w:rsidRPr="00471DCE">
        <w:rPr>
          <w:rFonts w:ascii="Times New Roman" w:hAnsi="Times New Roman" w:cs="Times New Roman"/>
          <w:sz w:val="24"/>
          <w:szCs w:val="24"/>
        </w:rPr>
        <w:t xml:space="preserve">. </w:t>
      </w:r>
      <w:hyperlink r:id="rId84" w:history="1">
        <w:r w:rsidRPr="002B076B">
          <w:rPr>
            <w:rStyle w:val="Hyperlink"/>
            <w:rFonts w:ascii="Times New Roman" w:hAnsi="Times New Roman" w:cs="Times New Roman"/>
            <w:sz w:val="24"/>
            <w:szCs w:val="24"/>
          </w:rPr>
          <w:t>https://doi.org/10.6028/nist.sp.800-82r3</w:t>
        </w:r>
      </w:hyperlink>
      <w:r>
        <w:rPr>
          <w:rFonts w:ascii="Times New Roman" w:hAnsi="Times New Roman" w:cs="Times New Roman"/>
          <w:sz w:val="24"/>
          <w:szCs w:val="24"/>
        </w:rPr>
        <w:t xml:space="preserve"> </w:t>
      </w:r>
    </w:p>
    <w:p w14:paraId="02FCB503"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lastRenderedPageBreak/>
        <w:t xml:space="preserve">Stouffer, K., Pillitteri, V., Lightman, S., Abrams, M., &amp; Hahn, A. (2015). NIST Special Publication 800-82 Revision 2 Guide to Industrial Control Systems (ICS) Security Supervisory Control and Data Acquisition (SCADA) Systems, Distributed Control Systems (DCS), and Other Control System Configurations such as Programmable Logic Controllers (PLC). </w:t>
      </w:r>
      <w:r w:rsidRPr="00471DCE">
        <w:rPr>
          <w:rFonts w:ascii="Times New Roman" w:hAnsi="Times New Roman" w:cs="Times New Roman"/>
          <w:i/>
          <w:iCs/>
          <w:sz w:val="24"/>
          <w:szCs w:val="24"/>
        </w:rPr>
        <w:t>NIST</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w:t>
      </w:r>
      <w:r w:rsidRPr="00471DCE">
        <w:rPr>
          <w:rFonts w:ascii="Times New Roman" w:hAnsi="Times New Roman" w:cs="Times New Roman"/>
          <w:sz w:val="24"/>
          <w:szCs w:val="24"/>
        </w:rPr>
        <w:t xml:space="preserve">. </w:t>
      </w:r>
      <w:hyperlink r:id="rId85" w:history="1">
        <w:r w:rsidRPr="002B076B">
          <w:rPr>
            <w:rStyle w:val="Hyperlink"/>
            <w:rFonts w:ascii="Times New Roman" w:hAnsi="Times New Roman" w:cs="Times New Roman"/>
            <w:sz w:val="24"/>
            <w:szCs w:val="24"/>
          </w:rPr>
          <w:t>https://doi.org/10.6028/NIST.SP.800-82r2</w:t>
        </w:r>
      </w:hyperlink>
      <w:r>
        <w:rPr>
          <w:rFonts w:ascii="Times New Roman" w:hAnsi="Times New Roman" w:cs="Times New Roman"/>
          <w:sz w:val="24"/>
          <w:szCs w:val="24"/>
        </w:rPr>
        <w:t xml:space="preserve"> </w:t>
      </w:r>
    </w:p>
    <w:p w14:paraId="02FCB504" w14:textId="77777777" w:rsidR="00B87A6F" w:rsidRPr="00471DCE" w:rsidRDefault="00471DCE" w:rsidP="00471DCE">
      <w:pPr>
        <w:spacing w:after="240"/>
        <w:ind w:left="900" w:hanging="900"/>
        <w:rPr>
          <w:rFonts w:ascii="Times New Roman" w:hAnsi="Times New Roman" w:cs="Times New Roman"/>
          <w:sz w:val="24"/>
          <w:szCs w:val="24"/>
        </w:rPr>
      </w:pPr>
      <w:proofErr w:type="spellStart"/>
      <w:r w:rsidRPr="00471DCE">
        <w:rPr>
          <w:rFonts w:ascii="Times New Roman" w:hAnsi="Times New Roman" w:cs="Times New Roman"/>
          <w:sz w:val="24"/>
          <w:szCs w:val="24"/>
        </w:rPr>
        <w:t>Tirulo</w:t>
      </w:r>
      <w:proofErr w:type="spellEnd"/>
      <w:r w:rsidRPr="00471DCE">
        <w:rPr>
          <w:rFonts w:ascii="Times New Roman" w:hAnsi="Times New Roman" w:cs="Times New Roman"/>
          <w:sz w:val="24"/>
          <w:szCs w:val="24"/>
        </w:rPr>
        <w:t xml:space="preserve">, A., Yadav, M., </w:t>
      </w:r>
      <w:proofErr w:type="spellStart"/>
      <w:r w:rsidRPr="00471DCE">
        <w:rPr>
          <w:rFonts w:ascii="Times New Roman" w:hAnsi="Times New Roman" w:cs="Times New Roman"/>
          <w:sz w:val="24"/>
          <w:szCs w:val="24"/>
        </w:rPr>
        <w:t>Lolamo</w:t>
      </w:r>
      <w:proofErr w:type="spellEnd"/>
      <w:r w:rsidRPr="00471DCE">
        <w:rPr>
          <w:rFonts w:ascii="Times New Roman" w:hAnsi="Times New Roman" w:cs="Times New Roman"/>
          <w:sz w:val="24"/>
          <w:szCs w:val="24"/>
        </w:rPr>
        <w:t xml:space="preserve">, M., Chauhan, S., Siano, P., &amp; </w:t>
      </w:r>
      <w:proofErr w:type="spellStart"/>
      <w:r w:rsidRPr="00471DCE">
        <w:rPr>
          <w:rFonts w:ascii="Times New Roman" w:hAnsi="Times New Roman" w:cs="Times New Roman"/>
          <w:sz w:val="24"/>
          <w:szCs w:val="24"/>
        </w:rPr>
        <w:t>Shafie-khah</w:t>
      </w:r>
      <w:proofErr w:type="spellEnd"/>
      <w:r w:rsidRPr="00471DCE">
        <w:rPr>
          <w:rFonts w:ascii="Times New Roman" w:hAnsi="Times New Roman" w:cs="Times New Roman"/>
          <w:sz w:val="24"/>
          <w:szCs w:val="24"/>
        </w:rPr>
        <w:t xml:space="preserve">, M. (2025). Beyond automation: Unveiling the potential of agentic intelligence. </w:t>
      </w:r>
      <w:r w:rsidRPr="00471DCE">
        <w:rPr>
          <w:rFonts w:ascii="Times New Roman" w:hAnsi="Times New Roman" w:cs="Times New Roman"/>
          <w:i/>
          <w:iCs/>
          <w:sz w:val="24"/>
          <w:szCs w:val="24"/>
        </w:rPr>
        <w:t>Renewable and Sustainable Energy Reviews</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226</w:t>
      </w:r>
      <w:r w:rsidRPr="00471DCE">
        <w:rPr>
          <w:rFonts w:ascii="Times New Roman" w:hAnsi="Times New Roman" w:cs="Times New Roman"/>
          <w:sz w:val="24"/>
          <w:szCs w:val="24"/>
        </w:rPr>
        <w:t xml:space="preserve">, 116218. </w:t>
      </w:r>
      <w:hyperlink r:id="rId86" w:history="1">
        <w:r w:rsidRPr="002B076B">
          <w:rPr>
            <w:rStyle w:val="Hyperlink"/>
            <w:rFonts w:ascii="Times New Roman" w:hAnsi="Times New Roman" w:cs="Times New Roman"/>
            <w:sz w:val="24"/>
            <w:szCs w:val="24"/>
          </w:rPr>
          <w:t>https://doi.org/10.1016/j.rser.2025.116218</w:t>
        </w:r>
      </w:hyperlink>
      <w:r>
        <w:rPr>
          <w:rFonts w:ascii="Times New Roman" w:hAnsi="Times New Roman" w:cs="Times New Roman"/>
          <w:sz w:val="24"/>
          <w:szCs w:val="24"/>
        </w:rPr>
        <w:t xml:space="preserve"> </w:t>
      </w:r>
    </w:p>
    <w:p w14:paraId="02FCB505"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Truby, J. (2025). Global Governance of Transboundary Risks from Agentic AI. </w:t>
      </w:r>
      <w:r w:rsidRPr="00471DCE">
        <w:rPr>
          <w:rFonts w:ascii="Times New Roman" w:hAnsi="Times New Roman" w:cs="Times New Roman"/>
          <w:i/>
          <w:iCs/>
          <w:sz w:val="24"/>
          <w:szCs w:val="24"/>
        </w:rPr>
        <w:t>Oxford Intersections: AI in Society</w:t>
      </w:r>
      <w:r w:rsidRPr="00471DCE">
        <w:rPr>
          <w:rFonts w:ascii="Times New Roman" w:hAnsi="Times New Roman" w:cs="Times New Roman"/>
          <w:sz w:val="24"/>
          <w:szCs w:val="24"/>
        </w:rPr>
        <w:t xml:space="preserve">. </w:t>
      </w:r>
      <w:hyperlink r:id="rId87" w:history="1">
        <w:r w:rsidRPr="002B076B">
          <w:rPr>
            <w:rStyle w:val="Hyperlink"/>
            <w:rFonts w:ascii="Times New Roman" w:hAnsi="Times New Roman" w:cs="Times New Roman"/>
            <w:sz w:val="24"/>
            <w:szCs w:val="24"/>
          </w:rPr>
          <w:t>https://doi.org/10.1093/9780198945215.003.0155</w:t>
        </w:r>
      </w:hyperlink>
      <w:r>
        <w:rPr>
          <w:rFonts w:ascii="Times New Roman" w:hAnsi="Times New Roman" w:cs="Times New Roman"/>
          <w:sz w:val="24"/>
          <w:szCs w:val="24"/>
        </w:rPr>
        <w:t xml:space="preserve"> </w:t>
      </w:r>
    </w:p>
    <w:p w14:paraId="02FCB506"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Umer, M. A., Junejo, K. N., Jilani, M. T., &amp; Mathur, A. P. (2022). Machine learning for intrusion detection in industrial control systems: Applications, challenges, and recommendations. </w:t>
      </w:r>
      <w:r w:rsidRPr="00471DCE">
        <w:rPr>
          <w:rFonts w:ascii="Times New Roman" w:hAnsi="Times New Roman" w:cs="Times New Roman"/>
          <w:i/>
          <w:iCs/>
          <w:sz w:val="24"/>
          <w:szCs w:val="24"/>
        </w:rPr>
        <w:t>International Journal of Critical Infrastructure Protection</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38</w:t>
      </w:r>
      <w:r w:rsidRPr="00471DCE">
        <w:rPr>
          <w:rFonts w:ascii="Times New Roman" w:hAnsi="Times New Roman" w:cs="Times New Roman"/>
          <w:sz w:val="24"/>
          <w:szCs w:val="24"/>
        </w:rPr>
        <w:t xml:space="preserve">, 100516. </w:t>
      </w:r>
      <w:hyperlink r:id="rId88" w:history="1">
        <w:r w:rsidRPr="002B076B">
          <w:rPr>
            <w:rStyle w:val="Hyperlink"/>
            <w:rFonts w:ascii="Times New Roman" w:hAnsi="Times New Roman" w:cs="Times New Roman"/>
            <w:sz w:val="24"/>
            <w:szCs w:val="24"/>
          </w:rPr>
          <w:t>https://doi.org/10.1016/j.ijcip.2022.100516</w:t>
        </w:r>
      </w:hyperlink>
      <w:r>
        <w:rPr>
          <w:rFonts w:ascii="Times New Roman" w:hAnsi="Times New Roman" w:cs="Times New Roman"/>
          <w:sz w:val="24"/>
          <w:szCs w:val="24"/>
        </w:rPr>
        <w:t xml:space="preserve"> </w:t>
      </w:r>
    </w:p>
    <w:p w14:paraId="02FCB507"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Umer, M., Ahmed, C. M., Jilani, M. T., &amp; Mathur, A. P. (2021). Attack Rules. </w:t>
      </w:r>
      <w:proofErr w:type="spellStart"/>
      <w:r w:rsidRPr="00471DCE">
        <w:rPr>
          <w:rFonts w:ascii="Times New Roman" w:hAnsi="Times New Roman" w:cs="Times New Roman"/>
          <w:i/>
          <w:iCs/>
          <w:sz w:val="24"/>
          <w:szCs w:val="24"/>
        </w:rPr>
        <w:t>CPSIoTSec</w:t>
      </w:r>
      <w:proofErr w:type="spellEnd"/>
      <w:r w:rsidRPr="00471DCE">
        <w:rPr>
          <w:rFonts w:ascii="Times New Roman" w:hAnsi="Times New Roman" w:cs="Times New Roman"/>
          <w:i/>
          <w:iCs/>
          <w:sz w:val="24"/>
          <w:szCs w:val="24"/>
        </w:rPr>
        <w:t xml:space="preserve"> ’21: Proceedings of the 2th Workshop on </w:t>
      </w:r>
      <w:proofErr w:type="spellStart"/>
      <w:r w:rsidRPr="00471DCE">
        <w:rPr>
          <w:rFonts w:ascii="Times New Roman" w:hAnsi="Times New Roman" w:cs="Times New Roman"/>
          <w:i/>
          <w:iCs/>
          <w:sz w:val="24"/>
          <w:szCs w:val="24"/>
        </w:rPr>
        <w:t>CPS&amp;IoT</w:t>
      </w:r>
      <w:proofErr w:type="spellEnd"/>
      <w:r w:rsidRPr="00471DCE">
        <w:rPr>
          <w:rFonts w:ascii="Times New Roman" w:hAnsi="Times New Roman" w:cs="Times New Roman"/>
          <w:i/>
          <w:iCs/>
          <w:sz w:val="24"/>
          <w:szCs w:val="24"/>
        </w:rPr>
        <w:t xml:space="preserve"> Security and Privacy</w:t>
      </w:r>
      <w:r w:rsidRPr="00471DCE">
        <w:rPr>
          <w:rFonts w:ascii="Times New Roman" w:hAnsi="Times New Roman" w:cs="Times New Roman"/>
          <w:sz w:val="24"/>
          <w:szCs w:val="24"/>
        </w:rPr>
        <w:t xml:space="preserve">, 35–40. </w:t>
      </w:r>
      <w:hyperlink r:id="rId89" w:history="1">
        <w:r w:rsidRPr="002B076B">
          <w:rPr>
            <w:rStyle w:val="Hyperlink"/>
            <w:rFonts w:ascii="Times New Roman" w:hAnsi="Times New Roman" w:cs="Times New Roman"/>
            <w:sz w:val="24"/>
            <w:szCs w:val="24"/>
          </w:rPr>
          <w:t>https://doi.org/10.1145/3462633.3483976</w:t>
        </w:r>
      </w:hyperlink>
      <w:r>
        <w:rPr>
          <w:rFonts w:ascii="Times New Roman" w:hAnsi="Times New Roman" w:cs="Times New Roman"/>
          <w:sz w:val="24"/>
          <w:szCs w:val="24"/>
        </w:rPr>
        <w:t xml:space="preserve">  </w:t>
      </w:r>
    </w:p>
    <w:p w14:paraId="02FCB508"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Wang, N., Luo, Y., Sato, T., Xu, K., &amp; Chen, Q. A. (2023). </w:t>
      </w:r>
      <w:r w:rsidRPr="00471DCE">
        <w:rPr>
          <w:rFonts w:ascii="Times New Roman" w:hAnsi="Times New Roman" w:cs="Times New Roman"/>
          <w:i/>
          <w:iCs/>
          <w:sz w:val="24"/>
          <w:szCs w:val="24"/>
        </w:rPr>
        <w:t>Does Physical Adversarial Example Really Matter to Autonomous Driving? Towards System-Level Effect of Adversarial Object Evasion Attack</w:t>
      </w:r>
      <w:r w:rsidRPr="00471DCE">
        <w:rPr>
          <w:rFonts w:ascii="Times New Roman" w:hAnsi="Times New Roman" w:cs="Times New Roman"/>
          <w:sz w:val="24"/>
          <w:szCs w:val="24"/>
        </w:rPr>
        <w:t xml:space="preserve">. ArXiv.org. </w:t>
      </w:r>
      <w:hyperlink r:id="rId90" w:history="1">
        <w:r w:rsidRPr="002B076B">
          <w:rPr>
            <w:rStyle w:val="Hyperlink"/>
            <w:rFonts w:ascii="Times New Roman" w:hAnsi="Times New Roman" w:cs="Times New Roman"/>
            <w:sz w:val="24"/>
            <w:szCs w:val="24"/>
          </w:rPr>
          <w:t>https://arxiv.org/abs/2308.11894v1</w:t>
        </w:r>
      </w:hyperlink>
      <w:r>
        <w:rPr>
          <w:rFonts w:ascii="Times New Roman" w:hAnsi="Times New Roman" w:cs="Times New Roman"/>
          <w:sz w:val="24"/>
          <w:szCs w:val="24"/>
        </w:rPr>
        <w:t xml:space="preserve"> </w:t>
      </w:r>
    </w:p>
    <w:p w14:paraId="02FCB509"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Wen, S.-F., Shukla, A., &amp; Katt, B. (2024). Artificial intelligence for system security assurance: A systematic literature review. </w:t>
      </w:r>
      <w:r w:rsidRPr="00471DCE">
        <w:rPr>
          <w:rFonts w:ascii="Times New Roman" w:hAnsi="Times New Roman" w:cs="Times New Roman"/>
          <w:i/>
          <w:iCs/>
          <w:sz w:val="24"/>
          <w:szCs w:val="24"/>
        </w:rPr>
        <w:t>International Journal of Information Security</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24</w:t>
      </w:r>
      <w:r w:rsidRPr="00471DCE">
        <w:rPr>
          <w:rFonts w:ascii="Times New Roman" w:hAnsi="Times New Roman" w:cs="Times New Roman"/>
          <w:sz w:val="24"/>
          <w:szCs w:val="24"/>
        </w:rPr>
        <w:t xml:space="preserve">(1). </w:t>
      </w:r>
      <w:hyperlink r:id="rId91" w:history="1">
        <w:r w:rsidRPr="002B076B">
          <w:rPr>
            <w:rStyle w:val="Hyperlink"/>
            <w:rFonts w:ascii="Times New Roman" w:hAnsi="Times New Roman" w:cs="Times New Roman"/>
            <w:sz w:val="24"/>
            <w:szCs w:val="24"/>
          </w:rPr>
          <w:t>https://doi.org/10.1007/s10207-024-00959-0</w:t>
        </w:r>
      </w:hyperlink>
      <w:r>
        <w:rPr>
          <w:rFonts w:ascii="Times New Roman" w:hAnsi="Times New Roman" w:cs="Times New Roman"/>
          <w:sz w:val="24"/>
          <w:szCs w:val="24"/>
        </w:rPr>
        <w:t xml:space="preserve"> </w:t>
      </w:r>
    </w:p>
    <w:p w14:paraId="02FCB50A" w14:textId="77777777" w:rsidR="00B87A6F" w:rsidRPr="00471DCE" w:rsidRDefault="00471DCE" w:rsidP="00471DCE">
      <w:pPr>
        <w:spacing w:after="240"/>
        <w:ind w:left="900" w:hanging="900"/>
        <w:rPr>
          <w:rFonts w:ascii="Times New Roman" w:hAnsi="Times New Roman" w:cs="Times New Roman"/>
          <w:sz w:val="24"/>
          <w:szCs w:val="24"/>
        </w:rPr>
      </w:pPr>
      <w:proofErr w:type="gramStart"/>
      <w:r w:rsidRPr="00471DCE">
        <w:rPr>
          <w:rFonts w:ascii="Times New Roman" w:hAnsi="Times New Roman" w:cs="Times New Roman"/>
          <w:sz w:val="24"/>
          <w:szCs w:val="24"/>
        </w:rPr>
        <w:t>Wright ,</w:t>
      </w:r>
      <w:proofErr w:type="gramEnd"/>
      <w:r w:rsidRPr="00471DCE">
        <w:rPr>
          <w:rFonts w:ascii="Times New Roman" w:hAnsi="Times New Roman" w:cs="Times New Roman"/>
          <w:sz w:val="24"/>
          <w:szCs w:val="24"/>
        </w:rPr>
        <w:t xml:space="preserve"> J., &amp; </w:t>
      </w:r>
      <w:proofErr w:type="spellStart"/>
      <w:r w:rsidRPr="00471DCE">
        <w:rPr>
          <w:rFonts w:ascii="Times New Roman" w:hAnsi="Times New Roman" w:cs="Times New Roman"/>
          <w:sz w:val="24"/>
          <w:szCs w:val="24"/>
        </w:rPr>
        <w:t>Wolthusen</w:t>
      </w:r>
      <w:proofErr w:type="spellEnd"/>
      <w:r w:rsidRPr="00471DCE">
        <w:rPr>
          <w:rFonts w:ascii="Times New Roman" w:hAnsi="Times New Roman" w:cs="Times New Roman"/>
          <w:sz w:val="24"/>
          <w:szCs w:val="24"/>
        </w:rPr>
        <w:t xml:space="preserve">, S. (2024). </w:t>
      </w:r>
      <w:r w:rsidRPr="00471DCE">
        <w:rPr>
          <w:rFonts w:ascii="Times New Roman" w:hAnsi="Times New Roman" w:cs="Times New Roman"/>
          <w:i/>
          <w:iCs/>
          <w:sz w:val="24"/>
          <w:szCs w:val="24"/>
        </w:rPr>
        <w:t>Formal Methods for Secure Cyber-Physical Systems Workshop: Report on the First Edition</w:t>
      </w:r>
      <w:r w:rsidRPr="00471DCE">
        <w:rPr>
          <w:rFonts w:ascii="Times New Roman" w:hAnsi="Times New Roman" w:cs="Times New Roman"/>
          <w:sz w:val="24"/>
          <w:szCs w:val="24"/>
        </w:rPr>
        <w:t>.</w:t>
      </w:r>
      <w:r>
        <w:rPr>
          <w:rFonts w:ascii="Times New Roman" w:hAnsi="Times New Roman" w:cs="Times New Roman"/>
          <w:sz w:val="24"/>
          <w:szCs w:val="24"/>
        </w:rPr>
        <w:t xml:space="preserve"> </w:t>
      </w:r>
    </w:p>
    <w:p w14:paraId="02FCB50B"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Wu, T., Zhou, D., Ou, Q., &amp; Luo, F. (2025). Intrusion Detection Systems in Industrial Control Systems: Landscape, Challenges and Opportunities. </w:t>
      </w:r>
      <w:r w:rsidRPr="00471DCE">
        <w:rPr>
          <w:rFonts w:ascii="Times New Roman" w:hAnsi="Times New Roman" w:cs="Times New Roman"/>
          <w:i/>
          <w:iCs/>
          <w:sz w:val="24"/>
          <w:szCs w:val="24"/>
        </w:rPr>
        <w:t>Computers, Materials &amp; Continua/Computers, Materials &amp; Continua (Print)</w:t>
      </w:r>
      <w:r w:rsidRPr="00471DCE">
        <w:rPr>
          <w:rFonts w:ascii="Times New Roman" w:hAnsi="Times New Roman" w:cs="Times New Roman"/>
          <w:sz w:val="24"/>
          <w:szCs w:val="24"/>
        </w:rPr>
        <w:t xml:space="preserve">, </w:t>
      </w:r>
      <w:r w:rsidRPr="00471DCE">
        <w:rPr>
          <w:rFonts w:ascii="Times New Roman" w:hAnsi="Times New Roman" w:cs="Times New Roman"/>
          <w:i/>
          <w:iCs/>
          <w:sz w:val="24"/>
          <w:szCs w:val="24"/>
        </w:rPr>
        <w:t>86</w:t>
      </w:r>
      <w:r w:rsidRPr="00471DCE">
        <w:rPr>
          <w:rFonts w:ascii="Times New Roman" w:hAnsi="Times New Roman" w:cs="Times New Roman"/>
          <w:sz w:val="24"/>
          <w:szCs w:val="24"/>
        </w:rPr>
        <w:t xml:space="preserve">(3), 1–10. </w:t>
      </w:r>
      <w:hyperlink r:id="rId92" w:history="1">
        <w:r w:rsidRPr="002B076B">
          <w:rPr>
            <w:rStyle w:val="Hyperlink"/>
            <w:rFonts w:ascii="Times New Roman" w:hAnsi="Times New Roman" w:cs="Times New Roman"/>
            <w:sz w:val="24"/>
            <w:szCs w:val="24"/>
          </w:rPr>
          <w:t>https://doi.org/10.32604/cmc.2025.073482</w:t>
        </w:r>
      </w:hyperlink>
      <w:r>
        <w:rPr>
          <w:rFonts w:ascii="Times New Roman" w:hAnsi="Times New Roman" w:cs="Times New Roman"/>
          <w:sz w:val="24"/>
          <w:szCs w:val="24"/>
        </w:rPr>
        <w:t xml:space="preserve"> </w:t>
      </w:r>
    </w:p>
    <w:p w14:paraId="02FCB50C" w14:textId="77777777" w:rsidR="00B87A6F" w:rsidRPr="00471DCE" w:rsidRDefault="00471DCE" w:rsidP="00471DCE">
      <w:pPr>
        <w:spacing w:after="240"/>
        <w:ind w:left="900" w:hanging="900"/>
        <w:rPr>
          <w:rFonts w:ascii="Times New Roman" w:hAnsi="Times New Roman" w:cs="Times New Roman"/>
          <w:sz w:val="24"/>
          <w:szCs w:val="24"/>
        </w:rPr>
      </w:pPr>
      <w:r w:rsidRPr="00471DCE">
        <w:rPr>
          <w:rFonts w:ascii="Times New Roman" w:hAnsi="Times New Roman" w:cs="Times New Roman"/>
          <w:sz w:val="24"/>
          <w:szCs w:val="24"/>
        </w:rPr>
        <w:t xml:space="preserve">Zhong, B., Zamani, M., &amp; Caccamo, M. (2021). Sandboxing Controllers for Stochastic Cyber-Physical Systems. </w:t>
      </w:r>
      <w:r w:rsidRPr="00471DCE">
        <w:rPr>
          <w:rFonts w:ascii="Times New Roman" w:hAnsi="Times New Roman" w:cs="Times New Roman"/>
          <w:i/>
          <w:iCs/>
          <w:sz w:val="24"/>
          <w:szCs w:val="24"/>
        </w:rPr>
        <w:t>Lecture Notes in Computer Science</w:t>
      </w:r>
      <w:r w:rsidRPr="00471DCE">
        <w:rPr>
          <w:rFonts w:ascii="Times New Roman" w:hAnsi="Times New Roman" w:cs="Times New Roman"/>
          <w:sz w:val="24"/>
          <w:szCs w:val="24"/>
        </w:rPr>
        <w:t xml:space="preserve">, 247–264. </w:t>
      </w:r>
      <w:hyperlink r:id="rId93" w:history="1">
        <w:r w:rsidRPr="002B076B">
          <w:rPr>
            <w:rStyle w:val="Hyperlink"/>
            <w:rFonts w:ascii="Times New Roman" w:hAnsi="Times New Roman" w:cs="Times New Roman"/>
            <w:sz w:val="24"/>
            <w:szCs w:val="24"/>
          </w:rPr>
          <w:t>https://doi.org/10.1007/978-3-030-29662-9_15</w:t>
        </w:r>
      </w:hyperlink>
      <w:r>
        <w:rPr>
          <w:rFonts w:ascii="Times New Roman" w:hAnsi="Times New Roman" w:cs="Times New Roman"/>
          <w:sz w:val="24"/>
          <w:szCs w:val="24"/>
        </w:rPr>
        <w:t xml:space="preserve"> </w:t>
      </w:r>
    </w:p>
    <w:p w14:paraId="02FCB50D" w14:textId="77777777" w:rsidR="00B87A6F" w:rsidRPr="00471DCE" w:rsidRDefault="00B87A6F" w:rsidP="00471DCE">
      <w:pPr>
        <w:spacing w:after="240"/>
        <w:ind w:left="900" w:hanging="900"/>
        <w:rPr>
          <w:rFonts w:ascii="Times New Roman" w:hAnsi="Times New Roman" w:cs="Times New Roman"/>
          <w:sz w:val="24"/>
          <w:szCs w:val="24"/>
        </w:rPr>
      </w:pPr>
    </w:p>
    <w:p w14:paraId="02FCB50E" w14:textId="77777777" w:rsidR="00B87A6F" w:rsidRDefault="00B87A6F">
      <w:pPr>
        <w:rPr>
          <w:sz w:val="24"/>
          <w:szCs w:val="24"/>
        </w:rPr>
      </w:pPr>
    </w:p>
    <w:p w14:paraId="02FCB50F" w14:textId="77777777" w:rsidR="00B87A6F" w:rsidRDefault="00B87A6F">
      <w:pPr>
        <w:spacing w:before="240" w:after="240"/>
        <w:rPr>
          <w:sz w:val="24"/>
          <w:szCs w:val="24"/>
        </w:rPr>
      </w:pPr>
    </w:p>
    <w:sectPr w:rsidR="00B87A6F">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95D8D" w14:textId="77777777" w:rsidR="006C70A7" w:rsidRDefault="006C70A7" w:rsidP="004D5204">
      <w:pPr>
        <w:spacing w:line="240" w:lineRule="auto"/>
      </w:pPr>
      <w:r>
        <w:separator/>
      </w:r>
    </w:p>
  </w:endnote>
  <w:endnote w:type="continuationSeparator" w:id="0">
    <w:p w14:paraId="1A09A252" w14:textId="77777777" w:rsidR="006C70A7" w:rsidRDefault="006C70A7" w:rsidP="004D5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DC8D7C-F882-4ACC-B052-BEDC960BCBF4}"/>
  </w:font>
  <w:font w:name="Cambria Math">
    <w:panose1 w:val="02040503050406030204"/>
    <w:charset w:val="00"/>
    <w:family w:val="roman"/>
    <w:pitch w:val="variable"/>
    <w:sig w:usb0="E00006FF" w:usb1="420024FF" w:usb2="02000000" w:usb3="00000000" w:csb0="0000019F" w:csb1="00000000"/>
    <w:embedRegular r:id="rId2" w:fontKey="{0A4FDAFE-4D3D-4D61-B70D-0E14197E58D1}"/>
    <w:embedItalic r:id="rId3" w:fontKey="{AAE30C4B-63E2-4D2F-9E5F-A49DA7D31E72}"/>
  </w:font>
  <w:font w:name="Calibri">
    <w:panose1 w:val="020F0502020204030204"/>
    <w:charset w:val="00"/>
    <w:family w:val="swiss"/>
    <w:pitch w:val="variable"/>
    <w:sig w:usb0="E4002EFF" w:usb1="C000247B" w:usb2="00000009" w:usb3="00000000" w:csb0="000001FF" w:csb1="00000000"/>
    <w:embedRegular r:id="rId4" w:fontKey="{D99D15BA-03FA-41D8-9F30-4BED6C5BD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795E3" w14:textId="77777777" w:rsidR="004D5204" w:rsidRDefault="004D5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0A1B" w14:textId="77777777" w:rsidR="004D5204" w:rsidRDefault="004D52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F4C2" w14:textId="77777777" w:rsidR="004D5204" w:rsidRDefault="004D5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FC554" w14:textId="77777777" w:rsidR="006C70A7" w:rsidRDefault="006C70A7" w:rsidP="004D5204">
      <w:pPr>
        <w:spacing w:line="240" w:lineRule="auto"/>
      </w:pPr>
      <w:r>
        <w:separator/>
      </w:r>
    </w:p>
  </w:footnote>
  <w:footnote w:type="continuationSeparator" w:id="0">
    <w:p w14:paraId="4E6C7887" w14:textId="77777777" w:rsidR="006C70A7" w:rsidRDefault="006C70A7" w:rsidP="004D5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D5A59" w14:textId="34666A67" w:rsidR="004D5204" w:rsidRDefault="004D5204">
    <w:pPr>
      <w:pStyle w:val="Header"/>
    </w:pPr>
    <w:r>
      <w:rPr>
        <w:noProof/>
      </w:rPr>
      <w:pict w14:anchorId="05F8C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39033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20F9C" w14:textId="1DE6DE4F" w:rsidR="004D5204" w:rsidRDefault="004D5204">
    <w:pPr>
      <w:pStyle w:val="Header"/>
    </w:pPr>
    <w:r>
      <w:rPr>
        <w:noProof/>
      </w:rPr>
      <w:pict w14:anchorId="5413F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39033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3524E" w14:textId="1B734E6D" w:rsidR="004D5204" w:rsidRDefault="004D5204">
    <w:pPr>
      <w:pStyle w:val="Header"/>
    </w:pPr>
    <w:r>
      <w:rPr>
        <w:noProof/>
      </w:rPr>
      <w:pict w14:anchorId="7E5B9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39032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F5006"/>
    <w:multiLevelType w:val="multilevel"/>
    <w:tmpl w:val="97CC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D9499A"/>
    <w:multiLevelType w:val="hybridMultilevel"/>
    <w:tmpl w:val="DA8CB8D2"/>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B2705C"/>
    <w:multiLevelType w:val="hybridMultilevel"/>
    <w:tmpl w:val="7DA210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B02E3"/>
    <w:multiLevelType w:val="multilevel"/>
    <w:tmpl w:val="F7984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7E45391"/>
    <w:multiLevelType w:val="hybridMultilevel"/>
    <w:tmpl w:val="67BE8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DB6BD6"/>
    <w:multiLevelType w:val="multilevel"/>
    <w:tmpl w:val="82DA8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6D6E3D"/>
    <w:multiLevelType w:val="hybridMultilevel"/>
    <w:tmpl w:val="D550F9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77508"/>
    <w:multiLevelType w:val="hybridMultilevel"/>
    <w:tmpl w:val="EAFAFC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93C64"/>
    <w:multiLevelType w:val="multilevel"/>
    <w:tmpl w:val="34B0C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2F71601"/>
    <w:multiLevelType w:val="multilevel"/>
    <w:tmpl w:val="A2841848"/>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708094C"/>
    <w:multiLevelType w:val="hybridMultilevel"/>
    <w:tmpl w:val="8F74B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F8C3A66"/>
    <w:multiLevelType w:val="multilevel"/>
    <w:tmpl w:val="30741B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0072842"/>
    <w:multiLevelType w:val="hybridMultilevel"/>
    <w:tmpl w:val="698CB8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FE3CB1"/>
    <w:multiLevelType w:val="multilevel"/>
    <w:tmpl w:val="49F0F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FA5596"/>
    <w:multiLevelType w:val="hybridMultilevel"/>
    <w:tmpl w:val="693465E0"/>
    <w:lvl w:ilvl="0" w:tplc="04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3"/>
  </w:num>
  <w:num w:numId="4">
    <w:abstractNumId w:val="11"/>
  </w:num>
  <w:num w:numId="5">
    <w:abstractNumId w:val="0"/>
  </w:num>
  <w:num w:numId="6">
    <w:abstractNumId w:val="13"/>
  </w:num>
  <w:num w:numId="7">
    <w:abstractNumId w:val="10"/>
  </w:num>
  <w:num w:numId="8">
    <w:abstractNumId w:val="14"/>
  </w:num>
  <w:num w:numId="9">
    <w:abstractNumId w:val="1"/>
  </w:num>
  <w:num w:numId="10">
    <w:abstractNumId w:val="9"/>
  </w:num>
  <w:num w:numId="11">
    <w:abstractNumId w:val="12"/>
  </w:num>
  <w:num w:numId="12">
    <w:abstractNumId w:val="6"/>
  </w:num>
  <w:num w:numId="13">
    <w:abstractNumId w:val="2"/>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A6F"/>
    <w:rsid w:val="000201F3"/>
    <w:rsid w:val="00256320"/>
    <w:rsid w:val="004221A8"/>
    <w:rsid w:val="00454827"/>
    <w:rsid w:val="00471DCE"/>
    <w:rsid w:val="004C498D"/>
    <w:rsid w:val="004D5204"/>
    <w:rsid w:val="005354BD"/>
    <w:rsid w:val="00552431"/>
    <w:rsid w:val="006461A9"/>
    <w:rsid w:val="006C70A7"/>
    <w:rsid w:val="007806C2"/>
    <w:rsid w:val="007A71CE"/>
    <w:rsid w:val="007C6E5B"/>
    <w:rsid w:val="007F484A"/>
    <w:rsid w:val="007F6FCE"/>
    <w:rsid w:val="00863B1D"/>
    <w:rsid w:val="009C573F"/>
    <w:rsid w:val="00B87A6F"/>
    <w:rsid w:val="00CA09BD"/>
    <w:rsid w:val="00DC366A"/>
    <w:rsid w:val="00E55B1B"/>
    <w:rsid w:val="00EA0A8D"/>
    <w:rsid w:val="00FC1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FCB397"/>
  <w15:docId w15:val="{D5ECDFCC-55DA-44BE-AB47-9D52A83C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styleId="TableGrid">
    <w:name w:val="Table Grid"/>
    <w:basedOn w:val="TableNormal"/>
    <w:uiPriority w:val="59"/>
    <w:rsid w:val="00691B38"/>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65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pPr>
      <w:keepNext/>
      <w:keepLines/>
      <w:spacing w:after="320"/>
    </w:pPr>
    <w:rPr>
      <w:color w:val="666666"/>
      <w:sz w:val="30"/>
      <w:szCs w:val="30"/>
    </w:rPr>
  </w:style>
  <w:style w:type="table" w:customStyle="1" w:styleId="a4">
    <w:basedOn w:val="TableNormal"/>
    <w:pPr>
      <w:spacing w:line="240" w:lineRule="auto"/>
    </w:pPr>
    <w:rPr>
      <w:rFonts w:ascii="Cambria" w:eastAsia="Cambria" w:hAnsi="Cambria" w:cs="Cambria"/>
    </w:rPr>
    <w:tblPr>
      <w:tblStyleRowBandSize w:val="1"/>
      <w:tblStyleColBandSize w:val="1"/>
    </w:tblPr>
  </w:style>
  <w:style w:type="table" w:customStyle="1" w:styleId="a5">
    <w:basedOn w:val="TableNormal"/>
    <w:pPr>
      <w:spacing w:line="240" w:lineRule="auto"/>
    </w:pPr>
    <w:rPr>
      <w:rFonts w:ascii="Cambria" w:eastAsia="Cambria" w:hAnsi="Cambria" w:cs="Cambria"/>
    </w:rPr>
    <w:tblPr>
      <w:tblStyleRowBandSize w:val="1"/>
      <w:tblStyleColBandSize w:val="1"/>
    </w:tblPr>
  </w:style>
  <w:style w:type="table" w:customStyle="1" w:styleId="a6">
    <w:basedOn w:val="TableNormal"/>
    <w:pPr>
      <w:spacing w:line="240" w:lineRule="auto"/>
    </w:pPr>
    <w:rPr>
      <w:rFonts w:ascii="Cambria" w:eastAsia="Cambria" w:hAnsi="Cambria" w:cs="Cambria"/>
    </w:rPr>
    <w:tblPr>
      <w:tblStyleRowBandSize w:val="1"/>
      <w:tblStyleColBandSize w:val="1"/>
    </w:tblPr>
  </w:style>
  <w:style w:type="table" w:customStyle="1" w:styleId="a7">
    <w:basedOn w:val="TableNormal"/>
    <w:pPr>
      <w:spacing w:line="240" w:lineRule="auto"/>
    </w:pPr>
    <w:rPr>
      <w:rFonts w:ascii="Cambria" w:eastAsia="Cambria" w:hAnsi="Cambria" w:cs="Cambria"/>
    </w:rPr>
    <w:tblPr>
      <w:tblStyleRowBandSize w:val="1"/>
      <w:tblStyleColBandSize w:val="1"/>
    </w:tblPr>
  </w:style>
  <w:style w:type="character" w:styleId="Hyperlink">
    <w:name w:val="Hyperlink"/>
    <w:basedOn w:val="DefaultParagraphFont"/>
    <w:uiPriority w:val="99"/>
    <w:unhideWhenUsed/>
    <w:rsid w:val="00471DCE"/>
    <w:rPr>
      <w:color w:val="0000FF" w:themeColor="hyperlink"/>
      <w:u w:val="single"/>
    </w:rPr>
  </w:style>
  <w:style w:type="paragraph" w:styleId="ListParagraph">
    <w:name w:val="List Paragraph"/>
    <w:basedOn w:val="Normal"/>
    <w:uiPriority w:val="34"/>
    <w:qFormat/>
    <w:rsid w:val="000201F3"/>
    <w:pPr>
      <w:ind w:left="720"/>
      <w:contextualSpacing/>
    </w:pPr>
  </w:style>
  <w:style w:type="paragraph" w:styleId="NoSpacing">
    <w:name w:val="No Spacing"/>
    <w:uiPriority w:val="1"/>
    <w:qFormat/>
    <w:rsid w:val="00FC1A9D"/>
    <w:pPr>
      <w:spacing w:line="240" w:lineRule="auto"/>
    </w:pPr>
    <w:rPr>
      <w:rFonts w:asciiTheme="minorHAnsi" w:eastAsiaTheme="minorHAnsi" w:hAnsiTheme="minorHAnsi" w:cstheme="minorBidi"/>
      <w:kern w:val="2"/>
      <w:lang w:val="en-US"/>
      <w14:ligatures w14:val="standardContextual"/>
    </w:rPr>
  </w:style>
  <w:style w:type="character" w:styleId="UnresolvedMention">
    <w:name w:val="Unresolved Mention"/>
    <w:basedOn w:val="DefaultParagraphFont"/>
    <w:uiPriority w:val="99"/>
    <w:semiHidden/>
    <w:unhideWhenUsed/>
    <w:rsid w:val="00E55B1B"/>
    <w:rPr>
      <w:color w:val="605E5C"/>
      <w:shd w:val="clear" w:color="auto" w:fill="E1DFDD"/>
    </w:rPr>
  </w:style>
  <w:style w:type="paragraph" w:styleId="Header">
    <w:name w:val="header"/>
    <w:basedOn w:val="Normal"/>
    <w:link w:val="HeaderChar"/>
    <w:uiPriority w:val="99"/>
    <w:unhideWhenUsed/>
    <w:rsid w:val="004D5204"/>
    <w:pPr>
      <w:tabs>
        <w:tab w:val="center" w:pos="4680"/>
        <w:tab w:val="right" w:pos="9360"/>
      </w:tabs>
      <w:spacing w:line="240" w:lineRule="auto"/>
    </w:pPr>
  </w:style>
  <w:style w:type="character" w:customStyle="1" w:styleId="HeaderChar">
    <w:name w:val="Header Char"/>
    <w:basedOn w:val="DefaultParagraphFont"/>
    <w:link w:val="Header"/>
    <w:uiPriority w:val="99"/>
    <w:rsid w:val="004D5204"/>
  </w:style>
  <w:style w:type="paragraph" w:styleId="Footer">
    <w:name w:val="footer"/>
    <w:basedOn w:val="Normal"/>
    <w:link w:val="FooterChar"/>
    <w:uiPriority w:val="99"/>
    <w:unhideWhenUsed/>
    <w:rsid w:val="004D5204"/>
    <w:pPr>
      <w:tabs>
        <w:tab w:val="center" w:pos="4680"/>
        <w:tab w:val="right" w:pos="9360"/>
      </w:tabs>
      <w:spacing w:line="240" w:lineRule="auto"/>
    </w:pPr>
  </w:style>
  <w:style w:type="character" w:customStyle="1" w:styleId="FooterChar">
    <w:name w:val="Footer Char"/>
    <w:basedOn w:val="DefaultParagraphFont"/>
    <w:link w:val="Footer"/>
    <w:uiPriority w:val="99"/>
    <w:rsid w:val="004D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7/s10462-025-11320-9" TargetMode="External"/><Relationship Id="rId21" Type="http://schemas.openxmlformats.org/officeDocument/2006/relationships/hyperlink" Target="https://doi.org/10.1016/j.suscom.2025.101222" TargetMode="External"/><Relationship Id="rId42" Type="http://schemas.openxmlformats.org/officeDocument/2006/relationships/hyperlink" Target="https://arxiv.org/abs/2503.11659" TargetMode="External"/><Relationship Id="rId47" Type="http://schemas.openxmlformats.org/officeDocument/2006/relationships/hyperlink" Target="https://doi.org/10.48550/arxiv.2404.07527" TargetMode="External"/><Relationship Id="rId63" Type="http://schemas.openxmlformats.org/officeDocument/2006/relationships/hyperlink" Target="https://arxiv.org/abs/2304.11218" TargetMode="External"/><Relationship Id="rId68" Type="http://schemas.openxmlformats.org/officeDocument/2006/relationships/hyperlink" Target="https://doi.org/10.70382/ajsitr.v8i9.040" TargetMode="External"/><Relationship Id="rId84" Type="http://schemas.openxmlformats.org/officeDocument/2006/relationships/hyperlink" Target="https://doi.org/10.6028/nist.sp.800-82r3" TargetMode="External"/><Relationship Id="rId89" Type="http://schemas.openxmlformats.org/officeDocument/2006/relationships/hyperlink" Target="https://doi.org/10.1145/3462633.3483976" TargetMode="External"/><Relationship Id="rId16" Type="http://schemas.openxmlformats.org/officeDocument/2006/relationships/hyperlink" Target="https://doi.org/10.9734/ajrcos/2025/v18i12788" TargetMode="External"/><Relationship Id="rId11" Type="http://schemas.openxmlformats.org/officeDocument/2006/relationships/image" Target="media/image4.png"/><Relationship Id="rId32" Type="http://schemas.openxmlformats.org/officeDocument/2006/relationships/hyperlink" Target="https://www.sans.org/blog/sans-2025-state-ics-security-report-progress-pressure-path-resilience" TargetMode="External"/><Relationship Id="rId37" Type="http://schemas.openxmlformats.org/officeDocument/2006/relationships/hyperlink" Target="https://doi.org/10.3390/jcp5040101" TargetMode="External"/><Relationship Id="rId53" Type="http://schemas.openxmlformats.org/officeDocument/2006/relationships/hyperlink" Target="https://doi.org/10.1007/s10844-022-00753-1" TargetMode="External"/><Relationship Id="rId58" Type="http://schemas.openxmlformats.org/officeDocument/2006/relationships/hyperlink" Target="https://doi.org/10.9734/jenrr/2025/v17i12482" TargetMode="External"/><Relationship Id="rId74" Type="http://schemas.openxmlformats.org/officeDocument/2006/relationships/hyperlink" Target="https://doi.org/10.63282/3050-922X.IJERET-V5I2P104" TargetMode="External"/><Relationship Id="rId79" Type="http://schemas.openxmlformats.org/officeDocument/2006/relationships/hyperlink" Target="https://arxiv.org/abs/2602.03757" TargetMode="External"/><Relationship Id="rId5" Type="http://schemas.openxmlformats.org/officeDocument/2006/relationships/webSettings" Target="webSettings.xml"/><Relationship Id="rId90" Type="http://schemas.openxmlformats.org/officeDocument/2006/relationships/hyperlink" Target="https://arxiv.org/abs/2308.11894v1" TargetMode="External"/><Relationship Id="rId95" Type="http://schemas.openxmlformats.org/officeDocument/2006/relationships/header" Target="header2.xml"/><Relationship Id="rId22" Type="http://schemas.openxmlformats.org/officeDocument/2006/relationships/hyperlink" Target="https://doi.org/10.1007/s10207-025-01188-9" TargetMode="External"/><Relationship Id="rId27" Type="http://schemas.openxmlformats.org/officeDocument/2006/relationships/hyperlink" Target="https://doi.org/10.1007/s43681-024-00653-w" TargetMode="External"/><Relationship Id="rId43" Type="http://schemas.openxmlformats.org/officeDocument/2006/relationships/hyperlink" Target="https://arxiv.org/abs/2511.21990" TargetMode="External"/><Relationship Id="rId48" Type="http://schemas.openxmlformats.org/officeDocument/2006/relationships/hyperlink" Target="https://nexusconnect.io/articles/is-it-time-to-rethink-the-purdue-model?utm_" TargetMode="External"/><Relationship Id="rId64" Type="http://schemas.openxmlformats.org/officeDocument/2006/relationships/hyperlink" Target="https://doi.org/10.1016/j.cose.2020.102164" TargetMode="External"/><Relationship Id="rId69" Type="http://schemas.openxmlformats.org/officeDocument/2006/relationships/hyperlink" Target="https://doi.org/10.9734/jerr/2026/v28i11784" TargetMode="External"/><Relationship Id="rId80" Type="http://schemas.openxmlformats.org/officeDocument/2006/relationships/hyperlink" Target="https://doi.org/10.3389/frcmn.2025.1727425" TargetMode="External"/><Relationship Id="rId85" Type="http://schemas.openxmlformats.org/officeDocument/2006/relationships/hyperlink" Target="https://doi.org/10.6028/NIST.SP.800-82r2" TargetMode="External"/><Relationship Id="rId12" Type="http://schemas.openxmlformats.org/officeDocument/2006/relationships/image" Target="media/image5.png"/><Relationship Id="rId17" Type="http://schemas.openxmlformats.org/officeDocument/2006/relationships/hyperlink" Target="https://doi.org/10.1007/s10462-025-11422-4" TargetMode="External"/><Relationship Id="rId25" Type="http://schemas.openxmlformats.org/officeDocument/2006/relationships/hyperlink" Target="https://doi.org/10.1038/s41598-025-12775-0" TargetMode="External"/><Relationship Id="rId33" Type="http://schemas.openxmlformats.org/officeDocument/2006/relationships/hyperlink" Target="https://cibersafety.com/en/Purdue-model-for-industrial-network-security/?utm_" TargetMode="External"/><Relationship Id="rId38" Type="http://schemas.openxmlformats.org/officeDocument/2006/relationships/hyperlink" Target="http://nrs.harvard.edu/urn-3:HUL.InstRepos:42160420" TargetMode="External"/><Relationship Id="rId46" Type="http://schemas.openxmlformats.org/officeDocument/2006/relationships/hyperlink" Target="https://doi.org/10.1007/s44163-025-00507-2" TargetMode="External"/><Relationship Id="rId59" Type="http://schemas.openxmlformats.org/officeDocument/2006/relationships/hyperlink" Target="https://doi.org/10.1109/jproc.2015.2512235" TargetMode="External"/><Relationship Id="rId67" Type="http://schemas.openxmlformats.org/officeDocument/2006/relationships/hyperlink" Target="https://doi.org/10.9734/jerr/2026/v28i11783" TargetMode="External"/><Relationship Id="rId20" Type="http://schemas.openxmlformats.org/officeDocument/2006/relationships/hyperlink" Target="https://doi.org/10.9734/ajrcos/2026/v19i1818" TargetMode="External"/><Relationship Id="rId41" Type="http://schemas.openxmlformats.org/officeDocument/2006/relationships/hyperlink" Target="https://doi.org/10.1007/s00287-023-01533-z" TargetMode="External"/><Relationship Id="rId54" Type="http://schemas.openxmlformats.org/officeDocument/2006/relationships/hyperlink" Target="https://doi.org/10.1016/j.cose.2022.102901" TargetMode="External"/><Relationship Id="rId62" Type="http://schemas.openxmlformats.org/officeDocument/2006/relationships/hyperlink" Target="https://doi.org/10.3390/s23218840" TargetMode="External"/><Relationship Id="rId70" Type="http://schemas.openxmlformats.org/officeDocument/2006/relationships/hyperlink" Target="https://doi.org/10.9734/jerr/2026/v28i21786" TargetMode="External"/><Relationship Id="rId75" Type="http://schemas.openxmlformats.org/officeDocument/2006/relationships/hyperlink" Target="https://doi.org/10.32727/8.2023.31" TargetMode="External"/><Relationship Id="rId83" Type="http://schemas.openxmlformats.org/officeDocument/2006/relationships/hyperlink" Target="https://admin.mantechpublications.com/index.php/JIIACS/article/viewFile/2497/1018?utm_" TargetMode="External"/><Relationship Id="rId88" Type="http://schemas.openxmlformats.org/officeDocument/2006/relationships/hyperlink" Target="https://doi.org/10.1016/j.ijcip.2022.100516" TargetMode="External"/><Relationship Id="rId91" Type="http://schemas.openxmlformats.org/officeDocument/2006/relationships/hyperlink" Target="https://doi.org/10.1007/s10207-024-00959-0"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10462-025-11458-6" TargetMode="External"/><Relationship Id="rId28" Type="http://schemas.openxmlformats.org/officeDocument/2006/relationships/hyperlink" Target="https://doi.org/10.17863/cam.22520" TargetMode="External"/><Relationship Id="rId36" Type="http://schemas.openxmlformats.org/officeDocument/2006/relationships/hyperlink" Target="https://doi.org/10.1007/s11229-021-03141-4" TargetMode="External"/><Relationship Id="rId49" Type="http://schemas.openxmlformats.org/officeDocument/2006/relationships/hyperlink" Target="https://www.isa.org/standards-and-publications/isa-standards/isa-iec-62443-series-of-standards" TargetMode="External"/><Relationship Id="rId57" Type="http://schemas.openxmlformats.org/officeDocument/2006/relationships/hyperlink" Target="https://doi.org/10.1007/s11023-024-09701-0" TargetMode="External"/><Relationship Id="rId10" Type="http://schemas.openxmlformats.org/officeDocument/2006/relationships/image" Target="media/image3.png"/><Relationship Id="rId31" Type="http://schemas.openxmlformats.org/officeDocument/2006/relationships/hyperlink" Target="https://proceedings.mlr.press/v202/chen23k.html" TargetMode="External"/><Relationship Id="rId44" Type="http://schemas.openxmlformats.org/officeDocument/2006/relationships/hyperlink" Target="https://doi.org/10.3389/frai.2025.1728738" TargetMode="External"/><Relationship Id="rId52" Type="http://schemas.openxmlformats.org/officeDocument/2006/relationships/hyperlink" Target="https://doi.org/10.3390/math12243900" TargetMode="External"/><Relationship Id="rId60" Type="http://schemas.openxmlformats.org/officeDocument/2006/relationships/hyperlink" Target="https://arxiv.org/abs/2302.12389" TargetMode="External"/><Relationship Id="rId65" Type="http://schemas.openxmlformats.org/officeDocument/2006/relationships/hyperlink" Target="https://doi.org/10.9734/jerr/2025/v27i21390" TargetMode="External"/><Relationship Id="rId73" Type="http://schemas.openxmlformats.org/officeDocument/2006/relationships/hyperlink" Target="https://doi.org/10.47191/etj/v11i01.35" TargetMode="External"/><Relationship Id="rId78" Type="http://schemas.openxmlformats.org/officeDocument/2006/relationships/hyperlink" Target="https://doi.org/10.1016/j.knosys.2023.110273" TargetMode="External"/><Relationship Id="rId81" Type="http://schemas.openxmlformats.org/officeDocument/2006/relationships/hyperlink" Target="https://doi.org/10.3390/electronics15010020" TargetMode="External"/><Relationship Id="rId86" Type="http://schemas.openxmlformats.org/officeDocument/2006/relationships/hyperlink" Target="https://doi.org/10.1016/j.rser.2025.116218"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07/s10207-025-01158-1" TargetMode="External"/><Relationship Id="rId39" Type="http://schemas.openxmlformats.org/officeDocument/2006/relationships/hyperlink" Target="https://jaatun.no/papers/2024/Zones-and-Conduits.pdf?utm_" TargetMode="External"/><Relationship Id="rId34" Type="http://schemas.openxmlformats.org/officeDocument/2006/relationships/hyperlink" Target="https://www.cisa.gov/resources-tools/resources/principles-secure-integration-artificial-intelligence-operational-technology" TargetMode="External"/><Relationship Id="rId50" Type="http://schemas.openxmlformats.org/officeDocument/2006/relationships/hyperlink" Target="https://doi.org/10.3389/fenrg.2023.1095303" TargetMode="External"/><Relationship Id="rId55" Type="http://schemas.openxmlformats.org/officeDocument/2006/relationships/hyperlink" Target="https://doi.org/10.1016/j.telpol.2025.102976" TargetMode="External"/><Relationship Id="rId76" Type="http://schemas.openxmlformats.org/officeDocument/2006/relationships/hyperlink" Target="https://doi.org/10.1016/j.ijcip.2024.100719"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9734/ajrcos/2026/v19i1817" TargetMode="External"/><Relationship Id="rId92" Type="http://schemas.openxmlformats.org/officeDocument/2006/relationships/hyperlink" Target="https://doi.org/10.32604/cmc.2025.073482" TargetMode="External"/><Relationship Id="rId2" Type="http://schemas.openxmlformats.org/officeDocument/2006/relationships/numbering" Target="numbering.xml"/><Relationship Id="rId29" Type="http://schemas.openxmlformats.org/officeDocument/2006/relationships/hyperlink" Target="https://doi.org/10.3390/fi16110418" TargetMode="External"/><Relationship Id="rId24" Type="http://schemas.openxmlformats.org/officeDocument/2006/relationships/hyperlink" Target="https://doi.org/10.1016/j.jisa.2020.102717" TargetMode="External"/><Relationship Id="rId40" Type="http://schemas.openxmlformats.org/officeDocument/2006/relationships/hyperlink" Target="https://www.usenix.org/system/files/soups2025-fung.pdf" TargetMode="External"/><Relationship Id="rId45" Type="http://schemas.openxmlformats.org/officeDocument/2006/relationships/hyperlink" Target="https://doi.org/10.3390/encyclopedia5040201" TargetMode="External"/><Relationship Id="rId66" Type="http://schemas.openxmlformats.org/officeDocument/2006/relationships/hyperlink" Target="https://doi.org/10.9734/ajrcos/2026/v19i1807" TargetMode="External"/><Relationship Id="rId87" Type="http://schemas.openxmlformats.org/officeDocument/2006/relationships/hyperlink" Target="https://doi.org/10.1093/9780198945215.003.0155" TargetMode="External"/><Relationship Id="rId61" Type="http://schemas.openxmlformats.org/officeDocument/2006/relationships/hyperlink" Target="https://doi.org/10.1080/23311975.2025.2518496" TargetMode="External"/><Relationship Id="rId82" Type="http://schemas.openxmlformats.org/officeDocument/2006/relationships/hyperlink" Target="https://doi.org/10.1038/s41586-023-06647-8" TargetMode="External"/><Relationship Id="rId19" Type="http://schemas.openxmlformats.org/officeDocument/2006/relationships/hyperlink" Target="https://doi.org/10.1186/s42400-023-00200-w" TargetMode="External"/><Relationship Id="rId14" Type="http://schemas.openxmlformats.org/officeDocument/2006/relationships/image" Target="media/image7.png"/><Relationship Id="rId30" Type="http://schemas.openxmlformats.org/officeDocument/2006/relationships/hyperlink" Target="https://doi.org/10.3390/info13070322" TargetMode="External"/><Relationship Id="rId35" Type="http://schemas.openxmlformats.org/officeDocument/2006/relationships/hyperlink" Target="https://doi.org/10.30574/gscarr.2025.22.2.0036" TargetMode="External"/><Relationship Id="rId56" Type="http://schemas.openxmlformats.org/officeDocument/2006/relationships/hyperlink" Target="https://doi.org/10.1145/3494107.3522773" TargetMode="External"/><Relationship Id="rId77" Type="http://schemas.openxmlformats.org/officeDocument/2006/relationships/hyperlink" Target="https://doi.org/10.1016/j.neunet.2025.107842"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so.org/standard/42001.html" TargetMode="External"/><Relationship Id="rId72" Type="http://schemas.openxmlformats.org/officeDocument/2006/relationships/hyperlink" Target="https://doi.org/10.9734/jerr/2026/v28i21787" TargetMode="External"/><Relationship Id="rId93" Type="http://schemas.openxmlformats.org/officeDocument/2006/relationships/hyperlink" Target="https://doi.org/10.1007/978-3-030-29662-9_15" TargetMode="External"/><Relationship Id="rId98" Type="http://schemas.openxmlformats.org/officeDocument/2006/relationships/header" Target="header3.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7B5DDxO+SHGBm4QWE0lCD3z0A==">CgMxLjAyDmgucXN5NGs5dW9lcWM2Mg5oLnJ3Ym8zcnlxcHl2eTIOaC45bGZwZ2l6NzBubGsyDmgucnBvZGtyY3ViYnNjMg5oLnFwcTNjOHZoZDZ4MzIOaC45cDV3eWpxNndkNjIyDmguNjN1bDlscnduZGppMg5oLmp1amhoODNmNzI1NDIOaC4zdXB3YTVmMHJiZTMyDmguaGxvbnMwbDZ3MzVvMg5oLm45Ymx4aDZ3dmNzNTIOaC4yejhzZmxhd21hMHcyDmguc3Rkb3pvM2w1ZDMwOAByITF4R2xFNFZlYW9Kc0F1QXptQS1rZGhVZWc2bk1McWh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37</Pages>
  <Words>12255</Words>
  <Characters>69855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19</cp:revision>
  <dcterms:created xsi:type="dcterms:W3CDTF">2026-02-23T15:02:00Z</dcterms:created>
  <dcterms:modified xsi:type="dcterms:W3CDTF">2026-03-02T12:16:00Z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eb0278dc-9d71-4fe7-90c0-a4a65817c16a</vt:lpwstr>
  </property>
</Properties>
</file>