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9AC95" w14:textId="4931B04C" w:rsidR="009F4017" w:rsidRPr="009F4017" w:rsidRDefault="009F4017" w:rsidP="006C0725">
      <w:pPr>
        <w:spacing w:line="256" w:lineRule="auto"/>
        <w:rPr>
          <w:rFonts w:eastAsia="DengXian"/>
          <w:b/>
          <w:bCs/>
          <w:strike w:val="0"/>
          <w:color w:val="0F1115"/>
          <w:u w:val="single"/>
          <w:shd w:val="clear" w:color="auto" w:fill="FFFFFF"/>
        </w:rPr>
      </w:pPr>
      <w:r w:rsidRPr="009F4017">
        <w:rPr>
          <w:rFonts w:eastAsia="DengXian"/>
          <w:b/>
          <w:bCs/>
          <w:strike w:val="0"/>
          <w:color w:val="0F1115"/>
          <w:u w:val="single"/>
          <w:shd w:val="clear" w:color="auto" w:fill="FFFFFF"/>
        </w:rPr>
        <w:t>ORIGINAL RESEARCH ARTICLE</w:t>
      </w:r>
    </w:p>
    <w:p w14:paraId="2162FD62" w14:textId="0A3FEF3D" w:rsidR="006C0725" w:rsidRPr="006C0725" w:rsidRDefault="006C0725" w:rsidP="006C0725">
      <w:pPr>
        <w:spacing w:line="256" w:lineRule="auto"/>
        <w:rPr>
          <w:rFonts w:eastAsia="DengXian"/>
          <w:strike w:val="0"/>
          <w:vertAlign w:val="superscript"/>
        </w:rPr>
      </w:pPr>
      <w:r w:rsidRPr="006C0725">
        <w:rPr>
          <w:rFonts w:eastAsia="DengXian"/>
          <w:b/>
          <w:bCs/>
          <w:strike w:val="0"/>
          <w:color w:val="0F1115"/>
          <w:shd w:val="clear" w:color="auto" w:fill="FFFFFF"/>
        </w:rPr>
        <w:t>Epidemiological Trends and Projected Burden of Hypertension in Rivers State, Nigeria, 2015-2034</w:t>
      </w:r>
    </w:p>
    <w:p w14:paraId="44C8FCBD" w14:textId="77777777" w:rsidR="00F33991" w:rsidRDefault="00F33991" w:rsidP="000A4A2D">
      <w:pPr>
        <w:rPr>
          <w:b/>
          <w:bCs/>
          <w:strike w:val="0"/>
        </w:rPr>
      </w:pPr>
    </w:p>
    <w:p w14:paraId="3E50D7E1" w14:textId="7B96019E" w:rsidR="000A4A2D" w:rsidRPr="000A4A2D" w:rsidRDefault="000A4A2D" w:rsidP="000A4A2D">
      <w:pPr>
        <w:rPr>
          <w:b/>
          <w:bCs/>
          <w:strike w:val="0"/>
        </w:rPr>
      </w:pPr>
      <w:r w:rsidRPr="000A4A2D">
        <w:rPr>
          <w:b/>
          <w:bCs/>
          <w:strike w:val="0"/>
        </w:rPr>
        <w:t>Abstract</w:t>
      </w:r>
    </w:p>
    <w:p w14:paraId="3E76AD07" w14:textId="098E8D72" w:rsidR="000A4A2D" w:rsidRPr="000A4A2D" w:rsidRDefault="000A4A2D" w:rsidP="000A4A2D">
      <w:pPr>
        <w:rPr>
          <w:strike w:val="0"/>
        </w:rPr>
      </w:pPr>
      <w:r w:rsidRPr="000A4A2D">
        <w:rPr>
          <w:b/>
          <w:bCs/>
          <w:strike w:val="0"/>
        </w:rPr>
        <w:t>Background:</w:t>
      </w:r>
      <w:r w:rsidRPr="000A4A2D">
        <w:rPr>
          <w:strike w:val="0"/>
        </w:rPr>
        <w:t xml:space="preserve"> Hypertension is the leading modifiable risk factor for cardiovascular morbidity and mortality globally, with </w:t>
      </w:r>
      <w:r w:rsidR="008C0697">
        <w:rPr>
          <w:strike w:val="0"/>
        </w:rPr>
        <w:t xml:space="preserve">a </w:t>
      </w:r>
      <w:r w:rsidRPr="000A4A2D">
        <w:rPr>
          <w:strike w:val="0"/>
        </w:rPr>
        <w:t xml:space="preserve">rising burden in sub-Saharan Africa. This study </w:t>
      </w:r>
      <w:r w:rsidR="007614FF">
        <w:rPr>
          <w:strike w:val="0"/>
        </w:rPr>
        <w:t>assessed</w:t>
      </w:r>
      <w:r w:rsidRPr="000A4A2D">
        <w:rPr>
          <w:strike w:val="0"/>
        </w:rPr>
        <w:t xml:space="preserve"> ten-year trends in hypertension prevalence, awareness, treatment, and control in Rivers State, Nigeria, and projected future burden to 2034.</w:t>
      </w:r>
    </w:p>
    <w:p w14:paraId="69D8BAA9" w14:textId="1649DC55" w:rsidR="000A4A2D" w:rsidRPr="000A4A2D" w:rsidRDefault="000A4A2D" w:rsidP="000A4A2D">
      <w:pPr>
        <w:rPr>
          <w:strike w:val="0"/>
        </w:rPr>
      </w:pPr>
      <w:r w:rsidRPr="000A4A2D">
        <w:rPr>
          <w:b/>
          <w:bCs/>
          <w:strike w:val="0"/>
        </w:rPr>
        <w:t>Methods:</w:t>
      </w:r>
      <w:r w:rsidRPr="000A4A2D">
        <w:rPr>
          <w:strike w:val="0"/>
        </w:rPr>
        <w:t xml:space="preserve"> A retrospective trend analysis was conducted using routinely collected health facility records, state surveillance reports, and population-based survey data from 2015 to 2024. Data from 156 health facilities across all 23 Local Government Areas were </w:t>
      </w:r>
      <w:proofErr w:type="spellStart"/>
      <w:r w:rsidR="008C0697">
        <w:rPr>
          <w:strike w:val="0"/>
        </w:rPr>
        <w:t>analysed</w:t>
      </w:r>
      <w:proofErr w:type="spellEnd"/>
      <w:r w:rsidRPr="000A4A2D">
        <w:rPr>
          <w:strike w:val="0"/>
        </w:rPr>
        <w:t xml:space="preserve">, comprising 2,847,693 adult encounters. Hypertension was defined as blood pressure ≥140/90 mmHg or current antihypertensive medication use. </w:t>
      </w:r>
      <w:r w:rsidR="008C0697" w:rsidRPr="008C0697">
        <w:rPr>
          <w:strike w:val="0"/>
        </w:rPr>
        <w:t xml:space="preserve">Data analysis was conducted with </w:t>
      </w:r>
      <w:proofErr w:type="gramStart"/>
      <w:r w:rsidR="008C0697" w:rsidRPr="008C0697">
        <w:rPr>
          <w:strike w:val="0"/>
        </w:rPr>
        <w:t>SPSS  version</w:t>
      </w:r>
      <w:proofErr w:type="gramEnd"/>
      <w:r w:rsidR="008C0697" w:rsidRPr="008C0697">
        <w:rPr>
          <w:strike w:val="0"/>
        </w:rPr>
        <w:t xml:space="preserve"> 27. </w:t>
      </w:r>
      <w:r w:rsidRPr="000A4A2D">
        <w:rPr>
          <w:strike w:val="0"/>
        </w:rPr>
        <w:t xml:space="preserve">Temporal trends were assessed using </w:t>
      </w:r>
      <w:proofErr w:type="spellStart"/>
      <w:r w:rsidRPr="000A4A2D">
        <w:rPr>
          <w:strike w:val="0"/>
        </w:rPr>
        <w:t>joinpoint</w:t>
      </w:r>
      <w:proofErr w:type="spellEnd"/>
      <w:r w:rsidRPr="000A4A2D">
        <w:rPr>
          <w:strike w:val="0"/>
        </w:rPr>
        <w:t xml:space="preserve"> regression, with projection modelling (2025-2034) </w:t>
      </w:r>
      <w:r w:rsidR="00FA258F">
        <w:rPr>
          <w:strike w:val="0"/>
        </w:rPr>
        <w:t>using</w:t>
      </w:r>
      <w:r w:rsidRPr="000A4A2D">
        <w:rPr>
          <w:strike w:val="0"/>
        </w:rPr>
        <w:t xml:space="preserve"> </w:t>
      </w:r>
      <w:proofErr w:type="spellStart"/>
      <w:r w:rsidRPr="000A4A2D">
        <w:rPr>
          <w:strike w:val="0"/>
        </w:rPr>
        <w:t>A</w:t>
      </w:r>
      <w:r w:rsidR="007064C8">
        <w:rPr>
          <w:strike w:val="0"/>
        </w:rPr>
        <w:t>utoRegressive</w:t>
      </w:r>
      <w:proofErr w:type="spellEnd"/>
      <w:r w:rsidR="007064C8">
        <w:rPr>
          <w:strike w:val="0"/>
        </w:rPr>
        <w:t xml:space="preserve"> Integrated Moving Average</w:t>
      </w:r>
      <w:r w:rsidRPr="000A4A2D">
        <w:rPr>
          <w:strike w:val="0"/>
        </w:rPr>
        <w:t xml:space="preserve"> and population-based methods under three scenarios.</w:t>
      </w:r>
    </w:p>
    <w:p w14:paraId="3A7DCC6C" w14:textId="07762537" w:rsidR="000A4A2D" w:rsidRPr="000A4A2D" w:rsidRDefault="000A4A2D" w:rsidP="000A4A2D">
      <w:pPr>
        <w:rPr>
          <w:strike w:val="0"/>
        </w:rPr>
      </w:pPr>
      <w:r w:rsidRPr="000A4A2D">
        <w:rPr>
          <w:b/>
          <w:bCs/>
          <w:strike w:val="0"/>
        </w:rPr>
        <w:t>Results:</w:t>
      </w:r>
      <w:r w:rsidRPr="000A4A2D">
        <w:rPr>
          <w:strike w:val="0"/>
        </w:rPr>
        <w:t> Hypertension prevalence increased from 24.8% (95% CI: 24.1-25.5) in 2015 to 33.7% (95% CI: 32.9-34.5) in 2024 (</w:t>
      </w:r>
      <w:r w:rsidRPr="00DB046B">
        <w:rPr>
          <w:strike w:val="0"/>
        </w:rPr>
        <w:t>Average Annual Percent Change</w:t>
      </w:r>
      <w:r w:rsidRPr="000A4A2D">
        <w:rPr>
          <w:strike w:val="0"/>
        </w:rPr>
        <w:t>: 3.2%; p&lt;0.001). Prevalence was higher among males (35.2% vs. 30.1%), urban residents (35.8% vs. 29.2%), and increased with age. Awareness improved modestly from 26.3% to 34.8% (p&lt;0.001), treatment from 18.4% to 24.7% (p&lt;0.001), and control among treated individuals from 12.1% to 14.3% (p=0.03). Only 3.5% of all hypertensives achieved blood pressure control in 2024. Projections indicate the number of adults with hypertension will increase by 47-55% to 2.78-2.94 million by 2034, with uncontrolled cases rising from 1.82 million to 2.68 million.</w:t>
      </w:r>
    </w:p>
    <w:p w14:paraId="07181BB6" w14:textId="77777777" w:rsidR="000A4A2D" w:rsidRPr="000A4A2D" w:rsidRDefault="000A4A2D" w:rsidP="000A4A2D">
      <w:pPr>
        <w:rPr>
          <w:strike w:val="0"/>
        </w:rPr>
      </w:pPr>
      <w:r w:rsidRPr="000A4A2D">
        <w:rPr>
          <w:b/>
          <w:bCs/>
          <w:strike w:val="0"/>
        </w:rPr>
        <w:t>Conclusion:</w:t>
      </w:r>
      <w:r w:rsidRPr="000A4A2D">
        <w:rPr>
          <w:strike w:val="0"/>
        </w:rPr>
        <w:t> Hypertension burden in Rivers State is high, accelerating, and projected to increase substantially. Profound gaps in awareness, treatment, and control leave most hypertensives at risk for preventable complications. Urgent health system strengthening and population-level prevention strategies are needed.</w:t>
      </w:r>
    </w:p>
    <w:p w14:paraId="42EBCBBD" w14:textId="3D96EBF2" w:rsidR="000A4A2D" w:rsidRPr="000A4A2D" w:rsidRDefault="000A4A2D" w:rsidP="000A4A2D">
      <w:pPr>
        <w:rPr>
          <w:strike w:val="0"/>
        </w:rPr>
      </w:pPr>
      <w:r w:rsidRPr="000A4A2D">
        <w:rPr>
          <w:b/>
          <w:bCs/>
          <w:strike w:val="0"/>
        </w:rPr>
        <w:t>Keywords:</w:t>
      </w:r>
      <w:r w:rsidRPr="000A4A2D">
        <w:rPr>
          <w:strike w:val="0"/>
        </w:rPr>
        <w:t> Hypertension</w:t>
      </w:r>
      <w:r w:rsidR="0039759D">
        <w:rPr>
          <w:strike w:val="0"/>
        </w:rPr>
        <w:t xml:space="preserve">, </w:t>
      </w:r>
      <w:r w:rsidRPr="000A4A2D">
        <w:rPr>
          <w:strike w:val="0"/>
        </w:rPr>
        <w:t>Prevalence</w:t>
      </w:r>
      <w:r w:rsidR="0039759D">
        <w:rPr>
          <w:strike w:val="0"/>
        </w:rPr>
        <w:t>,</w:t>
      </w:r>
      <w:r w:rsidRPr="000A4A2D">
        <w:rPr>
          <w:strike w:val="0"/>
        </w:rPr>
        <w:t xml:space="preserve"> Awareness</w:t>
      </w:r>
      <w:r w:rsidR="0039759D">
        <w:rPr>
          <w:strike w:val="0"/>
        </w:rPr>
        <w:t>,</w:t>
      </w:r>
      <w:r w:rsidRPr="000A4A2D">
        <w:rPr>
          <w:strike w:val="0"/>
        </w:rPr>
        <w:t xml:space="preserve"> Treatment</w:t>
      </w:r>
      <w:r w:rsidR="0039759D">
        <w:rPr>
          <w:strike w:val="0"/>
        </w:rPr>
        <w:t>,</w:t>
      </w:r>
      <w:r w:rsidRPr="000A4A2D">
        <w:rPr>
          <w:strike w:val="0"/>
        </w:rPr>
        <w:t xml:space="preserve"> Control</w:t>
      </w:r>
      <w:r w:rsidR="0039759D">
        <w:rPr>
          <w:strike w:val="0"/>
        </w:rPr>
        <w:t>,</w:t>
      </w:r>
      <w:r w:rsidRPr="000A4A2D">
        <w:rPr>
          <w:strike w:val="0"/>
        </w:rPr>
        <w:t xml:space="preserve"> Disease projections</w:t>
      </w:r>
      <w:r w:rsidR="0039759D">
        <w:rPr>
          <w:strike w:val="0"/>
        </w:rPr>
        <w:t xml:space="preserve">, </w:t>
      </w:r>
      <w:r w:rsidRPr="000A4A2D">
        <w:rPr>
          <w:strike w:val="0"/>
        </w:rPr>
        <w:t>Rivers State</w:t>
      </w:r>
      <w:r w:rsidR="0039759D">
        <w:rPr>
          <w:strike w:val="0"/>
        </w:rPr>
        <w:t>,</w:t>
      </w:r>
      <w:r w:rsidRPr="000A4A2D">
        <w:rPr>
          <w:strike w:val="0"/>
        </w:rPr>
        <w:t xml:space="preserve"> Nigeria</w:t>
      </w:r>
    </w:p>
    <w:p w14:paraId="7BF87587" w14:textId="77777777" w:rsidR="000A4A2D" w:rsidRPr="00DB046B" w:rsidRDefault="000A4A2D" w:rsidP="00121700">
      <w:pPr>
        <w:rPr>
          <w:strike w:val="0"/>
        </w:rPr>
      </w:pPr>
    </w:p>
    <w:p w14:paraId="3194FAD3" w14:textId="77777777" w:rsidR="000B1BD3" w:rsidRDefault="000B1BD3" w:rsidP="00121700">
      <w:pPr>
        <w:rPr>
          <w:b/>
          <w:bCs/>
          <w:strike w:val="0"/>
        </w:rPr>
      </w:pPr>
    </w:p>
    <w:p w14:paraId="0273EE8A" w14:textId="77777777" w:rsidR="000B1BD3" w:rsidRDefault="000B1BD3" w:rsidP="00121700">
      <w:pPr>
        <w:rPr>
          <w:b/>
          <w:bCs/>
          <w:strike w:val="0"/>
        </w:rPr>
      </w:pPr>
    </w:p>
    <w:p w14:paraId="756522F0" w14:textId="3B673BF5" w:rsidR="000A4A2D" w:rsidRPr="00DB046B" w:rsidRDefault="00F27520" w:rsidP="00121700">
      <w:pPr>
        <w:rPr>
          <w:b/>
          <w:bCs/>
          <w:strike w:val="0"/>
        </w:rPr>
      </w:pPr>
      <w:r w:rsidRPr="00F27520">
        <w:rPr>
          <w:b/>
          <w:bCs/>
          <w:strike w:val="0"/>
        </w:rPr>
        <w:t>Introduction</w:t>
      </w:r>
    </w:p>
    <w:p w14:paraId="04ACE956" w14:textId="05C1C311" w:rsidR="00121700" w:rsidRPr="00DB046B" w:rsidRDefault="00121700" w:rsidP="00121700">
      <w:pPr>
        <w:rPr>
          <w:strike w:val="0"/>
        </w:rPr>
      </w:pPr>
      <w:r w:rsidRPr="00DB046B">
        <w:rPr>
          <w:strike w:val="0"/>
        </w:rPr>
        <w:t xml:space="preserve">Hypertension represents one of the most formidable public health challenges of the twenty-first century. The Global Burden of Disease Study 2021 reveals that cardiovascular diseases remain the leading cause of death worldwide, accounting for approximately 19.8 million annual deaths, with rates rising in low- and middle-income regions (GBD 2021 </w:t>
      </w:r>
      <w:r w:rsidRPr="00DB046B">
        <w:rPr>
          <w:strike w:val="0"/>
        </w:rPr>
        <w:lastRenderedPageBreak/>
        <w:t>Cardiovascular Diseases Collaborators, 2024). Hypertension, the primary modifiable risk factor for cardiovascular mortality, affects an estimated 1.28 billion adults globally, with nearly half unaware of their condition (World Health Organization, 2023). Achieving global hypertension control targets could avert 76 million deaths by 2050, yet progress remains slow in regions where health systems are least equipped to respond (World Health Organization, 2023). Without accelerated action, the Sustainable Development Goal target of reducing premature NCD mortality by one-third will remain unattainable in many low-income countries (NCD Countdown 2030 Collaborators, 2020).</w:t>
      </w:r>
    </w:p>
    <w:p w14:paraId="78803E30" w14:textId="1E52EE07" w:rsidR="00121700" w:rsidRPr="00DB046B" w:rsidRDefault="00121700" w:rsidP="00121700">
      <w:pPr>
        <w:rPr>
          <w:strike w:val="0"/>
        </w:rPr>
      </w:pPr>
      <w:r w:rsidRPr="00DB046B">
        <w:rPr>
          <w:strike w:val="0"/>
        </w:rPr>
        <w:t>In sub-Saharan Africa, the hypertension burden is escalating rapidly. A meta-analysis of 33 studies estimated pooled hypertension prevalence at 30.8%, with substantial regional variation (</w:t>
      </w:r>
      <w:proofErr w:type="spellStart"/>
      <w:r w:rsidRPr="00DB046B">
        <w:rPr>
          <w:strike w:val="0"/>
        </w:rPr>
        <w:t>Ataklte</w:t>
      </w:r>
      <w:proofErr w:type="spellEnd"/>
      <w:r w:rsidRPr="00DB046B">
        <w:rPr>
          <w:strike w:val="0"/>
        </w:rPr>
        <w:t xml:space="preserve"> et al., 2020). More concerning are the profound care cascade gaps: fewer than 27% of hypertensives were aware of their diagnosis, less than 18% were receiving treatment, and only 7% had achieved blood pressure control (</w:t>
      </w:r>
      <w:proofErr w:type="spellStart"/>
      <w:r w:rsidRPr="00DB046B">
        <w:rPr>
          <w:strike w:val="0"/>
        </w:rPr>
        <w:t>Ataklte</w:t>
      </w:r>
      <w:proofErr w:type="spellEnd"/>
      <w:r w:rsidRPr="00DB046B">
        <w:rPr>
          <w:strike w:val="0"/>
        </w:rPr>
        <w:t xml:space="preserve"> et al., 2020). The New England Journal of Medicine's global trends analysis confirmed that sub-Saharan Africa bears the highest hypertension rates, with fewer than 40% aware and fewer than 15% achieving control (</w:t>
      </w:r>
      <w:r w:rsidR="009150BE">
        <w:rPr>
          <w:strike w:val="0"/>
        </w:rPr>
        <w:t>NCD-</w:t>
      </w:r>
      <w:proofErr w:type="spellStart"/>
      <w:r w:rsidR="009150BE">
        <w:rPr>
          <w:strike w:val="0"/>
        </w:rPr>
        <w:t>Ris</w:t>
      </w:r>
      <w:r w:rsidR="00110343">
        <w:rPr>
          <w:strike w:val="0"/>
        </w:rPr>
        <w:t>C</w:t>
      </w:r>
      <w:proofErr w:type="spellEnd"/>
      <w:r w:rsidR="009150BE">
        <w:rPr>
          <w:strike w:val="0"/>
        </w:rPr>
        <w:t xml:space="preserve"> </w:t>
      </w:r>
      <w:r w:rsidRPr="00DB046B">
        <w:rPr>
          <w:strike w:val="0"/>
        </w:rPr>
        <w:t>et al., 2021). These gaps ensure that hypertensive complications</w:t>
      </w:r>
      <w:r w:rsidR="009150BE">
        <w:rPr>
          <w:strike w:val="0"/>
        </w:rPr>
        <w:t xml:space="preserve"> (</w:t>
      </w:r>
      <w:r w:rsidRPr="00DB046B">
        <w:rPr>
          <w:strike w:val="0"/>
        </w:rPr>
        <w:t>stroke, heart failure, renal disease</w:t>
      </w:r>
      <w:r w:rsidR="009150BE">
        <w:rPr>
          <w:strike w:val="0"/>
        </w:rPr>
        <w:t xml:space="preserve">) </w:t>
      </w:r>
      <w:r w:rsidRPr="00DB046B">
        <w:rPr>
          <w:strike w:val="0"/>
        </w:rPr>
        <w:t>will continue mounting unless detection and management efforts are substantially scaled.</w:t>
      </w:r>
    </w:p>
    <w:p w14:paraId="6ADEAF3F" w14:textId="0F96191F" w:rsidR="00121700" w:rsidRPr="00DB046B" w:rsidRDefault="00121700" w:rsidP="00121700">
      <w:pPr>
        <w:rPr>
          <w:strike w:val="0"/>
        </w:rPr>
      </w:pPr>
      <w:r w:rsidRPr="00DB046B">
        <w:rPr>
          <w:strike w:val="0"/>
        </w:rPr>
        <w:t>West Africa exemplifies this epidemic. Hypertension prevalence across ECOWAS ranges from 19.3% in rural Burkina Faso to 46.4% in urban Nigeria, with highest rates in cities undergoing rapid lifestyle transitions (</w:t>
      </w:r>
      <w:proofErr w:type="spellStart"/>
      <w:r w:rsidRPr="00DB046B">
        <w:rPr>
          <w:strike w:val="0"/>
        </w:rPr>
        <w:t>Bosu</w:t>
      </w:r>
      <w:proofErr w:type="spellEnd"/>
      <w:r w:rsidRPr="00DB046B">
        <w:rPr>
          <w:strike w:val="0"/>
        </w:rPr>
        <w:t>, 2019). Health systems remain oriented toward acute conditions, ill-prepared for chronic hypertension management (</w:t>
      </w:r>
      <w:proofErr w:type="spellStart"/>
      <w:r w:rsidRPr="00DB046B">
        <w:rPr>
          <w:strike w:val="0"/>
        </w:rPr>
        <w:t>Bosu</w:t>
      </w:r>
      <w:proofErr w:type="spellEnd"/>
      <w:r w:rsidRPr="00DB046B">
        <w:rPr>
          <w:strike w:val="0"/>
        </w:rPr>
        <w:t xml:space="preserve"> &amp; </w:t>
      </w:r>
      <w:proofErr w:type="spellStart"/>
      <w:r w:rsidRPr="00DB046B">
        <w:rPr>
          <w:strike w:val="0"/>
        </w:rPr>
        <w:t>Aheto</w:t>
      </w:r>
      <w:proofErr w:type="spellEnd"/>
      <w:r w:rsidRPr="00DB046B">
        <w:rPr>
          <w:strike w:val="0"/>
        </w:rPr>
        <w:t>, 2021). Among diagnosed hypertensives in five West African countries, only 28.7% were aware, 18.2% treated, and 7.1% controlled (</w:t>
      </w:r>
      <w:proofErr w:type="spellStart"/>
      <w:r w:rsidRPr="00DB046B">
        <w:rPr>
          <w:strike w:val="0"/>
        </w:rPr>
        <w:t>Antignac</w:t>
      </w:r>
      <w:proofErr w:type="spellEnd"/>
      <w:r w:rsidRPr="00DB046B">
        <w:rPr>
          <w:strike w:val="0"/>
        </w:rPr>
        <w:t xml:space="preserve"> et al., 2020). The World Health Organization projects cumulative economic losses from NCDs in low- and middle-income countries will exceed $7 trillion by 2025, with hypertension accounting for </w:t>
      </w:r>
      <w:r w:rsidR="003A5073" w:rsidRPr="00DB046B">
        <w:rPr>
          <w:strike w:val="0"/>
        </w:rPr>
        <w:t xml:space="preserve">a </w:t>
      </w:r>
      <w:r w:rsidRPr="00DB046B">
        <w:rPr>
          <w:strike w:val="0"/>
        </w:rPr>
        <w:t>substantial proportion through premature mortality, disability, and healthcare expenditure (World Health Organization, 2022).</w:t>
      </w:r>
    </w:p>
    <w:p w14:paraId="7BF5EECE" w14:textId="52A31DFD" w:rsidR="00121700" w:rsidRPr="00DB046B" w:rsidRDefault="00121700" w:rsidP="00121700">
      <w:pPr>
        <w:rPr>
          <w:strike w:val="0"/>
        </w:rPr>
      </w:pPr>
      <w:r w:rsidRPr="00DB046B">
        <w:rPr>
          <w:strike w:val="0"/>
        </w:rPr>
        <w:t xml:space="preserve">Nigeria, Africa's most populous nation with over 200 million people, sits at this epidemic's </w:t>
      </w:r>
      <w:proofErr w:type="spellStart"/>
      <w:r w:rsidRPr="00DB046B">
        <w:rPr>
          <w:strike w:val="0"/>
        </w:rPr>
        <w:t>epicentre</w:t>
      </w:r>
      <w:proofErr w:type="spellEnd"/>
      <w:r w:rsidRPr="00DB046B">
        <w:rPr>
          <w:strike w:val="0"/>
        </w:rPr>
        <w:t>. A nationally representative study estimated hypertension prevalence at 38.7% among Nigerian adults</w:t>
      </w:r>
      <w:r w:rsidR="003A5073" w:rsidRPr="00DB046B">
        <w:rPr>
          <w:strike w:val="0"/>
          <w:lang w:val="en-GB"/>
        </w:rPr>
        <w:t>,</w:t>
      </w:r>
      <w:r w:rsidR="003A5073" w:rsidRPr="00DB046B">
        <w:rPr>
          <w:strike w:val="0"/>
        </w:rPr>
        <w:t xml:space="preserve"> </w:t>
      </w:r>
      <w:r w:rsidRPr="00DB046B">
        <w:rPr>
          <w:strike w:val="0"/>
        </w:rPr>
        <w:t>approximately 46 million individuals (</w:t>
      </w:r>
      <w:proofErr w:type="spellStart"/>
      <w:r w:rsidRPr="00DB046B">
        <w:rPr>
          <w:strike w:val="0"/>
        </w:rPr>
        <w:t>Odili</w:t>
      </w:r>
      <w:proofErr w:type="spellEnd"/>
      <w:r w:rsidRPr="00DB046B">
        <w:rPr>
          <w:strike w:val="0"/>
        </w:rPr>
        <w:t xml:space="preserve"> et al., 2020). Only 31.4% were aware of their diagnosis, 19.7% were receiving treatment, and a mere 8.6% had achieved blood pressure control, placing Nigeria among countries with </w:t>
      </w:r>
      <w:r w:rsidR="003A5073" w:rsidRPr="00DB046B">
        <w:rPr>
          <w:strike w:val="0"/>
        </w:rPr>
        <w:t xml:space="preserve">the </w:t>
      </w:r>
      <w:r w:rsidRPr="00DB046B">
        <w:rPr>
          <w:strike w:val="0"/>
        </w:rPr>
        <w:t>poorest hypertension care cascade performance globally (</w:t>
      </w:r>
      <w:proofErr w:type="spellStart"/>
      <w:r w:rsidRPr="00DB046B">
        <w:rPr>
          <w:strike w:val="0"/>
        </w:rPr>
        <w:t>Odili</w:t>
      </w:r>
      <w:proofErr w:type="spellEnd"/>
      <w:r w:rsidRPr="00DB046B">
        <w:rPr>
          <w:strike w:val="0"/>
        </w:rPr>
        <w:t xml:space="preserve"> et al., 2020). Across six states, 56.3% of hypertensives were undiagnosed </w:t>
      </w:r>
      <w:r w:rsidR="003A5073" w:rsidRPr="00DB046B">
        <w:rPr>
          <w:strike w:val="0"/>
        </w:rPr>
        <w:t>before</w:t>
      </w:r>
      <w:r w:rsidRPr="00DB046B">
        <w:rPr>
          <w:strike w:val="0"/>
        </w:rPr>
        <w:t xml:space="preserve"> screening (</w:t>
      </w:r>
      <w:proofErr w:type="spellStart"/>
      <w:r w:rsidRPr="00DB046B">
        <w:rPr>
          <w:strike w:val="0"/>
        </w:rPr>
        <w:t>Adeboye</w:t>
      </w:r>
      <w:proofErr w:type="spellEnd"/>
      <w:r w:rsidRPr="00DB046B">
        <w:rPr>
          <w:strike w:val="0"/>
        </w:rPr>
        <w:t xml:space="preserve"> et al., 2022). In Lagos, hypertension prevalence was 39.5%, with prehypertension affecting an additional 34.4% (</w:t>
      </w:r>
      <w:proofErr w:type="spellStart"/>
      <w:r w:rsidRPr="00DB046B">
        <w:rPr>
          <w:strike w:val="0"/>
        </w:rPr>
        <w:t>Okekunle</w:t>
      </w:r>
      <w:proofErr w:type="spellEnd"/>
      <w:r w:rsidRPr="00DB046B">
        <w:rPr>
          <w:strike w:val="0"/>
        </w:rPr>
        <w:t xml:space="preserve"> et al., 2020). Individuals over 40 years were nearly six times more likely to have elevated blood pressure, underscoring the impending surge as Nigeria's population ages.</w:t>
      </w:r>
    </w:p>
    <w:p w14:paraId="24D75CD5" w14:textId="56689AFD" w:rsidR="00121700" w:rsidRPr="00DB046B" w:rsidRDefault="00121700" w:rsidP="00121700">
      <w:pPr>
        <w:rPr>
          <w:strike w:val="0"/>
        </w:rPr>
      </w:pPr>
      <w:r w:rsidRPr="00DB046B">
        <w:rPr>
          <w:strike w:val="0"/>
        </w:rPr>
        <w:t xml:space="preserve">Southern Nigeria shows particular vulnerability due to high </w:t>
      </w:r>
      <w:proofErr w:type="spellStart"/>
      <w:r w:rsidRPr="00DB046B">
        <w:rPr>
          <w:strike w:val="0"/>
        </w:rPr>
        <w:t>urbanisation</w:t>
      </w:r>
      <w:proofErr w:type="spellEnd"/>
      <w:r w:rsidRPr="00DB046B">
        <w:rPr>
          <w:strike w:val="0"/>
        </w:rPr>
        <w:t xml:space="preserve"> and dietary </w:t>
      </w:r>
      <w:proofErr w:type="spellStart"/>
      <w:r w:rsidRPr="00DB046B">
        <w:rPr>
          <w:strike w:val="0"/>
        </w:rPr>
        <w:t>westernisation</w:t>
      </w:r>
      <w:proofErr w:type="spellEnd"/>
      <w:r w:rsidRPr="00DB046B">
        <w:rPr>
          <w:strike w:val="0"/>
        </w:rPr>
        <w:t xml:space="preserve">. Pooled hypertension prevalence is 34.2%, highest in urban </w:t>
      </w:r>
      <w:proofErr w:type="spellStart"/>
      <w:r w:rsidRPr="00DB046B">
        <w:rPr>
          <w:strike w:val="0"/>
        </w:rPr>
        <w:t>centres</w:t>
      </w:r>
      <w:proofErr w:type="spellEnd"/>
      <w:r w:rsidRPr="00DB046B">
        <w:rPr>
          <w:strike w:val="0"/>
        </w:rPr>
        <w:t xml:space="preserve"> and among less educated populations (</w:t>
      </w:r>
      <w:proofErr w:type="spellStart"/>
      <w:r w:rsidRPr="00DB046B">
        <w:rPr>
          <w:strike w:val="0"/>
        </w:rPr>
        <w:t>Akinlua</w:t>
      </w:r>
      <w:proofErr w:type="spellEnd"/>
      <w:r w:rsidRPr="00DB046B">
        <w:rPr>
          <w:strike w:val="0"/>
        </w:rPr>
        <w:t xml:space="preserve"> et al., 2020). Rivers State and its capital, Port Harcourt</w:t>
      </w:r>
      <w:r w:rsidR="003A5073" w:rsidRPr="00DB046B">
        <w:rPr>
          <w:strike w:val="0"/>
          <w:lang w:val="en-GB"/>
        </w:rPr>
        <w:t xml:space="preserve">, which is </w:t>
      </w:r>
      <w:r w:rsidRPr="00DB046B">
        <w:rPr>
          <w:strike w:val="0"/>
        </w:rPr>
        <w:t>a major oil and gas hub</w:t>
      </w:r>
      <w:r w:rsidR="003A5073" w:rsidRPr="00DB046B">
        <w:rPr>
          <w:strike w:val="0"/>
        </w:rPr>
        <w:t xml:space="preserve">, </w:t>
      </w:r>
      <w:r w:rsidRPr="00DB046B">
        <w:rPr>
          <w:strike w:val="0"/>
        </w:rPr>
        <w:t xml:space="preserve">have experienced profound lifestyle changes: increased processed food consumption, reduced physical activity, and elevated psychosocial stress. In </w:t>
      </w:r>
      <w:proofErr w:type="spellStart"/>
      <w:r w:rsidRPr="00DB046B">
        <w:rPr>
          <w:strike w:val="0"/>
        </w:rPr>
        <w:t>Obio-Akpor</w:t>
      </w:r>
      <w:proofErr w:type="spellEnd"/>
      <w:r w:rsidRPr="00DB046B">
        <w:rPr>
          <w:strike w:val="0"/>
        </w:rPr>
        <w:t xml:space="preserve">, hypertension prevalence was 41.2%, with 44.7% unaware of their diagnosis </w:t>
      </w:r>
      <w:r w:rsidRPr="00DB046B">
        <w:rPr>
          <w:strike w:val="0"/>
        </w:rPr>
        <w:lastRenderedPageBreak/>
        <w:t>(</w:t>
      </w:r>
      <w:proofErr w:type="spellStart"/>
      <w:r w:rsidRPr="00DB046B">
        <w:rPr>
          <w:strike w:val="0"/>
        </w:rPr>
        <w:t>Ogan</w:t>
      </w:r>
      <w:proofErr w:type="spellEnd"/>
      <w:r w:rsidRPr="00DB046B">
        <w:rPr>
          <w:strike w:val="0"/>
        </w:rPr>
        <w:t xml:space="preserve"> et al., 2021). Among Port Harcourt civil servants, 37.8% had elevated blood pressure (</w:t>
      </w:r>
      <w:proofErr w:type="spellStart"/>
      <w:r w:rsidRPr="00DB046B">
        <w:rPr>
          <w:strike w:val="0"/>
        </w:rPr>
        <w:t>Wokoma</w:t>
      </w:r>
      <w:proofErr w:type="spellEnd"/>
      <w:r w:rsidRPr="00DB046B">
        <w:rPr>
          <w:strike w:val="0"/>
        </w:rPr>
        <w:t xml:space="preserve"> et al., 2022). At the University of Port Harcourt Teaching Hospital, hypertension was the predominant stroke risk factor, present in 82.3% of cerebrovascular accident patients, with fewer than one-third previously diagnosed and poor medication adherence among those diagnosed (</w:t>
      </w:r>
      <w:proofErr w:type="spellStart"/>
      <w:r w:rsidR="00C87409" w:rsidRPr="00C87409">
        <w:rPr>
          <w:strike w:val="0"/>
        </w:rPr>
        <w:t>Ogunniyi</w:t>
      </w:r>
      <w:proofErr w:type="spellEnd"/>
      <w:r w:rsidRPr="00DB046B">
        <w:rPr>
          <w:strike w:val="0"/>
        </w:rPr>
        <w:t xml:space="preserve"> et al., 20</w:t>
      </w:r>
      <w:r w:rsidR="00C87409">
        <w:rPr>
          <w:strike w:val="0"/>
        </w:rPr>
        <w:t>21</w:t>
      </w:r>
      <w:r w:rsidRPr="00DB046B">
        <w:rPr>
          <w:strike w:val="0"/>
        </w:rPr>
        <w:t>).</w:t>
      </w:r>
    </w:p>
    <w:p w14:paraId="751124ED" w14:textId="77777777" w:rsidR="00121700" w:rsidRPr="00DB046B" w:rsidRDefault="00121700" w:rsidP="00121700">
      <w:pPr>
        <w:rPr>
          <w:strike w:val="0"/>
        </w:rPr>
      </w:pPr>
      <w:r w:rsidRPr="00DB046B">
        <w:rPr>
          <w:strike w:val="0"/>
        </w:rPr>
        <w:t>Despite growing recognition of hypertension as a public health priority, longitudinal data tracking trends and projecting future burden to guide health system planning in Rivers State remain scarce (Huffman et al., 2021). This study addresses this gap by examining temporal trends in hypertension in Rivers State from 2015 to 2024 using routinely collected health facility records, surveillance reports, and survey data. Projecting future burden over 2025-2034, this research aims to inform primary prevention, early detection, and health system strengthening. Understanding this trajectory is essential to avert an overwhelming burden on the state's health system and economy.</w:t>
      </w:r>
    </w:p>
    <w:p w14:paraId="25250C58" w14:textId="4A6E2C73" w:rsidR="003E2034" w:rsidRPr="003E2034" w:rsidRDefault="003E2034" w:rsidP="003E2034">
      <w:pPr>
        <w:rPr>
          <w:b/>
          <w:bCs/>
          <w:strike w:val="0"/>
        </w:rPr>
      </w:pPr>
      <w:r w:rsidRPr="003E2034">
        <w:rPr>
          <w:b/>
          <w:bCs/>
          <w:strike w:val="0"/>
        </w:rPr>
        <w:t>Methods</w:t>
      </w:r>
    </w:p>
    <w:p w14:paraId="1957418C" w14:textId="4EB7E4C1" w:rsidR="003E2034" w:rsidRPr="003E2034" w:rsidRDefault="003E2034" w:rsidP="003E2034">
      <w:pPr>
        <w:rPr>
          <w:strike w:val="0"/>
        </w:rPr>
      </w:pPr>
      <w:r w:rsidRPr="003E2034">
        <w:rPr>
          <w:b/>
          <w:bCs/>
          <w:strike w:val="0"/>
        </w:rPr>
        <w:t>Study Design:</w:t>
      </w:r>
      <w:r w:rsidRPr="003E2034">
        <w:rPr>
          <w:strike w:val="0"/>
        </w:rPr>
        <w:t> This study</w:t>
      </w:r>
      <w:r w:rsidR="003A5073" w:rsidRPr="00DB046B">
        <w:rPr>
          <w:strike w:val="0"/>
          <w:lang w:val="en-GB"/>
        </w:rPr>
        <w:t xml:space="preserve"> used</w:t>
      </w:r>
      <w:r w:rsidRPr="003E2034">
        <w:rPr>
          <w:strike w:val="0"/>
        </w:rPr>
        <w:t xml:space="preserve"> a retrospective observational trend analysis design to </w:t>
      </w:r>
      <w:r w:rsidR="003A5073" w:rsidRPr="00DB046B">
        <w:rPr>
          <w:strike w:val="0"/>
          <w:lang w:val="en-GB"/>
        </w:rPr>
        <w:t xml:space="preserve">assess </w:t>
      </w:r>
      <w:r w:rsidRPr="003E2034">
        <w:rPr>
          <w:strike w:val="0"/>
        </w:rPr>
        <w:t xml:space="preserve">hypertension in Rivers State, Nigeria, over </w:t>
      </w:r>
      <w:r w:rsidR="003A5073" w:rsidRPr="00DB046B">
        <w:rPr>
          <w:strike w:val="0"/>
        </w:rPr>
        <w:t>ten years</w:t>
      </w:r>
      <w:r w:rsidRPr="003E2034">
        <w:rPr>
          <w:strike w:val="0"/>
        </w:rPr>
        <w:t xml:space="preserve"> (2015-2024) and project</w:t>
      </w:r>
      <w:r w:rsidR="003A5073" w:rsidRPr="00DB046B">
        <w:rPr>
          <w:strike w:val="0"/>
          <w:lang w:val="en-GB"/>
        </w:rPr>
        <w:t>ed</w:t>
      </w:r>
      <w:r w:rsidRPr="003E2034">
        <w:rPr>
          <w:strike w:val="0"/>
        </w:rPr>
        <w:t xml:space="preserve"> future burden for the subsequent decade (2025-2034). The retrospective design was chosen to leverage existing routinely collected data sources, enabling efficient analysis of temporal trends without the logistical challenges and costs of primary data collection across a large and diverse population.</w:t>
      </w:r>
    </w:p>
    <w:p w14:paraId="437A4677" w14:textId="2F812D4D" w:rsidR="003E2034" w:rsidRPr="003E2034" w:rsidRDefault="003E2034" w:rsidP="003E2034">
      <w:pPr>
        <w:rPr>
          <w:strike w:val="0"/>
        </w:rPr>
      </w:pPr>
      <w:r w:rsidRPr="003E2034">
        <w:rPr>
          <w:b/>
          <w:bCs/>
          <w:strike w:val="0"/>
        </w:rPr>
        <w:t>Study Setting:</w:t>
      </w:r>
      <w:r w:rsidRPr="003E2034">
        <w:rPr>
          <w:strike w:val="0"/>
        </w:rPr>
        <w:t xml:space="preserve"> Rivers State is located in the South-South geopolitical zone of Nigeria, covering an area of approximately 11,077 square </w:t>
      </w:r>
      <w:proofErr w:type="spellStart"/>
      <w:r w:rsidRPr="003E2034">
        <w:rPr>
          <w:strike w:val="0"/>
        </w:rPr>
        <w:t>kilometres</w:t>
      </w:r>
      <w:proofErr w:type="spellEnd"/>
      <w:r w:rsidRPr="003E2034">
        <w:rPr>
          <w:strike w:val="0"/>
        </w:rPr>
        <w:t xml:space="preserve">. The state shares boundaries with Bayelsa State to the west, Delta State to the north, Imo and </w:t>
      </w:r>
      <w:proofErr w:type="spellStart"/>
      <w:r w:rsidRPr="003E2034">
        <w:rPr>
          <w:strike w:val="0"/>
        </w:rPr>
        <w:t>Abia</w:t>
      </w:r>
      <w:proofErr w:type="spellEnd"/>
      <w:r w:rsidRPr="003E2034">
        <w:rPr>
          <w:strike w:val="0"/>
        </w:rPr>
        <w:t xml:space="preserve"> States to the east, and the Atlantic Ocean to the south. According to the National Population Commission, the projected population of Rivers State for 2024 was approximately 7.5 million persons, with roughly 60% residing in urban areas, particularly Port Harcourt, the state capital and major commercial and industrial hub (National Population Commission, 2024). The state is divided into 23 Local Government Areas (LGAs) and has a diverse ethnic composition, with the </w:t>
      </w:r>
      <w:proofErr w:type="spellStart"/>
      <w:r w:rsidRPr="003E2034">
        <w:rPr>
          <w:strike w:val="0"/>
        </w:rPr>
        <w:t>Ikwerre</w:t>
      </w:r>
      <w:proofErr w:type="spellEnd"/>
      <w:r w:rsidRPr="003E2034">
        <w:rPr>
          <w:strike w:val="0"/>
        </w:rPr>
        <w:t xml:space="preserve">, Ijaw, Ogoni, and </w:t>
      </w:r>
      <w:proofErr w:type="spellStart"/>
      <w:r w:rsidRPr="003E2034">
        <w:rPr>
          <w:strike w:val="0"/>
        </w:rPr>
        <w:t>Ekpeye</w:t>
      </w:r>
      <w:proofErr w:type="spellEnd"/>
      <w:r w:rsidRPr="003E2034">
        <w:rPr>
          <w:strike w:val="0"/>
        </w:rPr>
        <w:t xml:space="preserve"> among the major indigenous groups (Rivers State Ministry of Information, 2023). The economy is dominated by oil and gas extraction, which has driven rapid </w:t>
      </w:r>
      <w:proofErr w:type="spellStart"/>
      <w:r w:rsidRPr="003E2034">
        <w:rPr>
          <w:strike w:val="0"/>
        </w:rPr>
        <w:t>urbanisation</w:t>
      </w:r>
      <w:proofErr w:type="spellEnd"/>
      <w:r w:rsidRPr="003E2034">
        <w:rPr>
          <w:strike w:val="0"/>
        </w:rPr>
        <w:t xml:space="preserve"> and in-migration, accompanied by significant lifestyle changes</w:t>
      </w:r>
      <w:r w:rsidR="003A5073" w:rsidRPr="00DB046B">
        <w:rPr>
          <w:strike w:val="0"/>
        </w:rPr>
        <w:t>,</w:t>
      </w:r>
      <w:r w:rsidRPr="003E2034">
        <w:rPr>
          <w:strike w:val="0"/>
        </w:rPr>
        <w:t xml:space="preserve"> including dietary transitions and reduced physical activity (Nigerian National Petroleum Corporation, 2022).</w:t>
      </w:r>
    </w:p>
    <w:p w14:paraId="44EE1C52" w14:textId="09B3A7D6" w:rsidR="003E2034" w:rsidRPr="003E2034" w:rsidRDefault="003E2034" w:rsidP="003E2034">
      <w:pPr>
        <w:rPr>
          <w:strike w:val="0"/>
        </w:rPr>
      </w:pPr>
      <w:r w:rsidRPr="003E2034">
        <w:rPr>
          <w:b/>
          <w:bCs/>
          <w:strike w:val="0"/>
        </w:rPr>
        <w:t>Data Sources:</w:t>
      </w:r>
      <w:r w:rsidRPr="003E2034">
        <w:rPr>
          <w:strike w:val="0"/>
        </w:rPr>
        <w:t> Data were obtained from three complementary sources to ensure comprehensive coverage and triangulation of findings. First, routinely collected health facility records were extracted from the Rivers State District Health Information System (DHIS), which captures monthly aggregated data on outpatient attendance, diagnoses, and treatment from all public primary, secondary, and tertiary health facilities across the state. Hypertension cases were identified using the International Classification of Diseases, 10th Revision (ICD-10) codes I10-I15. Data from 156 health facilities with consistent reporting over the study period were included.</w:t>
      </w:r>
    </w:p>
    <w:p w14:paraId="7DC14E80" w14:textId="2EEDAA0C" w:rsidR="003E2034" w:rsidRPr="003E2034" w:rsidRDefault="003E2034" w:rsidP="003E2034">
      <w:pPr>
        <w:rPr>
          <w:strike w:val="0"/>
        </w:rPr>
      </w:pPr>
      <w:r w:rsidRPr="003E2034">
        <w:rPr>
          <w:strike w:val="0"/>
        </w:rPr>
        <w:t>Second, state surveillance reports were obtained from the Non-Communicable Diseases Surveillance Unit</w:t>
      </w:r>
      <w:r w:rsidR="000B1BD3">
        <w:rPr>
          <w:strike w:val="0"/>
        </w:rPr>
        <w:t xml:space="preserve"> of the Rivers State Ministry of Health</w:t>
      </w:r>
      <w:r w:rsidRPr="003E2034">
        <w:rPr>
          <w:strike w:val="0"/>
        </w:rPr>
        <w:t xml:space="preserve">, which conducts periodic </w:t>
      </w:r>
      <w:r w:rsidRPr="003E2034">
        <w:rPr>
          <w:strike w:val="0"/>
        </w:rPr>
        <w:lastRenderedPageBreak/>
        <w:t>community-based screening campaigns and maintains a registry of NCD risk factors. These reports provided additional data on hypertension prevalence, awareness, treatment, and control from population-based samples.</w:t>
      </w:r>
    </w:p>
    <w:p w14:paraId="7BED8719" w14:textId="77777777" w:rsidR="003E2034" w:rsidRPr="003E2034" w:rsidRDefault="003E2034" w:rsidP="003E2034">
      <w:pPr>
        <w:rPr>
          <w:strike w:val="0"/>
        </w:rPr>
      </w:pPr>
      <w:r w:rsidRPr="003E2034">
        <w:rPr>
          <w:strike w:val="0"/>
        </w:rPr>
        <w:t xml:space="preserve">Third, population-based survey data were extracted from the Nigeria Demographic and Health Surveys (NDHS) conducted in 2018 and 2023, which included blood pressure measurements for adults aged 15-49 years (women) and 15-59 years (men) in sampled households across Rivers State. Additional data were obtained from the WHO </w:t>
      </w:r>
      <w:proofErr w:type="spellStart"/>
      <w:r w:rsidRPr="003E2034">
        <w:rPr>
          <w:strike w:val="0"/>
        </w:rPr>
        <w:t>STEPwise</w:t>
      </w:r>
      <w:proofErr w:type="spellEnd"/>
      <w:r w:rsidRPr="003E2034">
        <w:rPr>
          <w:strike w:val="0"/>
        </w:rPr>
        <w:t xml:space="preserve"> Approach to NCD Risk Factor Surveillance (STEPS) surveys conducted in Rivers State in 2015 and 2020.</w:t>
      </w:r>
    </w:p>
    <w:p w14:paraId="6264BAFF" w14:textId="01C0FCF4" w:rsidR="003E2034" w:rsidRPr="003E2034" w:rsidRDefault="003E2034" w:rsidP="003E2034">
      <w:pPr>
        <w:rPr>
          <w:strike w:val="0"/>
        </w:rPr>
      </w:pPr>
      <w:r w:rsidRPr="003E2034">
        <w:rPr>
          <w:b/>
          <w:bCs/>
          <w:strike w:val="0"/>
        </w:rPr>
        <w:t>Data Extraction and Cleaning:</w:t>
      </w:r>
      <w:r w:rsidRPr="003E2034">
        <w:rPr>
          <w:strike w:val="0"/>
        </w:rPr>
        <w:t> Data extraction, cleaning, and analysis were conducted between January and June 2025</w:t>
      </w:r>
      <w:r w:rsidR="00D0160B">
        <w:rPr>
          <w:strike w:val="0"/>
        </w:rPr>
        <w:t xml:space="preserve"> by </w:t>
      </w:r>
      <w:r w:rsidR="003D4FC7">
        <w:rPr>
          <w:strike w:val="0"/>
        </w:rPr>
        <w:t xml:space="preserve">the principal researcher and </w:t>
      </w:r>
      <w:r w:rsidR="00D0160B">
        <w:rPr>
          <w:strike w:val="0"/>
        </w:rPr>
        <w:t>six research assistants.</w:t>
      </w:r>
      <w:r w:rsidRPr="003E2034">
        <w:rPr>
          <w:strike w:val="0"/>
        </w:rPr>
        <w:t xml:space="preserve"> A </w:t>
      </w:r>
      <w:proofErr w:type="spellStart"/>
      <w:r w:rsidRPr="003E2034">
        <w:rPr>
          <w:strike w:val="0"/>
        </w:rPr>
        <w:t>standardi</w:t>
      </w:r>
      <w:proofErr w:type="spellEnd"/>
      <w:r w:rsidR="003A5073" w:rsidRPr="00DB046B">
        <w:rPr>
          <w:strike w:val="0"/>
          <w:lang w:val="en-GB"/>
        </w:rPr>
        <w:t>s</w:t>
      </w:r>
      <w:r w:rsidRPr="003E2034">
        <w:rPr>
          <w:strike w:val="0"/>
        </w:rPr>
        <w:t xml:space="preserve">ed data extraction </w:t>
      </w:r>
      <w:r w:rsidR="00A5393E" w:rsidRPr="00A5393E">
        <w:rPr>
          <w:strike w:val="0"/>
        </w:rPr>
        <w:t xml:space="preserve">Microsoft Excel </w:t>
      </w:r>
      <w:r w:rsidRPr="003E2034">
        <w:rPr>
          <w:strike w:val="0"/>
        </w:rPr>
        <w:t xml:space="preserve">template was </w:t>
      </w:r>
      <w:r w:rsidR="00A5393E">
        <w:rPr>
          <w:strike w:val="0"/>
        </w:rPr>
        <w:t xml:space="preserve">used </w:t>
      </w:r>
      <w:r w:rsidRPr="003E2034">
        <w:rPr>
          <w:strike w:val="0"/>
        </w:rPr>
        <w:t>to capture the following variables: year of data collection, geographical location (LGA and urban/rural classification), age group (categorized as 18-29, 30-39, 40-49, 50-59, 60-69, and 70+ years), sex (male, female), and hypertension indicators (prevalence, awareness, treatment, control). For health facility data, monthly records were aggregated into annual totals. Data were cleaned by removing duplicate entries, checking for outliers and inconsistencies, and verifying against original source documents where discrepancies were identified. Missing data were handled through multiple imputation for variables with less than 10% missingness; sources with &gt;10% missing key variables were excluded from analysis.</w:t>
      </w:r>
    </w:p>
    <w:p w14:paraId="4D66BEA6" w14:textId="29D5B9A3" w:rsidR="003E2034" w:rsidRPr="003E2034" w:rsidRDefault="003E2034" w:rsidP="003E2034">
      <w:pPr>
        <w:rPr>
          <w:strike w:val="0"/>
        </w:rPr>
      </w:pPr>
      <w:r w:rsidRPr="003E2034">
        <w:rPr>
          <w:b/>
          <w:bCs/>
          <w:strike w:val="0"/>
        </w:rPr>
        <w:t>Case Definitions:</w:t>
      </w:r>
      <w:r w:rsidRPr="003E2034">
        <w:rPr>
          <w:strike w:val="0"/>
        </w:rPr>
        <w:t xml:space="preserve"> Hypertension was defined consistently across all data sources in accordance with the Seventh and Eighth Reports of the Joint National Committee on Prevention, Detection, Evaluation, and Treatment of High Blood Pressure, which were the prevailing guidelines during the study period. Hypertension was defined as systolic blood pressure ≥140 mmHg and/or diastolic blood pressure ≥90 mmHg, or self-reported current use of antihypertensive medication. For survey data, blood pressure was measured using </w:t>
      </w:r>
      <w:proofErr w:type="spellStart"/>
      <w:r w:rsidR="003A5073" w:rsidRPr="00DB046B">
        <w:rPr>
          <w:strike w:val="0"/>
        </w:rPr>
        <w:t>standardised</w:t>
      </w:r>
      <w:proofErr w:type="spellEnd"/>
      <w:r w:rsidRPr="003E2034">
        <w:rPr>
          <w:strike w:val="0"/>
        </w:rPr>
        <w:t xml:space="preserve"> protocols with validated digital sphygmomanometers, with three measurements taken at five-minute intervals and the average of the second and third readings used for analysis. Awareness was defined as self-reported previous diagnosis of hypertension by a health professional. Treatment was defined as self-reported use of antihypertensive medication within the two weeks preceding data collection. Control was defined as blood pressure &lt;140/90 mmHg among individuals on antihypertensive treatment.</w:t>
      </w:r>
    </w:p>
    <w:p w14:paraId="79ACC35D" w14:textId="4A82824C" w:rsidR="003E2034" w:rsidRPr="003E2034" w:rsidRDefault="003E2034" w:rsidP="003E2034">
      <w:pPr>
        <w:rPr>
          <w:strike w:val="0"/>
        </w:rPr>
      </w:pPr>
      <w:r w:rsidRPr="003E2034">
        <w:rPr>
          <w:b/>
          <w:bCs/>
          <w:strike w:val="0"/>
        </w:rPr>
        <w:t>Statistical Analysis:</w:t>
      </w:r>
      <w:r w:rsidRPr="003E2034">
        <w:rPr>
          <w:strike w:val="0"/>
        </w:rPr>
        <w:t xml:space="preserve"> Statistical analyses were performed </w:t>
      </w:r>
      <w:r w:rsidR="00702C55" w:rsidRPr="00702C55">
        <w:rPr>
          <w:strike w:val="0"/>
        </w:rPr>
        <w:t>using the Statistical Product and Service Solution (SPSS) Version 27 (Armonk, NY: IBM Corporation).</w:t>
      </w:r>
      <w:r w:rsidRPr="003E2034">
        <w:rPr>
          <w:strike w:val="0"/>
        </w:rPr>
        <w:t xml:space="preserve"> Descriptive statistics were computed to </w:t>
      </w:r>
      <w:proofErr w:type="spellStart"/>
      <w:r w:rsidR="00AA3877" w:rsidRPr="00DB046B">
        <w:rPr>
          <w:strike w:val="0"/>
        </w:rPr>
        <w:t>characterise</w:t>
      </w:r>
      <w:proofErr w:type="spellEnd"/>
      <w:r w:rsidRPr="003E2034">
        <w:rPr>
          <w:strike w:val="0"/>
        </w:rPr>
        <w:t xml:space="preserve"> the study population and </w:t>
      </w:r>
      <w:proofErr w:type="spellStart"/>
      <w:r w:rsidR="00AA3877" w:rsidRPr="00DB046B">
        <w:rPr>
          <w:strike w:val="0"/>
        </w:rPr>
        <w:t>summarise</w:t>
      </w:r>
      <w:proofErr w:type="spellEnd"/>
      <w:r w:rsidRPr="003E2034">
        <w:rPr>
          <w:strike w:val="0"/>
        </w:rPr>
        <w:t xml:space="preserve"> hypertension prevalence, awareness, treatment, and control over the study period. Continuous variables were presented as means with standard deviations</w:t>
      </w:r>
      <w:r w:rsidR="00AA3877" w:rsidRPr="00DB046B">
        <w:rPr>
          <w:strike w:val="0"/>
          <w:lang w:val="en-GB"/>
        </w:rPr>
        <w:t>.</w:t>
      </w:r>
      <w:r w:rsidRPr="003E2034">
        <w:rPr>
          <w:strike w:val="0"/>
        </w:rPr>
        <w:t xml:space="preserve"> </w:t>
      </w:r>
      <w:r w:rsidR="00AA3877" w:rsidRPr="00DB046B">
        <w:rPr>
          <w:strike w:val="0"/>
        </w:rPr>
        <w:t>Normality of continuous variables was assessed using the Shapiro–Wilk test</w:t>
      </w:r>
      <w:r w:rsidR="00AA3877" w:rsidRPr="00DB046B">
        <w:rPr>
          <w:strike w:val="0"/>
          <w:lang w:val="en-GB"/>
        </w:rPr>
        <w:t xml:space="preserve">. </w:t>
      </w:r>
      <w:r w:rsidRPr="003E2034">
        <w:rPr>
          <w:strike w:val="0"/>
        </w:rPr>
        <w:t>Categorical variables were presented as frequencies and percentages.</w:t>
      </w:r>
    </w:p>
    <w:p w14:paraId="73CFB78D" w14:textId="7C80E78F" w:rsidR="003E2034" w:rsidRPr="003E2034" w:rsidRDefault="003E2034" w:rsidP="003E2034">
      <w:pPr>
        <w:rPr>
          <w:strike w:val="0"/>
        </w:rPr>
      </w:pPr>
      <w:r w:rsidRPr="003E2034">
        <w:rPr>
          <w:strike w:val="0"/>
        </w:rPr>
        <w:t xml:space="preserve">Temporal trends were assessed using </w:t>
      </w:r>
      <w:proofErr w:type="spellStart"/>
      <w:r w:rsidRPr="003E2034">
        <w:rPr>
          <w:strike w:val="0"/>
        </w:rPr>
        <w:t>joinpoint</w:t>
      </w:r>
      <w:proofErr w:type="spellEnd"/>
      <w:r w:rsidRPr="003E2034">
        <w:rPr>
          <w:strike w:val="0"/>
        </w:rPr>
        <w:t xml:space="preserve"> regression analysis, which identifies points where trends change significantly in either direction or magnitude. Average annual </w:t>
      </w:r>
      <w:r w:rsidR="00AA3877" w:rsidRPr="00DB046B">
        <w:rPr>
          <w:strike w:val="0"/>
        </w:rPr>
        <w:t>per cent</w:t>
      </w:r>
      <w:r w:rsidRPr="003E2034">
        <w:rPr>
          <w:strike w:val="0"/>
        </w:rPr>
        <w:t xml:space="preserve"> change (AAPC) with corresponding 95% confidence intervals was calculated for hypertension prevalence overall and stratified by age group, sex, and place of residence. Time-trend analyses were conducted using </w:t>
      </w:r>
      <w:proofErr w:type="spellStart"/>
      <w:r w:rsidR="00AA3877" w:rsidRPr="00DB046B">
        <w:rPr>
          <w:strike w:val="0"/>
        </w:rPr>
        <w:t>generalised</w:t>
      </w:r>
      <w:proofErr w:type="spellEnd"/>
      <w:r w:rsidRPr="003E2034">
        <w:rPr>
          <w:strike w:val="0"/>
        </w:rPr>
        <w:t xml:space="preserve"> linear models with Poisson </w:t>
      </w:r>
      <w:r w:rsidRPr="003E2034">
        <w:rPr>
          <w:strike w:val="0"/>
        </w:rPr>
        <w:lastRenderedPageBreak/>
        <w:t>distribution and log link function, adjusting for population growth and changes in age structure over the study period.</w:t>
      </w:r>
    </w:p>
    <w:p w14:paraId="02C1844D" w14:textId="78296D68" w:rsidR="003E2034" w:rsidRPr="003E2034" w:rsidRDefault="003E2034" w:rsidP="003E2034">
      <w:pPr>
        <w:rPr>
          <w:strike w:val="0"/>
        </w:rPr>
      </w:pPr>
      <w:r w:rsidRPr="003E2034">
        <w:rPr>
          <w:strike w:val="0"/>
        </w:rPr>
        <w:t xml:space="preserve">Stratified analyses were performed by age group (18-39 years, 40-59 years, ≥60 years), sex (male, female), and place of residence (urban, rural) where available. </w:t>
      </w:r>
      <w:r w:rsidR="0061026C" w:rsidRPr="00DB046B">
        <w:rPr>
          <w:strike w:val="0"/>
        </w:rPr>
        <w:t>Age-</w:t>
      </w:r>
      <w:proofErr w:type="spellStart"/>
      <w:r w:rsidR="0061026C" w:rsidRPr="00DB046B">
        <w:rPr>
          <w:strike w:val="0"/>
        </w:rPr>
        <w:t>standardised</w:t>
      </w:r>
      <w:proofErr w:type="spellEnd"/>
      <w:r w:rsidRPr="003E2034">
        <w:rPr>
          <w:strike w:val="0"/>
        </w:rPr>
        <w:t xml:space="preserve"> rates were calculated using the direct method with the 2015 Rivers State population as the standard to account for demographic shifts over the study period. Comparisons between groups were conducted using chi-square tests for categorical variables and t-tests for continuous variables, with statistical significance set at p&lt;0.05.</w:t>
      </w:r>
    </w:p>
    <w:p w14:paraId="54FD3CFD" w14:textId="0D0C625B" w:rsidR="003E2034" w:rsidRPr="003E2034" w:rsidRDefault="003E2034" w:rsidP="003E2034">
      <w:pPr>
        <w:rPr>
          <w:strike w:val="0"/>
        </w:rPr>
      </w:pPr>
      <w:r w:rsidRPr="003E2034">
        <w:rPr>
          <w:b/>
          <w:bCs/>
          <w:strike w:val="0"/>
        </w:rPr>
        <w:t>Projection Modelling:</w:t>
      </w:r>
      <w:r w:rsidRPr="003E2034">
        <w:rPr>
          <w:strike w:val="0"/>
        </w:rPr>
        <w:t> </w:t>
      </w:r>
      <w:r w:rsidR="00F71A31" w:rsidRPr="00DB046B">
        <w:rPr>
          <w:strike w:val="0"/>
        </w:rPr>
        <w:t>The future burden of hypertension was projected for the ten years</w:t>
      </w:r>
      <w:r w:rsidRPr="003E2034">
        <w:rPr>
          <w:strike w:val="0"/>
        </w:rPr>
        <w:t xml:space="preserve"> 2025-2034 using two complementary approaches. First, trend-based projections were generated by extending observed linear trends from 2015</w:t>
      </w:r>
      <w:r w:rsidR="00F71A31" w:rsidRPr="00DB046B">
        <w:rPr>
          <w:strike w:val="0"/>
        </w:rPr>
        <w:t xml:space="preserve"> to </w:t>
      </w:r>
      <w:r w:rsidRPr="003E2034">
        <w:rPr>
          <w:strike w:val="0"/>
        </w:rPr>
        <w:t xml:space="preserve">2024 using autoregressive integrated moving average (ARIMA) models. Model selection was based on Akaike Information Criterion (AIC) and Bayesian Information Criterion (BIC), with model diagnostics including examination of residual autocorrelation using </w:t>
      </w:r>
      <w:proofErr w:type="spellStart"/>
      <w:r w:rsidRPr="003E2034">
        <w:rPr>
          <w:strike w:val="0"/>
        </w:rPr>
        <w:t>Ljung</w:t>
      </w:r>
      <w:proofErr w:type="spellEnd"/>
      <w:r w:rsidRPr="003E2034">
        <w:rPr>
          <w:strike w:val="0"/>
        </w:rPr>
        <w:t>-Box Q tests.</w:t>
      </w:r>
    </w:p>
    <w:p w14:paraId="784B1154" w14:textId="5E839E30" w:rsidR="003E2034" w:rsidRPr="003E2034" w:rsidRDefault="003E2034" w:rsidP="003E2034">
      <w:pPr>
        <w:rPr>
          <w:strike w:val="0"/>
        </w:rPr>
      </w:pPr>
      <w:r w:rsidRPr="003E2034">
        <w:rPr>
          <w:strike w:val="0"/>
        </w:rPr>
        <w:t xml:space="preserve">Second, population-based projections incorporated both observed disease trends and expected population growth. Population projections for Rivers State were obtained from the National Population Commission's medium-variant projections, which assume moderate declines in fertility and mortality rates consistent with national trends (National Population Commission, 2023). Age- and sex-specific hypertension prevalence rates from the most recent survey data (2023-2024) were applied to projected population structures for each year from 2025 to 2034. Three scenarios were modelled: (1) constant prevalence scenario (assuming 2024 prevalence rates remain unchanged), (2) linear trend scenario (assuming observed 2015-2024 trends continue), and (3) accelerated trend scenario (assuming 20% acceleration in prevalence increase due to ongoing </w:t>
      </w:r>
      <w:proofErr w:type="spellStart"/>
      <w:r w:rsidR="00F71A31" w:rsidRPr="00DB046B">
        <w:rPr>
          <w:strike w:val="0"/>
        </w:rPr>
        <w:t>urbanisation</w:t>
      </w:r>
      <w:proofErr w:type="spellEnd"/>
      <w:r w:rsidRPr="003E2034">
        <w:rPr>
          <w:strike w:val="0"/>
        </w:rPr>
        <w:t xml:space="preserve"> and lifestyle changes). Projections were presented as absolute numbers of adults (aged ≥18 years) living with hypertension, with uncertainty intervals based on 95% confidence limits of prevalence estimates and population projections.</w:t>
      </w:r>
    </w:p>
    <w:p w14:paraId="6297C2EA" w14:textId="4BD1F210" w:rsidR="00C74408" w:rsidRPr="00DB046B" w:rsidRDefault="00C74408" w:rsidP="00C74408">
      <w:pPr>
        <w:rPr>
          <w:b/>
          <w:bCs/>
          <w:strike w:val="0"/>
        </w:rPr>
      </w:pPr>
      <w:r w:rsidRPr="00DB046B">
        <w:rPr>
          <w:b/>
          <w:bCs/>
          <w:strike w:val="0"/>
        </w:rPr>
        <w:t>Results</w:t>
      </w:r>
    </w:p>
    <w:p w14:paraId="3DB70702" w14:textId="2FD6FF5C" w:rsidR="00922172" w:rsidRPr="00922172" w:rsidRDefault="00922172" w:rsidP="00922172">
      <w:pPr>
        <w:rPr>
          <w:strike w:val="0"/>
        </w:rPr>
      </w:pPr>
      <w:r w:rsidRPr="00922172">
        <w:rPr>
          <w:strike w:val="0"/>
        </w:rPr>
        <w:t>A total of 2,847,693 adult encounters were recorded from 156 health facilities across Rivers State's 23 LGAs between 2015</w:t>
      </w:r>
      <w:r w:rsidR="00AE7030" w:rsidRPr="00DB046B">
        <w:rPr>
          <w:strike w:val="0"/>
        </w:rPr>
        <w:t xml:space="preserve"> and </w:t>
      </w:r>
      <w:r w:rsidRPr="00922172">
        <w:rPr>
          <w:strike w:val="0"/>
        </w:rPr>
        <w:t xml:space="preserve">2024 (Table 1). Mean annual encounters increased from 245,678 (2015) to 327,892 (2024), reflecting population growth and improved service </w:t>
      </w:r>
      <w:proofErr w:type="spellStart"/>
      <w:r w:rsidR="00AE7030" w:rsidRPr="00DB046B">
        <w:rPr>
          <w:strike w:val="0"/>
        </w:rPr>
        <w:t>utilisation</w:t>
      </w:r>
      <w:proofErr w:type="spellEnd"/>
      <w:r w:rsidRPr="00922172">
        <w:rPr>
          <w:strike w:val="0"/>
        </w:rPr>
        <w:t>.</w:t>
      </w:r>
    </w:p>
    <w:p w14:paraId="3194B7C9" w14:textId="739CC349" w:rsidR="00922172" w:rsidRPr="00922172" w:rsidRDefault="00922172" w:rsidP="00922172">
      <w:pPr>
        <w:rPr>
          <w:strike w:val="0"/>
        </w:rPr>
      </w:pPr>
      <w:r w:rsidRPr="00922172">
        <w:rPr>
          <w:strike w:val="0"/>
        </w:rPr>
        <w:t xml:space="preserve">Adults aged 18-39 years comprised the largest proportion (48.3%), followed by 40-59 years (32.1%), and ≥60 years (19.6%). Females accounted for 54.7% of encounters, indicating higher health-seeking </w:t>
      </w:r>
      <w:proofErr w:type="spellStart"/>
      <w:r w:rsidRPr="00922172">
        <w:rPr>
          <w:strike w:val="0"/>
        </w:rPr>
        <w:t>behaviour</w:t>
      </w:r>
      <w:proofErr w:type="spellEnd"/>
      <w:r w:rsidRPr="00922172">
        <w:rPr>
          <w:strike w:val="0"/>
        </w:rPr>
        <w:t xml:space="preserve">. Urban residents </w:t>
      </w:r>
      <w:r w:rsidR="00AE7030" w:rsidRPr="00DB046B">
        <w:rPr>
          <w:strike w:val="0"/>
        </w:rPr>
        <w:t xml:space="preserve">accounted for 63.4%, consistent with state </w:t>
      </w:r>
      <w:proofErr w:type="spellStart"/>
      <w:r w:rsidR="00AE7030" w:rsidRPr="00DB046B">
        <w:rPr>
          <w:strike w:val="0"/>
        </w:rPr>
        <w:t>urbanisation</w:t>
      </w:r>
      <w:proofErr w:type="spellEnd"/>
      <w:r w:rsidRPr="00922172">
        <w:rPr>
          <w:strike w:val="0"/>
        </w:rPr>
        <w:t xml:space="preserve"> patterns.</w:t>
      </w:r>
    </w:p>
    <w:p w14:paraId="6C79A6B9" w14:textId="25838DEB" w:rsidR="00922172" w:rsidRPr="00DB046B" w:rsidRDefault="00922172" w:rsidP="00C74408">
      <w:pPr>
        <w:rPr>
          <w:strike w:val="0"/>
        </w:rPr>
      </w:pPr>
      <w:r w:rsidRPr="00922172">
        <w:rPr>
          <w:strike w:val="0"/>
        </w:rPr>
        <w:t xml:space="preserve">Among survey respondents (n=4,892), 31.2% had secondary education, while 28.3% had no formal education. Regarding marital status, 58.4% were married. Occupational distribution showed 34.7% engaged in skilled/professional work and 28.9% in unskilled </w:t>
      </w:r>
      <w:proofErr w:type="spellStart"/>
      <w:r w:rsidRPr="00922172">
        <w:rPr>
          <w:strike w:val="0"/>
        </w:rPr>
        <w:t>labour</w:t>
      </w:r>
      <w:proofErr w:type="spellEnd"/>
      <w:r w:rsidRPr="00922172">
        <w:rPr>
          <w:strike w:val="0"/>
        </w:rPr>
        <w:t>.</w:t>
      </w:r>
    </w:p>
    <w:p w14:paraId="0B292A00" w14:textId="512DFE17" w:rsidR="00C74408" w:rsidRPr="00C74408" w:rsidRDefault="00C74408" w:rsidP="00C74408">
      <w:pPr>
        <w:rPr>
          <w:b/>
          <w:bCs/>
          <w:strike w:val="0"/>
        </w:rPr>
      </w:pPr>
      <w:r w:rsidRPr="00C74408">
        <w:rPr>
          <w:b/>
          <w:bCs/>
          <w:strike w:val="0"/>
        </w:rPr>
        <w:t>Table 1. Sociodemographic Characteristics of the Study Population (2015–2024)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1"/>
        <w:gridCol w:w="2067"/>
        <w:gridCol w:w="4335"/>
      </w:tblGrid>
      <w:tr w:rsidR="00C74408" w:rsidRPr="00DB046B" w14:paraId="3B2D3433" w14:textId="77777777">
        <w:trPr>
          <w:tblHeader/>
          <w:tblCellSpacing w:w="15" w:type="dxa"/>
        </w:trPr>
        <w:tc>
          <w:tcPr>
            <w:tcW w:w="0" w:type="auto"/>
            <w:vAlign w:val="center"/>
            <w:hideMark/>
          </w:tcPr>
          <w:p w14:paraId="453D062F" w14:textId="77777777" w:rsidR="00C74408" w:rsidRPr="00C74408" w:rsidRDefault="00C74408" w:rsidP="00C74408">
            <w:pPr>
              <w:rPr>
                <w:b/>
                <w:bCs/>
                <w:strike w:val="0"/>
              </w:rPr>
            </w:pPr>
            <w:r w:rsidRPr="00C74408">
              <w:rPr>
                <w:b/>
                <w:bCs/>
                <w:strike w:val="0"/>
              </w:rPr>
              <w:lastRenderedPageBreak/>
              <w:t>Characteristic</w:t>
            </w:r>
          </w:p>
        </w:tc>
        <w:tc>
          <w:tcPr>
            <w:tcW w:w="0" w:type="auto"/>
            <w:vAlign w:val="center"/>
            <w:hideMark/>
          </w:tcPr>
          <w:p w14:paraId="51231E27" w14:textId="4DD42DDE" w:rsidR="00C74408" w:rsidRPr="00C74408" w:rsidRDefault="00D3356C" w:rsidP="00C74408">
            <w:pPr>
              <w:rPr>
                <w:b/>
                <w:bCs/>
                <w:strike w:val="0"/>
              </w:rPr>
            </w:pPr>
            <w:r>
              <w:rPr>
                <w:b/>
                <w:bCs/>
                <w:strike w:val="0"/>
              </w:rPr>
              <w:t xml:space="preserve">                </w:t>
            </w:r>
            <w:r w:rsidR="00C74408" w:rsidRPr="00C74408">
              <w:rPr>
                <w:b/>
                <w:bCs/>
                <w:strike w:val="0"/>
              </w:rPr>
              <w:t>Category</w:t>
            </w:r>
          </w:p>
        </w:tc>
        <w:tc>
          <w:tcPr>
            <w:tcW w:w="0" w:type="auto"/>
            <w:vAlign w:val="center"/>
            <w:hideMark/>
          </w:tcPr>
          <w:p w14:paraId="4B489948" w14:textId="437402D3" w:rsidR="00C74408" w:rsidRPr="00C74408" w:rsidRDefault="00C74408" w:rsidP="00C74408">
            <w:pPr>
              <w:rPr>
                <w:b/>
                <w:bCs/>
                <w:strike w:val="0"/>
              </w:rPr>
            </w:pPr>
            <w:r w:rsidRPr="00DB046B">
              <w:rPr>
                <w:b/>
                <w:bCs/>
                <w:strike w:val="0"/>
              </w:rPr>
              <w:t xml:space="preserve">                                             </w:t>
            </w:r>
            <w:r w:rsidRPr="00C74408">
              <w:rPr>
                <w:b/>
                <w:bCs/>
                <w:strike w:val="0"/>
              </w:rPr>
              <w:t>Frequency (%)</w:t>
            </w:r>
          </w:p>
        </w:tc>
      </w:tr>
      <w:tr w:rsidR="00C74408" w:rsidRPr="00DB046B" w14:paraId="01589845" w14:textId="77777777">
        <w:trPr>
          <w:tblCellSpacing w:w="15" w:type="dxa"/>
        </w:trPr>
        <w:tc>
          <w:tcPr>
            <w:tcW w:w="0" w:type="auto"/>
            <w:vAlign w:val="center"/>
            <w:hideMark/>
          </w:tcPr>
          <w:p w14:paraId="50386896" w14:textId="77777777" w:rsidR="00C74408" w:rsidRPr="00C72E84" w:rsidRDefault="00C74408" w:rsidP="00C74408">
            <w:pPr>
              <w:rPr>
                <w:strike w:val="0"/>
              </w:rPr>
            </w:pPr>
            <w:r w:rsidRPr="00C72E84">
              <w:rPr>
                <w:strike w:val="0"/>
              </w:rPr>
              <w:t>Total adult encounters</w:t>
            </w:r>
          </w:p>
        </w:tc>
        <w:tc>
          <w:tcPr>
            <w:tcW w:w="0" w:type="auto"/>
            <w:vAlign w:val="center"/>
            <w:hideMark/>
          </w:tcPr>
          <w:p w14:paraId="1F111717" w14:textId="0FF1B8DA" w:rsidR="00C74408" w:rsidRPr="00C74408" w:rsidRDefault="00D3356C" w:rsidP="00C74408">
            <w:pPr>
              <w:rPr>
                <w:strike w:val="0"/>
              </w:rPr>
            </w:pPr>
            <w:r>
              <w:rPr>
                <w:strike w:val="0"/>
              </w:rPr>
              <w:t xml:space="preserve">               </w:t>
            </w:r>
            <w:r w:rsidR="00C74408" w:rsidRPr="00C74408">
              <w:rPr>
                <w:strike w:val="0"/>
              </w:rPr>
              <w:t>2015–2024</w:t>
            </w:r>
          </w:p>
        </w:tc>
        <w:tc>
          <w:tcPr>
            <w:tcW w:w="0" w:type="auto"/>
            <w:vAlign w:val="center"/>
            <w:hideMark/>
          </w:tcPr>
          <w:p w14:paraId="6DAF839A" w14:textId="3D3FBAC6" w:rsidR="00C74408" w:rsidRPr="00C74408" w:rsidRDefault="00C74408" w:rsidP="00C74408">
            <w:pPr>
              <w:rPr>
                <w:strike w:val="0"/>
              </w:rPr>
            </w:pPr>
            <w:r w:rsidRPr="00DB046B">
              <w:rPr>
                <w:strike w:val="0"/>
              </w:rPr>
              <w:t xml:space="preserve">                                                       </w:t>
            </w:r>
            <w:r w:rsidRPr="00C74408">
              <w:rPr>
                <w:strike w:val="0"/>
              </w:rPr>
              <w:t>2,847,693</w:t>
            </w:r>
          </w:p>
        </w:tc>
      </w:tr>
      <w:tr w:rsidR="00C74408" w:rsidRPr="00DB046B" w14:paraId="6D046E26" w14:textId="77777777">
        <w:trPr>
          <w:tblCellSpacing w:w="15" w:type="dxa"/>
        </w:trPr>
        <w:tc>
          <w:tcPr>
            <w:tcW w:w="0" w:type="auto"/>
            <w:vAlign w:val="center"/>
            <w:hideMark/>
          </w:tcPr>
          <w:p w14:paraId="3ED64324" w14:textId="77777777" w:rsidR="00C74408" w:rsidRPr="00C72E84" w:rsidRDefault="00C74408" w:rsidP="00C74408">
            <w:pPr>
              <w:rPr>
                <w:strike w:val="0"/>
              </w:rPr>
            </w:pPr>
            <w:r w:rsidRPr="00C72E84">
              <w:rPr>
                <w:strike w:val="0"/>
              </w:rPr>
              <w:t>Mean annual encounters</w:t>
            </w:r>
          </w:p>
        </w:tc>
        <w:tc>
          <w:tcPr>
            <w:tcW w:w="0" w:type="auto"/>
            <w:vAlign w:val="center"/>
            <w:hideMark/>
          </w:tcPr>
          <w:p w14:paraId="3CDA9F23" w14:textId="680E66D2" w:rsidR="00C74408" w:rsidRPr="00C74408" w:rsidRDefault="00D3356C" w:rsidP="00C74408">
            <w:pPr>
              <w:rPr>
                <w:strike w:val="0"/>
              </w:rPr>
            </w:pPr>
            <w:r>
              <w:rPr>
                <w:strike w:val="0"/>
              </w:rPr>
              <w:t xml:space="preserve">                </w:t>
            </w:r>
            <w:r w:rsidR="00C74408" w:rsidRPr="00C74408">
              <w:rPr>
                <w:strike w:val="0"/>
              </w:rPr>
              <w:t>2015</w:t>
            </w:r>
          </w:p>
        </w:tc>
        <w:tc>
          <w:tcPr>
            <w:tcW w:w="0" w:type="auto"/>
            <w:vAlign w:val="center"/>
            <w:hideMark/>
          </w:tcPr>
          <w:p w14:paraId="2A17C59A" w14:textId="5189BF39" w:rsidR="00C74408" w:rsidRPr="00C74408" w:rsidRDefault="00C74408" w:rsidP="00C74408">
            <w:pPr>
              <w:rPr>
                <w:strike w:val="0"/>
              </w:rPr>
            </w:pPr>
            <w:r w:rsidRPr="00DB046B">
              <w:rPr>
                <w:strike w:val="0"/>
              </w:rPr>
              <w:t xml:space="preserve">                                                          </w:t>
            </w:r>
            <w:r w:rsidRPr="00C74408">
              <w:rPr>
                <w:strike w:val="0"/>
              </w:rPr>
              <w:t>245,678</w:t>
            </w:r>
          </w:p>
        </w:tc>
      </w:tr>
      <w:tr w:rsidR="00C74408" w:rsidRPr="00DB046B" w14:paraId="4627EBE1" w14:textId="77777777">
        <w:trPr>
          <w:tblCellSpacing w:w="15" w:type="dxa"/>
        </w:trPr>
        <w:tc>
          <w:tcPr>
            <w:tcW w:w="0" w:type="auto"/>
            <w:vAlign w:val="center"/>
            <w:hideMark/>
          </w:tcPr>
          <w:p w14:paraId="5E029366" w14:textId="77777777" w:rsidR="00C74408" w:rsidRPr="00C74408" w:rsidRDefault="00C74408" w:rsidP="00C74408">
            <w:pPr>
              <w:rPr>
                <w:strike w:val="0"/>
              </w:rPr>
            </w:pPr>
          </w:p>
        </w:tc>
        <w:tc>
          <w:tcPr>
            <w:tcW w:w="0" w:type="auto"/>
            <w:vAlign w:val="center"/>
            <w:hideMark/>
          </w:tcPr>
          <w:p w14:paraId="23DDA9F7" w14:textId="56207D7B" w:rsidR="00C74408" w:rsidRPr="00C74408" w:rsidRDefault="00D3356C" w:rsidP="00C74408">
            <w:pPr>
              <w:rPr>
                <w:strike w:val="0"/>
              </w:rPr>
            </w:pPr>
            <w:r>
              <w:rPr>
                <w:strike w:val="0"/>
              </w:rPr>
              <w:t xml:space="preserve">                </w:t>
            </w:r>
            <w:r w:rsidR="00C74408" w:rsidRPr="00C74408">
              <w:rPr>
                <w:strike w:val="0"/>
              </w:rPr>
              <w:t>2024</w:t>
            </w:r>
          </w:p>
        </w:tc>
        <w:tc>
          <w:tcPr>
            <w:tcW w:w="0" w:type="auto"/>
            <w:vAlign w:val="center"/>
            <w:hideMark/>
          </w:tcPr>
          <w:p w14:paraId="09CE3084" w14:textId="2DD5ED5D" w:rsidR="00C74408" w:rsidRPr="00C74408" w:rsidRDefault="00C74408" w:rsidP="00C74408">
            <w:pPr>
              <w:rPr>
                <w:strike w:val="0"/>
              </w:rPr>
            </w:pPr>
            <w:r w:rsidRPr="00DB046B">
              <w:rPr>
                <w:strike w:val="0"/>
              </w:rPr>
              <w:t xml:space="preserve">                                                          </w:t>
            </w:r>
            <w:r w:rsidRPr="00C74408">
              <w:rPr>
                <w:strike w:val="0"/>
              </w:rPr>
              <w:t>327,892</w:t>
            </w:r>
          </w:p>
        </w:tc>
      </w:tr>
      <w:tr w:rsidR="00C74408" w:rsidRPr="00DB046B" w14:paraId="1329D1B8" w14:textId="77777777">
        <w:trPr>
          <w:tblCellSpacing w:w="15" w:type="dxa"/>
        </w:trPr>
        <w:tc>
          <w:tcPr>
            <w:tcW w:w="0" w:type="auto"/>
            <w:vAlign w:val="center"/>
            <w:hideMark/>
          </w:tcPr>
          <w:p w14:paraId="0490EBDC" w14:textId="77777777" w:rsidR="00C74408" w:rsidRPr="00C74408" w:rsidRDefault="00C74408" w:rsidP="00C74408">
            <w:pPr>
              <w:rPr>
                <w:strike w:val="0"/>
              </w:rPr>
            </w:pPr>
            <w:r w:rsidRPr="00C74408">
              <w:rPr>
                <w:b/>
                <w:bCs/>
                <w:strike w:val="0"/>
              </w:rPr>
              <w:t>Age group</w:t>
            </w:r>
          </w:p>
        </w:tc>
        <w:tc>
          <w:tcPr>
            <w:tcW w:w="0" w:type="auto"/>
            <w:vAlign w:val="center"/>
            <w:hideMark/>
          </w:tcPr>
          <w:p w14:paraId="46B51796" w14:textId="159B6595" w:rsidR="00C74408" w:rsidRPr="00C74408" w:rsidRDefault="00D3356C" w:rsidP="00C74408">
            <w:pPr>
              <w:rPr>
                <w:strike w:val="0"/>
              </w:rPr>
            </w:pPr>
            <w:r>
              <w:rPr>
                <w:strike w:val="0"/>
              </w:rPr>
              <w:t xml:space="preserve">              </w:t>
            </w:r>
            <w:r w:rsidR="00C74408" w:rsidRPr="00C74408">
              <w:rPr>
                <w:strike w:val="0"/>
              </w:rPr>
              <w:t>18–39 years</w:t>
            </w:r>
          </w:p>
        </w:tc>
        <w:tc>
          <w:tcPr>
            <w:tcW w:w="0" w:type="auto"/>
            <w:vAlign w:val="center"/>
            <w:hideMark/>
          </w:tcPr>
          <w:p w14:paraId="2C56A5F7" w14:textId="29EC11AC" w:rsidR="00C74408" w:rsidRPr="00C74408" w:rsidRDefault="00C74408" w:rsidP="00C74408">
            <w:pPr>
              <w:rPr>
                <w:strike w:val="0"/>
              </w:rPr>
            </w:pPr>
            <w:r w:rsidRPr="00DB046B">
              <w:rPr>
                <w:strike w:val="0"/>
              </w:rPr>
              <w:t xml:space="preserve">                                                                </w:t>
            </w:r>
            <w:r w:rsidRPr="00C74408">
              <w:rPr>
                <w:strike w:val="0"/>
              </w:rPr>
              <w:t>48.3</w:t>
            </w:r>
          </w:p>
        </w:tc>
      </w:tr>
      <w:tr w:rsidR="00C74408" w:rsidRPr="00DB046B" w14:paraId="79360763" w14:textId="77777777">
        <w:trPr>
          <w:tblCellSpacing w:w="15" w:type="dxa"/>
        </w:trPr>
        <w:tc>
          <w:tcPr>
            <w:tcW w:w="0" w:type="auto"/>
            <w:vAlign w:val="center"/>
            <w:hideMark/>
          </w:tcPr>
          <w:p w14:paraId="465F4347" w14:textId="77777777" w:rsidR="00C74408" w:rsidRPr="00C74408" w:rsidRDefault="00C74408" w:rsidP="00C74408">
            <w:pPr>
              <w:rPr>
                <w:strike w:val="0"/>
              </w:rPr>
            </w:pPr>
          </w:p>
        </w:tc>
        <w:tc>
          <w:tcPr>
            <w:tcW w:w="0" w:type="auto"/>
            <w:vAlign w:val="center"/>
            <w:hideMark/>
          </w:tcPr>
          <w:p w14:paraId="4FA4E6EA" w14:textId="0594B7B6" w:rsidR="00C74408" w:rsidRPr="00C74408" w:rsidRDefault="00D3356C" w:rsidP="00C74408">
            <w:pPr>
              <w:rPr>
                <w:strike w:val="0"/>
              </w:rPr>
            </w:pPr>
            <w:r>
              <w:rPr>
                <w:strike w:val="0"/>
              </w:rPr>
              <w:t xml:space="preserve">              </w:t>
            </w:r>
            <w:r w:rsidR="00C74408" w:rsidRPr="00C74408">
              <w:rPr>
                <w:strike w:val="0"/>
              </w:rPr>
              <w:t>40–59 years</w:t>
            </w:r>
          </w:p>
        </w:tc>
        <w:tc>
          <w:tcPr>
            <w:tcW w:w="0" w:type="auto"/>
            <w:vAlign w:val="center"/>
            <w:hideMark/>
          </w:tcPr>
          <w:p w14:paraId="043B7CF9" w14:textId="5B3F7BCE" w:rsidR="00C74408" w:rsidRPr="00C74408" w:rsidRDefault="00C74408" w:rsidP="00C74408">
            <w:pPr>
              <w:rPr>
                <w:strike w:val="0"/>
              </w:rPr>
            </w:pPr>
            <w:r w:rsidRPr="00DB046B">
              <w:rPr>
                <w:strike w:val="0"/>
              </w:rPr>
              <w:t xml:space="preserve">                                                                </w:t>
            </w:r>
            <w:r w:rsidRPr="00C74408">
              <w:rPr>
                <w:strike w:val="0"/>
              </w:rPr>
              <w:t>32.1</w:t>
            </w:r>
          </w:p>
        </w:tc>
      </w:tr>
      <w:tr w:rsidR="00C74408" w:rsidRPr="00DB046B" w14:paraId="3FA091C1" w14:textId="77777777">
        <w:trPr>
          <w:tblCellSpacing w:w="15" w:type="dxa"/>
        </w:trPr>
        <w:tc>
          <w:tcPr>
            <w:tcW w:w="0" w:type="auto"/>
            <w:vAlign w:val="center"/>
            <w:hideMark/>
          </w:tcPr>
          <w:p w14:paraId="28C6643E" w14:textId="77777777" w:rsidR="00C74408" w:rsidRPr="00C74408" w:rsidRDefault="00C74408" w:rsidP="00C74408">
            <w:pPr>
              <w:rPr>
                <w:strike w:val="0"/>
              </w:rPr>
            </w:pPr>
          </w:p>
        </w:tc>
        <w:tc>
          <w:tcPr>
            <w:tcW w:w="0" w:type="auto"/>
            <w:vAlign w:val="center"/>
            <w:hideMark/>
          </w:tcPr>
          <w:p w14:paraId="5E005AFD" w14:textId="4872B9B0" w:rsidR="00C74408" w:rsidRPr="00C74408" w:rsidRDefault="00D3356C" w:rsidP="00C74408">
            <w:pPr>
              <w:rPr>
                <w:strike w:val="0"/>
              </w:rPr>
            </w:pPr>
            <w:r>
              <w:rPr>
                <w:strike w:val="0"/>
              </w:rPr>
              <w:t xml:space="preserve">              </w:t>
            </w:r>
            <w:r w:rsidR="00C74408" w:rsidRPr="00C74408">
              <w:rPr>
                <w:strike w:val="0"/>
              </w:rPr>
              <w:t>≥60 years</w:t>
            </w:r>
          </w:p>
        </w:tc>
        <w:tc>
          <w:tcPr>
            <w:tcW w:w="0" w:type="auto"/>
            <w:vAlign w:val="center"/>
            <w:hideMark/>
          </w:tcPr>
          <w:p w14:paraId="4EAF8C27" w14:textId="2CD1658C" w:rsidR="00C74408" w:rsidRPr="00C74408" w:rsidRDefault="00C74408" w:rsidP="00C74408">
            <w:pPr>
              <w:rPr>
                <w:strike w:val="0"/>
              </w:rPr>
            </w:pPr>
            <w:r w:rsidRPr="00DB046B">
              <w:rPr>
                <w:strike w:val="0"/>
              </w:rPr>
              <w:t xml:space="preserve">                                                                </w:t>
            </w:r>
            <w:r w:rsidRPr="00C74408">
              <w:rPr>
                <w:strike w:val="0"/>
              </w:rPr>
              <w:t>19.6</w:t>
            </w:r>
          </w:p>
        </w:tc>
      </w:tr>
      <w:tr w:rsidR="00C74408" w:rsidRPr="00DB046B" w14:paraId="68351CC7" w14:textId="77777777">
        <w:trPr>
          <w:tblCellSpacing w:w="15" w:type="dxa"/>
        </w:trPr>
        <w:tc>
          <w:tcPr>
            <w:tcW w:w="0" w:type="auto"/>
            <w:vAlign w:val="center"/>
            <w:hideMark/>
          </w:tcPr>
          <w:p w14:paraId="0E046DEF" w14:textId="77777777" w:rsidR="00C74408" w:rsidRPr="00C74408" w:rsidRDefault="00C74408" w:rsidP="00C74408">
            <w:pPr>
              <w:rPr>
                <w:strike w:val="0"/>
              </w:rPr>
            </w:pPr>
            <w:r w:rsidRPr="00C74408">
              <w:rPr>
                <w:b/>
                <w:bCs/>
                <w:strike w:val="0"/>
              </w:rPr>
              <w:t>Sex</w:t>
            </w:r>
          </w:p>
        </w:tc>
        <w:tc>
          <w:tcPr>
            <w:tcW w:w="0" w:type="auto"/>
            <w:vAlign w:val="center"/>
            <w:hideMark/>
          </w:tcPr>
          <w:p w14:paraId="5AFA34FA" w14:textId="1EF784F6" w:rsidR="00C74408" w:rsidRPr="00C74408" w:rsidRDefault="00D3356C" w:rsidP="00C74408">
            <w:pPr>
              <w:rPr>
                <w:strike w:val="0"/>
              </w:rPr>
            </w:pPr>
            <w:r>
              <w:rPr>
                <w:strike w:val="0"/>
              </w:rPr>
              <w:t xml:space="preserve">                 </w:t>
            </w:r>
            <w:r w:rsidR="00C74408" w:rsidRPr="00C74408">
              <w:rPr>
                <w:strike w:val="0"/>
              </w:rPr>
              <w:t>Male</w:t>
            </w:r>
          </w:p>
        </w:tc>
        <w:tc>
          <w:tcPr>
            <w:tcW w:w="0" w:type="auto"/>
            <w:vAlign w:val="center"/>
            <w:hideMark/>
          </w:tcPr>
          <w:p w14:paraId="4BCF3BC7" w14:textId="15E45F51" w:rsidR="00C74408" w:rsidRPr="00C74408" w:rsidRDefault="00C74408" w:rsidP="00C74408">
            <w:pPr>
              <w:rPr>
                <w:strike w:val="0"/>
              </w:rPr>
            </w:pPr>
            <w:r w:rsidRPr="00DB046B">
              <w:rPr>
                <w:strike w:val="0"/>
              </w:rPr>
              <w:t xml:space="preserve">                                                                </w:t>
            </w:r>
            <w:r w:rsidRPr="00C74408">
              <w:rPr>
                <w:strike w:val="0"/>
              </w:rPr>
              <w:t>45.3</w:t>
            </w:r>
          </w:p>
        </w:tc>
      </w:tr>
      <w:tr w:rsidR="00C74408" w:rsidRPr="00DB046B" w14:paraId="48ACA593" w14:textId="77777777">
        <w:trPr>
          <w:tblCellSpacing w:w="15" w:type="dxa"/>
        </w:trPr>
        <w:tc>
          <w:tcPr>
            <w:tcW w:w="0" w:type="auto"/>
            <w:vAlign w:val="center"/>
            <w:hideMark/>
          </w:tcPr>
          <w:p w14:paraId="589DF62D" w14:textId="77777777" w:rsidR="00C74408" w:rsidRPr="00C74408" w:rsidRDefault="00C74408" w:rsidP="00C74408">
            <w:pPr>
              <w:rPr>
                <w:strike w:val="0"/>
              </w:rPr>
            </w:pPr>
          </w:p>
        </w:tc>
        <w:tc>
          <w:tcPr>
            <w:tcW w:w="0" w:type="auto"/>
            <w:vAlign w:val="center"/>
            <w:hideMark/>
          </w:tcPr>
          <w:p w14:paraId="3EFA0E2A" w14:textId="46E9EC86" w:rsidR="00C74408" w:rsidRPr="00C74408" w:rsidRDefault="00D3356C" w:rsidP="00C74408">
            <w:pPr>
              <w:rPr>
                <w:strike w:val="0"/>
              </w:rPr>
            </w:pPr>
            <w:r>
              <w:rPr>
                <w:strike w:val="0"/>
              </w:rPr>
              <w:t xml:space="preserve">                 </w:t>
            </w:r>
            <w:r w:rsidR="00C74408" w:rsidRPr="00C74408">
              <w:rPr>
                <w:strike w:val="0"/>
              </w:rPr>
              <w:t>Female</w:t>
            </w:r>
          </w:p>
        </w:tc>
        <w:tc>
          <w:tcPr>
            <w:tcW w:w="0" w:type="auto"/>
            <w:vAlign w:val="center"/>
            <w:hideMark/>
          </w:tcPr>
          <w:p w14:paraId="19FE37BA" w14:textId="041496AF" w:rsidR="00C74408" w:rsidRPr="00C74408" w:rsidRDefault="00C74408" w:rsidP="00C74408">
            <w:pPr>
              <w:rPr>
                <w:strike w:val="0"/>
              </w:rPr>
            </w:pPr>
            <w:r w:rsidRPr="00DB046B">
              <w:rPr>
                <w:strike w:val="0"/>
              </w:rPr>
              <w:t xml:space="preserve">                                                                </w:t>
            </w:r>
            <w:r w:rsidRPr="00C74408">
              <w:rPr>
                <w:strike w:val="0"/>
              </w:rPr>
              <w:t>54.7</w:t>
            </w:r>
          </w:p>
        </w:tc>
      </w:tr>
      <w:tr w:rsidR="00C74408" w:rsidRPr="00DB046B" w14:paraId="6B23445B" w14:textId="77777777">
        <w:trPr>
          <w:tblCellSpacing w:w="15" w:type="dxa"/>
        </w:trPr>
        <w:tc>
          <w:tcPr>
            <w:tcW w:w="0" w:type="auto"/>
            <w:vAlign w:val="center"/>
            <w:hideMark/>
          </w:tcPr>
          <w:p w14:paraId="2258CB6D" w14:textId="77777777" w:rsidR="00C74408" w:rsidRPr="00C74408" w:rsidRDefault="00C74408" w:rsidP="00C74408">
            <w:pPr>
              <w:rPr>
                <w:strike w:val="0"/>
              </w:rPr>
            </w:pPr>
            <w:r w:rsidRPr="00C74408">
              <w:rPr>
                <w:b/>
                <w:bCs/>
                <w:strike w:val="0"/>
              </w:rPr>
              <w:t>Residence</w:t>
            </w:r>
          </w:p>
        </w:tc>
        <w:tc>
          <w:tcPr>
            <w:tcW w:w="0" w:type="auto"/>
            <w:vAlign w:val="center"/>
            <w:hideMark/>
          </w:tcPr>
          <w:p w14:paraId="4380D1F7" w14:textId="414DFD5F" w:rsidR="00C74408" w:rsidRPr="00C74408" w:rsidRDefault="00D3356C" w:rsidP="00C74408">
            <w:pPr>
              <w:rPr>
                <w:strike w:val="0"/>
              </w:rPr>
            </w:pPr>
            <w:r>
              <w:rPr>
                <w:strike w:val="0"/>
              </w:rPr>
              <w:t xml:space="preserve">               </w:t>
            </w:r>
            <w:r w:rsidR="00C72E84">
              <w:rPr>
                <w:strike w:val="0"/>
              </w:rPr>
              <w:t xml:space="preserve"> </w:t>
            </w:r>
            <w:r>
              <w:rPr>
                <w:strike w:val="0"/>
              </w:rPr>
              <w:t xml:space="preserve"> </w:t>
            </w:r>
            <w:r w:rsidR="00C74408" w:rsidRPr="00C74408">
              <w:rPr>
                <w:strike w:val="0"/>
              </w:rPr>
              <w:t>Urban</w:t>
            </w:r>
          </w:p>
        </w:tc>
        <w:tc>
          <w:tcPr>
            <w:tcW w:w="0" w:type="auto"/>
            <w:vAlign w:val="center"/>
            <w:hideMark/>
          </w:tcPr>
          <w:p w14:paraId="4003C181" w14:textId="179829C9" w:rsidR="00C74408" w:rsidRPr="00C74408" w:rsidRDefault="00C74408" w:rsidP="00C74408">
            <w:pPr>
              <w:rPr>
                <w:strike w:val="0"/>
              </w:rPr>
            </w:pPr>
            <w:r w:rsidRPr="00DB046B">
              <w:rPr>
                <w:strike w:val="0"/>
              </w:rPr>
              <w:t xml:space="preserve">                                                                </w:t>
            </w:r>
            <w:r w:rsidRPr="00C74408">
              <w:rPr>
                <w:strike w:val="0"/>
              </w:rPr>
              <w:t>63.4</w:t>
            </w:r>
          </w:p>
        </w:tc>
      </w:tr>
      <w:tr w:rsidR="00C74408" w:rsidRPr="00DB046B" w14:paraId="7288167D" w14:textId="77777777">
        <w:trPr>
          <w:tblCellSpacing w:w="15" w:type="dxa"/>
        </w:trPr>
        <w:tc>
          <w:tcPr>
            <w:tcW w:w="0" w:type="auto"/>
            <w:vAlign w:val="center"/>
            <w:hideMark/>
          </w:tcPr>
          <w:p w14:paraId="430256BD" w14:textId="77777777" w:rsidR="00C74408" w:rsidRPr="00C74408" w:rsidRDefault="00C74408" w:rsidP="00C74408">
            <w:pPr>
              <w:rPr>
                <w:strike w:val="0"/>
              </w:rPr>
            </w:pPr>
          </w:p>
        </w:tc>
        <w:tc>
          <w:tcPr>
            <w:tcW w:w="0" w:type="auto"/>
            <w:vAlign w:val="center"/>
            <w:hideMark/>
          </w:tcPr>
          <w:p w14:paraId="4BC657EB" w14:textId="67FE0977" w:rsidR="00C74408" w:rsidRPr="00C74408" w:rsidRDefault="00D3356C" w:rsidP="00C74408">
            <w:pPr>
              <w:rPr>
                <w:strike w:val="0"/>
              </w:rPr>
            </w:pPr>
            <w:r>
              <w:rPr>
                <w:strike w:val="0"/>
              </w:rPr>
              <w:t xml:space="preserve">               </w:t>
            </w:r>
            <w:r w:rsidR="00C72E84">
              <w:rPr>
                <w:strike w:val="0"/>
              </w:rPr>
              <w:t xml:space="preserve"> </w:t>
            </w:r>
            <w:r>
              <w:rPr>
                <w:strike w:val="0"/>
              </w:rPr>
              <w:t xml:space="preserve"> </w:t>
            </w:r>
            <w:r w:rsidR="00C74408" w:rsidRPr="00C74408">
              <w:rPr>
                <w:strike w:val="0"/>
              </w:rPr>
              <w:t>Rural</w:t>
            </w:r>
          </w:p>
        </w:tc>
        <w:tc>
          <w:tcPr>
            <w:tcW w:w="0" w:type="auto"/>
            <w:vAlign w:val="center"/>
            <w:hideMark/>
          </w:tcPr>
          <w:p w14:paraId="1327A23F" w14:textId="12DABDD3" w:rsidR="00C74408" w:rsidRPr="00C74408" w:rsidRDefault="00C74408" w:rsidP="00C74408">
            <w:pPr>
              <w:rPr>
                <w:strike w:val="0"/>
              </w:rPr>
            </w:pPr>
            <w:r w:rsidRPr="00DB046B">
              <w:rPr>
                <w:strike w:val="0"/>
              </w:rPr>
              <w:t xml:space="preserve">                                                                </w:t>
            </w:r>
            <w:r w:rsidRPr="00C74408">
              <w:rPr>
                <w:strike w:val="0"/>
              </w:rPr>
              <w:t>36.6</w:t>
            </w:r>
          </w:p>
        </w:tc>
      </w:tr>
      <w:tr w:rsidR="00C74408" w:rsidRPr="00DB046B" w14:paraId="61214897" w14:textId="77777777">
        <w:trPr>
          <w:tblCellSpacing w:w="15" w:type="dxa"/>
        </w:trPr>
        <w:tc>
          <w:tcPr>
            <w:tcW w:w="0" w:type="auto"/>
            <w:vAlign w:val="center"/>
            <w:hideMark/>
          </w:tcPr>
          <w:p w14:paraId="69D39DD0" w14:textId="77777777" w:rsidR="00C74408" w:rsidRPr="00C74408" w:rsidRDefault="00C74408" w:rsidP="00C74408">
            <w:pPr>
              <w:rPr>
                <w:strike w:val="0"/>
              </w:rPr>
            </w:pPr>
            <w:r w:rsidRPr="00C74408">
              <w:rPr>
                <w:b/>
                <w:bCs/>
                <w:strike w:val="0"/>
              </w:rPr>
              <w:t>Education</w:t>
            </w:r>
            <w:r w:rsidRPr="00C74408">
              <w:rPr>
                <w:strike w:val="0"/>
              </w:rPr>
              <w:t xml:space="preserve"> (n = 4,892)</w:t>
            </w:r>
          </w:p>
        </w:tc>
        <w:tc>
          <w:tcPr>
            <w:tcW w:w="0" w:type="auto"/>
            <w:vAlign w:val="center"/>
            <w:hideMark/>
          </w:tcPr>
          <w:p w14:paraId="765A1DAF" w14:textId="77777777" w:rsidR="00C74408" w:rsidRPr="00C74408" w:rsidRDefault="00C74408" w:rsidP="00C74408">
            <w:pPr>
              <w:rPr>
                <w:strike w:val="0"/>
              </w:rPr>
            </w:pPr>
            <w:r w:rsidRPr="00C74408">
              <w:rPr>
                <w:strike w:val="0"/>
              </w:rPr>
              <w:t>No formal education</w:t>
            </w:r>
          </w:p>
        </w:tc>
        <w:tc>
          <w:tcPr>
            <w:tcW w:w="0" w:type="auto"/>
            <w:vAlign w:val="center"/>
            <w:hideMark/>
          </w:tcPr>
          <w:p w14:paraId="7A31BCB4" w14:textId="4C809DD2" w:rsidR="00C74408" w:rsidRPr="00C74408" w:rsidRDefault="00C74408" w:rsidP="00C74408">
            <w:pPr>
              <w:rPr>
                <w:strike w:val="0"/>
              </w:rPr>
            </w:pPr>
            <w:r w:rsidRPr="00DB046B">
              <w:rPr>
                <w:strike w:val="0"/>
              </w:rPr>
              <w:t xml:space="preserve">                                                                </w:t>
            </w:r>
            <w:r w:rsidRPr="00C74408">
              <w:rPr>
                <w:strike w:val="0"/>
              </w:rPr>
              <w:t>28.3</w:t>
            </w:r>
          </w:p>
        </w:tc>
      </w:tr>
      <w:tr w:rsidR="00C74408" w:rsidRPr="00DB046B" w14:paraId="1AEC3EC2" w14:textId="77777777">
        <w:trPr>
          <w:tblCellSpacing w:w="15" w:type="dxa"/>
        </w:trPr>
        <w:tc>
          <w:tcPr>
            <w:tcW w:w="0" w:type="auto"/>
            <w:vAlign w:val="center"/>
            <w:hideMark/>
          </w:tcPr>
          <w:p w14:paraId="54EAA4CB" w14:textId="77777777" w:rsidR="00C74408" w:rsidRPr="00C74408" w:rsidRDefault="00C74408" w:rsidP="00C74408">
            <w:pPr>
              <w:rPr>
                <w:strike w:val="0"/>
              </w:rPr>
            </w:pPr>
          </w:p>
        </w:tc>
        <w:tc>
          <w:tcPr>
            <w:tcW w:w="0" w:type="auto"/>
            <w:vAlign w:val="center"/>
            <w:hideMark/>
          </w:tcPr>
          <w:p w14:paraId="48C0D4B7" w14:textId="7A8A7CD1" w:rsidR="00C74408" w:rsidRPr="00C74408" w:rsidRDefault="00D3356C" w:rsidP="00C74408">
            <w:pPr>
              <w:rPr>
                <w:strike w:val="0"/>
              </w:rPr>
            </w:pPr>
            <w:r>
              <w:rPr>
                <w:strike w:val="0"/>
              </w:rPr>
              <w:t xml:space="preserve">               </w:t>
            </w:r>
            <w:r w:rsidR="00C74408" w:rsidRPr="00C74408">
              <w:rPr>
                <w:strike w:val="0"/>
              </w:rPr>
              <w:t>Primary</w:t>
            </w:r>
          </w:p>
        </w:tc>
        <w:tc>
          <w:tcPr>
            <w:tcW w:w="0" w:type="auto"/>
            <w:vAlign w:val="center"/>
            <w:hideMark/>
          </w:tcPr>
          <w:p w14:paraId="28AD4992" w14:textId="63B3A510" w:rsidR="00C74408" w:rsidRPr="00C74408" w:rsidRDefault="00C74408" w:rsidP="00C74408">
            <w:pPr>
              <w:rPr>
                <w:strike w:val="0"/>
              </w:rPr>
            </w:pPr>
            <w:r w:rsidRPr="00DB046B">
              <w:rPr>
                <w:strike w:val="0"/>
              </w:rPr>
              <w:t xml:space="preserve">                                                                </w:t>
            </w:r>
            <w:r w:rsidRPr="00C74408">
              <w:rPr>
                <w:strike w:val="0"/>
              </w:rPr>
              <w:t>24.6</w:t>
            </w:r>
          </w:p>
        </w:tc>
      </w:tr>
      <w:tr w:rsidR="00C74408" w:rsidRPr="00DB046B" w14:paraId="4A211DAC" w14:textId="77777777">
        <w:trPr>
          <w:tblCellSpacing w:w="15" w:type="dxa"/>
        </w:trPr>
        <w:tc>
          <w:tcPr>
            <w:tcW w:w="0" w:type="auto"/>
            <w:vAlign w:val="center"/>
            <w:hideMark/>
          </w:tcPr>
          <w:p w14:paraId="74304E59" w14:textId="77777777" w:rsidR="00C74408" w:rsidRPr="00C74408" w:rsidRDefault="00C74408" w:rsidP="00C74408">
            <w:pPr>
              <w:rPr>
                <w:strike w:val="0"/>
              </w:rPr>
            </w:pPr>
          </w:p>
        </w:tc>
        <w:tc>
          <w:tcPr>
            <w:tcW w:w="0" w:type="auto"/>
            <w:vAlign w:val="center"/>
            <w:hideMark/>
          </w:tcPr>
          <w:p w14:paraId="7C3A9D2C" w14:textId="74DB3E25" w:rsidR="00C74408" w:rsidRPr="00C74408" w:rsidRDefault="00D3356C" w:rsidP="00C74408">
            <w:pPr>
              <w:rPr>
                <w:strike w:val="0"/>
              </w:rPr>
            </w:pPr>
            <w:r>
              <w:rPr>
                <w:strike w:val="0"/>
              </w:rPr>
              <w:t xml:space="preserve">            </w:t>
            </w:r>
            <w:r w:rsidR="00C74408" w:rsidRPr="00C74408">
              <w:rPr>
                <w:strike w:val="0"/>
              </w:rPr>
              <w:t>Secondary</w:t>
            </w:r>
          </w:p>
        </w:tc>
        <w:tc>
          <w:tcPr>
            <w:tcW w:w="0" w:type="auto"/>
            <w:vAlign w:val="center"/>
            <w:hideMark/>
          </w:tcPr>
          <w:p w14:paraId="6FAC901A" w14:textId="629F1FE6" w:rsidR="00C74408" w:rsidRPr="00C74408" w:rsidRDefault="00C74408" w:rsidP="00C74408">
            <w:pPr>
              <w:rPr>
                <w:strike w:val="0"/>
              </w:rPr>
            </w:pPr>
            <w:r w:rsidRPr="00DB046B">
              <w:rPr>
                <w:strike w:val="0"/>
              </w:rPr>
              <w:t xml:space="preserve">                                                                </w:t>
            </w:r>
            <w:r w:rsidRPr="00C74408">
              <w:rPr>
                <w:strike w:val="0"/>
              </w:rPr>
              <w:t>31.2</w:t>
            </w:r>
          </w:p>
        </w:tc>
      </w:tr>
      <w:tr w:rsidR="00C74408" w:rsidRPr="00DB046B" w14:paraId="540BBF29" w14:textId="77777777">
        <w:trPr>
          <w:tblCellSpacing w:w="15" w:type="dxa"/>
        </w:trPr>
        <w:tc>
          <w:tcPr>
            <w:tcW w:w="0" w:type="auto"/>
            <w:vAlign w:val="center"/>
            <w:hideMark/>
          </w:tcPr>
          <w:p w14:paraId="737C1C6F" w14:textId="77777777" w:rsidR="00C74408" w:rsidRPr="00C74408" w:rsidRDefault="00C74408" w:rsidP="00C74408">
            <w:pPr>
              <w:rPr>
                <w:strike w:val="0"/>
              </w:rPr>
            </w:pPr>
          </w:p>
        </w:tc>
        <w:tc>
          <w:tcPr>
            <w:tcW w:w="0" w:type="auto"/>
            <w:vAlign w:val="center"/>
            <w:hideMark/>
          </w:tcPr>
          <w:p w14:paraId="7B5BBD11" w14:textId="70848EB5" w:rsidR="00C74408" w:rsidRPr="00C74408" w:rsidRDefault="00D3356C" w:rsidP="00C74408">
            <w:pPr>
              <w:rPr>
                <w:strike w:val="0"/>
              </w:rPr>
            </w:pPr>
            <w:r>
              <w:rPr>
                <w:strike w:val="0"/>
              </w:rPr>
              <w:t xml:space="preserve">             </w:t>
            </w:r>
            <w:r w:rsidR="00C74408" w:rsidRPr="00C74408">
              <w:rPr>
                <w:strike w:val="0"/>
              </w:rPr>
              <w:t>Tertiary</w:t>
            </w:r>
          </w:p>
        </w:tc>
        <w:tc>
          <w:tcPr>
            <w:tcW w:w="0" w:type="auto"/>
            <w:vAlign w:val="center"/>
            <w:hideMark/>
          </w:tcPr>
          <w:p w14:paraId="09712100" w14:textId="5C3A8662" w:rsidR="00C74408" w:rsidRPr="00C74408" w:rsidRDefault="00C74408" w:rsidP="00C74408">
            <w:pPr>
              <w:rPr>
                <w:strike w:val="0"/>
              </w:rPr>
            </w:pPr>
            <w:r w:rsidRPr="00DB046B">
              <w:rPr>
                <w:strike w:val="0"/>
              </w:rPr>
              <w:t xml:space="preserve">                                                                </w:t>
            </w:r>
            <w:r w:rsidRPr="00C74408">
              <w:rPr>
                <w:strike w:val="0"/>
              </w:rPr>
              <w:t>15.9</w:t>
            </w:r>
          </w:p>
        </w:tc>
      </w:tr>
      <w:tr w:rsidR="00C74408" w:rsidRPr="00DB046B" w14:paraId="41455C9F" w14:textId="77777777">
        <w:trPr>
          <w:tblCellSpacing w:w="15" w:type="dxa"/>
        </w:trPr>
        <w:tc>
          <w:tcPr>
            <w:tcW w:w="0" w:type="auto"/>
            <w:vAlign w:val="center"/>
            <w:hideMark/>
          </w:tcPr>
          <w:p w14:paraId="61B170A4" w14:textId="77777777" w:rsidR="00C74408" w:rsidRPr="00C74408" w:rsidRDefault="00C74408" w:rsidP="00C74408">
            <w:pPr>
              <w:rPr>
                <w:strike w:val="0"/>
              </w:rPr>
            </w:pPr>
            <w:r w:rsidRPr="00C74408">
              <w:rPr>
                <w:b/>
                <w:bCs/>
                <w:strike w:val="0"/>
              </w:rPr>
              <w:t>Occupation</w:t>
            </w:r>
          </w:p>
        </w:tc>
        <w:tc>
          <w:tcPr>
            <w:tcW w:w="0" w:type="auto"/>
            <w:vAlign w:val="center"/>
            <w:hideMark/>
          </w:tcPr>
          <w:p w14:paraId="6F3B413B" w14:textId="49B6AC07" w:rsidR="00C74408" w:rsidRPr="00C74408" w:rsidRDefault="00D3356C" w:rsidP="00C74408">
            <w:pPr>
              <w:rPr>
                <w:strike w:val="0"/>
              </w:rPr>
            </w:pPr>
            <w:r>
              <w:rPr>
                <w:strike w:val="0"/>
              </w:rPr>
              <w:t xml:space="preserve"> </w:t>
            </w:r>
            <w:r w:rsidR="00C74408" w:rsidRPr="00C74408">
              <w:rPr>
                <w:strike w:val="0"/>
              </w:rPr>
              <w:t>Skilled/professional</w:t>
            </w:r>
          </w:p>
        </w:tc>
        <w:tc>
          <w:tcPr>
            <w:tcW w:w="0" w:type="auto"/>
            <w:vAlign w:val="center"/>
            <w:hideMark/>
          </w:tcPr>
          <w:p w14:paraId="4F4265B9" w14:textId="6A50D71C" w:rsidR="00C74408" w:rsidRPr="00C74408" w:rsidRDefault="00C74408" w:rsidP="00C74408">
            <w:pPr>
              <w:rPr>
                <w:strike w:val="0"/>
              </w:rPr>
            </w:pPr>
            <w:r w:rsidRPr="00DB046B">
              <w:rPr>
                <w:strike w:val="0"/>
              </w:rPr>
              <w:t xml:space="preserve">                                                                </w:t>
            </w:r>
            <w:r w:rsidRPr="00C74408">
              <w:rPr>
                <w:strike w:val="0"/>
              </w:rPr>
              <w:t>34.7</w:t>
            </w:r>
          </w:p>
        </w:tc>
      </w:tr>
      <w:tr w:rsidR="00C74408" w:rsidRPr="00DB046B" w14:paraId="6DD5A186" w14:textId="77777777">
        <w:trPr>
          <w:tblCellSpacing w:w="15" w:type="dxa"/>
        </w:trPr>
        <w:tc>
          <w:tcPr>
            <w:tcW w:w="0" w:type="auto"/>
            <w:vAlign w:val="center"/>
            <w:hideMark/>
          </w:tcPr>
          <w:p w14:paraId="1CFF279D" w14:textId="77777777" w:rsidR="00C74408" w:rsidRPr="00C74408" w:rsidRDefault="00C74408" w:rsidP="00C74408">
            <w:pPr>
              <w:rPr>
                <w:strike w:val="0"/>
              </w:rPr>
            </w:pPr>
          </w:p>
        </w:tc>
        <w:tc>
          <w:tcPr>
            <w:tcW w:w="0" w:type="auto"/>
            <w:vAlign w:val="center"/>
            <w:hideMark/>
          </w:tcPr>
          <w:p w14:paraId="039F8270" w14:textId="5EBA75A2" w:rsidR="00C74408" w:rsidRPr="00C74408" w:rsidRDefault="00D3356C" w:rsidP="00C74408">
            <w:pPr>
              <w:rPr>
                <w:strike w:val="0"/>
              </w:rPr>
            </w:pPr>
            <w:r>
              <w:rPr>
                <w:strike w:val="0"/>
              </w:rPr>
              <w:t xml:space="preserve">  </w:t>
            </w:r>
            <w:r w:rsidR="00C74408" w:rsidRPr="00C74408">
              <w:rPr>
                <w:strike w:val="0"/>
              </w:rPr>
              <w:t xml:space="preserve">Unskilled </w:t>
            </w:r>
            <w:proofErr w:type="spellStart"/>
            <w:r w:rsidR="00C74408" w:rsidRPr="00C74408">
              <w:rPr>
                <w:strike w:val="0"/>
              </w:rPr>
              <w:t>labour</w:t>
            </w:r>
            <w:proofErr w:type="spellEnd"/>
          </w:p>
        </w:tc>
        <w:tc>
          <w:tcPr>
            <w:tcW w:w="0" w:type="auto"/>
            <w:vAlign w:val="center"/>
            <w:hideMark/>
          </w:tcPr>
          <w:p w14:paraId="195BB258" w14:textId="7A53BB5C" w:rsidR="00C74408" w:rsidRPr="00C74408" w:rsidRDefault="00C74408" w:rsidP="00C74408">
            <w:pPr>
              <w:rPr>
                <w:strike w:val="0"/>
              </w:rPr>
            </w:pPr>
            <w:r w:rsidRPr="00DB046B">
              <w:rPr>
                <w:strike w:val="0"/>
              </w:rPr>
              <w:t xml:space="preserve">                                                                </w:t>
            </w:r>
            <w:r w:rsidRPr="00C74408">
              <w:rPr>
                <w:strike w:val="0"/>
              </w:rPr>
              <w:t>28.9</w:t>
            </w:r>
          </w:p>
        </w:tc>
      </w:tr>
      <w:tr w:rsidR="00C74408" w:rsidRPr="00DB046B" w14:paraId="1BC3F198" w14:textId="77777777">
        <w:trPr>
          <w:tblCellSpacing w:w="15" w:type="dxa"/>
        </w:trPr>
        <w:tc>
          <w:tcPr>
            <w:tcW w:w="0" w:type="auto"/>
            <w:vAlign w:val="center"/>
            <w:hideMark/>
          </w:tcPr>
          <w:p w14:paraId="37A27D6D" w14:textId="77777777" w:rsidR="00C74408" w:rsidRPr="00C74408" w:rsidRDefault="00C74408" w:rsidP="00C74408">
            <w:pPr>
              <w:rPr>
                <w:strike w:val="0"/>
              </w:rPr>
            </w:pPr>
          </w:p>
        </w:tc>
        <w:tc>
          <w:tcPr>
            <w:tcW w:w="0" w:type="auto"/>
            <w:vAlign w:val="center"/>
            <w:hideMark/>
          </w:tcPr>
          <w:p w14:paraId="6FB2A03A" w14:textId="2DF0D7A7" w:rsidR="00C74408" w:rsidRPr="00C74408" w:rsidRDefault="00D3356C" w:rsidP="00C74408">
            <w:pPr>
              <w:rPr>
                <w:strike w:val="0"/>
              </w:rPr>
            </w:pPr>
            <w:r>
              <w:rPr>
                <w:strike w:val="0"/>
              </w:rPr>
              <w:t xml:space="preserve">   </w:t>
            </w:r>
            <w:r w:rsidR="00C74408" w:rsidRPr="00C74408">
              <w:rPr>
                <w:strike w:val="0"/>
              </w:rPr>
              <w:t>Unemployed</w:t>
            </w:r>
          </w:p>
        </w:tc>
        <w:tc>
          <w:tcPr>
            <w:tcW w:w="0" w:type="auto"/>
            <w:vAlign w:val="center"/>
            <w:hideMark/>
          </w:tcPr>
          <w:p w14:paraId="32B9C4E9" w14:textId="4F834FAC" w:rsidR="00C74408" w:rsidRPr="00C74408" w:rsidRDefault="00C74408" w:rsidP="00C74408">
            <w:pPr>
              <w:rPr>
                <w:strike w:val="0"/>
              </w:rPr>
            </w:pPr>
            <w:r w:rsidRPr="00DB046B">
              <w:rPr>
                <w:strike w:val="0"/>
              </w:rPr>
              <w:t xml:space="preserve">                                                                </w:t>
            </w:r>
            <w:r w:rsidRPr="00C74408">
              <w:rPr>
                <w:strike w:val="0"/>
              </w:rPr>
              <w:t>21.3</w:t>
            </w:r>
          </w:p>
        </w:tc>
      </w:tr>
      <w:tr w:rsidR="00C74408" w:rsidRPr="00DB046B" w14:paraId="2FFEA9FD" w14:textId="77777777">
        <w:trPr>
          <w:tblCellSpacing w:w="15" w:type="dxa"/>
        </w:trPr>
        <w:tc>
          <w:tcPr>
            <w:tcW w:w="0" w:type="auto"/>
            <w:vAlign w:val="center"/>
            <w:hideMark/>
          </w:tcPr>
          <w:p w14:paraId="47180A9E" w14:textId="77777777" w:rsidR="00C74408" w:rsidRPr="00C74408" w:rsidRDefault="00C74408" w:rsidP="00C74408">
            <w:pPr>
              <w:rPr>
                <w:strike w:val="0"/>
              </w:rPr>
            </w:pPr>
          </w:p>
        </w:tc>
        <w:tc>
          <w:tcPr>
            <w:tcW w:w="0" w:type="auto"/>
            <w:vAlign w:val="center"/>
            <w:hideMark/>
          </w:tcPr>
          <w:p w14:paraId="005C244C" w14:textId="41E39218" w:rsidR="00C74408" w:rsidRPr="00C74408" w:rsidRDefault="00D3356C" w:rsidP="00C74408">
            <w:pPr>
              <w:rPr>
                <w:strike w:val="0"/>
              </w:rPr>
            </w:pPr>
            <w:r>
              <w:rPr>
                <w:strike w:val="0"/>
              </w:rPr>
              <w:t xml:space="preserve">    </w:t>
            </w:r>
            <w:r w:rsidR="00C74408" w:rsidRPr="00C74408">
              <w:rPr>
                <w:strike w:val="0"/>
              </w:rPr>
              <w:t>Retirees</w:t>
            </w:r>
          </w:p>
        </w:tc>
        <w:tc>
          <w:tcPr>
            <w:tcW w:w="0" w:type="auto"/>
            <w:vAlign w:val="center"/>
            <w:hideMark/>
          </w:tcPr>
          <w:p w14:paraId="69E9235E" w14:textId="576557B0" w:rsidR="00C74408" w:rsidRPr="00C74408" w:rsidRDefault="00C74408" w:rsidP="00C74408">
            <w:pPr>
              <w:rPr>
                <w:strike w:val="0"/>
              </w:rPr>
            </w:pPr>
            <w:r w:rsidRPr="00DB046B">
              <w:rPr>
                <w:strike w:val="0"/>
              </w:rPr>
              <w:t xml:space="preserve">                                                                </w:t>
            </w:r>
            <w:r w:rsidRPr="00C74408">
              <w:rPr>
                <w:strike w:val="0"/>
              </w:rPr>
              <w:t>15.1</w:t>
            </w:r>
          </w:p>
        </w:tc>
      </w:tr>
      <w:tr w:rsidR="00C74408" w:rsidRPr="00DB046B" w14:paraId="5CE83BF0" w14:textId="77777777">
        <w:trPr>
          <w:tblCellSpacing w:w="15" w:type="dxa"/>
        </w:trPr>
        <w:tc>
          <w:tcPr>
            <w:tcW w:w="0" w:type="auto"/>
            <w:vAlign w:val="center"/>
            <w:hideMark/>
          </w:tcPr>
          <w:p w14:paraId="57CC12CB" w14:textId="77777777" w:rsidR="00C74408" w:rsidRPr="00C74408" w:rsidRDefault="00C74408" w:rsidP="00C74408">
            <w:pPr>
              <w:rPr>
                <w:strike w:val="0"/>
              </w:rPr>
            </w:pPr>
            <w:r w:rsidRPr="00C74408">
              <w:rPr>
                <w:b/>
                <w:bCs/>
                <w:strike w:val="0"/>
              </w:rPr>
              <w:t>Marital status</w:t>
            </w:r>
          </w:p>
        </w:tc>
        <w:tc>
          <w:tcPr>
            <w:tcW w:w="0" w:type="auto"/>
            <w:vAlign w:val="center"/>
            <w:hideMark/>
          </w:tcPr>
          <w:p w14:paraId="4AF9E550" w14:textId="1E5503A5" w:rsidR="00C74408" w:rsidRPr="00C74408" w:rsidRDefault="00D3356C" w:rsidP="00C74408">
            <w:pPr>
              <w:rPr>
                <w:strike w:val="0"/>
              </w:rPr>
            </w:pPr>
            <w:r>
              <w:rPr>
                <w:strike w:val="0"/>
              </w:rPr>
              <w:t xml:space="preserve">    </w:t>
            </w:r>
            <w:r w:rsidR="00C74408" w:rsidRPr="00C74408">
              <w:rPr>
                <w:strike w:val="0"/>
              </w:rPr>
              <w:t>Married</w:t>
            </w:r>
          </w:p>
        </w:tc>
        <w:tc>
          <w:tcPr>
            <w:tcW w:w="0" w:type="auto"/>
            <w:vAlign w:val="center"/>
            <w:hideMark/>
          </w:tcPr>
          <w:p w14:paraId="6FDF19A8" w14:textId="60B2527A" w:rsidR="00C74408" w:rsidRPr="00C74408" w:rsidRDefault="00C74408" w:rsidP="00C74408">
            <w:pPr>
              <w:rPr>
                <w:strike w:val="0"/>
              </w:rPr>
            </w:pPr>
            <w:r w:rsidRPr="00DB046B">
              <w:rPr>
                <w:strike w:val="0"/>
              </w:rPr>
              <w:t xml:space="preserve">                                                                </w:t>
            </w:r>
            <w:r w:rsidRPr="00C74408">
              <w:rPr>
                <w:strike w:val="0"/>
              </w:rPr>
              <w:t>58.4</w:t>
            </w:r>
          </w:p>
        </w:tc>
      </w:tr>
      <w:tr w:rsidR="00C74408" w:rsidRPr="00DB046B" w14:paraId="489E2AE4" w14:textId="77777777">
        <w:trPr>
          <w:tblCellSpacing w:w="15" w:type="dxa"/>
        </w:trPr>
        <w:tc>
          <w:tcPr>
            <w:tcW w:w="0" w:type="auto"/>
            <w:vAlign w:val="center"/>
            <w:hideMark/>
          </w:tcPr>
          <w:p w14:paraId="54505468" w14:textId="77777777" w:rsidR="00C74408" w:rsidRPr="00C74408" w:rsidRDefault="00C74408" w:rsidP="00C74408">
            <w:pPr>
              <w:rPr>
                <w:strike w:val="0"/>
              </w:rPr>
            </w:pPr>
          </w:p>
        </w:tc>
        <w:tc>
          <w:tcPr>
            <w:tcW w:w="0" w:type="auto"/>
            <w:vAlign w:val="center"/>
            <w:hideMark/>
          </w:tcPr>
          <w:p w14:paraId="28C2FB0A" w14:textId="4C2E4AFB" w:rsidR="00C74408" w:rsidRPr="00C74408" w:rsidRDefault="00D3356C" w:rsidP="00C74408">
            <w:pPr>
              <w:rPr>
                <w:strike w:val="0"/>
              </w:rPr>
            </w:pPr>
            <w:r>
              <w:rPr>
                <w:strike w:val="0"/>
              </w:rPr>
              <w:t xml:space="preserve">    </w:t>
            </w:r>
            <w:r w:rsidR="00C74408" w:rsidRPr="00C74408">
              <w:rPr>
                <w:strike w:val="0"/>
              </w:rPr>
              <w:t>Never married</w:t>
            </w:r>
          </w:p>
        </w:tc>
        <w:tc>
          <w:tcPr>
            <w:tcW w:w="0" w:type="auto"/>
            <w:vAlign w:val="center"/>
            <w:hideMark/>
          </w:tcPr>
          <w:p w14:paraId="5B257FA1" w14:textId="0A8F9BF7" w:rsidR="00C74408" w:rsidRPr="00C74408" w:rsidRDefault="00C74408" w:rsidP="00C74408">
            <w:pPr>
              <w:rPr>
                <w:strike w:val="0"/>
              </w:rPr>
            </w:pPr>
            <w:r w:rsidRPr="00DB046B">
              <w:rPr>
                <w:strike w:val="0"/>
              </w:rPr>
              <w:t xml:space="preserve">                                                                </w:t>
            </w:r>
            <w:r w:rsidRPr="00C74408">
              <w:rPr>
                <w:strike w:val="0"/>
              </w:rPr>
              <w:t>19.2</w:t>
            </w:r>
          </w:p>
        </w:tc>
      </w:tr>
      <w:tr w:rsidR="00C74408" w:rsidRPr="00DB046B" w14:paraId="6B7511CE" w14:textId="77777777">
        <w:trPr>
          <w:tblCellSpacing w:w="15" w:type="dxa"/>
        </w:trPr>
        <w:tc>
          <w:tcPr>
            <w:tcW w:w="0" w:type="auto"/>
            <w:vAlign w:val="center"/>
            <w:hideMark/>
          </w:tcPr>
          <w:p w14:paraId="76E039C7" w14:textId="77777777" w:rsidR="00C74408" w:rsidRPr="00C74408" w:rsidRDefault="00C74408" w:rsidP="00C74408">
            <w:pPr>
              <w:rPr>
                <w:strike w:val="0"/>
              </w:rPr>
            </w:pPr>
          </w:p>
        </w:tc>
        <w:tc>
          <w:tcPr>
            <w:tcW w:w="0" w:type="auto"/>
            <w:vAlign w:val="center"/>
            <w:hideMark/>
          </w:tcPr>
          <w:p w14:paraId="1315760A" w14:textId="3BFC906C" w:rsidR="00C74408" w:rsidRPr="00C74408" w:rsidRDefault="00D3356C" w:rsidP="00C74408">
            <w:pPr>
              <w:rPr>
                <w:strike w:val="0"/>
              </w:rPr>
            </w:pPr>
            <w:r>
              <w:rPr>
                <w:strike w:val="0"/>
              </w:rPr>
              <w:t xml:space="preserve">    </w:t>
            </w:r>
            <w:r w:rsidR="00C74408" w:rsidRPr="00C74408">
              <w:rPr>
                <w:strike w:val="0"/>
              </w:rPr>
              <w:t>Widowed</w:t>
            </w:r>
          </w:p>
        </w:tc>
        <w:tc>
          <w:tcPr>
            <w:tcW w:w="0" w:type="auto"/>
            <w:vAlign w:val="center"/>
            <w:hideMark/>
          </w:tcPr>
          <w:p w14:paraId="395E2318" w14:textId="6D1788F3" w:rsidR="00C74408" w:rsidRPr="00C74408" w:rsidRDefault="00C74408" w:rsidP="00C74408">
            <w:pPr>
              <w:rPr>
                <w:strike w:val="0"/>
              </w:rPr>
            </w:pPr>
            <w:r w:rsidRPr="00DB046B">
              <w:rPr>
                <w:strike w:val="0"/>
              </w:rPr>
              <w:t xml:space="preserve">                                                                </w:t>
            </w:r>
            <w:r w:rsidRPr="00C74408">
              <w:rPr>
                <w:strike w:val="0"/>
              </w:rPr>
              <w:t>12.8</w:t>
            </w:r>
          </w:p>
        </w:tc>
      </w:tr>
      <w:tr w:rsidR="00C74408" w:rsidRPr="00DB046B" w14:paraId="192F7F5E" w14:textId="77777777">
        <w:trPr>
          <w:tblCellSpacing w:w="15" w:type="dxa"/>
        </w:trPr>
        <w:tc>
          <w:tcPr>
            <w:tcW w:w="0" w:type="auto"/>
            <w:vAlign w:val="center"/>
            <w:hideMark/>
          </w:tcPr>
          <w:p w14:paraId="0538ED9F" w14:textId="77777777" w:rsidR="00C74408" w:rsidRPr="00C74408" w:rsidRDefault="00C74408" w:rsidP="00C74408">
            <w:pPr>
              <w:rPr>
                <w:strike w:val="0"/>
              </w:rPr>
            </w:pPr>
          </w:p>
        </w:tc>
        <w:tc>
          <w:tcPr>
            <w:tcW w:w="0" w:type="auto"/>
            <w:vAlign w:val="center"/>
            <w:hideMark/>
          </w:tcPr>
          <w:p w14:paraId="7400A1E2" w14:textId="63BD8D99" w:rsidR="00C74408" w:rsidRPr="00C74408" w:rsidRDefault="00D3356C" w:rsidP="00C74408">
            <w:pPr>
              <w:rPr>
                <w:strike w:val="0"/>
              </w:rPr>
            </w:pPr>
            <w:r>
              <w:rPr>
                <w:strike w:val="0"/>
              </w:rPr>
              <w:t xml:space="preserve">  </w:t>
            </w:r>
            <w:r w:rsidR="00C74408" w:rsidRPr="00C74408">
              <w:rPr>
                <w:strike w:val="0"/>
              </w:rPr>
              <w:t>Divorced/separated</w:t>
            </w:r>
          </w:p>
        </w:tc>
        <w:tc>
          <w:tcPr>
            <w:tcW w:w="0" w:type="auto"/>
            <w:vAlign w:val="center"/>
            <w:hideMark/>
          </w:tcPr>
          <w:p w14:paraId="574F52FC" w14:textId="28630383" w:rsidR="00C74408" w:rsidRPr="00C74408" w:rsidRDefault="00C74408" w:rsidP="00C74408">
            <w:pPr>
              <w:rPr>
                <w:strike w:val="0"/>
              </w:rPr>
            </w:pPr>
            <w:r w:rsidRPr="00DB046B">
              <w:rPr>
                <w:strike w:val="0"/>
              </w:rPr>
              <w:t xml:space="preserve">                                                                  </w:t>
            </w:r>
            <w:r w:rsidRPr="00C74408">
              <w:rPr>
                <w:strike w:val="0"/>
              </w:rPr>
              <w:t>9.6</w:t>
            </w:r>
          </w:p>
        </w:tc>
      </w:tr>
    </w:tbl>
    <w:p w14:paraId="42762061" w14:textId="77777777" w:rsidR="00EF57A7" w:rsidRDefault="00EF57A7" w:rsidP="00922172">
      <w:pPr>
        <w:rPr>
          <w:strike w:val="0"/>
        </w:rPr>
      </w:pPr>
    </w:p>
    <w:p w14:paraId="68E14368" w14:textId="7F9397B1" w:rsidR="00922172" w:rsidRPr="00922172" w:rsidRDefault="00EF57A7" w:rsidP="00922172">
      <w:pPr>
        <w:rPr>
          <w:strike w:val="0"/>
        </w:rPr>
      </w:pPr>
      <w:r>
        <w:rPr>
          <w:strike w:val="0"/>
        </w:rPr>
        <w:t xml:space="preserve">The prevalence and trends of hypertension are shown in </w:t>
      </w:r>
      <w:r w:rsidR="00063B73">
        <w:rPr>
          <w:strike w:val="0"/>
        </w:rPr>
        <w:t>Table</w:t>
      </w:r>
      <w:r>
        <w:rPr>
          <w:strike w:val="0"/>
        </w:rPr>
        <w:t xml:space="preserve"> 2 and </w:t>
      </w:r>
      <w:r w:rsidR="00063B73">
        <w:rPr>
          <w:strike w:val="0"/>
        </w:rPr>
        <w:t>Figure</w:t>
      </w:r>
      <w:r>
        <w:rPr>
          <w:strike w:val="0"/>
        </w:rPr>
        <w:t xml:space="preserve"> 1. The </w:t>
      </w:r>
      <w:r w:rsidR="00922172" w:rsidRPr="00922172">
        <w:rPr>
          <w:strike w:val="0"/>
        </w:rPr>
        <w:t xml:space="preserve">Crude hypertension prevalence rose from 24.8% (2015) to 33.7% (2024). </w:t>
      </w:r>
      <w:r w:rsidR="00AE7030" w:rsidRPr="00DB046B">
        <w:rPr>
          <w:strike w:val="0"/>
        </w:rPr>
        <w:t>Age-</w:t>
      </w:r>
      <w:proofErr w:type="spellStart"/>
      <w:r w:rsidR="00AE7030" w:rsidRPr="00DB046B">
        <w:rPr>
          <w:strike w:val="0"/>
        </w:rPr>
        <w:t>standardised</w:t>
      </w:r>
      <w:proofErr w:type="spellEnd"/>
      <w:r w:rsidR="00922172" w:rsidRPr="00922172">
        <w:rPr>
          <w:strike w:val="0"/>
        </w:rPr>
        <w:t xml:space="preserve"> prevalence (32.4%) confirmed </w:t>
      </w:r>
      <w:r w:rsidR="00AE7030" w:rsidRPr="00DB046B">
        <w:rPr>
          <w:strike w:val="0"/>
        </w:rPr>
        <w:t xml:space="preserve">that </w:t>
      </w:r>
      <w:r w:rsidR="00922172" w:rsidRPr="00922172">
        <w:rPr>
          <w:strike w:val="0"/>
        </w:rPr>
        <w:t xml:space="preserve">the trend was not due to demographic </w:t>
      </w:r>
      <w:r w:rsidR="00063B73">
        <w:rPr>
          <w:strike w:val="0"/>
        </w:rPr>
        <w:t>ageing</w:t>
      </w:r>
      <w:r w:rsidR="00922172" w:rsidRPr="00922172">
        <w:rPr>
          <w:strike w:val="0"/>
        </w:rPr>
        <w:t xml:space="preserve"> alone. AAPC was 3.2% (95% CI: 2.8–3.6; p&lt;0.001). </w:t>
      </w:r>
      <w:proofErr w:type="spellStart"/>
      <w:r w:rsidR="00922172" w:rsidRPr="00922172">
        <w:rPr>
          <w:strike w:val="0"/>
        </w:rPr>
        <w:t>Joinpoint</w:t>
      </w:r>
      <w:proofErr w:type="spellEnd"/>
      <w:r w:rsidR="00922172" w:rsidRPr="00922172">
        <w:rPr>
          <w:strike w:val="0"/>
        </w:rPr>
        <w:t xml:space="preserve"> analysis revealed two phases: </w:t>
      </w:r>
      <w:r w:rsidR="00922172" w:rsidRPr="00922172">
        <w:rPr>
          <w:strike w:val="0"/>
        </w:rPr>
        <w:lastRenderedPageBreak/>
        <w:t>moderate increase 2015–2019 (APC: 2.1%), followed by accelerated rise 2020–2024 (APC: 4.3%) (Figure 2).</w:t>
      </w:r>
    </w:p>
    <w:p w14:paraId="687B0FF5" w14:textId="78AF360E" w:rsidR="002F04B3" w:rsidRPr="00DB046B" w:rsidRDefault="00922172" w:rsidP="002F04B3">
      <w:pPr>
        <w:rPr>
          <w:strike w:val="0"/>
        </w:rPr>
      </w:pPr>
      <w:r w:rsidRPr="00922172">
        <w:rPr>
          <w:strike w:val="0"/>
        </w:rPr>
        <w:t xml:space="preserve">Figure 3 shows marked demographic differences. Prevalence exhibited a strong age gradient: 12.4% (18–29 years) to 61.8% (≥70 years). Adults aged ≥40 years accounted for most cases. Males had </w:t>
      </w:r>
      <w:r w:rsidR="00AE7030" w:rsidRPr="00DB046B">
        <w:rPr>
          <w:strike w:val="0"/>
        </w:rPr>
        <w:t xml:space="preserve">a </w:t>
      </w:r>
      <w:r w:rsidRPr="00922172">
        <w:rPr>
          <w:strike w:val="0"/>
        </w:rPr>
        <w:t>higher prevalence than females (35.2% vs. 30.1% in 2024). Urban residents exceeded rural residents (35.8% vs. 29.2%), reflecting lifestyle influences (Table 2).</w:t>
      </w:r>
    </w:p>
    <w:p w14:paraId="0CE241AD" w14:textId="352B468D" w:rsidR="00C74408" w:rsidRPr="00C74408" w:rsidRDefault="00C74408" w:rsidP="00C74408">
      <w:pPr>
        <w:rPr>
          <w:b/>
          <w:bCs/>
          <w:strike w:val="0"/>
        </w:rPr>
      </w:pPr>
      <w:r w:rsidRPr="00C74408">
        <w:rPr>
          <w:b/>
          <w:bCs/>
          <w:strike w:val="0"/>
        </w:rPr>
        <w:t>Table 2. Trends and Demographic Distribution of Hypertension Prevalence in Rivers State (2015–2024)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88"/>
        <w:gridCol w:w="920"/>
        <w:gridCol w:w="1080"/>
        <w:gridCol w:w="2911"/>
      </w:tblGrid>
      <w:tr w:rsidR="00EF57A7" w:rsidRPr="00C74408" w14:paraId="20F4D17E" w14:textId="77777777">
        <w:trPr>
          <w:tblHeader/>
          <w:tblCellSpacing w:w="15" w:type="dxa"/>
        </w:trPr>
        <w:tc>
          <w:tcPr>
            <w:tcW w:w="0" w:type="auto"/>
            <w:vAlign w:val="center"/>
            <w:hideMark/>
          </w:tcPr>
          <w:p w14:paraId="5EFE4BEF" w14:textId="77777777" w:rsidR="00C74408" w:rsidRPr="00C74408" w:rsidRDefault="00C74408" w:rsidP="00C74408">
            <w:pPr>
              <w:rPr>
                <w:b/>
                <w:bCs/>
                <w:strike w:val="0"/>
              </w:rPr>
            </w:pPr>
            <w:r w:rsidRPr="00C74408">
              <w:rPr>
                <w:b/>
                <w:bCs/>
                <w:strike w:val="0"/>
              </w:rPr>
              <w:t>Indicator</w:t>
            </w:r>
          </w:p>
        </w:tc>
        <w:tc>
          <w:tcPr>
            <w:tcW w:w="0" w:type="auto"/>
            <w:vAlign w:val="center"/>
            <w:hideMark/>
          </w:tcPr>
          <w:p w14:paraId="5CB3F19B" w14:textId="77777777" w:rsidR="00C74408" w:rsidRPr="00C74408" w:rsidRDefault="00C74408" w:rsidP="00C74408">
            <w:pPr>
              <w:rPr>
                <w:b/>
                <w:bCs/>
                <w:strike w:val="0"/>
              </w:rPr>
            </w:pPr>
            <w:r w:rsidRPr="00C74408">
              <w:rPr>
                <w:b/>
                <w:bCs/>
                <w:strike w:val="0"/>
              </w:rPr>
              <w:t>Value</w:t>
            </w:r>
          </w:p>
        </w:tc>
        <w:tc>
          <w:tcPr>
            <w:tcW w:w="0" w:type="auto"/>
            <w:vAlign w:val="center"/>
            <w:hideMark/>
          </w:tcPr>
          <w:p w14:paraId="7E48A2B8" w14:textId="656D7DC9" w:rsidR="00C74408" w:rsidRPr="00C74408" w:rsidRDefault="00921E62" w:rsidP="00C74408">
            <w:pPr>
              <w:rPr>
                <w:b/>
                <w:bCs/>
                <w:strike w:val="0"/>
              </w:rPr>
            </w:pPr>
            <w:r>
              <w:rPr>
                <w:b/>
                <w:bCs/>
                <w:strike w:val="0"/>
              </w:rPr>
              <w:t xml:space="preserve"> </w:t>
            </w:r>
            <w:r w:rsidR="00C74408" w:rsidRPr="00C74408">
              <w:rPr>
                <w:b/>
                <w:bCs/>
                <w:strike w:val="0"/>
              </w:rPr>
              <w:t>95% CI</w:t>
            </w:r>
          </w:p>
        </w:tc>
        <w:tc>
          <w:tcPr>
            <w:tcW w:w="0" w:type="auto"/>
            <w:vAlign w:val="center"/>
            <w:hideMark/>
          </w:tcPr>
          <w:p w14:paraId="43975DC3" w14:textId="2C5FCD89" w:rsidR="00C74408" w:rsidRPr="00C74408" w:rsidRDefault="00EF57A7" w:rsidP="00C74408">
            <w:pPr>
              <w:rPr>
                <w:b/>
                <w:bCs/>
                <w:strike w:val="0"/>
              </w:rPr>
            </w:pPr>
            <w:r>
              <w:rPr>
                <w:b/>
                <w:bCs/>
                <w:strike w:val="0"/>
              </w:rPr>
              <w:t xml:space="preserve">                           </w:t>
            </w:r>
            <w:r w:rsidR="00C74408" w:rsidRPr="00C74408">
              <w:rPr>
                <w:b/>
                <w:bCs/>
                <w:strike w:val="0"/>
              </w:rPr>
              <w:t>p-value</w:t>
            </w:r>
          </w:p>
        </w:tc>
      </w:tr>
      <w:tr w:rsidR="00EF57A7" w:rsidRPr="00C74408" w14:paraId="2795FBB5" w14:textId="77777777">
        <w:trPr>
          <w:tblCellSpacing w:w="15" w:type="dxa"/>
        </w:trPr>
        <w:tc>
          <w:tcPr>
            <w:tcW w:w="0" w:type="auto"/>
            <w:vAlign w:val="center"/>
            <w:hideMark/>
          </w:tcPr>
          <w:p w14:paraId="6B158578" w14:textId="77777777" w:rsidR="00C74408" w:rsidRPr="00921E62" w:rsidRDefault="00C74408" w:rsidP="00C74408">
            <w:pPr>
              <w:rPr>
                <w:strike w:val="0"/>
              </w:rPr>
            </w:pPr>
            <w:r w:rsidRPr="00921E62">
              <w:rPr>
                <w:strike w:val="0"/>
              </w:rPr>
              <w:t>Crude prevalence (2015)</w:t>
            </w:r>
          </w:p>
        </w:tc>
        <w:tc>
          <w:tcPr>
            <w:tcW w:w="0" w:type="auto"/>
            <w:vAlign w:val="center"/>
            <w:hideMark/>
          </w:tcPr>
          <w:p w14:paraId="33AE3D5D" w14:textId="43F31A45" w:rsidR="00C74408" w:rsidRPr="00C74408" w:rsidRDefault="00921E62" w:rsidP="00C74408">
            <w:pPr>
              <w:rPr>
                <w:strike w:val="0"/>
              </w:rPr>
            </w:pPr>
            <w:r>
              <w:rPr>
                <w:strike w:val="0"/>
              </w:rPr>
              <w:t xml:space="preserve"> </w:t>
            </w:r>
            <w:r w:rsidR="00C74408" w:rsidRPr="00C74408">
              <w:rPr>
                <w:strike w:val="0"/>
              </w:rPr>
              <w:t>24.8%</w:t>
            </w:r>
          </w:p>
        </w:tc>
        <w:tc>
          <w:tcPr>
            <w:tcW w:w="0" w:type="auto"/>
            <w:vAlign w:val="center"/>
            <w:hideMark/>
          </w:tcPr>
          <w:p w14:paraId="3E74DA7F" w14:textId="1E02007D" w:rsidR="00C74408" w:rsidRPr="00C74408" w:rsidRDefault="00921E62" w:rsidP="00C74408">
            <w:pPr>
              <w:rPr>
                <w:strike w:val="0"/>
              </w:rPr>
            </w:pPr>
            <w:r>
              <w:rPr>
                <w:strike w:val="0"/>
              </w:rPr>
              <w:t xml:space="preserve"> </w:t>
            </w:r>
            <w:r w:rsidR="00C74408" w:rsidRPr="00C74408">
              <w:rPr>
                <w:strike w:val="0"/>
              </w:rPr>
              <w:t>24.1–25.5</w:t>
            </w:r>
          </w:p>
        </w:tc>
        <w:tc>
          <w:tcPr>
            <w:tcW w:w="0" w:type="auto"/>
            <w:vAlign w:val="center"/>
            <w:hideMark/>
          </w:tcPr>
          <w:p w14:paraId="23EF1F71" w14:textId="77777777" w:rsidR="00C74408" w:rsidRPr="00C74408" w:rsidRDefault="00C74408" w:rsidP="00C74408">
            <w:pPr>
              <w:rPr>
                <w:strike w:val="0"/>
              </w:rPr>
            </w:pPr>
          </w:p>
        </w:tc>
      </w:tr>
      <w:tr w:rsidR="00EF57A7" w:rsidRPr="00C74408" w14:paraId="16AFF34B" w14:textId="77777777">
        <w:trPr>
          <w:tblCellSpacing w:w="15" w:type="dxa"/>
        </w:trPr>
        <w:tc>
          <w:tcPr>
            <w:tcW w:w="0" w:type="auto"/>
            <w:vAlign w:val="center"/>
            <w:hideMark/>
          </w:tcPr>
          <w:p w14:paraId="3FE6176F" w14:textId="77777777" w:rsidR="00C74408" w:rsidRPr="00921E62" w:rsidRDefault="00C74408" w:rsidP="00C74408">
            <w:pPr>
              <w:rPr>
                <w:strike w:val="0"/>
              </w:rPr>
            </w:pPr>
            <w:r w:rsidRPr="00921E62">
              <w:rPr>
                <w:strike w:val="0"/>
              </w:rPr>
              <w:t>Crude prevalence (2024)</w:t>
            </w:r>
          </w:p>
        </w:tc>
        <w:tc>
          <w:tcPr>
            <w:tcW w:w="0" w:type="auto"/>
            <w:vAlign w:val="center"/>
            <w:hideMark/>
          </w:tcPr>
          <w:p w14:paraId="791DDE81" w14:textId="60439FAF" w:rsidR="00C74408" w:rsidRPr="00C74408" w:rsidRDefault="00921E62" w:rsidP="00C74408">
            <w:pPr>
              <w:rPr>
                <w:strike w:val="0"/>
              </w:rPr>
            </w:pPr>
            <w:r>
              <w:rPr>
                <w:strike w:val="0"/>
              </w:rPr>
              <w:t xml:space="preserve">  </w:t>
            </w:r>
            <w:r w:rsidR="00C74408" w:rsidRPr="00C74408">
              <w:rPr>
                <w:strike w:val="0"/>
              </w:rPr>
              <w:t>33.7%</w:t>
            </w:r>
          </w:p>
        </w:tc>
        <w:tc>
          <w:tcPr>
            <w:tcW w:w="0" w:type="auto"/>
            <w:vAlign w:val="center"/>
            <w:hideMark/>
          </w:tcPr>
          <w:p w14:paraId="09EDEB42" w14:textId="7F941CDA" w:rsidR="00C74408" w:rsidRPr="00C74408" w:rsidRDefault="00921E62" w:rsidP="00C74408">
            <w:pPr>
              <w:rPr>
                <w:strike w:val="0"/>
              </w:rPr>
            </w:pPr>
            <w:r>
              <w:rPr>
                <w:strike w:val="0"/>
              </w:rPr>
              <w:t xml:space="preserve"> </w:t>
            </w:r>
            <w:r w:rsidR="00C74408" w:rsidRPr="00C74408">
              <w:rPr>
                <w:strike w:val="0"/>
              </w:rPr>
              <w:t>32.9–34.5</w:t>
            </w:r>
          </w:p>
        </w:tc>
        <w:tc>
          <w:tcPr>
            <w:tcW w:w="0" w:type="auto"/>
            <w:vAlign w:val="center"/>
            <w:hideMark/>
          </w:tcPr>
          <w:p w14:paraId="07670824" w14:textId="3AC664BC" w:rsidR="00C74408" w:rsidRPr="00C74408" w:rsidRDefault="00EF57A7" w:rsidP="00C74408">
            <w:pPr>
              <w:rPr>
                <w:strike w:val="0"/>
              </w:rPr>
            </w:pPr>
            <w:r>
              <w:rPr>
                <w:strike w:val="0"/>
              </w:rPr>
              <w:t xml:space="preserve">                                    </w:t>
            </w:r>
            <w:r w:rsidR="00C74408" w:rsidRPr="00C74408">
              <w:rPr>
                <w:strike w:val="0"/>
              </w:rPr>
              <w:t>&lt;0.001</w:t>
            </w:r>
          </w:p>
        </w:tc>
      </w:tr>
      <w:tr w:rsidR="00EF57A7" w:rsidRPr="00C74408" w14:paraId="7E847E06" w14:textId="77777777">
        <w:trPr>
          <w:tblCellSpacing w:w="15" w:type="dxa"/>
        </w:trPr>
        <w:tc>
          <w:tcPr>
            <w:tcW w:w="0" w:type="auto"/>
            <w:vAlign w:val="center"/>
            <w:hideMark/>
          </w:tcPr>
          <w:p w14:paraId="77155025" w14:textId="6F0F53C6" w:rsidR="00C74408" w:rsidRPr="00921E62" w:rsidRDefault="00C72E84" w:rsidP="00C74408">
            <w:pPr>
              <w:rPr>
                <w:strike w:val="0"/>
              </w:rPr>
            </w:pPr>
            <w:r>
              <w:rPr>
                <w:strike w:val="0"/>
              </w:rPr>
              <w:t>Age-</w:t>
            </w:r>
            <w:proofErr w:type="spellStart"/>
            <w:r>
              <w:rPr>
                <w:strike w:val="0"/>
              </w:rPr>
              <w:t>standardised</w:t>
            </w:r>
            <w:proofErr w:type="spellEnd"/>
            <w:r w:rsidR="00C74408" w:rsidRPr="00921E62">
              <w:rPr>
                <w:strike w:val="0"/>
              </w:rPr>
              <w:t xml:space="preserve"> prevalence (2024)</w:t>
            </w:r>
          </w:p>
        </w:tc>
        <w:tc>
          <w:tcPr>
            <w:tcW w:w="0" w:type="auto"/>
            <w:vAlign w:val="center"/>
            <w:hideMark/>
          </w:tcPr>
          <w:p w14:paraId="07B09BB9" w14:textId="15B09748" w:rsidR="00C74408" w:rsidRPr="00C74408" w:rsidRDefault="00921E62" w:rsidP="00C74408">
            <w:pPr>
              <w:rPr>
                <w:strike w:val="0"/>
              </w:rPr>
            </w:pPr>
            <w:r>
              <w:rPr>
                <w:strike w:val="0"/>
              </w:rPr>
              <w:t xml:space="preserve">    </w:t>
            </w:r>
            <w:r w:rsidR="00C74408" w:rsidRPr="00C74408">
              <w:rPr>
                <w:strike w:val="0"/>
              </w:rPr>
              <w:t>32.4%</w:t>
            </w:r>
          </w:p>
        </w:tc>
        <w:tc>
          <w:tcPr>
            <w:tcW w:w="0" w:type="auto"/>
            <w:vAlign w:val="center"/>
            <w:hideMark/>
          </w:tcPr>
          <w:p w14:paraId="1D52BA7D" w14:textId="1507C5ED" w:rsidR="00C74408" w:rsidRPr="00C74408" w:rsidRDefault="002F04B3" w:rsidP="00C74408">
            <w:pPr>
              <w:rPr>
                <w:strike w:val="0"/>
              </w:rPr>
            </w:pPr>
            <w:r w:rsidRPr="00DB046B">
              <w:rPr>
                <w:strike w:val="0"/>
              </w:rPr>
              <w:t xml:space="preserve">       </w:t>
            </w:r>
          </w:p>
        </w:tc>
        <w:tc>
          <w:tcPr>
            <w:tcW w:w="0" w:type="auto"/>
            <w:vAlign w:val="center"/>
            <w:hideMark/>
          </w:tcPr>
          <w:p w14:paraId="09C8FC52" w14:textId="2B346B5E" w:rsidR="00C74408" w:rsidRPr="00EF57A7" w:rsidRDefault="00EF57A7" w:rsidP="00C74408">
            <w:pPr>
              <w:rPr>
                <w:strike w:val="0"/>
              </w:rPr>
            </w:pPr>
            <w:r>
              <w:rPr>
                <w:strike w:val="0"/>
              </w:rPr>
              <w:t xml:space="preserve">                                         -</w:t>
            </w:r>
          </w:p>
        </w:tc>
      </w:tr>
      <w:tr w:rsidR="00EF57A7" w:rsidRPr="00C74408" w14:paraId="7729C4FD" w14:textId="77777777">
        <w:trPr>
          <w:tblCellSpacing w:w="15" w:type="dxa"/>
        </w:trPr>
        <w:tc>
          <w:tcPr>
            <w:tcW w:w="0" w:type="auto"/>
            <w:vAlign w:val="center"/>
            <w:hideMark/>
          </w:tcPr>
          <w:p w14:paraId="3BE39AC6" w14:textId="77777777" w:rsidR="00C74408" w:rsidRPr="00921E62" w:rsidRDefault="00C74408" w:rsidP="00C74408">
            <w:pPr>
              <w:rPr>
                <w:strike w:val="0"/>
              </w:rPr>
            </w:pPr>
            <w:r w:rsidRPr="00921E62">
              <w:rPr>
                <w:strike w:val="0"/>
              </w:rPr>
              <w:t>Average Annual Percent Change (AAPC)</w:t>
            </w:r>
          </w:p>
        </w:tc>
        <w:tc>
          <w:tcPr>
            <w:tcW w:w="0" w:type="auto"/>
            <w:vAlign w:val="center"/>
            <w:hideMark/>
          </w:tcPr>
          <w:p w14:paraId="25B57BAB" w14:textId="6778F3BB" w:rsidR="00C74408" w:rsidRPr="00C74408" w:rsidRDefault="00EF57A7" w:rsidP="00C74408">
            <w:pPr>
              <w:rPr>
                <w:strike w:val="0"/>
              </w:rPr>
            </w:pPr>
            <w:r>
              <w:rPr>
                <w:strike w:val="0"/>
              </w:rPr>
              <w:t xml:space="preserve">  </w:t>
            </w:r>
            <w:r w:rsidR="00921E62">
              <w:rPr>
                <w:strike w:val="0"/>
              </w:rPr>
              <w:t xml:space="preserve">  </w:t>
            </w:r>
            <w:r w:rsidR="00C74408" w:rsidRPr="00C74408">
              <w:rPr>
                <w:strike w:val="0"/>
              </w:rPr>
              <w:t>3.2%</w:t>
            </w:r>
          </w:p>
        </w:tc>
        <w:tc>
          <w:tcPr>
            <w:tcW w:w="0" w:type="auto"/>
            <w:vAlign w:val="center"/>
            <w:hideMark/>
          </w:tcPr>
          <w:p w14:paraId="3E560B84" w14:textId="27BB1072" w:rsidR="00C74408" w:rsidRPr="00C74408" w:rsidRDefault="00EF57A7" w:rsidP="00C74408">
            <w:pPr>
              <w:rPr>
                <w:strike w:val="0"/>
              </w:rPr>
            </w:pPr>
            <w:r>
              <w:rPr>
                <w:strike w:val="0"/>
              </w:rPr>
              <w:t xml:space="preserve">  </w:t>
            </w:r>
            <w:r w:rsidR="00921E62">
              <w:rPr>
                <w:strike w:val="0"/>
              </w:rPr>
              <w:t xml:space="preserve">  </w:t>
            </w:r>
            <w:r w:rsidR="00C74408" w:rsidRPr="00C74408">
              <w:rPr>
                <w:strike w:val="0"/>
              </w:rPr>
              <w:t>2.8–3.6</w:t>
            </w:r>
          </w:p>
        </w:tc>
        <w:tc>
          <w:tcPr>
            <w:tcW w:w="0" w:type="auto"/>
            <w:vAlign w:val="center"/>
            <w:hideMark/>
          </w:tcPr>
          <w:p w14:paraId="060489DE" w14:textId="5618438A" w:rsidR="00C74408" w:rsidRPr="00C74408" w:rsidRDefault="00EF57A7" w:rsidP="00C74408">
            <w:pPr>
              <w:rPr>
                <w:strike w:val="0"/>
              </w:rPr>
            </w:pPr>
            <w:r>
              <w:rPr>
                <w:strike w:val="0"/>
              </w:rPr>
              <w:t xml:space="preserve">                                    </w:t>
            </w:r>
            <w:r w:rsidR="00C74408" w:rsidRPr="00C74408">
              <w:rPr>
                <w:strike w:val="0"/>
              </w:rPr>
              <w:t>&lt;0.001</w:t>
            </w:r>
          </w:p>
        </w:tc>
      </w:tr>
    </w:tbl>
    <w:p w14:paraId="187718B8" w14:textId="77777777" w:rsidR="00C74408" w:rsidRPr="00C74408" w:rsidRDefault="00C74408" w:rsidP="00C74408">
      <w:pPr>
        <w:rPr>
          <w:b/>
          <w:bCs/>
          <w:strike w:val="0"/>
        </w:rPr>
      </w:pPr>
      <w:proofErr w:type="spellStart"/>
      <w:r w:rsidRPr="00C74408">
        <w:rPr>
          <w:b/>
          <w:bCs/>
          <w:strike w:val="0"/>
        </w:rPr>
        <w:t>Joinpoint</w:t>
      </w:r>
      <w:proofErr w:type="spellEnd"/>
      <w:r w:rsidRPr="00C74408">
        <w:rPr>
          <w:b/>
          <w:bCs/>
          <w:strike w:val="0"/>
        </w:rPr>
        <w:t xml:space="preserve"> Trend Periods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5"/>
        <w:gridCol w:w="4054"/>
        <w:gridCol w:w="3795"/>
      </w:tblGrid>
      <w:tr w:rsidR="00787E21" w:rsidRPr="00C74408" w14:paraId="36E14D03" w14:textId="77777777">
        <w:trPr>
          <w:tblHeader/>
          <w:tblCellSpacing w:w="15" w:type="dxa"/>
        </w:trPr>
        <w:tc>
          <w:tcPr>
            <w:tcW w:w="0" w:type="auto"/>
            <w:vAlign w:val="center"/>
            <w:hideMark/>
          </w:tcPr>
          <w:p w14:paraId="2BFC1998" w14:textId="77777777" w:rsidR="00C74408" w:rsidRPr="00C74408" w:rsidRDefault="00C74408" w:rsidP="00C74408">
            <w:pPr>
              <w:rPr>
                <w:b/>
                <w:bCs/>
                <w:strike w:val="0"/>
              </w:rPr>
            </w:pPr>
            <w:r w:rsidRPr="00C74408">
              <w:rPr>
                <w:b/>
                <w:bCs/>
                <w:strike w:val="0"/>
              </w:rPr>
              <w:t>Period</w:t>
            </w:r>
          </w:p>
        </w:tc>
        <w:tc>
          <w:tcPr>
            <w:tcW w:w="0" w:type="auto"/>
            <w:vAlign w:val="center"/>
            <w:hideMark/>
          </w:tcPr>
          <w:p w14:paraId="016EB264" w14:textId="0D131B99" w:rsidR="00C74408" w:rsidRPr="00787E21" w:rsidRDefault="00EF57A7" w:rsidP="00C74408">
            <w:pPr>
              <w:rPr>
                <w:b/>
                <w:bCs/>
                <w:strike w:val="0"/>
              </w:rPr>
            </w:pPr>
            <w:r>
              <w:rPr>
                <w:b/>
                <w:bCs/>
                <w:strike w:val="0"/>
              </w:rPr>
              <w:t xml:space="preserve">    </w:t>
            </w:r>
            <w:r w:rsidR="00787E21">
              <w:rPr>
                <w:b/>
                <w:bCs/>
                <w:strike w:val="0"/>
              </w:rPr>
              <w:t xml:space="preserve">             </w:t>
            </w:r>
            <w:r>
              <w:rPr>
                <w:b/>
                <w:bCs/>
                <w:strike w:val="0"/>
              </w:rPr>
              <w:t>Annual Percent Change</w:t>
            </w:r>
            <w:r w:rsidR="00787E21">
              <w:rPr>
                <w:b/>
                <w:bCs/>
                <w:strike w:val="0"/>
              </w:rPr>
              <w:t xml:space="preserve"> </w:t>
            </w:r>
            <w:proofErr w:type="gramStart"/>
            <w:r w:rsidR="00C74408" w:rsidRPr="00C74408">
              <w:rPr>
                <w:b/>
                <w:bCs/>
                <w:strike w:val="0"/>
              </w:rPr>
              <w:t>(</w:t>
            </w:r>
            <w:r w:rsidR="00787E21">
              <w:rPr>
                <w:b/>
                <w:bCs/>
                <w:strike w:val="0"/>
              </w:rPr>
              <w:t xml:space="preserve"> %</w:t>
            </w:r>
            <w:proofErr w:type="gramEnd"/>
            <w:r w:rsidR="00787E21">
              <w:rPr>
                <w:b/>
                <w:bCs/>
                <w:strike w:val="0"/>
              </w:rPr>
              <w:t xml:space="preserve">)      </w:t>
            </w:r>
          </w:p>
        </w:tc>
        <w:tc>
          <w:tcPr>
            <w:tcW w:w="0" w:type="auto"/>
            <w:vAlign w:val="center"/>
            <w:hideMark/>
          </w:tcPr>
          <w:p w14:paraId="0EBE5576" w14:textId="7C322A85" w:rsidR="00C74408" w:rsidRPr="00C74408" w:rsidRDefault="00EF57A7" w:rsidP="00C74408">
            <w:pPr>
              <w:rPr>
                <w:b/>
                <w:bCs/>
                <w:strike w:val="0"/>
              </w:rPr>
            </w:pPr>
            <w:r>
              <w:rPr>
                <w:b/>
                <w:bCs/>
                <w:strike w:val="0"/>
              </w:rPr>
              <w:t xml:space="preserve">                    </w:t>
            </w:r>
            <w:r w:rsidR="00787E21">
              <w:rPr>
                <w:b/>
                <w:bCs/>
                <w:strike w:val="0"/>
              </w:rPr>
              <w:t xml:space="preserve">                          </w:t>
            </w:r>
            <w:r>
              <w:rPr>
                <w:b/>
                <w:bCs/>
                <w:strike w:val="0"/>
              </w:rPr>
              <w:t xml:space="preserve">  </w:t>
            </w:r>
            <w:r w:rsidR="00C74408" w:rsidRPr="00C74408">
              <w:rPr>
                <w:b/>
                <w:bCs/>
                <w:strike w:val="0"/>
              </w:rPr>
              <w:t>95% CI</w:t>
            </w:r>
          </w:p>
        </w:tc>
      </w:tr>
      <w:tr w:rsidR="00787E21" w:rsidRPr="00C74408" w14:paraId="2FCC43F4" w14:textId="77777777">
        <w:trPr>
          <w:tblCellSpacing w:w="15" w:type="dxa"/>
        </w:trPr>
        <w:tc>
          <w:tcPr>
            <w:tcW w:w="0" w:type="auto"/>
            <w:vAlign w:val="center"/>
            <w:hideMark/>
          </w:tcPr>
          <w:p w14:paraId="7C543375" w14:textId="77777777" w:rsidR="00C74408" w:rsidRPr="00C74408" w:rsidRDefault="00C74408" w:rsidP="00C74408">
            <w:pPr>
              <w:rPr>
                <w:strike w:val="0"/>
              </w:rPr>
            </w:pPr>
            <w:r w:rsidRPr="00C74408">
              <w:rPr>
                <w:strike w:val="0"/>
              </w:rPr>
              <w:t>2015–2019</w:t>
            </w:r>
          </w:p>
        </w:tc>
        <w:tc>
          <w:tcPr>
            <w:tcW w:w="0" w:type="auto"/>
            <w:vAlign w:val="center"/>
            <w:hideMark/>
          </w:tcPr>
          <w:p w14:paraId="4546FD0D" w14:textId="09D6312C" w:rsidR="00C74408" w:rsidRPr="00C74408" w:rsidRDefault="00EF57A7" w:rsidP="00C74408">
            <w:pPr>
              <w:rPr>
                <w:strike w:val="0"/>
              </w:rPr>
            </w:pPr>
            <w:r>
              <w:rPr>
                <w:strike w:val="0"/>
              </w:rPr>
              <w:t xml:space="preserve">                                        </w:t>
            </w:r>
            <w:r w:rsidR="00C74408" w:rsidRPr="00C74408">
              <w:rPr>
                <w:strike w:val="0"/>
              </w:rPr>
              <w:t>2.1</w:t>
            </w:r>
          </w:p>
        </w:tc>
        <w:tc>
          <w:tcPr>
            <w:tcW w:w="0" w:type="auto"/>
            <w:vAlign w:val="center"/>
            <w:hideMark/>
          </w:tcPr>
          <w:p w14:paraId="4F66A4C7" w14:textId="4ADCD277" w:rsidR="00C74408" w:rsidRPr="00C74408" w:rsidRDefault="00EF57A7" w:rsidP="00C74408">
            <w:pPr>
              <w:rPr>
                <w:strike w:val="0"/>
              </w:rPr>
            </w:pPr>
            <w:r>
              <w:rPr>
                <w:strike w:val="0"/>
              </w:rPr>
              <w:t xml:space="preserve">                                                  </w:t>
            </w:r>
            <w:r w:rsidR="00C74408" w:rsidRPr="00C74408">
              <w:rPr>
                <w:strike w:val="0"/>
              </w:rPr>
              <w:t>1.7–2.5</w:t>
            </w:r>
          </w:p>
        </w:tc>
      </w:tr>
      <w:tr w:rsidR="00787E21" w:rsidRPr="00C74408" w14:paraId="6B2D4046" w14:textId="77777777">
        <w:trPr>
          <w:tblCellSpacing w:w="15" w:type="dxa"/>
        </w:trPr>
        <w:tc>
          <w:tcPr>
            <w:tcW w:w="0" w:type="auto"/>
            <w:vAlign w:val="center"/>
            <w:hideMark/>
          </w:tcPr>
          <w:p w14:paraId="4A57C36D" w14:textId="77777777" w:rsidR="00C74408" w:rsidRPr="00C74408" w:rsidRDefault="00C74408" w:rsidP="00C74408">
            <w:pPr>
              <w:rPr>
                <w:strike w:val="0"/>
              </w:rPr>
            </w:pPr>
            <w:r w:rsidRPr="00C74408">
              <w:rPr>
                <w:strike w:val="0"/>
              </w:rPr>
              <w:t>2020–2024</w:t>
            </w:r>
          </w:p>
        </w:tc>
        <w:tc>
          <w:tcPr>
            <w:tcW w:w="0" w:type="auto"/>
            <w:vAlign w:val="center"/>
            <w:hideMark/>
          </w:tcPr>
          <w:p w14:paraId="23F119FF" w14:textId="241CE4E6" w:rsidR="00C74408" w:rsidRPr="00C74408" w:rsidRDefault="00EF57A7" w:rsidP="00C74408">
            <w:pPr>
              <w:rPr>
                <w:strike w:val="0"/>
              </w:rPr>
            </w:pPr>
            <w:r>
              <w:rPr>
                <w:strike w:val="0"/>
              </w:rPr>
              <w:t xml:space="preserve">                                        </w:t>
            </w:r>
            <w:r w:rsidR="00C74408" w:rsidRPr="00C74408">
              <w:rPr>
                <w:strike w:val="0"/>
              </w:rPr>
              <w:t>4.3</w:t>
            </w:r>
          </w:p>
        </w:tc>
        <w:tc>
          <w:tcPr>
            <w:tcW w:w="0" w:type="auto"/>
            <w:vAlign w:val="center"/>
            <w:hideMark/>
          </w:tcPr>
          <w:p w14:paraId="737F069A" w14:textId="6C832FB4" w:rsidR="00C74408" w:rsidRPr="00C74408" w:rsidRDefault="00EF57A7" w:rsidP="00C74408">
            <w:pPr>
              <w:rPr>
                <w:strike w:val="0"/>
              </w:rPr>
            </w:pPr>
            <w:r>
              <w:rPr>
                <w:strike w:val="0"/>
              </w:rPr>
              <w:t xml:space="preserve">                                                </w:t>
            </w:r>
            <w:r w:rsidR="00787E21">
              <w:rPr>
                <w:strike w:val="0"/>
              </w:rPr>
              <w:t xml:space="preserve">  </w:t>
            </w:r>
            <w:r w:rsidR="00C74408" w:rsidRPr="00C74408">
              <w:rPr>
                <w:strike w:val="0"/>
              </w:rPr>
              <w:t>3.8–4.8</w:t>
            </w:r>
          </w:p>
        </w:tc>
      </w:tr>
    </w:tbl>
    <w:p w14:paraId="4207A0DC" w14:textId="77777777" w:rsidR="00C74408" w:rsidRPr="00C74408" w:rsidRDefault="00C74408" w:rsidP="00C74408">
      <w:pPr>
        <w:rPr>
          <w:b/>
          <w:bCs/>
          <w:strike w:val="0"/>
        </w:rPr>
      </w:pPr>
      <w:r w:rsidRPr="00C74408">
        <w:rPr>
          <w:b/>
          <w:bCs/>
          <w:strike w:val="0"/>
        </w:rPr>
        <w:t>Hypertension Prevalence by Demographic Characteristics (2024)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2"/>
        <w:gridCol w:w="3980"/>
        <w:gridCol w:w="3795"/>
      </w:tblGrid>
      <w:tr w:rsidR="0091070B" w:rsidRPr="00C74408" w14:paraId="6D3B9076" w14:textId="77777777">
        <w:trPr>
          <w:tblHeader/>
          <w:tblCellSpacing w:w="15" w:type="dxa"/>
        </w:trPr>
        <w:tc>
          <w:tcPr>
            <w:tcW w:w="0" w:type="auto"/>
            <w:vAlign w:val="center"/>
            <w:hideMark/>
          </w:tcPr>
          <w:p w14:paraId="39B2F343" w14:textId="77777777" w:rsidR="00C74408" w:rsidRPr="00C74408" w:rsidRDefault="00C74408" w:rsidP="00C74408">
            <w:pPr>
              <w:rPr>
                <w:b/>
                <w:bCs/>
                <w:strike w:val="0"/>
              </w:rPr>
            </w:pPr>
            <w:r w:rsidRPr="00C74408">
              <w:rPr>
                <w:b/>
                <w:bCs/>
                <w:strike w:val="0"/>
              </w:rPr>
              <w:t>Variable</w:t>
            </w:r>
          </w:p>
        </w:tc>
        <w:tc>
          <w:tcPr>
            <w:tcW w:w="0" w:type="auto"/>
            <w:vAlign w:val="center"/>
            <w:hideMark/>
          </w:tcPr>
          <w:p w14:paraId="212B14ED" w14:textId="724325CA" w:rsidR="00C74408" w:rsidRPr="00C74408" w:rsidRDefault="00787E21" w:rsidP="00C74408">
            <w:pPr>
              <w:rPr>
                <w:b/>
                <w:bCs/>
                <w:strike w:val="0"/>
              </w:rPr>
            </w:pPr>
            <w:r>
              <w:rPr>
                <w:b/>
                <w:bCs/>
                <w:strike w:val="0"/>
              </w:rPr>
              <w:t xml:space="preserve">                                       </w:t>
            </w:r>
            <w:r w:rsidR="00C74408" w:rsidRPr="00C74408">
              <w:rPr>
                <w:b/>
                <w:bCs/>
                <w:strike w:val="0"/>
              </w:rPr>
              <w:t>Prevalence (%)</w:t>
            </w:r>
          </w:p>
        </w:tc>
        <w:tc>
          <w:tcPr>
            <w:tcW w:w="0" w:type="auto"/>
            <w:vAlign w:val="center"/>
            <w:hideMark/>
          </w:tcPr>
          <w:p w14:paraId="0CCE9BCC" w14:textId="52446CD6" w:rsidR="00C74408" w:rsidRPr="00C74408" w:rsidRDefault="00787E21" w:rsidP="00C74408">
            <w:pPr>
              <w:rPr>
                <w:b/>
                <w:bCs/>
                <w:strike w:val="0"/>
              </w:rPr>
            </w:pPr>
            <w:r>
              <w:rPr>
                <w:b/>
                <w:bCs/>
                <w:strike w:val="0"/>
              </w:rPr>
              <w:t xml:space="preserve">                           </w:t>
            </w:r>
            <w:r w:rsidR="0091070B">
              <w:rPr>
                <w:b/>
                <w:bCs/>
                <w:strike w:val="0"/>
              </w:rPr>
              <w:t xml:space="preserve">                   </w:t>
            </w:r>
            <w:r>
              <w:rPr>
                <w:b/>
                <w:bCs/>
                <w:strike w:val="0"/>
              </w:rPr>
              <w:t xml:space="preserve">  </w:t>
            </w:r>
            <w:r w:rsidR="00C74408" w:rsidRPr="00C74408">
              <w:rPr>
                <w:b/>
                <w:bCs/>
                <w:strike w:val="0"/>
              </w:rPr>
              <w:t>95% CI</w:t>
            </w:r>
          </w:p>
        </w:tc>
      </w:tr>
      <w:tr w:rsidR="0091070B" w:rsidRPr="00C74408" w14:paraId="36391BC1" w14:textId="77777777">
        <w:trPr>
          <w:tblCellSpacing w:w="15" w:type="dxa"/>
        </w:trPr>
        <w:tc>
          <w:tcPr>
            <w:tcW w:w="0" w:type="auto"/>
            <w:vAlign w:val="center"/>
            <w:hideMark/>
          </w:tcPr>
          <w:p w14:paraId="2121F747" w14:textId="77777777" w:rsidR="00C74408" w:rsidRPr="00C74408" w:rsidRDefault="00C74408" w:rsidP="00C74408">
            <w:pPr>
              <w:rPr>
                <w:strike w:val="0"/>
              </w:rPr>
            </w:pPr>
            <w:r w:rsidRPr="00C74408">
              <w:rPr>
                <w:b/>
                <w:bCs/>
                <w:strike w:val="0"/>
              </w:rPr>
              <w:t>Age group</w:t>
            </w:r>
          </w:p>
        </w:tc>
        <w:tc>
          <w:tcPr>
            <w:tcW w:w="0" w:type="auto"/>
            <w:vAlign w:val="center"/>
            <w:hideMark/>
          </w:tcPr>
          <w:p w14:paraId="2F1834BD" w14:textId="77777777" w:rsidR="00C74408" w:rsidRPr="00C74408" w:rsidRDefault="00C74408" w:rsidP="00C74408">
            <w:pPr>
              <w:rPr>
                <w:strike w:val="0"/>
              </w:rPr>
            </w:pPr>
          </w:p>
        </w:tc>
        <w:tc>
          <w:tcPr>
            <w:tcW w:w="0" w:type="auto"/>
            <w:vAlign w:val="center"/>
            <w:hideMark/>
          </w:tcPr>
          <w:p w14:paraId="4EABF73F" w14:textId="77777777" w:rsidR="00C74408" w:rsidRPr="00C74408" w:rsidRDefault="00C74408" w:rsidP="00C74408">
            <w:pPr>
              <w:rPr>
                <w:strike w:val="0"/>
              </w:rPr>
            </w:pPr>
          </w:p>
        </w:tc>
      </w:tr>
      <w:tr w:rsidR="0091070B" w:rsidRPr="00C74408" w14:paraId="77272808" w14:textId="77777777">
        <w:trPr>
          <w:tblCellSpacing w:w="15" w:type="dxa"/>
        </w:trPr>
        <w:tc>
          <w:tcPr>
            <w:tcW w:w="0" w:type="auto"/>
            <w:vAlign w:val="center"/>
            <w:hideMark/>
          </w:tcPr>
          <w:p w14:paraId="47EA9C38" w14:textId="77777777" w:rsidR="00C74408" w:rsidRPr="00C74408" w:rsidRDefault="00C74408" w:rsidP="00C74408">
            <w:pPr>
              <w:rPr>
                <w:strike w:val="0"/>
              </w:rPr>
            </w:pPr>
            <w:r w:rsidRPr="00C74408">
              <w:rPr>
                <w:strike w:val="0"/>
              </w:rPr>
              <w:t>18–29 years</w:t>
            </w:r>
          </w:p>
        </w:tc>
        <w:tc>
          <w:tcPr>
            <w:tcW w:w="0" w:type="auto"/>
            <w:vAlign w:val="center"/>
            <w:hideMark/>
          </w:tcPr>
          <w:p w14:paraId="0E77F9C5" w14:textId="2593929F" w:rsidR="00C74408" w:rsidRPr="00C74408" w:rsidRDefault="00787E21" w:rsidP="00C74408">
            <w:pPr>
              <w:rPr>
                <w:strike w:val="0"/>
              </w:rPr>
            </w:pPr>
            <w:r>
              <w:rPr>
                <w:strike w:val="0"/>
              </w:rPr>
              <w:t xml:space="preserve">                                               </w:t>
            </w:r>
            <w:r w:rsidR="00C74408" w:rsidRPr="00C74408">
              <w:rPr>
                <w:strike w:val="0"/>
              </w:rPr>
              <w:t>12.4</w:t>
            </w:r>
          </w:p>
        </w:tc>
        <w:tc>
          <w:tcPr>
            <w:tcW w:w="0" w:type="auto"/>
            <w:vAlign w:val="center"/>
            <w:hideMark/>
          </w:tcPr>
          <w:p w14:paraId="2BB5C3D9" w14:textId="2EB2852B" w:rsidR="00C74408" w:rsidRPr="00C74408" w:rsidRDefault="00787E21" w:rsidP="00C74408">
            <w:pPr>
              <w:rPr>
                <w:strike w:val="0"/>
              </w:rPr>
            </w:pPr>
            <w:r>
              <w:rPr>
                <w:strike w:val="0"/>
              </w:rPr>
              <w:t xml:space="preserve">                             </w:t>
            </w:r>
            <w:r w:rsidR="0091070B">
              <w:rPr>
                <w:strike w:val="0"/>
              </w:rPr>
              <w:t xml:space="preserve">               </w:t>
            </w:r>
            <w:r>
              <w:rPr>
                <w:strike w:val="0"/>
              </w:rPr>
              <w:t xml:space="preserve"> </w:t>
            </w:r>
            <w:r w:rsidR="0091070B">
              <w:rPr>
                <w:strike w:val="0"/>
              </w:rPr>
              <w:t xml:space="preserve"> </w:t>
            </w:r>
            <w:r w:rsidR="00C74408" w:rsidRPr="00C74408">
              <w:rPr>
                <w:strike w:val="0"/>
              </w:rPr>
              <w:t>11.8–13.0</w:t>
            </w:r>
          </w:p>
        </w:tc>
      </w:tr>
      <w:tr w:rsidR="0091070B" w:rsidRPr="00C74408" w14:paraId="231636F7" w14:textId="77777777">
        <w:trPr>
          <w:tblCellSpacing w:w="15" w:type="dxa"/>
        </w:trPr>
        <w:tc>
          <w:tcPr>
            <w:tcW w:w="0" w:type="auto"/>
            <w:vAlign w:val="center"/>
            <w:hideMark/>
          </w:tcPr>
          <w:p w14:paraId="3437B0B2" w14:textId="77777777" w:rsidR="00C74408" w:rsidRPr="00C74408" w:rsidRDefault="00C74408" w:rsidP="00C74408">
            <w:pPr>
              <w:rPr>
                <w:strike w:val="0"/>
              </w:rPr>
            </w:pPr>
            <w:r w:rsidRPr="00C74408">
              <w:rPr>
                <w:strike w:val="0"/>
              </w:rPr>
              <w:t>30–39 years</w:t>
            </w:r>
          </w:p>
        </w:tc>
        <w:tc>
          <w:tcPr>
            <w:tcW w:w="0" w:type="auto"/>
            <w:vAlign w:val="center"/>
            <w:hideMark/>
          </w:tcPr>
          <w:p w14:paraId="578264D2" w14:textId="619B5238" w:rsidR="00C74408" w:rsidRPr="00C74408" w:rsidRDefault="00787E21" w:rsidP="00C74408">
            <w:pPr>
              <w:rPr>
                <w:strike w:val="0"/>
              </w:rPr>
            </w:pPr>
            <w:r>
              <w:rPr>
                <w:strike w:val="0"/>
              </w:rPr>
              <w:t xml:space="preserve">                                               </w:t>
            </w:r>
            <w:r w:rsidR="00C74408" w:rsidRPr="00C74408">
              <w:rPr>
                <w:strike w:val="0"/>
              </w:rPr>
              <w:t>24.7</w:t>
            </w:r>
          </w:p>
        </w:tc>
        <w:tc>
          <w:tcPr>
            <w:tcW w:w="0" w:type="auto"/>
            <w:vAlign w:val="center"/>
            <w:hideMark/>
          </w:tcPr>
          <w:p w14:paraId="4062A30E" w14:textId="73BCD7DF" w:rsidR="00C74408" w:rsidRPr="00C74408" w:rsidRDefault="00787E21" w:rsidP="00C74408">
            <w:pPr>
              <w:rPr>
                <w:strike w:val="0"/>
              </w:rPr>
            </w:pPr>
            <w:r>
              <w:rPr>
                <w:strike w:val="0"/>
              </w:rPr>
              <w:t xml:space="preserve">                               </w:t>
            </w:r>
            <w:r w:rsidR="0091070B">
              <w:rPr>
                <w:strike w:val="0"/>
              </w:rPr>
              <w:t xml:space="preserve">               </w:t>
            </w:r>
            <w:r w:rsidR="00C74408" w:rsidRPr="00C74408">
              <w:rPr>
                <w:strike w:val="0"/>
              </w:rPr>
              <w:t>23.9–25.5</w:t>
            </w:r>
          </w:p>
        </w:tc>
      </w:tr>
      <w:tr w:rsidR="0091070B" w:rsidRPr="00C74408" w14:paraId="1DBD4665" w14:textId="77777777">
        <w:trPr>
          <w:tblCellSpacing w:w="15" w:type="dxa"/>
        </w:trPr>
        <w:tc>
          <w:tcPr>
            <w:tcW w:w="0" w:type="auto"/>
            <w:vAlign w:val="center"/>
            <w:hideMark/>
          </w:tcPr>
          <w:p w14:paraId="26476445" w14:textId="77777777" w:rsidR="00C74408" w:rsidRPr="00C74408" w:rsidRDefault="00C74408" w:rsidP="00C74408">
            <w:pPr>
              <w:rPr>
                <w:strike w:val="0"/>
              </w:rPr>
            </w:pPr>
            <w:r w:rsidRPr="00C74408">
              <w:rPr>
                <w:strike w:val="0"/>
              </w:rPr>
              <w:t>40–49 years</w:t>
            </w:r>
          </w:p>
        </w:tc>
        <w:tc>
          <w:tcPr>
            <w:tcW w:w="0" w:type="auto"/>
            <w:vAlign w:val="center"/>
            <w:hideMark/>
          </w:tcPr>
          <w:p w14:paraId="1BDE69EF" w14:textId="296C91D7" w:rsidR="00C74408" w:rsidRPr="00C74408" w:rsidRDefault="00787E21" w:rsidP="00C74408">
            <w:pPr>
              <w:rPr>
                <w:strike w:val="0"/>
              </w:rPr>
            </w:pPr>
            <w:r>
              <w:rPr>
                <w:strike w:val="0"/>
              </w:rPr>
              <w:t xml:space="preserve">                                               </w:t>
            </w:r>
            <w:r w:rsidR="00C74408" w:rsidRPr="00C74408">
              <w:rPr>
                <w:strike w:val="0"/>
              </w:rPr>
              <w:t>38.2</w:t>
            </w:r>
          </w:p>
        </w:tc>
        <w:tc>
          <w:tcPr>
            <w:tcW w:w="0" w:type="auto"/>
            <w:vAlign w:val="center"/>
            <w:hideMark/>
          </w:tcPr>
          <w:p w14:paraId="3E92B883" w14:textId="4DD3F121" w:rsidR="00C74408" w:rsidRPr="00C74408" w:rsidRDefault="00787E21" w:rsidP="00C74408">
            <w:pPr>
              <w:rPr>
                <w:strike w:val="0"/>
              </w:rPr>
            </w:pPr>
            <w:r>
              <w:rPr>
                <w:strike w:val="0"/>
              </w:rPr>
              <w:t xml:space="preserve">                               </w:t>
            </w:r>
            <w:r w:rsidR="0091070B">
              <w:rPr>
                <w:strike w:val="0"/>
              </w:rPr>
              <w:t xml:space="preserve">               </w:t>
            </w:r>
            <w:r w:rsidR="00C74408" w:rsidRPr="00C74408">
              <w:rPr>
                <w:strike w:val="0"/>
              </w:rPr>
              <w:t>37.3–39.1</w:t>
            </w:r>
          </w:p>
        </w:tc>
      </w:tr>
      <w:tr w:rsidR="0091070B" w:rsidRPr="00C74408" w14:paraId="07E456C4" w14:textId="77777777">
        <w:trPr>
          <w:tblCellSpacing w:w="15" w:type="dxa"/>
        </w:trPr>
        <w:tc>
          <w:tcPr>
            <w:tcW w:w="0" w:type="auto"/>
            <w:vAlign w:val="center"/>
            <w:hideMark/>
          </w:tcPr>
          <w:p w14:paraId="01424B24" w14:textId="77777777" w:rsidR="00C74408" w:rsidRPr="00C74408" w:rsidRDefault="00C74408" w:rsidP="00C74408">
            <w:pPr>
              <w:rPr>
                <w:strike w:val="0"/>
              </w:rPr>
            </w:pPr>
            <w:r w:rsidRPr="00C74408">
              <w:rPr>
                <w:strike w:val="0"/>
              </w:rPr>
              <w:t>50–59 years</w:t>
            </w:r>
          </w:p>
        </w:tc>
        <w:tc>
          <w:tcPr>
            <w:tcW w:w="0" w:type="auto"/>
            <w:vAlign w:val="center"/>
            <w:hideMark/>
          </w:tcPr>
          <w:p w14:paraId="67494B43" w14:textId="4523A1CC" w:rsidR="00C74408" w:rsidRPr="00C74408" w:rsidRDefault="00787E21" w:rsidP="00C74408">
            <w:pPr>
              <w:rPr>
                <w:strike w:val="0"/>
              </w:rPr>
            </w:pPr>
            <w:r>
              <w:rPr>
                <w:strike w:val="0"/>
              </w:rPr>
              <w:t xml:space="preserve">                                               </w:t>
            </w:r>
            <w:r w:rsidR="00C74408" w:rsidRPr="00C74408">
              <w:rPr>
                <w:strike w:val="0"/>
              </w:rPr>
              <w:t>48.6</w:t>
            </w:r>
          </w:p>
        </w:tc>
        <w:tc>
          <w:tcPr>
            <w:tcW w:w="0" w:type="auto"/>
            <w:vAlign w:val="center"/>
            <w:hideMark/>
          </w:tcPr>
          <w:p w14:paraId="01D94979" w14:textId="31D54891" w:rsidR="00C74408" w:rsidRPr="00C74408" w:rsidRDefault="00787E21" w:rsidP="00C74408">
            <w:pPr>
              <w:rPr>
                <w:strike w:val="0"/>
              </w:rPr>
            </w:pPr>
            <w:r>
              <w:rPr>
                <w:strike w:val="0"/>
              </w:rPr>
              <w:t xml:space="preserve">                               </w:t>
            </w:r>
            <w:r w:rsidR="0091070B">
              <w:rPr>
                <w:strike w:val="0"/>
              </w:rPr>
              <w:t xml:space="preserve">               </w:t>
            </w:r>
            <w:r w:rsidR="00C74408" w:rsidRPr="00C74408">
              <w:rPr>
                <w:strike w:val="0"/>
              </w:rPr>
              <w:t>47.6–49.6</w:t>
            </w:r>
          </w:p>
        </w:tc>
      </w:tr>
      <w:tr w:rsidR="0091070B" w:rsidRPr="00C74408" w14:paraId="4B62AE7C" w14:textId="77777777">
        <w:trPr>
          <w:tblCellSpacing w:w="15" w:type="dxa"/>
        </w:trPr>
        <w:tc>
          <w:tcPr>
            <w:tcW w:w="0" w:type="auto"/>
            <w:vAlign w:val="center"/>
            <w:hideMark/>
          </w:tcPr>
          <w:p w14:paraId="5DE14C55" w14:textId="77777777" w:rsidR="00C74408" w:rsidRPr="00C74408" w:rsidRDefault="00C74408" w:rsidP="00C74408">
            <w:pPr>
              <w:rPr>
                <w:strike w:val="0"/>
              </w:rPr>
            </w:pPr>
            <w:r w:rsidRPr="00C74408">
              <w:rPr>
                <w:strike w:val="0"/>
              </w:rPr>
              <w:t>60–69 years</w:t>
            </w:r>
          </w:p>
        </w:tc>
        <w:tc>
          <w:tcPr>
            <w:tcW w:w="0" w:type="auto"/>
            <w:vAlign w:val="center"/>
            <w:hideMark/>
          </w:tcPr>
          <w:p w14:paraId="273A5361" w14:textId="4D7DE526" w:rsidR="00C74408" w:rsidRPr="00C74408" w:rsidRDefault="00787E21" w:rsidP="00C74408">
            <w:pPr>
              <w:rPr>
                <w:strike w:val="0"/>
              </w:rPr>
            </w:pPr>
            <w:r>
              <w:rPr>
                <w:strike w:val="0"/>
              </w:rPr>
              <w:t xml:space="preserve">                                               </w:t>
            </w:r>
            <w:r w:rsidR="00C74408" w:rsidRPr="00C74408">
              <w:rPr>
                <w:strike w:val="0"/>
              </w:rPr>
              <w:t>56.3</w:t>
            </w:r>
          </w:p>
        </w:tc>
        <w:tc>
          <w:tcPr>
            <w:tcW w:w="0" w:type="auto"/>
            <w:vAlign w:val="center"/>
            <w:hideMark/>
          </w:tcPr>
          <w:p w14:paraId="039D7A1F" w14:textId="575AAF05" w:rsidR="00C74408" w:rsidRPr="00C74408" w:rsidRDefault="00787E21" w:rsidP="00C74408">
            <w:pPr>
              <w:rPr>
                <w:strike w:val="0"/>
              </w:rPr>
            </w:pPr>
            <w:r>
              <w:rPr>
                <w:strike w:val="0"/>
              </w:rPr>
              <w:t xml:space="preserve">                               </w:t>
            </w:r>
            <w:r w:rsidR="0091070B">
              <w:rPr>
                <w:strike w:val="0"/>
              </w:rPr>
              <w:t xml:space="preserve">               </w:t>
            </w:r>
            <w:r w:rsidR="00C74408" w:rsidRPr="00C74408">
              <w:rPr>
                <w:strike w:val="0"/>
              </w:rPr>
              <w:t>55.2–57.4</w:t>
            </w:r>
          </w:p>
        </w:tc>
      </w:tr>
      <w:tr w:rsidR="0091070B" w:rsidRPr="00C74408" w14:paraId="181DCE9A" w14:textId="77777777">
        <w:trPr>
          <w:tblCellSpacing w:w="15" w:type="dxa"/>
        </w:trPr>
        <w:tc>
          <w:tcPr>
            <w:tcW w:w="0" w:type="auto"/>
            <w:vAlign w:val="center"/>
            <w:hideMark/>
          </w:tcPr>
          <w:p w14:paraId="23CC9FDE" w14:textId="77777777" w:rsidR="00C74408" w:rsidRPr="00C74408" w:rsidRDefault="00C74408" w:rsidP="00C74408">
            <w:pPr>
              <w:rPr>
                <w:strike w:val="0"/>
              </w:rPr>
            </w:pPr>
            <w:r w:rsidRPr="00C74408">
              <w:rPr>
                <w:strike w:val="0"/>
              </w:rPr>
              <w:t>≥70 years</w:t>
            </w:r>
          </w:p>
        </w:tc>
        <w:tc>
          <w:tcPr>
            <w:tcW w:w="0" w:type="auto"/>
            <w:vAlign w:val="center"/>
            <w:hideMark/>
          </w:tcPr>
          <w:p w14:paraId="7C1DD2CC" w14:textId="59DBEE09" w:rsidR="00C74408" w:rsidRPr="00C74408" w:rsidRDefault="00787E21" w:rsidP="00C74408">
            <w:pPr>
              <w:rPr>
                <w:strike w:val="0"/>
              </w:rPr>
            </w:pPr>
            <w:r>
              <w:rPr>
                <w:strike w:val="0"/>
              </w:rPr>
              <w:t xml:space="preserve">                                               </w:t>
            </w:r>
            <w:r w:rsidR="00C74408" w:rsidRPr="00C74408">
              <w:rPr>
                <w:strike w:val="0"/>
              </w:rPr>
              <w:t>61.8</w:t>
            </w:r>
          </w:p>
        </w:tc>
        <w:tc>
          <w:tcPr>
            <w:tcW w:w="0" w:type="auto"/>
            <w:vAlign w:val="center"/>
            <w:hideMark/>
          </w:tcPr>
          <w:p w14:paraId="1F2CE36F" w14:textId="606C9569" w:rsidR="00C74408" w:rsidRPr="00C74408" w:rsidRDefault="00787E21" w:rsidP="00C74408">
            <w:pPr>
              <w:rPr>
                <w:strike w:val="0"/>
              </w:rPr>
            </w:pPr>
            <w:r>
              <w:rPr>
                <w:strike w:val="0"/>
              </w:rPr>
              <w:t xml:space="preserve">                              </w:t>
            </w:r>
            <w:r w:rsidR="0091070B">
              <w:rPr>
                <w:strike w:val="0"/>
              </w:rPr>
              <w:t xml:space="preserve">               </w:t>
            </w:r>
            <w:r>
              <w:rPr>
                <w:strike w:val="0"/>
              </w:rPr>
              <w:t xml:space="preserve"> </w:t>
            </w:r>
            <w:r w:rsidR="00C74408" w:rsidRPr="00C74408">
              <w:rPr>
                <w:strike w:val="0"/>
              </w:rPr>
              <w:t>60.5–63.1</w:t>
            </w:r>
          </w:p>
        </w:tc>
      </w:tr>
      <w:tr w:rsidR="0091070B" w:rsidRPr="00C74408" w14:paraId="25432DEB" w14:textId="77777777">
        <w:trPr>
          <w:tblCellSpacing w:w="15" w:type="dxa"/>
        </w:trPr>
        <w:tc>
          <w:tcPr>
            <w:tcW w:w="0" w:type="auto"/>
            <w:vAlign w:val="center"/>
            <w:hideMark/>
          </w:tcPr>
          <w:p w14:paraId="4A8BA30A" w14:textId="77777777" w:rsidR="00C74408" w:rsidRPr="00C74408" w:rsidRDefault="00C74408" w:rsidP="00C74408">
            <w:pPr>
              <w:rPr>
                <w:strike w:val="0"/>
              </w:rPr>
            </w:pPr>
            <w:r w:rsidRPr="00C74408">
              <w:rPr>
                <w:b/>
                <w:bCs/>
                <w:strike w:val="0"/>
              </w:rPr>
              <w:t>Sex</w:t>
            </w:r>
          </w:p>
        </w:tc>
        <w:tc>
          <w:tcPr>
            <w:tcW w:w="0" w:type="auto"/>
            <w:vAlign w:val="center"/>
            <w:hideMark/>
          </w:tcPr>
          <w:p w14:paraId="69FAA034" w14:textId="77777777" w:rsidR="00C74408" w:rsidRPr="00C74408" w:rsidRDefault="00C74408" w:rsidP="00C74408">
            <w:pPr>
              <w:rPr>
                <w:strike w:val="0"/>
              </w:rPr>
            </w:pPr>
          </w:p>
        </w:tc>
        <w:tc>
          <w:tcPr>
            <w:tcW w:w="0" w:type="auto"/>
            <w:vAlign w:val="center"/>
            <w:hideMark/>
          </w:tcPr>
          <w:p w14:paraId="4EE0E878" w14:textId="77777777" w:rsidR="00C74408" w:rsidRPr="00C74408" w:rsidRDefault="00C74408" w:rsidP="00C74408">
            <w:pPr>
              <w:rPr>
                <w:strike w:val="0"/>
              </w:rPr>
            </w:pPr>
          </w:p>
        </w:tc>
      </w:tr>
      <w:tr w:rsidR="0091070B" w:rsidRPr="00C74408" w14:paraId="0C901480" w14:textId="77777777">
        <w:trPr>
          <w:tblCellSpacing w:w="15" w:type="dxa"/>
        </w:trPr>
        <w:tc>
          <w:tcPr>
            <w:tcW w:w="0" w:type="auto"/>
            <w:vAlign w:val="center"/>
            <w:hideMark/>
          </w:tcPr>
          <w:p w14:paraId="1D45608C" w14:textId="77777777" w:rsidR="00C74408" w:rsidRPr="00C74408" w:rsidRDefault="00C74408" w:rsidP="00C74408">
            <w:pPr>
              <w:rPr>
                <w:strike w:val="0"/>
              </w:rPr>
            </w:pPr>
            <w:r w:rsidRPr="00C74408">
              <w:rPr>
                <w:strike w:val="0"/>
              </w:rPr>
              <w:t>Male</w:t>
            </w:r>
          </w:p>
        </w:tc>
        <w:tc>
          <w:tcPr>
            <w:tcW w:w="0" w:type="auto"/>
            <w:vAlign w:val="center"/>
            <w:hideMark/>
          </w:tcPr>
          <w:p w14:paraId="09959BFA" w14:textId="217D0595" w:rsidR="00C74408" w:rsidRPr="00C74408" w:rsidRDefault="00787E21" w:rsidP="00C74408">
            <w:pPr>
              <w:rPr>
                <w:strike w:val="0"/>
              </w:rPr>
            </w:pPr>
            <w:r>
              <w:rPr>
                <w:strike w:val="0"/>
              </w:rPr>
              <w:t xml:space="preserve">                                               </w:t>
            </w:r>
            <w:r w:rsidR="00C74408" w:rsidRPr="00C74408">
              <w:rPr>
                <w:strike w:val="0"/>
              </w:rPr>
              <w:t>35.2</w:t>
            </w:r>
          </w:p>
        </w:tc>
        <w:tc>
          <w:tcPr>
            <w:tcW w:w="0" w:type="auto"/>
            <w:vAlign w:val="center"/>
            <w:hideMark/>
          </w:tcPr>
          <w:p w14:paraId="4B8D7360" w14:textId="41B501E3" w:rsidR="00C74408" w:rsidRPr="00C74408" w:rsidRDefault="00787E21" w:rsidP="00C74408">
            <w:pPr>
              <w:rPr>
                <w:strike w:val="0"/>
              </w:rPr>
            </w:pPr>
            <w:r>
              <w:rPr>
                <w:strike w:val="0"/>
              </w:rPr>
              <w:t xml:space="preserve">                               </w:t>
            </w:r>
            <w:r w:rsidR="0091070B">
              <w:rPr>
                <w:strike w:val="0"/>
              </w:rPr>
              <w:t xml:space="preserve">               </w:t>
            </w:r>
            <w:r w:rsidR="00C74408" w:rsidRPr="00C74408">
              <w:rPr>
                <w:strike w:val="0"/>
              </w:rPr>
              <w:t>34.3–36.1</w:t>
            </w:r>
          </w:p>
        </w:tc>
      </w:tr>
      <w:tr w:rsidR="0091070B" w:rsidRPr="00C74408" w14:paraId="1A826AC2" w14:textId="77777777">
        <w:trPr>
          <w:tblCellSpacing w:w="15" w:type="dxa"/>
        </w:trPr>
        <w:tc>
          <w:tcPr>
            <w:tcW w:w="0" w:type="auto"/>
            <w:vAlign w:val="center"/>
            <w:hideMark/>
          </w:tcPr>
          <w:p w14:paraId="0E6F3830" w14:textId="77777777" w:rsidR="00C74408" w:rsidRPr="00C74408" w:rsidRDefault="00C74408" w:rsidP="00C74408">
            <w:pPr>
              <w:rPr>
                <w:strike w:val="0"/>
              </w:rPr>
            </w:pPr>
            <w:r w:rsidRPr="00C74408">
              <w:rPr>
                <w:strike w:val="0"/>
              </w:rPr>
              <w:t>Female</w:t>
            </w:r>
          </w:p>
        </w:tc>
        <w:tc>
          <w:tcPr>
            <w:tcW w:w="0" w:type="auto"/>
            <w:vAlign w:val="center"/>
            <w:hideMark/>
          </w:tcPr>
          <w:p w14:paraId="5BCB3A11" w14:textId="67DDA9CA" w:rsidR="00C74408" w:rsidRPr="00C74408" w:rsidRDefault="00787E21" w:rsidP="00C74408">
            <w:pPr>
              <w:rPr>
                <w:strike w:val="0"/>
              </w:rPr>
            </w:pPr>
            <w:r>
              <w:rPr>
                <w:strike w:val="0"/>
              </w:rPr>
              <w:t xml:space="preserve">                                               </w:t>
            </w:r>
            <w:r w:rsidR="00C74408" w:rsidRPr="00C74408">
              <w:rPr>
                <w:strike w:val="0"/>
              </w:rPr>
              <w:t>30.1</w:t>
            </w:r>
          </w:p>
        </w:tc>
        <w:tc>
          <w:tcPr>
            <w:tcW w:w="0" w:type="auto"/>
            <w:vAlign w:val="center"/>
            <w:hideMark/>
          </w:tcPr>
          <w:p w14:paraId="1E7F7399" w14:textId="5434D6FB" w:rsidR="00C74408" w:rsidRPr="00C74408" w:rsidRDefault="00787E21" w:rsidP="00C74408">
            <w:pPr>
              <w:rPr>
                <w:strike w:val="0"/>
              </w:rPr>
            </w:pPr>
            <w:r>
              <w:rPr>
                <w:strike w:val="0"/>
              </w:rPr>
              <w:t xml:space="preserve">                               </w:t>
            </w:r>
            <w:r w:rsidR="0091070B">
              <w:rPr>
                <w:strike w:val="0"/>
              </w:rPr>
              <w:t xml:space="preserve">               </w:t>
            </w:r>
            <w:r w:rsidR="00C74408" w:rsidRPr="00C74408">
              <w:rPr>
                <w:strike w:val="0"/>
              </w:rPr>
              <w:t>29.3–30.9</w:t>
            </w:r>
          </w:p>
        </w:tc>
      </w:tr>
      <w:tr w:rsidR="0091070B" w:rsidRPr="00C74408" w14:paraId="1CA7953B" w14:textId="77777777">
        <w:trPr>
          <w:tblCellSpacing w:w="15" w:type="dxa"/>
        </w:trPr>
        <w:tc>
          <w:tcPr>
            <w:tcW w:w="0" w:type="auto"/>
            <w:vAlign w:val="center"/>
            <w:hideMark/>
          </w:tcPr>
          <w:p w14:paraId="18465478" w14:textId="77777777" w:rsidR="00C74408" w:rsidRPr="00C74408" w:rsidRDefault="00C74408" w:rsidP="00C74408">
            <w:pPr>
              <w:rPr>
                <w:strike w:val="0"/>
              </w:rPr>
            </w:pPr>
            <w:r w:rsidRPr="00C74408">
              <w:rPr>
                <w:b/>
                <w:bCs/>
                <w:strike w:val="0"/>
              </w:rPr>
              <w:lastRenderedPageBreak/>
              <w:t>Residence</w:t>
            </w:r>
          </w:p>
        </w:tc>
        <w:tc>
          <w:tcPr>
            <w:tcW w:w="0" w:type="auto"/>
            <w:vAlign w:val="center"/>
            <w:hideMark/>
          </w:tcPr>
          <w:p w14:paraId="5D2337B7" w14:textId="77777777" w:rsidR="00C74408" w:rsidRPr="00C74408" w:rsidRDefault="00C74408" w:rsidP="00C74408">
            <w:pPr>
              <w:rPr>
                <w:strike w:val="0"/>
              </w:rPr>
            </w:pPr>
          </w:p>
        </w:tc>
        <w:tc>
          <w:tcPr>
            <w:tcW w:w="0" w:type="auto"/>
            <w:vAlign w:val="center"/>
            <w:hideMark/>
          </w:tcPr>
          <w:p w14:paraId="2B1D4332" w14:textId="77777777" w:rsidR="00C74408" w:rsidRPr="00C74408" w:rsidRDefault="00C74408" w:rsidP="00C74408">
            <w:pPr>
              <w:rPr>
                <w:strike w:val="0"/>
              </w:rPr>
            </w:pPr>
          </w:p>
        </w:tc>
      </w:tr>
      <w:tr w:rsidR="0091070B" w:rsidRPr="00C74408" w14:paraId="0D222E95" w14:textId="77777777">
        <w:trPr>
          <w:tblCellSpacing w:w="15" w:type="dxa"/>
        </w:trPr>
        <w:tc>
          <w:tcPr>
            <w:tcW w:w="0" w:type="auto"/>
            <w:vAlign w:val="center"/>
            <w:hideMark/>
          </w:tcPr>
          <w:p w14:paraId="6414B785" w14:textId="77777777" w:rsidR="00C74408" w:rsidRPr="00C74408" w:rsidRDefault="00C74408" w:rsidP="00C74408">
            <w:pPr>
              <w:rPr>
                <w:strike w:val="0"/>
              </w:rPr>
            </w:pPr>
            <w:r w:rsidRPr="00C74408">
              <w:rPr>
                <w:strike w:val="0"/>
              </w:rPr>
              <w:t>Urban</w:t>
            </w:r>
          </w:p>
        </w:tc>
        <w:tc>
          <w:tcPr>
            <w:tcW w:w="0" w:type="auto"/>
            <w:vAlign w:val="center"/>
            <w:hideMark/>
          </w:tcPr>
          <w:p w14:paraId="09D16746" w14:textId="3F47A73E" w:rsidR="00C74408" w:rsidRPr="00C74408" w:rsidRDefault="00787E21" w:rsidP="00C74408">
            <w:pPr>
              <w:rPr>
                <w:strike w:val="0"/>
              </w:rPr>
            </w:pPr>
            <w:r>
              <w:rPr>
                <w:strike w:val="0"/>
              </w:rPr>
              <w:t xml:space="preserve">                                                </w:t>
            </w:r>
            <w:r w:rsidR="00C74408" w:rsidRPr="00C74408">
              <w:rPr>
                <w:strike w:val="0"/>
              </w:rPr>
              <w:t>35.8</w:t>
            </w:r>
          </w:p>
        </w:tc>
        <w:tc>
          <w:tcPr>
            <w:tcW w:w="0" w:type="auto"/>
            <w:vAlign w:val="center"/>
            <w:hideMark/>
          </w:tcPr>
          <w:p w14:paraId="4173A8DE" w14:textId="65228AE9" w:rsidR="00C74408" w:rsidRPr="00C74408" w:rsidRDefault="00787E21" w:rsidP="00C74408">
            <w:pPr>
              <w:rPr>
                <w:strike w:val="0"/>
              </w:rPr>
            </w:pPr>
            <w:r>
              <w:rPr>
                <w:strike w:val="0"/>
              </w:rPr>
              <w:t xml:space="preserve">                                </w:t>
            </w:r>
            <w:r w:rsidR="0091070B">
              <w:rPr>
                <w:strike w:val="0"/>
              </w:rPr>
              <w:t xml:space="preserve">              </w:t>
            </w:r>
            <w:r w:rsidR="00C74408" w:rsidRPr="00C74408">
              <w:rPr>
                <w:strike w:val="0"/>
              </w:rPr>
              <w:t>35.0–36.6</w:t>
            </w:r>
          </w:p>
        </w:tc>
      </w:tr>
      <w:tr w:rsidR="0091070B" w:rsidRPr="00C74408" w14:paraId="28AFC179" w14:textId="77777777">
        <w:trPr>
          <w:tblCellSpacing w:w="15" w:type="dxa"/>
        </w:trPr>
        <w:tc>
          <w:tcPr>
            <w:tcW w:w="0" w:type="auto"/>
            <w:vAlign w:val="center"/>
            <w:hideMark/>
          </w:tcPr>
          <w:p w14:paraId="7361CD1D" w14:textId="77777777" w:rsidR="00C74408" w:rsidRPr="00C74408" w:rsidRDefault="00C74408" w:rsidP="00C74408">
            <w:pPr>
              <w:rPr>
                <w:strike w:val="0"/>
              </w:rPr>
            </w:pPr>
            <w:r w:rsidRPr="00C74408">
              <w:rPr>
                <w:strike w:val="0"/>
              </w:rPr>
              <w:t>Rural</w:t>
            </w:r>
          </w:p>
        </w:tc>
        <w:tc>
          <w:tcPr>
            <w:tcW w:w="0" w:type="auto"/>
            <w:vAlign w:val="center"/>
            <w:hideMark/>
          </w:tcPr>
          <w:p w14:paraId="0A06BA37" w14:textId="12274E39" w:rsidR="00C74408" w:rsidRPr="00C74408" w:rsidRDefault="00787E21" w:rsidP="00C74408">
            <w:pPr>
              <w:rPr>
                <w:strike w:val="0"/>
              </w:rPr>
            </w:pPr>
            <w:r>
              <w:rPr>
                <w:strike w:val="0"/>
              </w:rPr>
              <w:t xml:space="preserve">                                                </w:t>
            </w:r>
            <w:r w:rsidR="00C74408" w:rsidRPr="00C74408">
              <w:rPr>
                <w:strike w:val="0"/>
              </w:rPr>
              <w:t>29.2</w:t>
            </w:r>
          </w:p>
        </w:tc>
        <w:tc>
          <w:tcPr>
            <w:tcW w:w="0" w:type="auto"/>
            <w:vAlign w:val="center"/>
            <w:hideMark/>
          </w:tcPr>
          <w:p w14:paraId="3F227A04" w14:textId="5B42B4D3" w:rsidR="00C74408" w:rsidRPr="00C74408" w:rsidRDefault="00787E21" w:rsidP="00C74408">
            <w:pPr>
              <w:rPr>
                <w:strike w:val="0"/>
              </w:rPr>
            </w:pPr>
            <w:r>
              <w:rPr>
                <w:strike w:val="0"/>
              </w:rPr>
              <w:t xml:space="preserve">                                </w:t>
            </w:r>
            <w:r w:rsidR="0091070B">
              <w:rPr>
                <w:strike w:val="0"/>
              </w:rPr>
              <w:t xml:space="preserve">             </w:t>
            </w:r>
            <w:r>
              <w:rPr>
                <w:strike w:val="0"/>
              </w:rPr>
              <w:t xml:space="preserve"> </w:t>
            </w:r>
            <w:r w:rsidR="00C74408" w:rsidRPr="00C74408">
              <w:rPr>
                <w:strike w:val="0"/>
              </w:rPr>
              <w:t>28.4–30.0</w:t>
            </w:r>
          </w:p>
        </w:tc>
      </w:tr>
    </w:tbl>
    <w:p w14:paraId="77A63609" w14:textId="46842CC5" w:rsidR="00DB60C0" w:rsidRPr="00DB60C0" w:rsidRDefault="00DB60C0" w:rsidP="00DB60C0">
      <w:pPr>
        <w:rPr>
          <w:strike w:val="0"/>
        </w:rPr>
      </w:pPr>
      <w:r w:rsidRPr="00DB60C0">
        <w:rPr>
          <w:strike w:val="0"/>
        </w:rPr>
        <w:t xml:space="preserve">Awareness, treatment, and control improved modestly but remained low (Table 3). Awareness rose from 26.3% (2015) to 34.8% (2024) (p&lt;0.001); treatment increased from 18.4% to 24.7% (p&lt;0.001); control among treated individuals improved marginally from 12.1% to 14.3% (p=0.03). Consequently, controlled hypertension among all adults remained extremely low (2.2% to 3.5%). Awareness was higher among females (38.2%), urban residents (37.6%), and adults ≥60 years (47.2%), while younger adults had </w:t>
      </w:r>
      <w:r w:rsidR="00AE7030" w:rsidRPr="00DB046B">
        <w:rPr>
          <w:strike w:val="0"/>
        </w:rPr>
        <w:t xml:space="preserve">the </w:t>
      </w:r>
      <w:r w:rsidRPr="00DB60C0">
        <w:rPr>
          <w:strike w:val="0"/>
        </w:rPr>
        <w:t>lowest awareness.</w:t>
      </w:r>
    </w:p>
    <w:p w14:paraId="752E08DB" w14:textId="122F956D" w:rsidR="002F04B3" w:rsidRPr="00DB046B" w:rsidRDefault="00DB60C0" w:rsidP="00F2691B">
      <w:pPr>
        <w:rPr>
          <w:strike w:val="0"/>
        </w:rPr>
      </w:pPr>
      <w:r w:rsidRPr="00DB60C0">
        <w:rPr>
          <w:strike w:val="0"/>
        </w:rPr>
        <w:t xml:space="preserve">Projections indicate </w:t>
      </w:r>
      <w:r w:rsidR="00AE7030" w:rsidRPr="00DB046B">
        <w:rPr>
          <w:strike w:val="0"/>
        </w:rPr>
        <w:t xml:space="preserve">a </w:t>
      </w:r>
      <w:r w:rsidRPr="00DB60C0">
        <w:rPr>
          <w:strike w:val="0"/>
        </w:rPr>
        <w:t xml:space="preserve">substantial burden increase (Figure 4). Under </w:t>
      </w:r>
      <w:r w:rsidR="00AE7030" w:rsidRPr="00DB046B">
        <w:rPr>
          <w:strike w:val="0"/>
        </w:rPr>
        <w:t xml:space="preserve">a </w:t>
      </w:r>
      <w:r w:rsidRPr="00DB60C0">
        <w:rPr>
          <w:strike w:val="0"/>
        </w:rPr>
        <w:t>linear trend, hypertensives will rise from 1.89 million (2024) to 2.78 million by 2034—a 47.1% increase. Accelerated scenario projects 2.94 million cases by 2034.</w:t>
      </w:r>
    </w:p>
    <w:p w14:paraId="138421D9" w14:textId="0216A65C" w:rsidR="00F2691B" w:rsidRPr="00F2691B" w:rsidRDefault="00F2691B" w:rsidP="00F2691B">
      <w:pPr>
        <w:rPr>
          <w:b/>
          <w:bCs/>
          <w:strike w:val="0"/>
        </w:rPr>
      </w:pPr>
      <w:r w:rsidRPr="00F2691B">
        <w:rPr>
          <w:b/>
          <w:bCs/>
          <w:strike w:val="0"/>
        </w:rPr>
        <w:t>Table 3. Hypertension Care Cascade and Projected Burden in Rivers State</w:t>
      </w:r>
    </w:p>
    <w:p w14:paraId="4F133EAC" w14:textId="77777777" w:rsidR="00F2691B" w:rsidRPr="00F2691B" w:rsidRDefault="00F2691B" w:rsidP="00F2691B">
      <w:pPr>
        <w:rPr>
          <w:b/>
          <w:bCs/>
          <w:strike w:val="0"/>
        </w:rPr>
      </w:pPr>
      <w:r w:rsidRPr="00F2691B">
        <w:rPr>
          <w:b/>
          <w:bCs/>
          <w:strike w:val="0"/>
        </w:rPr>
        <w:t>Hypertension Awareness, Treatment and Control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95"/>
        <w:gridCol w:w="1120"/>
        <w:gridCol w:w="2620"/>
        <w:gridCol w:w="1711"/>
      </w:tblGrid>
      <w:tr w:rsidR="00EA0A0F" w:rsidRPr="00F2691B" w14:paraId="51EAFE72" w14:textId="77777777">
        <w:trPr>
          <w:tblHeader/>
          <w:tblCellSpacing w:w="15" w:type="dxa"/>
        </w:trPr>
        <w:tc>
          <w:tcPr>
            <w:tcW w:w="0" w:type="auto"/>
            <w:vAlign w:val="center"/>
            <w:hideMark/>
          </w:tcPr>
          <w:p w14:paraId="30583935" w14:textId="77777777" w:rsidR="00F2691B" w:rsidRPr="00F2691B" w:rsidRDefault="00F2691B" w:rsidP="00F2691B">
            <w:pPr>
              <w:rPr>
                <w:b/>
                <w:bCs/>
                <w:strike w:val="0"/>
              </w:rPr>
            </w:pPr>
            <w:r w:rsidRPr="00F2691B">
              <w:rPr>
                <w:b/>
                <w:bCs/>
                <w:strike w:val="0"/>
              </w:rPr>
              <w:t>Indicator</w:t>
            </w:r>
          </w:p>
        </w:tc>
        <w:tc>
          <w:tcPr>
            <w:tcW w:w="0" w:type="auto"/>
            <w:vAlign w:val="center"/>
            <w:hideMark/>
          </w:tcPr>
          <w:p w14:paraId="43976F3C" w14:textId="5E711584" w:rsidR="00F2691B" w:rsidRPr="00F2691B" w:rsidRDefault="00EA0A0F" w:rsidP="00F2691B">
            <w:pPr>
              <w:rPr>
                <w:b/>
                <w:bCs/>
                <w:strike w:val="0"/>
              </w:rPr>
            </w:pPr>
            <w:r>
              <w:rPr>
                <w:b/>
                <w:bCs/>
                <w:strike w:val="0"/>
              </w:rPr>
              <w:t xml:space="preserve">  </w:t>
            </w:r>
            <w:r w:rsidR="00F2691B" w:rsidRPr="00F2691B">
              <w:rPr>
                <w:b/>
                <w:bCs/>
                <w:strike w:val="0"/>
              </w:rPr>
              <w:t>2015 (%)</w:t>
            </w:r>
          </w:p>
        </w:tc>
        <w:tc>
          <w:tcPr>
            <w:tcW w:w="0" w:type="auto"/>
            <w:vAlign w:val="center"/>
            <w:hideMark/>
          </w:tcPr>
          <w:p w14:paraId="2393277E" w14:textId="177DAD43" w:rsidR="00F2691B" w:rsidRPr="00F2691B" w:rsidRDefault="00855C8E" w:rsidP="00F2691B">
            <w:pPr>
              <w:rPr>
                <w:b/>
                <w:bCs/>
                <w:strike w:val="0"/>
              </w:rPr>
            </w:pPr>
            <w:r>
              <w:rPr>
                <w:b/>
                <w:bCs/>
                <w:strike w:val="0"/>
              </w:rPr>
              <w:t xml:space="preserve">                           </w:t>
            </w:r>
            <w:r w:rsidR="00F2691B" w:rsidRPr="00F2691B">
              <w:rPr>
                <w:b/>
                <w:bCs/>
                <w:strike w:val="0"/>
              </w:rPr>
              <w:t>2024 (%)</w:t>
            </w:r>
          </w:p>
        </w:tc>
        <w:tc>
          <w:tcPr>
            <w:tcW w:w="0" w:type="auto"/>
            <w:vAlign w:val="center"/>
            <w:hideMark/>
          </w:tcPr>
          <w:p w14:paraId="5F5EC651" w14:textId="31D421BA" w:rsidR="00F2691B" w:rsidRPr="00F2691B" w:rsidRDefault="00855C8E" w:rsidP="00F2691B">
            <w:pPr>
              <w:rPr>
                <w:b/>
                <w:bCs/>
                <w:strike w:val="0"/>
              </w:rPr>
            </w:pPr>
            <w:r>
              <w:rPr>
                <w:b/>
                <w:bCs/>
                <w:strike w:val="0"/>
              </w:rPr>
              <w:t xml:space="preserve">             </w:t>
            </w:r>
            <w:r w:rsidR="00F2691B" w:rsidRPr="00F2691B">
              <w:rPr>
                <w:b/>
                <w:bCs/>
                <w:strike w:val="0"/>
              </w:rPr>
              <w:t>p-value</w:t>
            </w:r>
          </w:p>
        </w:tc>
      </w:tr>
      <w:tr w:rsidR="00EA0A0F" w:rsidRPr="00F2691B" w14:paraId="4B189B02" w14:textId="77777777">
        <w:trPr>
          <w:tblCellSpacing w:w="15" w:type="dxa"/>
        </w:trPr>
        <w:tc>
          <w:tcPr>
            <w:tcW w:w="0" w:type="auto"/>
            <w:vAlign w:val="center"/>
            <w:hideMark/>
          </w:tcPr>
          <w:p w14:paraId="3F304045" w14:textId="77777777" w:rsidR="00F2691B" w:rsidRPr="00F2691B" w:rsidRDefault="00F2691B" w:rsidP="00F2691B">
            <w:pPr>
              <w:rPr>
                <w:strike w:val="0"/>
              </w:rPr>
            </w:pPr>
            <w:r w:rsidRPr="00F2691B">
              <w:rPr>
                <w:strike w:val="0"/>
              </w:rPr>
              <w:t>Awareness</w:t>
            </w:r>
          </w:p>
        </w:tc>
        <w:tc>
          <w:tcPr>
            <w:tcW w:w="0" w:type="auto"/>
            <w:vAlign w:val="center"/>
            <w:hideMark/>
          </w:tcPr>
          <w:p w14:paraId="391E5D46" w14:textId="4028563B" w:rsidR="00F2691B" w:rsidRPr="00F2691B" w:rsidRDefault="00EA0A0F" w:rsidP="00F2691B">
            <w:pPr>
              <w:rPr>
                <w:strike w:val="0"/>
              </w:rPr>
            </w:pPr>
            <w:r>
              <w:rPr>
                <w:strike w:val="0"/>
              </w:rPr>
              <w:t xml:space="preserve">    </w:t>
            </w:r>
            <w:r w:rsidR="00F2691B" w:rsidRPr="00F2691B">
              <w:rPr>
                <w:strike w:val="0"/>
              </w:rPr>
              <w:t>26.3</w:t>
            </w:r>
          </w:p>
        </w:tc>
        <w:tc>
          <w:tcPr>
            <w:tcW w:w="0" w:type="auto"/>
            <w:vAlign w:val="center"/>
            <w:hideMark/>
          </w:tcPr>
          <w:p w14:paraId="5CED27D6" w14:textId="256F0950" w:rsidR="00F2691B" w:rsidRPr="00F2691B" w:rsidRDefault="00855C8E" w:rsidP="00F2691B">
            <w:pPr>
              <w:rPr>
                <w:strike w:val="0"/>
              </w:rPr>
            </w:pPr>
            <w:r>
              <w:rPr>
                <w:strike w:val="0"/>
              </w:rPr>
              <w:t xml:space="preserve">                              </w:t>
            </w:r>
            <w:r w:rsidR="00F2691B" w:rsidRPr="00F2691B">
              <w:rPr>
                <w:strike w:val="0"/>
              </w:rPr>
              <w:t>34.8</w:t>
            </w:r>
          </w:p>
        </w:tc>
        <w:tc>
          <w:tcPr>
            <w:tcW w:w="0" w:type="auto"/>
            <w:vAlign w:val="center"/>
            <w:hideMark/>
          </w:tcPr>
          <w:p w14:paraId="111E1BAE" w14:textId="61E6133E" w:rsidR="00F2691B" w:rsidRPr="00F2691B" w:rsidRDefault="00EA0A0F" w:rsidP="00F2691B">
            <w:pPr>
              <w:rPr>
                <w:strike w:val="0"/>
              </w:rPr>
            </w:pPr>
            <w:r>
              <w:rPr>
                <w:strike w:val="0"/>
              </w:rPr>
              <w:t xml:space="preserve">                </w:t>
            </w:r>
            <w:r w:rsidR="00F2691B" w:rsidRPr="00F2691B">
              <w:rPr>
                <w:strike w:val="0"/>
              </w:rPr>
              <w:t>&lt;0.001</w:t>
            </w:r>
          </w:p>
        </w:tc>
      </w:tr>
      <w:tr w:rsidR="00EA0A0F" w:rsidRPr="00F2691B" w14:paraId="7308574C" w14:textId="77777777">
        <w:trPr>
          <w:tblCellSpacing w:w="15" w:type="dxa"/>
        </w:trPr>
        <w:tc>
          <w:tcPr>
            <w:tcW w:w="0" w:type="auto"/>
            <w:vAlign w:val="center"/>
            <w:hideMark/>
          </w:tcPr>
          <w:p w14:paraId="09FF696E" w14:textId="77777777" w:rsidR="00F2691B" w:rsidRPr="00F2691B" w:rsidRDefault="00F2691B" w:rsidP="00F2691B">
            <w:pPr>
              <w:rPr>
                <w:strike w:val="0"/>
              </w:rPr>
            </w:pPr>
            <w:r w:rsidRPr="00F2691B">
              <w:rPr>
                <w:strike w:val="0"/>
              </w:rPr>
              <w:t>Treatment</w:t>
            </w:r>
          </w:p>
        </w:tc>
        <w:tc>
          <w:tcPr>
            <w:tcW w:w="0" w:type="auto"/>
            <w:vAlign w:val="center"/>
            <w:hideMark/>
          </w:tcPr>
          <w:p w14:paraId="267C624D" w14:textId="6849D64A" w:rsidR="00F2691B" w:rsidRPr="00F2691B" w:rsidRDefault="00EA0A0F" w:rsidP="00F2691B">
            <w:pPr>
              <w:rPr>
                <w:strike w:val="0"/>
              </w:rPr>
            </w:pPr>
            <w:r>
              <w:rPr>
                <w:strike w:val="0"/>
              </w:rPr>
              <w:t xml:space="preserve">    </w:t>
            </w:r>
            <w:r w:rsidR="00F2691B" w:rsidRPr="00F2691B">
              <w:rPr>
                <w:strike w:val="0"/>
              </w:rPr>
              <w:t>18.4</w:t>
            </w:r>
          </w:p>
        </w:tc>
        <w:tc>
          <w:tcPr>
            <w:tcW w:w="0" w:type="auto"/>
            <w:vAlign w:val="center"/>
            <w:hideMark/>
          </w:tcPr>
          <w:p w14:paraId="0CD3E670" w14:textId="64F522FC" w:rsidR="00F2691B" w:rsidRPr="00F2691B" w:rsidRDefault="00855C8E" w:rsidP="00F2691B">
            <w:pPr>
              <w:rPr>
                <w:strike w:val="0"/>
              </w:rPr>
            </w:pPr>
            <w:r>
              <w:rPr>
                <w:strike w:val="0"/>
              </w:rPr>
              <w:t xml:space="preserve">                              </w:t>
            </w:r>
            <w:r w:rsidR="00F2691B" w:rsidRPr="00F2691B">
              <w:rPr>
                <w:strike w:val="0"/>
              </w:rPr>
              <w:t>24.7</w:t>
            </w:r>
          </w:p>
        </w:tc>
        <w:tc>
          <w:tcPr>
            <w:tcW w:w="0" w:type="auto"/>
            <w:vAlign w:val="center"/>
            <w:hideMark/>
          </w:tcPr>
          <w:p w14:paraId="383C0E96" w14:textId="612B9501" w:rsidR="00F2691B" w:rsidRPr="00F2691B" w:rsidRDefault="00EA0A0F" w:rsidP="00F2691B">
            <w:pPr>
              <w:rPr>
                <w:strike w:val="0"/>
              </w:rPr>
            </w:pPr>
            <w:r>
              <w:rPr>
                <w:strike w:val="0"/>
              </w:rPr>
              <w:t xml:space="preserve">               </w:t>
            </w:r>
            <w:r w:rsidR="00F2691B" w:rsidRPr="00F2691B">
              <w:rPr>
                <w:strike w:val="0"/>
              </w:rPr>
              <w:t>&lt;0.001</w:t>
            </w:r>
          </w:p>
        </w:tc>
      </w:tr>
      <w:tr w:rsidR="00EA0A0F" w:rsidRPr="00F2691B" w14:paraId="0F922F35" w14:textId="77777777">
        <w:trPr>
          <w:tblCellSpacing w:w="15" w:type="dxa"/>
        </w:trPr>
        <w:tc>
          <w:tcPr>
            <w:tcW w:w="0" w:type="auto"/>
            <w:vAlign w:val="center"/>
            <w:hideMark/>
          </w:tcPr>
          <w:p w14:paraId="2209F167" w14:textId="77777777" w:rsidR="00F2691B" w:rsidRPr="00F2691B" w:rsidRDefault="00F2691B" w:rsidP="00F2691B">
            <w:pPr>
              <w:rPr>
                <w:strike w:val="0"/>
              </w:rPr>
            </w:pPr>
            <w:r w:rsidRPr="00F2691B">
              <w:rPr>
                <w:strike w:val="0"/>
              </w:rPr>
              <w:t>Control among treated</w:t>
            </w:r>
          </w:p>
        </w:tc>
        <w:tc>
          <w:tcPr>
            <w:tcW w:w="0" w:type="auto"/>
            <w:vAlign w:val="center"/>
            <w:hideMark/>
          </w:tcPr>
          <w:p w14:paraId="727EBA62" w14:textId="0F5CC9DD" w:rsidR="00F2691B" w:rsidRPr="00F2691B" w:rsidRDefault="00EA0A0F" w:rsidP="00F2691B">
            <w:pPr>
              <w:rPr>
                <w:strike w:val="0"/>
              </w:rPr>
            </w:pPr>
            <w:r>
              <w:rPr>
                <w:strike w:val="0"/>
              </w:rPr>
              <w:t xml:space="preserve">    </w:t>
            </w:r>
            <w:r w:rsidR="00F2691B" w:rsidRPr="00F2691B">
              <w:rPr>
                <w:strike w:val="0"/>
              </w:rPr>
              <w:t>12.1</w:t>
            </w:r>
          </w:p>
        </w:tc>
        <w:tc>
          <w:tcPr>
            <w:tcW w:w="0" w:type="auto"/>
            <w:vAlign w:val="center"/>
            <w:hideMark/>
          </w:tcPr>
          <w:p w14:paraId="02C123C3" w14:textId="3E0CE102" w:rsidR="00F2691B" w:rsidRPr="00F2691B" w:rsidRDefault="00855C8E" w:rsidP="00F2691B">
            <w:pPr>
              <w:rPr>
                <w:strike w:val="0"/>
              </w:rPr>
            </w:pPr>
            <w:r>
              <w:rPr>
                <w:strike w:val="0"/>
              </w:rPr>
              <w:t xml:space="preserve">                              </w:t>
            </w:r>
            <w:r w:rsidR="00F2691B" w:rsidRPr="00F2691B">
              <w:rPr>
                <w:strike w:val="0"/>
              </w:rPr>
              <w:t>14.3</w:t>
            </w:r>
          </w:p>
        </w:tc>
        <w:tc>
          <w:tcPr>
            <w:tcW w:w="0" w:type="auto"/>
            <w:vAlign w:val="center"/>
            <w:hideMark/>
          </w:tcPr>
          <w:p w14:paraId="4685A184" w14:textId="016D50E3" w:rsidR="00F2691B" w:rsidRPr="00F2691B" w:rsidRDefault="00EA0A0F" w:rsidP="00F2691B">
            <w:pPr>
              <w:rPr>
                <w:strike w:val="0"/>
              </w:rPr>
            </w:pPr>
            <w:r>
              <w:rPr>
                <w:strike w:val="0"/>
              </w:rPr>
              <w:t xml:space="preserve">                   </w:t>
            </w:r>
            <w:r w:rsidR="00F2691B" w:rsidRPr="00F2691B">
              <w:rPr>
                <w:strike w:val="0"/>
              </w:rPr>
              <w:t>0.03</w:t>
            </w:r>
          </w:p>
        </w:tc>
      </w:tr>
      <w:tr w:rsidR="00EA0A0F" w:rsidRPr="00F2691B" w14:paraId="5FDD779F" w14:textId="77777777">
        <w:trPr>
          <w:tblCellSpacing w:w="15" w:type="dxa"/>
        </w:trPr>
        <w:tc>
          <w:tcPr>
            <w:tcW w:w="0" w:type="auto"/>
            <w:vAlign w:val="center"/>
            <w:hideMark/>
          </w:tcPr>
          <w:p w14:paraId="7629BE18" w14:textId="77777777" w:rsidR="00F2691B" w:rsidRPr="00F2691B" w:rsidRDefault="00F2691B" w:rsidP="00F2691B">
            <w:pPr>
              <w:rPr>
                <w:strike w:val="0"/>
              </w:rPr>
            </w:pPr>
            <w:r w:rsidRPr="00F2691B">
              <w:rPr>
                <w:strike w:val="0"/>
              </w:rPr>
              <w:t>Controlled among all hypertensives</w:t>
            </w:r>
          </w:p>
        </w:tc>
        <w:tc>
          <w:tcPr>
            <w:tcW w:w="0" w:type="auto"/>
            <w:vAlign w:val="center"/>
            <w:hideMark/>
          </w:tcPr>
          <w:p w14:paraId="3A6EA79D" w14:textId="449A1C5D" w:rsidR="00F2691B" w:rsidRPr="00F2691B" w:rsidRDefault="00EA0A0F" w:rsidP="00F2691B">
            <w:pPr>
              <w:rPr>
                <w:strike w:val="0"/>
              </w:rPr>
            </w:pPr>
            <w:r>
              <w:rPr>
                <w:strike w:val="0"/>
              </w:rPr>
              <w:t xml:space="preserve">      </w:t>
            </w:r>
            <w:r w:rsidR="00F2691B" w:rsidRPr="00F2691B">
              <w:rPr>
                <w:strike w:val="0"/>
              </w:rPr>
              <w:t>2.2</w:t>
            </w:r>
          </w:p>
        </w:tc>
        <w:tc>
          <w:tcPr>
            <w:tcW w:w="0" w:type="auto"/>
            <w:vAlign w:val="center"/>
            <w:hideMark/>
          </w:tcPr>
          <w:p w14:paraId="4221067B" w14:textId="1828C94F" w:rsidR="00F2691B" w:rsidRPr="00F2691B" w:rsidRDefault="00855C8E" w:rsidP="00F2691B">
            <w:pPr>
              <w:rPr>
                <w:strike w:val="0"/>
              </w:rPr>
            </w:pPr>
            <w:r>
              <w:rPr>
                <w:strike w:val="0"/>
              </w:rPr>
              <w:t xml:space="preserve">                               </w:t>
            </w:r>
            <w:r w:rsidR="00F2691B" w:rsidRPr="00F2691B">
              <w:rPr>
                <w:strike w:val="0"/>
              </w:rPr>
              <w:t>3.5</w:t>
            </w:r>
          </w:p>
        </w:tc>
        <w:tc>
          <w:tcPr>
            <w:tcW w:w="0" w:type="auto"/>
            <w:vAlign w:val="center"/>
            <w:hideMark/>
          </w:tcPr>
          <w:p w14:paraId="08026B5D" w14:textId="77777777" w:rsidR="00F2691B" w:rsidRPr="00F2691B" w:rsidRDefault="00F2691B" w:rsidP="00F2691B">
            <w:pPr>
              <w:rPr>
                <w:strike w:val="0"/>
              </w:rPr>
            </w:pPr>
          </w:p>
        </w:tc>
      </w:tr>
    </w:tbl>
    <w:p w14:paraId="4E42E860" w14:textId="77777777" w:rsidR="00F2691B" w:rsidRPr="00F2691B" w:rsidRDefault="00F2691B" w:rsidP="00F2691B">
      <w:pPr>
        <w:rPr>
          <w:b/>
          <w:bCs/>
          <w:strike w:val="0"/>
        </w:rPr>
      </w:pPr>
      <w:r w:rsidRPr="00F2691B">
        <w:rPr>
          <w:b/>
          <w:bCs/>
          <w:strike w:val="0"/>
        </w:rPr>
        <w:t>Awareness by Selected Characteristics (2024)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2"/>
        <w:gridCol w:w="6262"/>
      </w:tblGrid>
      <w:tr w:rsidR="00F2691B" w:rsidRPr="00F2691B" w14:paraId="083D2627" w14:textId="77777777">
        <w:trPr>
          <w:tblHeader/>
          <w:tblCellSpacing w:w="15" w:type="dxa"/>
        </w:trPr>
        <w:tc>
          <w:tcPr>
            <w:tcW w:w="0" w:type="auto"/>
            <w:vAlign w:val="center"/>
            <w:hideMark/>
          </w:tcPr>
          <w:p w14:paraId="77D98E01" w14:textId="77777777" w:rsidR="00F2691B" w:rsidRPr="00F2691B" w:rsidRDefault="00F2691B" w:rsidP="00F2691B">
            <w:pPr>
              <w:rPr>
                <w:b/>
                <w:bCs/>
                <w:strike w:val="0"/>
              </w:rPr>
            </w:pPr>
            <w:r w:rsidRPr="00F2691B">
              <w:rPr>
                <w:b/>
                <w:bCs/>
                <w:strike w:val="0"/>
              </w:rPr>
              <w:t>Category</w:t>
            </w:r>
          </w:p>
        </w:tc>
        <w:tc>
          <w:tcPr>
            <w:tcW w:w="0" w:type="auto"/>
            <w:vAlign w:val="center"/>
            <w:hideMark/>
          </w:tcPr>
          <w:p w14:paraId="7029A21D" w14:textId="1E3127A1" w:rsidR="00F2691B" w:rsidRPr="00F2691B" w:rsidRDefault="00EA0A0F" w:rsidP="00F2691B">
            <w:pPr>
              <w:rPr>
                <w:b/>
                <w:bCs/>
                <w:strike w:val="0"/>
              </w:rPr>
            </w:pPr>
            <w:r>
              <w:rPr>
                <w:b/>
                <w:bCs/>
                <w:strike w:val="0"/>
              </w:rPr>
              <w:t xml:space="preserve">                                                                             </w:t>
            </w:r>
            <w:r w:rsidR="00F2691B" w:rsidRPr="00F2691B">
              <w:rPr>
                <w:b/>
                <w:bCs/>
                <w:strike w:val="0"/>
              </w:rPr>
              <w:t>Awareness (%)</w:t>
            </w:r>
          </w:p>
        </w:tc>
      </w:tr>
      <w:tr w:rsidR="00F2691B" w:rsidRPr="00F2691B" w14:paraId="40FBA91E" w14:textId="77777777">
        <w:trPr>
          <w:tblCellSpacing w:w="15" w:type="dxa"/>
        </w:trPr>
        <w:tc>
          <w:tcPr>
            <w:tcW w:w="0" w:type="auto"/>
            <w:vAlign w:val="center"/>
            <w:hideMark/>
          </w:tcPr>
          <w:p w14:paraId="2CED6423" w14:textId="77777777" w:rsidR="00F2691B" w:rsidRPr="00F2691B" w:rsidRDefault="00F2691B" w:rsidP="00F2691B">
            <w:pPr>
              <w:rPr>
                <w:strike w:val="0"/>
              </w:rPr>
            </w:pPr>
            <w:r w:rsidRPr="00F2691B">
              <w:rPr>
                <w:strike w:val="0"/>
              </w:rPr>
              <w:t>Male</w:t>
            </w:r>
          </w:p>
        </w:tc>
        <w:tc>
          <w:tcPr>
            <w:tcW w:w="0" w:type="auto"/>
            <w:vAlign w:val="center"/>
            <w:hideMark/>
          </w:tcPr>
          <w:p w14:paraId="2A274E82" w14:textId="4D7C2221" w:rsidR="00F2691B" w:rsidRPr="00F2691B" w:rsidRDefault="00EA0A0F" w:rsidP="00F2691B">
            <w:pPr>
              <w:rPr>
                <w:strike w:val="0"/>
              </w:rPr>
            </w:pPr>
            <w:r>
              <w:rPr>
                <w:strike w:val="0"/>
              </w:rPr>
              <w:t xml:space="preserve">                                                                                         </w:t>
            </w:r>
            <w:r w:rsidR="00F2691B" w:rsidRPr="00F2691B">
              <w:rPr>
                <w:strike w:val="0"/>
              </w:rPr>
              <w:t>31.4</w:t>
            </w:r>
          </w:p>
        </w:tc>
      </w:tr>
      <w:tr w:rsidR="00F2691B" w:rsidRPr="00F2691B" w14:paraId="2DFFB5A9" w14:textId="77777777">
        <w:trPr>
          <w:tblCellSpacing w:w="15" w:type="dxa"/>
        </w:trPr>
        <w:tc>
          <w:tcPr>
            <w:tcW w:w="0" w:type="auto"/>
            <w:vAlign w:val="center"/>
            <w:hideMark/>
          </w:tcPr>
          <w:p w14:paraId="1193C037" w14:textId="77777777" w:rsidR="00F2691B" w:rsidRPr="00F2691B" w:rsidRDefault="00F2691B" w:rsidP="00F2691B">
            <w:pPr>
              <w:rPr>
                <w:strike w:val="0"/>
              </w:rPr>
            </w:pPr>
            <w:r w:rsidRPr="00F2691B">
              <w:rPr>
                <w:strike w:val="0"/>
              </w:rPr>
              <w:t>Female</w:t>
            </w:r>
          </w:p>
        </w:tc>
        <w:tc>
          <w:tcPr>
            <w:tcW w:w="0" w:type="auto"/>
            <w:vAlign w:val="center"/>
            <w:hideMark/>
          </w:tcPr>
          <w:p w14:paraId="6C41A910" w14:textId="2B74ACE2" w:rsidR="00F2691B" w:rsidRPr="00F2691B" w:rsidRDefault="00EA0A0F" w:rsidP="00F2691B">
            <w:pPr>
              <w:rPr>
                <w:strike w:val="0"/>
              </w:rPr>
            </w:pPr>
            <w:r>
              <w:rPr>
                <w:strike w:val="0"/>
              </w:rPr>
              <w:t xml:space="preserve">                                                                                         </w:t>
            </w:r>
            <w:r w:rsidR="00F2691B" w:rsidRPr="00F2691B">
              <w:rPr>
                <w:strike w:val="0"/>
              </w:rPr>
              <w:t>38.2</w:t>
            </w:r>
          </w:p>
        </w:tc>
      </w:tr>
      <w:tr w:rsidR="00F2691B" w:rsidRPr="00F2691B" w14:paraId="47AADCAC" w14:textId="77777777">
        <w:trPr>
          <w:tblCellSpacing w:w="15" w:type="dxa"/>
        </w:trPr>
        <w:tc>
          <w:tcPr>
            <w:tcW w:w="0" w:type="auto"/>
            <w:vAlign w:val="center"/>
            <w:hideMark/>
          </w:tcPr>
          <w:p w14:paraId="45E8EF22" w14:textId="77777777" w:rsidR="00F2691B" w:rsidRPr="00F2691B" w:rsidRDefault="00F2691B" w:rsidP="00F2691B">
            <w:pPr>
              <w:rPr>
                <w:strike w:val="0"/>
              </w:rPr>
            </w:pPr>
            <w:r w:rsidRPr="00F2691B">
              <w:rPr>
                <w:strike w:val="0"/>
              </w:rPr>
              <w:t>Urban</w:t>
            </w:r>
          </w:p>
        </w:tc>
        <w:tc>
          <w:tcPr>
            <w:tcW w:w="0" w:type="auto"/>
            <w:vAlign w:val="center"/>
            <w:hideMark/>
          </w:tcPr>
          <w:p w14:paraId="142AC3EB" w14:textId="32AE714E" w:rsidR="00F2691B" w:rsidRPr="00F2691B" w:rsidRDefault="00EA0A0F" w:rsidP="00F2691B">
            <w:pPr>
              <w:rPr>
                <w:strike w:val="0"/>
              </w:rPr>
            </w:pPr>
            <w:r>
              <w:rPr>
                <w:strike w:val="0"/>
              </w:rPr>
              <w:t xml:space="preserve">                                                                                         </w:t>
            </w:r>
            <w:r w:rsidR="00F2691B" w:rsidRPr="00F2691B">
              <w:rPr>
                <w:strike w:val="0"/>
              </w:rPr>
              <w:t>37.6</w:t>
            </w:r>
          </w:p>
        </w:tc>
      </w:tr>
      <w:tr w:rsidR="00F2691B" w:rsidRPr="00F2691B" w14:paraId="3287B56E" w14:textId="77777777">
        <w:trPr>
          <w:tblCellSpacing w:w="15" w:type="dxa"/>
        </w:trPr>
        <w:tc>
          <w:tcPr>
            <w:tcW w:w="0" w:type="auto"/>
            <w:vAlign w:val="center"/>
            <w:hideMark/>
          </w:tcPr>
          <w:p w14:paraId="00E08536" w14:textId="77777777" w:rsidR="00F2691B" w:rsidRPr="00F2691B" w:rsidRDefault="00F2691B" w:rsidP="00F2691B">
            <w:pPr>
              <w:rPr>
                <w:strike w:val="0"/>
              </w:rPr>
            </w:pPr>
            <w:r w:rsidRPr="00F2691B">
              <w:rPr>
                <w:strike w:val="0"/>
              </w:rPr>
              <w:t>Rural</w:t>
            </w:r>
          </w:p>
        </w:tc>
        <w:tc>
          <w:tcPr>
            <w:tcW w:w="0" w:type="auto"/>
            <w:vAlign w:val="center"/>
            <w:hideMark/>
          </w:tcPr>
          <w:p w14:paraId="40630A1C" w14:textId="42A951D9" w:rsidR="00F2691B" w:rsidRPr="00F2691B" w:rsidRDefault="00EA0A0F" w:rsidP="00F2691B">
            <w:pPr>
              <w:rPr>
                <w:strike w:val="0"/>
              </w:rPr>
            </w:pPr>
            <w:r>
              <w:rPr>
                <w:strike w:val="0"/>
              </w:rPr>
              <w:t xml:space="preserve">                                                                                         </w:t>
            </w:r>
            <w:r w:rsidR="00F2691B" w:rsidRPr="00F2691B">
              <w:rPr>
                <w:strike w:val="0"/>
              </w:rPr>
              <w:t>30.1</w:t>
            </w:r>
          </w:p>
        </w:tc>
      </w:tr>
      <w:tr w:rsidR="00F2691B" w:rsidRPr="00F2691B" w14:paraId="11D74702" w14:textId="77777777">
        <w:trPr>
          <w:tblCellSpacing w:w="15" w:type="dxa"/>
        </w:trPr>
        <w:tc>
          <w:tcPr>
            <w:tcW w:w="0" w:type="auto"/>
            <w:vAlign w:val="center"/>
            <w:hideMark/>
          </w:tcPr>
          <w:p w14:paraId="1B48196D" w14:textId="77777777" w:rsidR="00F2691B" w:rsidRPr="00F2691B" w:rsidRDefault="00F2691B" w:rsidP="00F2691B">
            <w:pPr>
              <w:rPr>
                <w:strike w:val="0"/>
              </w:rPr>
            </w:pPr>
            <w:r w:rsidRPr="00F2691B">
              <w:rPr>
                <w:strike w:val="0"/>
              </w:rPr>
              <w:t>Age ≥60 years</w:t>
            </w:r>
          </w:p>
        </w:tc>
        <w:tc>
          <w:tcPr>
            <w:tcW w:w="0" w:type="auto"/>
            <w:vAlign w:val="center"/>
            <w:hideMark/>
          </w:tcPr>
          <w:p w14:paraId="3804239E" w14:textId="0C195FEE" w:rsidR="00F2691B" w:rsidRPr="00F2691B" w:rsidRDefault="00EA0A0F" w:rsidP="00F2691B">
            <w:pPr>
              <w:rPr>
                <w:strike w:val="0"/>
              </w:rPr>
            </w:pPr>
            <w:r>
              <w:rPr>
                <w:strike w:val="0"/>
              </w:rPr>
              <w:t xml:space="preserve">                                                                                         </w:t>
            </w:r>
            <w:r w:rsidR="00F2691B" w:rsidRPr="00F2691B">
              <w:rPr>
                <w:strike w:val="0"/>
              </w:rPr>
              <w:t>47.2</w:t>
            </w:r>
          </w:p>
        </w:tc>
      </w:tr>
      <w:tr w:rsidR="00F2691B" w:rsidRPr="00F2691B" w14:paraId="0228C285" w14:textId="77777777">
        <w:trPr>
          <w:tblCellSpacing w:w="15" w:type="dxa"/>
        </w:trPr>
        <w:tc>
          <w:tcPr>
            <w:tcW w:w="0" w:type="auto"/>
            <w:vAlign w:val="center"/>
            <w:hideMark/>
          </w:tcPr>
          <w:p w14:paraId="0ACBCCB4" w14:textId="77777777" w:rsidR="00F2691B" w:rsidRPr="00F2691B" w:rsidRDefault="00F2691B" w:rsidP="00F2691B">
            <w:pPr>
              <w:rPr>
                <w:strike w:val="0"/>
              </w:rPr>
            </w:pPr>
            <w:r w:rsidRPr="00F2691B">
              <w:rPr>
                <w:strike w:val="0"/>
              </w:rPr>
              <w:t>Age 18–39 years</w:t>
            </w:r>
          </w:p>
        </w:tc>
        <w:tc>
          <w:tcPr>
            <w:tcW w:w="0" w:type="auto"/>
            <w:vAlign w:val="center"/>
            <w:hideMark/>
          </w:tcPr>
          <w:p w14:paraId="4778D8FA" w14:textId="763C01C8" w:rsidR="00F2691B" w:rsidRPr="00F2691B" w:rsidRDefault="00EA0A0F" w:rsidP="00F2691B">
            <w:pPr>
              <w:rPr>
                <w:strike w:val="0"/>
              </w:rPr>
            </w:pPr>
            <w:r>
              <w:rPr>
                <w:strike w:val="0"/>
              </w:rPr>
              <w:t xml:space="preserve">                                                                                         </w:t>
            </w:r>
            <w:r w:rsidR="00F2691B" w:rsidRPr="00F2691B">
              <w:rPr>
                <w:strike w:val="0"/>
              </w:rPr>
              <w:t>18.3</w:t>
            </w:r>
          </w:p>
        </w:tc>
      </w:tr>
    </w:tbl>
    <w:p w14:paraId="70BB17AB" w14:textId="77777777" w:rsidR="00F2691B" w:rsidRPr="00F2691B" w:rsidRDefault="00F2691B" w:rsidP="00F2691B">
      <w:pPr>
        <w:rPr>
          <w:b/>
          <w:bCs/>
          <w:strike w:val="0"/>
        </w:rPr>
      </w:pPr>
      <w:r w:rsidRPr="00F2691B">
        <w:rPr>
          <w:b/>
          <w:bCs/>
          <w:strike w:val="0"/>
        </w:rPr>
        <w:t>Projected Hypertension Burden (2034)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8"/>
        <w:gridCol w:w="2587"/>
        <w:gridCol w:w="4371"/>
      </w:tblGrid>
      <w:tr w:rsidR="00F2691B" w:rsidRPr="00F2691B" w14:paraId="2A076392" w14:textId="77777777">
        <w:trPr>
          <w:tblHeader/>
          <w:tblCellSpacing w:w="15" w:type="dxa"/>
        </w:trPr>
        <w:tc>
          <w:tcPr>
            <w:tcW w:w="0" w:type="auto"/>
            <w:vAlign w:val="center"/>
            <w:hideMark/>
          </w:tcPr>
          <w:p w14:paraId="5487F388" w14:textId="77777777" w:rsidR="00F2691B" w:rsidRPr="00F2691B" w:rsidRDefault="00F2691B" w:rsidP="00F2691B">
            <w:pPr>
              <w:rPr>
                <w:b/>
                <w:bCs/>
                <w:strike w:val="0"/>
              </w:rPr>
            </w:pPr>
            <w:r w:rsidRPr="00F2691B">
              <w:rPr>
                <w:b/>
                <w:bCs/>
                <w:strike w:val="0"/>
              </w:rPr>
              <w:lastRenderedPageBreak/>
              <w:t>Scenario</w:t>
            </w:r>
          </w:p>
        </w:tc>
        <w:tc>
          <w:tcPr>
            <w:tcW w:w="0" w:type="auto"/>
            <w:vAlign w:val="center"/>
            <w:hideMark/>
          </w:tcPr>
          <w:p w14:paraId="7E969546" w14:textId="09DA45FA" w:rsidR="00F2691B" w:rsidRPr="00F2691B" w:rsidRDefault="00EA0A0F" w:rsidP="00F2691B">
            <w:pPr>
              <w:rPr>
                <w:b/>
                <w:bCs/>
                <w:strike w:val="0"/>
              </w:rPr>
            </w:pPr>
            <w:r>
              <w:rPr>
                <w:b/>
                <w:bCs/>
                <w:strike w:val="0"/>
              </w:rPr>
              <w:t xml:space="preserve">              </w:t>
            </w:r>
            <w:r w:rsidR="00F2691B" w:rsidRPr="00F2691B">
              <w:rPr>
                <w:b/>
                <w:bCs/>
                <w:strike w:val="0"/>
              </w:rPr>
              <w:t>Estimated Cases</w:t>
            </w:r>
          </w:p>
        </w:tc>
        <w:tc>
          <w:tcPr>
            <w:tcW w:w="0" w:type="auto"/>
            <w:vAlign w:val="center"/>
            <w:hideMark/>
          </w:tcPr>
          <w:p w14:paraId="71E99BB5" w14:textId="498893AC" w:rsidR="00F2691B" w:rsidRPr="00F2691B" w:rsidRDefault="00EA0A0F" w:rsidP="00F2691B">
            <w:pPr>
              <w:rPr>
                <w:b/>
                <w:bCs/>
                <w:strike w:val="0"/>
              </w:rPr>
            </w:pPr>
            <w:r>
              <w:rPr>
                <w:b/>
                <w:bCs/>
                <w:strike w:val="0"/>
              </w:rPr>
              <w:t xml:space="preserve">                                      </w:t>
            </w:r>
            <w:r w:rsidR="00F2691B" w:rsidRPr="00F2691B">
              <w:rPr>
                <w:b/>
                <w:bCs/>
                <w:strike w:val="0"/>
              </w:rPr>
              <w:t>Increase from 2024</w:t>
            </w:r>
          </w:p>
        </w:tc>
      </w:tr>
      <w:tr w:rsidR="00F2691B" w:rsidRPr="00F2691B" w14:paraId="52FCA793" w14:textId="77777777">
        <w:trPr>
          <w:tblCellSpacing w:w="15" w:type="dxa"/>
        </w:trPr>
        <w:tc>
          <w:tcPr>
            <w:tcW w:w="0" w:type="auto"/>
            <w:vAlign w:val="center"/>
            <w:hideMark/>
          </w:tcPr>
          <w:p w14:paraId="78839268" w14:textId="77777777" w:rsidR="00F2691B" w:rsidRPr="00F2691B" w:rsidRDefault="00F2691B" w:rsidP="00F2691B">
            <w:pPr>
              <w:rPr>
                <w:strike w:val="0"/>
              </w:rPr>
            </w:pPr>
            <w:r w:rsidRPr="00F2691B">
              <w:rPr>
                <w:strike w:val="0"/>
              </w:rPr>
              <w:t>Constant prevalence</w:t>
            </w:r>
          </w:p>
        </w:tc>
        <w:tc>
          <w:tcPr>
            <w:tcW w:w="0" w:type="auto"/>
            <w:vAlign w:val="center"/>
            <w:hideMark/>
          </w:tcPr>
          <w:p w14:paraId="6A948CBA" w14:textId="46BCECF9" w:rsidR="00F2691B" w:rsidRPr="00F2691B" w:rsidRDefault="00EA0A0F" w:rsidP="00F2691B">
            <w:pPr>
              <w:rPr>
                <w:strike w:val="0"/>
              </w:rPr>
            </w:pPr>
            <w:r>
              <w:rPr>
                <w:strike w:val="0"/>
              </w:rPr>
              <w:t xml:space="preserve">                  </w:t>
            </w:r>
            <w:r w:rsidR="00F2691B" w:rsidRPr="00F2691B">
              <w:rPr>
                <w:strike w:val="0"/>
              </w:rPr>
              <w:t>2.31 million</w:t>
            </w:r>
          </w:p>
        </w:tc>
        <w:tc>
          <w:tcPr>
            <w:tcW w:w="0" w:type="auto"/>
            <w:vAlign w:val="center"/>
            <w:hideMark/>
          </w:tcPr>
          <w:p w14:paraId="5FE7999B" w14:textId="7FE094E8" w:rsidR="00F2691B" w:rsidRPr="00F2691B" w:rsidRDefault="00EA0A0F" w:rsidP="00F2691B">
            <w:pPr>
              <w:rPr>
                <w:strike w:val="0"/>
              </w:rPr>
            </w:pPr>
            <w:r>
              <w:rPr>
                <w:strike w:val="0"/>
              </w:rPr>
              <w:t xml:space="preserve">                                                         </w:t>
            </w:r>
            <w:r w:rsidR="00F2691B" w:rsidRPr="00F2691B">
              <w:rPr>
                <w:strike w:val="0"/>
              </w:rPr>
              <w:t>+22.2%</w:t>
            </w:r>
          </w:p>
        </w:tc>
      </w:tr>
      <w:tr w:rsidR="00F2691B" w:rsidRPr="00F2691B" w14:paraId="4537060C" w14:textId="77777777">
        <w:trPr>
          <w:tblCellSpacing w:w="15" w:type="dxa"/>
        </w:trPr>
        <w:tc>
          <w:tcPr>
            <w:tcW w:w="0" w:type="auto"/>
            <w:vAlign w:val="center"/>
            <w:hideMark/>
          </w:tcPr>
          <w:p w14:paraId="41B58B31" w14:textId="77777777" w:rsidR="00F2691B" w:rsidRPr="00F2691B" w:rsidRDefault="00F2691B" w:rsidP="00F2691B">
            <w:pPr>
              <w:rPr>
                <w:strike w:val="0"/>
              </w:rPr>
            </w:pPr>
            <w:r w:rsidRPr="00F2691B">
              <w:rPr>
                <w:strike w:val="0"/>
              </w:rPr>
              <w:t>Linear trend</w:t>
            </w:r>
          </w:p>
        </w:tc>
        <w:tc>
          <w:tcPr>
            <w:tcW w:w="0" w:type="auto"/>
            <w:vAlign w:val="center"/>
            <w:hideMark/>
          </w:tcPr>
          <w:p w14:paraId="6CA9BA01" w14:textId="5F788625" w:rsidR="00F2691B" w:rsidRPr="00EA0A0F" w:rsidRDefault="00EA0A0F" w:rsidP="00F2691B">
            <w:pPr>
              <w:rPr>
                <w:strike w:val="0"/>
              </w:rPr>
            </w:pPr>
            <w:r>
              <w:rPr>
                <w:strike w:val="0"/>
              </w:rPr>
              <w:t xml:space="preserve">                  </w:t>
            </w:r>
            <w:r w:rsidR="00F2691B" w:rsidRPr="00F2691B">
              <w:rPr>
                <w:strike w:val="0"/>
              </w:rPr>
              <w:t>2.78 million</w:t>
            </w:r>
            <w:r>
              <w:rPr>
                <w:strike w:val="0"/>
              </w:rPr>
              <w:t xml:space="preserve">                  </w:t>
            </w:r>
          </w:p>
        </w:tc>
        <w:tc>
          <w:tcPr>
            <w:tcW w:w="0" w:type="auto"/>
            <w:vAlign w:val="center"/>
            <w:hideMark/>
          </w:tcPr>
          <w:p w14:paraId="4651A516" w14:textId="259820C0" w:rsidR="00F2691B" w:rsidRPr="00F2691B" w:rsidRDefault="00EA0A0F" w:rsidP="00F2691B">
            <w:pPr>
              <w:rPr>
                <w:strike w:val="0"/>
              </w:rPr>
            </w:pPr>
            <w:r>
              <w:rPr>
                <w:strike w:val="0"/>
              </w:rPr>
              <w:t xml:space="preserve">                                                          </w:t>
            </w:r>
            <w:r w:rsidR="00F2691B" w:rsidRPr="00F2691B">
              <w:rPr>
                <w:strike w:val="0"/>
              </w:rPr>
              <w:t>+47.1%</w:t>
            </w:r>
          </w:p>
        </w:tc>
      </w:tr>
      <w:tr w:rsidR="00F2691B" w:rsidRPr="00F2691B" w14:paraId="3CE412CF" w14:textId="77777777">
        <w:trPr>
          <w:tblCellSpacing w:w="15" w:type="dxa"/>
        </w:trPr>
        <w:tc>
          <w:tcPr>
            <w:tcW w:w="0" w:type="auto"/>
            <w:vAlign w:val="center"/>
            <w:hideMark/>
          </w:tcPr>
          <w:p w14:paraId="6AEFD804" w14:textId="77777777" w:rsidR="00F2691B" w:rsidRPr="00F2691B" w:rsidRDefault="00F2691B" w:rsidP="00F2691B">
            <w:pPr>
              <w:rPr>
                <w:strike w:val="0"/>
              </w:rPr>
            </w:pPr>
            <w:r w:rsidRPr="00F2691B">
              <w:rPr>
                <w:strike w:val="0"/>
              </w:rPr>
              <w:t>Accelerated trend</w:t>
            </w:r>
          </w:p>
        </w:tc>
        <w:tc>
          <w:tcPr>
            <w:tcW w:w="0" w:type="auto"/>
            <w:vAlign w:val="center"/>
            <w:hideMark/>
          </w:tcPr>
          <w:p w14:paraId="0E3F139B" w14:textId="5DA32D54" w:rsidR="00F2691B" w:rsidRPr="00F2691B" w:rsidRDefault="00EA0A0F" w:rsidP="00F2691B">
            <w:pPr>
              <w:rPr>
                <w:strike w:val="0"/>
              </w:rPr>
            </w:pPr>
            <w:r>
              <w:rPr>
                <w:strike w:val="0"/>
              </w:rPr>
              <w:t xml:space="preserve">                  </w:t>
            </w:r>
            <w:r w:rsidR="00F2691B" w:rsidRPr="00F2691B">
              <w:rPr>
                <w:strike w:val="0"/>
              </w:rPr>
              <w:t>2.94 million</w:t>
            </w:r>
          </w:p>
        </w:tc>
        <w:tc>
          <w:tcPr>
            <w:tcW w:w="0" w:type="auto"/>
            <w:vAlign w:val="center"/>
            <w:hideMark/>
          </w:tcPr>
          <w:p w14:paraId="24DFE86B" w14:textId="7F5610F0" w:rsidR="00F2691B" w:rsidRPr="00F2691B" w:rsidRDefault="00EA0A0F" w:rsidP="00F2691B">
            <w:pPr>
              <w:rPr>
                <w:strike w:val="0"/>
              </w:rPr>
            </w:pPr>
            <w:r>
              <w:rPr>
                <w:strike w:val="0"/>
              </w:rPr>
              <w:t xml:space="preserve">                                                           </w:t>
            </w:r>
            <w:r w:rsidR="00F2691B" w:rsidRPr="00F2691B">
              <w:rPr>
                <w:strike w:val="0"/>
              </w:rPr>
              <w:t>+55.6%</w:t>
            </w:r>
          </w:p>
        </w:tc>
      </w:tr>
    </w:tbl>
    <w:p w14:paraId="2F48B719" w14:textId="77777777" w:rsidR="00EA0A0F" w:rsidRDefault="00EA0A0F" w:rsidP="00C74408">
      <w:pPr>
        <w:rPr>
          <w:b/>
          <w:bCs/>
          <w:strike w:val="0"/>
        </w:rPr>
      </w:pPr>
    </w:p>
    <w:p w14:paraId="218C5D7E" w14:textId="65815FE5" w:rsidR="00C74408" w:rsidRPr="00DB046B" w:rsidRDefault="00962512" w:rsidP="00C74408">
      <w:pPr>
        <w:rPr>
          <w:b/>
          <w:bCs/>
          <w:strike w:val="0"/>
        </w:rPr>
      </w:pPr>
      <w:r w:rsidRPr="00DB046B">
        <w:rPr>
          <w:b/>
          <w:bCs/>
          <w:strike w:val="0"/>
        </w:rPr>
        <w:t>Figures</w:t>
      </w:r>
    </w:p>
    <w:p w14:paraId="299B2069" w14:textId="77777777" w:rsidR="00962512" w:rsidRPr="00DB046B" w:rsidRDefault="00962512" w:rsidP="00C74408">
      <w:pPr>
        <w:rPr>
          <w:strike w:val="0"/>
        </w:rPr>
      </w:pPr>
    </w:p>
    <w:p w14:paraId="568CA7D3" w14:textId="28625633" w:rsidR="00962512" w:rsidRPr="00DB046B" w:rsidRDefault="00962512" w:rsidP="00C74408">
      <w:pPr>
        <w:rPr>
          <w:strike w:val="0"/>
        </w:rPr>
      </w:pPr>
      <w:r w:rsidRPr="00DB046B">
        <w:rPr>
          <w:strike w:val="0"/>
          <w:noProof/>
        </w:rPr>
        <w:drawing>
          <wp:inline distT="0" distB="0" distL="0" distR="0" wp14:anchorId="4E1F4A68" wp14:editId="15A2FA20">
            <wp:extent cx="5457825" cy="4333875"/>
            <wp:effectExtent l="0" t="0" r="9525" b="9525"/>
            <wp:docPr id="19968795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57825" cy="4333875"/>
                    </a:xfrm>
                    <a:prstGeom prst="rect">
                      <a:avLst/>
                    </a:prstGeom>
                    <a:noFill/>
                  </pic:spPr>
                </pic:pic>
              </a:graphicData>
            </a:graphic>
          </wp:inline>
        </w:drawing>
      </w:r>
    </w:p>
    <w:p w14:paraId="60286EE5" w14:textId="57B667EB" w:rsidR="00962512" w:rsidRPr="00DB046B" w:rsidRDefault="00962512" w:rsidP="00C74408">
      <w:pPr>
        <w:rPr>
          <w:strike w:val="0"/>
        </w:rPr>
      </w:pPr>
      <w:r w:rsidRPr="00DB046B">
        <w:rPr>
          <w:strike w:val="0"/>
        </w:rPr>
        <w:t>Figure 1</w:t>
      </w:r>
      <w:r w:rsidR="00AE7030" w:rsidRPr="00DB046B">
        <w:rPr>
          <w:strike w:val="0"/>
        </w:rPr>
        <w:t>:</w:t>
      </w:r>
      <w:r w:rsidRPr="00DB046B">
        <w:rPr>
          <w:strike w:val="0"/>
        </w:rPr>
        <w:t xml:space="preserve"> Trend of Hypertension prevalence in Rivers State </w:t>
      </w:r>
      <w:proofErr w:type="gramStart"/>
      <w:r w:rsidRPr="00DB046B">
        <w:rPr>
          <w:strike w:val="0"/>
        </w:rPr>
        <w:t>( 2015</w:t>
      </w:r>
      <w:proofErr w:type="gramEnd"/>
      <w:r w:rsidRPr="00DB046B">
        <w:rPr>
          <w:strike w:val="0"/>
        </w:rPr>
        <w:t>-2024)</w:t>
      </w:r>
    </w:p>
    <w:p w14:paraId="026F664C" w14:textId="60F946EB" w:rsidR="00306D6D" w:rsidRPr="00DB046B" w:rsidRDefault="008D2891" w:rsidP="00C74408">
      <w:pPr>
        <w:rPr>
          <w:strike w:val="0"/>
        </w:rPr>
      </w:pPr>
      <w:r w:rsidRPr="00DB046B">
        <w:rPr>
          <w:strike w:val="0"/>
          <w:noProof/>
        </w:rPr>
        <w:lastRenderedPageBreak/>
        <w:drawing>
          <wp:inline distT="0" distB="0" distL="0" distR="0" wp14:anchorId="6A5E7A83" wp14:editId="62D00268">
            <wp:extent cx="5353050" cy="4333875"/>
            <wp:effectExtent l="0" t="0" r="0" b="9525"/>
            <wp:docPr id="151892660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3050" cy="4333875"/>
                    </a:xfrm>
                    <a:prstGeom prst="rect">
                      <a:avLst/>
                    </a:prstGeom>
                    <a:noFill/>
                  </pic:spPr>
                </pic:pic>
              </a:graphicData>
            </a:graphic>
          </wp:inline>
        </w:drawing>
      </w:r>
    </w:p>
    <w:p w14:paraId="30AAA2E1" w14:textId="00052D46" w:rsidR="008D2891" w:rsidRPr="00DB046B" w:rsidRDefault="008D2891" w:rsidP="00C74408">
      <w:pPr>
        <w:rPr>
          <w:strike w:val="0"/>
        </w:rPr>
      </w:pPr>
      <w:r w:rsidRPr="00DB046B">
        <w:rPr>
          <w:strike w:val="0"/>
        </w:rPr>
        <w:t>Figure 2</w:t>
      </w:r>
      <w:r w:rsidR="00AE7030" w:rsidRPr="00DB046B">
        <w:rPr>
          <w:strike w:val="0"/>
        </w:rPr>
        <w:t xml:space="preserve">: </w:t>
      </w:r>
      <w:proofErr w:type="spellStart"/>
      <w:r w:rsidR="00AE7030" w:rsidRPr="00DB046B">
        <w:rPr>
          <w:strike w:val="0"/>
        </w:rPr>
        <w:t>Joinpoint</w:t>
      </w:r>
      <w:proofErr w:type="spellEnd"/>
      <w:r w:rsidRPr="00DB046B">
        <w:rPr>
          <w:strike w:val="0"/>
        </w:rPr>
        <w:t xml:space="preserve"> Trend in Hypertension Prevalence</w:t>
      </w:r>
    </w:p>
    <w:p w14:paraId="49D139B7" w14:textId="16FEAC48" w:rsidR="00306D6D" w:rsidRPr="00DB046B" w:rsidRDefault="00306D6D" w:rsidP="00C74408">
      <w:pPr>
        <w:rPr>
          <w:strike w:val="0"/>
        </w:rPr>
      </w:pPr>
      <w:r w:rsidRPr="00DB046B">
        <w:rPr>
          <w:strike w:val="0"/>
          <w:noProof/>
        </w:rPr>
        <w:lastRenderedPageBreak/>
        <w:drawing>
          <wp:inline distT="0" distB="0" distL="0" distR="0" wp14:anchorId="5D6985BE" wp14:editId="15B68AFC">
            <wp:extent cx="5391150" cy="4333875"/>
            <wp:effectExtent l="0" t="0" r="0" b="9525"/>
            <wp:docPr id="188229929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4333875"/>
                    </a:xfrm>
                    <a:prstGeom prst="rect">
                      <a:avLst/>
                    </a:prstGeom>
                    <a:noFill/>
                  </pic:spPr>
                </pic:pic>
              </a:graphicData>
            </a:graphic>
          </wp:inline>
        </w:drawing>
      </w:r>
    </w:p>
    <w:p w14:paraId="1FF41C7B" w14:textId="61A6967E" w:rsidR="008D2891" w:rsidRPr="00DB046B" w:rsidRDefault="008D2891" w:rsidP="00C74408">
      <w:pPr>
        <w:rPr>
          <w:strike w:val="0"/>
        </w:rPr>
      </w:pPr>
      <w:r w:rsidRPr="00DB046B">
        <w:rPr>
          <w:strike w:val="0"/>
        </w:rPr>
        <w:t>Figure 3</w:t>
      </w:r>
      <w:r w:rsidR="00AE7030" w:rsidRPr="00DB046B">
        <w:rPr>
          <w:strike w:val="0"/>
        </w:rPr>
        <w:t>:</w:t>
      </w:r>
      <w:r w:rsidRPr="00DB046B">
        <w:rPr>
          <w:strike w:val="0"/>
        </w:rPr>
        <w:t xml:space="preserve"> Age-Specific </w:t>
      </w:r>
      <w:r w:rsidR="00A562B3" w:rsidRPr="00DB046B">
        <w:rPr>
          <w:strike w:val="0"/>
        </w:rPr>
        <w:t>Hypertension Prevalence in Rivers State (2024)</w:t>
      </w:r>
    </w:p>
    <w:p w14:paraId="225FB063" w14:textId="77777777" w:rsidR="00825507" w:rsidRPr="00DB046B" w:rsidRDefault="00825507" w:rsidP="00C74408">
      <w:pPr>
        <w:rPr>
          <w:strike w:val="0"/>
        </w:rPr>
      </w:pPr>
    </w:p>
    <w:p w14:paraId="7E49016A" w14:textId="77777777" w:rsidR="00825507" w:rsidRPr="00DB046B" w:rsidRDefault="00825507" w:rsidP="00C74408">
      <w:pPr>
        <w:rPr>
          <w:strike w:val="0"/>
        </w:rPr>
      </w:pPr>
    </w:p>
    <w:p w14:paraId="01893FA3" w14:textId="0F7CDF65" w:rsidR="00306D6D" w:rsidRPr="00DB046B" w:rsidRDefault="00A562B3" w:rsidP="00C74408">
      <w:pPr>
        <w:rPr>
          <w:strike w:val="0"/>
        </w:rPr>
      </w:pPr>
      <w:r w:rsidRPr="00DB046B">
        <w:rPr>
          <w:strike w:val="0"/>
          <w:noProof/>
        </w:rPr>
        <w:lastRenderedPageBreak/>
        <w:drawing>
          <wp:inline distT="0" distB="0" distL="0" distR="0" wp14:anchorId="75332797" wp14:editId="31E3E960">
            <wp:extent cx="5400675" cy="4333875"/>
            <wp:effectExtent l="0" t="0" r="9525" b="9525"/>
            <wp:docPr id="169133276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675" cy="4333875"/>
                    </a:xfrm>
                    <a:prstGeom prst="rect">
                      <a:avLst/>
                    </a:prstGeom>
                    <a:noFill/>
                  </pic:spPr>
                </pic:pic>
              </a:graphicData>
            </a:graphic>
          </wp:inline>
        </w:drawing>
      </w:r>
    </w:p>
    <w:p w14:paraId="6B8BE5E3" w14:textId="4EE8453A" w:rsidR="00A562B3" w:rsidRPr="00DB046B" w:rsidRDefault="00A562B3" w:rsidP="00C74408">
      <w:pPr>
        <w:rPr>
          <w:strike w:val="0"/>
        </w:rPr>
      </w:pPr>
      <w:r w:rsidRPr="00DB046B">
        <w:rPr>
          <w:strike w:val="0"/>
        </w:rPr>
        <w:t>Figure 4</w:t>
      </w:r>
      <w:r w:rsidR="00AE7030" w:rsidRPr="00DB046B">
        <w:rPr>
          <w:strike w:val="0"/>
        </w:rPr>
        <w:t>:</w:t>
      </w:r>
      <w:r w:rsidRPr="00DB046B">
        <w:rPr>
          <w:strike w:val="0"/>
        </w:rPr>
        <w:t xml:space="preserve"> Projected Hypertension Burden in Rivers State (2025-2034)</w:t>
      </w:r>
    </w:p>
    <w:p w14:paraId="175A7634" w14:textId="77777777" w:rsidR="008D6CAD" w:rsidRPr="008D6CAD" w:rsidRDefault="008D6CAD" w:rsidP="008D6CAD">
      <w:pPr>
        <w:rPr>
          <w:b/>
          <w:bCs/>
          <w:strike w:val="0"/>
        </w:rPr>
      </w:pPr>
      <w:r w:rsidRPr="008D6CAD">
        <w:rPr>
          <w:b/>
          <w:bCs/>
          <w:strike w:val="0"/>
        </w:rPr>
        <w:t>Discussion</w:t>
      </w:r>
    </w:p>
    <w:p w14:paraId="04756044" w14:textId="35215464" w:rsidR="008D6CAD" w:rsidRPr="008D6CAD" w:rsidRDefault="008D6CAD" w:rsidP="008D6CAD">
      <w:pPr>
        <w:rPr>
          <w:strike w:val="0"/>
        </w:rPr>
      </w:pPr>
      <w:r w:rsidRPr="008D6CAD">
        <w:rPr>
          <w:strike w:val="0"/>
        </w:rPr>
        <w:t>The findings from this ten-year trend analysis reveal a substantial and accelerating burden of hypertension in Rivers State, with prevalence increasing from 24.8% in 2015 to 33.7% in 2024. This trajectory aligns with global patterns documented by the World Health Organization, which estimates that 1.28 billion adults worldwide live with hypertension, with the most rapid increases occurring in low- and middle-income countries (World Health Organization, 2023). The observed 35.9% relative increase over a single decade in Rivers State outpaces global averages, reflecting the epidemiological transition underway in sub-Saharan Africa (</w:t>
      </w:r>
      <w:r w:rsidR="009710DF">
        <w:rPr>
          <w:strike w:val="0"/>
        </w:rPr>
        <w:t>NCD-</w:t>
      </w:r>
      <w:proofErr w:type="spellStart"/>
      <w:r w:rsidR="009710DF">
        <w:rPr>
          <w:strike w:val="0"/>
        </w:rPr>
        <w:t>RisC</w:t>
      </w:r>
      <w:proofErr w:type="spellEnd"/>
      <w:r w:rsidRPr="008D6CAD">
        <w:rPr>
          <w:strike w:val="0"/>
        </w:rPr>
        <w:t xml:space="preserve"> et al., 2021).</w:t>
      </w:r>
    </w:p>
    <w:p w14:paraId="25FACD19" w14:textId="3FB4A786" w:rsidR="008D6CAD" w:rsidRPr="008D6CAD" w:rsidRDefault="008D6CAD" w:rsidP="008D6CAD">
      <w:pPr>
        <w:rPr>
          <w:strike w:val="0"/>
        </w:rPr>
      </w:pPr>
      <w:r w:rsidRPr="008D6CAD">
        <w:rPr>
          <w:strike w:val="0"/>
        </w:rPr>
        <w:t xml:space="preserve">The prevalence </w:t>
      </w:r>
      <w:proofErr w:type="gramStart"/>
      <w:r w:rsidRPr="008D6CAD">
        <w:rPr>
          <w:strike w:val="0"/>
        </w:rPr>
        <w:t>estimate</w:t>
      </w:r>
      <w:proofErr w:type="gramEnd"/>
      <w:r w:rsidRPr="008D6CAD">
        <w:rPr>
          <w:strike w:val="0"/>
        </w:rPr>
        <w:t xml:space="preserve"> of 33.7% in 2024 positions Rivers State at the upper end of the spectrum for Nigeria. This finding aligns closely with a nationally representative study</w:t>
      </w:r>
      <w:r w:rsidR="00AE7030" w:rsidRPr="00DB046B">
        <w:rPr>
          <w:strike w:val="0"/>
        </w:rPr>
        <w:t>,</w:t>
      </w:r>
      <w:r w:rsidRPr="008D6CAD">
        <w:rPr>
          <w:strike w:val="0"/>
        </w:rPr>
        <w:t xml:space="preserve"> which estimated hypertension prevalence among Nigerian adults at 38.7%, representing approximately 46 million individuals (</w:t>
      </w:r>
      <w:proofErr w:type="spellStart"/>
      <w:r w:rsidRPr="008D6CAD">
        <w:rPr>
          <w:strike w:val="0"/>
        </w:rPr>
        <w:t>Odili</w:t>
      </w:r>
      <w:proofErr w:type="spellEnd"/>
      <w:r w:rsidRPr="008D6CAD">
        <w:rPr>
          <w:strike w:val="0"/>
        </w:rPr>
        <w:t xml:space="preserve"> et al., 2020). The current finding also mirrors the 41.2% prevalence reported in </w:t>
      </w:r>
      <w:proofErr w:type="spellStart"/>
      <w:r w:rsidRPr="008D6CAD">
        <w:rPr>
          <w:strike w:val="0"/>
        </w:rPr>
        <w:t>Obio-Akpor</w:t>
      </w:r>
      <w:proofErr w:type="spellEnd"/>
      <w:r w:rsidRPr="008D6CAD">
        <w:rPr>
          <w:strike w:val="0"/>
        </w:rPr>
        <w:t xml:space="preserve"> Local Government Area of Rivers State (</w:t>
      </w:r>
      <w:proofErr w:type="spellStart"/>
      <w:r w:rsidRPr="008D6CAD">
        <w:rPr>
          <w:strike w:val="0"/>
        </w:rPr>
        <w:t>Ogan</w:t>
      </w:r>
      <w:proofErr w:type="spellEnd"/>
      <w:r w:rsidRPr="008D6CAD">
        <w:rPr>
          <w:strike w:val="0"/>
        </w:rPr>
        <w:t xml:space="preserve"> et al., 2021) and the 37.8% prevalence documented among civil servants in Port Harcourt (</w:t>
      </w:r>
      <w:proofErr w:type="spellStart"/>
      <w:r w:rsidRPr="008D6CAD">
        <w:rPr>
          <w:strike w:val="0"/>
        </w:rPr>
        <w:t>Wokoma</w:t>
      </w:r>
      <w:proofErr w:type="spellEnd"/>
      <w:r w:rsidRPr="008D6CAD">
        <w:rPr>
          <w:strike w:val="0"/>
        </w:rPr>
        <w:t xml:space="preserve"> et al., 2022). However, it is substantially higher than the 24.8% prevalence documented among rural populations in northern Nigeria (</w:t>
      </w:r>
      <w:proofErr w:type="spellStart"/>
      <w:r w:rsidRPr="008D6CAD">
        <w:rPr>
          <w:strike w:val="0"/>
        </w:rPr>
        <w:t>Musango</w:t>
      </w:r>
      <w:proofErr w:type="spellEnd"/>
      <w:r w:rsidRPr="008D6CAD">
        <w:rPr>
          <w:strike w:val="0"/>
        </w:rPr>
        <w:t xml:space="preserve"> &amp; </w:t>
      </w:r>
      <w:proofErr w:type="spellStart"/>
      <w:r w:rsidRPr="008D6CAD">
        <w:rPr>
          <w:strike w:val="0"/>
        </w:rPr>
        <w:t>Olufue</w:t>
      </w:r>
      <w:proofErr w:type="spellEnd"/>
      <w:r w:rsidRPr="008D6CAD">
        <w:rPr>
          <w:strike w:val="0"/>
        </w:rPr>
        <w:t>, 2024), underscoring the heterogeneity of hypertension burden within the country and the particularly high risk in urban and semi-urban areas of the South-South region.</w:t>
      </w:r>
    </w:p>
    <w:p w14:paraId="219AFAFF" w14:textId="108B9746" w:rsidR="008D6CAD" w:rsidRPr="008D6CAD" w:rsidRDefault="008D6CAD" w:rsidP="008D6CAD">
      <w:pPr>
        <w:rPr>
          <w:strike w:val="0"/>
        </w:rPr>
      </w:pPr>
      <w:r w:rsidRPr="008D6CAD">
        <w:rPr>
          <w:strike w:val="0"/>
        </w:rPr>
        <w:lastRenderedPageBreak/>
        <w:t>Comparisons with earlier sub-Saharan African estimates suggest that Rivers State may be experiencing a more accelerated trajectory than the regional average. A systematic review and meta-analysis of hypertension in sub-Saharan Africa estimated pooled prevalence at 30.8%, with awareness, treatment, and control rates remaining dismally low (</w:t>
      </w:r>
      <w:proofErr w:type="spellStart"/>
      <w:r w:rsidRPr="008D6CAD">
        <w:rPr>
          <w:strike w:val="0"/>
        </w:rPr>
        <w:t>Ataklte</w:t>
      </w:r>
      <w:proofErr w:type="spellEnd"/>
      <w:r w:rsidRPr="008D6CAD">
        <w:rPr>
          <w:strike w:val="0"/>
        </w:rPr>
        <w:t xml:space="preserve"> et al., 2020). The current study's finding that urban residents have </w:t>
      </w:r>
      <w:r w:rsidR="00AE7030" w:rsidRPr="00DB046B">
        <w:rPr>
          <w:strike w:val="0"/>
        </w:rPr>
        <w:t xml:space="preserve">a </w:t>
      </w:r>
      <w:r w:rsidRPr="008D6CAD">
        <w:rPr>
          <w:strike w:val="0"/>
        </w:rPr>
        <w:t>significantly higher prevalence than rural counterparts (35.8% vs. 29.2%) reinforces evidence from multi-country analyses demonstrating that urban residence is independently associated with elevated cardiovascular risk (</w:t>
      </w:r>
      <w:proofErr w:type="spellStart"/>
      <w:r w:rsidRPr="008D6CAD">
        <w:rPr>
          <w:strike w:val="0"/>
        </w:rPr>
        <w:t>Geldsetzer</w:t>
      </w:r>
      <w:proofErr w:type="spellEnd"/>
      <w:r w:rsidRPr="008D6CAD">
        <w:rPr>
          <w:strike w:val="0"/>
        </w:rPr>
        <w:t xml:space="preserve"> et al., 2019).</w:t>
      </w:r>
    </w:p>
    <w:p w14:paraId="519BC3FB" w14:textId="59A8D153" w:rsidR="008D6CAD" w:rsidRPr="008D6CAD" w:rsidRDefault="008D6CAD" w:rsidP="008D6CAD">
      <w:pPr>
        <w:rPr>
          <w:strike w:val="0"/>
        </w:rPr>
      </w:pPr>
      <w:r w:rsidRPr="008D6CAD">
        <w:rPr>
          <w:strike w:val="0"/>
        </w:rPr>
        <w:t>The age-specific patterns observed in this study</w:t>
      </w:r>
      <w:r w:rsidR="00AE7030" w:rsidRPr="00DB046B">
        <w:rPr>
          <w:strike w:val="0"/>
          <w:lang w:val="en-GB"/>
        </w:rPr>
        <w:t>,</w:t>
      </w:r>
      <w:r w:rsidR="00AE7030" w:rsidRPr="00DB046B">
        <w:rPr>
          <w:strike w:val="0"/>
        </w:rPr>
        <w:t xml:space="preserve"> </w:t>
      </w:r>
      <w:r w:rsidRPr="008D6CAD">
        <w:rPr>
          <w:strike w:val="0"/>
        </w:rPr>
        <w:t>with prevalence rising from 12.4% among adults aged 18-29 years to 61.8% among those aged ≥70 years</w:t>
      </w:r>
      <w:r w:rsidR="00AE7030" w:rsidRPr="00DB046B">
        <w:rPr>
          <w:strike w:val="0"/>
        </w:rPr>
        <w:t xml:space="preserve">, </w:t>
      </w:r>
      <w:r w:rsidRPr="008D6CAD">
        <w:rPr>
          <w:strike w:val="0"/>
        </w:rPr>
        <w:t>are consistent with the well-established age-hypertension relationship documented globally (</w:t>
      </w:r>
      <w:r w:rsidR="00110343">
        <w:rPr>
          <w:strike w:val="0"/>
        </w:rPr>
        <w:t>NCD-</w:t>
      </w:r>
      <w:proofErr w:type="spellStart"/>
      <w:r w:rsidR="00110343">
        <w:rPr>
          <w:strike w:val="0"/>
        </w:rPr>
        <w:t>RisC</w:t>
      </w:r>
      <w:proofErr w:type="spellEnd"/>
      <w:r w:rsidR="00110343">
        <w:rPr>
          <w:strike w:val="0"/>
        </w:rPr>
        <w:t xml:space="preserve"> </w:t>
      </w:r>
      <w:r w:rsidRPr="008D6CAD">
        <w:rPr>
          <w:strike w:val="0"/>
        </w:rPr>
        <w:t xml:space="preserve">et al., 2021). Of particular concern is the accelerated increase among middle-aged adults (40-59 years), with </w:t>
      </w:r>
      <w:r w:rsidR="00AE7030" w:rsidRPr="00DB046B">
        <w:rPr>
          <w:strike w:val="0"/>
        </w:rPr>
        <w:t xml:space="preserve">an </w:t>
      </w:r>
      <w:r w:rsidRPr="008D6CAD">
        <w:rPr>
          <w:strike w:val="0"/>
        </w:rPr>
        <w:t xml:space="preserve">average annual </w:t>
      </w:r>
      <w:r w:rsidR="00AE7030" w:rsidRPr="00DB046B">
        <w:rPr>
          <w:strike w:val="0"/>
        </w:rPr>
        <w:t>per cent</w:t>
      </w:r>
      <w:r w:rsidRPr="008D6CAD">
        <w:rPr>
          <w:strike w:val="0"/>
        </w:rPr>
        <w:t xml:space="preserve"> change of 4.1%. This finding suggests </w:t>
      </w:r>
      <w:r w:rsidR="00AE7030" w:rsidRPr="00DB046B">
        <w:rPr>
          <w:strike w:val="0"/>
        </w:rPr>
        <w:t xml:space="preserve">a </w:t>
      </w:r>
      <w:r w:rsidRPr="008D6CAD">
        <w:rPr>
          <w:strike w:val="0"/>
        </w:rPr>
        <w:t>premature onset of hypertension in Rivers State, which carries implications for lifetime cardiovascular risk and aligns with observations that hypertension increasingly affects individuals during their most productive years in sub-Saharan Africa (</w:t>
      </w:r>
      <w:proofErr w:type="spellStart"/>
      <w:r w:rsidRPr="008D6CAD">
        <w:rPr>
          <w:strike w:val="0"/>
        </w:rPr>
        <w:t>Bigna</w:t>
      </w:r>
      <w:proofErr w:type="spellEnd"/>
      <w:r w:rsidRPr="008D6CAD">
        <w:rPr>
          <w:strike w:val="0"/>
        </w:rPr>
        <w:t xml:space="preserve"> &amp; </w:t>
      </w:r>
      <w:proofErr w:type="spellStart"/>
      <w:r w:rsidRPr="008D6CAD">
        <w:rPr>
          <w:strike w:val="0"/>
        </w:rPr>
        <w:t>Noubiap</w:t>
      </w:r>
      <w:proofErr w:type="spellEnd"/>
      <w:r w:rsidRPr="008D6CAD">
        <w:rPr>
          <w:strike w:val="0"/>
        </w:rPr>
        <w:t>, 2019).</w:t>
      </w:r>
    </w:p>
    <w:p w14:paraId="5FBA48A0" w14:textId="77777777" w:rsidR="008D6CAD" w:rsidRPr="008D6CAD" w:rsidRDefault="008D6CAD" w:rsidP="008D6CAD">
      <w:pPr>
        <w:rPr>
          <w:strike w:val="0"/>
        </w:rPr>
      </w:pPr>
      <w:r w:rsidRPr="008D6CAD">
        <w:rPr>
          <w:strike w:val="0"/>
        </w:rPr>
        <w:t>The male predominance in hypertension prevalence (35.2% vs. 30.1%) observed in this study warrants discussion. While some Nigerian studies have reported higher prevalence among women (</w:t>
      </w:r>
      <w:proofErr w:type="spellStart"/>
      <w:r w:rsidRPr="008D6CAD">
        <w:rPr>
          <w:strike w:val="0"/>
        </w:rPr>
        <w:t>Odili</w:t>
      </w:r>
      <w:proofErr w:type="spellEnd"/>
      <w:r w:rsidRPr="008D6CAD">
        <w:rPr>
          <w:strike w:val="0"/>
        </w:rPr>
        <w:t xml:space="preserve"> et al., 2020), the </w:t>
      </w:r>
      <w:proofErr w:type="spellStart"/>
      <w:r w:rsidRPr="008D6CAD">
        <w:rPr>
          <w:strike w:val="0"/>
        </w:rPr>
        <w:t>Obio-Akpor</w:t>
      </w:r>
      <w:proofErr w:type="spellEnd"/>
      <w:r w:rsidRPr="008D6CAD">
        <w:rPr>
          <w:strike w:val="0"/>
        </w:rPr>
        <w:t xml:space="preserve"> community study similarly found male sex to be associated with elevated risk (</w:t>
      </w:r>
      <w:proofErr w:type="spellStart"/>
      <w:r w:rsidRPr="008D6CAD">
        <w:rPr>
          <w:strike w:val="0"/>
        </w:rPr>
        <w:t>Ogan</w:t>
      </w:r>
      <w:proofErr w:type="spellEnd"/>
      <w:r w:rsidRPr="008D6CAD">
        <w:rPr>
          <w:strike w:val="0"/>
        </w:rPr>
        <w:t xml:space="preserve"> et al., 2021). Multi-country analyses across sub-Saharan Africa have documented inconsistent sex patterns, with some countries showing male predominance and others female predominance, suggesting that sex differences may be context-specific and influenced by local risk factor profiles (</w:t>
      </w:r>
      <w:proofErr w:type="spellStart"/>
      <w:r w:rsidRPr="008D6CAD">
        <w:rPr>
          <w:strike w:val="0"/>
        </w:rPr>
        <w:t>Geldsetzer</w:t>
      </w:r>
      <w:proofErr w:type="spellEnd"/>
      <w:r w:rsidRPr="008D6CAD">
        <w:rPr>
          <w:strike w:val="0"/>
        </w:rPr>
        <w:t xml:space="preserve"> et al., 2019).</w:t>
      </w:r>
    </w:p>
    <w:p w14:paraId="0881172B" w14:textId="0FF5AA83" w:rsidR="008D6CAD" w:rsidRPr="008D6CAD" w:rsidRDefault="008D6CAD" w:rsidP="008D6CAD">
      <w:pPr>
        <w:rPr>
          <w:strike w:val="0"/>
        </w:rPr>
      </w:pPr>
      <w:r w:rsidRPr="008D6CAD">
        <w:rPr>
          <w:strike w:val="0"/>
        </w:rPr>
        <w:t>The urban-rural disparity documented in this study</w:t>
      </w:r>
      <w:r w:rsidR="001D1DFB" w:rsidRPr="00DB046B">
        <w:rPr>
          <w:strike w:val="0"/>
          <w:lang w:val="en-GB"/>
        </w:rPr>
        <w:t>,</w:t>
      </w:r>
      <w:r w:rsidR="001D1DFB" w:rsidRPr="00DB046B">
        <w:rPr>
          <w:strike w:val="0"/>
        </w:rPr>
        <w:t xml:space="preserve"> </w:t>
      </w:r>
      <w:r w:rsidRPr="008D6CAD">
        <w:rPr>
          <w:strike w:val="0"/>
        </w:rPr>
        <w:t>with urban prevalence exceeding rural by 6.6 percentage points in 2024</w:t>
      </w:r>
      <w:r w:rsidR="001D1DFB" w:rsidRPr="00DB046B">
        <w:rPr>
          <w:strike w:val="0"/>
        </w:rPr>
        <w:t xml:space="preserve">, </w:t>
      </w:r>
      <w:r w:rsidRPr="008D6CAD">
        <w:rPr>
          <w:strike w:val="0"/>
        </w:rPr>
        <w:t xml:space="preserve">reflects the influence of </w:t>
      </w:r>
      <w:proofErr w:type="spellStart"/>
      <w:r w:rsidR="001D1DFB" w:rsidRPr="00DB046B">
        <w:rPr>
          <w:strike w:val="0"/>
        </w:rPr>
        <w:t>urbanisation</w:t>
      </w:r>
      <w:proofErr w:type="spellEnd"/>
      <w:r w:rsidRPr="008D6CAD">
        <w:rPr>
          <w:strike w:val="0"/>
        </w:rPr>
        <w:t xml:space="preserve"> on cardiovascular risk profiles. Research across West Africa has consistently demonstrated higher hypertension prevalence in urban compared to rural settings, with urban lifestyle factors including dietary changes, reduced physical activity, and psychosocial stress contributing substantially to hypertension burden (</w:t>
      </w:r>
      <w:proofErr w:type="spellStart"/>
      <w:r w:rsidRPr="008D6CAD">
        <w:rPr>
          <w:strike w:val="0"/>
        </w:rPr>
        <w:t>Bosu</w:t>
      </w:r>
      <w:proofErr w:type="spellEnd"/>
      <w:r w:rsidRPr="008D6CAD">
        <w:rPr>
          <w:strike w:val="0"/>
        </w:rPr>
        <w:t xml:space="preserve">, 2019). The widening urban-rural gap over the study period suggests that these lifestyle factors may be intensifying in Rivers State's urban </w:t>
      </w:r>
      <w:proofErr w:type="spellStart"/>
      <w:r w:rsidR="001D1DFB" w:rsidRPr="00DB046B">
        <w:rPr>
          <w:strike w:val="0"/>
        </w:rPr>
        <w:t>centres</w:t>
      </w:r>
      <w:proofErr w:type="spellEnd"/>
      <w:r w:rsidRPr="008D6CAD">
        <w:rPr>
          <w:strike w:val="0"/>
        </w:rPr>
        <w:t xml:space="preserve">, particularly Port Harcourt, where rapid </w:t>
      </w:r>
      <w:proofErr w:type="spellStart"/>
      <w:r w:rsidR="001D1DFB" w:rsidRPr="00DB046B">
        <w:rPr>
          <w:strike w:val="0"/>
        </w:rPr>
        <w:t>industrialisation</w:t>
      </w:r>
      <w:proofErr w:type="spellEnd"/>
      <w:r w:rsidRPr="008D6CAD">
        <w:rPr>
          <w:strike w:val="0"/>
        </w:rPr>
        <w:t xml:space="preserve"> and economic transformation continue.</w:t>
      </w:r>
    </w:p>
    <w:p w14:paraId="5B627575" w14:textId="24528E91" w:rsidR="008D6CAD" w:rsidRPr="008D6CAD" w:rsidRDefault="008D6CAD" w:rsidP="008D6CAD">
      <w:pPr>
        <w:rPr>
          <w:strike w:val="0"/>
        </w:rPr>
      </w:pPr>
      <w:r w:rsidRPr="008D6CAD">
        <w:rPr>
          <w:strike w:val="0"/>
        </w:rPr>
        <w:t>The awareness, treatment, and control cascade documented in this study reveals profound gaps that mirror national and regional patterns. The finding that only 34.8% of hypertensives were aware of their diagnosis in 2024, despite improvement from 26.3% in 2015, is consistent with the observation that fewer than 40% of adults with hypertension in sub-Saharan Africa are aware of their condition (</w:t>
      </w:r>
      <w:r w:rsidR="00110343" w:rsidRPr="00110343">
        <w:rPr>
          <w:strike w:val="0"/>
        </w:rPr>
        <w:t>NCD-</w:t>
      </w:r>
      <w:proofErr w:type="spellStart"/>
      <w:r w:rsidR="00110343" w:rsidRPr="00110343">
        <w:rPr>
          <w:strike w:val="0"/>
        </w:rPr>
        <w:t>RisC</w:t>
      </w:r>
      <w:proofErr w:type="spellEnd"/>
      <w:r w:rsidR="00110343" w:rsidRPr="00110343">
        <w:rPr>
          <w:strike w:val="0"/>
        </w:rPr>
        <w:t xml:space="preserve"> </w:t>
      </w:r>
      <w:r w:rsidRPr="008D6CAD">
        <w:rPr>
          <w:strike w:val="0"/>
        </w:rPr>
        <w:t>et al., 2021). The treatment rate of 24.7% and control rate among treated individuals of 14.3% resulted in only 3.5% of all hypertensives achieving blood pressure control</w:t>
      </w:r>
      <w:r w:rsidR="001D1DFB" w:rsidRPr="00DB046B">
        <w:rPr>
          <w:strike w:val="0"/>
          <w:lang w:val="en-GB"/>
        </w:rPr>
        <w:t>,</w:t>
      </w:r>
      <w:r w:rsidR="001D1DFB" w:rsidRPr="00DB046B">
        <w:rPr>
          <w:strike w:val="0"/>
        </w:rPr>
        <w:t xml:space="preserve"> </w:t>
      </w:r>
      <w:r w:rsidRPr="008D6CAD">
        <w:rPr>
          <w:strike w:val="0"/>
        </w:rPr>
        <w:t>a figure consistent with the finding that fewer than 15% of adults with hypertension in sub-Saharan Africa achieve adequate blood pressure control (</w:t>
      </w:r>
      <w:proofErr w:type="spellStart"/>
      <w:r w:rsidRPr="008D6CAD">
        <w:rPr>
          <w:strike w:val="0"/>
        </w:rPr>
        <w:t>Ataklte</w:t>
      </w:r>
      <w:proofErr w:type="spellEnd"/>
      <w:r w:rsidRPr="008D6CAD">
        <w:rPr>
          <w:strike w:val="0"/>
        </w:rPr>
        <w:t xml:space="preserve"> et al., 2020).</w:t>
      </w:r>
    </w:p>
    <w:p w14:paraId="6B40E31E" w14:textId="5824B3B1" w:rsidR="008D6CAD" w:rsidRPr="008D6CAD" w:rsidRDefault="008D6CAD" w:rsidP="008D6CAD">
      <w:pPr>
        <w:rPr>
          <w:strike w:val="0"/>
        </w:rPr>
      </w:pPr>
      <w:r w:rsidRPr="008D6CAD">
        <w:rPr>
          <w:strike w:val="0"/>
        </w:rPr>
        <w:t>These cascade gaps are comparable to those reported in community-based studies across Nigeria. A multi-state screening study found that 56.3% of participants with hypertension were previously undiagnosed (</w:t>
      </w:r>
      <w:proofErr w:type="spellStart"/>
      <w:r w:rsidRPr="008D6CAD">
        <w:rPr>
          <w:strike w:val="0"/>
        </w:rPr>
        <w:t>Adeboye</w:t>
      </w:r>
      <w:proofErr w:type="spellEnd"/>
      <w:r w:rsidRPr="008D6CAD">
        <w:rPr>
          <w:strike w:val="0"/>
        </w:rPr>
        <w:t xml:space="preserve"> et al., 2022), while the </w:t>
      </w:r>
      <w:proofErr w:type="spellStart"/>
      <w:r w:rsidRPr="008D6CAD">
        <w:rPr>
          <w:strike w:val="0"/>
        </w:rPr>
        <w:t>Obio-Akpor</w:t>
      </w:r>
      <w:proofErr w:type="spellEnd"/>
      <w:r w:rsidRPr="008D6CAD">
        <w:rPr>
          <w:strike w:val="0"/>
        </w:rPr>
        <w:t xml:space="preserve"> study </w:t>
      </w:r>
      <w:r w:rsidRPr="008D6CAD">
        <w:rPr>
          <w:strike w:val="0"/>
        </w:rPr>
        <w:lastRenderedPageBreak/>
        <w:t xml:space="preserve">documented that 44.7% of hypertensive individuals were unaware of their diagnosis </w:t>
      </w:r>
      <w:r w:rsidR="001D1DFB" w:rsidRPr="00DB046B">
        <w:rPr>
          <w:strike w:val="0"/>
        </w:rPr>
        <w:t>before</w:t>
      </w:r>
      <w:r w:rsidRPr="008D6CAD">
        <w:rPr>
          <w:strike w:val="0"/>
        </w:rPr>
        <w:t xml:space="preserve"> the study (</w:t>
      </w:r>
      <w:proofErr w:type="spellStart"/>
      <w:r w:rsidRPr="008D6CAD">
        <w:rPr>
          <w:strike w:val="0"/>
        </w:rPr>
        <w:t>Ogan</w:t>
      </w:r>
      <w:proofErr w:type="spellEnd"/>
      <w:r w:rsidRPr="008D6CAD">
        <w:rPr>
          <w:strike w:val="0"/>
        </w:rPr>
        <w:t xml:space="preserve"> et al., 2021). The slightly higher awareness rate in the current study (34.8%) compared to the </w:t>
      </w:r>
      <w:proofErr w:type="spellStart"/>
      <w:r w:rsidRPr="008D6CAD">
        <w:rPr>
          <w:strike w:val="0"/>
        </w:rPr>
        <w:t>Obio-Akpor</w:t>
      </w:r>
      <w:proofErr w:type="spellEnd"/>
      <w:r w:rsidRPr="008D6CAD">
        <w:rPr>
          <w:strike w:val="0"/>
        </w:rPr>
        <w:t xml:space="preserve"> study's 55.3% unaware (implying 44.7% aware) may reflect differences in study populations and methodologies, with the current study aggregating data across multiple sources</w:t>
      </w:r>
      <w:r w:rsidR="001D1DFB" w:rsidRPr="00DB046B">
        <w:rPr>
          <w:strike w:val="0"/>
        </w:rPr>
        <w:t>,</w:t>
      </w:r>
      <w:r w:rsidRPr="008D6CAD">
        <w:rPr>
          <w:strike w:val="0"/>
        </w:rPr>
        <w:t xml:space="preserve"> including health facilities where diagnosis has already occurred.</w:t>
      </w:r>
    </w:p>
    <w:p w14:paraId="3355D908" w14:textId="4DBBBE3B" w:rsidR="008D6CAD" w:rsidRPr="008D6CAD" w:rsidRDefault="008D6CAD" w:rsidP="008D6CAD">
      <w:pPr>
        <w:rPr>
          <w:strike w:val="0"/>
        </w:rPr>
      </w:pPr>
      <w:r w:rsidRPr="008D6CAD">
        <w:rPr>
          <w:strike w:val="0"/>
        </w:rPr>
        <w:t>The finding that awareness was higher among females, urban residents, and older adults aligns with patterns documented across sub-Saharan Africa (Manne-</w:t>
      </w:r>
      <w:proofErr w:type="spellStart"/>
      <w:r w:rsidRPr="008D6CAD">
        <w:rPr>
          <w:strike w:val="0"/>
        </w:rPr>
        <w:t>Goehler</w:t>
      </w:r>
      <w:proofErr w:type="spellEnd"/>
      <w:r w:rsidRPr="008D6CAD">
        <w:rPr>
          <w:strike w:val="0"/>
        </w:rPr>
        <w:t xml:space="preserve"> et al., 2019). These disparities suggest that targeted screening efforts are needed for young adults, males, and rural populations</w:t>
      </w:r>
      <w:r w:rsidR="001D1DFB" w:rsidRPr="00DB046B">
        <w:rPr>
          <w:strike w:val="0"/>
          <w:lang w:val="en-GB"/>
        </w:rPr>
        <w:t xml:space="preserve">. These are </w:t>
      </w:r>
      <w:r w:rsidRPr="008D6CAD">
        <w:rPr>
          <w:strike w:val="0"/>
        </w:rPr>
        <w:t>groups that remain underserved by current detection strategies. The p</w:t>
      </w:r>
      <w:proofErr w:type="spellStart"/>
      <w:r w:rsidR="001D1DFB" w:rsidRPr="00DB046B">
        <w:rPr>
          <w:strike w:val="0"/>
          <w:lang w:val="en-GB"/>
        </w:rPr>
        <w:t>eak</w:t>
      </w:r>
      <w:proofErr w:type="spellEnd"/>
      <w:r w:rsidRPr="008D6CAD">
        <w:rPr>
          <w:strike w:val="0"/>
        </w:rPr>
        <w:t xml:space="preserve"> in treatment rates among those aware (approximately 70%) indicates that awareness does not reliably translate to treatment initiation, pointing to barriers in healthcare access, medication affordability, and health system readiness documented across West Africa (</w:t>
      </w:r>
      <w:proofErr w:type="spellStart"/>
      <w:r w:rsidRPr="008D6CAD">
        <w:rPr>
          <w:strike w:val="0"/>
        </w:rPr>
        <w:t>Bosu</w:t>
      </w:r>
      <w:proofErr w:type="spellEnd"/>
      <w:r w:rsidRPr="008D6CAD">
        <w:rPr>
          <w:strike w:val="0"/>
        </w:rPr>
        <w:t xml:space="preserve"> &amp; </w:t>
      </w:r>
      <w:proofErr w:type="spellStart"/>
      <w:r w:rsidRPr="008D6CAD">
        <w:rPr>
          <w:strike w:val="0"/>
        </w:rPr>
        <w:t>Aheto</w:t>
      </w:r>
      <w:proofErr w:type="spellEnd"/>
      <w:r w:rsidRPr="008D6CAD">
        <w:rPr>
          <w:strike w:val="0"/>
        </w:rPr>
        <w:t>, 2021).</w:t>
      </w:r>
    </w:p>
    <w:p w14:paraId="7F73C75E" w14:textId="77777777" w:rsidR="008D6CAD" w:rsidRPr="008D6CAD" w:rsidRDefault="008D6CAD" w:rsidP="008D6CAD">
      <w:pPr>
        <w:rPr>
          <w:strike w:val="0"/>
        </w:rPr>
      </w:pPr>
      <w:r w:rsidRPr="008D6CAD">
        <w:rPr>
          <w:strike w:val="0"/>
        </w:rPr>
        <w:t>The clinical consequences of poor hypertension control in Rivers State are evident in hospital-based data from the same setting. A study examining stroke admissions at the University of Port Harcourt Teaching Hospital found that hypertension was the predominant risk factor, present in 82.3% of patients presenting with cerebrovascular accidents (</w:t>
      </w:r>
      <w:proofErr w:type="spellStart"/>
      <w:r w:rsidRPr="008D6CAD">
        <w:rPr>
          <w:strike w:val="0"/>
        </w:rPr>
        <w:t>Ogunniyi</w:t>
      </w:r>
      <w:proofErr w:type="spellEnd"/>
      <w:r w:rsidRPr="008D6CAD">
        <w:rPr>
          <w:strike w:val="0"/>
        </w:rPr>
        <w:t xml:space="preserve"> et al., 2021). These findings underscore that uncontrolled hypertension in the community translates directly to catastrophic clinical events and premature mortality in healthcare facilities.</w:t>
      </w:r>
    </w:p>
    <w:p w14:paraId="17B45B96" w14:textId="5BBA25D8" w:rsidR="008D6CAD" w:rsidRPr="008D6CAD" w:rsidRDefault="008D6CAD" w:rsidP="008D6CAD">
      <w:pPr>
        <w:rPr>
          <w:strike w:val="0"/>
        </w:rPr>
      </w:pPr>
      <w:r w:rsidRPr="008D6CAD">
        <w:rPr>
          <w:strike w:val="0"/>
        </w:rPr>
        <w:t>The projected increase to 2.78 million hypertensives by 2034 under the linear trend scenario</w:t>
      </w:r>
      <w:r w:rsidR="001D1DFB" w:rsidRPr="00DB046B">
        <w:rPr>
          <w:strike w:val="0"/>
          <w:lang w:val="en-GB"/>
        </w:rPr>
        <w:t xml:space="preserve">, </w:t>
      </w:r>
      <w:r w:rsidRPr="008D6CAD">
        <w:rPr>
          <w:strike w:val="0"/>
        </w:rPr>
        <w:t>a 47.1% increase</w:t>
      </w:r>
      <w:r w:rsidR="001D1DFB" w:rsidRPr="00DB046B">
        <w:rPr>
          <w:strike w:val="0"/>
        </w:rPr>
        <w:t xml:space="preserve">, </w:t>
      </w:r>
      <w:r w:rsidRPr="008D6CAD">
        <w:rPr>
          <w:strike w:val="0"/>
        </w:rPr>
        <w:t xml:space="preserve">has profound implications for health system planning. This projection is consistent with global estimates suggesting that without accelerated action, hypertension burden will continue to rise in low- and middle-income countries (NCD Countdown 2030 Collaborators, 2020). The World Health Organization has </w:t>
      </w:r>
      <w:proofErr w:type="spellStart"/>
      <w:r w:rsidR="001D1DFB" w:rsidRPr="00DB046B">
        <w:rPr>
          <w:strike w:val="0"/>
        </w:rPr>
        <w:t>emphasised</w:t>
      </w:r>
      <w:proofErr w:type="spellEnd"/>
      <w:r w:rsidRPr="008D6CAD">
        <w:rPr>
          <w:strike w:val="0"/>
        </w:rPr>
        <w:t xml:space="preserve"> that achieving hypertension control targets could avert 76 million deaths globally by 2050 (World Health Organization, 2023), highlighting both the urgency and the potential impact of strengthened interventions in Rivers State.</w:t>
      </w:r>
    </w:p>
    <w:p w14:paraId="7D2A3579" w14:textId="749CCBAF" w:rsidR="008D6CAD" w:rsidRPr="008D6CAD" w:rsidRDefault="008D6CAD" w:rsidP="008D6CAD">
      <w:pPr>
        <w:rPr>
          <w:strike w:val="0"/>
        </w:rPr>
      </w:pPr>
      <w:r w:rsidRPr="008D6CAD">
        <w:rPr>
          <w:strike w:val="0"/>
        </w:rPr>
        <w:t xml:space="preserve">The study's findings align with global calls to integrate hypertension management into primary healthcare and universal health coverage packages (Huffman et al., 2021). The World Health Organization's HEARTS </w:t>
      </w:r>
      <w:r w:rsidR="001D1DFB" w:rsidRPr="00DB046B">
        <w:rPr>
          <w:strike w:val="0"/>
          <w:lang w:val="en-GB"/>
        </w:rPr>
        <w:t>(Healthy Lifestyle, Evidence-based treatment, Access to essential medicines, Risk management, Team work,</w:t>
      </w:r>
      <w:r w:rsidR="007A0617" w:rsidRPr="00DB046B">
        <w:rPr>
          <w:strike w:val="0"/>
          <w:lang w:val="en-GB"/>
        </w:rPr>
        <w:t xml:space="preserve"> Surveillance) technical</w:t>
      </w:r>
      <w:r w:rsidRPr="008D6CAD">
        <w:rPr>
          <w:strike w:val="0"/>
        </w:rPr>
        <w:t xml:space="preserve"> package provides an evidence-based framework for such integration, </w:t>
      </w:r>
      <w:proofErr w:type="spellStart"/>
      <w:r w:rsidR="001D1DFB" w:rsidRPr="00DB046B">
        <w:rPr>
          <w:strike w:val="0"/>
        </w:rPr>
        <w:t>emphasising</w:t>
      </w:r>
      <w:proofErr w:type="spellEnd"/>
      <w:r w:rsidR="001D1DFB" w:rsidRPr="00DB046B">
        <w:rPr>
          <w:strike w:val="0"/>
        </w:rPr>
        <w:t xml:space="preserve"> </w:t>
      </w:r>
      <w:proofErr w:type="spellStart"/>
      <w:r w:rsidR="001D1DFB" w:rsidRPr="00DB046B">
        <w:rPr>
          <w:strike w:val="0"/>
        </w:rPr>
        <w:t>standardised</w:t>
      </w:r>
      <w:proofErr w:type="spellEnd"/>
      <w:r w:rsidRPr="008D6CAD">
        <w:rPr>
          <w:strike w:val="0"/>
        </w:rPr>
        <w:t xml:space="preserve"> treatment protocols, team-based care, and access to affordable medications and validated blood pressure devices (World Health Organization, 2023). The projection that uncontrolled hypertension will increase from 1.82 million to 2.68 million by 2034 if current trends persist underscores the economic and human costs of inaction.</w:t>
      </w:r>
    </w:p>
    <w:p w14:paraId="575254B2" w14:textId="77777777" w:rsidR="008D6CAD" w:rsidRPr="008D6CAD" w:rsidRDefault="008D6CAD" w:rsidP="008D6CAD">
      <w:pPr>
        <w:rPr>
          <w:b/>
          <w:bCs/>
          <w:strike w:val="0"/>
        </w:rPr>
      </w:pPr>
      <w:r w:rsidRPr="008D6CAD">
        <w:rPr>
          <w:b/>
          <w:bCs/>
          <w:strike w:val="0"/>
        </w:rPr>
        <w:t>Strengths and Limitations</w:t>
      </w:r>
    </w:p>
    <w:p w14:paraId="0C8826AE" w14:textId="162DD9C7" w:rsidR="008D6CAD" w:rsidRPr="008D6CAD" w:rsidRDefault="008D6CAD" w:rsidP="008D6CAD">
      <w:pPr>
        <w:rPr>
          <w:strike w:val="0"/>
        </w:rPr>
      </w:pPr>
      <w:r w:rsidRPr="008D6CAD">
        <w:rPr>
          <w:b/>
          <w:bCs/>
          <w:strike w:val="0"/>
        </w:rPr>
        <w:t>Strengths:</w:t>
      </w:r>
      <w:r w:rsidRPr="008D6CAD">
        <w:rPr>
          <w:strike w:val="0"/>
        </w:rPr>
        <w:t> This study possesses several methodological strengths. First, the use of multiple complementary data sources</w:t>
      </w:r>
      <w:r w:rsidR="00D72726" w:rsidRPr="00DB046B">
        <w:rPr>
          <w:strike w:val="0"/>
          <w:lang w:val="en-GB"/>
        </w:rPr>
        <w:t xml:space="preserve"> (</w:t>
      </w:r>
      <w:r w:rsidRPr="008D6CAD">
        <w:rPr>
          <w:strike w:val="0"/>
        </w:rPr>
        <w:t>routine health facility records, surveillance reports, and population-based surveys</w:t>
      </w:r>
      <w:r w:rsidR="00D72726" w:rsidRPr="00DB046B">
        <w:rPr>
          <w:strike w:val="0"/>
        </w:rPr>
        <w:t xml:space="preserve">) </w:t>
      </w:r>
      <w:r w:rsidRPr="008D6CAD">
        <w:rPr>
          <w:strike w:val="0"/>
        </w:rPr>
        <w:t xml:space="preserve">enabled triangulation and comprehensive coverage of hypertension epidemiology in Rivers State. Second, the ten-year study period (2015-2024) and large sample size (2,847,693 encounters across 156 facilities) provided statistical power for </w:t>
      </w:r>
      <w:r w:rsidRPr="008D6CAD">
        <w:rPr>
          <w:strike w:val="0"/>
        </w:rPr>
        <w:lastRenderedPageBreak/>
        <w:t xml:space="preserve">stratified analyses and robust trend detection using </w:t>
      </w:r>
      <w:proofErr w:type="spellStart"/>
      <w:r w:rsidRPr="008D6CAD">
        <w:rPr>
          <w:strike w:val="0"/>
        </w:rPr>
        <w:t>joinpoint</w:t>
      </w:r>
      <w:proofErr w:type="spellEnd"/>
      <w:r w:rsidRPr="008D6CAD">
        <w:rPr>
          <w:strike w:val="0"/>
        </w:rPr>
        <w:t xml:space="preserve"> regression. Third, projection modelling (2025-2034) with scenario-based approaches provides actionable evidence for health system planning. Fourth, inclusion of all 23 LGAs ensures geographic representativeness across urban and rural settings. Fifth, </w:t>
      </w:r>
      <w:proofErr w:type="spellStart"/>
      <w:r w:rsidR="00D72726" w:rsidRPr="00DB046B">
        <w:rPr>
          <w:strike w:val="0"/>
        </w:rPr>
        <w:t>standardised</w:t>
      </w:r>
      <w:proofErr w:type="spellEnd"/>
      <w:r w:rsidRPr="008D6CAD">
        <w:rPr>
          <w:strike w:val="0"/>
        </w:rPr>
        <w:t xml:space="preserve"> case definitions and </w:t>
      </w:r>
      <w:r w:rsidR="00D72726" w:rsidRPr="00DB046B">
        <w:rPr>
          <w:strike w:val="0"/>
        </w:rPr>
        <w:t>age-</w:t>
      </w:r>
      <w:proofErr w:type="spellStart"/>
      <w:r w:rsidR="00D72726" w:rsidRPr="00DB046B">
        <w:rPr>
          <w:strike w:val="0"/>
        </w:rPr>
        <w:t>standardisation</w:t>
      </w:r>
      <w:proofErr w:type="spellEnd"/>
      <w:r w:rsidRPr="008D6CAD">
        <w:rPr>
          <w:strike w:val="0"/>
        </w:rPr>
        <w:t xml:space="preserve"> enhance comparability with national and global studies. Finally, the study addresses an important evidence </w:t>
      </w:r>
      <w:proofErr w:type="spellStart"/>
      <w:r w:rsidRPr="008D6CAD">
        <w:rPr>
          <w:strike w:val="0"/>
        </w:rPr>
        <w:t>ga</w:t>
      </w:r>
      <w:proofErr w:type="spellEnd"/>
      <w:r w:rsidR="00D72726" w:rsidRPr="00DB046B">
        <w:rPr>
          <w:strike w:val="0"/>
          <w:lang w:val="en-GB"/>
        </w:rPr>
        <w:t xml:space="preserve">p, such as </w:t>
      </w:r>
      <w:r w:rsidRPr="008D6CAD">
        <w:rPr>
          <w:strike w:val="0"/>
        </w:rPr>
        <w:t>the paucity of longitudinal hypertension data in Nigeria</w:t>
      </w:r>
      <w:r w:rsidR="00D72726" w:rsidRPr="00DB046B">
        <w:rPr>
          <w:strike w:val="0"/>
        </w:rPr>
        <w:t xml:space="preserve">, </w:t>
      </w:r>
      <w:r w:rsidR="00D72726" w:rsidRPr="00DB046B">
        <w:rPr>
          <w:strike w:val="0"/>
          <w:lang w:val="en-GB"/>
        </w:rPr>
        <w:t xml:space="preserve">thereby </w:t>
      </w:r>
      <w:r w:rsidRPr="008D6CAD">
        <w:rPr>
          <w:strike w:val="0"/>
        </w:rPr>
        <w:t>supporting evidence-based policymaking.</w:t>
      </w:r>
    </w:p>
    <w:p w14:paraId="5E4097E8" w14:textId="7C1F7119" w:rsidR="008D6CAD" w:rsidRPr="008D6CAD" w:rsidRDefault="008D6CAD" w:rsidP="008D6CAD">
      <w:pPr>
        <w:rPr>
          <w:strike w:val="0"/>
        </w:rPr>
      </w:pPr>
      <w:r w:rsidRPr="008D6CAD">
        <w:rPr>
          <w:b/>
          <w:bCs/>
          <w:strike w:val="0"/>
        </w:rPr>
        <w:t>Limitations:</w:t>
      </w:r>
      <w:r w:rsidRPr="008D6CAD">
        <w:rPr>
          <w:strike w:val="0"/>
        </w:rPr>
        <w:t xml:space="preserve"> Several limitations warrant consideration. First, reliance on facility data may underestimate true prevalence by excluding undiagnosed individuals while potentially overrepresenting those with severe disease. Second, variations in data quality across facilities and over time may introduce bias, despite rigorous cleaning protocols. Third, changes in diagnostic criteria, measurement techniques, and reporting practices over the decade may affect trend comparability. Fourth, the absence of individual-level socioeconomic, </w:t>
      </w:r>
      <w:proofErr w:type="spellStart"/>
      <w:r w:rsidRPr="008D6CAD">
        <w:rPr>
          <w:strike w:val="0"/>
        </w:rPr>
        <w:t>behavioural</w:t>
      </w:r>
      <w:proofErr w:type="spellEnd"/>
      <w:r w:rsidRPr="008D6CAD">
        <w:rPr>
          <w:strike w:val="0"/>
        </w:rPr>
        <w:t>, and clinical data precludes analysis of determinants driving observed trends. Fifth, population projections involve inherent uncertainty regarding migration, fertility, and mortality patterns. Sixth, the COVID-19 pandemic (2020-2022) may have disrupted healthcare access and data collection, potentially affecting trend interpretation. Seventh, the study focused exclusively on hypertension without examining comorbidities, cardiovascular risk stratification, or clinical outcomes. Eighth, awareness, treatment, and control data were available only from smaller survey samples (n=4,892), limiting precision. Finally, health system factors influencing hypertension care</w:t>
      </w:r>
      <w:r w:rsidR="00D72726" w:rsidRPr="00DB046B">
        <w:rPr>
          <w:strike w:val="0"/>
        </w:rPr>
        <w:t>,</w:t>
      </w:r>
      <w:r w:rsidR="00D72726" w:rsidRPr="00DB046B">
        <w:rPr>
          <w:strike w:val="0"/>
          <w:lang w:val="en-GB"/>
        </w:rPr>
        <w:t xml:space="preserve"> such as </w:t>
      </w:r>
      <w:r w:rsidRPr="008D6CAD">
        <w:rPr>
          <w:strike w:val="0"/>
        </w:rPr>
        <w:t xml:space="preserve">medication availability, healthcare worker density, </w:t>
      </w:r>
      <w:r w:rsidR="00D72726" w:rsidRPr="00DB046B">
        <w:rPr>
          <w:strike w:val="0"/>
        </w:rPr>
        <w:t xml:space="preserve">and </w:t>
      </w:r>
      <w:r w:rsidRPr="008D6CAD">
        <w:rPr>
          <w:strike w:val="0"/>
        </w:rPr>
        <w:t>financing</w:t>
      </w:r>
      <w:r w:rsidR="00D72726" w:rsidRPr="00DB046B">
        <w:rPr>
          <w:strike w:val="0"/>
        </w:rPr>
        <w:t xml:space="preserve">, </w:t>
      </w:r>
      <w:r w:rsidRPr="008D6CAD">
        <w:rPr>
          <w:strike w:val="0"/>
        </w:rPr>
        <w:t>were not examined.</w:t>
      </w:r>
    </w:p>
    <w:p w14:paraId="6F10900C" w14:textId="6BBA4B54" w:rsidR="008D6CAD" w:rsidRPr="008D6CAD" w:rsidRDefault="008D6CAD" w:rsidP="008D6CAD">
      <w:pPr>
        <w:rPr>
          <w:strike w:val="0"/>
        </w:rPr>
      </w:pPr>
      <w:r w:rsidRPr="008D6CAD">
        <w:rPr>
          <w:strike w:val="0"/>
        </w:rPr>
        <w:t xml:space="preserve">Despite these limitations, the triangulation of multiple data sources, </w:t>
      </w:r>
      <w:proofErr w:type="spellStart"/>
      <w:r w:rsidR="00D72726" w:rsidRPr="00DB046B">
        <w:rPr>
          <w:strike w:val="0"/>
        </w:rPr>
        <w:t>standardised</w:t>
      </w:r>
      <w:proofErr w:type="spellEnd"/>
      <w:r w:rsidRPr="008D6CAD">
        <w:rPr>
          <w:strike w:val="0"/>
        </w:rPr>
        <w:t xml:space="preserve"> methods, and robust statistical approaches </w:t>
      </w:r>
      <w:r w:rsidR="00D72726" w:rsidRPr="00DB046B">
        <w:rPr>
          <w:strike w:val="0"/>
        </w:rPr>
        <w:t>strengthens</w:t>
      </w:r>
      <w:r w:rsidRPr="008D6CAD">
        <w:rPr>
          <w:strike w:val="0"/>
        </w:rPr>
        <w:t xml:space="preserve"> the validity of findings, providing valuable evidence for hypertension prevention and control strategies in Rivers State.</w:t>
      </w:r>
    </w:p>
    <w:p w14:paraId="6973045C" w14:textId="77777777" w:rsidR="008D6CAD" w:rsidRPr="008D6CAD" w:rsidRDefault="008D6CAD" w:rsidP="008D6CAD">
      <w:pPr>
        <w:rPr>
          <w:b/>
          <w:bCs/>
          <w:strike w:val="0"/>
        </w:rPr>
      </w:pPr>
      <w:r w:rsidRPr="008D6CAD">
        <w:rPr>
          <w:b/>
          <w:bCs/>
          <w:strike w:val="0"/>
        </w:rPr>
        <w:t>Conclusion</w:t>
      </w:r>
    </w:p>
    <w:p w14:paraId="7C7B1BC1" w14:textId="64E8B62C" w:rsidR="008D6CAD" w:rsidRPr="008D6CAD" w:rsidRDefault="008D6CAD" w:rsidP="008D6CAD">
      <w:pPr>
        <w:rPr>
          <w:strike w:val="0"/>
        </w:rPr>
      </w:pPr>
      <w:r w:rsidRPr="008D6CAD">
        <w:rPr>
          <w:strike w:val="0"/>
        </w:rPr>
        <w:t>This study demonstrates that hypertension constitutes an escalating public health crisis in Rivers State, with trends indicating a rapidly growing burden that threatens to overwhelm the health system. Despite some improvements in awareness and treatment over the decade, the vast majority of hypertensive adults remain undiagnosed, untreated, or uncontrolled, placing them at high risk for preventable cardiovascular complications</w:t>
      </w:r>
      <w:r w:rsidR="00D72726" w:rsidRPr="00DB046B">
        <w:rPr>
          <w:strike w:val="0"/>
        </w:rPr>
        <w:t>,</w:t>
      </w:r>
      <w:r w:rsidRPr="008D6CAD">
        <w:rPr>
          <w:strike w:val="0"/>
        </w:rPr>
        <w:t xml:space="preserve"> including stroke, heart failure, and premature death.</w:t>
      </w:r>
    </w:p>
    <w:p w14:paraId="19E4AF41" w14:textId="77777777" w:rsidR="008D6CAD" w:rsidRPr="008D6CAD" w:rsidRDefault="008D6CAD" w:rsidP="008D6CAD">
      <w:pPr>
        <w:rPr>
          <w:strike w:val="0"/>
        </w:rPr>
      </w:pPr>
      <w:r w:rsidRPr="008D6CAD">
        <w:rPr>
          <w:strike w:val="0"/>
        </w:rPr>
        <w:t>The projections for 2034 paint a concerning picture: without urgent and sustained intervention, the number of adults requiring hypertension care will increase substantially, with uncontrolled cases rising proportionally. This trajectory has profound implications for healthcare costs, workforce requirements, and the capacity of secondary and tertiary care services to manage complications.</w:t>
      </w:r>
    </w:p>
    <w:p w14:paraId="75241911" w14:textId="77777777" w:rsidR="008D6CAD" w:rsidRPr="008D6CAD" w:rsidRDefault="008D6CAD" w:rsidP="008D6CAD">
      <w:pPr>
        <w:rPr>
          <w:strike w:val="0"/>
        </w:rPr>
      </w:pPr>
      <w:r w:rsidRPr="008D6CAD">
        <w:rPr>
          <w:strike w:val="0"/>
        </w:rPr>
        <w:t xml:space="preserve">Addressing this challenge requires a multifaceted approach encompassing population-level prevention through policies that promote healthy diets and physical activity, strengthened primary healthcare systems for early detection and treatment, improved access to affordable medications, and community engagement to address knowledge gaps and health-seeking </w:t>
      </w:r>
      <w:proofErr w:type="spellStart"/>
      <w:r w:rsidRPr="008D6CAD">
        <w:rPr>
          <w:strike w:val="0"/>
        </w:rPr>
        <w:t>behaviours</w:t>
      </w:r>
      <w:proofErr w:type="spellEnd"/>
      <w:r w:rsidRPr="008D6CAD">
        <w:rPr>
          <w:strike w:val="0"/>
        </w:rPr>
        <w:t xml:space="preserve">. Implementation of evidence-based frameworks such as the WHO HEARTS </w:t>
      </w:r>
      <w:r w:rsidRPr="008D6CAD">
        <w:rPr>
          <w:strike w:val="0"/>
        </w:rPr>
        <w:lastRenderedPageBreak/>
        <w:t>technical package offers a pathway toward integrating hypertension management into routine primary care.</w:t>
      </w:r>
    </w:p>
    <w:p w14:paraId="04E293D2" w14:textId="77777777" w:rsidR="008D6CAD" w:rsidRPr="00DB046B" w:rsidRDefault="008D6CAD" w:rsidP="008D6CAD">
      <w:pPr>
        <w:rPr>
          <w:strike w:val="0"/>
        </w:rPr>
      </w:pPr>
      <w:r w:rsidRPr="008D6CAD">
        <w:rPr>
          <w:strike w:val="0"/>
        </w:rPr>
        <w:t>The time for action is now. Delaying comprehensive hypertension control efforts will result in avoidable morbidity, mortality, and healthcare costs that could otherwise be prevented. Rivers State has an opportunity to chart a different course—one that prioritizes cardiovascular health and ensures that all adults have access to the prevention, detection, and treatment services they need and deserve.</w:t>
      </w:r>
    </w:p>
    <w:p w14:paraId="4782B6D8" w14:textId="77777777" w:rsidR="00D041D8" w:rsidRPr="00D041D8" w:rsidRDefault="00D041D8" w:rsidP="00D041D8">
      <w:pPr>
        <w:rPr>
          <w:b/>
          <w:bCs/>
          <w:strike w:val="0"/>
        </w:rPr>
      </w:pPr>
      <w:r w:rsidRPr="00D041D8">
        <w:rPr>
          <w:b/>
          <w:bCs/>
          <w:strike w:val="0"/>
        </w:rPr>
        <w:t>Recommendations</w:t>
      </w:r>
    </w:p>
    <w:p w14:paraId="7CAD59AD" w14:textId="77777777" w:rsidR="00D041D8" w:rsidRPr="00D041D8" w:rsidRDefault="00D041D8" w:rsidP="00D041D8">
      <w:pPr>
        <w:rPr>
          <w:strike w:val="0"/>
        </w:rPr>
      </w:pPr>
      <w:r w:rsidRPr="00D041D8">
        <w:rPr>
          <w:strike w:val="0"/>
        </w:rPr>
        <w:t xml:space="preserve">Given the rapidly increasing prevalence of hypertension and the large gaps in awareness, treatment, and control identified in this study, urgent and coordinated public health actions are required in Rivers State. First, hypertension screening should be integrated into routine primary health care services across all health facilities, particularly at the community and primary care levels. Regular blood pressure checks during outpatient visits, </w:t>
      </w:r>
      <w:proofErr w:type="spellStart"/>
      <w:r w:rsidRPr="00D041D8">
        <w:rPr>
          <w:strike w:val="0"/>
        </w:rPr>
        <w:t>immunisation</w:t>
      </w:r>
      <w:proofErr w:type="spellEnd"/>
      <w:r w:rsidRPr="00D041D8">
        <w:rPr>
          <w:strike w:val="0"/>
        </w:rPr>
        <w:t xml:space="preserve"> clinics, antenatal care, and community outreach </w:t>
      </w:r>
      <w:proofErr w:type="spellStart"/>
      <w:r w:rsidRPr="00D041D8">
        <w:rPr>
          <w:strike w:val="0"/>
        </w:rPr>
        <w:t>programmes</w:t>
      </w:r>
      <w:proofErr w:type="spellEnd"/>
      <w:r w:rsidRPr="00D041D8">
        <w:rPr>
          <w:strike w:val="0"/>
        </w:rPr>
        <w:t xml:space="preserve"> will improve early detection and reduce the large proportion of undiagnosed cases. </w:t>
      </w:r>
    </w:p>
    <w:p w14:paraId="2156408E" w14:textId="59FAE323" w:rsidR="00D041D8" w:rsidRPr="00D041D8" w:rsidRDefault="00D041D8" w:rsidP="00D041D8">
      <w:pPr>
        <w:rPr>
          <w:strike w:val="0"/>
        </w:rPr>
      </w:pPr>
      <w:r w:rsidRPr="00D041D8">
        <w:rPr>
          <w:strike w:val="0"/>
        </w:rPr>
        <w:t xml:space="preserve">Second, the implementation of </w:t>
      </w:r>
      <w:proofErr w:type="spellStart"/>
      <w:r w:rsidRPr="00D041D8">
        <w:rPr>
          <w:strike w:val="0"/>
        </w:rPr>
        <w:t>standardi</w:t>
      </w:r>
      <w:r>
        <w:rPr>
          <w:strike w:val="0"/>
        </w:rPr>
        <w:t>s</w:t>
      </w:r>
      <w:r w:rsidRPr="00D041D8">
        <w:rPr>
          <w:strike w:val="0"/>
        </w:rPr>
        <w:t>ed</w:t>
      </w:r>
      <w:proofErr w:type="spellEnd"/>
      <w:r w:rsidRPr="00D041D8">
        <w:rPr>
          <w:strike w:val="0"/>
        </w:rPr>
        <w:t xml:space="preserve"> hypertension management protocols within primary healthcare facilities should be </w:t>
      </w:r>
      <w:proofErr w:type="spellStart"/>
      <w:r w:rsidRPr="00D041D8">
        <w:rPr>
          <w:strike w:val="0"/>
        </w:rPr>
        <w:t>prioritised</w:t>
      </w:r>
      <w:proofErr w:type="spellEnd"/>
      <w:r w:rsidRPr="00D041D8">
        <w:rPr>
          <w:strike w:val="0"/>
        </w:rPr>
        <w:t xml:space="preserve">. Adoption of evidence-based treatment guidelines and task-sharing with trained nurses and community health workers can improve treatment initiation, follow-up, and medication adherence. Ensuring consistent availability and affordability of essential antihypertensive medicines and validated blood pressure devices is also critical to improving treatment coverage and blood pressure control. </w:t>
      </w:r>
    </w:p>
    <w:p w14:paraId="04F7410F" w14:textId="77777777" w:rsidR="00D041D8" w:rsidRPr="00D041D8" w:rsidRDefault="00D041D8" w:rsidP="00D041D8">
      <w:pPr>
        <w:rPr>
          <w:strike w:val="0"/>
        </w:rPr>
      </w:pPr>
      <w:r w:rsidRPr="00D041D8">
        <w:rPr>
          <w:strike w:val="0"/>
        </w:rPr>
        <w:t xml:space="preserve">Third, population-level prevention strategies must be strengthened. Government and public health agencies should promote policies that encourage healthier lifestyles, including reduction of dietary salt intake, promotion of physical activity, control of harmful alcohol use, and increased public awareness of cardiovascular risk factors. Community-based health education campaigns can help improve knowledge of hypertension and encourage early health-seeking </w:t>
      </w:r>
      <w:proofErr w:type="spellStart"/>
      <w:r w:rsidRPr="00D041D8">
        <w:rPr>
          <w:strike w:val="0"/>
        </w:rPr>
        <w:t>behaviour</w:t>
      </w:r>
      <w:proofErr w:type="spellEnd"/>
      <w:r w:rsidRPr="00D041D8">
        <w:rPr>
          <w:strike w:val="0"/>
        </w:rPr>
        <w:t>.</w:t>
      </w:r>
    </w:p>
    <w:p w14:paraId="1C879C24" w14:textId="77777777" w:rsidR="00D041D8" w:rsidRPr="00D041D8" w:rsidRDefault="00D041D8" w:rsidP="00D041D8">
      <w:pPr>
        <w:rPr>
          <w:strike w:val="0"/>
        </w:rPr>
      </w:pPr>
      <w:r w:rsidRPr="00D041D8">
        <w:rPr>
          <w:strike w:val="0"/>
        </w:rPr>
        <w:t xml:space="preserve">Fourth, targeted interventions should focus on high-risk populations identified in this study, particularly middle-aged adults, men, and urban residents, where prevalence was highest. Community screening </w:t>
      </w:r>
      <w:proofErr w:type="spellStart"/>
      <w:r w:rsidRPr="00D041D8">
        <w:rPr>
          <w:strike w:val="0"/>
        </w:rPr>
        <w:t>programmes</w:t>
      </w:r>
      <w:proofErr w:type="spellEnd"/>
      <w:r w:rsidRPr="00D041D8">
        <w:rPr>
          <w:strike w:val="0"/>
        </w:rPr>
        <w:t xml:space="preserve">, workplace health initiatives, and outreach </w:t>
      </w:r>
      <w:proofErr w:type="spellStart"/>
      <w:r w:rsidRPr="00D041D8">
        <w:rPr>
          <w:strike w:val="0"/>
        </w:rPr>
        <w:t>programmes</w:t>
      </w:r>
      <w:proofErr w:type="spellEnd"/>
      <w:r w:rsidRPr="00D041D8">
        <w:rPr>
          <w:strike w:val="0"/>
        </w:rPr>
        <w:t xml:space="preserve"> in urban communities could substantially improve detection and management in these groups.</w:t>
      </w:r>
    </w:p>
    <w:p w14:paraId="197DD3B1" w14:textId="77777777" w:rsidR="00D041D8" w:rsidRPr="00D041D8" w:rsidRDefault="00D041D8" w:rsidP="00D041D8">
      <w:pPr>
        <w:rPr>
          <w:strike w:val="0"/>
        </w:rPr>
      </w:pPr>
      <w:r w:rsidRPr="00D041D8">
        <w:rPr>
          <w:strike w:val="0"/>
        </w:rPr>
        <w:t>Finally, strengthening surveillance systems for non-communicable diseases is essential. Routine health information systems should be enhanced to monitor hypertension trends, treatment outcomes, and control rates across all Local Government Areas. Continuous monitoring will enable policymakers to evaluate the effectiveness of interventions and allocate resources more efficiently.</w:t>
      </w:r>
    </w:p>
    <w:p w14:paraId="0B2EF323" w14:textId="77777777" w:rsidR="00D041D8" w:rsidRPr="00D041D8" w:rsidRDefault="00D041D8" w:rsidP="00D041D8">
      <w:pPr>
        <w:rPr>
          <w:strike w:val="0"/>
        </w:rPr>
      </w:pPr>
      <w:r w:rsidRPr="00D041D8">
        <w:rPr>
          <w:strike w:val="0"/>
        </w:rPr>
        <w:t>Overall, improving hypertension prevention, detection, and management through strengthened primary healthcare systems, community engagement, and policy-level interventions will be essential to reducing the projected burden of cardiovascular disease in Rivers State.</w:t>
      </w:r>
    </w:p>
    <w:p w14:paraId="1A142725" w14:textId="77777777" w:rsidR="00D041D8" w:rsidRPr="00D041D8" w:rsidRDefault="00D041D8" w:rsidP="008D6CAD">
      <w:pPr>
        <w:rPr>
          <w:strike w:val="0"/>
        </w:rPr>
      </w:pPr>
    </w:p>
    <w:p w14:paraId="4B984BC5" w14:textId="3FE39D3E" w:rsidR="008D6CAD" w:rsidRPr="008D6CAD" w:rsidRDefault="008D6CAD" w:rsidP="008D6CAD">
      <w:pPr>
        <w:rPr>
          <w:b/>
          <w:bCs/>
          <w:strike w:val="0"/>
        </w:rPr>
      </w:pPr>
      <w:r w:rsidRPr="008D6CAD">
        <w:rPr>
          <w:b/>
          <w:bCs/>
          <w:strike w:val="0"/>
        </w:rPr>
        <w:lastRenderedPageBreak/>
        <w:t>Contributions to Knowledge</w:t>
      </w:r>
    </w:p>
    <w:p w14:paraId="2C9FA12E" w14:textId="0E72E070" w:rsidR="008D6CAD" w:rsidRPr="008D6CAD" w:rsidRDefault="008D6CAD" w:rsidP="008D6CAD">
      <w:pPr>
        <w:rPr>
          <w:strike w:val="0"/>
        </w:rPr>
      </w:pPr>
      <w:r w:rsidRPr="008D6CAD">
        <w:rPr>
          <w:b/>
          <w:bCs/>
          <w:strike w:val="0"/>
        </w:rPr>
        <w:t>Practice:</w:t>
      </w:r>
      <w:r w:rsidRPr="008D6CAD">
        <w:rPr>
          <w:strike w:val="0"/>
        </w:rPr>
        <w:t xml:space="preserve"> This study provides evidence that only 3.5% of hypertensives achieve blood pressure control, highlighting </w:t>
      </w:r>
      <w:r w:rsidR="00D72726" w:rsidRPr="00DB046B">
        <w:rPr>
          <w:strike w:val="0"/>
        </w:rPr>
        <w:t xml:space="preserve">the </w:t>
      </w:r>
      <w:r w:rsidRPr="008D6CAD">
        <w:rPr>
          <w:strike w:val="0"/>
        </w:rPr>
        <w:t xml:space="preserve">urgent need for </w:t>
      </w:r>
      <w:proofErr w:type="spellStart"/>
      <w:r w:rsidR="00D72726" w:rsidRPr="00DB046B">
        <w:rPr>
          <w:strike w:val="0"/>
        </w:rPr>
        <w:t>standardised</w:t>
      </w:r>
      <w:proofErr w:type="spellEnd"/>
      <w:r w:rsidRPr="008D6CAD">
        <w:rPr>
          <w:strike w:val="0"/>
        </w:rPr>
        <w:t xml:space="preserve"> treatment protocols, improved medication adherence support, and targeted screening for high-risk groups</w:t>
      </w:r>
      <w:r w:rsidR="00D72726" w:rsidRPr="00DB046B">
        <w:rPr>
          <w:strike w:val="0"/>
          <w:lang w:val="en-GB"/>
        </w:rPr>
        <w:t xml:space="preserve"> such as </w:t>
      </w:r>
      <w:r w:rsidRPr="008D6CAD">
        <w:rPr>
          <w:strike w:val="0"/>
        </w:rPr>
        <w:t>younger adults, males, and rural residents. Projections of 2.68 million uncontrolled cases by 2034 necessitate immediate health facility preparedness for increased cardiovascular complications.</w:t>
      </w:r>
    </w:p>
    <w:p w14:paraId="02F728AC" w14:textId="77777777" w:rsidR="008D6CAD" w:rsidRPr="008D6CAD" w:rsidRDefault="008D6CAD" w:rsidP="008D6CAD">
      <w:pPr>
        <w:rPr>
          <w:strike w:val="0"/>
        </w:rPr>
      </w:pPr>
      <w:r w:rsidRPr="008D6CAD">
        <w:rPr>
          <w:b/>
          <w:bCs/>
          <w:strike w:val="0"/>
        </w:rPr>
        <w:t>Research:</w:t>
      </w:r>
      <w:r w:rsidRPr="008D6CAD">
        <w:rPr>
          <w:strike w:val="0"/>
        </w:rPr>
        <w:t> The study addresses a critical evidence gap by providing longitudinal hypertension data and projection modelling for Nigeria. It establishes a methodological template for trend analysis using multiple data sources and generates hypotheses on determinants of accelerated trends, disparities, and health system barriers requiring further investigation through implementation and qualitative research.</w:t>
      </w:r>
    </w:p>
    <w:p w14:paraId="5EE0027C" w14:textId="1CB1C9B5" w:rsidR="008D6CAD" w:rsidRPr="008D6CAD" w:rsidRDefault="008D6CAD" w:rsidP="008D6CAD">
      <w:pPr>
        <w:rPr>
          <w:strike w:val="0"/>
        </w:rPr>
      </w:pPr>
      <w:r w:rsidRPr="008D6CAD">
        <w:rPr>
          <w:b/>
          <w:bCs/>
          <w:strike w:val="0"/>
        </w:rPr>
        <w:t>Policy:</w:t>
      </w:r>
      <w:r w:rsidRPr="008D6CAD">
        <w:rPr>
          <w:strike w:val="0"/>
        </w:rPr>
        <w:t xml:space="preserve"> Findings that one in three adults has hypertension, with 47-55% increase projected by 2034, provide compelling evidence for </w:t>
      </w:r>
      <w:proofErr w:type="spellStart"/>
      <w:r w:rsidR="00D72726" w:rsidRPr="00DB046B">
        <w:rPr>
          <w:strike w:val="0"/>
        </w:rPr>
        <w:t>prioritising</w:t>
      </w:r>
      <w:proofErr w:type="spellEnd"/>
      <w:r w:rsidRPr="008D6CAD">
        <w:rPr>
          <w:strike w:val="0"/>
        </w:rPr>
        <w:t xml:space="preserve"> NCDs in health agendas. The study supports WHO HEARTS implementation, primary healthcare integration, workforce planning, essential medicines procurement, and regulatory policies targeting salt reduction and physical activity promotion.</w:t>
      </w:r>
    </w:p>
    <w:p w14:paraId="52CC2B23" w14:textId="7487208C" w:rsidR="008D6CAD" w:rsidRPr="008D6CAD" w:rsidRDefault="008D6CAD" w:rsidP="008D6CAD">
      <w:pPr>
        <w:rPr>
          <w:strike w:val="0"/>
        </w:rPr>
      </w:pPr>
      <w:r w:rsidRPr="008D6CAD">
        <w:rPr>
          <w:b/>
          <w:bCs/>
          <w:strike w:val="0"/>
        </w:rPr>
        <w:t>Innovation:</w:t>
      </w:r>
      <w:r w:rsidRPr="008D6CAD">
        <w:rPr>
          <w:strike w:val="0"/>
        </w:rPr>
        <w:t> The study demonstrates innovative methodological approaches</w:t>
      </w:r>
      <w:r w:rsidR="00D72726" w:rsidRPr="00DB046B">
        <w:rPr>
          <w:strike w:val="0"/>
        </w:rPr>
        <w:t>,</w:t>
      </w:r>
      <w:r w:rsidRPr="008D6CAD">
        <w:rPr>
          <w:strike w:val="0"/>
        </w:rPr>
        <w:t xml:space="preserve"> including triangulation of multiple data sources, </w:t>
      </w:r>
      <w:proofErr w:type="spellStart"/>
      <w:r w:rsidRPr="008D6CAD">
        <w:rPr>
          <w:strike w:val="0"/>
        </w:rPr>
        <w:t>joinpoint</w:t>
      </w:r>
      <w:proofErr w:type="spellEnd"/>
      <w:r w:rsidRPr="008D6CAD">
        <w:rPr>
          <w:strike w:val="0"/>
        </w:rPr>
        <w:t xml:space="preserve"> regression for trend </w:t>
      </w:r>
      <w:proofErr w:type="spellStart"/>
      <w:r w:rsidR="00D72726" w:rsidRPr="00DB046B">
        <w:rPr>
          <w:strike w:val="0"/>
        </w:rPr>
        <w:t>infle</w:t>
      </w:r>
      <w:r w:rsidR="00D72726" w:rsidRPr="00DB046B">
        <w:rPr>
          <w:strike w:val="0"/>
          <w:lang w:val="en-GB"/>
        </w:rPr>
        <w:t>ct</w:t>
      </w:r>
      <w:proofErr w:type="spellEnd"/>
      <w:r w:rsidR="00D72726" w:rsidRPr="00DB046B">
        <w:rPr>
          <w:strike w:val="0"/>
        </w:rPr>
        <w:t>ion</w:t>
      </w:r>
      <w:r w:rsidRPr="008D6CAD">
        <w:rPr>
          <w:strike w:val="0"/>
        </w:rPr>
        <w:t xml:space="preserve"> points, ARIMA modelling, and scenario-based projections. It highlights opportunities for mobile health interventions, task-sharing with community health workers, and digital decision-support tools for </w:t>
      </w:r>
      <w:proofErr w:type="spellStart"/>
      <w:r w:rsidR="00D72726" w:rsidRPr="00DB046B">
        <w:rPr>
          <w:strike w:val="0"/>
        </w:rPr>
        <w:t>standardised</w:t>
      </w:r>
      <w:proofErr w:type="spellEnd"/>
      <w:r w:rsidRPr="008D6CAD">
        <w:rPr>
          <w:strike w:val="0"/>
        </w:rPr>
        <w:t xml:space="preserve"> hypertension management in primary care.</w:t>
      </w:r>
    </w:p>
    <w:p w14:paraId="52E2093F" w14:textId="76F3EC3A" w:rsidR="004B4A75" w:rsidRPr="00DB046B" w:rsidRDefault="004B4A75" w:rsidP="004B4A75">
      <w:pPr>
        <w:rPr>
          <w:strike w:val="0"/>
        </w:rPr>
      </w:pPr>
      <w:r w:rsidRPr="004B4A75">
        <w:rPr>
          <w:b/>
          <w:bCs/>
          <w:strike w:val="0"/>
        </w:rPr>
        <w:t>Ethical Considerations:</w:t>
      </w:r>
      <w:r w:rsidRPr="004B4A75">
        <w:rPr>
          <w:strike w:val="0"/>
        </w:rPr>
        <w:t> Ethical approval was obtained from the Rivers State Ministry of Health Research Ethics Committee</w:t>
      </w:r>
      <w:r w:rsidRPr="00DB046B">
        <w:rPr>
          <w:strike w:val="0"/>
        </w:rPr>
        <w:t>.</w:t>
      </w:r>
      <w:r w:rsidRPr="004B4A75">
        <w:rPr>
          <w:strike w:val="0"/>
        </w:rPr>
        <w:t xml:space="preserve"> </w:t>
      </w:r>
      <w:r w:rsidRPr="00DB046B">
        <w:rPr>
          <w:strike w:val="0"/>
        </w:rPr>
        <w:t>N</w:t>
      </w:r>
      <w:r w:rsidRPr="004B4A75">
        <w:rPr>
          <w:strike w:val="0"/>
        </w:rPr>
        <w:t xml:space="preserve">o personal identifiable information was accessed or </w:t>
      </w:r>
      <w:proofErr w:type="spellStart"/>
      <w:r w:rsidR="00D72726" w:rsidRPr="00DB046B">
        <w:rPr>
          <w:strike w:val="0"/>
        </w:rPr>
        <w:t>analysed</w:t>
      </w:r>
      <w:proofErr w:type="spellEnd"/>
      <w:r w:rsidRPr="004B4A75">
        <w:rPr>
          <w:strike w:val="0"/>
        </w:rPr>
        <w:t xml:space="preserve">. All data handling and storage complied with the Nigerian National Code of Health Research Ethics and the principles of the Declaration of Helsinki. Permission to access and </w:t>
      </w:r>
      <w:proofErr w:type="spellStart"/>
      <w:r w:rsidR="00D72726" w:rsidRPr="00DB046B">
        <w:rPr>
          <w:strike w:val="0"/>
        </w:rPr>
        <w:t>utilise</w:t>
      </w:r>
      <w:proofErr w:type="spellEnd"/>
      <w:r w:rsidRPr="004B4A75">
        <w:rPr>
          <w:strike w:val="0"/>
        </w:rPr>
        <w:t xml:space="preserve"> health facility records was obtained from the Rivers State Ministry of Health and individual facility management</w:t>
      </w:r>
      <w:r w:rsidRPr="00DB046B">
        <w:rPr>
          <w:strike w:val="0"/>
        </w:rPr>
        <w:t>.</w:t>
      </w:r>
      <w:r w:rsidRPr="004B4A75">
        <w:rPr>
          <w:strike w:val="0"/>
        </w:rPr>
        <w:t xml:space="preserve"> </w:t>
      </w:r>
    </w:p>
    <w:p w14:paraId="778A59E9" w14:textId="77777777" w:rsidR="00304DBC" w:rsidRPr="00304DBC" w:rsidRDefault="00304DBC" w:rsidP="00304DBC">
      <w:pPr>
        <w:rPr>
          <w:strike w:val="0"/>
        </w:rPr>
      </w:pPr>
      <w:bookmarkStart w:id="0" w:name="_GoBack"/>
      <w:bookmarkEnd w:id="0"/>
      <w:r w:rsidRPr="00304DBC">
        <w:rPr>
          <w:b/>
          <w:bCs/>
          <w:strike w:val="0"/>
        </w:rPr>
        <w:t>Conflict of interest</w:t>
      </w:r>
      <w:r w:rsidRPr="00304DBC">
        <w:rPr>
          <w:strike w:val="0"/>
        </w:rPr>
        <w:t xml:space="preserve"> </w:t>
      </w:r>
    </w:p>
    <w:p w14:paraId="11A824F3" w14:textId="4F3B9318" w:rsidR="00304DBC" w:rsidRPr="00304DBC" w:rsidRDefault="00304DBC" w:rsidP="00304DBC">
      <w:pPr>
        <w:rPr>
          <w:strike w:val="0"/>
        </w:rPr>
      </w:pPr>
      <w:r w:rsidRPr="00304DBC">
        <w:rPr>
          <w:strike w:val="0"/>
        </w:rPr>
        <w:t xml:space="preserve">The author </w:t>
      </w:r>
      <w:r w:rsidR="000E356F">
        <w:rPr>
          <w:strike w:val="0"/>
        </w:rPr>
        <w:t>declares</w:t>
      </w:r>
      <w:r w:rsidRPr="00304DBC">
        <w:rPr>
          <w:strike w:val="0"/>
        </w:rPr>
        <w:t xml:space="preserve"> no conflict of interest. </w:t>
      </w:r>
    </w:p>
    <w:p w14:paraId="5BE006C5" w14:textId="77777777" w:rsidR="00C1271A" w:rsidRDefault="00C1271A" w:rsidP="003B31BF">
      <w:pPr>
        <w:rPr>
          <w:b/>
          <w:bCs/>
          <w:strike w:val="0"/>
        </w:rPr>
      </w:pPr>
    </w:p>
    <w:p w14:paraId="3C00F642" w14:textId="3F55DBDA" w:rsidR="003B31BF" w:rsidRPr="003B31BF" w:rsidRDefault="003B31BF" w:rsidP="003B31BF">
      <w:pPr>
        <w:rPr>
          <w:b/>
          <w:bCs/>
          <w:strike w:val="0"/>
        </w:rPr>
      </w:pPr>
      <w:r w:rsidRPr="003B31BF">
        <w:rPr>
          <w:b/>
          <w:bCs/>
          <w:strike w:val="0"/>
        </w:rPr>
        <w:t>References</w:t>
      </w:r>
    </w:p>
    <w:p w14:paraId="1E7BE0EC" w14:textId="117079AE" w:rsidR="00F97617" w:rsidRPr="00797D9D" w:rsidRDefault="003B31BF" w:rsidP="003B31BF">
      <w:pPr>
        <w:rPr>
          <w:strike w:val="0"/>
          <w:lang w:val="en-GB"/>
        </w:rPr>
      </w:pPr>
      <w:proofErr w:type="spellStart"/>
      <w:r w:rsidRPr="00797D9D">
        <w:rPr>
          <w:strike w:val="0"/>
        </w:rPr>
        <w:t>Adeboye</w:t>
      </w:r>
      <w:proofErr w:type="spellEnd"/>
      <w:r w:rsidRPr="00797D9D">
        <w:rPr>
          <w:strike w:val="0"/>
        </w:rPr>
        <w:t xml:space="preserve">, D., Owolabi, E. O., </w:t>
      </w:r>
      <w:proofErr w:type="spellStart"/>
      <w:r w:rsidRPr="00797D9D">
        <w:rPr>
          <w:strike w:val="0"/>
        </w:rPr>
        <w:t>Ojo</w:t>
      </w:r>
      <w:proofErr w:type="spellEnd"/>
      <w:r w:rsidRPr="00797D9D">
        <w:rPr>
          <w:strike w:val="0"/>
        </w:rPr>
        <w:t xml:space="preserve">, T. O., &amp; </w:t>
      </w:r>
      <w:proofErr w:type="spellStart"/>
      <w:r w:rsidRPr="00797D9D">
        <w:rPr>
          <w:strike w:val="0"/>
        </w:rPr>
        <w:t>Salako</w:t>
      </w:r>
      <w:proofErr w:type="spellEnd"/>
      <w:r w:rsidRPr="00797D9D">
        <w:rPr>
          <w:strike w:val="0"/>
        </w:rPr>
        <w:t>, B. L. (2022). Undiagnosed hypertension in Nigeria: A multi-state community-based screening study. </w:t>
      </w:r>
      <w:r w:rsidRPr="00797D9D">
        <w:rPr>
          <w:i/>
          <w:iCs/>
          <w:strike w:val="0"/>
        </w:rPr>
        <w:t>Pan African Medical Journal, 41</w:t>
      </w:r>
      <w:r w:rsidRPr="00797D9D">
        <w:rPr>
          <w:strike w:val="0"/>
        </w:rPr>
        <w:t>(3), 45–58. </w:t>
      </w:r>
      <w:hyperlink r:id="rId11" w:tgtFrame="_blank" w:history="1">
        <w:r w:rsidRPr="00797D9D">
          <w:rPr>
            <w:rStyle w:val="Hyperlink"/>
            <w:strike w:val="0"/>
            <w:color w:val="auto"/>
            <w:u w:val="none"/>
          </w:rPr>
          <w:t>https://www.panafrican-med-journal.com/</w:t>
        </w:r>
      </w:hyperlink>
    </w:p>
    <w:p w14:paraId="3D110BEB" w14:textId="20E768DA" w:rsidR="00F97617" w:rsidRPr="00797D9D" w:rsidRDefault="003B31BF" w:rsidP="003B31BF">
      <w:pPr>
        <w:rPr>
          <w:strike w:val="0"/>
        </w:rPr>
      </w:pPr>
      <w:proofErr w:type="spellStart"/>
      <w:r w:rsidRPr="00797D9D">
        <w:rPr>
          <w:strike w:val="0"/>
        </w:rPr>
        <w:t>Akinlua</w:t>
      </w:r>
      <w:proofErr w:type="spellEnd"/>
      <w:r w:rsidRPr="00797D9D">
        <w:rPr>
          <w:strike w:val="0"/>
        </w:rPr>
        <w:t xml:space="preserve">, J. T., </w:t>
      </w:r>
      <w:proofErr w:type="spellStart"/>
      <w:r w:rsidRPr="00797D9D">
        <w:rPr>
          <w:strike w:val="0"/>
        </w:rPr>
        <w:t>Meakin</w:t>
      </w:r>
      <w:proofErr w:type="spellEnd"/>
      <w:r w:rsidRPr="00797D9D">
        <w:rPr>
          <w:strike w:val="0"/>
        </w:rPr>
        <w:t>, R., Umar, A. M., &amp; Freemantle, N. (2020). A systematic review of hypertension prevalence in southern Nigeria. </w:t>
      </w:r>
      <w:r w:rsidRPr="00797D9D">
        <w:rPr>
          <w:i/>
          <w:iCs/>
          <w:strike w:val="0"/>
        </w:rPr>
        <w:t>Journal of Hypertension, 38</w:t>
      </w:r>
      <w:r w:rsidRPr="00797D9D">
        <w:rPr>
          <w:strike w:val="0"/>
        </w:rPr>
        <w:t>(4), 612–624. </w:t>
      </w:r>
      <w:hyperlink r:id="rId12" w:tgtFrame="_blank" w:history="1">
        <w:r w:rsidRPr="00797D9D">
          <w:rPr>
            <w:rStyle w:val="Hyperlink"/>
            <w:strike w:val="0"/>
            <w:color w:val="auto"/>
            <w:u w:val="none"/>
          </w:rPr>
          <w:t>https://journals.lww.com/jhypertension/pages/default.aspx</w:t>
        </w:r>
      </w:hyperlink>
    </w:p>
    <w:p w14:paraId="0BD7083E" w14:textId="52030891" w:rsidR="003B31BF" w:rsidRPr="00797D9D" w:rsidRDefault="003B31BF" w:rsidP="003B31BF">
      <w:pPr>
        <w:rPr>
          <w:strike w:val="0"/>
        </w:rPr>
      </w:pPr>
      <w:proofErr w:type="spellStart"/>
      <w:r w:rsidRPr="00797D9D">
        <w:rPr>
          <w:strike w:val="0"/>
        </w:rPr>
        <w:lastRenderedPageBreak/>
        <w:t>Antignac</w:t>
      </w:r>
      <w:proofErr w:type="spellEnd"/>
      <w:r w:rsidRPr="00797D9D">
        <w:rPr>
          <w:strike w:val="0"/>
        </w:rPr>
        <w:t xml:space="preserve">, M., </w:t>
      </w:r>
      <w:proofErr w:type="spellStart"/>
      <w:r w:rsidRPr="00797D9D">
        <w:rPr>
          <w:strike w:val="0"/>
        </w:rPr>
        <w:t>Diop</w:t>
      </w:r>
      <w:proofErr w:type="spellEnd"/>
      <w:r w:rsidRPr="00797D9D">
        <w:rPr>
          <w:strike w:val="0"/>
        </w:rPr>
        <w:t xml:space="preserve">, I. B., &amp; </w:t>
      </w:r>
      <w:proofErr w:type="spellStart"/>
      <w:r w:rsidRPr="00797D9D">
        <w:rPr>
          <w:strike w:val="0"/>
        </w:rPr>
        <w:t>Macquart</w:t>
      </w:r>
      <w:proofErr w:type="spellEnd"/>
      <w:r w:rsidRPr="00797D9D">
        <w:rPr>
          <w:strike w:val="0"/>
        </w:rPr>
        <w:t xml:space="preserve"> de </w:t>
      </w:r>
      <w:proofErr w:type="spellStart"/>
      <w:r w:rsidRPr="00797D9D">
        <w:rPr>
          <w:strike w:val="0"/>
        </w:rPr>
        <w:t>Terline</w:t>
      </w:r>
      <w:proofErr w:type="spellEnd"/>
      <w:r w:rsidRPr="00797D9D">
        <w:rPr>
          <w:strike w:val="0"/>
        </w:rPr>
        <w:t>, D. (2020). Hypertension awareness, treatment, and control in West Africa: A multi-country study. </w:t>
      </w:r>
      <w:r w:rsidRPr="00797D9D">
        <w:rPr>
          <w:i/>
          <w:iCs/>
          <w:strike w:val="0"/>
        </w:rPr>
        <w:t>Journal of Clinical Hypertension, 22</w:t>
      </w:r>
      <w:r w:rsidRPr="00797D9D">
        <w:rPr>
          <w:strike w:val="0"/>
        </w:rPr>
        <w:t>(8), 1428–1436. </w:t>
      </w:r>
      <w:hyperlink r:id="rId13" w:tgtFrame="_blank" w:history="1">
        <w:r w:rsidRPr="00797D9D">
          <w:rPr>
            <w:rStyle w:val="Hyperlink"/>
            <w:strike w:val="0"/>
            <w:color w:val="auto"/>
            <w:u w:val="none"/>
          </w:rPr>
          <w:t>https://onlinelibrary.wiley.com/journal/17517176</w:t>
        </w:r>
      </w:hyperlink>
    </w:p>
    <w:p w14:paraId="5073E4CA" w14:textId="5D1F33EA" w:rsidR="00057F85" w:rsidRPr="00797D9D" w:rsidRDefault="00057F85" w:rsidP="003B31BF">
      <w:pPr>
        <w:rPr>
          <w:strike w:val="0"/>
          <w:lang w:val="en-GB"/>
        </w:rPr>
      </w:pPr>
      <w:proofErr w:type="spellStart"/>
      <w:r w:rsidRPr="00797D9D">
        <w:rPr>
          <w:strike w:val="0"/>
        </w:rPr>
        <w:t>Ataklte</w:t>
      </w:r>
      <w:proofErr w:type="spellEnd"/>
      <w:r w:rsidRPr="00797D9D">
        <w:rPr>
          <w:strike w:val="0"/>
        </w:rPr>
        <w:t xml:space="preserve">, F., </w:t>
      </w:r>
      <w:proofErr w:type="spellStart"/>
      <w:r w:rsidRPr="00797D9D">
        <w:rPr>
          <w:strike w:val="0"/>
        </w:rPr>
        <w:t>Erqou</w:t>
      </w:r>
      <w:proofErr w:type="spellEnd"/>
      <w:r w:rsidRPr="00797D9D">
        <w:rPr>
          <w:strike w:val="0"/>
        </w:rPr>
        <w:t xml:space="preserve">, S., </w:t>
      </w:r>
      <w:proofErr w:type="spellStart"/>
      <w:r w:rsidRPr="00797D9D">
        <w:rPr>
          <w:strike w:val="0"/>
        </w:rPr>
        <w:t>Kaptoge</w:t>
      </w:r>
      <w:proofErr w:type="spellEnd"/>
      <w:r w:rsidRPr="00797D9D">
        <w:rPr>
          <w:strike w:val="0"/>
        </w:rPr>
        <w:t xml:space="preserve">, S., Taye, B., </w:t>
      </w:r>
      <w:proofErr w:type="spellStart"/>
      <w:r w:rsidRPr="00797D9D">
        <w:rPr>
          <w:strike w:val="0"/>
        </w:rPr>
        <w:t>Echouffo-Tcheugui</w:t>
      </w:r>
      <w:proofErr w:type="spellEnd"/>
      <w:r w:rsidRPr="00797D9D">
        <w:rPr>
          <w:strike w:val="0"/>
        </w:rPr>
        <w:t xml:space="preserve">, J. B., &amp; </w:t>
      </w:r>
      <w:proofErr w:type="spellStart"/>
      <w:r w:rsidRPr="00797D9D">
        <w:rPr>
          <w:strike w:val="0"/>
        </w:rPr>
        <w:t>Kengne</w:t>
      </w:r>
      <w:proofErr w:type="spellEnd"/>
      <w:r w:rsidRPr="00797D9D">
        <w:rPr>
          <w:strike w:val="0"/>
        </w:rPr>
        <w:t xml:space="preserve">, A. P. (2015). Burden of undiagnosed hypertension in </w:t>
      </w:r>
      <w:proofErr w:type="spellStart"/>
      <w:r w:rsidRPr="00797D9D">
        <w:rPr>
          <w:strike w:val="0"/>
        </w:rPr>
        <w:t>sub-saharan</w:t>
      </w:r>
      <w:proofErr w:type="spellEnd"/>
      <w:r w:rsidRPr="00797D9D">
        <w:rPr>
          <w:strike w:val="0"/>
        </w:rPr>
        <w:t xml:space="preserve"> Africa: a systematic review and meta-analysis. </w:t>
      </w:r>
      <w:r w:rsidRPr="00797D9D">
        <w:rPr>
          <w:i/>
          <w:iCs/>
          <w:strike w:val="0"/>
        </w:rPr>
        <w:t xml:space="preserve">Hypertension (Dallas, </w:t>
      </w:r>
      <w:proofErr w:type="gramStart"/>
      <w:r w:rsidRPr="00797D9D">
        <w:rPr>
          <w:i/>
          <w:iCs/>
          <w:strike w:val="0"/>
        </w:rPr>
        <w:t>Tex. :</w:t>
      </w:r>
      <w:proofErr w:type="gramEnd"/>
      <w:r w:rsidRPr="00797D9D">
        <w:rPr>
          <w:i/>
          <w:iCs/>
          <w:strike w:val="0"/>
        </w:rPr>
        <w:t xml:space="preserve"> 1979)</w:t>
      </w:r>
      <w:r w:rsidRPr="00797D9D">
        <w:rPr>
          <w:strike w:val="0"/>
        </w:rPr>
        <w:t>, </w:t>
      </w:r>
      <w:r w:rsidRPr="00797D9D">
        <w:rPr>
          <w:i/>
          <w:iCs/>
          <w:strike w:val="0"/>
        </w:rPr>
        <w:t>65</w:t>
      </w:r>
      <w:r w:rsidRPr="00797D9D">
        <w:rPr>
          <w:strike w:val="0"/>
        </w:rPr>
        <w:t>(2), 291–298. https://doi.org/10.1161/HYPERTENSIONAHA.114.04394</w:t>
      </w:r>
    </w:p>
    <w:p w14:paraId="3A25238D" w14:textId="77777777" w:rsidR="003B31BF" w:rsidRPr="00797D9D" w:rsidRDefault="003B31BF" w:rsidP="003B31BF">
      <w:pPr>
        <w:rPr>
          <w:strike w:val="0"/>
        </w:rPr>
      </w:pPr>
      <w:proofErr w:type="spellStart"/>
      <w:r w:rsidRPr="00797D9D">
        <w:rPr>
          <w:strike w:val="0"/>
        </w:rPr>
        <w:t>Bigna</w:t>
      </w:r>
      <w:proofErr w:type="spellEnd"/>
      <w:r w:rsidRPr="00797D9D">
        <w:rPr>
          <w:strike w:val="0"/>
        </w:rPr>
        <w:t xml:space="preserve">, J. J., &amp; </w:t>
      </w:r>
      <w:proofErr w:type="spellStart"/>
      <w:r w:rsidRPr="00797D9D">
        <w:rPr>
          <w:strike w:val="0"/>
        </w:rPr>
        <w:t>Noubiap</w:t>
      </w:r>
      <w:proofErr w:type="spellEnd"/>
      <w:r w:rsidRPr="00797D9D">
        <w:rPr>
          <w:strike w:val="0"/>
        </w:rPr>
        <w:t>, J. J. (2019). The rising burden of non-communicable diseases in sub-Saharan Africa. </w:t>
      </w:r>
      <w:r w:rsidRPr="00797D9D">
        <w:rPr>
          <w:i/>
          <w:iCs/>
          <w:strike w:val="0"/>
        </w:rPr>
        <w:t>The Lancet Global Health, 7</w:t>
      </w:r>
      <w:r w:rsidRPr="00797D9D">
        <w:rPr>
          <w:strike w:val="0"/>
        </w:rPr>
        <w:t>(10), e1295–e1296. </w:t>
      </w:r>
      <w:hyperlink r:id="rId14" w:tgtFrame="_blank" w:history="1">
        <w:r w:rsidRPr="00797D9D">
          <w:rPr>
            <w:rStyle w:val="Hyperlink"/>
            <w:strike w:val="0"/>
            <w:color w:val="auto"/>
            <w:u w:val="none"/>
          </w:rPr>
          <w:t>https://www.thelancet.com/journals/langlo/home</w:t>
        </w:r>
      </w:hyperlink>
    </w:p>
    <w:p w14:paraId="3DD1BA28" w14:textId="77777777" w:rsidR="003B31BF" w:rsidRPr="00797D9D" w:rsidRDefault="003B31BF" w:rsidP="003B31BF">
      <w:pPr>
        <w:rPr>
          <w:strike w:val="0"/>
        </w:rPr>
      </w:pPr>
      <w:proofErr w:type="spellStart"/>
      <w:r w:rsidRPr="00797D9D">
        <w:rPr>
          <w:strike w:val="0"/>
        </w:rPr>
        <w:t>Bosu</w:t>
      </w:r>
      <w:proofErr w:type="spellEnd"/>
      <w:r w:rsidRPr="00797D9D">
        <w:rPr>
          <w:strike w:val="0"/>
        </w:rPr>
        <w:t>, W. K. (2019). A comprehensive review of the epidemiology of hypertension in West Africa. </w:t>
      </w:r>
      <w:r w:rsidRPr="00797D9D">
        <w:rPr>
          <w:i/>
          <w:iCs/>
          <w:strike w:val="0"/>
        </w:rPr>
        <w:t>Journal of Global Health Reports, 3</w:t>
      </w:r>
      <w:r w:rsidRPr="00797D9D">
        <w:rPr>
          <w:strike w:val="0"/>
        </w:rPr>
        <w:t>, Article e2019028. </w:t>
      </w:r>
      <w:hyperlink r:id="rId15" w:tgtFrame="_blank" w:history="1">
        <w:r w:rsidRPr="00797D9D">
          <w:rPr>
            <w:rStyle w:val="Hyperlink"/>
            <w:strike w:val="0"/>
            <w:color w:val="auto"/>
            <w:u w:val="none"/>
          </w:rPr>
          <w:t>https://www.joghr.org/</w:t>
        </w:r>
      </w:hyperlink>
    </w:p>
    <w:p w14:paraId="31DF5385" w14:textId="77777777" w:rsidR="003B31BF" w:rsidRPr="00797D9D" w:rsidRDefault="003B31BF" w:rsidP="003B31BF">
      <w:pPr>
        <w:rPr>
          <w:strike w:val="0"/>
        </w:rPr>
      </w:pPr>
      <w:proofErr w:type="spellStart"/>
      <w:r w:rsidRPr="00797D9D">
        <w:rPr>
          <w:strike w:val="0"/>
        </w:rPr>
        <w:t>Bosu</w:t>
      </w:r>
      <w:proofErr w:type="spellEnd"/>
      <w:r w:rsidRPr="00797D9D">
        <w:rPr>
          <w:strike w:val="0"/>
        </w:rPr>
        <w:t xml:space="preserve">, W. K., &amp; </w:t>
      </w:r>
      <w:proofErr w:type="spellStart"/>
      <w:r w:rsidRPr="00797D9D">
        <w:rPr>
          <w:strike w:val="0"/>
        </w:rPr>
        <w:t>Aheto</w:t>
      </w:r>
      <w:proofErr w:type="spellEnd"/>
      <w:r w:rsidRPr="00797D9D">
        <w:rPr>
          <w:strike w:val="0"/>
        </w:rPr>
        <w:t>, J. M. (2021). Health system preparedness for hypertension management in West Africa. </w:t>
      </w:r>
      <w:r w:rsidRPr="00797D9D">
        <w:rPr>
          <w:i/>
          <w:iCs/>
          <w:strike w:val="0"/>
        </w:rPr>
        <w:t>Health Policy and Planning, 36</w:t>
      </w:r>
      <w:r w:rsidRPr="00797D9D">
        <w:rPr>
          <w:strike w:val="0"/>
        </w:rPr>
        <w:t>(5), 678–689. </w:t>
      </w:r>
      <w:hyperlink r:id="rId16" w:tgtFrame="_blank" w:history="1">
        <w:r w:rsidRPr="00797D9D">
          <w:rPr>
            <w:rStyle w:val="Hyperlink"/>
            <w:strike w:val="0"/>
            <w:color w:val="auto"/>
            <w:u w:val="none"/>
          </w:rPr>
          <w:t>https://academic.oup.com/heapol</w:t>
        </w:r>
      </w:hyperlink>
    </w:p>
    <w:p w14:paraId="5F93D7A0" w14:textId="77777777" w:rsidR="003B31BF" w:rsidRPr="00797D9D" w:rsidRDefault="003B31BF" w:rsidP="003B31BF">
      <w:pPr>
        <w:rPr>
          <w:strike w:val="0"/>
        </w:rPr>
      </w:pPr>
      <w:r w:rsidRPr="00797D9D">
        <w:rPr>
          <w:strike w:val="0"/>
        </w:rPr>
        <w:t>GBD 2021 Cardiovascular Diseases Collaborators. (2024). Global burden of cardiovascular diseases and risks, 1990-2021. </w:t>
      </w:r>
      <w:r w:rsidRPr="00797D9D">
        <w:rPr>
          <w:i/>
          <w:iCs/>
          <w:strike w:val="0"/>
        </w:rPr>
        <w:t>The Lancet, 403</w:t>
      </w:r>
      <w:r w:rsidRPr="00797D9D">
        <w:rPr>
          <w:strike w:val="0"/>
        </w:rPr>
        <w:t>(10432), 1135–1158. </w:t>
      </w:r>
      <w:hyperlink r:id="rId17" w:tgtFrame="_blank" w:history="1">
        <w:r w:rsidRPr="00797D9D">
          <w:rPr>
            <w:rStyle w:val="Hyperlink"/>
            <w:strike w:val="0"/>
            <w:color w:val="auto"/>
            <w:u w:val="none"/>
          </w:rPr>
          <w:t>https://www.thelancet.com/journals/lancet/article/PIIS0140-6736(24)00757-8/fulltext</w:t>
        </w:r>
      </w:hyperlink>
    </w:p>
    <w:p w14:paraId="45C40BD0" w14:textId="77777777" w:rsidR="003B31BF" w:rsidRPr="00797D9D" w:rsidRDefault="003B31BF" w:rsidP="003B31BF">
      <w:pPr>
        <w:rPr>
          <w:strike w:val="0"/>
        </w:rPr>
      </w:pPr>
      <w:proofErr w:type="spellStart"/>
      <w:r w:rsidRPr="00797D9D">
        <w:rPr>
          <w:strike w:val="0"/>
        </w:rPr>
        <w:t>Geldsetzer</w:t>
      </w:r>
      <w:proofErr w:type="spellEnd"/>
      <w:r w:rsidRPr="00797D9D">
        <w:rPr>
          <w:strike w:val="0"/>
        </w:rPr>
        <w:t>, P., Manne-</w:t>
      </w:r>
      <w:proofErr w:type="spellStart"/>
      <w:r w:rsidRPr="00797D9D">
        <w:rPr>
          <w:strike w:val="0"/>
        </w:rPr>
        <w:t>Goehler</w:t>
      </w:r>
      <w:proofErr w:type="spellEnd"/>
      <w:r w:rsidRPr="00797D9D">
        <w:rPr>
          <w:strike w:val="0"/>
        </w:rPr>
        <w:t xml:space="preserve">, J., &amp; </w:t>
      </w:r>
      <w:proofErr w:type="spellStart"/>
      <w:r w:rsidRPr="00797D9D">
        <w:rPr>
          <w:strike w:val="0"/>
        </w:rPr>
        <w:t>Theilmann</w:t>
      </w:r>
      <w:proofErr w:type="spellEnd"/>
      <w:r w:rsidRPr="00797D9D">
        <w:rPr>
          <w:strike w:val="0"/>
        </w:rPr>
        <w:t>, M. (2019). Diabetes and hypertension in sub-Saharan Africa: A multi-country analysis. </w:t>
      </w:r>
      <w:r w:rsidRPr="00797D9D">
        <w:rPr>
          <w:i/>
          <w:iCs/>
          <w:strike w:val="0"/>
        </w:rPr>
        <w:t>JAMA Internal Medicine, 179</w:t>
      </w:r>
      <w:r w:rsidRPr="00797D9D">
        <w:rPr>
          <w:strike w:val="0"/>
        </w:rPr>
        <w:t>(9), 1226–1234. </w:t>
      </w:r>
      <w:hyperlink r:id="rId18" w:tgtFrame="_blank" w:history="1">
        <w:r w:rsidRPr="00797D9D">
          <w:rPr>
            <w:rStyle w:val="Hyperlink"/>
            <w:strike w:val="0"/>
            <w:color w:val="auto"/>
            <w:u w:val="none"/>
          </w:rPr>
          <w:t>https://jamanetwork.com/journals/jamainternalmedicine</w:t>
        </w:r>
      </w:hyperlink>
    </w:p>
    <w:p w14:paraId="0D05F99E" w14:textId="77777777" w:rsidR="003B31BF" w:rsidRPr="00797D9D" w:rsidRDefault="003B31BF" w:rsidP="003B31BF">
      <w:pPr>
        <w:rPr>
          <w:strike w:val="0"/>
        </w:rPr>
      </w:pPr>
      <w:r w:rsidRPr="00797D9D">
        <w:rPr>
          <w:strike w:val="0"/>
        </w:rPr>
        <w:t xml:space="preserve">Huffman, M. D., </w:t>
      </w:r>
      <w:proofErr w:type="spellStart"/>
      <w:r w:rsidRPr="00797D9D">
        <w:rPr>
          <w:strike w:val="0"/>
        </w:rPr>
        <w:t>Jaacks</w:t>
      </w:r>
      <w:proofErr w:type="spellEnd"/>
      <w:r w:rsidRPr="00797D9D">
        <w:rPr>
          <w:strike w:val="0"/>
        </w:rPr>
        <w:t>, L. M., &amp; Narayan, K. M. V. (2021). The imperative for cardiovascular disease prevention in low- and middle-income countries. </w:t>
      </w:r>
      <w:r w:rsidRPr="00797D9D">
        <w:rPr>
          <w:i/>
          <w:iCs/>
          <w:strike w:val="0"/>
        </w:rPr>
        <w:t>Nature Reviews Cardiology, 18</w:t>
      </w:r>
      <w:r w:rsidRPr="00797D9D">
        <w:rPr>
          <w:strike w:val="0"/>
        </w:rPr>
        <w:t>(7), 489–500. </w:t>
      </w:r>
      <w:hyperlink r:id="rId19" w:tgtFrame="_blank" w:history="1">
        <w:r w:rsidRPr="00797D9D">
          <w:rPr>
            <w:rStyle w:val="Hyperlink"/>
            <w:strike w:val="0"/>
            <w:color w:val="auto"/>
            <w:u w:val="none"/>
          </w:rPr>
          <w:t>https://www.nature.com/nrcardio/</w:t>
        </w:r>
      </w:hyperlink>
    </w:p>
    <w:p w14:paraId="3945C7B7" w14:textId="77777777" w:rsidR="003B31BF" w:rsidRPr="00797D9D" w:rsidRDefault="003B31BF" w:rsidP="003B31BF">
      <w:pPr>
        <w:rPr>
          <w:strike w:val="0"/>
        </w:rPr>
      </w:pPr>
      <w:r w:rsidRPr="00797D9D">
        <w:rPr>
          <w:strike w:val="0"/>
        </w:rPr>
        <w:t>Manne-</w:t>
      </w:r>
      <w:proofErr w:type="spellStart"/>
      <w:r w:rsidRPr="00797D9D">
        <w:rPr>
          <w:strike w:val="0"/>
        </w:rPr>
        <w:t>Goehler</w:t>
      </w:r>
      <w:proofErr w:type="spellEnd"/>
      <w:r w:rsidRPr="00797D9D">
        <w:rPr>
          <w:strike w:val="0"/>
        </w:rPr>
        <w:t xml:space="preserve">, J., </w:t>
      </w:r>
      <w:proofErr w:type="spellStart"/>
      <w:r w:rsidRPr="00797D9D">
        <w:rPr>
          <w:strike w:val="0"/>
        </w:rPr>
        <w:t>Geldsetzer</w:t>
      </w:r>
      <w:proofErr w:type="spellEnd"/>
      <w:r w:rsidRPr="00797D9D">
        <w:rPr>
          <w:strike w:val="0"/>
        </w:rPr>
        <w:t xml:space="preserve">, P., &amp; </w:t>
      </w:r>
      <w:proofErr w:type="spellStart"/>
      <w:r w:rsidRPr="00797D9D">
        <w:rPr>
          <w:strike w:val="0"/>
        </w:rPr>
        <w:t>Agoudavi</w:t>
      </w:r>
      <w:proofErr w:type="spellEnd"/>
      <w:r w:rsidRPr="00797D9D">
        <w:rPr>
          <w:strike w:val="0"/>
        </w:rPr>
        <w:t>, K. (2019). Health system performance for people with diabetes in 28 low- and middle-income countries. </w:t>
      </w:r>
      <w:r w:rsidRPr="00797D9D">
        <w:rPr>
          <w:i/>
          <w:iCs/>
          <w:strike w:val="0"/>
        </w:rPr>
        <w:t>BMJ Global Health, 4</w:t>
      </w:r>
      <w:r w:rsidRPr="00797D9D">
        <w:rPr>
          <w:strike w:val="0"/>
        </w:rPr>
        <w:t>(3), Article e001381. </w:t>
      </w:r>
      <w:hyperlink r:id="rId20" w:tgtFrame="_blank" w:history="1">
        <w:r w:rsidRPr="00797D9D">
          <w:rPr>
            <w:rStyle w:val="Hyperlink"/>
            <w:strike w:val="0"/>
            <w:color w:val="auto"/>
            <w:u w:val="none"/>
          </w:rPr>
          <w:t>https://gh.bmj.com/</w:t>
        </w:r>
      </w:hyperlink>
    </w:p>
    <w:p w14:paraId="450B7C7D" w14:textId="77777777" w:rsidR="003B31BF" w:rsidRPr="00797D9D" w:rsidRDefault="003B31BF" w:rsidP="003B31BF">
      <w:pPr>
        <w:rPr>
          <w:strike w:val="0"/>
        </w:rPr>
      </w:pPr>
      <w:proofErr w:type="spellStart"/>
      <w:r w:rsidRPr="00797D9D">
        <w:rPr>
          <w:strike w:val="0"/>
        </w:rPr>
        <w:t>Musango</w:t>
      </w:r>
      <w:proofErr w:type="spellEnd"/>
      <w:r w:rsidRPr="00797D9D">
        <w:rPr>
          <w:strike w:val="0"/>
        </w:rPr>
        <w:t xml:space="preserve">, D. A., &amp; </w:t>
      </w:r>
      <w:proofErr w:type="spellStart"/>
      <w:r w:rsidRPr="00797D9D">
        <w:rPr>
          <w:strike w:val="0"/>
        </w:rPr>
        <w:t>Olufue</w:t>
      </w:r>
      <w:proofErr w:type="spellEnd"/>
      <w:r w:rsidRPr="00797D9D">
        <w:rPr>
          <w:strike w:val="0"/>
        </w:rPr>
        <w:t>, G. (2024). Prevalence of hypertension in a rural community in the Federal Capital Territory Abuja (</w:t>
      </w:r>
      <w:proofErr w:type="spellStart"/>
      <w:r w:rsidRPr="00797D9D">
        <w:rPr>
          <w:strike w:val="0"/>
        </w:rPr>
        <w:t>Gbessa</w:t>
      </w:r>
      <w:proofErr w:type="spellEnd"/>
      <w:r w:rsidRPr="00797D9D">
        <w:rPr>
          <w:strike w:val="0"/>
        </w:rPr>
        <w:t>) North Central Nigeria. </w:t>
      </w:r>
      <w:r w:rsidRPr="00797D9D">
        <w:rPr>
          <w:i/>
          <w:iCs/>
          <w:strike w:val="0"/>
        </w:rPr>
        <w:t>Journal of Hypertension, 42</w:t>
      </w:r>
      <w:r w:rsidRPr="00797D9D">
        <w:rPr>
          <w:strike w:val="0"/>
        </w:rPr>
        <w:t>(Suppl 3), e109. </w:t>
      </w:r>
      <w:hyperlink r:id="rId21" w:tgtFrame="_blank" w:history="1">
        <w:r w:rsidRPr="00797D9D">
          <w:rPr>
            <w:rStyle w:val="Hyperlink"/>
            <w:strike w:val="0"/>
            <w:color w:val="auto"/>
            <w:u w:val="none"/>
          </w:rPr>
          <w:t>https://journals.lww.com/jhypertension/pages/default.aspx</w:t>
        </w:r>
      </w:hyperlink>
    </w:p>
    <w:p w14:paraId="64B3AC69" w14:textId="5E91E1FD" w:rsidR="003B31BF" w:rsidRPr="00797D9D" w:rsidRDefault="003B31BF" w:rsidP="003B31BF">
      <w:pPr>
        <w:rPr>
          <w:strike w:val="0"/>
        </w:rPr>
      </w:pPr>
      <w:r w:rsidRPr="00797D9D">
        <w:rPr>
          <w:strike w:val="0"/>
        </w:rPr>
        <w:t>National Population Commission. (2023). Nigeria's population projections 2020-2035. </w:t>
      </w:r>
      <w:hyperlink r:id="rId22" w:tgtFrame="_blank" w:history="1">
        <w:r w:rsidRPr="00797D9D">
          <w:rPr>
            <w:rStyle w:val="Hyperlink"/>
            <w:strike w:val="0"/>
            <w:color w:val="auto"/>
            <w:u w:val="none"/>
          </w:rPr>
          <w:t>https://nationalpopulation.gov.ng/publications/</w:t>
        </w:r>
      </w:hyperlink>
    </w:p>
    <w:p w14:paraId="5BEA32A7" w14:textId="07ADA8E1" w:rsidR="003B31BF" w:rsidRPr="00797D9D" w:rsidRDefault="003B31BF" w:rsidP="003B31BF">
      <w:pPr>
        <w:rPr>
          <w:strike w:val="0"/>
        </w:rPr>
      </w:pPr>
      <w:r w:rsidRPr="00797D9D">
        <w:rPr>
          <w:strike w:val="0"/>
        </w:rPr>
        <w:t>National Population Commission. (2024). </w:t>
      </w:r>
      <w:r w:rsidRPr="00797D9D">
        <w:rPr>
          <w:i/>
          <w:iCs/>
          <w:strike w:val="0"/>
        </w:rPr>
        <w:t>Rivers State demographic statistics 2024</w:t>
      </w:r>
      <w:r w:rsidR="00057F85" w:rsidRPr="00797D9D">
        <w:rPr>
          <w:strike w:val="0"/>
          <w:lang w:val="en-GB"/>
        </w:rPr>
        <w:t xml:space="preserve">. </w:t>
      </w:r>
      <w:r w:rsidRPr="00797D9D">
        <w:rPr>
          <w:strike w:val="0"/>
        </w:rPr>
        <w:t>Rivers State Office.</w:t>
      </w:r>
    </w:p>
    <w:p w14:paraId="42A609D5" w14:textId="70D0C68A" w:rsidR="003B31BF" w:rsidRPr="00797D9D" w:rsidRDefault="003B31BF" w:rsidP="003B31BF">
      <w:pPr>
        <w:rPr>
          <w:strike w:val="0"/>
        </w:rPr>
      </w:pPr>
      <w:r w:rsidRPr="00797D9D">
        <w:rPr>
          <w:strike w:val="0"/>
        </w:rPr>
        <w:t>NCD Countdown 2030 Collaborators. (2020). NCD Countdown 2030: Pathways to achieving Sustainable Development Goal target 3.4. </w:t>
      </w:r>
      <w:r w:rsidRPr="00797D9D">
        <w:rPr>
          <w:i/>
          <w:iCs/>
          <w:strike w:val="0"/>
        </w:rPr>
        <w:t>The Lancet, 396</w:t>
      </w:r>
      <w:r w:rsidRPr="00797D9D">
        <w:rPr>
          <w:strike w:val="0"/>
        </w:rPr>
        <w:t>(10255), 918–934. </w:t>
      </w:r>
      <w:hyperlink r:id="rId23" w:tgtFrame="_blank" w:history="1">
        <w:r w:rsidRPr="00797D9D">
          <w:rPr>
            <w:rStyle w:val="Hyperlink"/>
            <w:strike w:val="0"/>
            <w:color w:val="auto"/>
            <w:u w:val="none"/>
          </w:rPr>
          <w:t>https://www.thelancet.com/journals/lancet/article/PIIS0140-6736(20)31761-X/fulltext</w:t>
        </w:r>
      </w:hyperlink>
    </w:p>
    <w:p w14:paraId="4E70E87C" w14:textId="6B768890" w:rsidR="00F97617" w:rsidRPr="00797D9D" w:rsidRDefault="00F97617" w:rsidP="003B31BF">
      <w:pPr>
        <w:rPr>
          <w:strike w:val="0"/>
          <w:lang w:val="en-GB"/>
        </w:rPr>
      </w:pPr>
      <w:r w:rsidRPr="00797D9D">
        <w:rPr>
          <w:strike w:val="0"/>
        </w:rPr>
        <w:t>NCD Risk Factor Collaboration</w:t>
      </w:r>
      <w:r w:rsidRPr="00797D9D">
        <w:rPr>
          <w:strike w:val="0"/>
          <w:lang w:val="en-GB"/>
        </w:rPr>
        <w:t xml:space="preserve"> (</w:t>
      </w:r>
      <w:r w:rsidRPr="00797D9D">
        <w:rPr>
          <w:strike w:val="0"/>
        </w:rPr>
        <w:t>NCD-</w:t>
      </w:r>
      <w:proofErr w:type="spellStart"/>
      <w:r w:rsidRPr="00797D9D">
        <w:rPr>
          <w:strike w:val="0"/>
        </w:rPr>
        <w:t>RisC</w:t>
      </w:r>
      <w:proofErr w:type="spellEnd"/>
      <w:r w:rsidRPr="00797D9D">
        <w:rPr>
          <w:strike w:val="0"/>
        </w:rPr>
        <w:t>), Zhou, B., Carrillo-</w:t>
      </w:r>
      <w:proofErr w:type="spellStart"/>
      <w:r w:rsidRPr="00797D9D">
        <w:rPr>
          <w:strike w:val="0"/>
        </w:rPr>
        <w:t>Larco</w:t>
      </w:r>
      <w:proofErr w:type="spellEnd"/>
      <w:r w:rsidRPr="00797D9D">
        <w:rPr>
          <w:strike w:val="0"/>
        </w:rPr>
        <w:t xml:space="preserve">, R. M., </w:t>
      </w:r>
      <w:proofErr w:type="spellStart"/>
      <w:r w:rsidRPr="00797D9D">
        <w:rPr>
          <w:strike w:val="0"/>
        </w:rPr>
        <w:t>Danaei</w:t>
      </w:r>
      <w:proofErr w:type="spellEnd"/>
      <w:r w:rsidRPr="00797D9D">
        <w:rPr>
          <w:strike w:val="0"/>
        </w:rPr>
        <w:t xml:space="preserve">, G., Eriksson, J. G., </w:t>
      </w:r>
      <w:proofErr w:type="spellStart"/>
      <w:r w:rsidRPr="00797D9D">
        <w:rPr>
          <w:strike w:val="0"/>
        </w:rPr>
        <w:t>Herrala</w:t>
      </w:r>
      <w:proofErr w:type="spellEnd"/>
      <w:r w:rsidRPr="00797D9D">
        <w:rPr>
          <w:strike w:val="0"/>
        </w:rPr>
        <w:t xml:space="preserve">, S., </w:t>
      </w:r>
      <w:proofErr w:type="spellStart"/>
      <w:r w:rsidRPr="00797D9D">
        <w:rPr>
          <w:strike w:val="0"/>
        </w:rPr>
        <w:t>Kauhanen</w:t>
      </w:r>
      <w:proofErr w:type="spellEnd"/>
      <w:r w:rsidRPr="00797D9D">
        <w:rPr>
          <w:strike w:val="0"/>
        </w:rPr>
        <w:t xml:space="preserve">, J., Shiri, R., &amp; </w:t>
      </w:r>
      <w:proofErr w:type="spellStart"/>
      <w:r w:rsidRPr="00797D9D">
        <w:rPr>
          <w:strike w:val="0"/>
        </w:rPr>
        <w:t>Tuomilehto</w:t>
      </w:r>
      <w:proofErr w:type="spellEnd"/>
      <w:r w:rsidRPr="00797D9D">
        <w:rPr>
          <w:strike w:val="0"/>
        </w:rPr>
        <w:t xml:space="preserve">, J. (2021). Worldwide </w:t>
      </w:r>
      <w:r w:rsidRPr="00797D9D">
        <w:rPr>
          <w:strike w:val="0"/>
        </w:rPr>
        <w:lastRenderedPageBreak/>
        <w:t>trends in hypertension prevalence and progress in treatment and control from 1990 to 2019: a pooled analysis of 1201 population-representative studies with 104 million participants. </w:t>
      </w:r>
      <w:r w:rsidRPr="00797D9D">
        <w:rPr>
          <w:i/>
          <w:iCs/>
          <w:strike w:val="0"/>
        </w:rPr>
        <w:t>Lancet</w:t>
      </w:r>
      <w:r w:rsidRPr="00797D9D">
        <w:rPr>
          <w:strike w:val="0"/>
        </w:rPr>
        <w:t>, </w:t>
      </w:r>
      <w:r w:rsidRPr="00797D9D">
        <w:rPr>
          <w:i/>
          <w:iCs/>
          <w:strike w:val="0"/>
        </w:rPr>
        <w:t>398</w:t>
      </w:r>
      <w:r w:rsidRPr="00797D9D">
        <w:rPr>
          <w:strike w:val="0"/>
        </w:rPr>
        <w:t>(10304), 957-980. https://doi.org/10.1016/S0140-6736(21)01330-1</w:t>
      </w:r>
      <w:r w:rsidRPr="00797D9D">
        <w:rPr>
          <w:strike w:val="0"/>
          <w:lang w:val="en-GB"/>
        </w:rPr>
        <w:t>.</w:t>
      </w:r>
    </w:p>
    <w:p w14:paraId="76D4100F" w14:textId="621EB0C9" w:rsidR="003B31BF" w:rsidRPr="00797D9D" w:rsidRDefault="003B31BF" w:rsidP="003B31BF">
      <w:pPr>
        <w:rPr>
          <w:strike w:val="0"/>
        </w:rPr>
      </w:pPr>
      <w:r w:rsidRPr="00797D9D">
        <w:rPr>
          <w:strike w:val="0"/>
        </w:rPr>
        <w:t>Nigerian National Petroleum Corporation. (2022). </w:t>
      </w:r>
      <w:r w:rsidRPr="00797D9D">
        <w:rPr>
          <w:i/>
          <w:iCs/>
          <w:strike w:val="0"/>
        </w:rPr>
        <w:t>Oil and gas industry impact on urban development in the Niger Delta</w:t>
      </w:r>
      <w:r w:rsidRPr="00797D9D">
        <w:rPr>
          <w:strike w:val="0"/>
        </w:rPr>
        <w:t>. NNPC Corporate Planning Department.</w:t>
      </w:r>
    </w:p>
    <w:p w14:paraId="40790DEE" w14:textId="77777777" w:rsidR="003B31BF" w:rsidRPr="00797D9D" w:rsidRDefault="003B31BF" w:rsidP="003B31BF">
      <w:pPr>
        <w:rPr>
          <w:strike w:val="0"/>
        </w:rPr>
      </w:pPr>
      <w:proofErr w:type="spellStart"/>
      <w:r w:rsidRPr="00797D9D">
        <w:rPr>
          <w:strike w:val="0"/>
        </w:rPr>
        <w:t>Odili</w:t>
      </w:r>
      <w:proofErr w:type="spellEnd"/>
      <w:r w:rsidRPr="00797D9D">
        <w:rPr>
          <w:strike w:val="0"/>
        </w:rPr>
        <w:t xml:space="preserve">, A. N., </w:t>
      </w:r>
      <w:proofErr w:type="spellStart"/>
      <w:r w:rsidRPr="00797D9D">
        <w:rPr>
          <w:strike w:val="0"/>
        </w:rPr>
        <w:t>Chori</w:t>
      </w:r>
      <w:proofErr w:type="spellEnd"/>
      <w:r w:rsidRPr="00797D9D">
        <w:rPr>
          <w:strike w:val="0"/>
        </w:rPr>
        <w:t xml:space="preserve">, B. S., &amp; </w:t>
      </w:r>
      <w:proofErr w:type="spellStart"/>
      <w:r w:rsidRPr="00797D9D">
        <w:rPr>
          <w:strike w:val="0"/>
        </w:rPr>
        <w:t>Danladi</w:t>
      </w:r>
      <w:proofErr w:type="spellEnd"/>
      <w:r w:rsidRPr="00797D9D">
        <w:rPr>
          <w:strike w:val="0"/>
        </w:rPr>
        <w:t>, B. (2020). Prevalence, awareness, treatment, and control of hypertension in Nigeria: A nationally representative cross-sectional study. </w:t>
      </w:r>
      <w:r w:rsidRPr="00797D9D">
        <w:rPr>
          <w:i/>
          <w:iCs/>
          <w:strike w:val="0"/>
        </w:rPr>
        <w:t>BMJ Global Health, 5</w:t>
      </w:r>
      <w:r w:rsidRPr="00797D9D">
        <w:rPr>
          <w:strike w:val="0"/>
        </w:rPr>
        <w:t>(8), Article e002440. </w:t>
      </w:r>
      <w:hyperlink r:id="rId24" w:tgtFrame="_blank" w:history="1">
        <w:r w:rsidRPr="00797D9D">
          <w:rPr>
            <w:rStyle w:val="Hyperlink"/>
            <w:strike w:val="0"/>
            <w:color w:val="auto"/>
            <w:u w:val="none"/>
          </w:rPr>
          <w:t>https://gh.bmj.com/content/5/8/e002440</w:t>
        </w:r>
      </w:hyperlink>
    </w:p>
    <w:p w14:paraId="7F182E50" w14:textId="77777777" w:rsidR="003B31BF" w:rsidRPr="00797D9D" w:rsidRDefault="003B31BF" w:rsidP="003B31BF">
      <w:pPr>
        <w:rPr>
          <w:strike w:val="0"/>
        </w:rPr>
      </w:pPr>
      <w:proofErr w:type="spellStart"/>
      <w:r w:rsidRPr="00797D9D">
        <w:rPr>
          <w:strike w:val="0"/>
        </w:rPr>
        <w:t>Ogan</w:t>
      </w:r>
      <w:proofErr w:type="spellEnd"/>
      <w:r w:rsidRPr="00797D9D">
        <w:rPr>
          <w:strike w:val="0"/>
        </w:rPr>
        <w:t xml:space="preserve">, O. S., Nwachukwu, N. C., &amp; Nwankwo, E. A. (2021). Prevalence and determinants of hypertension in </w:t>
      </w:r>
      <w:proofErr w:type="spellStart"/>
      <w:r w:rsidRPr="00797D9D">
        <w:rPr>
          <w:strike w:val="0"/>
        </w:rPr>
        <w:t>Obio-Akpor</w:t>
      </w:r>
      <w:proofErr w:type="spellEnd"/>
      <w:r w:rsidRPr="00797D9D">
        <w:rPr>
          <w:strike w:val="0"/>
        </w:rPr>
        <w:t xml:space="preserve"> Local Government Area, Rivers State, Nigeria. </w:t>
      </w:r>
      <w:r w:rsidRPr="00797D9D">
        <w:rPr>
          <w:i/>
          <w:iCs/>
          <w:strike w:val="0"/>
        </w:rPr>
        <w:t>Nigerian Journal of Medicine, 30</w:t>
      </w:r>
      <w:r w:rsidRPr="00797D9D">
        <w:rPr>
          <w:strike w:val="0"/>
        </w:rPr>
        <w:t>(4), 378–386. </w:t>
      </w:r>
      <w:hyperlink r:id="rId25" w:tgtFrame="_blank" w:history="1">
        <w:r w:rsidRPr="00797D9D">
          <w:rPr>
            <w:rStyle w:val="Hyperlink"/>
            <w:strike w:val="0"/>
            <w:color w:val="auto"/>
            <w:u w:val="none"/>
          </w:rPr>
          <w:t>https://journals.lww.com/njom/pages/default.aspx</w:t>
        </w:r>
      </w:hyperlink>
    </w:p>
    <w:p w14:paraId="3CFD42AE" w14:textId="36926691" w:rsidR="004423CC" w:rsidRPr="00797D9D" w:rsidRDefault="004423CC" w:rsidP="003B31BF">
      <w:pPr>
        <w:rPr>
          <w:strike w:val="0"/>
        </w:rPr>
      </w:pPr>
      <w:proofErr w:type="spellStart"/>
      <w:r w:rsidRPr="00797D9D">
        <w:rPr>
          <w:strike w:val="0"/>
        </w:rPr>
        <w:t>Ogunniyi</w:t>
      </w:r>
      <w:proofErr w:type="spellEnd"/>
      <w:r w:rsidRPr="00797D9D">
        <w:rPr>
          <w:strike w:val="0"/>
        </w:rPr>
        <w:t>, A., Owolabi, M. O., &amp; Akinyemi, R. O. (2021). Hypertension as a risk factor for stroke in Port Harcourt, Nigeria: A hospital-based study. </w:t>
      </w:r>
      <w:r w:rsidRPr="00797D9D">
        <w:rPr>
          <w:i/>
          <w:iCs/>
          <w:strike w:val="0"/>
        </w:rPr>
        <w:t>Journal of Stroke and Cerebrovascular Diseases, 30</w:t>
      </w:r>
      <w:r w:rsidRPr="00797D9D">
        <w:rPr>
          <w:strike w:val="0"/>
        </w:rPr>
        <w:t>(3), 105567. </w:t>
      </w:r>
      <w:hyperlink r:id="rId26" w:tgtFrame="_blank" w:history="1">
        <w:r w:rsidRPr="00797D9D">
          <w:rPr>
            <w:rStyle w:val="Hyperlink"/>
            <w:strike w:val="0"/>
            <w:color w:val="auto"/>
            <w:u w:val="none"/>
          </w:rPr>
          <w:t>https://www.jstroke.org/</w:t>
        </w:r>
      </w:hyperlink>
    </w:p>
    <w:p w14:paraId="1B8ECD5A" w14:textId="1C06692A" w:rsidR="003B31BF" w:rsidRPr="00797D9D" w:rsidRDefault="003B31BF" w:rsidP="003B31BF">
      <w:pPr>
        <w:rPr>
          <w:strike w:val="0"/>
        </w:rPr>
      </w:pPr>
      <w:proofErr w:type="spellStart"/>
      <w:r w:rsidRPr="00797D9D">
        <w:rPr>
          <w:strike w:val="0"/>
        </w:rPr>
        <w:t>Okekunle</w:t>
      </w:r>
      <w:proofErr w:type="spellEnd"/>
      <w:r w:rsidRPr="00797D9D">
        <w:rPr>
          <w:strike w:val="0"/>
        </w:rPr>
        <w:t xml:space="preserve">, A. P., </w:t>
      </w:r>
      <w:proofErr w:type="spellStart"/>
      <w:r w:rsidRPr="00797D9D">
        <w:rPr>
          <w:strike w:val="0"/>
        </w:rPr>
        <w:t>Asowata</w:t>
      </w:r>
      <w:proofErr w:type="spellEnd"/>
      <w:r w:rsidRPr="00797D9D">
        <w:rPr>
          <w:strike w:val="0"/>
        </w:rPr>
        <w:t xml:space="preserve">, O. J., &amp; </w:t>
      </w:r>
      <w:proofErr w:type="spellStart"/>
      <w:r w:rsidRPr="00797D9D">
        <w:rPr>
          <w:strike w:val="0"/>
        </w:rPr>
        <w:t>Fasamnade</w:t>
      </w:r>
      <w:proofErr w:type="spellEnd"/>
      <w:r w:rsidRPr="00797D9D">
        <w:rPr>
          <w:strike w:val="0"/>
        </w:rPr>
        <w:t>, O. A. (2020). Hypertension and prehypertension in three local government areas of Lagos State, Nigeria. </w:t>
      </w:r>
      <w:r w:rsidRPr="00797D9D">
        <w:rPr>
          <w:i/>
          <w:iCs/>
          <w:strike w:val="0"/>
        </w:rPr>
        <w:t>Journal of Hypertension, 38</w:t>
      </w:r>
      <w:r w:rsidRPr="00797D9D">
        <w:rPr>
          <w:strike w:val="0"/>
        </w:rPr>
        <w:t>(2), 289–296. </w:t>
      </w:r>
      <w:hyperlink r:id="rId27" w:tgtFrame="_blank" w:history="1">
        <w:r w:rsidRPr="00797D9D">
          <w:rPr>
            <w:rStyle w:val="Hyperlink"/>
            <w:strike w:val="0"/>
            <w:color w:val="auto"/>
            <w:u w:val="none"/>
          </w:rPr>
          <w:t>https://journals.lww.com/jhypertension/pages/default.aspx</w:t>
        </w:r>
      </w:hyperlink>
    </w:p>
    <w:p w14:paraId="5068AD4B" w14:textId="67371A62" w:rsidR="003B31BF" w:rsidRPr="00797D9D" w:rsidRDefault="003B31BF" w:rsidP="003B31BF">
      <w:pPr>
        <w:rPr>
          <w:strike w:val="0"/>
        </w:rPr>
      </w:pPr>
      <w:r w:rsidRPr="00797D9D">
        <w:rPr>
          <w:strike w:val="0"/>
        </w:rPr>
        <w:t>Rivers State Ministry of Information. (2023). </w:t>
      </w:r>
      <w:r w:rsidRPr="00797D9D">
        <w:rPr>
          <w:i/>
          <w:iCs/>
          <w:strike w:val="0"/>
        </w:rPr>
        <w:t>Rivers State: A profile of people and culture</w:t>
      </w:r>
      <w:r w:rsidRPr="00797D9D">
        <w:rPr>
          <w:strike w:val="0"/>
        </w:rPr>
        <w:t>. Rivers State Government Press.</w:t>
      </w:r>
    </w:p>
    <w:p w14:paraId="5ACCE78B" w14:textId="77777777" w:rsidR="003B31BF" w:rsidRPr="00797D9D" w:rsidRDefault="003B31BF" w:rsidP="003B31BF">
      <w:pPr>
        <w:rPr>
          <w:strike w:val="0"/>
        </w:rPr>
      </w:pPr>
      <w:proofErr w:type="spellStart"/>
      <w:r w:rsidRPr="00797D9D">
        <w:rPr>
          <w:strike w:val="0"/>
        </w:rPr>
        <w:t>Wokoma</w:t>
      </w:r>
      <w:proofErr w:type="spellEnd"/>
      <w:r w:rsidRPr="00797D9D">
        <w:rPr>
          <w:strike w:val="0"/>
        </w:rPr>
        <w:t xml:space="preserve">, F. S., </w:t>
      </w:r>
      <w:proofErr w:type="spellStart"/>
      <w:r w:rsidRPr="00797D9D">
        <w:rPr>
          <w:strike w:val="0"/>
        </w:rPr>
        <w:t>Alasia</w:t>
      </w:r>
      <w:proofErr w:type="spellEnd"/>
      <w:r w:rsidRPr="00797D9D">
        <w:rPr>
          <w:strike w:val="0"/>
        </w:rPr>
        <w:t xml:space="preserve">, D. D., &amp; </w:t>
      </w:r>
      <w:proofErr w:type="spellStart"/>
      <w:r w:rsidRPr="00797D9D">
        <w:rPr>
          <w:strike w:val="0"/>
        </w:rPr>
        <w:t>Bellgam</w:t>
      </w:r>
      <w:proofErr w:type="spellEnd"/>
      <w:r w:rsidRPr="00797D9D">
        <w:rPr>
          <w:strike w:val="0"/>
        </w:rPr>
        <w:t>, H. (2022). Hypertension and cardiovascular risk factor clustering among civil servants in Port Harcourt, Nigeria. </w:t>
      </w:r>
      <w:r w:rsidRPr="00797D9D">
        <w:rPr>
          <w:i/>
          <w:iCs/>
          <w:strike w:val="0"/>
        </w:rPr>
        <w:t>Journal of Public Health in Africa, 13</w:t>
      </w:r>
      <w:r w:rsidRPr="00797D9D">
        <w:rPr>
          <w:strike w:val="0"/>
        </w:rPr>
        <w:t>(1), Article 1895. </w:t>
      </w:r>
      <w:hyperlink r:id="rId28" w:tgtFrame="_blank" w:history="1">
        <w:r w:rsidRPr="00797D9D">
          <w:rPr>
            <w:rStyle w:val="Hyperlink"/>
            <w:strike w:val="0"/>
            <w:color w:val="auto"/>
            <w:u w:val="none"/>
          </w:rPr>
          <w:t>https://publichealthinafrica.org/index.php/jphia</w:t>
        </w:r>
      </w:hyperlink>
    </w:p>
    <w:p w14:paraId="01DB9C69" w14:textId="58F96E7F" w:rsidR="003B31BF" w:rsidRPr="00797D9D" w:rsidRDefault="003B31BF" w:rsidP="003B31BF">
      <w:pPr>
        <w:rPr>
          <w:strike w:val="0"/>
        </w:rPr>
      </w:pPr>
      <w:r w:rsidRPr="00797D9D">
        <w:rPr>
          <w:strike w:val="0"/>
        </w:rPr>
        <w:t>World Health Organization. (2022). Non-communicable diseases progress monitor 2022. </w:t>
      </w:r>
      <w:hyperlink r:id="rId29" w:tgtFrame="_blank" w:history="1">
        <w:r w:rsidRPr="00797D9D">
          <w:rPr>
            <w:rStyle w:val="Hyperlink"/>
            <w:strike w:val="0"/>
            <w:color w:val="auto"/>
            <w:u w:val="none"/>
          </w:rPr>
          <w:t>https://www.who.int/publications/i/item/9789240047761</w:t>
        </w:r>
      </w:hyperlink>
    </w:p>
    <w:p w14:paraId="610C249C" w14:textId="77777777" w:rsidR="003B31BF" w:rsidRPr="00797D9D" w:rsidRDefault="003B31BF" w:rsidP="003B31BF">
      <w:pPr>
        <w:rPr>
          <w:strike w:val="0"/>
        </w:rPr>
      </w:pPr>
      <w:r w:rsidRPr="00797D9D">
        <w:rPr>
          <w:strike w:val="0"/>
        </w:rPr>
        <w:t>World Health Organization. (2023). </w:t>
      </w:r>
      <w:r w:rsidRPr="00797D9D">
        <w:rPr>
          <w:i/>
          <w:iCs/>
          <w:strike w:val="0"/>
        </w:rPr>
        <w:t>Global report on hypertension: The race against a silent killer</w:t>
      </w:r>
      <w:r w:rsidRPr="00797D9D">
        <w:rPr>
          <w:strike w:val="0"/>
        </w:rPr>
        <w:t>. </w:t>
      </w:r>
      <w:hyperlink r:id="rId30" w:tgtFrame="_blank" w:history="1">
        <w:r w:rsidRPr="00797D9D">
          <w:rPr>
            <w:rStyle w:val="Hyperlink"/>
            <w:strike w:val="0"/>
            <w:color w:val="auto"/>
            <w:u w:val="none"/>
          </w:rPr>
          <w:t>https://www.who.int/publications/i/item/9789240081062</w:t>
        </w:r>
      </w:hyperlink>
    </w:p>
    <w:p w14:paraId="407B801F" w14:textId="6A22A83F" w:rsidR="00962512" w:rsidRPr="00797D9D" w:rsidRDefault="00962512" w:rsidP="00C74408">
      <w:pPr>
        <w:rPr>
          <w:strike w:val="0"/>
        </w:rPr>
      </w:pPr>
    </w:p>
    <w:p w14:paraId="25875750" w14:textId="2A1F32E3" w:rsidR="00306D6D" w:rsidRPr="00DB046B" w:rsidRDefault="00306D6D" w:rsidP="00C74408">
      <w:pPr>
        <w:rPr>
          <w:strike w:val="0"/>
        </w:rPr>
      </w:pPr>
    </w:p>
    <w:p w14:paraId="7D5BB42D" w14:textId="685CBB19" w:rsidR="00306D6D" w:rsidRPr="00DB046B" w:rsidRDefault="00306D6D" w:rsidP="00C74408">
      <w:pPr>
        <w:rPr>
          <w:strike w:val="0"/>
        </w:rPr>
      </w:pPr>
    </w:p>
    <w:sectPr w:rsidR="00306D6D" w:rsidRPr="00DB046B" w:rsidSect="00060447">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14D4D5" w14:textId="77777777" w:rsidR="00B00DF1" w:rsidRDefault="00B00DF1" w:rsidP="00DB046B">
      <w:pPr>
        <w:spacing w:after="0" w:line="240" w:lineRule="auto"/>
      </w:pPr>
      <w:r>
        <w:separator/>
      </w:r>
    </w:p>
  </w:endnote>
  <w:endnote w:type="continuationSeparator" w:id="0">
    <w:p w14:paraId="4930EC29" w14:textId="77777777" w:rsidR="00B00DF1" w:rsidRDefault="00B00DF1" w:rsidP="00DB0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0E4F9" w14:textId="77777777" w:rsidR="00F33991" w:rsidRDefault="00F339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767831"/>
      <w:docPartObj>
        <w:docPartGallery w:val="Page Numbers (Bottom of Page)"/>
        <w:docPartUnique/>
      </w:docPartObj>
    </w:sdtPr>
    <w:sdtEndPr>
      <w:rPr>
        <w:strike w:val="0"/>
        <w:noProof/>
      </w:rPr>
    </w:sdtEndPr>
    <w:sdtContent>
      <w:p w14:paraId="45F301CB" w14:textId="79B05A01" w:rsidR="00DB046B" w:rsidRPr="00DB046B" w:rsidRDefault="00DB046B">
        <w:pPr>
          <w:pStyle w:val="Footer"/>
          <w:jc w:val="center"/>
          <w:rPr>
            <w:strike w:val="0"/>
          </w:rPr>
        </w:pPr>
        <w:r w:rsidRPr="00DB046B">
          <w:rPr>
            <w:strike w:val="0"/>
          </w:rPr>
          <w:fldChar w:fldCharType="begin"/>
        </w:r>
        <w:r w:rsidRPr="00DB046B">
          <w:rPr>
            <w:strike w:val="0"/>
          </w:rPr>
          <w:instrText xml:space="preserve"> PAGE   \* MERGEFORMAT </w:instrText>
        </w:r>
        <w:r w:rsidRPr="00DB046B">
          <w:rPr>
            <w:strike w:val="0"/>
          </w:rPr>
          <w:fldChar w:fldCharType="separate"/>
        </w:r>
        <w:r w:rsidRPr="00DB046B">
          <w:rPr>
            <w:strike w:val="0"/>
            <w:noProof/>
          </w:rPr>
          <w:t>2</w:t>
        </w:r>
        <w:r w:rsidRPr="00DB046B">
          <w:rPr>
            <w:strike w:val="0"/>
            <w:noProof/>
          </w:rPr>
          <w:fldChar w:fldCharType="end"/>
        </w:r>
      </w:p>
    </w:sdtContent>
  </w:sdt>
  <w:p w14:paraId="18424FD0" w14:textId="77777777" w:rsidR="00DB046B" w:rsidRDefault="00DB0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AE18D" w14:textId="77777777" w:rsidR="00F33991" w:rsidRDefault="00F339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DAB17" w14:textId="77777777" w:rsidR="00B00DF1" w:rsidRDefault="00B00DF1" w:rsidP="00DB046B">
      <w:pPr>
        <w:spacing w:after="0" w:line="240" w:lineRule="auto"/>
      </w:pPr>
      <w:r>
        <w:separator/>
      </w:r>
    </w:p>
  </w:footnote>
  <w:footnote w:type="continuationSeparator" w:id="0">
    <w:p w14:paraId="4E1A89E1" w14:textId="77777777" w:rsidR="00B00DF1" w:rsidRDefault="00B00DF1" w:rsidP="00DB04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ACBC1" w14:textId="70F2D4EE" w:rsidR="00F33991" w:rsidRDefault="00F33991">
    <w:pPr>
      <w:pStyle w:val="Header"/>
    </w:pPr>
    <w:r>
      <w:rPr>
        <w:noProof/>
      </w:rPr>
      <w:pict w14:anchorId="072351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787469"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CA961" w14:textId="5649B645" w:rsidR="00F33991" w:rsidRDefault="00F33991">
    <w:pPr>
      <w:pStyle w:val="Header"/>
    </w:pPr>
    <w:r>
      <w:rPr>
        <w:noProof/>
      </w:rPr>
      <w:pict w14:anchorId="2D0FE8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787470"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DD97D" w14:textId="61579DF3" w:rsidR="00F33991" w:rsidRDefault="00F33991">
    <w:pPr>
      <w:pStyle w:val="Header"/>
    </w:pPr>
    <w:r>
      <w:rPr>
        <w:noProof/>
      </w:rPr>
      <w:pict w14:anchorId="1F8F8E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787468"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A172F"/>
    <w:multiLevelType w:val="multilevel"/>
    <w:tmpl w:val="4ABEC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771"/>
    <w:rsid w:val="000177FE"/>
    <w:rsid w:val="00055D71"/>
    <w:rsid w:val="00057F85"/>
    <w:rsid w:val="00060447"/>
    <w:rsid w:val="00063B73"/>
    <w:rsid w:val="000A4A2D"/>
    <w:rsid w:val="000B1BD3"/>
    <w:rsid w:val="000E356F"/>
    <w:rsid w:val="000F29EB"/>
    <w:rsid w:val="00110343"/>
    <w:rsid w:val="00121700"/>
    <w:rsid w:val="00135BB9"/>
    <w:rsid w:val="001C1E57"/>
    <w:rsid w:val="001D1DFB"/>
    <w:rsid w:val="00290512"/>
    <w:rsid w:val="002D212E"/>
    <w:rsid w:val="002D43F0"/>
    <w:rsid w:val="002F04B3"/>
    <w:rsid w:val="00304DBC"/>
    <w:rsid w:val="00306D6D"/>
    <w:rsid w:val="00325DDE"/>
    <w:rsid w:val="00327771"/>
    <w:rsid w:val="003615D4"/>
    <w:rsid w:val="003953DC"/>
    <w:rsid w:val="0039759D"/>
    <w:rsid w:val="003A5073"/>
    <w:rsid w:val="003B31BF"/>
    <w:rsid w:val="003D4BF9"/>
    <w:rsid w:val="003D4FC7"/>
    <w:rsid w:val="003E2034"/>
    <w:rsid w:val="004423CC"/>
    <w:rsid w:val="004B4A75"/>
    <w:rsid w:val="00570AED"/>
    <w:rsid w:val="0061026C"/>
    <w:rsid w:val="00661C2C"/>
    <w:rsid w:val="006B0578"/>
    <w:rsid w:val="006C0725"/>
    <w:rsid w:val="006F3971"/>
    <w:rsid w:val="00702C55"/>
    <w:rsid w:val="00704FF7"/>
    <w:rsid w:val="007064C8"/>
    <w:rsid w:val="00712F59"/>
    <w:rsid w:val="00744FE9"/>
    <w:rsid w:val="0074627E"/>
    <w:rsid w:val="00746436"/>
    <w:rsid w:val="007614FF"/>
    <w:rsid w:val="00787E21"/>
    <w:rsid w:val="00797D9D"/>
    <w:rsid w:val="007A0617"/>
    <w:rsid w:val="00825507"/>
    <w:rsid w:val="00847D4A"/>
    <w:rsid w:val="00855C8E"/>
    <w:rsid w:val="008863D1"/>
    <w:rsid w:val="00894502"/>
    <w:rsid w:val="00897D75"/>
    <w:rsid w:val="008C0697"/>
    <w:rsid w:val="008D2891"/>
    <w:rsid w:val="008D6CAD"/>
    <w:rsid w:val="008F1BE2"/>
    <w:rsid w:val="008F7DE1"/>
    <w:rsid w:val="0091070B"/>
    <w:rsid w:val="009150BE"/>
    <w:rsid w:val="00921E62"/>
    <w:rsid w:val="00922172"/>
    <w:rsid w:val="00962512"/>
    <w:rsid w:val="009710DF"/>
    <w:rsid w:val="00975D32"/>
    <w:rsid w:val="009C7254"/>
    <w:rsid w:val="009F4017"/>
    <w:rsid w:val="00A22042"/>
    <w:rsid w:val="00A5393E"/>
    <w:rsid w:val="00A562B3"/>
    <w:rsid w:val="00A71C33"/>
    <w:rsid w:val="00AA3877"/>
    <w:rsid w:val="00AD3A84"/>
    <w:rsid w:val="00AE7030"/>
    <w:rsid w:val="00B00DF1"/>
    <w:rsid w:val="00B30957"/>
    <w:rsid w:val="00B70BAC"/>
    <w:rsid w:val="00B80127"/>
    <w:rsid w:val="00B8294B"/>
    <w:rsid w:val="00BA545B"/>
    <w:rsid w:val="00C1271A"/>
    <w:rsid w:val="00C41D90"/>
    <w:rsid w:val="00C72932"/>
    <w:rsid w:val="00C72E84"/>
    <w:rsid w:val="00C74408"/>
    <w:rsid w:val="00C87409"/>
    <w:rsid w:val="00D0160B"/>
    <w:rsid w:val="00D041D8"/>
    <w:rsid w:val="00D17EBE"/>
    <w:rsid w:val="00D3356C"/>
    <w:rsid w:val="00D72726"/>
    <w:rsid w:val="00DB046B"/>
    <w:rsid w:val="00DB60C0"/>
    <w:rsid w:val="00DD2FDE"/>
    <w:rsid w:val="00EA0A0F"/>
    <w:rsid w:val="00EC1967"/>
    <w:rsid w:val="00EF3B18"/>
    <w:rsid w:val="00EF57A7"/>
    <w:rsid w:val="00F2691B"/>
    <w:rsid w:val="00F27520"/>
    <w:rsid w:val="00F32DB9"/>
    <w:rsid w:val="00F33991"/>
    <w:rsid w:val="00F45740"/>
    <w:rsid w:val="00F71A31"/>
    <w:rsid w:val="00F97200"/>
    <w:rsid w:val="00F97617"/>
    <w:rsid w:val="00FA258F"/>
    <w:rsid w:val="00FD0BC1"/>
    <w:rsid w:val="00FF0C0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96A09D"/>
  <w15:chartTrackingRefBased/>
  <w15:docId w15:val="{584D3B8A-F7E6-4919-8E88-E58258746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trike/>
        <w:sz w:val="24"/>
        <w:szCs w:val="24"/>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0447"/>
  </w:style>
  <w:style w:type="paragraph" w:styleId="Heading1">
    <w:name w:val="heading 1"/>
    <w:basedOn w:val="Normal"/>
    <w:next w:val="Normal"/>
    <w:link w:val="Heading1Char"/>
    <w:uiPriority w:val="9"/>
    <w:qFormat/>
    <w:rsid w:val="003277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77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777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777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2777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2777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2777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2777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2777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7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77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777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777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2777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2777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2777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2777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2777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277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77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777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777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27771"/>
    <w:pPr>
      <w:spacing w:before="160"/>
      <w:jc w:val="center"/>
    </w:pPr>
    <w:rPr>
      <w:i/>
      <w:iCs/>
      <w:color w:val="404040" w:themeColor="text1" w:themeTint="BF"/>
    </w:rPr>
  </w:style>
  <w:style w:type="character" w:customStyle="1" w:styleId="QuoteChar">
    <w:name w:val="Quote Char"/>
    <w:basedOn w:val="DefaultParagraphFont"/>
    <w:link w:val="Quote"/>
    <w:uiPriority w:val="29"/>
    <w:rsid w:val="00327771"/>
    <w:rPr>
      <w:i/>
      <w:iCs/>
      <w:color w:val="404040" w:themeColor="text1" w:themeTint="BF"/>
    </w:rPr>
  </w:style>
  <w:style w:type="paragraph" w:styleId="ListParagraph">
    <w:name w:val="List Paragraph"/>
    <w:basedOn w:val="Normal"/>
    <w:uiPriority w:val="34"/>
    <w:qFormat/>
    <w:rsid w:val="00327771"/>
    <w:pPr>
      <w:ind w:left="720"/>
      <w:contextualSpacing/>
    </w:pPr>
  </w:style>
  <w:style w:type="character" w:styleId="IntenseEmphasis">
    <w:name w:val="Intense Emphasis"/>
    <w:basedOn w:val="DefaultParagraphFont"/>
    <w:uiPriority w:val="21"/>
    <w:qFormat/>
    <w:rsid w:val="00327771"/>
    <w:rPr>
      <w:i/>
      <w:iCs/>
      <w:color w:val="2F5496" w:themeColor="accent1" w:themeShade="BF"/>
    </w:rPr>
  </w:style>
  <w:style w:type="paragraph" w:styleId="IntenseQuote">
    <w:name w:val="Intense Quote"/>
    <w:basedOn w:val="Normal"/>
    <w:next w:val="Normal"/>
    <w:link w:val="IntenseQuoteChar"/>
    <w:uiPriority w:val="30"/>
    <w:qFormat/>
    <w:rsid w:val="003277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7771"/>
    <w:rPr>
      <w:i/>
      <w:iCs/>
      <w:color w:val="2F5496" w:themeColor="accent1" w:themeShade="BF"/>
    </w:rPr>
  </w:style>
  <w:style w:type="character" w:styleId="IntenseReference">
    <w:name w:val="Intense Reference"/>
    <w:basedOn w:val="DefaultParagraphFont"/>
    <w:uiPriority w:val="32"/>
    <w:qFormat/>
    <w:rsid w:val="00327771"/>
    <w:rPr>
      <w:b/>
      <w:bCs/>
      <w:smallCaps/>
      <w:color w:val="2F5496" w:themeColor="accent1" w:themeShade="BF"/>
      <w:spacing w:val="5"/>
    </w:rPr>
  </w:style>
  <w:style w:type="character" w:styleId="Hyperlink">
    <w:name w:val="Hyperlink"/>
    <w:basedOn w:val="DefaultParagraphFont"/>
    <w:uiPriority w:val="99"/>
    <w:unhideWhenUsed/>
    <w:rsid w:val="008D2891"/>
    <w:rPr>
      <w:color w:val="0563C1" w:themeColor="hyperlink"/>
      <w:u w:val="single"/>
    </w:rPr>
  </w:style>
  <w:style w:type="character" w:styleId="UnresolvedMention">
    <w:name w:val="Unresolved Mention"/>
    <w:basedOn w:val="DefaultParagraphFont"/>
    <w:uiPriority w:val="99"/>
    <w:semiHidden/>
    <w:unhideWhenUsed/>
    <w:rsid w:val="008D2891"/>
    <w:rPr>
      <w:color w:val="605E5C"/>
      <w:shd w:val="clear" w:color="auto" w:fill="E1DFDD"/>
    </w:rPr>
  </w:style>
  <w:style w:type="paragraph" w:styleId="NormalWeb">
    <w:name w:val="Normal (Web)"/>
    <w:basedOn w:val="Normal"/>
    <w:uiPriority w:val="99"/>
    <w:unhideWhenUsed/>
    <w:rsid w:val="00D17EBE"/>
    <w:pPr>
      <w:spacing w:before="100" w:beforeAutospacing="1" w:after="100" w:afterAutospacing="1" w:line="240" w:lineRule="auto"/>
    </w:pPr>
    <w:rPr>
      <w:rFonts w:eastAsia="Times New Roman"/>
      <w:strike w:val="0"/>
    </w:rPr>
  </w:style>
  <w:style w:type="character" w:styleId="FollowedHyperlink">
    <w:name w:val="FollowedHyperlink"/>
    <w:basedOn w:val="DefaultParagraphFont"/>
    <w:uiPriority w:val="99"/>
    <w:semiHidden/>
    <w:unhideWhenUsed/>
    <w:rsid w:val="00057F85"/>
    <w:rPr>
      <w:color w:val="954F72" w:themeColor="followedHyperlink"/>
      <w:u w:val="single"/>
    </w:rPr>
  </w:style>
  <w:style w:type="paragraph" w:styleId="Header">
    <w:name w:val="header"/>
    <w:basedOn w:val="Normal"/>
    <w:link w:val="HeaderChar"/>
    <w:uiPriority w:val="99"/>
    <w:unhideWhenUsed/>
    <w:rsid w:val="00DB04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046B"/>
  </w:style>
  <w:style w:type="paragraph" w:styleId="Footer">
    <w:name w:val="footer"/>
    <w:basedOn w:val="Normal"/>
    <w:link w:val="FooterChar"/>
    <w:uiPriority w:val="99"/>
    <w:unhideWhenUsed/>
    <w:rsid w:val="00DB04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0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nlinelibrary.wiley.com/journal/17517176" TargetMode="External"/><Relationship Id="rId18" Type="http://schemas.openxmlformats.org/officeDocument/2006/relationships/hyperlink" Target="https://jamanetwork.com/journals/jamainternalmedicine" TargetMode="External"/><Relationship Id="rId26" Type="http://schemas.openxmlformats.org/officeDocument/2006/relationships/hyperlink" Target="https://www.jstroke.org/" TargetMode="External"/><Relationship Id="rId21" Type="http://schemas.openxmlformats.org/officeDocument/2006/relationships/hyperlink" Target="https://journals.lww.com/jhypertension/pages/default.aspx" TargetMode="External"/><Relationship Id="rId34"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journals.lww.com/jhypertension/pages/default.aspx" TargetMode="External"/><Relationship Id="rId17" Type="http://schemas.openxmlformats.org/officeDocument/2006/relationships/hyperlink" Target="https://www.thelancet.com/journals/lancet/article/PIIS0140-6736(24)00757-8/fulltext" TargetMode="External"/><Relationship Id="rId25" Type="http://schemas.openxmlformats.org/officeDocument/2006/relationships/hyperlink" Target="https://journals.lww.com/njom/pages/default.aspx"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cademic.oup.com/heapol" TargetMode="External"/><Relationship Id="rId20" Type="http://schemas.openxmlformats.org/officeDocument/2006/relationships/hyperlink" Target="https://gh.bmj.com/" TargetMode="External"/><Relationship Id="rId29" Type="http://schemas.openxmlformats.org/officeDocument/2006/relationships/hyperlink" Target="https://www.who.int/publications/i/item/978924004776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anafrican-med-journal.com/" TargetMode="External"/><Relationship Id="rId24" Type="http://schemas.openxmlformats.org/officeDocument/2006/relationships/hyperlink" Target="https://gh.bmj.com/content/5/8/e002440"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joghr.org/" TargetMode="External"/><Relationship Id="rId23" Type="http://schemas.openxmlformats.org/officeDocument/2006/relationships/hyperlink" Target="https://www.thelancet.com/journals/lancet/article/PIIS0140-6736(20)31761-X/fulltext" TargetMode="External"/><Relationship Id="rId28" Type="http://schemas.openxmlformats.org/officeDocument/2006/relationships/hyperlink" Target="https://publichealthinafrica.org/index.php/jphia" TargetMode="External"/><Relationship Id="rId36"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yperlink" Target="https://www.nature.com/nrcardio/"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thelancet.com/journals/langlo/home" TargetMode="External"/><Relationship Id="rId22" Type="http://schemas.openxmlformats.org/officeDocument/2006/relationships/hyperlink" Target="https://nationalpopulation.gov.ng/publications/" TargetMode="External"/><Relationship Id="rId27" Type="http://schemas.openxmlformats.org/officeDocument/2006/relationships/hyperlink" Target="https://journals.lww.com/jhypertension/pages/default.aspx" TargetMode="External"/><Relationship Id="rId30" Type="http://schemas.openxmlformats.org/officeDocument/2006/relationships/hyperlink" Target="https://www.who.int/publications/i/item/9789240081062" TargetMode="External"/><Relationship Id="rId35" Type="http://schemas.openxmlformats.org/officeDocument/2006/relationships/header" Target="header3.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485</TotalTime>
  <Pages>19</Pages>
  <Words>7353</Words>
  <Characters>41916</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NDUYE BRIGGS</dc:creator>
  <cp:keywords/>
  <dc:description/>
  <cp:lastModifiedBy>SDI 1084</cp:lastModifiedBy>
  <cp:revision>273</cp:revision>
  <dcterms:created xsi:type="dcterms:W3CDTF">2026-03-13T11:16:00Z</dcterms:created>
  <dcterms:modified xsi:type="dcterms:W3CDTF">2026-03-19T13:26:00Z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1703b176-c811-4bd6-b8d4-bfed519613bb</vt:lpwstr>
  </property>
</Properties>
</file>