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148C" w:rsidRPr="003859E3" w:rsidRDefault="001E27AD" w:rsidP="003859E3">
      <w:pPr>
        <w:spacing w:line="240" w:lineRule="auto"/>
        <w:jc w:val="both"/>
        <w:rPr>
          <w:rFonts w:ascii="Times New Roman" w:hAnsi="Times New Roman" w:cs="Times New Roman"/>
          <w:b/>
          <w:sz w:val="24"/>
          <w:szCs w:val="24"/>
        </w:rPr>
      </w:pPr>
      <w:r w:rsidRPr="003859E3">
        <w:rPr>
          <w:rFonts w:ascii="Times New Roman" w:hAnsi="Times New Roman" w:cs="Times New Roman"/>
          <w:b/>
          <w:sz w:val="24"/>
          <w:szCs w:val="24"/>
        </w:rPr>
        <w:t>Impact of Malaria Infection on Red Blood Cell Parameters among Pregnant Women in Southeastern Nigeria</w:t>
      </w:r>
    </w:p>
    <w:p w:rsidR="003859E3" w:rsidRDefault="003859E3" w:rsidP="003859E3">
      <w:pPr>
        <w:spacing w:before="100" w:beforeAutospacing="1" w:after="100" w:afterAutospacing="1" w:line="240" w:lineRule="auto"/>
        <w:jc w:val="both"/>
        <w:outlineLvl w:val="1"/>
        <w:rPr>
          <w:rFonts w:ascii="Times New Roman" w:eastAsia="Times New Roman" w:hAnsi="Times New Roman" w:cs="Times New Roman"/>
          <w:b/>
          <w:bCs/>
          <w:sz w:val="24"/>
          <w:szCs w:val="24"/>
        </w:rPr>
      </w:pPr>
      <w:bookmarkStart w:id="0" w:name="_GoBack"/>
      <w:bookmarkEnd w:id="0"/>
    </w:p>
    <w:p w:rsidR="001E27AD" w:rsidRPr="003859E3" w:rsidRDefault="001E27AD" w:rsidP="003859E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3859E3">
        <w:rPr>
          <w:rFonts w:ascii="Times New Roman" w:eastAsia="Times New Roman" w:hAnsi="Times New Roman" w:cs="Times New Roman"/>
          <w:b/>
          <w:bCs/>
          <w:sz w:val="24"/>
          <w:szCs w:val="24"/>
        </w:rPr>
        <w:t>Abstract</w:t>
      </w:r>
    </w:p>
    <w:p w:rsidR="001E27AD" w:rsidRPr="001E27AD" w:rsidRDefault="001E27AD" w:rsidP="003859E3">
      <w:pPr>
        <w:spacing w:before="100" w:beforeAutospacing="1" w:after="100" w:afterAutospacing="1" w:line="240" w:lineRule="auto"/>
        <w:jc w:val="both"/>
        <w:rPr>
          <w:rFonts w:ascii="Times New Roman" w:eastAsia="Times New Roman" w:hAnsi="Times New Roman" w:cs="Times New Roman"/>
          <w:sz w:val="24"/>
          <w:szCs w:val="24"/>
        </w:rPr>
      </w:pPr>
      <w:r w:rsidRPr="003859E3">
        <w:rPr>
          <w:rFonts w:ascii="Times New Roman" w:eastAsia="Times New Roman" w:hAnsi="Times New Roman" w:cs="Times New Roman"/>
          <w:b/>
          <w:bCs/>
          <w:sz w:val="24"/>
          <w:szCs w:val="24"/>
        </w:rPr>
        <w:t>Background:</w:t>
      </w:r>
      <w:r w:rsidRPr="001E27AD">
        <w:rPr>
          <w:rFonts w:ascii="Times New Roman" w:eastAsia="Times New Roman" w:hAnsi="Times New Roman" w:cs="Times New Roman"/>
          <w:sz w:val="24"/>
          <w:szCs w:val="24"/>
        </w:rPr>
        <w:br/>
        <w:t xml:space="preserve">Malaria in pregnancy is a major public health concern in sub-Saharan Africa, contributing to maternal anaemia and adverse fetal outcomes. Alterations in erythrocyte parameters reflect both the direct effects of </w:t>
      </w:r>
      <w:r w:rsidRPr="003859E3">
        <w:rPr>
          <w:rFonts w:ascii="Times New Roman" w:eastAsia="Times New Roman" w:hAnsi="Times New Roman" w:cs="Times New Roman"/>
          <w:i/>
          <w:iCs/>
          <w:sz w:val="24"/>
          <w:szCs w:val="24"/>
        </w:rPr>
        <w:t>Plasmodium</w:t>
      </w:r>
      <w:r w:rsidRPr="001E27AD">
        <w:rPr>
          <w:rFonts w:ascii="Times New Roman" w:eastAsia="Times New Roman" w:hAnsi="Times New Roman" w:cs="Times New Roman"/>
          <w:sz w:val="24"/>
          <w:szCs w:val="24"/>
        </w:rPr>
        <w:t xml:space="preserve"> infection and pregnancy-related haematological changes. However, data on the impact of malaria on red blood cell indices in Southeastern Nigeria remain limited.</w:t>
      </w:r>
    </w:p>
    <w:p w:rsidR="001E27AD" w:rsidRPr="001E27AD" w:rsidRDefault="001E27AD" w:rsidP="003859E3">
      <w:pPr>
        <w:spacing w:before="100" w:beforeAutospacing="1" w:after="100" w:afterAutospacing="1" w:line="240" w:lineRule="auto"/>
        <w:jc w:val="both"/>
        <w:rPr>
          <w:rFonts w:ascii="Times New Roman" w:eastAsia="Times New Roman" w:hAnsi="Times New Roman" w:cs="Times New Roman"/>
          <w:sz w:val="24"/>
          <w:szCs w:val="24"/>
        </w:rPr>
      </w:pPr>
      <w:r w:rsidRPr="003859E3">
        <w:rPr>
          <w:rFonts w:ascii="Times New Roman" w:eastAsia="Times New Roman" w:hAnsi="Times New Roman" w:cs="Times New Roman"/>
          <w:b/>
          <w:bCs/>
          <w:sz w:val="24"/>
          <w:szCs w:val="24"/>
        </w:rPr>
        <w:t>Objective:</w:t>
      </w:r>
      <w:r w:rsidRPr="001E27AD">
        <w:rPr>
          <w:rFonts w:ascii="Times New Roman" w:eastAsia="Times New Roman" w:hAnsi="Times New Roman" w:cs="Times New Roman"/>
          <w:sz w:val="24"/>
          <w:szCs w:val="24"/>
        </w:rPr>
        <w:br/>
        <w:t>To evaluate the effect of malaria infection on erythrocyte indices among pregnant women in Owerri, Nigeria, and compare these parameters with malaria-negative pregnant women and non-pregnant healthy controls.</w:t>
      </w:r>
    </w:p>
    <w:p w:rsidR="001E27AD" w:rsidRPr="001E27AD" w:rsidRDefault="001E27AD" w:rsidP="003859E3">
      <w:pPr>
        <w:spacing w:before="100" w:beforeAutospacing="1" w:after="100" w:afterAutospacing="1" w:line="240" w:lineRule="auto"/>
        <w:jc w:val="both"/>
        <w:rPr>
          <w:rFonts w:ascii="Times New Roman" w:eastAsia="Times New Roman" w:hAnsi="Times New Roman" w:cs="Times New Roman"/>
          <w:sz w:val="24"/>
          <w:szCs w:val="24"/>
        </w:rPr>
      </w:pPr>
      <w:r w:rsidRPr="003859E3">
        <w:rPr>
          <w:rFonts w:ascii="Times New Roman" w:eastAsia="Times New Roman" w:hAnsi="Times New Roman" w:cs="Times New Roman"/>
          <w:b/>
          <w:bCs/>
          <w:sz w:val="24"/>
          <w:szCs w:val="24"/>
        </w:rPr>
        <w:t>Methods:</w:t>
      </w:r>
      <w:r w:rsidRPr="001E27AD">
        <w:rPr>
          <w:rFonts w:ascii="Times New Roman" w:eastAsia="Times New Roman" w:hAnsi="Times New Roman" w:cs="Times New Roman"/>
          <w:sz w:val="24"/>
          <w:szCs w:val="24"/>
        </w:rPr>
        <w:br/>
        <w:t xml:space="preserve">A cross-sectional comparative study was conducted among 150 women, divided into three groups of 50: malaria-positive pregnant women (MP+), malaria-negative pregnant women (MP−), and non-pregnant controls. Venous blood samples were collected and analyzed for haemoglobin concentration (Hb), packed cell volume (PCV), red blood cell count (RBC), mean corpuscular volume (MCV), mean corpuscular haemoglobin (MCH), mean corpuscular haemoglobin concentration (MCHC), and red cell distribution width (RDW) using an automated haematology analyzer. Malaria status was confirmed by microscopy and rapid diagnostic tests. Data were analyzed using descriptive statistics, Student’s t-test, and one-way ANOVA, with significance set at </w:t>
      </w:r>
      <w:r w:rsidRPr="003859E3">
        <w:rPr>
          <w:rFonts w:ascii="Times New Roman" w:eastAsia="Times New Roman" w:hAnsi="Times New Roman" w:cs="Times New Roman"/>
          <w:i/>
          <w:iCs/>
          <w:sz w:val="24"/>
          <w:szCs w:val="24"/>
        </w:rPr>
        <w:t>p</w:t>
      </w:r>
      <w:r w:rsidRPr="001E27AD">
        <w:rPr>
          <w:rFonts w:ascii="Times New Roman" w:eastAsia="Times New Roman" w:hAnsi="Times New Roman" w:cs="Times New Roman"/>
          <w:sz w:val="24"/>
          <w:szCs w:val="24"/>
        </w:rPr>
        <w:t xml:space="preserve"> &lt; 0.05.</w:t>
      </w:r>
    </w:p>
    <w:p w:rsidR="001E27AD" w:rsidRPr="001E27AD" w:rsidRDefault="001E27AD" w:rsidP="003859E3">
      <w:pPr>
        <w:spacing w:before="100" w:beforeAutospacing="1" w:after="100" w:afterAutospacing="1" w:line="240" w:lineRule="auto"/>
        <w:jc w:val="both"/>
        <w:rPr>
          <w:rFonts w:ascii="Times New Roman" w:eastAsia="Times New Roman" w:hAnsi="Times New Roman" w:cs="Times New Roman"/>
          <w:sz w:val="24"/>
          <w:szCs w:val="24"/>
        </w:rPr>
      </w:pPr>
      <w:r w:rsidRPr="003859E3">
        <w:rPr>
          <w:rFonts w:ascii="Times New Roman" w:eastAsia="Times New Roman" w:hAnsi="Times New Roman" w:cs="Times New Roman"/>
          <w:b/>
          <w:bCs/>
          <w:sz w:val="24"/>
          <w:szCs w:val="24"/>
        </w:rPr>
        <w:t>Results:</w:t>
      </w:r>
      <w:r w:rsidRPr="001E27AD">
        <w:rPr>
          <w:rFonts w:ascii="Times New Roman" w:eastAsia="Times New Roman" w:hAnsi="Times New Roman" w:cs="Times New Roman"/>
          <w:sz w:val="24"/>
          <w:szCs w:val="24"/>
        </w:rPr>
        <w:br/>
        <w:t>Malaria-positive pregnant women exhibited significantly lower Hb (10.01 ± 1.05 g/dL), PCV (30.05 ± 3.12%), and RBC counts (4.02 ± 0.41 ×10¹²/L) compared with malaria-negative pregnant women (Hb: 10.54 ± 1.02 g/dL; PCV: 31.72 ± 3.48%; RBC: 4.16 ± 0.44 ×10¹²/L) and non-pregnant controls (Hb: 12.25 ± 1.41 g/dL; PCV: 36.78 ± 4.51%; RBC: 4.67 ± 0.56 ×10¹²/L) (</w:t>
      </w:r>
      <w:r w:rsidRPr="003859E3">
        <w:rPr>
          <w:rFonts w:ascii="Times New Roman" w:eastAsia="Times New Roman" w:hAnsi="Times New Roman" w:cs="Times New Roman"/>
          <w:i/>
          <w:iCs/>
          <w:sz w:val="24"/>
          <w:szCs w:val="24"/>
        </w:rPr>
        <w:t>p</w:t>
      </w:r>
      <w:r w:rsidRPr="001E27AD">
        <w:rPr>
          <w:rFonts w:ascii="Times New Roman" w:eastAsia="Times New Roman" w:hAnsi="Times New Roman" w:cs="Times New Roman"/>
          <w:sz w:val="24"/>
          <w:szCs w:val="24"/>
        </w:rPr>
        <w:t xml:space="preserve"> &lt; 0.001). Significant differences were also observed in MCV and MCH, while MCHC and RDW showed no statistically significant variation across groups. Post-hoc analyses indicated that reductions in Hb, PCV, and RBC were most pronounced in malaria-infected pregnant women.</w:t>
      </w:r>
    </w:p>
    <w:p w:rsidR="001E27AD" w:rsidRPr="001E27AD" w:rsidRDefault="001E27AD" w:rsidP="003859E3">
      <w:pPr>
        <w:spacing w:before="100" w:beforeAutospacing="1" w:after="100" w:afterAutospacing="1" w:line="240" w:lineRule="auto"/>
        <w:jc w:val="both"/>
        <w:rPr>
          <w:rFonts w:ascii="Times New Roman" w:eastAsia="Times New Roman" w:hAnsi="Times New Roman" w:cs="Times New Roman"/>
          <w:sz w:val="24"/>
          <w:szCs w:val="24"/>
        </w:rPr>
      </w:pPr>
      <w:r w:rsidRPr="003859E3">
        <w:rPr>
          <w:rFonts w:ascii="Times New Roman" w:eastAsia="Times New Roman" w:hAnsi="Times New Roman" w:cs="Times New Roman"/>
          <w:b/>
          <w:bCs/>
          <w:sz w:val="24"/>
          <w:szCs w:val="24"/>
        </w:rPr>
        <w:t>Conclusion:</w:t>
      </w:r>
      <w:r w:rsidRPr="001E27AD">
        <w:rPr>
          <w:rFonts w:ascii="Times New Roman" w:eastAsia="Times New Roman" w:hAnsi="Times New Roman" w:cs="Times New Roman"/>
          <w:sz w:val="24"/>
          <w:szCs w:val="24"/>
        </w:rPr>
        <w:br/>
        <w:t>Malaria infection during pregnancy significantly alters erythrocyte parameters, particularly Hb, PCV, RBC, MCV, and MCH, predisposing pregnant women to anaemia and associated complications. These findings highlight the need for routine haematological monitoring and effective malaria prevention and management strategies in endemic regions to improve maternal and fetal outcomes.</w:t>
      </w:r>
    </w:p>
    <w:p w:rsidR="001E27AD" w:rsidRPr="003859E3" w:rsidRDefault="001E27AD" w:rsidP="003859E3">
      <w:pPr>
        <w:spacing w:before="100" w:beforeAutospacing="1" w:after="100" w:afterAutospacing="1" w:line="240" w:lineRule="auto"/>
        <w:jc w:val="both"/>
        <w:rPr>
          <w:rFonts w:ascii="Times New Roman" w:eastAsia="Times New Roman" w:hAnsi="Times New Roman" w:cs="Times New Roman"/>
          <w:i/>
          <w:sz w:val="24"/>
          <w:szCs w:val="24"/>
        </w:rPr>
      </w:pPr>
      <w:r w:rsidRPr="003859E3">
        <w:rPr>
          <w:rFonts w:ascii="Times New Roman" w:eastAsia="Times New Roman" w:hAnsi="Times New Roman" w:cs="Times New Roman"/>
          <w:b/>
          <w:bCs/>
          <w:i/>
          <w:sz w:val="24"/>
          <w:szCs w:val="24"/>
        </w:rPr>
        <w:lastRenderedPageBreak/>
        <w:t>Keywords:</w:t>
      </w:r>
      <w:r w:rsidRPr="001E27AD">
        <w:rPr>
          <w:rFonts w:ascii="Times New Roman" w:eastAsia="Times New Roman" w:hAnsi="Times New Roman" w:cs="Times New Roman"/>
          <w:i/>
          <w:sz w:val="24"/>
          <w:szCs w:val="24"/>
        </w:rPr>
        <w:t xml:space="preserve"> Malaria, Pregnancy, Erythrocyte Indices, Haematology, Anaemia</w:t>
      </w:r>
    </w:p>
    <w:p w:rsidR="001E27AD" w:rsidRPr="003859E3" w:rsidRDefault="001E27AD" w:rsidP="003859E3">
      <w:pPr>
        <w:pStyle w:val="Heading2"/>
        <w:spacing w:line="240" w:lineRule="auto"/>
        <w:jc w:val="both"/>
        <w:rPr>
          <w:rFonts w:ascii="Times New Roman" w:hAnsi="Times New Roman" w:cs="Times New Roman"/>
          <w:color w:val="auto"/>
          <w:sz w:val="24"/>
          <w:szCs w:val="24"/>
        </w:rPr>
      </w:pPr>
      <w:r w:rsidRPr="003859E3">
        <w:rPr>
          <w:rFonts w:ascii="Times New Roman" w:hAnsi="Times New Roman" w:cs="Times New Roman"/>
          <w:b/>
          <w:color w:val="auto"/>
          <w:sz w:val="24"/>
          <w:szCs w:val="24"/>
        </w:rPr>
        <w:t>Introduction</w:t>
      </w:r>
    </w:p>
    <w:p w:rsidR="001E27AD" w:rsidRPr="003859E3" w:rsidRDefault="001E27AD" w:rsidP="003859E3">
      <w:pPr>
        <w:pStyle w:val="NormalWeb"/>
        <w:jc w:val="both"/>
      </w:pPr>
      <w:r w:rsidRPr="003859E3">
        <w:t>Malaria remains a major public health challenge in sub-Saharan Africa, with pregnant women representing one of the most vulnerable populations due to their altered immunity and increased physiological demands. In endemic regions such as Southeastern Nigeria, malaria infection continues to contribute significantly to maternal morbidity and mortality, as well as adverse fetal outcomes including low birth weight, preterm delivery, and intrauterine growth restriction. The haematological consequences of malaria, particularly the disruption of erythrocyte parameters, play a central role in these adverse outcomes and represent a key area for clinical and epidemiological investigation</w:t>
      </w:r>
      <w:r w:rsidR="0032596A" w:rsidRPr="003859E3">
        <w:t xml:space="preserve"> [1-2]</w:t>
      </w:r>
      <w:r w:rsidRPr="003859E3">
        <w:t>.</w:t>
      </w:r>
      <w:r w:rsidR="0032596A" w:rsidRPr="003859E3">
        <w:t xml:space="preserve"> </w:t>
      </w:r>
      <w:r w:rsidRPr="003859E3">
        <w:t xml:space="preserve">Pregnancy induces substantial physiological changes in the haematopoietic system, including increased plasma volume, augmented erythropoietic activity, and modulation of the immune response. These adaptations are essential to meet the oxygen transport demands of both mother and fetus. However, these changes also render pregnant women more susceptible to malaria-related haematological complications. Malaria infection is characterized by the invasion and destruction of erythrocytes by </w:t>
      </w:r>
      <w:r w:rsidRPr="003859E3">
        <w:rPr>
          <w:rStyle w:val="Emphasis"/>
        </w:rPr>
        <w:t>Plasmodium</w:t>
      </w:r>
      <w:r w:rsidRPr="003859E3">
        <w:t xml:space="preserve"> parasites, leading to haemolysis, suppression of erythropoiesis, and increased clearance of both infected and uninfected red blood cells. Consequently, malaria in pregnancy frequently results in anaemia, which is a leading contributor to maternal morbidity in endemic regions</w:t>
      </w:r>
      <w:r w:rsidR="0032596A" w:rsidRPr="003859E3">
        <w:t xml:space="preserve"> [3-5]</w:t>
      </w:r>
      <w:r w:rsidRPr="003859E3">
        <w:t>.</w:t>
      </w:r>
    </w:p>
    <w:p w:rsidR="001E27AD" w:rsidRPr="003859E3" w:rsidRDefault="001E27AD" w:rsidP="003859E3">
      <w:pPr>
        <w:pStyle w:val="NormalWeb"/>
        <w:jc w:val="both"/>
      </w:pPr>
      <w:r w:rsidRPr="003859E3">
        <w:t>Erythrocyte parameters such as haemoglobin concentration (Hb), packed cell volume (PCV), red blood cell count (RBC), mean corpuscular volume (MCV), mean corpuscular haemoglobin (MCH), mean corpuscular haemoglobin concentration (MCHC), and red cell distribution width (RDW) are critical indicators of red blood cell health and functionality. Alterations in these indices can reflect both direct parasitic effects and secondary compensatory mechanisms, including increased erythropoietic activity or changes in red cell morphology. Previous studies have reported that malaria infection can lead to reductions in Hb, PCV, and RBC counts, while affecting red cell size and haemoglobin content, thereby impacting oxygen transport and overall maternal health</w:t>
      </w:r>
      <w:r w:rsidR="0032596A" w:rsidRPr="003859E3">
        <w:t xml:space="preserve"> [6]</w:t>
      </w:r>
      <w:r w:rsidRPr="003859E3">
        <w:t>.</w:t>
      </w:r>
      <w:r w:rsidR="0032596A" w:rsidRPr="003859E3">
        <w:t xml:space="preserve"> </w:t>
      </w:r>
      <w:r w:rsidRPr="003859E3">
        <w:t>Despite extensive research on malaria in pregnancy, there is limited contemporary data on how malaria specifically influences erythrocyte parameters among pregnant women in Southeastern Nigeria. Regional variations in parasite density, nutritional status, immunity, and access to preventive measures may influence the severity of haematological alterations. Understanding these effects is essential for informing clinical management, guiding prophylactic interventions, and improving maternal and neonatal outcomes in endemic areas</w:t>
      </w:r>
      <w:r w:rsidR="0032596A" w:rsidRPr="003859E3">
        <w:t xml:space="preserve"> [7-8]</w:t>
      </w:r>
      <w:r w:rsidRPr="003859E3">
        <w:t>.</w:t>
      </w:r>
      <w:r w:rsidR="0032596A" w:rsidRPr="003859E3">
        <w:t xml:space="preserve"> </w:t>
      </w:r>
      <w:r w:rsidRPr="003859E3">
        <w:t>This study, therefore, aimed to investigate the impact of malaria infection on red blood cell parameters among pregnant women in Southeastern Nigeria. By comparing malaria-positive pregnant women, malaria-negative pregnant women, and non-pregnant controls, the study provides insights into the extent of malaria-induced haematological alterations during pregnancy and highlights potential biomarkers for early detection and management of malaria-related anaemia. The findings are expected to contribute to evidence-based strategies for improving maternal health and mitigating the adverse haematological consequences of malaria in pregnancy.</w:t>
      </w:r>
    </w:p>
    <w:p w:rsidR="001E27AD" w:rsidRPr="003859E3" w:rsidRDefault="001E27AD" w:rsidP="003859E3">
      <w:pPr>
        <w:pStyle w:val="Heading2"/>
        <w:spacing w:line="240" w:lineRule="auto"/>
        <w:jc w:val="both"/>
        <w:rPr>
          <w:rFonts w:ascii="Times New Roman" w:hAnsi="Times New Roman" w:cs="Times New Roman"/>
          <w:b/>
          <w:color w:val="auto"/>
          <w:sz w:val="24"/>
          <w:szCs w:val="24"/>
        </w:rPr>
      </w:pPr>
      <w:r w:rsidRPr="003859E3">
        <w:rPr>
          <w:rFonts w:ascii="Times New Roman" w:hAnsi="Times New Roman" w:cs="Times New Roman"/>
          <w:b/>
          <w:color w:val="auto"/>
          <w:sz w:val="24"/>
          <w:szCs w:val="24"/>
        </w:rPr>
        <w:lastRenderedPageBreak/>
        <w:t>Research Methodology</w:t>
      </w:r>
    </w:p>
    <w:p w:rsidR="001E27AD" w:rsidRPr="003859E3" w:rsidRDefault="001E27AD" w:rsidP="003859E3">
      <w:pPr>
        <w:pStyle w:val="Heading3"/>
        <w:spacing w:line="240" w:lineRule="auto"/>
        <w:jc w:val="both"/>
        <w:rPr>
          <w:rFonts w:ascii="Times New Roman" w:hAnsi="Times New Roman" w:cs="Times New Roman"/>
          <w:b/>
          <w:color w:val="auto"/>
        </w:rPr>
      </w:pPr>
      <w:r w:rsidRPr="003859E3">
        <w:rPr>
          <w:rFonts w:ascii="Times New Roman" w:hAnsi="Times New Roman" w:cs="Times New Roman"/>
          <w:b/>
          <w:color w:val="auto"/>
        </w:rPr>
        <w:t>Study Design</w:t>
      </w:r>
    </w:p>
    <w:p w:rsidR="001E27AD" w:rsidRPr="003859E3" w:rsidRDefault="001E27AD" w:rsidP="003859E3">
      <w:pPr>
        <w:pStyle w:val="NormalWeb"/>
        <w:jc w:val="both"/>
      </w:pPr>
      <w:r w:rsidRPr="003859E3">
        <w:t xml:space="preserve">This study employed a </w:t>
      </w:r>
      <w:r w:rsidRPr="003859E3">
        <w:rPr>
          <w:rStyle w:val="Strong"/>
          <w:rFonts w:eastAsiaTheme="majorEastAsia"/>
          <w:b w:val="0"/>
        </w:rPr>
        <w:t>cross-sectional comparative design</w:t>
      </w:r>
      <w:r w:rsidRPr="003859E3">
        <w:t xml:space="preserve"> to investigate the impact of malaria infection on erythrocyte parameters among pregnant women in Southeastern Nigeria. A comparative approach was adopted to evaluate haematological differences among three distinct groups: malaria-positive pregnant women (MP+), malaria-negative pregnant women (MP−), and non-pregnant healthy controls. This design allowed for the assessment of both the direct effects of malaria infection and the physiological changes associated with pregnancy on red blood cell indices.</w:t>
      </w:r>
    </w:p>
    <w:p w:rsidR="001E27AD" w:rsidRPr="003859E3" w:rsidRDefault="001E27AD" w:rsidP="003859E3">
      <w:pPr>
        <w:pStyle w:val="Heading3"/>
        <w:spacing w:line="240" w:lineRule="auto"/>
        <w:jc w:val="both"/>
        <w:rPr>
          <w:rFonts w:ascii="Times New Roman" w:hAnsi="Times New Roman" w:cs="Times New Roman"/>
          <w:b/>
          <w:color w:val="auto"/>
        </w:rPr>
      </w:pPr>
      <w:r w:rsidRPr="003859E3">
        <w:rPr>
          <w:rFonts w:ascii="Times New Roman" w:hAnsi="Times New Roman" w:cs="Times New Roman"/>
          <w:b/>
          <w:color w:val="auto"/>
        </w:rPr>
        <w:t>Study Area and Population</w:t>
      </w:r>
    </w:p>
    <w:p w:rsidR="001E27AD" w:rsidRPr="003859E3" w:rsidRDefault="001E27AD" w:rsidP="003859E3">
      <w:pPr>
        <w:pStyle w:val="NormalWeb"/>
        <w:jc w:val="both"/>
      </w:pPr>
      <w:r w:rsidRPr="003859E3">
        <w:t xml:space="preserve">The study was conducted in </w:t>
      </w:r>
      <w:r w:rsidRPr="003859E3">
        <w:rPr>
          <w:rStyle w:val="Strong"/>
          <w:rFonts w:eastAsiaTheme="majorEastAsia"/>
          <w:b w:val="0"/>
        </w:rPr>
        <w:t>Owerri, Imo State, Southeastern Nigeria</w:t>
      </w:r>
      <w:r w:rsidRPr="003859E3">
        <w:t xml:space="preserve">, an area endemic for malaria with high transmission rates. The study population consisted of </w:t>
      </w:r>
      <w:r w:rsidRPr="003859E3">
        <w:rPr>
          <w:rStyle w:val="Strong"/>
          <w:rFonts w:eastAsiaTheme="majorEastAsia"/>
          <w:b w:val="0"/>
        </w:rPr>
        <w:t>pregnant</w:t>
      </w:r>
      <w:r w:rsidRPr="003859E3">
        <w:rPr>
          <w:rStyle w:val="Strong"/>
          <w:rFonts w:eastAsiaTheme="majorEastAsia"/>
        </w:rPr>
        <w:t xml:space="preserve"> </w:t>
      </w:r>
      <w:r w:rsidRPr="003859E3">
        <w:rPr>
          <w:rStyle w:val="Strong"/>
          <w:rFonts w:eastAsiaTheme="majorEastAsia"/>
          <w:b w:val="0"/>
        </w:rPr>
        <w:t>women</w:t>
      </w:r>
      <w:r w:rsidRPr="003859E3">
        <w:rPr>
          <w:rStyle w:val="Strong"/>
          <w:rFonts w:eastAsiaTheme="majorEastAsia"/>
        </w:rPr>
        <w:t xml:space="preserve"> </w:t>
      </w:r>
      <w:r w:rsidRPr="003859E3">
        <w:rPr>
          <w:rStyle w:val="Strong"/>
          <w:rFonts w:eastAsiaTheme="majorEastAsia"/>
          <w:b w:val="0"/>
        </w:rPr>
        <w:t>attending</w:t>
      </w:r>
      <w:r w:rsidRPr="003859E3">
        <w:rPr>
          <w:rStyle w:val="Strong"/>
          <w:rFonts w:eastAsiaTheme="majorEastAsia"/>
        </w:rPr>
        <w:t xml:space="preserve"> </w:t>
      </w:r>
      <w:r w:rsidRPr="003859E3">
        <w:rPr>
          <w:rStyle w:val="Strong"/>
          <w:rFonts w:eastAsiaTheme="majorEastAsia"/>
          <w:b w:val="0"/>
        </w:rPr>
        <w:t>antenatal</w:t>
      </w:r>
      <w:r w:rsidRPr="003859E3">
        <w:rPr>
          <w:rStyle w:val="Strong"/>
          <w:rFonts w:eastAsiaTheme="majorEastAsia"/>
        </w:rPr>
        <w:t xml:space="preserve"> </w:t>
      </w:r>
      <w:r w:rsidRPr="003859E3">
        <w:rPr>
          <w:rStyle w:val="Strong"/>
          <w:rFonts w:eastAsiaTheme="majorEastAsia"/>
          <w:b w:val="0"/>
        </w:rPr>
        <w:t>clinics</w:t>
      </w:r>
      <w:r w:rsidRPr="003859E3">
        <w:t xml:space="preserve"> in selected healthcare facilities and </w:t>
      </w:r>
      <w:r w:rsidRPr="003859E3">
        <w:rPr>
          <w:rStyle w:val="Strong"/>
          <w:rFonts w:eastAsiaTheme="majorEastAsia"/>
          <w:b w:val="0"/>
        </w:rPr>
        <w:t>non</w:t>
      </w:r>
      <w:r w:rsidRPr="003859E3">
        <w:rPr>
          <w:rStyle w:val="Strong"/>
          <w:rFonts w:eastAsiaTheme="majorEastAsia"/>
        </w:rPr>
        <w:t>-</w:t>
      </w:r>
      <w:r w:rsidRPr="003859E3">
        <w:rPr>
          <w:rStyle w:val="Strong"/>
          <w:rFonts w:eastAsiaTheme="majorEastAsia"/>
          <w:b w:val="0"/>
        </w:rPr>
        <w:t>pregnant</w:t>
      </w:r>
      <w:r w:rsidRPr="003859E3">
        <w:rPr>
          <w:rStyle w:val="Strong"/>
          <w:rFonts w:eastAsiaTheme="majorEastAsia"/>
        </w:rPr>
        <w:t xml:space="preserve"> </w:t>
      </w:r>
      <w:r w:rsidRPr="003859E3">
        <w:rPr>
          <w:rStyle w:val="Strong"/>
          <w:rFonts w:eastAsiaTheme="majorEastAsia"/>
          <w:b w:val="0"/>
        </w:rPr>
        <w:t>healthy</w:t>
      </w:r>
      <w:r w:rsidRPr="003859E3">
        <w:rPr>
          <w:rStyle w:val="Strong"/>
          <w:rFonts w:eastAsiaTheme="majorEastAsia"/>
        </w:rPr>
        <w:t xml:space="preserve"> </w:t>
      </w:r>
      <w:r w:rsidRPr="003859E3">
        <w:rPr>
          <w:rStyle w:val="Strong"/>
          <w:rFonts w:eastAsiaTheme="majorEastAsia"/>
          <w:b w:val="0"/>
        </w:rPr>
        <w:t>women</w:t>
      </w:r>
      <w:r w:rsidRPr="003859E3">
        <w:t xml:space="preserve"> from the same geographical region.</w:t>
      </w:r>
    </w:p>
    <w:p w:rsidR="001E27AD" w:rsidRPr="003859E3" w:rsidRDefault="001E27AD" w:rsidP="003859E3">
      <w:pPr>
        <w:pStyle w:val="Heading3"/>
        <w:spacing w:line="240" w:lineRule="auto"/>
        <w:jc w:val="both"/>
        <w:rPr>
          <w:rFonts w:ascii="Times New Roman" w:hAnsi="Times New Roman" w:cs="Times New Roman"/>
          <w:b/>
          <w:color w:val="auto"/>
        </w:rPr>
      </w:pPr>
      <w:r w:rsidRPr="003859E3">
        <w:rPr>
          <w:rFonts w:ascii="Times New Roman" w:hAnsi="Times New Roman" w:cs="Times New Roman"/>
          <w:b/>
          <w:color w:val="auto"/>
        </w:rPr>
        <w:t>Inclusion and Exclusion Criteria</w:t>
      </w:r>
    </w:p>
    <w:p w:rsidR="001E27AD" w:rsidRPr="003859E3" w:rsidRDefault="001E27AD" w:rsidP="003859E3">
      <w:pPr>
        <w:pStyle w:val="NormalWeb"/>
        <w:jc w:val="both"/>
      </w:pPr>
      <w:r w:rsidRPr="003859E3">
        <w:rPr>
          <w:rStyle w:val="Strong"/>
          <w:rFonts w:eastAsiaTheme="majorEastAsia"/>
        </w:rPr>
        <w:t>Inclusion criteria:</w:t>
      </w:r>
    </w:p>
    <w:p w:rsidR="001E27AD" w:rsidRPr="003859E3" w:rsidRDefault="001E27AD" w:rsidP="003859E3">
      <w:pPr>
        <w:pStyle w:val="NormalWeb"/>
        <w:numPr>
          <w:ilvl w:val="0"/>
          <w:numId w:val="3"/>
        </w:numPr>
        <w:jc w:val="both"/>
      </w:pPr>
      <w:r w:rsidRPr="003859E3">
        <w:t>Pregnant women aged 18–45 years.</w:t>
      </w:r>
    </w:p>
    <w:p w:rsidR="001E27AD" w:rsidRPr="003859E3" w:rsidRDefault="001E27AD" w:rsidP="003859E3">
      <w:pPr>
        <w:pStyle w:val="NormalWeb"/>
        <w:numPr>
          <w:ilvl w:val="0"/>
          <w:numId w:val="3"/>
        </w:numPr>
        <w:jc w:val="both"/>
      </w:pPr>
      <w:r w:rsidRPr="003859E3">
        <w:t>Confirmed gestational age determined by last menstrual period and/or ultrasound.</w:t>
      </w:r>
    </w:p>
    <w:p w:rsidR="001E27AD" w:rsidRPr="003859E3" w:rsidRDefault="001E27AD" w:rsidP="003859E3">
      <w:pPr>
        <w:pStyle w:val="NormalWeb"/>
        <w:numPr>
          <w:ilvl w:val="0"/>
          <w:numId w:val="3"/>
        </w:numPr>
        <w:jc w:val="both"/>
      </w:pPr>
      <w:r w:rsidRPr="003859E3">
        <w:t>Malaria-positive (MP+) and malaria-negative (MP−) status confirmed by microscopy and/or rapid diagnostic test (RDT).</w:t>
      </w:r>
    </w:p>
    <w:p w:rsidR="001E27AD" w:rsidRPr="003859E3" w:rsidRDefault="001E27AD" w:rsidP="003859E3">
      <w:pPr>
        <w:pStyle w:val="NormalWeb"/>
        <w:numPr>
          <w:ilvl w:val="0"/>
          <w:numId w:val="3"/>
        </w:numPr>
        <w:jc w:val="both"/>
      </w:pPr>
      <w:r w:rsidRPr="003859E3">
        <w:t>Non-pregnant healthy women of reproductive age for the control group.</w:t>
      </w:r>
    </w:p>
    <w:p w:rsidR="001E27AD" w:rsidRPr="003859E3" w:rsidRDefault="001E27AD" w:rsidP="003859E3">
      <w:pPr>
        <w:pStyle w:val="NormalWeb"/>
        <w:jc w:val="both"/>
      </w:pPr>
      <w:r w:rsidRPr="003859E3">
        <w:rPr>
          <w:rStyle w:val="Strong"/>
          <w:rFonts w:eastAsiaTheme="majorEastAsia"/>
        </w:rPr>
        <w:t>Exclusion criteria:</w:t>
      </w:r>
    </w:p>
    <w:p w:rsidR="001E27AD" w:rsidRPr="003859E3" w:rsidRDefault="001E27AD" w:rsidP="003859E3">
      <w:pPr>
        <w:pStyle w:val="NormalWeb"/>
        <w:numPr>
          <w:ilvl w:val="0"/>
          <w:numId w:val="4"/>
        </w:numPr>
        <w:jc w:val="both"/>
      </w:pPr>
      <w:r w:rsidRPr="003859E3">
        <w:t>Pregnant women with chronic medical conditions such as sickle cell disease, HIV infection, or diabetes.</w:t>
      </w:r>
    </w:p>
    <w:p w:rsidR="001E27AD" w:rsidRPr="003859E3" w:rsidRDefault="001E27AD" w:rsidP="003859E3">
      <w:pPr>
        <w:pStyle w:val="NormalWeb"/>
        <w:numPr>
          <w:ilvl w:val="0"/>
          <w:numId w:val="4"/>
        </w:numPr>
        <w:jc w:val="both"/>
      </w:pPr>
      <w:r w:rsidRPr="003859E3">
        <w:t>Women currently on haematopoietic or antimalarial therapy.</w:t>
      </w:r>
    </w:p>
    <w:p w:rsidR="001E27AD" w:rsidRPr="003859E3" w:rsidRDefault="001E27AD" w:rsidP="003859E3">
      <w:pPr>
        <w:pStyle w:val="NormalWeb"/>
        <w:numPr>
          <w:ilvl w:val="0"/>
          <w:numId w:val="4"/>
        </w:numPr>
        <w:jc w:val="both"/>
      </w:pPr>
      <w:r w:rsidRPr="003859E3">
        <w:t>Women with recent blood transfusions within the last 3 months.</w:t>
      </w:r>
    </w:p>
    <w:p w:rsidR="001E27AD" w:rsidRPr="003859E3" w:rsidRDefault="001E27AD" w:rsidP="003859E3">
      <w:pPr>
        <w:pStyle w:val="Heading3"/>
        <w:spacing w:line="240" w:lineRule="auto"/>
        <w:jc w:val="both"/>
        <w:rPr>
          <w:rFonts w:ascii="Times New Roman" w:hAnsi="Times New Roman" w:cs="Times New Roman"/>
          <w:b/>
          <w:color w:val="auto"/>
        </w:rPr>
      </w:pPr>
      <w:r w:rsidRPr="003859E3">
        <w:rPr>
          <w:rFonts w:ascii="Times New Roman" w:hAnsi="Times New Roman" w:cs="Times New Roman"/>
          <w:b/>
          <w:color w:val="auto"/>
        </w:rPr>
        <w:t>Sample Size Determination</w:t>
      </w:r>
    </w:p>
    <w:p w:rsidR="001E27AD" w:rsidRPr="003859E3" w:rsidRDefault="001E27AD" w:rsidP="003859E3">
      <w:pPr>
        <w:pStyle w:val="NormalWeb"/>
        <w:jc w:val="both"/>
      </w:pPr>
      <w:r w:rsidRPr="003859E3">
        <w:t xml:space="preserve">A total of </w:t>
      </w:r>
      <w:r w:rsidRPr="003859E3">
        <w:rPr>
          <w:rStyle w:val="Strong"/>
          <w:rFonts w:eastAsiaTheme="majorEastAsia"/>
          <w:b w:val="0"/>
        </w:rPr>
        <w:t>150 participants</w:t>
      </w:r>
      <w:r w:rsidRPr="003859E3">
        <w:t xml:space="preserve"> were recruited for the study, divided equally into three groups of 50 each (MP+, MP−, and controls). Sample size was calculated using the formula for comparing means between independent groups with a 95% confidence interval, 80% power, and estimated effect size based on previous studies of haematological alterations in malaria-infected pregnant women.</w:t>
      </w:r>
    </w:p>
    <w:p w:rsidR="001E27AD" w:rsidRPr="003859E3" w:rsidRDefault="001E27AD" w:rsidP="003859E3">
      <w:pPr>
        <w:pStyle w:val="Heading3"/>
        <w:spacing w:line="240" w:lineRule="auto"/>
        <w:jc w:val="both"/>
        <w:rPr>
          <w:rFonts w:ascii="Times New Roman" w:hAnsi="Times New Roman" w:cs="Times New Roman"/>
          <w:b/>
          <w:color w:val="auto"/>
        </w:rPr>
      </w:pPr>
      <w:r w:rsidRPr="003859E3">
        <w:rPr>
          <w:rFonts w:ascii="Times New Roman" w:hAnsi="Times New Roman" w:cs="Times New Roman"/>
          <w:b/>
          <w:color w:val="auto"/>
        </w:rPr>
        <w:lastRenderedPageBreak/>
        <w:t>Sampling Technique</w:t>
      </w:r>
    </w:p>
    <w:p w:rsidR="001E27AD" w:rsidRPr="003859E3" w:rsidRDefault="001E27AD" w:rsidP="003859E3">
      <w:pPr>
        <w:pStyle w:val="NormalWeb"/>
        <w:jc w:val="both"/>
      </w:pPr>
      <w:r w:rsidRPr="003859E3">
        <w:t xml:space="preserve">A </w:t>
      </w:r>
      <w:r w:rsidRPr="003859E3">
        <w:rPr>
          <w:rStyle w:val="Strong"/>
          <w:rFonts w:eastAsiaTheme="majorEastAsia"/>
          <w:b w:val="0"/>
        </w:rPr>
        <w:t>purposive sampling technique</w:t>
      </w:r>
      <w:r w:rsidRPr="003859E3">
        <w:t xml:space="preserve"> was employed for recruiting pregnant women attending antenatal clinics. Non-pregnant controls were recruited from the general population using convenience sampling, ensuring age-matched participants with no current malaria infection.</w:t>
      </w:r>
    </w:p>
    <w:p w:rsidR="001E27AD" w:rsidRPr="003859E3" w:rsidRDefault="001E27AD" w:rsidP="003859E3">
      <w:pPr>
        <w:pStyle w:val="Heading4"/>
        <w:spacing w:line="240" w:lineRule="auto"/>
        <w:jc w:val="both"/>
        <w:rPr>
          <w:rFonts w:ascii="Times New Roman" w:hAnsi="Times New Roman" w:cs="Times New Roman"/>
          <w:b/>
          <w:i w:val="0"/>
          <w:color w:val="auto"/>
          <w:sz w:val="24"/>
          <w:szCs w:val="24"/>
        </w:rPr>
      </w:pPr>
      <w:r w:rsidRPr="003859E3">
        <w:rPr>
          <w:rFonts w:ascii="Times New Roman" w:hAnsi="Times New Roman" w:cs="Times New Roman"/>
          <w:b/>
          <w:i w:val="0"/>
          <w:color w:val="auto"/>
          <w:sz w:val="24"/>
          <w:szCs w:val="24"/>
        </w:rPr>
        <w:t>Laboratory Procedures</w:t>
      </w:r>
    </w:p>
    <w:p w:rsidR="001E27AD" w:rsidRPr="003859E3" w:rsidRDefault="001E27AD" w:rsidP="003859E3">
      <w:pPr>
        <w:pStyle w:val="NormalWeb"/>
        <w:jc w:val="both"/>
      </w:pPr>
      <w:r w:rsidRPr="003859E3">
        <w:rPr>
          <w:rStyle w:val="Strong"/>
          <w:rFonts w:eastAsiaTheme="majorEastAsia"/>
        </w:rPr>
        <w:t>Malaria Diagnosis:</w:t>
      </w:r>
    </w:p>
    <w:p w:rsidR="001E27AD" w:rsidRPr="003859E3" w:rsidRDefault="001E27AD" w:rsidP="003859E3">
      <w:pPr>
        <w:pStyle w:val="NormalWeb"/>
        <w:numPr>
          <w:ilvl w:val="0"/>
          <w:numId w:val="5"/>
        </w:numPr>
        <w:jc w:val="both"/>
      </w:pPr>
      <w:r w:rsidRPr="003859E3">
        <w:t xml:space="preserve">Malaria infection was confirmed using </w:t>
      </w:r>
      <w:r w:rsidRPr="003859E3">
        <w:rPr>
          <w:rStyle w:val="Strong"/>
          <w:rFonts w:eastAsiaTheme="majorEastAsia"/>
          <w:b w:val="0"/>
        </w:rPr>
        <w:t>thick and thin blood smears</w:t>
      </w:r>
      <w:r w:rsidRPr="003859E3">
        <w:rPr>
          <w:b/>
        </w:rPr>
        <w:t xml:space="preserve"> </w:t>
      </w:r>
      <w:r w:rsidRPr="003859E3">
        <w:t>stained with Giemsa and examined under a light microscope.</w:t>
      </w:r>
    </w:p>
    <w:p w:rsidR="001E27AD" w:rsidRPr="003859E3" w:rsidRDefault="001E27AD" w:rsidP="003859E3">
      <w:pPr>
        <w:pStyle w:val="NormalWeb"/>
        <w:numPr>
          <w:ilvl w:val="0"/>
          <w:numId w:val="5"/>
        </w:numPr>
        <w:jc w:val="both"/>
      </w:pPr>
      <w:r w:rsidRPr="003859E3">
        <w:t>Rapid diagnostic tests (RDTs) were used to complement microscopy results and confirm Plasmodium species.</w:t>
      </w:r>
    </w:p>
    <w:p w:rsidR="001E27AD" w:rsidRPr="003859E3" w:rsidRDefault="001E27AD" w:rsidP="003859E3">
      <w:pPr>
        <w:pStyle w:val="NormalWeb"/>
        <w:jc w:val="both"/>
      </w:pPr>
      <w:r w:rsidRPr="003859E3">
        <w:rPr>
          <w:rStyle w:val="Strong"/>
          <w:rFonts w:eastAsiaTheme="majorEastAsia"/>
        </w:rPr>
        <w:t>Blood Sample Collection:</w:t>
      </w:r>
    </w:p>
    <w:p w:rsidR="001E27AD" w:rsidRPr="003859E3" w:rsidRDefault="001E27AD" w:rsidP="003859E3">
      <w:pPr>
        <w:pStyle w:val="NormalWeb"/>
        <w:numPr>
          <w:ilvl w:val="0"/>
          <w:numId w:val="6"/>
        </w:numPr>
        <w:jc w:val="both"/>
      </w:pPr>
      <w:r w:rsidRPr="003859E3">
        <w:rPr>
          <w:rStyle w:val="Strong"/>
          <w:rFonts w:eastAsiaTheme="majorEastAsia"/>
          <w:b w:val="0"/>
        </w:rPr>
        <w:t>5 mL of venous blood</w:t>
      </w:r>
      <w:r w:rsidRPr="003859E3">
        <w:t xml:space="preserve"> was collected from each participant into EDTA anticoagulant tubes.</w:t>
      </w:r>
    </w:p>
    <w:p w:rsidR="001E27AD" w:rsidRPr="003859E3" w:rsidRDefault="001E27AD" w:rsidP="003859E3">
      <w:pPr>
        <w:pStyle w:val="NormalWeb"/>
        <w:numPr>
          <w:ilvl w:val="0"/>
          <w:numId w:val="6"/>
        </w:numPr>
        <w:jc w:val="both"/>
      </w:pPr>
      <w:r w:rsidRPr="003859E3">
        <w:t>Samples were analyzed within 2–4 hours of collection to ensure reliability of haematological measurements.</w:t>
      </w:r>
    </w:p>
    <w:p w:rsidR="001E27AD" w:rsidRPr="003859E3" w:rsidRDefault="001E27AD" w:rsidP="003859E3">
      <w:pPr>
        <w:pStyle w:val="NormalWeb"/>
        <w:jc w:val="both"/>
      </w:pPr>
      <w:r w:rsidRPr="003859E3">
        <w:rPr>
          <w:rStyle w:val="Strong"/>
          <w:rFonts w:eastAsiaTheme="majorEastAsia"/>
        </w:rPr>
        <w:t>Haematological Analysis:</w:t>
      </w:r>
    </w:p>
    <w:p w:rsidR="001E27AD" w:rsidRPr="003859E3" w:rsidRDefault="001E27AD" w:rsidP="003859E3">
      <w:pPr>
        <w:pStyle w:val="NormalWeb"/>
        <w:numPr>
          <w:ilvl w:val="0"/>
          <w:numId w:val="7"/>
        </w:numPr>
        <w:jc w:val="both"/>
      </w:pPr>
      <w:r w:rsidRPr="003859E3">
        <w:t xml:space="preserve">Complete blood counts were performed using an </w:t>
      </w:r>
      <w:r w:rsidRPr="003859E3">
        <w:rPr>
          <w:rStyle w:val="Strong"/>
          <w:rFonts w:eastAsiaTheme="majorEastAsia"/>
        </w:rPr>
        <w:t xml:space="preserve">automated </w:t>
      </w:r>
      <w:r w:rsidRPr="003859E3">
        <w:rPr>
          <w:rStyle w:val="Strong"/>
          <w:rFonts w:eastAsiaTheme="majorEastAsia"/>
          <w:b w:val="0"/>
        </w:rPr>
        <w:t>haematology analyzer</w:t>
      </w:r>
      <w:r w:rsidRPr="003859E3">
        <w:t>.</w:t>
      </w:r>
    </w:p>
    <w:p w:rsidR="001E27AD" w:rsidRPr="003859E3" w:rsidRDefault="001E27AD" w:rsidP="003859E3">
      <w:pPr>
        <w:pStyle w:val="NormalWeb"/>
        <w:numPr>
          <w:ilvl w:val="0"/>
          <w:numId w:val="7"/>
        </w:numPr>
        <w:jc w:val="both"/>
      </w:pPr>
      <w:r w:rsidRPr="003859E3">
        <w:t>Parameters measured included:</w:t>
      </w:r>
    </w:p>
    <w:p w:rsidR="001E27AD" w:rsidRPr="003859E3" w:rsidRDefault="001E27AD" w:rsidP="003859E3">
      <w:pPr>
        <w:pStyle w:val="NormalWeb"/>
        <w:numPr>
          <w:ilvl w:val="1"/>
          <w:numId w:val="7"/>
        </w:numPr>
        <w:jc w:val="both"/>
      </w:pPr>
      <w:r w:rsidRPr="003859E3">
        <w:t>Haemoglobin concentration (Hb, g/dL)</w:t>
      </w:r>
    </w:p>
    <w:p w:rsidR="001E27AD" w:rsidRPr="003859E3" w:rsidRDefault="001E27AD" w:rsidP="003859E3">
      <w:pPr>
        <w:pStyle w:val="NormalWeb"/>
        <w:numPr>
          <w:ilvl w:val="1"/>
          <w:numId w:val="7"/>
        </w:numPr>
        <w:jc w:val="both"/>
      </w:pPr>
      <w:r w:rsidRPr="003859E3">
        <w:t>Packed cell volume (PCV, %)</w:t>
      </w:r>
    </w:p>
    <w:p w:rsidR="001E27AD" w:rsidRPr="003859E3" w:rsidRDefault="001E27AD" w:rsidP="003859E3">
      <w:pPr>
        <w:pStyle w:val="NormalWeb"/>
        <w:numPr>
          <w:ilvl w:val="1"/>
          <w:numId w:val="7"/>
        </w:numPr>
        <w:jc w:val="both"/>
      </w:pPr>
      <w:r w:rsidRPr="003859E3">
        <w:t>Red blood cell count (RBC, ×10¹²/L)</w:t>
      </w:r>
    </w:p>
    <w:p w:rsidR="001E27AD" w:rsidRPr="003859E3" w:rsidRDefault="001E27AD" w:rsidP="003859E3">
      <w:pPr>
        <w:pStyle w:val="NormalWeb"/>
        <w:numPr>
          <w:ilvl w:val="1"/>
          <w:numId w:val="7"/>
        </w:numPr>
        <w:jc w:val="both"/>
      </w:pPr>
      <w:r w:rsidRPr="003859E3">
        <w:t>Mean corpuscular volume (MCV, fL)</w:t>
      </w:r>
    </w:p>
    <w:p w:rsidR="001E27AD" w:rsidRPr="003859E3" w:rsidRDefault="001E27AD" w:rsidP="003859E3">
      <w:pPr>
        <w:pStyle w:val="NormalWeb"/>
        <w:numPr>
          <w:ilvl w:val="1"/>
          <w:numId w:val="7"/>
        </w:numPr>
        <w:jc w:val="both"/>
      </w:pPr>
      <w:r w:rsidRPr="003859E3">
        <w:t>Mean corpuscular haemoglobin (MCH, pg)</w:t>
      </w:r>
    </w:p>
    <w:p w:rsidR="001E27AD" w:rsidRPr="003859E3" w:rsidRDefault="001E27AD" w:rsidP="003859E3">
      <w:pPr>
        <w:pStyle w:val="NormalWeb"/>
        <w:numPr>
          <w:ilvl w:val="1"/>
          <w:numId w:val="7"/>
        </w:numPr>
        <w:jc w:val="both"/>
      </w:pPr>
      <w:r w:rsidRPr="003859E3">
        <w:t>Mean corpuscular haemoglobin concentration (MCHC, g/dL)</w:t>
      </w:r>
    </w:p>
    <w:p w:rsidR="001E27AD" w:rsidRPr="003859E3" w:rsidRDefault="001E27AD" w:rsidP="003859E3">
      <w:pPr>
        <w:pStyle w:val="NormalWeb"/>
        <w:numPr>
          <w:ilvl w:val="1"/>
          <w:numId w:val="7"/>
        </w:numPr>
        <w:jc w:val="both"/>
      </w:pPr>
      <w:r w:rsidRPr="003859E3">
        <w:t>Red cell distribution width (RDW, %)</w:t>
      </w:r>
    </w:p>
    <w:p w:rsidR="001E27AD" w:rsidRPr="003859E3" w:rsidRDefault="001E27AD" w:rsidP="003859E3">
      <w:pPr>
        <w:pStyle w:val="Heading3"/>
        <w:spacing w:line="240" w:lineRule="auto"/>
        <w:jc w:val="both"/>
        <w:rPr>
          <w:rFonts w:ascii="Times New Roman" w:hAnsi="Times New Roman" w:cs="Times New Roman"/>
          <w:color w:val="auto"/>
        </w:rPr>
      </w:pPr>
      <w:r w:rsidRPr="003859E3">
        <w:rPr>
          <w:rFonts w:ascii="Times New Roman" w:hAnsi="Times New Roman" w:cs="Times New Roman"/>
          <w:color w:val="auto"/>
        </w:rPr>
        <w:t>Statistical Analysis</w:t>
      </w:r>
    </w:p>
    <w:p w:rsidR="001E27AD" w:rsidRPr="003859E3" w:rsidRDefault="001E27AD" w:rsidP="003859E3">
      <w:pPr>
        <w:pStyle w:val="NormalWeb"/>
        <w:numPr>
          <w:ilvl w:val="0"/>
          <w:numId w:val="8"/>
        </w:numPr>
        <w:jc w:val="both"/>
      </w:pPr>
      <w:r w:rsidRPr="003859E3">
        <w:t xml:space="preserve">Data were analyzed using </w:t>
      </w:r>
      <w:r w:rsidRPr="003859E3">
        <w:rPr>
          <w:rStyle w:val="Strong"/>
          <w:rFonts w:eastAsiaTheme="majorEastAsia"/>
          <w:b w:val="0"/>
        </w:rPr>
        <w:t>SPSS version 26.0</w:t>
      </w:r>
      <w:r w:rsidRPr="003859E3">
        <w:t>.</w:t>
      </w:r>
    </w:p>
    <w:p w:rsidR="001E27AD" w:rsidRPr="003859E3" w:rsidRDefault="001E27AD" w:rsidP="003859E3">
      <w:pPr>
        <w:pStyle w:val="NormalWeb"/>
        <w:numPr>
          <w:ilvl w:val="0"/>
          <w:numId w:val="8"/>
        </w:numPr>
        <w:jc w:val="both"/>
      </w:pPr>
      <w:r w:rsidRPr="003859E3">
        <w:rPr>
          <w:rStyle w:val="Strong"/>
          <w:rFonts w:eastAsiaTheme="majorEastAsia"/>
          <w:b w:val="0"/>
        </w:rPr>
        <w:t>Descriptive statistics</w:t>
      </w:r>
      <w:r w:rsidRPr="003859E3">
        <w:t xml:space="preserve"> (mean ± standard deviation) were calculated for all erythrocyte indices in each group.</w:t>
      </w:r>
    </w:p>
    <w:p w:rsidR="001E27AD" w:rsidRPr="003859E3" w:rsidRDefault="001E27AD" w:rsidP="003859E3">
      <w:pPr>
        <w:pStyle w:val="NormalWeb"/>
        <w:numPr>
          <w:ilvl w:val="0"/>
          <w:numId w:val="8"/>
        </w:numPr>
        <w:jc w:val="both"/>
      </w:pPr>
      <w:r w:rsidRPr="003859E3">
        <w:rPr>
          <w:rStyle w:val="Strong"/>
          <w:rFonts w:eastAsiaTheme="majorEastAsia"/>
          <w:b w:val="0"/>
        </w:rPr>
        <w:t>Comparative analysis</w:t>
      </w:r>
      <w:r w:rsidRPr="003859E3">
        <w:t xml:space="preserve"> was performed using </w:t>
      </w:r>
      <w:r w:rsidRPr="003859E3">
        <w:rPr>
          <w:rStyle w:val="Strong"/>
          <w:rFonts w:eastAsiaTheme="majorEastAsia"/>
          <w:b w:val="0"/>
        </w:rPr>
        <w:t>Student’s t-test</w:t>
      </w:r>
      <w:r w:rsidRPr="003859E3">
        <w:t xml:space="preserve"> for pairwise comparisons and </w:t>
      </w:r>
      <w:r w:rsidRPr="003859E3">
        <w:rPr>
          <w:rStyle w:val="Strong"/>
          <w:rFonts w:eastAsiaTheme="majorEastAsia"/>
          <w:b w:val="0"/>
        </w:rPr>
        <w:t>one-way analysis of variance (ANOVA)</w:t>
      </w:r>
      <w:r w:rsidRPr="003859E3">
        <w:t xml:space="preserve"> to evaluate differences among the three groups.</w:t>
      </w:r>
    </w:p>
    <w:p w:rsidR="001E27AD" w:rsidRPr="003859E3" w:rsidRDefault="001E27AD" w:rsidP="003859E3">
      <w:pPr>
        <w:pStyle w:val="NormalWeb"/>
        <w:numPr>
          <w:ilvl w:val="0"/>
          <w:numId w:val="8"/>
        </w:numPr>
        <w:jc w:val="both"/>
      </w:pPr>
      <w:r w:rsidRPr="003859E3">
        <w:t xml:space="preserve">A </w:t>
      </w:r>
      <w:r w:rsidRPr="003859E3">
        <w:rPr>
          <w:rStyle w:val="Strong"/>
          <w:rFonts w:eastAsiaTheme="majorEastAsia"/>
          <w:b w:val="0"/>
        </w:rPr>
        <w:t>p-value &lt;0.05</w:t>
      </w:r>
      <w:r w:rsidRPr="003859E3">
        <w:t xml:space="preserve"> was considered statistically significant.</w:t>
      </w:r>
    </w:p>
    <w:p w:rsidR="001E27AD" w:rsidRPr="003859E3" w:rsidRDefault="001E27AD" w:rsidP="003859E3">
      <w:pPr>
        <w:pStyle w:val="Heading3"/>
        <w:spacing w:line="240" w:lineRule="auto"/>
        <w:jc w:val="both"/>
        <w:rPr>
          <w:rFonts w:ascii="Times New Roman" w:hAnsi="Times New Roman" w:cs="Times New Roman"/>
          <w:b/>
          <w:color w:val="auto"/>
        </w:rPr>
      </w:pPr>
      <w:r w:rsidRPr="003859E3">
        <w:rPr>
          <w:rFonts w:ascii="Times New Roman" w:hAnsi="Times New Roman" w:cs="Times New Roman"/>
          <w:b/>
          <w:color w:val="auto"/>
        </w:rPr>
        <w:t>Quality Control</w:t>
      </w:r>
    </w:p>
    <w:p w:rsidR="001E27AD" w:rsidRPr="003859E3" w:rsidRDefault="001E27AD" w:rsidP="003859E3">
      <w:pPr>
        <w:pStyle w:val="NormalWeb"/>
        <w:numPr>
          <w:ilvl w:val="0"/>
          <w:numId w:val="9"/>
        </w:numPr>
        <w:jc w:val="both"/>
      </w:pPr>
      <w:r w:rsidRPr="003859E3">
        <w:t xml:space="preserve">All laboratory procedures followed </w:t>
      </w:r>
      <w:r w:rsidRPr="003859E3">
        <w:rPr>
          <w:rStyle w:val="Strong"/>
          <w:rFonts w:eastAsiaTheme="majorEastAsia"/>
          <w:b w:val="0"/>
        </w:rPr>
        <w:t>standard operating protocols</w:t>
      </w:r>
      <w:r w:rsidRPr="003859E3">
        <w:t>.</w:t>
      </w:r>
    </w:p>
    <w:p w:rsidR="001E27AD" w:rsidRPr="003859E3" w:rsidRDefault="001E27AD" w:rsidP="003859E3">
      <w:pPr>
        <w:pStyle w:val="NormalWeb"/>
        <w:numPr>
          <w:ilvl w:val="0"/>
          <w:numId w:val="9"/>
        </w:numPr>
        <w:jc w:val="both"/>
      </w:pPr>
      <w:r w:rsidRPr="003859E3">
        <w:lastRenderedPageBreak/>
        <w:t>Equipment calibration was performed daily, and internal controls were run for the haematology analyzer.</w:t>
      </w:r>
    </w:p>
    <w:p w:rsidR="001E27AD" w:rsidRPr="003859E3" w:rsidRDefault="001E27AD" w:rsidP="003859E3">
      <w:pPr>
        <w:pStyle w:val="NormalWeb"/>
        <w:numPr>
          <w:ilvl w:val="0"/>
          <w:numId w:val="9"/>
        </w:numPr>
        <w:jc w:val="both"/>
      </w:pPr>
      <w:r w:rsidRPr="003859E3">
        <w:t>Two independent microscopists cross-verified malaria parasite identification to minimize diagnostic errors.</w:t>
      </w:r>
    </w:p>
    <w:p w:rsidR="005A454F" w:rsidRPr="00C51780" w:rsidRDefault="005A454F" w:rsidP="003859E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C51780">
        <w:rPr>
          <w:rFonts w:ascii="Times New Roman" w:eastAsia="Times New Roman" w:hAnsi="Times New Roman" w:cs="Times New Roman"/>
          <w:b/>
          <w:bCs/>
          <w:sz w:val="24"/>
          <w:szCs w:val="24"/>
        </w:rPr>
        <w:t>Results</w:t>
      </w:r>
    </w:p>
    <w:p w:rsidR="005A454F" w:rsidRPr="00C51780" w:rsidRDefault="005A454F" w:rsidP="003859E3">
      <w:pPr>
        <w:spacing w:before="100" w:beforeAutospacing="1" w:after="100" w:afterAutospacing="1" w:line="240" w:lineRule="auto"/>
        <w:jc w:val="both"/>
        <w:rPr>
          <w:rFonts w:ascii="Times New Roman" w:eastAsia="Times New Roman" w:hAnsi="Times New Roman" w:cs="Times New Roman"/>
          <w:sz w:val="24"/>
          <w:szCs w:val="24"/>
        </w:rPr>
      </w:pPr>
      <w:r w:rsidRPr="00C51780">
        <w:rPr>
          <w:rFonts w:ascii="Times New Roman" w:eastAsia="Times New Roman" w:hAnsi="Times New Roman" w:cs="Times New Roman"/>
          <w:sz w:val="24"/>
          <w:szCs w:val="24"/>
        </w:rPr>
        <w:t xml:space="preserve">The erythrocyte indices of malaria-positive pregnant women (MP+), malaria-negative pregnant women (MP−), and non-pregnant controls were evaluated using descriptive statistics, Student’s </w:t>
      </w:r>
      <w:r w:rsidRPr="003859E3">
        <w:rPr>
          <w:rFonts w:ascii="Times New Roman" w:eastAsia="Times New Roman" w:hAnsi="Times New Roman" w:cs="Times New Roman"/>
          <w:i/>
          <w:iCs/>
          <w:sz w:val="24"/>
          <w:szCs w:val="24"/>
        </w:rPr>
        <w:t>t</w:t>
      </w:r>
      <w:r w:rsidRPr="00C51780">
        <w:rPr>
          <w:rFonts w:ascii="Times New Roman" w:eastAsia="Times New Roman" w:hAnsi="Times New Roman" w:cs="Times New Roman"/>
          <w:sz w:val="24"/>
          <w:szCs w:val="24"/>
        </w:rPr>
        <w:t>-test, and one-way ANOVA. The results are presented in Tables 1–3.</w:t>
      </w:r>
      <w:r w:rsidRPr="003859E3">
        <w:rPr>
          <w:rFonts w:ascii="Times New Roman" w:eastAsia="Times New Roman" w:hAnsi="Times New Roman" w:cs="Times New Roman"/>
          <w:sz w:val="24"/>
          <w:szCs w:val="24"/>
        </w:rPr>
        <w:t xml:space="preserve"> </w:t>
      </w:r>
      <w:r w:rsidRPr="00C51780">
        <w:rPr>
          <w:rFonts w:ascii="Times New Roman" w:eastAsia="Times New Roman" w:hAnsi="Times New Roman" w:cs="Times New Roman"/>
          <w:sz w:val="24"/>
          <w:szCs w:val="24"/>
        </w:rPr>
        <w:t>The mean haemoglobin (Hb) concentration was lowest among malaria-positive pregnant women (10.01 ± 1.05 g/dL), followed by malaria-negative pregnant women (10.54 ± 1.02 g/dL), while the highest mean value was observed among the non-pregnant control group (12.25 ± 1.41 g/dL). The differences among the three groups were statistically significant (</w:t>
      </w:r>
      <w:r w:rsidRPr="003859E3">
        <w:rPr>
          <w:rFonts w:ascii="Times New Roman" w:eastAsia="Times New Roman" w:hAnsi="Times New Roman" w:cs="Times New Roman"/>
          <w:i/>
          <w:iCs/>
          <w:sz w:val="24"/>
          <w:szCs w:val="24"/>
        </w:rPr>
        <w:t>F</w:t>
      </w:r>
      <w:r w:rsidRPr="00C51780">
        <w:rPr>
          <w:rFonts w:ascii="Times New Roman" w:eastAsia="Times New Roman" w:hAnsi="Times New Roman" w:cs="Times New Roman"/>
          <w:sz w:val="24"/>
          <w:szCs w:val="24"/>
        </w:rPr>
        <w:t xml:space="preserve"> = 32.84,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&lt; 0.001) as shown in Table 1. Similarly, the mean packed cell volume (PCV) was lower in malaria-positive pregnant women (30.05 ± 3.12 %) compared with malaria-negative pregnant women (31.72 ± 3.48 %) and controls (36.78 ± 4.51 %), with a statistically significant difference across the groups (</w:t>
      </w:r>
      <w:r w:rsidRPr="003859E3">
        <w:rPr>
          <w:rFonts w:ascii="Times New Roman" w:eastAsia="Times New Roman" w:hAnsi="Times New Roman" w:cs="Times New Roman"/>
          <w:i/>
          <w:iCs/>
          <w:sz w:val="24"/>
          <w:szCs w:val="24"/>
        </w:rPr>
        <w:t>F</w:t>
      </w:r>
      <w:r w:rsidRPr="00C51780">
        <w:rPr>
          <w:rFonts w:ascii="Times New Roman" w:eastAsia="Times New Roman" w:hAnsi="Times New Roman" w:cs="Times New Roman"/>
          <w:sz w:val="24"/>
          <w:szCs w:val="24"/>
        </w:rPr>
        <w:t xml:space="preserve"> = 41.27,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&lt; 0.001) (Table 1).</w:t>
      </w:r>
      <w:r w:rsidRPr="003859E3">
        <w:rPr>
          <w:rFonts w:ascii="Times New Roman" w:eastAsia="Times New Roman" w:hAnsi="Times New Roman" w:cs="Times New Roman"/>
          <w:sz w:val="24"/>
          <w:szCs w:val="24"/>
        </w:rPr>
        <w:t xml:space="preserve"> </w:t>
      </w:r>
      <w:r w:rsidRPr="00C51780">
        <w:rPr>
          <w:rFonts w:ascii="Times New Roman" w:eastAsia="Times New Roman" w:hAnsi="Times New Roman" w:cs="Times New Roman"/>
          <w:sz w:val="24"/>
          <w:szCs w:val="24"/>
        </w:rPr>
        <w:t>The mean red blood cell (RBC) count also showed variation among the groups. Malaria-positive pregnant women had the lowest mean RBC count (4.02 ± 0.41 × 10¹²/L), while malaria-negative pregnant women had a slightly higher value (4.16 ± 0.44 × 10¹²/L). The control group recorded the highest mean RBC count (4.67 ± 0.56 × 10¹²/L). The difference among the groups was statistically significant (</w:t>
      </w:r>
      <w:r w:rsidRPr="003859E3">
        <w:rPr>
          <w:rFonts w:ascii="Times New Roman" w:eastAsia="Times New Roman" w:hAnsi="Times New Roman" w:cs="Times New Roman"/>
          <w:i/>
          <w:iCs/>
          <w:sz w:val="24"/>
          <w:szCs w:val="24"/>
        </w:rPr>
        <w:t>F</w:t>
      </w:r>
      <w:r w:rsidRPr="00C51780">
        <w:rPr>
          <w:rFonts w:ascii="Times New Roman" w:eastAsia="Times New Roman" w:hAnsi="Times New Roman" w:cs="Times New Roman"/>
          <w:sz w:val="24"/>
          <w:szCs w:val="24"/>
        </w:rPr>
        <w:t xml:space="preserve"> = 18.63,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&lt; 0.001) as indicated in Table 1.</w:t>
      </w:r>
      <w:r w:rsidRPr="003859E3">
        <w:rPr>
          <w:rFonts w:ascii="Times New Roman" w:eastAsia="Times New Roman" w:hAnsi="Times New Roman" w:cs="Times New Roman"/>
          <w:sz w:val="24"/>
          <w:szCs w:val="24"/>
        </w:rPr>
        <w:t xml:space="preserve"> </w:t>
      </w:r>
      <w:r w:rsidRPr="00C51780">
        <w:rPr>
          <w:rFonts w:ascii="Times New Roman" w:eastAsia="Times New Roman" w:hAnsi="Times New Roman" w:cs="Times New Roman"/>
          <w:sz w:val="24"/>
          <w:szCs w:val="24"/>
        </w:rPr>
        <w:t>Regarding erythrocyte indices related to red cell size and haemoglobin content, the mean corpuscular volume (MCV) was lowest among malaria-positive pregnant women (74.86 ± 6.71 fL), followed by malaria-negative pregnant women (77.92 ± 7.83 fL), while the highest value was observed in the control group (80.94 ± 6.58 fL). This difference was statistically significant (</w:t>
      </w:r>
      <w:r w:rsidRPr="003859E3">
        <w:rPr>
          <w:rFonts w:ascii="Times New Roman" w:eastAsia="Times New Roman" w:hAnsi="Times New Roman" w:cs="Times New Roman"/>
          <w:i/>
          <w:iCs/>
          <w:sz w:val="24"/>
          <w:szCs w:val="24"/>
        </w:rPr>
        <w:t>F</w:t>
      </w:r>
      <w:r w:rsidRPr="00C51780">
        <w:rPr>
          <w:rFonts w:ascii="Times New Roman" w:eastAsia="Times New Roman" w:hAnsi="Times New Roman" w:cs="Times New Roman"/>
          <w:sz w:val="24"/>
          <w:szCs w:val="24"/>
        </w:rPr>
        <w:t xml:space="preserve"> = 9.74,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 0.002) (Table 1). The mean corpuscular haemoglobin (MCH) showed values of 21.03 ± 3.78 pg in malaria-positive pregnant women, 22.14 ± 3.65 pg in malaria-negative pregnant women, and 20.11 ± 5.26 pg in the control group, with a statistically significant difference among the groups (</w:t>
      </w:r>
      <w:r w:rsidRPr="003859E3">
        <w:rPr>
          <w:rFonts w:ascii="Times New Roman" w:eastAsia="Times New Roman" w:hAnsi="Times New Roman" w:cs="Times New Roman"/>
          <w:i/>
          <w:iCs/>
          <w:sz w:val="24"/>
          <w:szCs w:val="24"/>
        </w:rPr>
        <w:t>F</w:t>
      </w:r>
      <w:r w:rsidRPr="00C51780">
        <w:rPr>
          <w:rFonts w:ascii="Times New Roman" w:eastAsia="Times New Roman" w:hAnsi="Times New Roman" w:cs="Times New Roman"/>
          <w:sz w:val="24"/>
          <w:szCs w:val="24"/>
        </w:rPr>
        <w:t xml:space="preserve"> = 3.92,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 0.021) (Table 1).</w:t>
      </w:r>
      <w:r w:rsidRPr="003859E3">
        <w:rPr>
          <w:rFonts w:ascii="Times New Roman" w:eastAsia="Times New Roman" w:hAnsi="Times New Roman" w:cs="Times New Roman"/>
          <w:sz w:val="24"/>
          <w:szCs w:val="24"/>
        </w:rPr>
        <w:t xml:space="preserve"> </w:t>
      </w:r>
      <w:r w:rsidRPr="00C51780">
        <w:rPr>
          <w:rFonts w:ascii="Times New Roman" w:eastAsia="Times New Roman" w:hAnsi="Times New Roman" w:cs="Times New Roman"/>
          <w:sz w:val="24"/>
          <w:szCs w:val="24"/>
        </w:rPr>
        <w:t>In contrast, the mean corpuscular haemoglobin concentration (MCHC) showed minimal variation across the study groups, with mean values of 33.18 ± 0.12 g/dL for malaria-positive pregnant women, 33.21 ± 0.35 g/dL for malaria-negative pregnant women, and 33.22 ± 0.11 g/dL for controls. The difference was not statistically significant (</w:t>
      </w:r>
      <w:r w:rsidRPr="003859E3">
        <w:rPr>
          <w:rFonts w:ascii="Times New Roman" w:eastAsia="Times New Roman" w:hAnsi="Times New Roman" w:cs="Times New Roman"/>
          <w:i/>
          <w:iCs/>
          <w:sz w:val="24"/>
          <w:szCs w:val="24"/>
        </w:rPr>
        <w:t>F</w:t>
      </w:r>
      <w:r w:rsidRPr="00C51780">
        <w:rPr>
          <w:rFonts w:ascii="Times New Roman" w:eastAsia="Times New Roman" w:hAnsi="Times New Roman" w:cs="Times New Roman"/>
          <w:sz w:val="24"/>
          <w:szCs w:val="24"/>
        </w:rPr>
        <w:t xml:space="preserve"> = 0.43,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 0.652) (Table 1). Similarly, red cell distribution width (RDW) was 17.05 ± 0.78 %, 17.12 ± 0.92 %, and 17.44 ± 1.08 % for malaria-positive pregnant women, malaria-negative pregnant women, and controls respectively, and the variation was not statistically significant (</w:t>
      </w:r>
      <w:r w:rsidRPr="003859E3">
        <w:rPr>
          <w:rFonts w:ascii="Times New Roman" w:eastAsia="Times New Roman" w:hAnsi="Times New Roman" w:cs="Times New Roman"/>
          <w:i/>
          <w:iCs/>
          <w:sz w:val="24"/>
          <w:szCs w:val="24"/>
        </w:rPr>
        <w:t>F</w:t>
      </w:r>
      <w:r w:rsidRPr="00C51780">
        <w:rPr>
          <w:rFonts w:ascii="Times New Roman" w:eastAsia="Times New Roman" w:hAnsi="Times New Roman" w:cs="Times New Roman"/>
          <w:sz w:val="24"/>
          <w:szCs w:val="24"/>
        </w:rPr>
        <w:t xml:space="preserve"> = 2.16,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 0.118) (Table 1).</w:t>
      </w:r>
    </w:p>
    <w:p w:rsidR="005A454F" w:rsidRPr="00C51780" w:rsidRDefault="005A454F" w:rsidP="003859E3">
      <w:pPr>
        <w:spacing w:before="100" w:beforeAutospacing="1" w:after="100" w:afterAutospacing="1" w:line="240" w:lineRule="auto"/>
        <w:jc w:val="both"/>
        <w:rPr>
          <w:rFonts w:ascii="Times New Roman" w:eastAsia="Times New Roman" w:hAnsi="Times New Roman" w:cs="Times New Roman"/>
          <w:sz w:val="24"/>
          <w:szCs w:val="24"/>
        </w:rPr>
      </w:pPr>
      <w:r w:rsidRPr="00C51780">
        <w:rPr>
          <w:rFonts w:ascii="Times New Roman" w:eastAsia="Times New Roman" w:hAnsi="Times New Roman" w:cs="Times New Roman"/>
          <w:sz w:val="24"/>
          <w:szCs w:val="24"/>
        </w:rPr>
        <w:t xml:space="preserve">Pairwise comparison using Student’s </w:t>
      </w:r>
      <w:r w:rsidRPr="003859E3">
        <w:rPr>
          <w:rFonts w:ascii="Times New Roman" w:eastAsia="Times New Roman" w:hAnsi="Times New Roman" w:cs="Times New Roman"/>
          <w:i/>
          <w:iCs/>
          <w:sz w:val="24"/>
          <w:szCs w:val="24"/>
        </w:rPr>
        <w:t>t</w:t>
      </w:r>
      <w:r w:rsidRPr="00C51780">
        <w:rPr>
          <w:rFonts w:ascii="Times New Roman" w:eastAsia="Times New Roman" w:hAnsi="Times New Roman" w:cs="Times New Roman"/>
          <w:sz w:val="24"/>
          <w:szCs w:val="24"/>
        </w:rPr>
        <w:t>-test further revealed significant differences in haemoglobin concentration between malaria-positive pregnant women and malaria-negative pregnant women (</w:t>
      </w:r>
      <w:r w:rsidRPr="003859E3">
        <w:rPr>
          <w:rFonts w:ascii="Times New Roman" w:eastAsia="Times New Roman" w:hAnsi="Times New Roman" w:cs="Times New Roman"/>
          <w:i/>
          <w:iCs/>
          <w:sz w:val="24"/>
          <w:szCs w:val="24"/>
        </w:rPr>
        <w:t>t</w:t>
      </w:r>
      <w:r w:rsidRPr="00C51780">
        <w:rPr>
          <w:rFonts w:ascii="Times New Roman" w:eastAsia="Times New Roman" w:hAnsi="Times New Roman" w:cs="Times New Roman"/>
          <w:sz w:val="24"/>
          <w:szCs w:val="24"/>
        </w:rPr>
        <w:t xml:space="preserve"> = −2.54,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 0.013), between malaria-positive pregnant women and controls (</w:t>
      </w:r>
      <w:r w:rsidRPr="003859E3">
        <w:rPr>
          <w:rFonts w:ascii="Times New Roman" w:eastAsia="Times New Roman" w:hAnsi="Times New Roman" w:cs="Times New Roman"/>
          <w:i/>
          <w:iCs/>
          <w:sz w:val="24"/>
          <w:szCs w:val="24"/>
        </w:rPr>
        <w:t>t</w:t>
      </w:r>
      <w:r w:rsidRPr="00C51780">
        <w:rPr>
          <w:rFonts w:ascii="Times New Roman" w:eastAsia="Times New Roman" w:hAnsi="Times New Roman" w:cs="Times New Roman"/>
          <w:sz w:val="24"/>
          <w:szCs w:val="24"/>
        </w:rPr>
        <w:t xml:space="preserve"> = −7.12,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&lt; 0.001), and between malaria-negative pregnant women and controls (</w:t>
      </w:r>
      <w:r w:rsidRPr="003859E3">
        <w:rPr>
          <w:rFonts w:ascii="Times New Roman" w:eastAsia="Times New Roman" w:hAnsi="Times New Roman" w:cs="Times New Roman"/>
          <w:i/>
          <w:iCs/>
          <w:sz w:val="24"/>
          <w:szCs w:val="24"/>
        </w:rPr>
        <w:t>t</w:t>
      </w:r>
      <w:r w:rsidRPr="00C51780">
        <w:rPr>
          <w:rFonts w:ascii="Times New Roman" w:eastAsia="Times New Roman" w:hAnsi="Times New Roman" w:cs="Times New Roman"/>
          <w:sz w:val="24"/>
          <w:szCs w:val="24"/>
        </w:rPr>
        <w:t xml:space="preserve"> = −5.84,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&lt; 0.001) as presented in Table 2. Similar patterns were observed for PCV, where significant differences were found between malaria-positive pregnant women and malaria-negative pregnant women (</w:t>
      </w:r>
      <w:r w:rsidRPr="003859E3">
        <w:rPr>
          <w:rFonts w:ascii="Times New Roman" w:eastAsia="Times New Roman" w:hAnsi="Times New Roman" w:cs="Times New Roman"/>
          <w:i/>
          <w:iCs/>
          <w:sz w:val="24"/>
          <w:szCs w:val="24"/>
        </w:rPr>
        <w:t>t</w:t>
      </w:r>
      <w:r w:rsidRPr="00C51780">
        <w:rPr>
          <w:rFonts w:ascii="Times New Roman" w:eastAsia="Times New Roman" w:hAnsi="Times New Roman" w:cs="Times New Roman"/>
          <w:sz w:val="24"/>
          <w:szCs w:val="24"/>
        </w:rPr>
        <w:t xml:space="preserve"> = −2.31,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 0.023), malaria-positive pregnant women and controls (</w:t>
      </w:r>
      <w:r w:rsidRPr="003859E3">
        <w:rPr>
          <w:rFonts w:ascii="Times New Roman" w:eastAsia="Times New Roman" w:hAnsi="Times New Roman" w:cs="Times New Roman"/>
          <w:i/>
          <w:iCs/>
          <w:sz w:val="24"/>
          <w:szCs w:val="24"/>
        </w:rPr>
        <w:t>t</w:t>
      </w:r>
      <w:r w:rsidRPr="00C51780">
        <w:rPr>
          <w:rFonts w:ascii="Times New Roman" w:eastAsia="Times New Roman" w:hAnsi="Times New Roman" w:cs="Times New Roman"/>
          <w:sz w:val="24"/>
          <w:szCs w:val="24"/>
        </w:rPr>
        <w:t xml:space="preserve"> = −7.95,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&lt; 0.001), and malaria-negative pregnant women and controls (</w:t>
      </w:r>
      <w:r w:rsidRPr="003859E3">
        <w:rPr>
          <w:rFonts w:ascii="Times New Roman" w:eastAsia="Times New Roman" w:hAnsi="Times New Roman" w:cs="Times New Roman"/>
          <w:i/>
          <w:iCs/>
          <w:sz w:val="24"/>
          <w:szCs w:val="24"/>
        </w:rPr>
        <w:t>t</w:t>
      </w:r>
      <w:r w:rsidRPr="00C51780">
        <w:rPr>
          <w:rFonts w:ascii="Times New Roman" w:eastAsia="Times New Roman" w:hAnsi="Times New Roman" w:cs="Times New Roman"/>
          <w:sz w:val="24"/>
          <w:szCs w:val="24"/>
        </w:rPr>
        <w:t xml:space="preserve"> = −6.11,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&lt; 0.001) (Table 2).</w:t>
      </w:r>
      <w:r w:rsidRPr="003859E3">
        <w:rPr>
          <w:rFonts w:ascii="Times New Roman" w:eastAsia="Times New Roman" w:hAnsi="Times New Roman" w:cs="Times New Roman"/>
          <w:sz w:val="24"/>
          <w:szCs w:val="24"/>
        </w:rPr>
        <w:t xml:space="preserve"> </w:t>
      </w:r>
      <w:r w:rsidRPr="00C51780">
        <w:rPr>
          <w:rFonts w:ascii="Times New Roman" w:eastAsia="Times New Roman" w:hAnsi="Times New Roman" w:cs="Times New Roman"/>
          <w:sz w:val="24"/>
          <w:szCs w:val="24"/>
        </w:rPr>
        <w:t xml:space="preserve">For RBC count, no statistically significant difference was observed between malaria-positive and malaria-negative pregnant </w:t>
      </w:r>
      <w:r w:rsidRPr="00C51780">
        <w:rPr>
          <w:rFonts w:ascii="Times New Roman" w:eastAsia="Times New Roman" w:hAnsi="Times New Roman" w:cs="Times New Roman"/>
          <w:sz w:val="24"/>
          <w:szCs w:val="24"/>
        </w:rPr>
        <w:lastRenderedPageBreak/>
        <w:t>women (</w:t>
      </w:r>
      <w:r w:rsidRPr="003859E3">
        <w:rPr>
          <w:rFonts w:ascii="Times New Roman" w:eastAsia="Times New Roman" w:hAnsi="Times New Roman" w:cs="Times New Roman"/>
          <w:i/>
          <w:iCs/>
          <w:sz w:val="24"/>
          <w:szCs w:val="24"/>
        </w:rPr>
        <w:t>t</w:t>
      </w:r>
      <w:r w:rsidRPr="00C51780">
        <w:rPr>
          <w:rFonts w:ascii="Times New Roman" w:eastAsia="Times New Roman" w:hAnsi="Times New Roman" w:cs="Times New Roman"/>
          <w:sz w:val="24"/>
          <w:szCs w:val="24"/>
        </w:rPr>
        <w:t xml:space="preserve"> = −1.78,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 0.078). However, significant differences were found when both groups were compared with the control group (MP+ vs Control: </w:t>
      </w:r>
      <w:r w:rsidRPr="003859E3">
        <w:rPr>
          <w:rFonts w:ascii="Times New Roman" w:eastAsia="Times New Roman" w:hAnsi="Times New Roman" w:cs="Times New Roman"/>
          <w:i/>
          <w:iCs/>
          <w:sz w:val="24"/>
          <w:szCs w:val="24"/>
        </w:rPr>
        <w:t>t</w:t>
      </w:r>
      <w:r w:rsidRPr="00C51780">
        <w:rPr>
          <w:rFonts w:ascii="Times New Roman" w:eastAsia="Times New Roman" w:hAnsi="Times New Roman" w:cs="Times New Roman"/>
          <w:sz w:val="24"/>
          <w:szCs w:val="24"/>
        </w:rPr>
        <w:t xml:space="preserve"> = −5.41,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&lt; 0.001; MP− vs Control: </w:t>
      </w:r>
      <w:r w:rsidRPr="003859E3">
        <w:rPr>
          <w:rFonts w:ascii="Times New Roman" w:eastAsia="Times New Roman" w:hAnsi="Times New Roman" w:cs="Times New Roman"/>
          <w:i/>
          <w:iCs/>
          <w:sz w:val="24"/>
          <w:szCs w:val="24"/>
        </w:rPr>
        <w:t>t</w:t>
      </w:r>
      <w:r w:rsidRPr="00C51780">
        <w:rPr>
          <w:rFonts w:ascii="Times New Roman" w:eastAsia="Times New Roman" w:hAnsi="Times New Roman" w:cs="Times New Roman"/>
          <w:sz w:val="24"/>
          <w:szCs w:val="24"/>
        </w:rPr>
        <w:t xml:space="preserve"> = −4.02,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&lt; 0.001) (Table 2). The mean corpuscular volume (MCV) also differed significantly between malaria-positive and malaria-negative pregnant women (</w:t>
      </w:r>
      <w:r w:rsidRPr="003859E3">
        <w:rPr>
          <w:rFonts w:ascii="Times New Roman" w:eastAsia="Times New Roman" w:hAnsi="Times New Roman" w:cs="Times New Roman"/>
          <w:i/>
          <w:iCs/>
          <w:sz w:val="24"/>
          <w:szCs w:val="24"/>
        </w:rPr>
        <w:t>t</w:t>
      </w:r>
      <w:r w:rsidRPr="00C51780">
        <w:rPr>
          <w:rFonts w:ascii="Times New Roman" w:eastAsia="Times New Roman" w:hAnsi="Times New Roman" w:cs="Times New Roman"/>
          <w:sz w:val="24"/>
          <w:szCs w:val="24"/>
        </w:rPr>
        <w:t xml:space="preserve"> = −2.02,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 0.045), between malaria-positive pregnant women and controls (</w:t>
      </w:r>
      <w:r w:rsidRPr="003859E3">
        <w:rPr>
          <w:rFonts w:ascii="Times New Roman" w:eastAsia="Times New Roman" w:hAnsi="Times New Roman" w:cs="Times New Roman"/>
          <w:i/>
          <w:iCs/>
          <w:sz w:val="24"/>
          <w:szCs w:val="24"/>
        </w:rPr>
        <w:t>t</w:t>
      </w:r>
      <w:r w:rsidRPr="00C51780">
        <w:rPr>
          <w:rFonts w:ascii="Times New Roman" w:eastAsia="Times New Roman" w:hAnsi="Times New Roman" w:cs="Times New Roman"/>
          <w:sz w:val="24"/>
          <w:szCs w:val="24"/>
        </w:rPr>
        <w:t xml:space="preserve"> = −4.01,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&lt; 0.001), and between malaria-negative pregnant women and controls (</w:t>
      </w:r>
      <w:r w:rsidRPr="003859E3">
        <w:rPr>
          <w:rFonts w:ascii="Times New Roman" w:eastAsia="Times New Roman" w:hAnsi="Times New Roman" w:cs="Times New Roman"/>
          <w:i/>
          <w:iCs/>
          <w:sz w:val="24"/>
          <w:szCs w:val="24"/>
        </w:rPr>
        <w:t>t</w:t>
      </w:r>
      <w:r w:rsidRPr="00C51780">
        <w:rPr>
          <w:rFonts w:ascii="Times New Roman" w:eastAsia="Times New Roman" w:hAnsi="Times New Roman" w:cs="Times New Roman"/>
          <w:sz w:val="24"/>
          <w:szCs w:val="24"/>
        </w:rPr>
        <w:t xml:space="preserve"> = −2.24,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 0.027) (Table 2).</w:t>
      </w:r>
      <w:r w:rsidRPr="003859E3">
        <w:rPr>
          <w:rFonts w:ascii="Times New Roman" w:eastAsia="Times New Roman" w:hAnsi="Times New Roman" w:cs="Times New Roman"/>
          <w:sz w:val="24"/>
          <w:szCs w:val="24"/>
        </w:rPr>
        <w:t xml:space="preserve"> </w:t>
      </w:r>
      <w:r w:rsidRPr="00C51780">
        <w:rPr>
          <w:rFonts w:ascii="Times New Roman" w:eastAsia="Times New Roman" w:hAnsi="Times New Roman" w:cs="Times New Roman"/>
          <w:sz w:val="24"/>
          <w:szCs w:val="24"/>
        </w:rPr>
        <w:t>In contrast, no significant differences were observed in MCH between malaria-positive and malaria-negative pregnant women (</w:t>
      </w:r>
      <w:r w:rsidRPr="003859E3">
        <w:rPr>
          <w:rFonts w:ascii="Times New Roman" w:eastAsia="Times New Roman" w:hAnsi="Times New Roman" w:cs="Times New Roman"/>
          <w:i/>
          <w:iCs/>
          <w:sz w:val="24"/>
          <w:szCs w:val="24"/>
        </w:rPr>
        <w:t>t</w:t>
      </w:r>
      <w:r w:rsidRPr="00C51780">
        <w:rPr>
          <w:rFonts w:ascii="Times New Roman" w:eastAsia="Times New Roman" w:hAnsi="Times New Roman" w:cs="Times New Roman"/>
          <w:sz w:val="24"/>
          <w:szCs w:val="24"/>
        </w:rPr>
        <w:t xml:space="preserve"> = −1.51,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 0.134) or between malaria-positive pregnant women and controls (</w:t>
      </w:r>
      <w:r w:rsidRPr="003859E3">
        <w:rPr>
          <w:rFonts w:ascii="Times New Roman" w:eastAsia="Times New Roman" w:hAnsi="Times New Roman" w:cs="Times New Roman"/>
          <w:i/>
          <w:iCs/>
          <w:sz w:val="24"/>
          <w:szCs w:val="24"/>
        </w:rPr>
        <w:t>t</w:t>
      </w:r>
      <w:r w:rsidRPr="00C51780">
        <w:rPr>
          <w:rFonts w:ascii="Times New Roman" w:eastAsia="Times New Roman" w:hAnsi="Times New Roman" w:cs="Times New Roman"/>
          <w:sz w:val="24"/>
          <w:szCs w:val="24"/>
        </w:rPr>
        <w:t xml:space="preserve"> = 0.82,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 0.414). However, a marginally significant difference was observed between malaria-negative pregnant women and controls (</w:t>
      </w:r>
      <w:r w:rsidRPr="003859E3">
        <w:rPr>
          <w:rFonts w:ascii="Times New Roman" w:eastAsia="Times New Roman" w:hAnsi="Times New Roman" w:cs="Times New Roman"/>
          <w:i/>
          <w:iCs/>
          <w:sz w:val="24"/>
          <w:szCs w:val="24"/>
        </w:rPr>
        <w:t>t</w:t>
      </w:r>
      <w:r w:rsidRPr="00C51780">
        <w:rPr>
          <w:rFonts w:ascii="Times New Roman" w:eastAsia="Times New Roman" w:hAnsi="Times New Roman" w:cs="Times New Roman"/>
          <w:sz w:val="24"/>
          <w:szCs w:val="24"/>
        </w:rPr>
        <w:t xml:space="preserve"> = 2.02,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 0.046) (Table 2). Furthermore, MCHC and RDW did not show statistically significant differences between any of the compared groups (Table 2).</w:t>
      </w:r>
      <w:r w:rsidRPr="003859E3">
        <w:rPr>
          <w:rFonts w:ascii="Times New Roman" w:eastAsia="Times New Roman" w:hAnsi="Times New Roman" w:cs="Times New Roman"/>
          <w:sz w:val="24"/>
          <w:szCs w:val="24"/>
        </w:rPr>
        <w:t xml:space="preserve"> </w:t>
      </w:r>
      <w:r w:rsidRPr="00C51780">
        <w:rPr>
          <w:rFonts w:ascii="Times New Roman" w:eastAsia="Times New Roman" w:hAnsi="Times New Roman" w:cs="Times New Roman"/>
          <w:sz w:val="24"/>
          <w:szCs w:val="24"/>
        </w:rPr>
        <w:t>The one-way ANOVA results confirmed that significant differences existed among the three groups for Hb (</w:t>
      </w:r>
      <w:r w:rsidRPr="003859E3">
        <w:rPr>
          <w:rFonts w:ascii="Times New Roman" w:eastAsia="Times New Roman" w:hAnsi="Times New Roman" w:cs="Times New Roman"/>
          <w:i/>
          <w:iCs/>
          <w:sz w:val="24"/>
          <w:szCs w:val="24"/>
        </w:rPr>
        <w:t>F</w:t>
      </w:r>
      <w:r w:rsidRPr="00C51780">
        <w:rPr>
          <w:rFonts w:ascii="Times New Roman" w:eastAsia="Times New Roman" w:hAnsi="Times New Roman" w:cs="Times New Roman"/>
          <w:sz w:val="24"/>
          <w:szCs w:val="24"/>
        </w:rPr>
        <w:t xml:space="preserve"> = 32.84,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&lt; 0.001), PCV (</w:t>
      </w:r>
      <w:r w:rsidRPr="003859E3">
        <w:rPr>
          <w:rFonts w:ascii="Times New Roman" w:eastAsia="Times New Roman" w:hAnsi="Times New Roman" w:cs="Times New Roman"/>
          <w:i/>
          <w:iCs/>
          <w:sz w:val="24"/>
          <w:szCs w:val="24"/>
        </w:rPr>
        <w:t>F</w:t>
      </w:r>
      <w:r w:rsidRPr="00C51780">
        <w:rPr>
          <w:rFonts w:ascii="Times New Roman" w:eastAsia="Times New Roman" w:hAnsi="Times New Roman" w:cs="Times New Roman"/>
          <w:sz w:val="24"/>
          <w:szCs w:val="24"/>
        </w:rPr>
        <w:t xml:space="preserve"> = 41.27,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&lt; 0.001), RBC (</w:t>
      </w:r>
      <w:r w:rsidRPr="003859E3">
        <w:rPr>
          <w:rFonts w:ascii="Times New Roman" w:eastAsia="Times New Roman" w:hAnsi="Times New Roman" w:cs="Times New Roman"/>
          <w:i/>
          <w:iCs/>
          <w:sz w:val="24"/>
          <w:szCs w:val="24"/>
        </w:rPr>
        <w:t>F</w:t>
      </w:r>
      <w:r w:rsidRPr="00C51780">
        <w:rPr>
          <w:rFonts w:ascii="Times New Roman" w:eastAsia="Times New Roman" w:hAnsi="Times New Roman" w:cs="Times New Roman"/>
          <w:sz w:val="24"/>
          <w:szCs w:val="24"/>
        </w:rPr>
        <w:t xml:space="preserve"> = 18.63,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&lt; 0.001), MCV (</w:t>
      </w:r>
      <w:r w:rsidRPr="003859E3">
        <w:rPr>
          <w:rFonts w:ascii="Times New Roman" w:eastAsia="Times New Roman" w:hAnsi="Times New Roman" w:cs="Times New Roman"/>
          <w:i/>
          <w:iCs/>
          <w:sz w:val="24"/>
          <w:szCs w:val="24"/>
        </w:rPr>
        <w:t>F</w:t>
      </w:r>
      <w:r w:rsidRPr="00C51780">
        <w:rPr>
          <w:rFonts w:ascii="Times New Roman" w:eastAsia="Times New Roman" w:hAnsi="Times New Roman" w:cs="Times New Roman"/>
          <w:sz w:val="24"/>
          <w:szCs w:val="24"/>
        </w:rPr>
        <w:t xml:space="preserve"> = 9.74,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 0.002), and MCH (</w:t>
      </w:r>
      <w:r w:rsidRPr="003859E3">
        <w:rPr>
          <w:rFonts w:ascii="Times New Roman" w:eastAsia="Times New Roman" w:hAnsi="Times New Roman" w:cs="Times New Roman"/>
          <w:i/>
          <w:iCs/>
          <w:sz w:val="24"/>
          <w:szCs w:val="24"/>
        </w:rPr>
        <w:t>F</w:t>
      </w:r>
      <w:r w:rsidRPr="00C51780">
        <w:rPr>
          <w:rFonts w:ascii="Times New Roman" w:eastAsia="Times New Roman" w:hAnsi="Times New Roman" w:cs="Times New Roman"/>
          <w:sz w:val="24"/>
          <w:szCs w:val="24"/>
        </w:rPr>
        <w:t xml:space="preserve"> = 3.92,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 0.021), indicating that malaria infection and pregnancy status significantly influenced these erythrocyte parameters (Table 3). However, MCHC (</w:t>
      </w:r>
      <w:r w:rsidRPr="003859E3">
        <w:rPr>
          <w:rFonts w:ascii="Times New Roman" w:eastAsia="Times New Roman" w:hAnsi="Times New Roman" w:cs="Times New Roman"/>
          <w:i/>
          <w:iCs/>
          <w:sz w:val="24"/>
          <w:szCs w:val="24"/>
        </w:rPr>
        <w:t>F</w:t>
      </w:r>
      <w:r w:rsidRPr="00C51780">
        <w:rPr>
          <w:rFonts w:ascii="Times New Roman" w:eastAsia="Times New Roman" w:hAnsi="Times New Roman" w:cs="Times New Roman"/>
          <w:sz w:val="24"/>
          <w:szCs w:val="24"/>
        </w:rPr>
        <w:t xml:space="preserve"> = 0.43,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 0.652) and RDW (</w:t>
      </w:r>
      <w:r w:rsidRPr="003859E3">
        <w:rPr>
          <w:rFonts w:ascii="Times New Roman" w:eastAsia="Times New Roman" w:hAnsi="Times New Roman" w:cs="Times New Roman"/>
          <w:i/>
          <w:iCs/>
          <w:sz w:val="24"/>
          <w:szCs w:val="24"/>
        </w:rPr>
        <w:t>F</w:t>
      </w:r>
      <w:r w:rsidRPr="00C51780">
        <w:rPr>
          <w:rFonts w:ascii="Times New Roman" w:eastAsia="Times New Roman" w:hAnsi="Times New Roman" w:cs="Times New Roman"/>
          <w:sz w:val="24"/>
          <w:szCs w:val="24"/>
        </w:rPr>
        <w:t xml:space="preserve"> = 2.16,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 0.118) did not differ significantly across the study groups (Table 3).</w:t>
      </w:r>
    </w:p>
    <w:p w:rsidR="005A454F" w:rsidRPr="005A454F" w:rsidRDefault="005A454F" w:rsidP="003859E3">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5A454F">
        <w:rPr>
          <w:rFonts w:ascii="Times New Roman" w:eastAsia="Times New Roman" w:hAnsi="Times New Roman" w:cs="Times New Roman"/>
          <w:b/>
          <w:bCs/>
          <w:kern w:val="36"/>
          <w:sz w:val="24"/>
          <w:szCs w:val="24"/>
        </w:rPr>
        <w:t>Table 1</w:t>
      </w:r>
      <w:r w:rsidRPr="003859E3">
        <w:rPr>
          <w:rFonts w:ascii="Times New Roman" w:eastAsia="Times New Roman" w:hAnsi="Times New Roman" w:cs="Times New Roman"/>
          <w:b/>
          <w:bCs/>
          <w:kern w:val="36"/>
          <w:sz w:val="24"/>
          <w:szCs w:val="24"/>
        </w:rPr>
        <w:t xml:space="preserve">: </w:t>
      </w:r>
      <w:r w:rsidRPr="003859E3">
        <w:rPr>
          <w:rFonts w:ascii="Times New Roman" w:eastAsia="Times New Roman" w:hAnsi="Times New Roman" w:cs="Times New Roman"/>
          <w:b/>
          <w:bCs/>
          <w:sz w:val="24"/>
          <w:szCs w:val="24"/>
        </w:rPr>
        <w:t>Descriptive Statistics of Erythrocyte Indices among Malaria-Positive Pregnant Women (MP+), Malaria-Negative Pregnant Women (MP−) and Non-Pregnant Controls in Owerii, Nigeria</w:t>
      </w:r>
    </w:p>
    <w:tbl>
      <w:tblPr>
        <w:tblStyle w:val="TableGrid"/>
        <w:tblW w:w="0" w:type="auto"/>
        <w:tblLook w:val="04A0" w:firstRow="1" w:lastRow="0" w:firstColumn="1" w:lastColumn="0" w:noHBand="0" w:noVBand="1"/>
      </w:tblPr>
      <w:tblGrid>
        <w:gridCol w:w="1507"/>
        <w:gridCol w:w="1927"/>
        <w:gridCol w:w="1927"/>
        <w:gridCol w:w="2151"/>
        <w:gridCol w:w="896"/>
        <w:gridCol w:w="942"/>
      </w:tblGrid>
      <w:tr w:rsidR="001E27AD" w:rsidRPr="003859E3" w:rsidTr="005A454F">
        <w:tc>
          <w:tcPr>
            <w:tcW w:w="0" w:type="auto"/>
            <w:hideMark/>
          </w:tcPr>
          <w:p w:rsidR="005A454F" w:rsidRPr="005A454F" w:rsidRDefault="005A454F" w:rsidP="003859E3">
            <w:pPr>
              <w:jc w:val="both"/>
              <w:rPr>
                <w:rFonts w:ascii="Times New Roman" w:eastAsia="Times New Roman" w:hAnsi="Times New Roman" w:cs="Times New Roman"/>
                <w:b/>
                <w:bCs/>
                <w:sz w:val="24"/>
                <w:szCs w:val="24"/>
              </w:rPr>
            </w:pPr>
            <w:r w:rsidRPr="005A454F">
              <w:rPr>
                <w:rFonts w:ascii="Times New Roman" w:eastAsia="Times New Roman" w:hAnsi="Times New Roman" w:cs="Times New Roman"/>
                <w:b/>
                <w:bCs/>
                <w:sz w:val="24"/>
                <w:szCs w:val="24"/>
              </w:rPr>
              <w:t>Parameter</w:t>
            </w:r>
          </w:p>
        </w:tc>
        <w:tc>
          <w:tcPr>
            <w:tcW w:w="0" w:type="auto"/>
            <w:hideMark/>
          </w:tcPr>
          <w:p w:rsidR="005A454F" w:rsidRPr="005A454F" w:rsidRDefault="005A454F" w:rsidP="003859E3">
            <w:pPr>
              <w:jc w:val="both"/>
              <w:rPr>
                <w:rFonts w:ascii="Times New Roman" w:eastAsia="Times New Roman" w:hAnsi="Times New Roman" w:cs="Times New Roman"/>
                <w:b/>
                <w:bCs/>
                <w:sz w:val="24"/>
                <w:szCs w:val="24"/>
              </w:rPr>
            </w:pPr>
            <w:r w:rsidRPr="005A454F">
              <w:rPr>
                <w:rFonts w:ascii="Times New Roman" w:eastAsia="Times New Roman" w:hAnsi="Times New Roman" w:cs="Times New Roman"/>
                <w:b/>
                <w:bCs/>
                <w:sz w:val="24"/>
                <w:szCs w:val="24"/>
              </w:rPr>
              <w:t>MP+ (n=50) Mean ± SD</w:t>
            </w:r>
          </w:p>
        </w:tc>
        <w:tc>
          <w:tcPr>
            <w:tcW w:w="0" w:type="auto"/>
            <w:hideMark/>
          </w:tcPr>
          <w:p w:rsidR="005A454F" w:rsidRPr="005A454F" w:rsidRDefault="005A454F" w:rsidP="003859E3">
            <w:pPr>
              <w:jc w:val="both"/>
              <w:rPr>
                <w:rFonts w:ascii="Times New Roman" w:eastAsia="Times New Roman" w:hAnsi="Times New Roman" w:cs="Times New Roman"/>
                <w:b/>
                <w:bCs/>
                <w:sz w:val="24"/>
                <w:szCs w:val="24"/>
              </w:rPr>
            </w:pPr>
            <w:r w:rsidRPr="005A454F">
              <w:rPr>
                <w:rFonts w:ascii="Times New Roman" w:eastAsia="Times New Roman" w:hAnsi="Times New Roman" w:cs="Times New Roman"/>
                <w:b/>
                <w:bCs/>
                <w:sz w:val="24"/>
                <w:szCs w:val="24"/>
              </w:rPr>
              <w:t>MP− (n=50) Mean ± SD</w:t>
            </w:r>
          </w:p>
        </w:tc>
        <w:tc>
          <w:tcPr>
            <w:tcW w:w="0" w:type="auto"/>
            <w:hideMark/>
          </w:tcPr>
          <w:p w:rsidR="005A454F" w:rsidRPr="005A454F" w:rsidRDefault="005A454F" w:rsidP="003859E3">
            <w:pPr>
              <w:jc w:val="both"/>
              <w:rPr>
                <w:rFonts w:ascii="Times New Roman" w:eastAsia="Times New Roman" w:hAnsi="Times New Roman" w:cs="Times New Roman"/>
                <w:b/>
                <w:bCs/>
                <w:sz w:val="24"/>
                <w:szCs w:val="24"/>
              </w:rPr>
            </w:pPr>
            <w:r w:rsidRPr="005A454F">
              <w:rPr>
                <w:rFonts w:ascii="Times New Roman" w:eastAsia="Times New Roman" w:hAnsi="Times New Roman" w:cs="Times New Roman"/>
                <w:b/>
                <w:bCs/>
                <w:sz w:val="24"/>
                <w:szCs w:val="24"/>
              </w:rPr>
              <w:t>Control (n=50) Mean ± SD</w:t>
            </w:r>
          </w:p>
        </w:tc>
        <w:tc>
          <w:tcPr>
            <w:tcW w:w="0" w:type="auto"/>
            <w:hideMark/>
          </w:tcPr>
          <w:p w:rsidR="005A454F" w:rsidRPr="005A454F" w:rsidRDefault="005A454F" w:rsidP="003859E3">
            <w:pPr>
              <w:jc w:val="both"/>
              <w:rPr>
                <w:rFonts w:ascii="Times New Roman" w:eastAsia="Times New Roman" w:hAnsi="Times New Roman" w:cs="Times New Roman"/>
                <w:b/>
                <w:bCs/>
                <w:sz w:val="24"/>
                <w:szCs w:val="24"/>
              </w:rPr>
            </w:pPr>
            <w:r w:rsidRPr="005A454F">
              <w:rPr>
                <w:rFonts w:ascii="Times New Roman" w:eastAsia="Times New Roman" w:hAnsi="Times New Roman" w:cs="Times New Roman"/>
                <w:b/>
                <w:bCs/>
                <w:sz w:val="24"/>
                <w:szCs w:val="24"/>
              </w:rPr>
              <w:t>F-value</w:t>
            </w:r>
          </w:p>
        </w:tc>
        <w:tc>
          <w:tcPr>
            <w:tcW w:w="0" w:type="auto"/>
            <w:hideMark/>
          </w:tcPr>
          <w:p w:rsidR="005A454F" w:rsidRPr="005A454F" w:rsidRDefault="005A454F" w:rsidP="003859E3">
            <w:pPr>
              <w:jc w:val="both"/>
              <w:rPr>
                <w:rFonts w:ascii="Times New Roman" w:eastAsia="Times New Roman" w:hAnsi="Times New Roman" w:cs="Times New Roman"/>
                <w:b/>
                <w:bCs/>
                <w:sz w:val="24"/>
                <w:szCs w:val="24"/>
              </w:rPr>
            </w:pPr>
            <w:r w:rsidRPr="005A454F">
              <w:rPr>
                <w:rFonts w:ascii="Times New Roman" w:eastAsia="Times New Roman" w:hAnsi="Times New Roman" w:cs="Times New Roman"/>
                <w:b/>
                <w:bCs/>
                <w:sz w:val="24"/>
                <w:szCs w:val="24"/>
              </w:rPr>
              <w:t>p-value</w:t>
            </w:r>
          </w:p>
        </w:tc>
      </w:tr>
      <w:tr w:rsidR="001E27AD" w:rsidRPr="003859E3" w:rsidTr="005A454F">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Hb (g/dL)</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10.01 ± 1.05</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10.54 ± 1.02</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12.25 ± 1.41</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32.84</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&lt;0.001</w:t>
            </w:r>
          </w:p>
        </w:tc>
      </w:tr>
      <w:tr w:rsidR="001E27AD" w:rsidRPr="003859E3" w:rsidTr="005A454F">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PCV (%)</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30.05 ± 3.12</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31.72 ± 3.48</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36.78 ± 4.51</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41.27</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&lt;0.001</w:t>
            </w:r>
          </w:p>
        </w:tc>
      </w:tr>
      <w:tr w:rsidR="001E27AD" w:rsidRPr="003859E3" w:rsidTr="005A454F">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RBC (×10¹²/L)</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4.02 ± 0.41</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4.16 ± 0.44</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4.67 ± 0.56</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18.63</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&lt;0.001</w:t>
            </w:r>
          </w:p>
        </w:tc>
      </w:tr>
      <w:tr w:rsidR="001E27AD" w:rsidRPr="003859E3" w:rsidTr="005A454F">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MCV (fL)</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74.86 ± 6.71</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77.92 ± 7.83</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80.94 ± 6.58</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9.74</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0.002</w:t>
            </w:r>
          </w:p>
        </w:tc>
      </w:tr>
      <w:tr w:rsidR="001E27AD" w:rsidRPr="003859E3" w:rsidTr="005A454F">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MCH (pg)</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21.03 ± 3.78</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22.14 ± 3.65</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20.11 ± 5.26</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3.92</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0.021</w:t>
            </w:r>
          </w:p>
        </w:tc>
      </w:tr>
      <w:tr w:rsidR="001E27AD" w:rsidRPr="003859E3" w:rsidTr="005A454F">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MCHC (g/dL)</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33.18 ± 0.12</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33.21 ± 0.35</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33.22 ± 0.11</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0.43</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0.652</w:t>
            </w:r>
          </w:p>
        </w:tc>
      </w:tr>
      <w:tr w:rsidR="001E27AD" w:rsidRPr="003859E3" w:rsidTr="005A454F">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RDW (%)</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17.05 ± 0.78</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17.12 ± 0.92</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17.44 ± 1.08</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2.16</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0.118</w:t>
            </w:r>
          </w:p>
        </w:tc>
      </w:tr>
    </w:tbl>
    <w:p w:rsidR="005A454F" w:rsidRPr="003859E3" w:rsidRDefault="005A454F" w:rsidP="003859E3">
      <w:pPr>
        <w:spacing w:after="0" w:line="240" w:lineRule="auto"/>
        <w:jc w:val="both"/>
        <w:rPr>
          <w:rFonts w:ascii="Times New Roman" w:eastAsia="Times New Roman" w:hAnsi="Times New Roman" w:cs="Times New Roman"/>
          <w:sz w:val="24"/>
          <w:szCs w:val="24"/>
        </w:rPr>
      </w:pPr>
    </w:p>
    <w:p w:rsidR="005A454F" w:rsidRPr="003859E3" w:rsidRDefault="005A454F" w:rsidP="003859E3">
      <w:pPr>
        <w:spacing w:after="0" w:line="240" w:lineRule="auto"/>
        <w:jc w:val="both"/>
        <w:rPr>
          <w:rFonts w:ascii="Times New Roman" w:eastAsia="Times New Roman" w:hAnsi="Times New Roman" w:cs="Times New Roman"/>
          <w:sz w:val="24"/>
          <w:szCs w:val="24"/>
        </w:rPr>
      </w:pPr>
    </w:p>
    <w:p w:rsidR="005A454F" w:rsidRPr="005A454F" w:rsidRDefault="005A454F" w:rsidP="003859E3">
      <w:pPr>
        <w:spacing w:after="0" w:line="240" w:lineRule="auto"/>
        <w:jc w:val="both"/>
        <w:outlineLvl w:val="0"/>
        <w:rPr>
          <w:rFonts w:ascii="Times New Roman" w:eastAsia="Times New Roman" w:hAnsi="Times New Roman" w:cs="Times New Roman"/>
          <w:b/>
          <w:bCs/>
          <w:kern w:val="36"/>
          <w:sz w:val="24"/>
          <w:szCs w:val="24"/>
        </w:rPr>
      </w:pPr>
      <w:r w:rsidRPr="005A454F">
        <w:rPr>
          <w:rFonts w:ascii="Times New Roman" w:eastAsia="Times New Roman" w:hAnsi="Times New Roman" w:cs="Times New Roman"/>
          <w:b/>
          <w:bCs/>
          <w:kern w:val="36"/>
          <w:sz w:val="24"/>
          <w:szCs w:val="24"/>
        </w:rPr>
        <w:t>Table 2</w:t>
      </w:r>
      <w:r w:rsidRPr="003859E3">
        <w:rPr>
          <w:rFonts w:ascii="Times New Roman" w:eastAsia="Times New Roman" w:hAnsi="Times New Roman" w:cs="Times New Roman"/>
          <w:b/>
          <w:bCs/>
          <w:kern w:val="36"/>
          <w:sz w:val="24"/>
          <w:szCs w:val="24"/>
        </w:rPr>
        <w:t xml:space="preserve">: </w:t>
      </w:r>
      <w:r w:rsidRPr="003859E3">
        <w:rPr>
          <w:rFonts w:ascii="Times New Roman" w:eastAsia="Times New Roman" w:hAnsi="Times New Roman" w:cs="Times New Roman"/>
          <w:b/>
          <w:bCs/>
          <w:sz w:val="24"/>
          <w:szCs w:val="24"/>
        </w:rPr>
        <w:t>Comparison of Erythrocyte Indices among Malaria-Positive Pregnant Women (MP+), Malaria-Negative Pregnant Women (MP−) and Non-Pregnant Controls in Owerii, Nigeria</w:t>
      </w:r>
    </w:p>
    <w:tbl>
      <w:tblPr>
        <w:tblStyle w:val="TableGrid"/>
        <w:tblW w:w="0" w:type="auto"/>
        <w:tblLook w:val="04A0" w:firstRow="1" w:lastRow="0" w:firstColumn="1" w:lastColumn="0" w:noHBand="0" w:noVBand="1"/>
      </w:tblPr>
      <w:tblGrid>
        <w:gridCol w:w="1533"/>
        <w:gridCol w:w="1479"/>
        <w:gridCol w:w="904"/>
        <w:gridCol w:w="1769"/>
        <w:gridCol w:w="948"/>
        <w:gridCol w:w="1769"/>
        <w:gridCol w:w="948"/>
      </w:tblGrid>
      <w:tr w:rsidR="001E27AD" w:rsidRPr="003859E3" w:rsidTr="005A454F">
        <w:tc>
          <w:tcPr>
            <w:tcW w:w="0" w:type="auto"/>
            <w:hideMark/>
          </w:tcPr>
          <w:p w:rsidR="005A454F" w:rsidRPr="005A454F" w:rsidRDefault="005A454F" w:rsidP="003859E3">
            <w:pPr>
              <w:jc w:val="both"/>
              <w:rPr>
                <w:rFonts w:ascii="Times New Roman" w:eastAsia="Times New Roman" w:hAnsi="Times New Roman" w:cs="Times New Roman"/>
                <w:b/>
                <w:bCs/>
                <w:sz w:val="24"/>
                <w:szCs w:val="24"/>
              </w:rPr>
            </w:pPr>
            <w:r w:rsidRPr="005A454F">
              <w:rPr>
                <w:rFonts w:ascii="Times New Roman" w:eastAsia="Times New Roman" w:hAnsi="Times New Roman" w:cs="Times New Roman"/>
                <w:b/>
                <w:bCs/>
                <w:sz w:val="24"/>
                <w:szCs w:val="24"/>
              </w:rPr>
              <w:t>Parameter</w:t>
            </w:r>
          </w:p>
        </w:tc>
        <w:tc>
          <w:tcPr>
            <w:tcW w:w="0" w:type="auto"/>
            <w:hideMark/>
          </w:tcPr>
          <w:p w:rsidR="005A454F" w:rsidRPr="005A454F" w:rsidRDefault="005A454F" w:rsidP="003859E3">
            <w:pPr>
              <w:jc w:val="both"/>
              <w:rPr>
                <w:rFonts w:ascii="Times New Roman" w:eastAsia="Times New Roman" w:hAnsi="Times New Roman" w:cs="Times New Roman"/>
                <w:b/>
                <w:bCs/>
                <w:sz w:val="24"/>
                <w:szCs w:val="24"/>
              </w:rPr>
            </w:pPr>
            <w:r w:rsidRPr="005A454F">
              <w:rPr>
                <w:rFonts w:ascii="Times New Roman" w:eastAsia="Times New Roman" w:hAnsi="Times New Roman" w:cs="Times New Roman"/>
                <w:b/>
                <w:bCs/>
                <w:sz w:val="24"/>
                <w:szCs w:val="24"/>
              </w:rPr>
              <w:t>MP+ vs MP− (t)</w:t>
            </w:r>
          </w:p>
        </w:tc>
        <w:tc>
          <w:tcPr>
            <w:tcW w:w="0" w:type="auto"/>
            <w:hideMark/>
          </w:tcPr>
          <w:p w:rsidR="005A454F" w:rsidRPr="005A454F" w:rsidRDefault="005A454F" w:rsidP="003859E3">
            <w:pPr>
              <w:jc w:val="both"/>
              <w:rPr>
                <w:rFonts w:ascii="Times New Roman" w:eastAsia="Times New Roman" w:hAnsi="Times New Roman" w:cs="Times New Roman"/>
                <w:b/>
                <w:bCs/>
                <w:sz w:val="24"/>
                <w:szCs w:val="24"/>
              </w:rPr>
            </w:pPr>
            <w:r w:rsidRPr="005A454F">
              <w:rPr>
                <w:rFonts w:ascii="Times New Roman" w:eastAsia="Times New Roman" w:hAnsi="Times New Roman" w:cs="Times New Roman"/>
                <w:b/>
                <w:bCs/>
                <w:sz w:val="24"/>
                <w:szCs w:val="24"/>
              </w:rPr>
              <w:t>p-value</w:t>
            </w:r>
          </w:p>
        </w:tc>
        <w:tc>
          <w:tcPr>
            <w:tcW w:w="0" w:type="auto"/>
            <w:hideMark/>
          </w:tcPr>
          <w:p w:rsidR="005A454F" w:rsidRPr="005A454F" w:rsidRDefault="005A454F" w:rsidP="003859E3">
            <w:pPr>
              <w:jc w:val="both"/>
              <w:rPr>
                <w:rFonts w:ascii="Times New Roman" w:eastAsia="Times New Roman" w:hAnsi="Times New Roman" w:cs="Times New Roman"/>
                <w:b/>
                <w:bCs/>
                <w:sz w:val="24"/>
                <w:szCs w:val="24"/>
              </w:rPr>
            </w:pPr>
            <w:r w:rsidRPr="005A454F">
              <w:rPr>
                <w:rFonts w:ascii="Times New Roman" w:eastAsia="Times New Roman" w:hAnsi="Times New Roman" w:cs="Times New Roman"/>
                <w:b/>
                <w:bCs/>
                <w:sz w:val="24"/>
                <w:szCs w:val="24"/>
              </w:rPr>
              <w:t>MP+ vs Control (t)</w:t>
            </w:r>
          </w:p>
        </w:tc>
        <w:tc>
          <w:tcPr>
            <w:tcW w:w="0" w:type="auto"/>
            <w:hideMark/>
          </w:tcPr>
          <w:p w:rsidR="005A454F" w:rsidRPr="005A454F" w:rsidRDefault="005A454F" w:rsidP="003859E3">
            <w:pPr>
              <w:jc w:val="both"/>
              <w:rPr>
                <w:rFonts w:ascii="Times New Roman" w:eastAsia="Times New Roman" w:hAnsi="Times New Roman" w:cs="Times New Roman"/>
                <w:b/>
                <w:bCs/>
                <w:sz w:val="24"/>
                <w:szCs w:val="24"/>
              </w:rPr>
            </w:pPr>
            <w:r w:rsidRPr="005A454F">
              <w:rPr>
                <w:rFonts w:ascii="Times New Roman" w:eastAsia="Times New Roman" w:hAnsi="Times New Roman" w:cs="Times New Roman"/>
                <w:b/>
                <w:bCs/>
                <w:sz w:val="24"/>
                <w:szCs w:val="24"/>
              </w:rPr>
              <w:t>p-value</w:t>
            </w:r>
          </w:p>
        </w:tc>
        <w:tc>
          <w:tcPr>
            <w:tcW w:w="0" w:type="auto"/>
            <w:hideMark/>
          </w:tcPr>
          <w:p w:rsidR="005A454F" w:rsidRPr="005A454F" w:rsidRDefault="005A454F" w:rsidP="003859E3">
            <w:pPr>
              <w:jc w:val="both"/>
              <w:rPr>
                <w:rFonts w:ascii="Times New Roman" w:eastAsia="Times New Roman" w:hAnsi="Times New Roman" w:cs="Times New Roman"/>
                <w:b/>
                <w:bCs/>
                <w:sz w:val="24"/>
                <w:szCs w:val="24"/>
              </w:rPr>
            </w:pPr>
            <w:r w:rsidRPr="005A454F">
              <w:rPr>
                <w:rFonts w:ascii="Times New Roman" w:eastAsia="Times New Roman" w:hAnsi="Times New Roman" w:cs="Times New Roman"/>
                <w:b/>
                <w:bCs/>
                <w:sz w:val="24"/>
                <w:szCs w:val="24"/>
              </w:rPr>
              <w:t>MP− vs Control (t)</w:t>
            </w:r>
          </w:p>
        </w:tc>
        <w:tc>
          <w:tcPr>
            <w:tcW w:w="0" w:type="auto"/>
            <w:hideMark/>
          </w:tcPr>
          <w:p w:rsidR="005A454F" w:rsidRPr="005A454F" w:rsidRDefault="005A454F" w:rsidP="003859E3">
            <w:pPr>
              <w:jc w:val="both"/>
              <w:rPr>
                <w:rFonts w:ascii="Times New Roman" w:eastAsia="Times New Roman" w:hAnsi="Times New Roman" w:cs="Times New Roman"/>
                <w:b/>
                <w:bCs/>
                <w:sz w:val="24"/>
                <w:szCs w:val="24"/>
              </w:rPr>
            </w:pPr>
            <w:r w:rsidRPr="005A454F">
              <w:rPr>
                <w:rFonts w:ascii="Times New Roman" w:eastAsia="Times New Roman" w:hAnsi="Times New Roman" w:cs="Times New Roman"/>
                <w:b/>
                <w:bCs/>
                <w:sz w:val="24"/>
                <w:szCs w:val="24"/>
              </w:rPr>
              <w:t>p-value</w:t>
            </w:r>
          </w:p>
        </w:tc>
      </w:tr>
      <w:tr w:rsidR="001E27AD" w:rsidRPr="003859E3" w:rsidTr="005A454F">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Hb</w:t>
            </w:r>
            <w:r w:rsidR="0032596A" w:rsidRPr="003859E3">
              <w:rPr>
                <w:rFonts w:ascii="Times New Roman" w:eastAsia="Times New Roman" w:hAnsi="Times New Roman" w:cs="Times New Roman"/>
                <w:sz w:val="24"/>
                <w:szCs w:val="24"/>
              </w:rPr>
              <w:t xml:space="preserve"> </w:t>
            </w:r>
            <w:r w:rsidR="0032596A" w:rsidRPr="005A454F">
              <w:rPr>
                <w:rFonts w:ascii="Times New Roman" w:eastAsia="Times New Roman" w:hAnsi="Times New Roman" w:cs="Times New Roman"/>
                <w:sz w:val="24"/>
                <w:szCs w:val="24"/>
              </w:rPr>
              <w:t>(g/dL)</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-2.54</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0.013</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-7.12</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&lt;0.001</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-5.84</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&lt;0.001</w:t>
            </w:r>
          </w:p>
        </w:tc>
      </w:tr>
      <w:tr w:rsidR="001E27AD" w:rsidRPr="003859E3" w:rsidTr="005A454F">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PCV</w:t>
            </w:r>
            <w:r w:rsidR="0032596A" w:rsidRPr="003859E3">
              <w:rPr>
                <w:rFonts w:ascii="Times New Roman" w:eastAsia="Times New Roman" w:hAnsi="Times New Roman" w:cs="Times New Roman"/>
                <w:sz w:val="24"/>
                <w:szCs w:val="24"/>
              </w:rPr>
              <w:t xml:space="preserve"> </w:t>
            </w:r>
            <w:r w:rsidR="0032596A" w:rsidRPr="005A454F">
              <w:rPr>
                <w:rFonts w:ascii="Times New Roman" w:eastAsia="Times New Roman" w:hAnsi="Times New Roman" w:cs="Times New Roman"/>
                <w:sz w:val="24"/>
                <w:szCs w:val="24"/>
              </w:rPr>
              <w:t>(%)</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-2.31</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0.023</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-7.95</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&lt;0.001</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-6.11</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&lt;0.001</w:t>
            </w:r>
          </w:p>
        </w:tc>
      </w:tr>
      <w:tr w:rsidR="001E27AD" w:rsidRPr="003859E3" w:rsidTr="005A454F">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RBC</w:t>
            </w:r>
            <w:r w:rsidR="0032596A" w:rsidRPr="003859E3">
              <w:rPr>
                <w:rFonts w:ascii="Times New Roman" w:eastAsia="Times New Roman" w:hAnsi="Times New Roman" w:cs="Times New Roman"/>
                <w:sz w:val="24"/>
                <w:szCs w:val="24"/>
              </w:rPr>
              <w:t xml:space="preserve"> </w:t>
            </w:r>
            <w:r w:rsidR="0032596A" w:rsidRPr="005A454F">
              <w:rPr>
                <w:rFonts w:ascii="Times New Roman" w:eastAsia="Times New Roman" w:hAnsi="Times New Roman" w:cs="Times New Roman"/>
                <w:sz w:val="24"/>
                <w:szCs w:val="24"/>
              </w:rPr>
              <w:t>(×10¹²/L)</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-1.78</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0.078</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-5.41</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&lt;0.001</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-4.02</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&lt;0.001</w:t>
            </w:r>
          </w:p>
        </w:tc>
      </w:tr>
      <w:tr w:rsidR="001E27AD" w:rsidRPr="003859E3" w:rsidTr="005A454F">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MCV</w:t>
            </w:r>
            <w:r w:rsidR="0032596A" w:rsidRPr="003859E3">
              <w:rPr>
                <w:rFonts w:ascii="Times New Roman" w:eastAsia="Times New Roman" w:hAnsi="Times New Roman" w:cs="Times New Roman"/>
                <w:sz w:val="24"/>
                <w:szCs w:val="24"/>
              </w:rPr>
              <w:t xml:space="preserve"> </w:t>
            </w:r>
            <w:r w:rsidR="0032596A" w:rsidRPr="005A454F">
              <w:rPr>
                <w:rFonts w:ascii="Times New Roman" w:eastAsia="Times New Roman" w:hAnsi="Times New Roman" w:cs="Times New Roman"/>
                <w:sz w:val="24"/>
                <w:szCs w:val="24"/>
              </w:rPr>
              <w:t>(fL)</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-2.02</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0.045</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-4.01</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&lt;0.001</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-2.24</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0.027</w:t>
            </w:r>
          </w:p>
        </w:tc>
      </w:tr>
      <w:tr w:rsidR="001E27AD" w:rsidRPr="003859E3" w:rsidTr="005A454F">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MCH</w:t>
            </w:r>
            <w:r w:rsidR="003859E3" w:rsidRPr="003859E3">
              <w:rPr>
                <w:rFonts w:ascii="Times New Roman" w:eastAsia="Times New Roman" w:hAnsi="Times New Roman" w:cs="Times New Roman"/>
                <w:sz w:val="24"/>
                <w:szCs w:val="24"/>
              </w:rPr>
              <w:t xml:space="preserve"> </w:t>
            </w:r>
            <w:r w:rsidR="003859E3" w:rsidRPr="005A454F">
              <w:rPr>
                <w:rFonts w:ascii="Times New Roman" w:eastAsia="Times New Roman" w:hAnsi="Times New Roman" w:cs="Times New Roman"/>
                <w:sz w:val="24"/>
                <w:szCs w:val="24"/>
              </w:rPr>
              <w:t>(pg)</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-1.51</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0.134</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0.82</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0.414</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2.02</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0.046</w:t>
            </w:r>
          </w:p>
        </w:tc>
      </w:tr>
      <w:tr w:rsidR="001E27AD" w:rsidRPr="003859E3" w:rsidTr="005A454F">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lastRenderedPageBreak/>
              <w:t>MCHC</w:t>
            </w:r>
            <w:r w:rsidR="003859E3" w:rsidRPr="003859E3">
              <w:rPr>
                <w:rFonts w:ascii="Times New Roman" w:eastAsia="Times New Roman" w:hAnsi="Times New Roman" w:cs="Times New Roman"/>
                <w:sz w:val="24"/>
                <w:szCs w:val="24"/>
              </w:rPr>
              <w:t xml:space="preserve"> </w:t>
            </w:r>
            <w:r w:rsidR="003859E3" w:rsidRPr="005A454F">
              <w:rPr>
                <w:rFonts w:ascii="Times New Roman" w:eastAsia="Times New Roman" w:hAnsi="Times New Roman" w:cs="Times New Roman"/>
                <w:sz w:val="24"/>
                <w:szCs w:val="24"/>
              </w:rPr>
              <w:t>(g/dL)</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-0.41</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0.683</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-0.55</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0.585</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-0.12</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0.901</w:t>
            </w:r>
          </w:p>
        </w:tc>
      </w:tr>
      <w:tr w:rsidR="001E27AD" w:rsidRPr="003859E3" w:rsidTr="005A454F">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RDW</w:t>
            </w:r>
            <w:r w:rsidR="003859E3" w:rsidRPr="003859E3">
              <w:rPr>
                <w:rFonts w:ascii="Times New Roman" w:eastAsia="Times New Roman" w:hAnsi="Times New Roman" w:cs="Times New Roman"/>
                <w:sz w:val="24"/>
                <w:szCs w:val="24"/>
              </w:rPr>
              <w:t xml:space="preserve"> </w:t>
            </w:r>
            <w:r w:rsidR="003859E3" w:rsidRPr="005A454F">
              <w:rPr>
                <w:rFonts w:ascii="Times New Roman" w:eastAsia="Times New Roman" w:hAnsi="Times New Roman" w:cs="Times New Roman"/>
                <w:sz w:val="24"/>
                <w:szCs w:val="24"/>
              </w:rPr>
              <w:t>(%)</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-0.39</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0.698</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-1.92</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0.057</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-1.41</w:t>
            </w:r>
          </w:p>
        </w:tc>
        <w:tc>
          <w:tcPr>
            <w:tcW w:w="0" w:type="auto"/>
            <w:hideMark/>
          </w:tcPr>
          <w:p w:rsidR="005A454F" w:rsidRPr="005A454F" w:rsidRDefault="005A454F"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0.162</w:t>
            </w:r>
          </w:p>
        </w:tc>
      </w:tr>
    </w:tbl>
    <w:p w:rsidR="005A454F" w:rsidRPr="003859E3" w:rsidRDefault="005A454F" w:rsidP="003859E3">
      <w:pPr>
        <w:spacing w:before="100" w:beforeAutospacing="1" w:after="100" w:afterAutospacing="1" w:line="240" w:lineRule="auto"/>
        <w:jc w:val="both"/>
        <w:outlineLvl w:val="0"/>
        <w:rPr>
          <w:rFonts w:ascii="Times New Roman" w:eastAsia="Times New Roman" w:hAnsi="Times New Roman" w:cs="Times New Roman"/>
          <w:sz w:val="24"/>
          <w:szCs w:val="24"/>
        </w:rPr>
      </w:pPr>
    </w:p>
    <w:p w:rsidR="005A454F" w:rsidRPr="005A454F" w:rsidRDefault="005A454F" w:rsidP="003859E3">
      <w:pPr>
        <w:spacing w:after="0" w:line="240" w:lineRule="auto"/>
        <w:jc w:val="both"/>
        <w:outlineLvl w:val="0"/>
        <w:rPr>
          <w:rFonts w:ascii="Times New Roman" w:eastAsia="Times New Roman" w:hAnsi="Times New Roman" w:cs="Times New Roman"/>
          <w:b/>
          <w:bCs/>
          <w:kern w:val="36"/>
          <w:sz w:val="24"/>
          <w:szCs w:val="24"/>
        </w:rPr>
      </w:pPr>
      <w:r w:rsidRPr="005A454F">
        <w:rPr>
          <w:rFonts w:ascii="Times New Roman" w:eastAsia="Times New Roman" w:hAnsi="Times New Roman" w:cs="Times New Roman"/>
          <w:b/>
          <w:bCs/>
          <w:kern w:val="36"/>
          <w:sz w:val="24"/>
          <w:szCs w:val="24"/>
        </w:rPr>
        <w:t>Table 3</w:t>
      </w:r>
      <w:r w:rsidRPr="003859E3">
        <w:rPr>
          <w:rFonts w:ascii="Times New Roman" w:eastAsia="Times New Roman" w:hAnsi="Times New Roman" w:cs="Times New Roman"/>
          <w:b/>
          <w:bCs/>
          <w:kern w:val="36"/>
          <w:sz w:val="24"/>
          <w:szCs w:val="24"/>
        </w:rPr>
        <w:t xml:space="preserve">: </w:t>
      </w:r>
      <w:r w:rsidRPr="003859E3">
        <w:rPr>
          <w:rFonts w:ascii="Times New Roman" w:eastAsia="Times New Roman" w:hAnsi="Times New Roman" w:cs="Times New Roman"/>
          <w:b/>
          <w:bCs/>
          <w:sz w:val="24"/>
          <w:szCs w:val="24"/>
        </w:rPr>
        <w:t>One-Way ANOVA of Erythrocyte Parameters among Malaria-Positive Pregnant Women (MP+), Malaria-Negative Pregnant Women (MP−) and Non-Pregnant Controls in Owerii, Nigeria</w:t>
      </w:r>
    </w:p>
    <w:tbl>
      <w:tblPr>
        <w:tblStyle w:val="TableGrid"/>
        <w:tblW w:w="0" w:type="auto"/>
        <w:tblLook w:val="04A0" w:firstRow="1" w:lastRow="0" w:firstColumn="1" w:lastColumn="0" w:noHBand="0" w:noVBand="1"/>
      </w:tblPr>
      <w:tblGrid>
        <w:gridCol w:w="1635"/>
        <w:gridCol w:w="2107"/>
        <w:gridCol w:w="1963"/>
        <w:gridCol w:w="981"/>
        <w:gridCol w:w="974"/>
        <w:gridCol w:w="1690"/>
      </w:tblGrid>
      <w:tr w:rsidR="001E27AD" w:rsidRPr="003859E3" w:rsidTr="005A454F">
        <w:tc>
          <w:tcPr>
            <w:tcW w:w="0" w:type="auto"/>
            <w:hideMark/>
          </w:tcPr>
          <w:p w:rsidR="005A454F" w:rsidRPr="005A454F" w:rsidRDefault="005A454F" w:rsidP="003859E3">
            <w:pPr>
              <w:jc w:val="both"/>
              <w:rPr>
                <w:rFonts w:ascii="Times New Roman" w:eastAsia="Times New Roman" w:hAnsi="Times New Roman" w:cs="Times New Roman"/>
                <w:b/>
                <w:bCs/>
                <w:sz w:val="24"/>
                <w:szCs w:val="24"/>
              </w:rPr>
            </w:pPr>
            <w:r w:rsidRPr="005A454F">
              <w:rPr>
                <w:rFonts w:ascii="Times New Roman" w:eastAsia="Times New Roman" w:hAnsi="Times New Roman" w:cs="Times New Roman"/>
                <w:b/>
                <w:bCs/>
                <w:sz w:val="24"/>
                <w:szCs w:val="24"/>
              </w:rPr>
              <w:t>Parameter</w:t>
            </w:r>
          </w:p>
        </w:tc>
        <w:tc>
          <w:tcPr>
            <w:tcW w:w="0" w:type="auto"/>
            <w:hideMark/>
          </w:tcPr>
          <w:p w:rsidR="005A454F" w:rsidRPr="005A454F" w:rsidRDefault="005A454F" w:rsidP="003859E3">
            <w:pPr>
              <w:jc w:val="both"/>
              <w:rPr>
                <w:rFonts w:ascii="Times New Roman" w:eastAsia="Times New Roman" w:hAnsi="Times New Roman" w:cs="Times New Roman"/>
                <w:b/>
                <w:bCs/>
                <w:sz w:val="24"/>
                <w:szCs w:val="24"/>
              </w:rPr>
            </w:pPr>
            <w:r w:rsidRPr="005A454F">
              <w:rPr>
                <w:rFonts w:ascii="Times New Roman" w:eastAsia="Times New Roman" w:hAnsi="Times New Roman" w:cs="Times New Roman"/>
                <w:b/>
                <w:bCs/>
                <w:sz w:val="24"/>
                <w:szCs w:val="24"/>
              </w:rPr>
              <w:t>Between Group SS</w:t>
            </w:r>
          </w:p>
        </w:tc>
        <w:tc>
          <w:tcPr>
            <w:tcW w:w="0" w:type="auto"/>
            <w:hideMark/>
          </w:tcPr>
          <w:p w:rsidR="005A454F" w:rsidRPr="005A454F" w:rsidRDefault="005A454F" w:rsidP="003859E3">
            <w:pPr>
              <w:jc w:val="both"/>
              <w:rPr>
                <w:rFonts w:ascii="Times New Roman" w:eastAsia="Times New Roman" w:hAnsi="Times New Roman" w:cs="Times New Roman"/>
                <w:b/>
                <w:bCs/>
                <w:sz w:val="24"/>
                <w:szCs w:val="24"/>
              </w:rPr>
            </w:pPr>
            <w:r w:rsidRPr="005A454F">
              <w:rPr>
                <w:rFonts w:ascii="Times New Roman" w:eastAsia="Times New Roman" w:hAnsi="Times New Roman" w:cs="Times New Roman"/>
                <w:b/>
                <w:bCs/>
                <w:sz w:val="24"/>
                <w:szCs w:val="24"/>
              </w:rPr>
              <w:t>Within Group SS</w:t>
            </w:r>
          </w:p>
        </w:tc>
        <w:tc>
          <w:tcPr>
            <w:tcW w:w="0" w:type="auto"/>
            <w:hideMark/>
          </w:tcPr>
          <w:p w:rsidR="005A454F" w:rsidRPr="005A454F" w:rsidRDefault="005A454F" w:rsidP="003859E3">
            <w:pPr>
              <w:jc w:val="both"/>
              <w:rPr>
                <w:rFonts w:ascii="Times New Roman" w:eastAsia="Times New Roman" w:hAnsi="Times New Roman" w:cs="Times New Roman"/>
                <w:b/>
                <w:bCs/>
                <w:sz w:val="24"/>
                <w:szCs w:val="24"/>
              </w:rPr>
            </w:pPr>
            <w:r w:rsidRPr="005A454F">
              <w:rPr>
                <w:rFonts w:ascii="Times New Roman" w:eastAsia="Times New Roman" w:hAnsi="Times New Roman" w:cs="Times New Roman"/>
                <w:b/>
                <w:bCs/>
                <w:sz w:val="24"/>
                <w:szCs w:val="24"/>
              </w:rPr>
              <w:t>F-value</w:t>
            </w:r>
          </w:p>
        </w:tc>
        <w:tc>
          <w:tcPr>
            <w:tcW w:w="0" w:type="auto"/>
            <w:hideMark/>
          </w:tcPr>
          <w:p w:rsidR="005A454F" w:rsidRPr="005A454F" w:rsidRDefault="005A454F" w:rsidP="003859E3">
            <w:pPr>
              <w:jc w:val="both"/>
              <w:rPr>
                <w:rFonts w:ascii="Times New Roman" w:eastAsia="Times New Roman" w:hAnsi="Times New Roman" w:cs="Times New Roman"/>
                <w:b/>
                <w:bCs/>
                <w:sz w:val="24"/>
                <w:szCs w:val="24"/>
              </w:rPr>
            </w:pPr>
            <w:r w:rsidRPr="005A454F">
              <w:rPr>
                <w:rFonts w:ascii="Times New Roman" w:eastAsia="Times New Roman" w:hAnsi="Times New Roman" w:cs="Times New Roman"/>
                <w:b/>
                <w:bCs/>
                <w:sz w:val="24"/>
                <w:szCs w:val="24"/>
              </w:rPr>
              <w:t>p-value</w:t>
            </w:r>
          </w:p>
        </w:tc>
        <w:tc>
          <w:tcPr>
            <w:tcW w:w="0" w:type="auto"/>
            <w:hideMark/>
          </w:tcPr>
          <w:p w:rsidR="005A454F" w:rsidRPr="005A454F" w:rsidRDefault="005A454F" w:rsidP="003859E3">
            <w:pPr>
              <w:jc w:val="both"/>
              <w:rPr>
                <w:rFonts w:ascii="Times New Roman" w:eastAsia="Times New Roman" w:hAnsi="Times New Roman" w:cs="Times New Roman"/>
                <w:b/>
                <w:bCs/>
                <w:sz w:val="24"/>
                <w:szCs w:val="24"/>
              </w:rPr>
            </w:pPr>
            <w:r w:rsidRPr="005A454F">
              <w:rPr>
                <w:rFonts w:ascii="Times New Roman" w:eastAsia="Times New Roman" w:hAnsi="Times New Roman" w:cs="Times New Roman"/>
                <w:b/>
                <w:bCs/>
                <w:sz w:val="24"/>
                <w:szCs w:val="24"/>
              </w:rPr>
              <w:t>Interpretation</w:t>
            </w:r>
          </w:p>
        </w:tc>
      </w:tr>
      <w:tr w:rsidR="003859E3" w:rsidRPr="003859E3" w:rsidTr="005A454F">
        <w:tc>
          <w:tcPr>
            <w:tcW w:w="0" w:type="auto"/>
            <w:hideMark/>
          </w:tcPr>
          <w:p w:rsidR="003859E3" w:rsidRPr="005A454F" w:rsidRDefault="003859E3"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Hb</w:t>
            </w:r>
            <w:r w:rsidRPr="003859E3">
              <w:rPr>
                <w:rFonts w:ascii="Times New Roman" w:eastAsia="Times New Roman" w:hAnsi="Times New Roman" w:cs="Times New Roman"/>
                <w:sz w:val="24"/>
                <w:szCs w:val="24"/>
              </w:rPr>
              <w:t xml:space="preserve"> </w:t>
            </w:r>
            <w:r w:rsidRPr="005A454F">
              <w:rPr>
                <w:rFonts w:ascii="Times New Roman" w:eastAsia="Times New Roman" w:hAnsi="Times New Roman" w:cs="Times New Roman"/>
                <w:sz w:val="24"/>
                <w:szCs w:val="24"/>
              </w:rPr>
              <w:t>(g/dL)</w:t>
            </w:r>
          </w:p>
        </w:tc>
        <w:tc>
          <w:tcPr>
            <w:tcW w:w="0" w:type="auto"/>
            <w:hideMark/>
          </w:tcPr>
          <w:p w:rsidR="003859E3" w:rsidRPr="005A454F" w:rsidRDefault="003859E3"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78.54</w:t>
            </w:r>
          </w:p>
        </w:tc>
        <w:tc>
          <w:tcPr>
            <w:tcW w:w="0" w:type="auto"/>
            <w:hideMark/>
          </w:tcPr>
          <w:p w:rsidR="003859E3" w:rsidRPr="005A454F" w:rsidRDefault="003859E3"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142.66</w:t>
            </w:r>
          </w:p>
        </w:tc>
        <w:tc>
          <w:tcPr>
            <w:tcW w:w="0" w:type="auto"/>
            <w:hideMark/>
          </w:tcPr>
          <w:p w:rsidR="003859E3" w:rsidRPr="005A454F" w:rsidRDefault="003859E3"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32.84</w:t>
            </w:r>
          </w:p>
        </w:tc>
        <w:tc>
          <w:tcPr>
            <w:tcW w:w="0" w:type="auto"/>
            <w:hideMark/>
          </w:tcPr>
          <w:p w:rsidR="003859E3" w:rsidRPr="005A454F" w:rsidRDefault="003859E3"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&lt;0.001</w:t>
            </w:r>
          </w:p>
        </w:tc>
        <w:tc>
          <w:tcPr>
            <w:tcW w:w="0" w:type="auto"/>
            <w:hideMark/>
          </w:tcPr>
          <w:p w:rsidR="003859E3" w:rsidRPr="005A454F" w:rsidRDefault="003859E3"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Significant</w:t>
            </w:r>
          </w:p>
        </w:tc>
      </w:tr>
      <w:tr w:rsidR="003859E3" w:rsidRPr="003859E3" w:rsidTr="005A454F">
        <w:tc>
          <w:tcPr>
            <w:tcW w:w="0" w:type="auto"/>
            <w:hideMark/>
          </w:tcPr>
          <w:p w:rsidR="003859E3" w:rsidRPr="005A454F" w:rsidRDefault="003859E3"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PCV</w:t>
            </w:r>
            <w:r w:rsidRPr="003859E3">
              <w:rPr>
                <w:rFonts w:ascii="Times New Roman" w:eastAsia="Times New Roman" w:hAnsi="Times New Roman" w:cs="Times New Roman"/>
                <w:sz w:val="24"/>
                <w:szCs w:val="24"/>
              </w:rPr>
              <w:t xml:space="preserve"> </w:t>
            </w:r>
            <w:r w:rsidRPr="005A454F">
              <w:rPr>
                <w:rFonts w:ascii="Times New Roman" w:eastAsia="Times New Roman" w:hAnsi="Times New Roman" w:cs="Times New Roman"/>
                <w:sz w:val="24"/>
                <w:szCs w:val="24"/>
              </w:rPr>
              <w:t>(%)</w:t>
            </w:r>
          </w:p>
        </w:tc>
        <w:tc>
          <w:tcPr>
            <w:tcW w:w="0" w:type="auto"/>
            <w:hideMark/>
          </w:tcPr>
          <w:p w:rsidR="003859E3" w:rsidRPr="005A454F" w:rsidRDefault="003859E3"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302.17</w:t>
            </w:r>
          </w:p>
        </w:tc>
        <w:tc>
          <w:tcPr>
            <w:tcW w:w="0" w:type="auto"/>
            <w:hideMark/>
          </w:tcPr>
          <w:p w:rsidR="003859E3" w:rsidRPr="005A454F" w:rsidRDefault="003859E3"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535.81</w:t>
            </w:r>
          </w:p>
        </w:tc>
        <w:tc>
          <w:tcPr>
            <w:tcW w:w="0" w:type="auto"/>
            <w:hideMark/>
          </w:tcPr>
          <w:p w:rsidR="003859E3" w:rsidRPr="005A454F" w:rsidRDefault="003859E3"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41.27</w:t>
            </w:r>
          </w:p>
        </w:tc>
        <w:tc>
          <w:tcPr>
            <w:tcW w:w="0" w:type="auto"/>
            <w:hideMark/>
          </w:tcPr>
          <w:p w:rsidR="003859E3" w:rsidRPr="005A454F" w:rsidRDefault="003859E3"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&lt;0.001</w:t>
            </w:r>
          </w:p>
        </w:tc>
        <w:tc>
          <w:tcPr>
            <w:tcW w:w="0" w:type="auto"/>
            <w:hideMark/>
          </w:tcPr>
          <w:p w:rsidR="003859E3" w:rsidRPr="005A454F" w:rsidRDefault="003859E3"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Significant</w:t>
            </w:r>
          </w:p>
        </w:tc>
      </w:tr>
      <w:tr w:rsidR="003859E3" w:rsidRPr="003859E3" w:rsidTr="005A454F">
        <w:tc>
          <w:tcPr>
            <w:tcW w:w="0" w:type="auto"/>
            <w:hideMark/>
          </w:tcPr>
          <w:p w:rsidR="003859E3" w:rsidRPr="005A454F" w:rsidRDefault="003859E3"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RBC</w:t>
            </w:r>
            <w:r w:rsidRPr="003859E3">
              <w:rPr>
                <w:rFonts w:ascii="Times New Roman" w:eastAsia="Times New Roman" w:hAnsi="Times New Roman" w:cs="Times New Roman"/>
                <w:sz w:val="24"/>
                <w:szCs w:val="24"/>
              </w:rPr>
              <w:t xml:space="preserve"> </w:t>
            </w:r>
            <w:r w:rsidRPr="005A454F">
              <w:rPr>
                <w:rFonts w:ascii="Times New Roman" w:eastAsia="Times New Roman" w:hAnsi="Times New Roman" w:cs="Times New Roman"/>
                <w:sz w:val="24"/>
                <w:szCs w:val="24"/>
              </w:rPr>
              <w:t>(×10¹²/L)</w:t>
            </w:r>
          </w:p>
        </w:tc>
        <w:tc>
          <w:tcPr>
            <w:tcW w:w="0" w:type="auto"/>
            <w:hideMark/>
          </w:tcPr>
          <w:p w:rsidR="003859E3" w:rsidRPr="005A454F" w:rsidRDefault="003859E3"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7.21</w:t>
            </w:r>
          </w:p>
        </w:tc>
        <w:tc>
          <w:tcPr>
            <w:tcW w:w="0" w:type="auto"/>
            <w:hideMark/>
          </w:tcPr>
          <w:p w:rsidR="003859E3" w:rsidRPr="005A454F" w:rsidRDefault="003859E3"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28.44</w:t>
            </w:r>
          </w:p>
        </w:tc>
        <w:tc>
          <w:tcPr>
            <w:tcW w:w="0" w:type="auto"/>
            <w:hideMark/>
          </w:tcPr>
          <w:p w:rsidR="003859E3" w:rsidRPr="005A454F" w:rsidRDefault="003859E3"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18.63</w:t>
            </w:r>
          </w:p>
        </w:tc>
        <w:tc>
          <w:tcPr>
            <w:tcW w:w="0" w:type="auto"/>
            <w:hideMark/>
          </w:tcPr>
          <w:p w:rsidR="003859E3" w:rsidRPr="005A454F" w:rsidRDefault="003859E3"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&lt;0.001</w:t>
            </w:r>
          </w:p>
        </w:tc>
        <w:tc>
          <w:tcPr>
            <w:tcW w:w="0" w:type="auto"/>
            <w:hideMark/>
          </w:tcPr>
          <w:p w:rsidR="003859E3" w:rsidRPr="005A454F" w:rsidRDefault="003859E3"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Significant</w:t>
            </w:r>
          </w:p>
        </w:tc>
      </w:tr>
      <w:tr w:rsidR="003859E3" w:rsidRPr="003859E3" w:rsidTr="005A454F">
        <w:tc>
          <w:tcPr>
            <w:tcW w:w="0" w:type="auto"/>
            <w:hideMark/>
          </w:tcPr>
          <w:p w:rsidR="003859E3" w:rsidRPr="005A454F" w:rsidRDefault="003859E3"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MCV</w:t>
            </w:r>
            <w:r w:rsidRPr="003859E3">
              <w:rPr>
                <w:rFonts w:ascii="Times New Roman" w:eastAsia="Times New Roman" w:hAnsi="Times New Roman" w:cs="Times New Roman"/>
                <w:sz w:val="24"/>
                <w:szCs w:val="24"/>
              </w:rPr>
              <w:t xml:space="preserve"> </w:t>
            </w:r>
            <w:r w:rsidRPr="005A454F">
              <w:rPr>
                <w:rFonts w:ascii="Times New Roman" w:eastAsia="Times New Roman" w:hAnsi="Times New Roman" w:cs="Times New Roman"/>
                <w:sz w:val="24"/>
                <w:szCs w:val="24"/>
              </w:rPr>
              <w:t>(fL)</w:t>
            </w:r>
          </w:p>
        </w:tc>
        <w:tc>
          <w:tcPr>
            <w:tcW w:w="0" w:type="auto"/>
            <w:hideMark/>
          </w:tcPr>
          <w:p w:rsidR="003859E3" w:rsidRPr="005A454F" w:rsidRDefault="003859E3"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512.36</w:t>
            </w:r>
          </w:p>
        </w:tc>
        <w:tc>
          <w:tcPr>
            <w:tcW w:w="0" w:type="auto"/>
            <w:hideMark/>
          </w:tcPr>
          <w:p w:rsidR="003859E3" w:rsidRPr="005A454F" w:rsidRDefault="003859E3"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3897.24</w:t>
            </w:r>
          </w:p>
        </w:tc>
        <w:tc>
          <w:tcPr>
            <w:tcW w:w="0" w:type="auto"/>
            <w:hideMark/>
          </w:tcPr>
          <w:p w:rsidR="003859E3" w:rsidRPr="005A454F" w:rsidRDefault="003859E3"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9.74</w:t>
            </w:r>
          </w:p>
        </w:tc>
        <w:tc>
          <w:tcPr>
            <w:tcW w:w="0" w:type="auto"/>
            <w:hideMark/>
          </w:tcPr>
          <w:p w:rsidR="003859E3" w:rsidRPr="005A454F" w:rsidRDefault="003859E3"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0.002</w:t>
            </w:r>
          </w:p>
        </w:tc>
        <w:tc>
          <w:tcPr>
            <w:tcW w:w="0" w:type="auto"/>
            <w:hideMark/>
          </w:tcPr>
          <w:p w:rsidR="003859E3" w:rsidRPr="005A454F" w:rsidRDefault="003859E3"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Significant</w:t>
            </w:r>
          </w:p>
        </w:tc>
      </w:tr>
      <w:tr w:rsidR="003859E3" w:rsidRPr="003859E3" w:rsidTr="005A454F">
        <w:tc>
          <w:tcPr>
            <w:tcW w:w="0" w:type="auto"/>
            <w:hideMark/>
          </w:tcPr>
          <w:p w:rsidR="003859E3" w:rsidRPr="005A454F" w:rsidRDefault="003859E3"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MCH</w:t>
            </w:r>
            <w:r w:rsidRPr="003859E3">
              <w:rPr>
                <w:rFonts w:ascii="Times New Roman" w:eastAsia="Times New Roman" w:hAnsi="Times New Roman" w:cs="Times New Roman"/>
                <w:sz w:val="24"/>
                <w:szCs w:val="24"/>
              </w:rPr>
              <w:t xml:space="preserve"> </w:t>
            </w:r>
            <w:r w:rsidRPr="005A454F">
              <w:rPr>
                <w:rFonts w:ascii="Times New Roman" w:eastAsia="Times New Roman" w:hAnsi="Times New Roman" w:cs="Times New Roman"/>
                <w:sz w:val="24"/>
                <w:szCs w:val="24"/>
              </w:rPr>
              <w:t>(pg)</w:t>
            </w:r>
          </w:p>
        </w:tc>
        <w:tc>
          <w:tcPr>
            <w:tcW w:w="0" w:type="auto"/>
            <w:hideMark/>
          </w:tcPr>
          <w:p w:rsidR="003859E3" w:rsidRPr="005A454F" w:rsidRDefault="003859E3"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68.94</w:t>
            </w:r>
          </w:p>
        </w:tc>
        <w:tc>
          <w:tcPr>
            <w:tcW w:w="0" w:type="auto"/>
            <w:hideMark/>
          </w:tcPr>
          <w:p w:rsidR="003859E3" w:rsidRPr="005A454F" w:rsidRDefault="003859E3"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1286.57</w:t>
            </w:r>
          </w:p>
        </w:tc>
        <w:tc>
          <w:tcPr>
            <w:tcW w:w="0" w:type="auto"/>
            <w:hideMark/>
          </w:tcPr>
          <w:p w:rsidR="003859E3" w:rsidRPr="005A454F" w:rsidRDefault="003859E3"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3.92</w:t>
            </w:r>
          </w:p>
        </w:tc>
        <w:tc>
          <w:tcPr>
            <w:tcW w:w="0" w:type="auto"/>
            <w:hideMark/>
          </w:tcPr>
          <w:p w:rsidR="003859E3" w:rsidRPr="005A454F" w:rsidRDefault="003859E3"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0.021</w:t>
            </w:r>
          </w:p>
        </w:tc>
        <w:tc>
          <w:tcPr>
            <w:tcW w:w="0" w:type="auto"/>
            <w:hideMark/>
          </w:tcPr>
          <w:p w:rsidR="003859E3" w:rsidRPr="005A454F" w:rsidRDefault="003859E3"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Significant</w:t>
            </w:r>
          </w:p>
        </w:tc>
      </w:tr>
      <w:tr w:rsidR="003859E3" w:rsidRPr="003859E3" w:rsidTr="005A454F">
        <w:tc>
          <w:tcPr>
            <w:tcW w:w="0" w:type="auto"/>
            <w:hideMark/>
          </w:tcPr>
          <w:p w:rsidR="003859E3" w:rsidRPr="005A454F" w:rsidRDefault="003859E3"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MCHC</w:t>
            </w:r>
            <w:r w:rsidRPr="003859E3">
              <w:rPr>
                <w:rFonts w:ascii="Times New Roman" w:eastAsia="Times New Roman" w:hAnsi="Times New Roman" w:cs="Times New Roman"/>
                <w:sz w:val="24"/>
                <w:szCs w:val="24"/>
              </w:rPr>
              <w:t xml:space="preserve"> </w:t>
            </w:r>
            <w:r w:rsidRPr="005A454F">
              <w:rPr>
                <w:rFonts w:ascii="Times New Roman" w:eastAsia="Times New Roman" w:hAnsi="Times New Roman" w:cs="Times New Roman"/>
                <w:sz w:val="24"/>
                <w:szCs w:val="24"/>
              </w:rPr>
              <w:t>(g/dL)</w:t>
            </w:r>
          </w:p>
        </w:tc>
        <w:tc>
          <w:tcPr>
            <w:tcW w:w="0" w:type="auto"/>
            <w:hideMark/>
          </w:tcPr>
          <w:p w:rsidR="003859E3" w:rsidRPr="005A454F" w:rsidRDefault="003859E3"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0.08</w:t>
            </w:r>
          </w:p>
        </w:tc>
        <w:tc>
          <w:tcPr>
            <w:tcW w:w="0" w:type="auto"/>
            <w:hideMark/>
          </w:tcPr>
          <w:p w:rsidR="003859E3" w:rsidRPr="005A454F" w:rsidRDefault="003859E3"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13.65</w:t>
            </w:r>
          </w:p>
        </w:tc>
        <w:tc>
          <w:tcPr>
            <w:tcW w:w="0" w:type="auto"/>
            <w:hideMark/>
          </w:tcPr>
          <w:p w:rsidR="003859E3" w:rsidRPr="005A454F" w:rsidRDefault="003859E3"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0.43</w:t>
            </w:r>
          </w:p>
        </w:tc>
        <w:tc>
          <w:tcPr>
            <w:tcW w:w="0" w:type="auto"/>
            <w:hideMark/>
          </w:tcPr>
          <w:p w:rsidR="003859E3" w:rsidRPr="005A454F" w:rsidRDefault="003859E3"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0.652</w:t>
            </w:r>
          </w:p>
        </w:tc>
        <w:tc>
          <w:tcPr>
            <w:tcW w:w="0" w:type="auto"/>
            <w:hideMark/>
          </w:tcPr>
          <w:p w:rsidR="003859E3" w:rsidRPr="005A454F" w:rsidRDefault="003859E3"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Not Significant</w:t>
            </w:r>
          </w:p>
        </w:tc>
      </w:tr>
      <w:tr w:rsidR="003859E3" w:rsidRPr="003859E3" w:rsidTr="005A454F">
        <w:tc>
          <w:tcPr>
            <w:tcW w:w="0" w:type="auto"/>
            <w:hideMark/>
          </w:tcPr>
          <w:p w:rsidR="003859E3" w:rsidRPr="005A454F" w:rsidRDefault="003859E3"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RDW</w:t>
            </w:r>
            <w:r w:rsidRPr="003859E3">
              <w:rPr>
                <w:rFonts w:ascii="Times New Roman" w:eastAsia="Times New Roman" w:hAnsi="Times New Roman" w:cs="Times New Roman"/>
                <w:sz w:val="24"/>
                <w:szCs w:val="24"/>
              </w:rPr>
              <w:t xml:space="preserve"> </w:t>
            </w:r>
            <w:r w:rsidRPr="005A454F">
              <w:rPr>
                <w:rFonts w:ascii="Times New Roman" w:eastAsia="Times New Roman" w:hAnsi="Times New Roman" w:cs="Times New Roman"/>
                <w:sz w:val="24"/>
                <w:szCs w:val="24"/>
              </w:rPr>
              <w:t>(%)</w:t>
            </w:r>
          </w:p>
        </w:tc>
        <w:tc>
          <w:tcPr>
            <w:tcW w:w="0" w:type="auto"/>
            <w:hideMark/>
          </w:tcPr>
          <w:p w:rsidR="003859E3" w:rsidRPr="005A454F" w:rsidRDefault="003859E3"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2.12</w:t>
            </w:r>
          </w:p>
        </w:tc>
        <w:tc>
          <w:tcPr>
            <w:tcW w:w="0" w:type="auto"/>
            <w:hideMark/>
          </w:tcPr>
          <w:p w:rsidR="003859E3" w:rsidRPr="005A454F" w:rsidRDefault="003859E3"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72.45</w:t>
            </w:r>
          </w:p>
        </w:tc>
        <w:tc>
          <w:tcPr>
            <w:tcW w:w="0" w:type="auto"/>
            <w:hideMark/>
          </w:tcPr>
          <w:p w:rsidR="003859E3" w:rsidRPr="005A454F" w:rsidRDefault="003859E3"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2.16</w:t>
            </w:r>
          </w:p>
        </w:tc>
        <w:tc>
          <w:tcPr>
            <w:tcW w:w="0" w:type="auto"/>
            <w:hideMark/>
          </w:tcPr>
          <w:p w:rsidR="003859E3" w:rsidRPr="005A454F" w:rsidRDefault="003859E3"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0.118</w:t>
            </w:r>
          </w:p>
        </w:tc>
        <w:tc>
          <w:tcPr>
            <w:tcW w:w="0" w:type="auto"/>
            <w:hideMark/>
          </w:tcPr>
          <w:p w:rsidR="003859E3" w:rsidRPr="005A454F" w:rsidRDefault="003859E3" w:rsidP="003859E3">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Not Significant</w:t>
            </w:r>
          </w:p>
        </w:tc>
      </w:tr>
    </w:tbl>
    <w:p w:rsidR="005A454F" w:rsidRPr="003859E3" w:rsidRDefault="005A454F" w:rsidP="003859E3">
      <w:pPr>
        <w:spacing w:line="240" w:lineRule="auto"/>
        <w:jc w:val="both"/>
        <w:rPr>
          <w:rFonts w:ascii="Times New Roman" w:hAnsi="Times New Roman" w:cs="Times New Roman"/>
          <w:sz w:val="24"/>
          <w:szCs w:val="24"/>
        </w:rPr>
      </w:pPr>
    </w:p>
    <w:p w:rsidR="005A454F" w:rsidRPr="003859E3" w:rsidRDefault="005A454F" w:rsidP="003859E3">
      <w:pPr>
        <w:spacing w:line="240" w:lineRule="auto"/>
        <w:jc w:val="both"/>
        <w:rPr>
          <w:rFonts w:ascii="Times New Roman" w:hAnsi="Times New Roman" w:cs="Times New Roman"/>
          <w:sz w:val="24"/>
          <w:szCs w:val="24"/>
        </w:rPr>
      </w:pPr>
    </w:p>
    <w:p w:rsidR="005A454F" w:rsidRPr="003859E3" w:rsidRDefault="005A454F" w:rsidP="003859E3">
      <w:pPr>
        <w:pStyle w:val="Heading2"/>
        <w:spacing w:line="240" w:lineRule="auto"/>
        <w:jc w:val="both"/>
        <w:rPr>
          <w:rFonts w:ascii="Times New Roman" w:hAnsi="Times New Roman" w:cs="Times New Roman"/>
          <w:color w:val="auto"/>
          <w:sz w:val="24"/>
          <w:szCs w:val="24"/>
        </w:rPr>
      </w:pPr>
      <w:r w:rsidRPr="003859E3">
        <w:rPr>
          <w:rFonts w:ascii="Times New Roman" w:hAnsi="Times New Roman" w:cs="Times New Roman"/>
          <w:b/>
          <w:color w:val="auto"/>
          <w:sz w:val="24"/>
          <w:szCs w:val="24"/>
        </w:rPr>
        <w:t>Discussion</w:t>
      </w:r>
    </w:p>
    <w:p w:rsidR="005A454F" w:rsidRPr="003859E3" w:rsidRDefault="005A454F" w:rsidP="003859E3">
      <w:pPr>
        <w:pStyle w:val="NormalWeb"/>
        <w:jc w:val="both"/>
      </w:pPr>
      <w:r w:rsidRPr="003859E3">
        <w:t xml:space="preserve">The present study evaluated erythrocyte indices among malaria-positive pregnant women (MP+), malaria-negative pregnant women (MP−), and non-pregnant controls in Owerri, Nigeria, in order to elucidate the haematological impact of malaria infection during pregnancy. The findings revealed significant alterations in several erythrocyte parameters, particularly haemoglobin concentration, packed cell volume, red blood cell count, mean corpuscular volume, and mean corpuscular haemoglobin. These results </w:t>
      </w:r>
      <w:r w:rsidR="003859E3" w:rsidRPr="003859E3">
        <w:t>reveal</w:t>
      </w:r>
      <w:r w:rsidRPr="003859E3">
        <w:t xml:space="preserve"> the substantial influence of malaria infection and pregnancy on red cell dynamics and erythropoiesis.</w:t>
      </w:r>
      <w:r w:rsidR="003859E3" w:rsidRPr="003859E3">
        <w:t xml:space="preserve"> </w:t>
      </w:r>
      <w:r w:rsidRPr="003859E3">
        <w:t>One of the most striking observations in this study was the significantly lower haemoglobin concentration among malaria-positive pregnant women compared with both malaria-negative pregnant women and non-pregnant controls. This finding suggests that malaria infection substantially contributes to anaemia during pregnancy. The reduction in haemoglobin levels in malaria-infected pregnant women can be attributed to several pathophysiological mechanisms. Malaria parasites invade erythrocytes and utilize haemoglobin as a nutrient source, leading to destruction of infected red blood cells. In addition, immune-mediated destruction of uninfected erythrocytes and suppression of erythropoiesis in the bone marrow contribute to the development of malarial anaemia. The significantly higher haemoglobin concentration observed in the control group further emphasizes the combined burden of pregnancy-related haemodilution and malaria-induced haemolysis in infected pregnant women</w:t>
      </w:r>
      <w:r w:rsidR="003859E3" w:rsidRPr="003859E3">
        <w:t xml:space="preserve"> [9-11]</w:t>
      </w:r>
      <w:r w:rsidRPr="003859E3">
        <w:t>.</w:t>
      </w:r>
    </w:p>
    <w:p w:rsidR="005A454F" w:rsidRPr="003859E3" w:rsidRDefault="005A454F" w:rsidP="003859E3">
      <w:pPr>
        <w:pStyle w:val="NormalWeb"/>
        <w:jc w:val="both"/>
      </w:pPr>
      <w:r w:rsidRPr="003859E3">
        <w:t xml:space="preserve">Similarly, packed cell volume showed a significant reduction among malaria-positive pregnant women relative to the other study groups. Packed cell volume is an important indicator of the proportion of blood occupied by red cells and is closely correlated with haemoglobin concentration. The lower PCV values observed in malaria-positive pregnant women may be </w:t>
      </w:r>
      <w:r w:rsidRPr="003859E3">
        <w:lastRenderedPageBreak/>
        <w:t>explained by intravascular haemolysis caused by parasitic invasion of erythrocytes as well as increased splenic sequestration of both parasitized and non-parasitized red blood cells. Furthermore, pregnancy itself is characterized by physiological haemodilution resulting from an expansion of plasma volume, which can further exacerbate reductions in PCV in malaria-infected pregnant women</w:t>
      </w:r>
      <w:r w:rsidR="003859E3" w:rsidRPr="003859E3">
        <w:t xml:space="preserve"> [12-13]</w:t>
      </w:r>
      <w:r w:rsidRPr="003859E3">
        <w:t>.</w:t>
      </w:r>
      <w:r w:rsidR="003859E3" w:rsidRPr="003859E3">
        <w:t xml:space="preserve"> </w:t>
      </w:r>
      <w:r w:rsidRPr="003859E3">
        <w:t xml:space="preserve">The red blood cell </w:t>
      </w:r>
      <w:r w:rsidR="001E27AD" w:rsidRPr="003859E3">
        <w:t>counts</w:t>
      </w:r>
      <w:r w:rsidRPr="003859E3">
        <w:t xml:space="preserve"> also differed significantly across the study groups, with the lowest mean value observed in malaria-positive pregnant women and the highest value recorded among non-pregnant controls. This observation reflects the haemolytic nature of malaria infection. The parasite-induced destruction of red blood cells reduces circulating erythrocyte numbers, while inflammatory responses during malaria may suppress bone marrow activity, thereby limiting compensatory erythropoiesis. Although the difference in RBC count between malaria-positive and malaria-negative pregnant women was not statistically significant in pairwise comparison, both groups showed significantly lower RBC counts compared with the control group, highlighting the combined influence of pregnancy and malaria infection on erythrocyte homeostasis</w:t>
      </w:r>
      <w:r w:rsidR="003859E3" w:rsidRPr="003859E3">
        <w:t xml:space="preserve"> [14-15]</w:t>
      </w:r>
      <w:r w:rsidRPr="003859E3">
        <w:t>.</w:t>
      </w:r>
    </w:p>
    <w:p w:rsidR="005A454F" w:rsidRPr="003859E3" w:rsidRDefault="005A454F" w:rsidP="003859E3">
      <w:pPr>
        <w:pStyle w:val="NormalWeb"/>
        <w:jc w:val="both"/>
      </w:pPr>
      <w:r w:rsidRPr="003859E3">
        <w:t>Mean corpuscular volume also demonstrated significant variation among the groups, with malaria-positive pregnant women exhibiting the lowest mean values. The reduced MCV observed in malaria-infected pregnant women may reflect microcytic tendencies associated with chronic infection and possible nutritional deficiencies such as iron deficiency, which commonly coexists with malaria in endemic regions. Reduced red cell size may also occur as a consequence of impaired erythropoiesis resulting from inflammatory cytokine activity during malaria infection. The higher MCV values observed in the control group suggest relatively normal erythrocyte maturation in the absence of pregnancy-associated physiological stress and malaria-induced haemolysis</w:t>
      </w:r>
      <w:r w:rsidR="003859E3" w:rsidRPr="003859E3">
        <w:t xml:space="preserve"> [16-18]</w:t>
      </w:r>
      <w:r w:rsidRPr="003859E3">
        <w:t>.</w:t>
      </w:r>
      <w:r w:rsidR="003859E3" w:rsidRPr="003859E3">
        <w:t xml:space="preserve"> </w:t>
      </w:r>
      <w:r w:rsidRPr="003859E3">
        <w:t>The mean corpuscular haemoglobin showed statistically significant variation among the study groups, although the pattern of change was less consistent than other erythrocyte indices. Malaria-negative pregnant women recorded the highest mean MCH value, while the lowest value was observed among the control group. Variations in MCH may reflect differences in haemoglobin synthesis and erythrocyte maturation during pregnancy and infection. The observed differences may also indicate adaptive responses in erythropoiesis as the body attempts to compensate for haemoglobin loss due to haemolysis in malaria-infected individuals</w:t>
      </w:r>
      <w:r w:rsidR="003859E3" w:rsidRPr="003859E3">
        <w:t xml:space="preserve"> [19-20]</w:t>
      </w:r>
      <w:r w:rsidRPr="003859E3">
        <w:t>.</w:t>
      </w:r>
    </w:p>
    <w:p w:rsidR="005A454F" w:rsidRPr="003859E3" w:rsidRDefault="005A454F" w:rsidP="003859E3">
      <w:pPr>
        <w:pStyle w:val="NormalWeb"/>
        <w:jc w:val="both"/>
      </w:pPr>
      <w:r w:rsidRPr="003859E3">
        <w:t>In contrast, mean corpuscular haemoglobin concentration did not differ significantly among the three groups. The relative stability of MCHC suggests that although malaria infection and pregnancy influence red blood cell size and haemoglobin content, the concentration of haemoglobin within individual erythrocytes remains relatively preserved. This observation may indicate that erythrocytes produced during infection maintain adequate haemoglobin packing despite alterations in overall red cell production and survival</w:t>
      </w:r>
      <w:r w:rsidR="003859E3" w:rsidRPr="003859E3">
        <w:t xml:space="preserve"> [21]</w:t>
      </w:r>
      <w:r w:rsidRPr="003859E3">
        <w:t>.</w:t>
      </w:r>
      <w:r w:rsidR="003859E3" w:rsidRPr="003859E3">
        <w:t xml:space="preserve"> </w:t>
      </w:r>
      <w:r w:rsidRPr="003859E3">
        <w:t>Red cell distribution width, which reflects the degree of variability in red cell size, also did not show a statistically significant difference among the study groups. Although slightly higher values were observed among the control group, the lack of significant variation suggests that anisocytosis was not markedly influenced by malaria infection or pregnancy status in this cohort. However, the moderate RDW values across all groups may indicate ongoing erythropoietic stress, which is common in populations exposed to nutritional deficiencies and endemic infections</w:t>
      </w:r>
      <w:r w:rsidR="003859E3" w:rsidRPr="003859E3">
        <w:t xml:space="preserve"> [22]</w:t>
      </w:r>
      <w:r w:rsidRPr="003859E3">
        <w:t>.</w:t>
      </w:r>
    </w:p>
    <w:p w:rsidR="005A454F" w:rsidRPr="003859E3" w:rsidRDefault="005A454F" w:rsidP="003859E3">
      <w:pPr>
        <w:pStyle w:val="NormalWeb"/>
        <w:jc w:val="both"/>
      </w:pPr>
      <w:r w:rsidRPr="003859E3">
        <w:t xml:space="preserve">The findings of the present study highlight the complex interplay between malaria infection and pregnancy in shaping erythrocyte indices. Pregnancy is characterized by physiological changes </w:t>
      </w:r>
      <w:r w:rsidRPr="003859E3">
        <w:lastRenderedPageBreak/>
        <w:t>including increased plasma volume, altered immune responses, and heightened nutritional demands, all of which influence haematological parameters. When malaria infection occurs during pregnancy, these physiological adaptations may amplify the haematological consequences of parasitic infection, leading to significant reductions in haemoglobin levels and red blood cell counts. Such alterations increase the risk of maternal anaemia, which is a major contributor to adverse maternal and fetal outcomes in malaria-endemic regions</w:t>
      </w:r>
      <w:r w:rsidR="003859E3" w:rsidRPr="003859E3">
        <w:t xml:space="preserve"> [23-24]</w:t>
      </w:r>
      <w:r w:rsidRPr="003859E3">
        <w:t>.</w:t>
      </w:r>
      <w:r w:rsidR="003859E3" w:rsidRPr="003859E3">
        <w:t xml:space="preserve"> </w:t>
      </w:r>
      <w:r w:rsidRPr="003859E3">
        <w:t>The significantly higher erythrocyte indices observed in the control group emphasize the detrimental effect of both pregnancy and malaria infection on red cell physiology. These findings reinforce the importance of routine haematological monitoring in pregnant women, particularly in malaria-endemic areas such as southeastern Nigeria. Early detection and management of malaria infection during pregnancy may help mitigate its adverse effects on erythrocyte indices and reduce the risk of severe anaemia and associated complications</w:t>
      </w:r>
      <w:r w:rsidR="003859E3" w:rsidRPr="003859E3">
        <w:t xml:space="preserve"> [25-26]</w:t>
      </w:r>
      <w:r w:rsidRPr="003859E3">
        <w:t>.</w:t>
      </w:r>
    </w:p>
    <w:p w:rsidR="001E27AD" w:rsidRPr="003859E3" w:rsidRDefault="001E27AD" w:rsidP="003859E3">
      <w:pPr>
        <w:pStyle w:val="Heading2"/>
        <w:spacing w:line="240" w:lineRule="auto"/>
        <w:jc w:val="both"/>
        <w:rPr>
          <w:rFonts w:ascii="Times New Roman" w:hAnsi="Times New Roman" w:cs="Times New Roman"/>
          <w:color w:val="auto"/>
          <w:sz w:val="24"/>
          <w:szCs w:val="24"/>
        </w:rPr>
      </w:pPr>
      <w:r w:rsidRPr="003859E3">
        <w:rPr>
          <w:rFonts w:ascii="Times New Roman" w:hAnsi="Times New Roman" w:cs="Times New Roman"/>
          <w:b/>
          <w:color w:val="auto"/>
          <w:sz w:val="24"/>
          <w:szCs w:val="24"/>
        </w:rPr>
        <w:t>Conclusion</w:t>
      </w:r>
    </w:p>
    <w:p w:rsidR="001E27AD" w:rsidRPr="003859E3" w:rsidRDefault="001E27AD" w:rsidP="003859E3">
      <w:pPr>
        <w:pStyle w:val="NormalWeb"/>
        <w:jc w:val="both"/>
      </w:pPr>
      <w:r w:rsidRPr="003859E3">
        <w:t>This study demonstrates that malaria infection during pregnancy significantly affects erythrocyte indices among women in Owerri, Nigeria. Malaria-positive pregnant women exhibited notably lower haemoglobin concentration, packed cell volume, and red blood cell counts compared with both malaria-negative pregnant women and non-pregnant controls. Significant alterations were also observed in mean corpuscular volume and mean corpuscular haemoglobin, indicating disrupted erythropoiesis and red cell morphology associated with infection. In contrast, mean corpuscular haemoglobin concentration and red cell distribution width were not significantly affected, suggesting that the haemoglobin content within individual red cells remains relatively stable despite malaria-induced anaemia. Overall, these findings highlight the substantial haematological burden imposed by malaria in pregnancy and underscore the importance of routine haematological monitoring, prompt malaria diagnosis, and effective intervention strategies to reduce the risk of maternal anaemia and improve maternal and fetal health outcomes in endemic regions.</w:t>
      </w:r>
    </w:p>
    <w:p w:rsidR="003859E3" w:rsidRPr="003859E3" w:rsidRDefault="003859E3" w:rsidP="003859E3">
      <w:pPr>
        <w:spacing w:before="100" w:beforeAutospacing="1" w:after="100" w:afterAutospacing="1" w:line="240" w:lineRule="auto"/>
        <w:jc w:val="both"/>
        <w:rPr>
          <w:rFonts w:ascii="Times New Roman" w:eastAsia="Times New Roman" w:hAnsi="Times New Roman" w:cs="Times New Roman"/>
          <w:b/>
          <w:bCs/>
          <w:sz w:val="24"/>
          <w:szCs w:val="24"/>
        </w:rPr>
      </w:pPr>
      <w:r w:rsidRPr="003859E3">
        <w:rPr>
          <w:rFonts w:ascii="Times New Roman" w:eastAsia="Times New Roman" w:hAnsi="Times New Roman" w:cs="Times New Roman"/>
          <w:b/>
          <w:bCs/>
          <w:sz w:val="24"/>
          <w:szCs w:val="24"/>
        </w:rPr>
        <w:t>References</w:t>
      </w:r>
    </w:p>
    <w:p w:rsidR="003859E3" w:rsidRPr="003859E3" w:rsidRDefault="003859E3" w:rsidP="003859E3">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59E3">
        <w:rPr>
          <w:rFonts w:ascii="Times New Roman" w:hAnsi="Times New Roman" w:cs="Times New Roman"/>
          <w:sz w:val="24"/>
          <w:szCs w:val="24"/>
        </w:rPr>
        <w:t xml:space="preserve">Zegeye, A. F., Mekonen, E. G., Gebrehana, D. A., Tekeba, B., &amp; Tamir, T. T. (2025). Spatial variation and multilevel determinants of malaria infection among pregnant women in Sub-Saharan Africa: using malaria indicator surveys. </w:t>
      </w:r>
      <w:r w:rsidRPr="003859E3">
        <w:rPr>
          <w:rFonts w:ascii="Times New Roman" w:hAnsi="Times New Roman" w:cs="Times New Roman"/>
          <w:i/>
          <w:iCs/>
          <w:sz w:val="24"/>
          <w:szCs w:val="24"/>
        </w:rPr>
        <w:t>BMC infectious diseases</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25</w:t>
      </w:r>
      <w:r w:rsidRPr="003859E3">
        <w:rPr>
          <w:rFonts w:ascii="Times New Roman" w:hAnsi="Times New Roman" w:cs="Times New Roman"/>
          <w:sz w:val="24"/>
          <w:szCs w:val="24"/>
        </w:rPr>
        <w:t xml:space="preserve">(1), 654. </w:t>
      </w:r>
      <w:hyperlink r:id="rId7" w:history="1">
        <w:r w:rsidRPr="003859E3">
          <w:rPr>
            <w:rStyle w:val="Hyperlink"/>
            <w:rFonts w:ascii="Times New Roman" w:hAnsi="Times New Roman" w:cs="Times New Roman"/>
            <w:sz w:val="24"/>
            <w:szCs w:val="24"/>
          </w:rPr>
          <w:t>https://doi.org/10.1186/s12879-025-11037-8</w:t>
        </w:r>
      </w:hyperlink>
    </w:p>
    <w:p w:rsidR="003859E3" w:rsidRPr="003859E3" w:rsidRDefault="003859E3" w:rsidP="003859E3">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59E3">
        <w:rPr>
          <w:rFonts w:ascii="Times New Roman" w:hAnsi="Times New Roman" w:cs="Times New Roman"/>
          <w:sz w:val="24"/>
          <w:szCs w:val="24"/>
        </w:rPr>
        <w:t xml:space="preserve">Okova, D., Lukwa, A. T., Oyando, R., Bodzo, P., Chiwire, P., &amp; Alaba, O. A. (2024). Malaria Prevention for Pregnant Women and Under-Five Children in 10 Sub-Saharan Africa Countries: Socioeconomic and Temporal Inequality Analysis. </w:t>
      </w:r>
      <w:r w:rsidRPr="003859E3">
        <w:rPr>
          <w:rFonts w:ascii="Times New Roman" w:hAnsi="Times New Roman" w:cs="Times New Roman"/>
          <w:i/>
          <w:iCs/>
          <w:sz w:val="24"/>
          <w:szCs w:val="24"/>
        </w:rPr>
        <w:t>International journal of environmental research and public health</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21</w:t>
      </w:r>
      <w:r w:rsidRPr="003859E3">
        <w:rPr>
          <w:rFonts w:ascii="Times New Roman" w:hAnsi="Times New Roman" w:cs="Times New Roman"/>
          <w:sz w:val="24"/>
          <w:szCs w:val="24"/>
        </w:rPr>
        <w:t xml:space="preserve">(12), 1656. </w:t>
      </w:r>
      <w:hyperlink r:id="rId8" w:history="1">
        <w:r w:rsidRPr="003859E3">
          <w:rPr>
            <w:rStyle w:val="Hyperlink"/>
            <w:rFonts w:ascii="Times New Roman" w:hAnsi="Times New Roman" w:cs="Times New Roman"/>
            <w:sz w:val="24"/>
            <w:szCs w:val="24"/>
          </w:rPr>
          <w:t>https://doi.org/10.3390/ijerph21121656</w:t>
        </w:r>
      </w:hyperlink>
    </w:p>
    <w:p w:rsidR="003859E3" w:rsidRPr="003859E3" w:rsidRDefault="003859E3" w:rsidP="003859E3">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59E3">
        <w:rPr>
          <w:rFonts w:ascii="Times New Roman" w:hAnsi="Times New Roman" w:cs="Times New Roman"/>
          <w:sz w:val="24"/>
          <w:szCs w:val="24"/>
        </w:rPr>
        <w:t xml:space="preserve">Soma-Pillay, P., Nelson-Piercy, C., Tolppanen, H., &amp; Mebazaa, A. (2016). Physiological changes in pregnancy. </w:t>
      </w:r>
      <w:r w:rsidRPr="003859E3">
        <w:rPr>
          <w:rFonts w:ascii="Times New Roman" w:hAnsi="Times New Roman" w:cs="Times New Roman"/>
          <w:i/>
          <w:iCs/>
          <w:sz w:val="24"/>
          <w:szCs w:val="24"/>
        </w:rPr>
        <w:t>Cardiovascular journal of Africa</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27</w:t>
      </w:r>
      <w:r w:rsidRPr="003859E3">
        <w:rPr>
          <w:rFonts w:ascii="Times New Roman" w:hAnsi="Times New Roman" w:cs="Times New Roman"/>
          <w:sz w:val="24"/>
          <w:szCs w:val="24"/>
        </w:rPr>
        <w:t xml:space="preserve">(2), 89–94. </w:t>
      </w:r>
      <w:hyperlink r:id="rId9" w:history="1">
        <w:r w:rsidRPr="003859E3">
          <w:rPr>
            <w:rStyle w:val="Hyperlink"/>
            <w:rFonts w:ascii="Times New Roman" w:hAnsi="Times New Roman" w:cs="Times New Roman"/>
            <w:sz w:val="24"/>
            <w:szCs w:val="24"/>
          </w:rPr>
          <w:t>https://doi.org/10.5830/CVJA-2016-021</w:t>
        </w:r>
      </w:hyperlink>
    </w:p>
    <w:p w:rsidR="003859E3" w:rsidRPr="003859E3" w:rsidRDefault="003859E3" w:rsidP="003859E3">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59E3">
        <w:rPr>
          <w:rFonts w:ascii="Times New Roman" w:hAnsi="Times New Roman" w:cs="Times New Roman"/>
          <w:sz w:val="24"/>
          <w:szCs w:val="24"/>
        </w:rPr>
        <w:t xml:space="preserve">Townsley D. M. (2013). Hematologic complications of pregnancy. </w:t>
      </w:r>
      <w:r w:rsidRPr="003859E3">
        <w:rPr>
          <w:rFonts w:ascii="Times New Roman" w:hAnsi="Times New Roman" w:cs="Times New Roman"/>
          <w:i/>
          <w:iCs/>
          <w:sz w:val="24"/>
          <w:szCs w:val="24"/>
        </w:rPr>
        <w:t>Seminars in hematology</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50</w:t>
      </w:r>
      <w:r w:rsidRPr="003859E3">
        <w:rPr>
          <w:rFonts w:ascii="Times New Roman" w:hAnsi="Times New Roman" w:cs="Times New Roman"/>
          <w:sz w:val="24"/>
          <w:szCs w:val="24"/>
        </w:rPr>
        <w:t xml:space="preserve">(3), 222–231. </w:t>
      </w:r>
      <w:hyperlink r:id="rId10" w:history="1">
        <w:r w:rsidRPr="003859E3">
          <w:rPr>
            <w:rStyle w:val="Hyperlink"/>
            <w:rFonts w:ascii="Times New Roman" w:hAnsi="Times New Roman" w:cs="Times New Roman"/>
            <w:sz w:val="24"/>
            <w:szCs w:val="24"/>
          </w:rPr>
          <w:t>https://doi.org/10.1053/j.seminhematol.2013.06.004</w:t>
        </w:r>
      </w:hyperlink>
    </w:p>
    <w:p w:rsidR="003859E3" w:rsidRPr="003859E3" w:rsidRDefault="003859E3" w:rsidP="003859E3">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59E3">
        <w:rPr>
          <w:rFonts w:ascii="Times New Roman" w:hAnsi="Times New Roman" w:cs="Times New Roman"/>
          <w:sz w:val="24"/>
          <w:szCs w:val="24"/>
        </w:rPr>
        <w:lastRenderedPageBreak/>
        <w:t xml:space="preserve">Chandra, S., Tripathi, A. K., Mishra, S., Amzarul, M., &amp; Vaish, A. K. (2012). Physiological changes in hematological parameters during pregnancy. </w:t>
      </w:r>
      <w:r w:rsidRPr="003859E3">
        <w:rPr>
          <w:rFonts w:ascii="Times New Roman" w:hAnsi="Times New Roman" w:cs="Times New Roman"/>
          <w:i/>
          <w:iCs/>
          <w:sz w:val="24"/>
          <w:szCs w:val="24"/>
        </w:rPr>
        <w:t>Indian journal of hematology &amp; blood transfusion : an official journal of Indian Society of Hematology and Blood Transfusion</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28</w:t>
      </w:r>
      <w:r w:rsidRPr="003859E3">
        <w:rPr>
          <w:rFonts w:ascii="Times New Roman" w:hAnsi="Times New Roman" w:cs="Times New Roman"/>
          <w:sz w:val="24"/>
          <w:szCs w:val="24"/>
        </w:rPr>
        <w:t xml:space="preserve">(3), 144–146. </w:t>
      </w:r>
      <w:hyperlink r:id="rId11" w:history="1">
        <w:r w:rsidRPr="003859E3">
          <w:rPr>
            <w:rStyle w:val="Hyperlink"/>
            <w:rFonts w:ascii="Times New Roman" w:hAnsi="Times New Roman" w:cs="Times New Roman"/>
            <w:sz w:val="24"/>
            <w:szCs w:val="24"/>
          </w:rPr>
          <w:t>https://doi.org/10.1007/s12288-012-0175-6</w:t>
        </w:r>
      </w:hyperlink>
    </w:p>
    <w:p w:rsidR="003859E3" w:rsidRPr="003859E3" w:rsidRDefault="003859E3" w:rsidP="003859E3">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59E3">
        <w:rPr>
          <w:rFonts w:ascii="Times New Roman" w:hAnsi="Times New Roman" w:cs="Times New Roman"/>
          <w:sz w:val="24"/>
          <w:szCs w:val="24"/>
        </w:rPr>
        <w:t xml:space="preserve">Alsafi, W. M., Gaffer, A. A., Al-Nafeesah, A., AlEed, A., Alfaifi, J., &amp; Adam, I. (2024). Diagnostic Accuracy of Hemoglobin Levels and Red Blood Cell Parameters for Iron Deficiency in Adolescents: A Cross-Sectional Study. </w:t>
      </w:r>
      <w:r w:rsidRPr="003859E3">
        <w:rPr>
          <w:rFonts w:ascii="Times New Roman" w:hAnsi="Times New Roman" w:cs="Times New Roman"/>
          <w:i/>
          <w:iCs/>
          <w:sz w:val="24"/>
          <w:szCs w:val="24"/>
        </w:rPr>
        <w:t>Global pediatric health</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11</w:t>
      </w:r>
      <w:r w:rsidRPr="003859E3">
        <w:rPr>
          <w:rFonts w:ascii="Times New Roman" w:hAnsi="Times New Roman" w:cs="Times New Roman"/>
          <w:sz w:val="24"/>
          <w:szCs w:val="24"/>
        </w:rPr>
        <w:t xml:space="preserve">, 2333794X241304642. </w:t>
      </w:r>
      <w:hyperlink r:id="rId12" w:history="1">
        <w:r w:rsidRPr="003859E3">
          <w:rPr>
            <w:rStyle w:val="Hyperlink"/>
            <w:rFonts w:ascii="Times New Roman" w:hAnsi="Times New Roman" w:cs="Times New Roman"/>
            <w:sz w:val="24"/>
            <w:szCs w:val="24"/>
          </w:rPr>
          <w:t>https://doi.org/10.1177/2333794X241304642</w:t>
        </w:r>
      </w:hyperlink>
    </w:p>
    <w:p w:rsidR="003859E3" w:rsidRPr="003859E3" w:rsidRDefault="003859E3" w:rsidP="003859E3">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59E3">
        <w:rPr>
          <w:rFonts w:ascii="Times New Roman" w:hAnsi="Times New Roman" w:cs="Times New Roman"/>
          <w:sz w:val="24"/>
          <w:szCs w:val="24"/>
        </w:rPr>
        <w:t xml:space="preserve">Oyerogba, O. P., Adedapo, A., Awokson, T., Odukogbe, A. T., &amp; Aderinto, N. (2023). Prevalence of malaria parasitaemia among pregnant women at booking in Nigeria. </w:t>
      </w:r>
      <w:r w:rsidRPr="003859E3">
        <w:rPr>
          <w:rFonts w:ascii="Times New Roman" w:hAnsi="Times New Roman" w:cs="Times New Roman"/>
          <w:i/>
          <w:iCs/>
          <w:sz w:val="24"/>
          <w:szCs w:val="24"/>
        </w:rPr>
        <w:t>Health science reports</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6</w:t>
      </w:r>
      <w:r w:rsidRPr="003859E3">
        <w:rPr>
          <w:rFonts w:ascii="Times New Roman" w:hAnsi="Times New Roman" w:cs="Times New Roman"/>
          <w:sz w:val="24"/>
          <w:szCs w:val="24"/>
        </w:rPr>
        <w:t xml:space="preserve">(6), e1337. </w:t>
      </w:r>
      <w:hyperlink r:id="rId13" w:history="1">
        <w:r w:rsidRPr="003859E3">
          <w:rPr>
            <w:rStyle w:val="Hyperlink"/>
            <w:rFonts w:ascii="Times New Roman" w:hAnsi="Times New Roman" w:cs="Times New Roman"/>
            <w:sz w:val="24"/>
            <w:szCs w:val="24"/>
          </w:rPr>
          <w:t>https://doi.org/10.1002/hsr2.1337</w:t>
        </w:r>
      </w:hyperlink>
    </w:p>
    <w:p w:rsidR="003859E3" w:rsidRPr="003859E3" w:rsidRDefault="003859E3" w:rsidP="003859E3">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59E3">
        <w:rPr>
          <w:rFonts w:ascii="Times New Roman" w:hAnsi="Times New Roman" w:cs="Times New Roman"/>
          <w:sz w:val="24"/>
          <w:szCs w:val="24"/>
        </w:rPr>
        <w:t xml:space="preserve">Agomo, C. O., Oyibo, W. A., Anorlu, R. I., &amp; Agomo, P. U. (2009). Prevalence of malaria in pregnant women in Lagos, South-West Nigeria. </w:t>
      </w:r>
      <w:r w:rsidRPr="003859E3">
        <w:rPr>
          <w:rFonts w:ascii="Times New Roman" w:hAnsi="Times New Roman" w:cs="Times New Roman"/>
          <w:i/>
          <w:iCs/>
          <w:sz w:val="24"/>
          <w:szCs w:val="24"/>
        </w:rPr>
        <w:t>The Korean journal of parasitology</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47</w:t>
      </w:r>
      <w:r w:rsidRPr="003859E3">
        <w:rPr>
          <w:rFonts w:ascii="Times New Roman" w:hAnsi="Times New Roman" w:cs="Times New Roman"/>
          <w:sz w:val="24"/>
          <w:szCs w:val="24"/>
        </w:rPr>
        <w:t xml:space="preserve">(2), 179–183. </w:t>
      </w:r>
      <w:hyperlink r:id="rId14" w:history="1">
        <w:r w:rsidRPr="003859E3">
          <w:rPr>
            <w:rStyle w:val="Hyperlink"/>
            <w:rFonts w:ascii="Times New Roman" w:hAnsi="Times New Roman" w:cs="Times New Roman"/>
            <w:sz w:val="24"/>
            <w:szCs w:val="24"/>
          </w:rPr>
          <w:t>https://doi.org/10.3347/kjp.2009.47.2.179</w:t>
        </w:r>
      </w:hyperlink>
    </w:p>
    <w:p w:rsidR="003859E3" w:rsidRPr="003859E3" w:rsidRDefault="003859E3" w:rsidP="003859E3">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59E3">
        <w:rPr>
          <w:rFonts w:ascii="Times New Roman" w:hAnsi="Times New Roman" w:cs="Times New Roman"/>
          <w:sz w:val="24"/>
          <w:szCs w:val="24"/>
        </w:rPr>
        <w:t xml:space="preserve">Zegeye, A. F., Wassie, M., Tamir, T. T., Tekeba, B., Mekonen, E. G., Zeleke, G. A., &amp; Gebrehana, D. A. (2025). Malaria-anemia comorbidity and its determinants among pregnant women in high- and moderate-malaria-risk countries in Sub-Saharan Africa. </w:t>
      </w:r>
      <w:r w:rsidRPr="003859E3">
        <w:rPr>
          <w:rFonts w:ascii="Times New Roman" w:hAnsi="Times New Roman" w:cs="Times New Roman"/>
          <w:i/>
          <w:iCs/>
          <w:sz w:val="24"/>
          <w:szCs w:val="24"/>
        </w:rPr>
        <w:t>Infectious diseases of poverty</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14</w:t>
      </w:r>
      <w:r w:rsidRPr="003859E3">
        <w:rPr>
          <w:rFonts w:ascii="Times New Roman" w:hAnsi="Times New Roman" w:cs="Times New Roman"/>
          <w:sz w:val="24"/>
          <w:szCs w:val="24"/>
        </w:rPr>
        <w:t xml:space="preserve">(1), 86. </w:t>
      </w:r>
      <w:hyperlink r:id="rId15" w:history="1">
        <w:r w:rsidRPr="003859E3">
          <w:rPr>
            <w:rStyle w:val="Hyperlink"/>
            <w:rFonts w:ascii="Times New Roman" w:hAnsi="Times New Roman" w:cs="Times New Roman"/>
            <w:sz w:val="24"/>
            <w:szCs w:val="24"/>
          </w:rPr>
          <w:t>https://doi.org/10.1186/s40249-025-01357-x</w:t>
        </w:r>
      </w:hyperlink>
    </w:p>
    <w:p w:rsidR="003859E3" w:rsidRPr="003859E3" w:rsidRDefault="003859E3" w:rsidP="003859E3">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59E3">
        <w:rPr>
          <w:rFonts w:ascii="Times New Roman" w:hAnsi="Times New Roman" w:cs="Times New Roman"/>
          <w:sz w:val="24"/>
          <w:szCs w:val="24"/>
        </w:rPr>
        <w:t xml:space="preserve">Accrombessi, M., Ouédraogo, S., Agbota, G. C., Gonzalez, R., Massougbodji, A., Menéndez, C., &amp; Cot, M. (2015). Malaria in Pregnancy Is a Predictor of Infant Haemoglobin Concentrations during the First Year of Life in Benin, West Africa. </w:t>
      </w:r>
      <w:r w:rsidRPr="003859E3">
        <w:rPr>
          <w:rFonts w:ascii="Times New Roman" w:hAnsi="Times New Roman" w:cs="Times New Roman"/>
          <w:i/>
          <w:iCs/>
          <w:sz w:val="24"/>
          <w:szCs w:val="24"/>
        </w:rPr>
        <w:t>PloS one</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10</w:t>
      </w:r>
      <w:r w:rsidRPr="003859E3">
        <w:rPr>
          <w:rFonts w:ascii="Times New Roman" w:hAnsi="Times New Roman" w:cs="Times New Roman"/>
          <w:sz w:val="24"/>
          <w:szCs w:val="24"/>
        </w:rPr>
        <w:t xml:space="preserve">(6), e0129510. </w:t>
      </w:r>
      <w:hyperlink r:id="rId16" w:history="1">
        <w:r w:rsidRPr="003859E3">
          <w:rPr>
            <w:rStyle w:val="Hyperlink"/>
            <w:rFonts w:ascii="Times New Roman" w:hAnsi="Times New Roman" w:cs="Times New Roman"/>
            <w:sz w:val="24"/>
            <w:szCs w:val="24"/>
          </w:rPr>
          <w:t>https://doi.org/10.1371/journal.pone.0129510</w:t>
        </w:r>
      </w:hyperlink>
    </w:p>
    <w:p w:rsidR="003859E3" w:rsidRPr="003859E3" w:rsidRDefault="003859E3" w:rsidP="003859E3">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59E3">
        <w:rPr>
          <w:rFonts w:ascii="Times New Roman" w:hAnsi="Times New Roman" w:cs="Times New Roman"/>
          <w:sz w:val="24"/>
          <w:szCs w:val="24"/>
        </w:rPr>
        <w:t xml:space="preserve">Sohail, M., Shakeel, S., Kumari, S., Bharti, A., Zahid, F., Anwar, S., Singh, K. P., Islam, M., Sharma, A. K., Lata, S., Ali, V., Adak, T., Das, P., &amp; Raziuddin, M. (2015). Prevalence of Malaria Infection and Risk Factors Associated with Anaemia among Pregnant Women in Semiurban Community of Hazaribag, Jharkhand, India. </w:t>
      </w:r>
      <w:r w:rsidRPr="003859E3">
        <w:rPr>
          <w:rFonts w:ascii="Times New Roman" w:hAnsi="Times New Roman" w:cs="Times New Roman"/>
          <w:i/>
          <w:iCs/>
          <w:sz w:val="24"/>
          <w:szCs w:val="24"/>
        </w:rPr>
        <w:t>BioMed research international</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2015</w:t>
      </w:r>
      <w:r w:rsidRPr="003859E3">
        <w:rPr>
          <w:rFonts w:ascii="Times New Roman" w:hAnsi="Times New Roman" w:cs="Times New Roman"/>
          <w:sz w:val="24"/>
          <w:szCs w:val="24"/>
        </w:rPr>
        <w:t xml:space="preserve">, 740512. </w:t>
      </w:r>
      <w:hyperlink r:id="rId17" w:history="1">
        <w:r w:rsidRPr="003859E3">
          <w:rPr>
            <w:rStyle w:val="Hyperlink"/>
            <w:rFonts w:ascii="Times New Roman" w:hAnsi="Times New Roman" w:cs="Times New Roman"/>
            <w:sz w:val="24"/>
            <w:szCs w:val="24"/>
          </w:rPr>
          <w:t>https://doi.org/10.1155/2015/740512</w:t>
        </w:r>
      </w:hyperlink>
    </w:p>
    <w:p w:rsidR="003859E3" w:rsidRPr="003859E3" w:rsidRDefault="003859E3" w:rsidP="003859E3">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59E3">
        <w:rPr>
          <w:rFonts w:ascii="Times New Roman" w:hAnsi="Times New Roman" w:cs="Times New Roman"/>
          <w:sz w:val="24"/>
          <w:szCs w:val="24"/>
        </w:rPr>
        <w:t xml:space="preserve">Dim, C. C., Ugwu, E. O., Anyaehie, U. B., &amp; Obioha, K. C. (2014). A comparison of capillary and venous blood haematocrits of pregnant women in Nigeria: the impact on diagnosis and prevalence of anaemia in pregnancy. </w:t>
      </w:r>
      <w:r w:rsidRPr="003859E3">
        <w:rPr>
          <w:rFonts w:ascii="Times New Roman" w:hAnsi="Times New Roman" w:cs="Times New Roman"/>
          <w:i/>
          <w:iCs/>
          <w:sz w:val="24"/>
          <w:szCs w:val="24"/>
        </w:rPr>
        <w:t>BioMed research international</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2014</w:t>
      </w:r>
      <w:r w:rsidRPr="003859E3">
        <w:rPr>
          <w:rFonts w:ascii="Times New Roman" w:hAnsi="Times New Roman" w:cs="Times New Roman"/>
          <w:sz w:val="24"/>
          <w:szCs w:val="24"/>
        </w:rPr>
        <w:t xml:space="preserve">, 467056. </w:t>
      </w:r>
      <w:hyperlink r:id="rId18" w:history="1">
        <w:r w:rsidRPr="003859E3">
          <w:rPr>
            <w:rStyle w:val="Hyperlink"/>
            <w:rFonts w:ascii="Times New Roman" w:hAnsi="Times New Roman" w:cs="Times New Roman"/>
            <w:sz w:val="24"/>
            <w:szCs w:val="24"/>
          </w:rPr>
          <w:t>https://doi.org/10.1155/2014/467056</w:t>
        </w:r>
      </w:hyperlink>
    </w:p>
    <w:p w:rsidR="003859E3" w:rsidRPr="003859E3" w:rsidRDefault="003859E3" w:rsidP="003859E3">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59E3">
        <w:rPr>
          <w:rFonts w:ascii="Times New Roman" w:hAnsi="Times New Roman" w:cs="Times New Roman"/>
          <w:sz w:val="24"/>
          <w:szCs w:val="24"/>
        </w:rPr>
        <w:t xml:space="preserve">Turkson, P. K., &amp; Ganyo, E. Y. (2015). Relationship between haemoglobin concentration and packed cell volume in cattle blood samples. </w:t>
      </w:r>
      <w:r w:rsidRPr="003859E3">
        <w:rPr>
          <w:rFonts w:ascii="Times New Roman" w:hAnsi="Times New Roman" w:cs="Times New Roman"/>
          <w:i/>
          <w:iCs/>
          <w:sz w:val="24"/>
          <w:szCs w:val="24"/>
        </w:rPr>
        <w:t>The Onderstepoort journal of veterinary research</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82</w:t>
      </w:r>
      <w:r w:rsidRPr="003859E3">
        <w:rPr>
          <w:rFonts w:ascii="Times New Roman" w:hAnsi="Times New Roman" w:cs="Times New Roman"/>
          <w:sz w:val="24"/>
          <w:szCs w:val="24"/>
        </w:rPr>
        <w:t xml:space="preserve">(1), 863. </w:t>
      </w:r>
      <w:hyperlink r:id="rId19" w:history="1">
        <w:r w:rsidRPr="003859E3">
          <w:rPr>
            <w:rStyle w:val="Hyperlink"/>
            <w:rFonts w:ascii="Times New Roman" w:hAnsi="Times New Roman" w:cs="Times New Roman"/>
            <w:sz w:val="24"/>
            <w:szCs w:val="24"/>
          </w:rPr>
          <w:t>https://doi.org/10.4102/ojvr.v82i1.863</w:t>
        </w:r>
      </w:hyperlink>
    </w:p>
    <w:p w:rsidR="003859E3" w:rsidRPr="003859E3" w:rsidRDefault="003859E3" w:rsidP="003859E3">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59E3">
        <w:rPr>
          <w:rFonts w:ascii="Times New Roman" w:hAnsi="Times New Roman" w:cs="Times New Roman"/>
          <w:sz w:val="24"/>
          <w:szCs w:val="24"/>
        </w:rPr>
        <w:t xml:space="preserve">Kotepui, M., Piwkham, D., PhunPhuech, B., Phiwklam, N., Chupeerach, C., &amp; Duangmano, S. (2015). Effects of malaria parasite density on blood cell parameters. </w:t>
      </w:r>
      <w:r w:rsidRPr="003859E3">
        <w:rPr>
          <w:rFonts w:ascii="Times New Roman" w:hAnsi="Times New Roman" w:cs="Times New Roman"/>
          <w:i/>
          <w:iCs/>
          <w:sz w:val="24"/>
          <w:szCs w:val="24"/>
        </w:rPr>
        <w:t>PloS one</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10</w:t>
      </w:r>
      <w:r w:rsidRPr="003859E3">
        <w:rPr>
          <w:rFonts w:ascii="Times New Roman" w:hAnsi="Times New Roman" w:cs="Times New Roman"/>
          <w:sz w:val="24"/>
          <w:szCs w:val="24"/>
        </w:rPr>
        <w:t xml:space="preserve">(3), e0121057. </w:t>
      </w:r>
      <w:hyperlink r:id="rId20" w:history="1">
        <w:r w:rsidRPr="003859E3">
          <w:rPr>
            <w:rStyle w:val="Hyperlink"/>
            <w:rFonts w:ascii="Times New Roman" w:hAnsi="Times New Roman" w:cs="Times New Roman"/>
            <w:sz w:val="24"/>
            <w:szCs w:val="24"/>
          </w:rPr>
          <w:t>https://doi.org/10.1371/journal.pone.0121057</w:t>
        </w:r>
      </w:hyperlink>
    </w:p>
    <w:p w:rsidR="003859E3" w:rsidRPr="003859E3" w:rsidRDefault="003859E3" w:rsidP="003859E3">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59E3">
        <w:rPr>
          <w:rFonts w:ascii="Times New Roman" w:hAnsi="Times New Roman" w:cs="Times New Roman"/>
          <w:sz w:val="24"/>
          <w:szCs w:val="24"/>
        </w:rPr>
        <w:t xml:space="preserve">Anchang-Kimbi, J. K., Nkweti, V. N., Ntonifor, H. N., Apinjoh, T. O., Chi, H. F., Tata, R. B., &amp; Achidi, E. A. (2017). Profile of red blood cell morphologies and causes of anaemia among pregnant women at first clinic visit in the mount Cameroon area: a prospective cross sectional study. </w:t>
      </w:r>
      <w:r w:rsidRPr="003859E3">
        <w:rPr>
          <w:rFonts w:ascii="Times New Roman" w:hAnsi="Times New Roman" w:cs="Times New Roman"/>
          <w:i/>
          <w:iCs/>
          <w:sz w:val="24"/>
          <w:szCs w:val="24"/>
        </w:rPr>
        <w:t>BMC research notes</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10</w:t>
      </w:r>
      <w:r w:rsidRPr="003859E3">
        <w:rPr>
          <w:rFonts w:ascii="Times New Roman" w:hAnsi="Times New Roman" w:cs="Times New Roman"/>
          <w:sz w:val="24"/>
          <w:szCs w:val="24"/>
        </w:rPr>
        <w:t xml:space="preserve">(1), 645. </w:t>
      </w:r>
      <w:hyperlink r:id="rId21" w:history="1">
        <w:r w:rsidRPr="003859E3">
          <w:rPr>
            <w:rStyle w:val="Hyperlink"/>
            <w:rFonts w:ascii="Times New Roman" w:hAnsi="Times New Roman" w:cs="Times New Roman"/>
            <w:sz w:val="24"/>
            <w:szCs w:val="24"/>
          </w:rPr>
          <w:t>https://doi.org/10.1186/s13104-017-2961-6</w:t>
        </w:r>
      </w:hyperlink>
    </w:p>
    <w:p w:rsidR="003859E3" w:rsidRPr="003859E3" w:rsidRDefault="003859E3" w:rsidP="003859E3">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59E3">
        <w:rPr>
          <w:rFonts w:ascii="Times New Roman" w:hAnsi="Times New Roman" w:cs="Times New Roman"/>
          <w:sz w:val="24"/>
          <w:szCs w:val="24"/>
        </w:rPr>
        <w:t xml:space="preserve">Orish, V. N., Lokpo, S. Y., Kwadzokpui, P. K., Safianu, R., Marinkovic, A., Prakash, S., Okorie, C., Izurieta, R., Pandit, R., &amp; Sanyaolu, A. (2024). Association between asymptomatic Plasmodium falciparum malaria infection, anaemia and mean corpuscular </w:t>
      </w:r>
      <w:r w:rsidRPr="003859E3">
        <w:rPr>
          <w:rFonts w:ascii="Times New Roman" w:hAnsi="Times New Roman" w:cs="Times New Roman"/>
          <w:sz w:val="24"/>
          <w:szCs w:val="24"/>
        </w:rPr>
        <w:lastRenderedPageBreak/>
        <w:t xml:space="preserve">volume of school children in the Volta Region of Ghana. </w:t>
      </w:r>
      <w:r w:rsidRPr="003859E3">
        <w:rPr>
          <w:rFonts w:ascii="Times New Roman" w:hAnsi="Times New Roman" w:cs="Times New Roman"/>
          <w:i/>
          <w:iCs/>
          <w:sz w:val="24"/>
          <w:szCs w:val="24"/>
        </w:rPr>
        <w:t>European journal of microbiology &amp; immunology</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14</w:t>
      </w:r>
      <w:r w:rsidRPr="003859E3">
        <w:rPr>
          <w:rFonts w:ascii="Times New Roman" w:hAnsi="Times New Roman" w:cs="Times New Roman"/>
          <w:sz w:val="24"/>
          <w:szCs w:val="24"/>
        </w:rPr>
        <w:t xml:space="preserve">(2), 195–201. </w:t>
      </w:r>
      <w:hyperlink r:id="rId22" w:history="1">
        <w:r w:rsidRPr="003859E3">
          <w:rPr>
            <w:rStyle w:val="Hyperlink"/>
            <w:rFonts w:ascii="Times New Roman" w:hAnsi="Times New Roman" w:cs="Times New Roman"/>
            <w:sz w:val="24"/>
            <w:szCs w:val="24"/>
          </w:rPr>
          <w:t>https://doi.org/10.1556/1886.2024.00007</w:t>
        </w:r>
      </w:hyperlink>
    </w:p>
    <w:p w:rsidR="003859E3" w:rsidRPr="003859E3" w:rsidRDefault="003859E3" w:rsidP="003859E3">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59E3">
        <w:rPr>
          <w:rFonts w:ascii="Times New Roman" w:hAnsi="Times New Roman" w:cs="Times New Roman"/>
          <w:sz w:val="24"/>
          <w:szCs w:val="24"/>
        </w:rPr>
        <w:t xml:space="preserve">Diallo, S., Roberts, S. A., Gies, S., Rouamba, T., Swinkels, D. W., Geurts-Moespot, A. J., Ouedraogo, S., Ouedraogo, G. A., Tinto, H., &amp; Brabin, B. J. (2020). Malaria early in the first pregnancy: Potential impact of iron status. </w:t>
      </w:r>
      <w:r w:rsidRPr="003859E3">
        <w:rPr>
          <w:rFonts w:ascii="Times New Roman" w:hAnsi="Times New Roman" w:cs="Times New Roman"/>
          <w:i/>
          <w:iCs/>
          <w:sz w:val="24"/>
          <w:szCs w:val="24"/>
        </w:rPr>
        <w:t>Clinical nutrition (Edinburgh, Scotland)</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39</w:t>
      </w:r>
      <w:r w:rsidRPr="003859E3">
        <w:rPr>
          <w:rFonts w:ascii="Times New Roman" w:hAnsi="Times New Roman" w:cs="Times New Roman"/>
          <w:sz w:val="24"/>
          <w:szCs w:val="24"/>
        </w:rPr>
        <w:t xml:space="preserve">(1), 204–214. </w:t>
      </w:r>
      <w:hyperlink r:id="rId23" w:history="1">
        <w:r w:rsidRPr="003859E3">
          <w:rPr>
            <w:rStyle w:val="Hyperlink"/>
            <w:rFonts w:ascii="Times New Roman" w:hAnsi="Times New Roman" w:cs="Times New Roman"/>
            <w:sz w:val="24"/>
            <w:szCs w:val="24"/>
          </w:rPr>
          <w:t>https://doi.org/10.1016/j.clnu.2019.01.016</w:t>
        </w:r>
      </w:hyperlink>
    </w:p>
    <w:p w:rsidR="003859E3" w:rsidRPr="003859E3" w:rsidRDefault="003859E3" w:rsidP="003859E3">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59E3">
        <w:rPr>
          <w:rFonts w:ascii="Times New Roman" w:hAnsi="Times New Roman" w:cs="Times New Roman"/>
          <w:sz w:val="24"/>
          <w:szCs w:val="24"/>
        </w:rPr>
        <w:t xml:space="preserve">Elkhalifa, A. M. E., Abdul-Ghani, R., Tamomh, A. G., Eltaher, N. E., Ali, N. Y., Ali, M. M., Bazie, E. A., KhirAlla, A., DfaAlla, F. A., &amp; Alhasan, O. A. M. (2021). Hematological indices and abnormalities among patients with uncomplicated falciparum malaria in Kosti city of the White Nile state, Sudan: a comparative study. </w:t>
      </w:r>
      <w:r w:rsidRPr="003859E3">
        <w:rPr>
          <w:rFonts w:ascii="Times New Roman" w:hAnsi="Times New Roman" w:cs="Times New Roman"/>
          <w:i/>
          <w:iCs/>
          <w:sz w:val="24"/>
          <w:szCs w:val="24"/>
        </w:rPr>
        <w:t>BMC infectious diseases</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21</w:t>
      </w:r>
      <w:r w:rsidRPr="003859E3">
        <w:rPr>
          <w:rFonts w:ascii="Times New Roman" w:hAnsi="Times New Roman" w:cs="Times New Roman"/>
          <w:sz w:val="24"/>
          <w:szCs w:val="24"/>
        </w:rPr>
        <w:t xml:space="preserve">(1), 507. </w:t>
      </w:r>
      <w:hyperlink r:id="rId24" w:history="1">
        <w:r w:rsidRPr="003859E3">
          <w:rPr>
            <w:rStyle w:val="Hyperlink"/>
            <w:rFonts w:ascii="Times New Roman" w:hAnsi="Times New Roman" w:cs="Times New Roman"/>
            <w:sz w:val="24"/>
            <w:szCs w:val="24"/>
          </w:rPr>
          <w:t>https://doi.org/10.1186/s12879-021-06228-y</w:t>
        </w:r>
      </w:hyperlink>
    </w:p>
    <w:p w:rsidR="003859E3" w:rsidRPr="003859E3" w:rsidRDefault="003859E3" w:rsidP="003859E3">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59E3">
        <w:rPr>
          <w:rFonts w:ascii="Times New Roman" w:hAnsi="Times New Roman" w:cs="Times New Roman"/>
          <w:sz w:val="24"/>
          <w:szCs w:val="24"/>
        </w:rPr>
        <w:t xml:space="preserve">Bohli, J. K., Ansah, P. B., Kwamena, T. E., Allotey, E., Duneeh, R. V., Yeboah, E. B., Addo, L., Kyeremeh, R., Kwadzokpui, P. K., &amp; Ablordey, K. (2025). Variations in haematological and inflammatory biomarkers and their association with Plasmodium falciparum malaria: a cross-sectional comparative study at a clinic in Ghana. </w:t>
      </w:r>
      <w:r w:rsidRPr="003859E3">
        <w:rPr>
          <w:rFonts w:ascii="Times New Roman" w:hAnsi="Times New Roman" w:cs="Times New Roman"/>
          <w:i/>
          <w:iCs/>
          <w:sz w:val="24"/>
          <w:szCs w:val="24"/>
        </w:rPr>
        <w:t>Malaria journal</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24</w:t>
      </w:r>
      <w:r w:rsidRPr="003859E3">
        <w:rPr>
          <w:rFonts w:ascii="Times New Roman" w:hAnsi="Times New Roman" w:cs="Times New Roman"/>
          <w:sz w:val="24"/>
          <w:szCs w:val="24"/>
        </w:rPr>
        <w:t xml:space="preserve">(1), 220. </w:t>
      </w:r>
      <w:hyperlink r:id="rId25" w:history="1">
        <w:r w:rsidRPr="003859E3">
          <w:rPr>
            <w:rStyle w:val="Hyperlink"/>
            <w:rFonts w:ascii="Times New Roman" w:hAnsi="Times New Roman" w:cs="Times New Roman"/>
            <w:sz w:val="24"/>
            <w:szCs w:val="24"/>
          </w:rPr>
          <w:t>https://doi.org/10.1186/s12936-025-05474-8</w:t>
        </w:r>
      </w:hyperlink>
    </w:p>
    <w:p w:rsidR="003859E3" w:rsidRPr="003859E3" w:rsidRDefault="003859E3" w:rsidP="003859E3">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59E3">
        <w:rPr>
          <w:rFonts w:ascii="Times New Roman" w:hAnsi="Times New Roman" w:cs="Times New Roman"/>
          <w:sz w:val="24"/>
          <w:szCs w:val="24"/>
        </w:rPr>
        <w:t xml:space="preserve">Sacomboio, E. N. M., Zua, S. D., Tchivango, A. T., Pululu, A. D., Caumba, A. C. D., Paciência, A. B. M., Sati, D. V., Agostinho, S. G., Agostinho, Y. S., Mazanga, F. G., Ntambo, N. B., Sebastião, C. S., Paixão, J. P., &amp; Morais, J. (2024). Blood count changes in malaria patients according to blood groups (ABO/Rh) and sickle cell trait. </w:t>
      </w:r>
      <w:r w:rsidRPr="003859E3">
        <w:rPr>
          <w:rFonts w:ascii="Times New Roman" w:hAnsi="Times New Roman" w:cs="Times New Roman"/>
          <w:i/>
          <w:iCs/>
          <w:sz w:val="24"/>
          <w:szCs w:val="24"/>
        </w:rPr>
        <w:t>Malaria journal</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23</w:t>
      </w:r>
      <w:r w:rsidRPr="003859E3">
        <w:rPr>
          <w:rFonts w:ascii="Times New Roman" w:hAnsi="Times New Roman" w:cs="Times New Roman"/>
          <w:sz w:val="24"/>
          <w:szCs w:val="24"/>
        </w:rPr>
        <w:t xml:space="preserve">(1), 126. </w:t>
      </w:r>
      <w:hyperlink r:id="rId26" w:history="1">
        <w:r w:rsidRPr="003859E3">
          <w:rPr>
            <w:rStyle w:val="Hyperlink"/>
            <w:rFonts w:ascii="Times New Roman" w:hAnsi="Times New Roman" w:cs="Times New Roman"/>
            <w:sz w:val="24"/>
            <w:szCs w:val="24"/>
          </w:rPr>
          <w:t>https://doi.org/10.1186/s12936-024-04886-2</w:t>
        </w:r>
      </w:hyperlink>
    </w:p>
    <w:p w:rsidR="003859E3" w:rsidRPr="003859E3" w:rsidRDefault="003859E3" w:rsidP="003859E3">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59E3">
        <w:rPr>
          <w:rFonts w:ascii="Times New Roman" w:hAnsi="Times New Roman" w:cs="Times New Roman"/>
          <w:sz w:val="24"/>
          <w:szCs w:val="24"/>
        </w:rPr>
        <w:t xml:space="preserve">Anchang-Kimbi, J. K., Nkweti, V. N., Ntonifor, H. N., Apinjoh, T. O., Chi, H. F., Tata, R. B., &amp; Achidi, E. A. (2017). Profile of red blood cell morphologies and causes of anaemia among pregnant women at first clinic visit in the mount Cameroon area: a prospective cross sectional study. </w:t>
      </w:r>
      <w:r w:rsidRPr="003859E3">
        <w:rPr>
          <w:rFonts w:ascii="Times New Roman" w:hAnsi="Times New Roman" w:cs="Times New Roman"/>
          <w:i/>
          <w:iCs/>
          <w:sz w:val="24"/>
          <w:szCs w:val="24"/>
        </w:rPr>
        <w:t>BMC research notes</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10</w:t>
      </w:r>
      <w:r w:rsidRPr="003859E3">
        <w:rPr>
          <w:rFonts w:ascii="Times New Roman" w:hAnsi="Times New Roman" w:cs="Times New Roman"/>
          <w:sz w:val="24"/>
          <w:szCs w:val="24"/>
        </w:rPr>
        <w:t xml:space="preserve">(1), 645. </w:t>
      </w:r>
      <w:hyperlink r:id="rId27" w:history="1">
        <w:r w:rsidRPr="003859E3">
          <w:rPr>
            <w:rStyle w:val="Hyperlink"/>
            <w:rFonts w:ascii="Times New Roman" w:hAnsi="Times New Roman" w:cs="Times New Roman"/>
            <w:sz w:val="24"/>
            <w:szCs w:val="24"/>
          </w:rPr>
          <w:t>https://doi.org/10.1186/s13104-017-2961-6</w:t>
        </w:r>
      </w:hyperlink>
    </w:p>
    <w:p w:rsidR="003859E3" w:rsidRPr="003859E3" w:rsidRDefault="003859E3" w:rsidP="003859E3">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59E3">
        <w:rPr>
          <w:rFonts w:ascii="Times New Roman" w:hAnsi="Times New Roman" w:cs="Times New Roman"/>
          <w:sz w:val="24"/>
          <w:szCs w:val="24"/>
        </w:rPr>
        <w:t xml:space="preserve">Fava, C., Cattazzo, F., Hu, Z. D., Lippi, G., &amp; Montagnana, M. (2019). The role of red blood cell distribution width (RDW) in cardiovascular risk assessment: useful or hype?. </w:t>
      </w:r>
      <w:r w:rsidRPr="003859E3">
        <w:rPr>
          <w:rFonts w:ascii="Times New Roman" w:hAnsi="Times New Roman" w:cs="Times New Roman"/>
          <w:i/>
          <w:iCs/>
          <w:sz w:val="24"/>
          <w:szCs w:val="24"/>
        </w:rPr>
        <w:t>Annals of translational medicine</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7</w:t>
      </w:r>
      <w:r w:rsidRPr="003859E3">
        <w:rPr>
          <w:rFonts w:ascii="Times New Roman" w:hAnsi="Times New Roman" w:cs="Times New Roman"/>
          <w:sz w:val="24"/>
          <w:szCs w:val="24"/>
        </w:rPr>
        <w:t xml:space="preserve">(20), 581. </w:t>
      </w:r>
      <w:hyperlink r:id="rId28" w:history="1">
        <w:r w:rsidRPr="003859E3">
          <w:rPr>
            <w:rStyle w:val="Hyperlink"/>
            <w:rFonts w:ascii="Times New Roman" w:hAnsi="Times New Roman" w:cs="Times New Roman"/>
            <w:sz w:val="24"/>
            <w:szCs w:val="24"/>
          </w:rPr>
          <w:t>https://doi.org/10.21037/atm.2019.09.58</w:t>
        </w:r>
      </w:hyperlink>
    </w:p>
    <w:p w:rsidR="003859E3" w:rsidRPr="003859E3" w:rsidRDefault="003859E3" w:rsidP="003859E3">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59E3">
        <w:rPr>
          <w:rFonts w:ascii="Times New Roman" w:hAnsi="Times New Roman" w:cs="Times New Roman"/>
          <w:sz w:val="24"/>
          <w:szCs w:val="24"/>
        </w:rPr>
        <w:t xml:space="preserve">Chandrasiri, U. P., Fowkes, F. J., Beeson, J. G., Richards, J. S., Kamiza, S., Maleta, K., Ashorn, P., &amp; Rogerson, S. J. (2016). Association between malaria immunity and pregnancy outcomes among Malawian pregnant women receiving nutrient supplementation. </w:t>
      </w:r>
      <w:r w:rsidRPr="003859E3">
        <w:rPr>
          <w:rFonts w:ascii="Times New Roman" w:hAnsi="Times New Roman" w:cs="Times New Roman"/>
          <w:i/>
          <w:iCs/>
          <w:sz w:val="24"/>
          <w:szCs w:val="24"/>
        </w:rPr>
        <w:t>Malaria journal</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15</w:t>
      </w:r>
      <w:r w:rsidRPr="003859E3">
        <w:rPr>
          <w:rFonts w:ascii="Times New Roman" w:hAnsi="Times New Roman" w:cs="Times New Roman"/>
          <w:sz w:val="24"/>
          <w:szCs w:val="24"/>
        </w:rPr>
        <w:t xml:space="preserve">(1), 547. </w:t>
      </w:r>
      <w:hyperlink r:id="rId29" w:history="1">
        <w:r w:rsidRPr="003859E3">
          <w:rPr>
            <w:rStyle w:val="Hyperlink"/>
            <w:rFonts w:ascii="Times New Roman" w:hAnsi="Times New Roman" w:cs="Times New Roman"/>
            <w:sz w:val="24"/>
            <w:szCs w:val="24"/>
          </w:rPr>
          <w:t>https://doi.org/10.1186/s12936-016-1597-7</w:t>
        </w:r>
      </w:hyperlink>
    </w:p>
    <w:p w:rsidR="003859E3" w:rsidRPr="003859E3" w:rsidRDefault="003859E3" w:rsidP="003859E3">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59E3">
        <w:rPr>
          <w:rFonts w:ascii="Times New Roman" w:eastAsia="Times New Roman" w:hAnsi="Times New Roman" w:cs="Times New Roman"/>
          <w:sz w:val="24"/>
          <w:szCs w:val="24"/>
        </w:rPr>
        <w:t xml:space="preserve">Obeagu, E.I. (2019). An Update on Impact of Malaria in Pregnancy on Hematological Parameters. International Journal of Medical Science and Dental Research. 2 (1): 37-39 </w:t>
      </w:r>
      <w:hyperlink r:id="rId30" w:history="1">
        <w:r w:rsidRPr="003859E3">
          <w:rPr>
            <w:rStyle w:val="Hyperlink"/>
            <w:rFonts w:ascii="Times New Roman" w:eastAsia="Times New Roman" w:hAnsi="Times New Roman" w:cs="Times New Roman"/>
            <w:sz w:val="24"/>
            <w:szCs w:val="24"/>
          </w:rPr>
          <w:t>https://www.ijmsdr.org/published%20paper/li1i3/An%20Update%20on%20Impact%20of%20Malaria%20in%20Pregnancy%20on%20Hematological%20Parameters.pdf</w:t>
        </w:r>
      </w:hyperlink>
    </w:p>
    <w:p w:rsidR="003859E3" w:rsidRPr="003859E3" w:rsidRDefault="003859E3" w:rsidP="003859E3">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59E3">
        <w:rPr>
          <w:rFonts w:ascii="Times New Roman" w:hAnsi="Times New Roman" w:cs="Times New Roman"/>
          <w:sz w:val="24"/>
          <w:szCs w:val="24"/>
        </w:rPr>
        <w:t xml:space="preserve">Achidi, E. A., Kuoh, A. J., Minang, J. T., Ngum, B., Achimbom, B. M., Motaze, S. C., Ahmadou, M. J., &amp; Troye-Blomberg, M. (2005). Malaria infection in pregnancy and its effects on haemoglobin levels in women from a malaria endemic area of Fako Division, South West Province, Cameroon. </w:t>
      </w:r>
      <w:r w:rsidRPr="003859E3">
        <w:rPr>
          <w:rFonts w:ascii="Times New Roman" w:hAnsi="Times New Roman" w:cs="Times New Roman"/>
          <w:i/>
          <w:iCs/>
          <w:sz w:val="24"/>
          <w:szCs w:val="24"/>
        </w:rPr>
        <w:t>Journal of obstetrics and gynaecology : the journal of the Institute of Obstetrics and Gynaecology</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25</w:t>
      </w:r>
      <w:r w:rsidRPr="003859E3">
        <w:rPr>
          <w:rFonts w:ascii="Times New Roman" w:hAnsi="Times New Roman" w:cs="Times New Roman"/>
          <w:sz w:val="24"/>
          <w:szCs w:val="24"/>
        </w:rPr>
        <w:t xml:space="preserve">(3), 235–240. </w:t>
      </w:r>
      <w:hyperlink r:id="rId31" w:history="1">
        <w:r w:rsidRPr="003859E3">
          <w:rPr>
            <w:rStyle w:val="Hyperlink"/>
            <w:rFonts w:ascii="Times New Roman" w:hAnsi="Times New Roman" w:cs="Times New Roman"/>
            <w:sz w:val="24"/>
            <w:szCs w:val="24"/>
          </w:rPr>
          <w:t>https://doi.org/10.1080/01443610500060628</w:t>
        </w:r>
      </w:hyperlink>
    </w:p>
    <w:p w:rsidR="003859E3" w:rsidRPr="003859E3" w:rsidRDefault="003859E3" w:rsidP="003859E3">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59E3">
        <w:rPr>
          <w:rFonts w:ascii="Times New Roman" w:hAnsi="Times New Roman" w:cs="Times New Roman"/>
          <w:sz w:val="24"/>
          <w:szCs w:val="24"/>
        </w:rPr>
        <w:t xml:space="preserve">Sohail, M., Shakeel, S., Kumari, S., Bharti, A., Zahid, F., Anwar, S., Singh, K. P., Islam, M., Sharma, A. K., Lata, S., Ali, V., Adak, T., Das, P., &amp; Raziuddin, M. (2015). Prevalence of Malaria Infection and Risk Factors Associated with Anaemia among Pregnant Women </w:t>
      </w:r>
      <w:r w:rsidRPr="003859E3">
        <w:rPr>
          <w:rFonts w:ascii="Times New Roman" w:hAnsi="Times New Roman" w:cs="Times New Roman"/>
          <w:sz w:val="24"/>
          <w:szCs w:val="24"/>
        </w:rPr>
        <w:lastRenderedPageBreak/>
        <w:t xml:space="preserve">in Semiurban Community of Hazaribag, Jharkhand, India. </w:t>
      </w:r>
      <w:r w:rsidRPr="003859E3">
        <w:rPr>
          <w:rFonts w:ascii="Times New Roman" w:hAnsi="Times New Roman" w:cs="Times New Roman"/>
          <w:i/>
          <w:iCs/>
          <w:sz w:val="24"/>
          <w:szCs w:val="24"/>
        </w:rPr>
        <w:t>BioMed research international</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2015</w:t>
      </w:r>
      <w:r w:rsidRPr="003859E3">
        <w:rPr>
          <w:rFonts w:ascii="Times New Roman" w:hAnsi="Times New Roman" w:cs="Times New Roman"/>
          <w:sz w:val="24"/>
          <w:szCs w:val="24"/>
        </w:rPr>
        <w:t>, 740512. https://doi.org/10.1155/2015/740512</w:t>
      </w:r>
    </w:p>
    <w:p w:rsidR="005A454F" w:rsidRPr="003859E3" w:rsidRDefault="005A454F" w:rsidP="003859E3">
      <w:pPr>
        <w:spacing w:line="240" w:lineRule="auto"/>
        <w:jc w:val="both"/>
        <w:rPr>
          <w:rFonts w:ascii="Times New Roman" w:hAnsi="Times New Roman" w:cs="Times New Roman"/>
          <w:sz w:val="24"/>
          <w:szCs w:val="24"/>
        </w:rPr>
      </w:pPr>
    </w:p>
    <w:sectPr w:rsidR="005A454F" w:rsidRPr="003859E3">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4284" w:rsidRDefault="004C4284" w:rsidP="00D54E36">
      <w:pPr>
        <w:spacing w:after="0" w:line="240" w:lineRule="auto"/>
      </w:pPr>
      <w:r>
        <w:separator/>
      </w:r>
    </w:p>
  </w:endnote>
  <w:endnote w:type="continuationSeparator" w:id="0">
    <w:p w:rsidR="004C4284" w:rsidRDefault="004C4284" w:rsidP="00D54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E36" w:rsidRDefault="00D54E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E36" w:rsidRDefault="00D54E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E36" w:rsidRDefault="00D54E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4284" w:rsidRDefault="004C4284" w:rsidP="00D54E36">
      <w:pPr>
        <w:spacing w:after="0" w:line="240" w:lineRule="auto"/>
      </w:pPr>
      <w:r>
        <w:separator/>
      </w:r>
    </w:p>
  </w:footnote>
  <w:footnote w:type="continuationSeparator" w:id="0">
    <w:p w:rsidR="004C4284" w:rsidRDefault="004C4284" w:rsidP="00D54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E36" w:rsidRDefault="00D54E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67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E36" w:rsidRDefault="00D54E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67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E36" w:rsidRDefault="00D54E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67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F0F54"/>
    <w:multiLevelType w:val="multilevel"/>
    <w:tmpl w:val="71345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3173D7"/>
    <w:multiLevelType w:val="multilevel"/>
    <w:tmpl w:val="C368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1908D6"/>
    <w:multiLevelType w:val="multilevel"/>
    <w:tmpl w:val="7654E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423E6B"/>
    <w:multiLevelType w:val="multilevel"/>
    <w:tmpl w:val="7A5A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2E14E1"/>
    <w:multiLevelType w:val="multilevel"/>
    <w:tmpl w:val="71AE9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F7512E"/>
    <w:multiLevelType w:val="multilevel"/>
    <w:tmpl w:val="40B2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866E60"/>
    <w:multiLevelType w:val="multilevel"/>
    <w:tmpl w:val="4DA0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5C3304"/>
    <w:multiLevelType w:val="multilevel"/>
    <w:tmpl w:val="D2D8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42745F"/>
    <w:multiLevelType w:val="multilevel"/>
    <w:tmpl w:val="628E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93235C"/>
    <w:multiLevelType w:val="multilevel"/>
    <w:tmpl w:val="4C50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11746E"/>
    <w:multiLevelType w:val="hybridMultilevel"/>
    <w:tmpl w:val="AC7C966A"/>
    <w:lvl w:ilvl="0" w:tplc="13DC4132">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8"/>
  </w:num>
  <w:num w:numId="4">
    <w:abstractNumId w:val="6"/>
  </w:num>
  <w:num w:numId="5">
    <w:abstractNumId w:val="3"/>
  </w:num>
  <w:num w:numId="6">
    <w:abstractNumId w:val="5"/>
  </w:num>
  <w:num w:numId="7">
    <w:abstractNumId w:val="2"/>
  </w:num>
  <w:num w:numId="8">
    <w:abstractNumId w:val="7"/>
  </w:num>
  <w:num w:numId="9">
    <w:abstractNumId w:val="9"/>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54F"/>
    <w:rsid w:val="001E27AD"/>
    <w:rsid w:val="0032596A"/>
    <w:rsid w:val="00382684"/>
    <w:rsid w:val="003859E3"/>
    <w:rsid w:val="004C4284"/>
    <w:rsid w:val="004D148C"/>
    <w:rsid w:val="005A454F"/>
    <w:rsid w:val="00C82EB0"/>
    <w:rsid w:val="00D54E36"/>
    <w:rsid w:val="00DE4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A8C2FA"/>
  <w15:chartTrackingRefBased/>
  <w15:docId w15:val="{4F647B95-1FF7-4231-BF74-2B0D0414F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A45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A45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E27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E27A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54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A45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454F"/>
    <w:rPr>
      <w:b/>
      <w:bCs/>
    </w:rPr>
  </w:style>
  <w:style w:type="table" w:styleId="TableGrid">
    <w:name w:val="Table Grid"/>
    <w:basedOn w:val="TableNormal"/>
    <w:uiPriority w:val="39"/>
    <w:rsid w:val="005A4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A454F"/>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1E27AD"/>
    <w:rPr>
      <w:i/>
      <w:iCs/>
    </w:rPr>
  </w:style>
  <w:style w:type="character" w:customStyle="1" w:styleId="Heading3Char">
    <w:name w:val="Heading 3 Char"/>
    <w:basedOn w:val="DefaultParagraphFont"/>
    <w:link w:val="Heading3"/>
    <w:uiPriority w:val="9"/>
    <w:semiHidden/>
    <w:rsid w:val="001E27A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E27AD"/>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3859E3"/>
    <w:pPr>
      <w:ind w:left="720"/>
      <w:contextualSpacing/>
    </w:pPr>
  </w:style>
  <w:style w:type="character" w:styleId="Hyperlink">
    <w:name w:val="Hyperlink"/>
    <w:basedOn w:val="DefaultParagraphFont"/>
    <w:uiPriority w:val="99"/>
    <w:unhideWhenUsed/>
    <w:rsid w:val="003859E3"/>
    <w:rPr>
      <w:color w:val="0563C1" w:themeColor="hyperlink"/>
      <w:u w:val="single"/>
    </w:rPr>
  </w:style>
  <w:style w:type="character" w:styleId="UnresolvedMention">
    <w:name w:val="Unresolved Mention"/>
    <w:basedOn w:val="DefaultParagraphFont"/>
    <w:uiPriority w:val="99"/>
    <w:semiHidden/>
    <w:unhideWhenUsed/>
    <w:rsid w:val="00382684"/>
    <w:rPr>
      <w:color w:val="605E5C"/>
      <w:shd w:val="clear" w:color="auto" w:fill="E1DFDD"/>
    </w:rPr>
  </w:style>
  <w:style w:type="paragraph" w:styleId="Header">
    <w:name w:val="header"/>
    <w:basedOn w:val="Normal"/>
    <w:link w:val="HeaderChar"/>
    <w:uiPriority w:val="99"/>
    <w:unhideWhenUsed/>
    <w:rsid w:val="00D54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E36"/>
  </w:style>
  <w:style w:type="paragraph" w:styleId="Footer">
    <w:name w:val="footer"/>
    <w:basedOn w:val="Normal"/>
    <w:link w:val="FooterChar"/>
    <w:uiPriority w:val="99"/>
    <w:unhideWhenUsed/>
    <w:rsid w:val="00D54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019589">
      <w:bodyDiv w:val="1"/>
      <w:marLeft w:val="0"/>
      <w:marRight w:val="0"/>
      <w:marTop w:val="0"/>
      <w:marBottom w:val="0"/>
      <w:divBdr>
        <w:top w:val="none" w:sz="0" w:space="0" w:color="auto"/>
        <w:left w:val="none" w:sz="0" w:space="0" w:color="auto"/>
        <w:bottom w:val="none" w:sz="0" w:space="0" w:color="auto"/>
        <w:right w:val="none" w:sz="0" w:space="0" w:color="auto"/>
      </w:divBdr>
    </w:div>
    <w:div w:id="787357956">
      <w:bodyDiv w:val="1"/>
      <w:marLeft w:val="0"/>
      <w:marRight w:val="0"/>
      <w:marTop w:val="0"/>
      <w:marBottom w:val="0"/>
      <w:divBdr>
        <w:top w:val="none" w:sz="0" w:space="0" w:color="auto"/>
        <w:left w:val="none" w:sz="0" w:space="0" w:color="auto"/>
        <w:bottom w:val="none" w:sz="0" w:space="0" w:color="auto"/>
        <w:right w:val="none" w:sz="0" w:space="0" w:color="auto"/>
      </w:divBdr>
      <w:divsChild>
        <w:div w:id="1018383930">
          <w:marLeft w:val="0"/>
          <w:marRight w:val="0"/>
          <w:marTop w:val="0"/>
          <w:marBottom w:val="0"/>
          <w:divBdr>
            <w:top w:val="none" w:sz="0" w:space="0" w:color="auto"/>
            <w:left w:val="none" w:sz="0" w:space="0" w:color="auto"/>
            <w:bottom w:val="none" w:sz="0" w:space="0" w:color="auto"/>
            <w:right w:val="none" w:sz="0" w:space="0" w:color="auto"/>
          </w:divBdr>
          <w:divsChild>
            <w:div w:id="214976889">
              <w:marLeft w:val="0"/>
              <w:marRight w:val="0"/>
              <w:marTop w:val="0"/>
              <w:marBottom w:val="0"/>
              <w:divBdr>
                <w:top w:val="none" w:sz="0" w:space="0" w:color="auto"/>
                <w:left w:val="none" w:sz="0" w:space="0" w:color="auto"/>
                <w:bottom w:val="none" w:sz="0" w:space="0" w:color="auto"/>
                <w:right w:val="none" w:sz="0" w:space="0" w:color="auto"/>
              </w:divBdr>
              <w:divsChild>
                <w:div w:id="341124326">
                  <w:marLeft w:val="0"/>
                  <w:marRight w:val="0"/>
                  <w:marTop w:val="0"/>
                  <w:marBottom w:val="0"/>
                  <w:divBdr>
                    <w:top w:val="none" w:sz="0" w:space="0" w:color="auto"/>
                    <w:left w:val="none" w:sz="0" w:space="0" w:color="auto"/>
                    <w:bottom w:val="none" w:sz="0" w:space="0" w:color="auto"/>
                    <w:right w:val="none" w:sz="0" w:space="0" w:color="auto"/>
                  </w:divBdr>
                  <w:divsChild>
                    <w:div w:id="1958943813">
                      <w:marLeft w:val="0"/>
                      <w:marRight w:val="0"/>
                      <w:marTop w:val="0"/>
                      <w:marBottom w:val="0"/>
                      <w:divBdr>
                        <w:top w:val="none" w:sz="0" w:space="0" w:color="auto"/>
                        <w:left w:val="none" w:sz="0" w:space="0" w:color="auto"/>
                        <w:bottom w:val="none" w:sz="0" w:space="0" w:color="auto"/>
                        <w:right w:val="none" w:sz="0" w:space="0" w:color="auto"/>
                      </w:divBdr>
                      <w:divsChild>
                        <w:div w:id="432945289">
                          <w:marLeft w:val="0"/>
                          <w:marRight w:val="0"/>
                          <w:marTop w:val="0"/>
                          <w:marBottom w:val="0"/>
                          <w:divBdr>
                            <w:top w:val="none" w:sz="0" w:space="0" w:color="auto"/>
                            <w:left w:val="none" w:sz="0" w:space="0" w:color="auto"/>
                            <w:bottom w:val="none" w:sz="0" w:space="0" w:color="auto"/>
                            <w:right w:val="none" w:sz="0" w:space="0" w:color="auto"/>
                          </w:divBdr>
                          <w:divsChild>
                            <w:div w:id="1580288753">
                              <w:marLeft w:val="0"/>
                              <w:marRight w:val="0"/>
                              <w:marTop w:val="0"/>
                              <w:marBottom w:val="0"/>
                              <w:divBdr>
                                <w:top w:val="none" w:sz="0" w:space="0" w:color="auto"/>
                                <w:left w:val="none" w:sz="0" w:space="0" w:color="auto"/>
                                <w:bottom w:val="none" w:sz="0" w:space="0" w:color="auto"/>
                                <w:right w:val="none" w:sz="0" w:space="0" w:color="auto"/>
                              </w:divBdr>
                              <w:divsChild>
                                <w:div w:id="243994717">
                                  <w:marLeft w:val="0"/>
                                  <w:marRight w:val="0"/>
                                  <w:marTop w:val="0"/>
                                  <w:marBottom w:val="0"/>
                                  <w:divBdr>
                                    <w:top w:val="none" w:sz="0" w:space="0" w:color="auto"/>
                                    <w:left w:val="none" w:sz="0" w:space="0" w:color="auto"/>
                                    <w:bottom w:val="none" w:sz="0" w:space="0" w:color="auto"/>
                                    <w:right w:val="none" w:sz="0" w:space="0" w:color="auto"/>
                                  </w:divBdr>
                                  <w:divsChild>
                                    <w:div w:id="2639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393906">
      <w:bodyDiv w:val="1"/>
      <w:marLeft w:val="0"/>
      <w:marRight w:val="0"/>
      <w:marTop w:val="0"/>
      <w:marBottom w:val="0"/>
      <w:divBdr>
        <w:top w:val="none" w:sz="0" w:space="0" w:color="auto"/>
        <w:left w:val="none" w:sz="0" w:space="0" w:color="auto"/>
        <w:bottom w:val="none" w:sz="0" w:space="0" w:color="auto"/>
        <w:right w:val="none" w:sz="0" w:space="0" w:color="auto"/>
      </w:divBdr>
    </w:div>
    <w:div w:id="1047341762">
      <w:bodyDiv w:val="1"/>
      <w:marLeft w:val="0"/>
      <w:marRight w:val="0"/>
      <w:marTop w:val="0"/>
      <w:marBottom w:val="0"/>
      <w:divBdr>
        <w:top w:val="none" w:sz="0" w:space="0" w:color="auto"/>
        <w:left w:val="none" w:sz="0" w:space="0" w:color="auto"/>
        <w:bottom w:val="none" w:sz="0" w:space="0" w:color="auto"/>
        <w:right w:val="none" w:sz="0" w:space="0" w:color="auto"/>
      </w:divBdr>
    </w:div>
    <w:div w:id="1309433862">
      <w:bodyDiv w:val="1"/>
      <w:marLeft w:val="0"/>
      <w:marRight w:val="0"/>
      <w:marTop w:val="0"/>
      <w:marBottom w:val="0"/>
      <w:divBdr>
        <w:top w:val="none" w:sz="0" w:space="0" w:color="auto"/>
        <w:left w:val="none" w:sz="0" w:space="0" w:color="auto"/>
        <w:bottom w:val="none" w:sz="0" w:space="0" w:color="auto"/>
        <w:right w:val="none" w:sz="0" w:space="0" w:color="auto"/>
      </w:divBdr>
    </w:div>
    <w:div w:id="1960911545">
      <w:bodyDiv w:val="1"/>
      <w:marLeft w:val="0"/>
      <w:marRight w:val="0"/>
      <w:marTop w:val="0"/>
      <w:marBottom w:val="0"/>
      <w:divBdr>
        <w:top w:val="none" w:sz="0" w:space="0" w:color="auto"/>
        <w:left w:val="none" w:sz="0" w:space="0" w:color="auto"/>
        <w:bottom w:val="none" w:sz="0" w:space="0" w:color="auto"/>
        <w:right w:val="none" w:sz="0" w:space="0" w:color="auto"/>
      </w:divBdr>
      <w:divsChild>
        <w:div w:id="148327215">
          <w:marLeft w:val="0"/>
          <w:marRight w:val="0"/>
          <w:marTop w:val="0"/>
          <w:marBottom w:val="0"/>
          <w:divBdr>
            <w:top w:val="none" w:sz="0" w:space="0" w:color="auto"/>
            <w:left w:val="none" w:sz="0" w:space="0" w:color="auto"/>
            <w:bottom w:val="none" w:sz="0" w:space="0" w:color="auto"/>
            <w:right w:val="none" w:sz="0" w:space="0" w:color="auto"/>
          </w:divBdr>
          <w:divsChild>
            <w:div w:id="645623065">
              <w:marLeft w:val="0"/>
              <w:marRight w:val="0"/>
              <w:marTop w:val="0"/>
              <w:marBottom w:val="0"/>
              <w:divBdr>
                <w:top w:val="none" w:sz="0" w:space="0" w:color="auto"/>
                <w:left w:val="none" w:sz="0" w:space="0" w:color="auto"/>
                <w:bottom w:val="none" w:sz="0" w:space="0" w:color="auto"/>
                <w:right w:val="none" w:sz="0" w:space="0" w:color="auto"/>
              </w:divBdr>
              <w:divsChild>
                <w:div w:id="1056129817">
                  <w:marLeft w:val="0"/>
                  <w:marRight w:val="0"/>
                  <w:marTop w:val="0"/>
                  <w:marBottom w:val="0"/>
                  <w:divBdr>
                    <w:top w:val="none" w:sz="0" w:space="0" w:color="auto"/>
                    <w:left w:val="none" w:sz="0" w:space="0" w:color="auto"/>
                    <w:bottom w:val="none" w:sz="0" w:space="0" w:color="auto"/>
                    <w:right w:val="none" w:sz="0" w:space="0" w:color="auto"/>
                  </w:divBdr>
                  <w:divsChild>
                    <w:div w:id="350423673">
                      <w:marLeft w:val="0"/>
                      <w:marRight w:val="0"/>
                      <w:marTop w:val="0"/>
                      <w:marBottom w:val="0"/>
                      <w:divBdr>
                        <w:top w:val="none" w:sz="0" w:space="0" w:color="auto"/>
                        <w:left w:val="none" w:sz="0" w:space="0" w:color="auto"/>
                        <w:bottom w:val="none" w:sz="0" w:space="0" w:color="auto"/>
                        <w:right w:val="none" w:sz="0" w:space="0" w:color="auto"/>
                      </w:divBdr>
                      <w:divsChild>
                        <w:div w:id="1660228760">
                          <w:marLeft w:val="0"/>
                          <w:marRight w:val="0"/>
                          <w:marTop w:val="0"/>
                          <w:marBottom w:val="0"/>
                          <w:divBdr>
                            <w:top w:val="none" w:sz="0" w:space="0" w:color="auto"/>
                            <w:left w:val="none" w:sz="0" w:space="0" w:color="auto"/>
                            <w:bottom w:val="none" w:sz="0" w:space="0" w:color="auto"/>
                            <w:right w:val="none" w:sz="0" w:space="0" w:color="auto"/>
                          </w:divBdr>
                          <w:divsChild>
                            <w:div w:id="1613514980">
                              <w:marLeft w:val="0"/>
                              <w:marRight w:val="0"/>
                              <w:marTop w:val="0"/>
                              <w:marBottom w:val="0"/>
                              <w:divBdr>
                                <w:top w:val="none" w:sz="0" w:space="0" w:color="auto"/>
                                <w:left w:val="none" w:sz="0" w:space="0" w:color="auto"/>
                                <w:bottom w:val="none" w:sz="0" w:space="0" w:color="auto"/>
                                <w:right w:val="none" w:sz="0" w:space="0" w:color="auto"/>
                              </w:divBdr>
                              <w:divsChild>
                                <w:div w:id="165768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hsr2.1337" TargetMode="External"/><Relationship Id="rId18" Type="http://schemas.openxmlformats.org/officeDocument/2006/relationships/hyperlink" Target="https://doi.org/10.1155/2014/467056" TargetMode="External"/><Relationship Id="rId26" Type="http://schemas.openxmlformats.org/officeDocument/2006/relationships/hyperlink" Target="https://doi.org/10.1186/s12936-024-04886-2" TargetMode="External"/><Relationship Id="rId39" Type="http://schemas.openxmlformats.org/officeDocument/2006/relationships/theme" Target="theme/theme1.xml"/><Relationship Id="rId21" Type="http://schemas.openxmlformats.org/officeDocument/2006/relationships/hyperlink" Target="https://doi.org/10.1186/s13104-017-2961-6" TargetMode="External"/><Relationship Id="rId34" Type="http://schemas.openxmlformats.org/officeDocument/2006/relationships/footer" Target="footer1.xml"/><Relationship Id="rId7" Type="http://schemas.openxmlformats.org/officeDocument/2006/relationships/hyperlink" Target="https://doi.org/10.1186/s12879-025-11037-8" TargetMode="External"/><Relationship Id="rId12" Type="http://schemas.openxmlformats.org/officeDocument/2006/relationships/hyperlink" Target="https://doi.org/10.1177/2333794X241304642" TargetMode="External"/><Relationship Id="rId17" Type="http://schemas.openxmlformats.org/officeDocument/2006/relationships/hyperlink" Target="https://doi.org/10.1155/2015/740512" TargetMode="External"/><Relationship Id="rId25" Type="http://schemas.openxmlformats.org/officeDocument/2006/relationships/hyperlink" Target="https://doi.org/10.1186/s12936-025-05474-8"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371/journal.pone.0129510" TargetMode="External"/><Relationship Id="rId20" Type="http://schemas.openxmlformats.org/officeDocument/2006/relationships/hyperlink" Target="https://doi.org/10.1371/journal.pone.0121057" TargetMode="External"/><Relationship Id="rId29" Type="http://schemas.openxmlformats.org/officeDocument/2006/relationships/hyperlink" Target="https://doi.org/10.1186/s12936-016-1597-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2288-012-0175-6" TargetMode="External"/><Relationship Id="rId24" Type="http://schemas.openxmlformats.org/officeDocument/2006/relationships/hyperlink" Target="https://doi.org/10.1186/s12879-021-06228-y"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86/s40249-025-01357-x" TargetMode="External"/><Relationship Id="rId23" Type="http://schemas.openxmlformats.org/officeDocument/2006/relationships/hyperlink" Target="https://doi.org/10.1016/j.clnu.2019.01.016" TargetMode="External"/><Relationship Id="rId28" Type="http://schemas.openxmlformats.org/officeDocument/2006/relationships/hyperlink" Target="https://doi.org/10.21037/atm.2019.09.58" TargetMode="External"/><Relationship Id="rId36" Type="http://schemas.openxmlformats.org/officeDocument/2006/relationships/header" Target="header3.xml"/><Relationship Id="rId10" Type="http://schemas.openxmlformats.org/officeDocument/2006/relationships/hyperlink" Target="https://doi.org/10.1053/j.seminhematol.2013.06.004" TargetMode="External"/><Relationship Id="rId19" Type="http://schemas.openxmlformats.org/officeDocument/2006/relationships/hyperlink" Target="https://doi.org/10.4102/ojvr.v82i1.863" TargetMode="External"/><Relationship Id="rId31" Type="http://schemas.openxmlformats.org/officeDocument/2006/relationships/hyperlink" Target="https://doi.org/10.1080/01443610500060628" TargetMode="External"/><Relationship Id="rId4" Type="http://schemas.openxmlformats.org/officeDocument/2006/relationships/webSettings" Target="webSettings.xml"/><Relationship Id="rId9" Type="http://schemas.openxmlformats.org/officeDocument/2006/relationships/hyperlink" Target="https://doi.org/10.5830/CVJA-2016-021" TargetMode="External"/><Relationship Id="rId14" Type="http://schemas.openxmlformats.org/officeDocument/2006/relationships/hyperlink" Target="https://doi.org/10.3347/kjp.2009.47.2.179" TargetMode="External"/><Relationship Id="rId22" Type="http://schemas.openxmlformats.org/officeDocument/2006/relationships/hyperlink" Target="https://doi.org/10.1556/1886.2024.00007" TargetMode="External"/><Relationship Id="rId27" Type="http://schemas.openxmlformats.org/officeDocument/2006/relationships/hyperlink" Target="https://doi.org/10.1186/s13104-017-2961-6" TargetMode="External"/><Relationship Id="rId30" Type="http://schemas.openxmlformats.org/officeDocument/2006/relationships/hyperlink" Target="https://www.ijmsdr.org/published%20paper/li1i3/An%20Update%20on%20Impact%20of%20Malaria%20in%20Pregnancy%20on%20Hematological%20Parameters.pdf" TargetMode="External"/><Relationship Id="rId35" Type="http://schemas.openxmlformats.org/officeDocument/2006/relationships/footer" Target="footer2.xml"/><Relationship Id="rId8" Type="http://schemas.openxmlformats.org/officeDocument/2006/relationships/hyperlink" Target="https://doi.org/10.3390/ijerph21121656"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12</Pages>
  <Words>5193</Words>
  <Characters>29603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SDI PC 1170</cp:lastModifiedBy>
  <cp:revision>7</cp:revision>
  <dcterms:created xsi:type="dcterms:W3CDTF">2026-03-08T09:15:00Z</dcterms:created>
  <dcterms:modified xsi:type="dcterms:W3CDTF">2026-03-09T08:03:00Z</dcterms:modified>
</cp:coreProperties>
</file>