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1281F" w14:textId="77777777" w:rsidR="00754C9A" w:rsidRDefault="00754C9A" w:rsidP="0089477C">
      <w:pPr>
        <w:pStyle w:val="Title"/>
        <w:spacing w:after="0" w:line="360" w:lineRule="auto"/>
        <w:jc w:val="both"/>
        <w:rPr>
          <w:rFonts w:ascii="Arial" w:hAnsi="Arial" w:cs="Arial"/>
        </w:rPr>
      </w:pPr>
    </w:p>
    <w:p w14:paraId="6F2009DE" w14:textId="77777777" w:rsidR="00C10152" w:rsidRDefault="00C10152" w:rsidP="004E7210">
      <w:pPr>
        <w:spacing w:line="360" w:lineRule="auto"/>
        <w:jc w:val="center"/>
        <w:rPr>
          <w:rFonts w:ascii="Arial" w:hAnsi="Arial"/>
          <w:b/>
          <w:sz w:val="32"/>
          <w:szCs w:val="24"/>
        </w:rPr>
      </w:pPr>
      <w:r w:rsidRPr="00C10152">
        <w:rPr>
          <w:rFonts w:ascii="Arial" w:hAnsi="Arial"/>
          <w:b/>
          <w:sz w:val="32"/>
          <w:szCs w:val="24"/>
        </w:rPr>
        <w:t xml:space="preserve">Original Research Article </w:t>
      </w:r>
    </w:p>
    <w:p w14:paraId="1839E43F" w14:textId="35ADFF18" w:rsidR="003E0CB5" w:rsidRPr="00CF35D3" w:rsidRDefault="003E0CB5" w:rsidP="004E7210">
      <w:pPr>
        <w:spacing w:line="360" w:lineRule="auto"/>
        <w:jc w:val="center"/>
        <w:rPr>
          <w:sz w:val="21"/>
          <w:szCs w:val="24"/>
        </w:rPr>
      </w:pPr>
      <w:r w:rsidRPr="00CF35D3">
        <w:rPr>
          <w:rFonts w:ascii="Arial" w:hAnsi="Arial"/>
          <w:b/>
          <w:sz w:val="32"/>
          <w:szCs w:val="24"/>
        </w:rPr>
        <w:t>Alkaline Phosphatase, Lactate Dehydrogenase, and IL-1β Expression as Risk Factors for Metastatic Bone Disease in Breast Cancer Patients at Prof. Dr. I.G.N.G Ngoerah General Hospital</w:t>
      </w:r>
    </w:p>
    <w:p w14:paraId="3F5EB638" w14:textId="77777777" w:rsidR="00A258C3" w:rsidRPr="00790ADA" w:rsidRDefault="00A258C3" w:rsidP="0089477C">
      <w:pPr>
        <w:pStyle w:val="Author"/>
        <w:spacing w:line="360" w:lineRule="auto"/>
        <w:jc w:val="both"/>
        <w:rPr>
          <w:rFonts w:ascii="Arial" w:hAnsi="Arial" w:cs="Arial"/>
          <w:sz w:val="36"/>
        </w:rPr>
      </w:pPr>
    </w:p>
    <w:p w14:paraId="3454ED77" w14:textId="77777777" w:rsidR="00790ADA" w:rsidRDefault="00790ADA" w:rsidP="0089477C">
      <w:pPr>
        <w:pStyle w:val="Affiliation"/>
        <w:spacing w:after="0" w:line="360" w:lineRule="auto"/>
        <w:jc w:val="both"/>
        <w:rPr>
          <w:rFonts w:ascii="Arial" w:hAnsi="Arial" w:cs="Arial"/>
        </w:rPr>
      </w:pPr>
    </w:p>
    <w:p w14:paraId="3926C12D" w14:textId="77777777" w:rsidR="002C57D2" w:rsidRPr="00FB3A86" w:rsidRDefault="002C57D2" w:rsidP="0089477C">
      <w:pPr>
        <w:pStyle w:val="Affiliation"/>
        <w:spacing w:after="0" w:line="360" w:lineRule="auto"/>
        <w:jc w:val="both"/>
        <w:rPr>
          <w:rFonts w:ascii="Arial" w:hAnsi="Arial" w:cs="Arial"/>
        </w:rPr>
      </w:pPr>
    </w:p>
    <w:p w14:paraId="1ECDB81C" w14:textId="77777777" w:rsidR="00B01FCD" w:rsidRPr="00FB3A86" w:rsidRDefault="003E0CB5" w:rsidP="0089477C">
      <w:pPr>
        <w:pStyle w:val="Copyright"/>
        <w:spacing w:after="0" w:line="360" w:lineRule="auto"/>
        <w:jc w:val="both"/>
        <w:rPr>
          <w:rFonts w:ascii="Arial" w:hAnsi="Arial" w:cs="Arial"/>
        </w:rPr>
        <w:sectPr w:rsidR="00B01FCD" w:rsidRPr="00FB3A86" w:rsidSect="00404A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8936632" wp14:editId="79C48492">
                <wp:extent cx="5303520" cy="635"/>
                <wp:effectExtent l="0" t="12700" r="5080" b="12065"/>
                <wp:docPr id="8387451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F3DE9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551CDF11" w14:textId="46DB27D1" w:rsidR="00B01FCD" w:rsidRDefault="00B01FCD" w:rsidP="0089477C">
      <w:pPr>
        <w:pStyle w:val="AbstHead"/>
        <w:spacing w:after="0" w:line="360"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4FA6614C" w14:textId="77777777" w:rsidR="00790ADA" w:rsidRPr="00FB3A86" w:rsidRDefault="00790ADA" w:rsidP="0089477C">
      <w:pPr>
        <w:pStyle w:val="AbstHead"/>
        <w:spacing w:after="0" w:line="36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90C5850" w14:textId="77777777" w:rsidTr="001E44FE">
        <w:tc>
          <w:tcPr>
            <w:tcW w:w="9576" w:type="dxa"/>
            <w:shd w:val="clear" w:color="auto" w:fill="F2F2F2"/>
          </w:tcPr>
          <w:p w14:paraId="622139CD" w14:textId="4FD885CD" w:rsidR="00BA1B01" w:rsidRPr="003E0CB5" w:rsidRDefault="00BA1B01" w:rsidP="0089477C">
            <w:pPr>
              <w:spacing w:line="360" w:lineRule="auto"/>
            </w:pPr>
            <w:bookmarkStart w:id="0" w:name="OLE_LINK1"/>
            <w:r w:rsidRPr="00BA1B01">
              <w:rPr>
                <w:rFonts w:ascii="Arial" w:eastAsia="Calibri" w:hAnsi="Arial" w:cs="Arial"/>
                <w:b/>
                <w:szCs w:val="22"/>
              </w:rPr>
              <w:t xml:space="preserve">Aims: </w:t>
            </w:r>
            <w:r w:rsidR="003E0CB5">
              <w:rPr>
                <w:rFonts w:ascii="Arial" w:hAnsi="Arial"/>
              </w:rPr>
              <w:t>This study aimed to evaluate the roles of alkaline phosphatase (ALP), lactate dehydrogenase (LDH), and interleukin-1β (IL-1β) expression as risk factors for metastatic bone disease (MBD) in breast cancer patients, and to determine the most influential predictor</w:t>
            </w:r>
            <w:r w:rsidR="00F869FD">
              <w:rPr>
                <w:rFonts w:ascii="Arial" w:hAnsi="Arial"/>
              </w:rPr>
              <w:t>.</w:t>
            </w:r>
          </w:p>
          <w:p w14:paraId="68C7C35C" w14:textId="77777777" w:rsidR="003E0CB5" w:rsidRDefault="00BA1B01" w:rsidP="0089477C">
            <w:pPr>
              <w:pStyle w:val="Body"/>
              <w:spacing w:after="0" w:line="360" w:lineRule="auto"/>
              <w:rPr>
                <w:rFonts w:ascii="Arial" w:hAnsi="Arial"/>
              </w:rPr>
            </w:pPr>
            <w:r w:rsidRPr="00BA1B01">
              <w:rPr>
                <w:rFonts w:ascii="Arial" w:eastAsia="Calibri" w:hAnsi="Arial" w:cs="Arial"/>
                <w:b/>
                <w:szCs w:val="22"/>
              </w:rPr>
              <w:t>Study design:</w:t>
            </w:r>
            <w:r w:rsidRPr="00BA1B01">
              <w:rPr>
                <w:rFonts w:ascii="Arial" w:eastAsia="Calibri" w:hAnsi="Arial" w:cs="Arial"/>
                <w:szCs w:val="22"/>
              </w:rPr>
              <w:t xml:space="preserve">  </w:t>
            </w:r>
            <w:r w:rsidR="003E0CB5">
              <w:rPr>
                <w:rFonts w:ascii="Arial" w:hAnsi="Arial"/>
              </w:rPr>
              <w:t>Case-control study.</w:t>
            </w:r>
          </w:p>
          <w:p w14:paraId="7D3D991A" w14:textId="77777777" w:rsidR="003E0CB5" w:rsidRDefault="00BA1B01" w:rsidP="0089477C">
            <w:pPr>
              <w:spacing w:line="360" w:lineRule="auto"/>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E0CB5">
              <w:rPr>
                <w:rFonts w:ascii="Arial" w:hAnsi="Arial"/>
              </w:rPr>
              <w:t xml:space="preserve">Department of </w:t>
            </w:r>
            <w:proofErr w:type="spellStart"/>
            <w:r w:rsidR="003E0CB5">
              <w:rPr>
                <w:rFonts w:ascii="Arial" w:hAnsi="Arial"/>
              </w:rPr>
              <w:t>Orthopaedics</w:t>
            </w:r>
            <w:proofErr w:type="spellEnd"/>
            <w:r w:rsidR="003E0CB5">
              <w:rPr>
                <w:rFonts w:ascii="Arial" w:hAnsi="Arial"/>
              </w:rPr>
              <w:t xml:space="preserve"> and Oncology Outpatient Clinic, Prof. Dr. I.G.N.G Ngoerah General Hospital, Denpasar, Bali, Indonesia, between July and December 2024.</w:t>
            </w:r>
          </w:p>
          <w:p w14:paraId="20C306DE" w14:textId="3F5B724D" w:rsidR="00BA1B01" w:rsidRPr="003E0CB5" w:rsidRDefault="00BA1B01" w:rsidP="0089477C">
            <w:pPr>
              <w:spacing w:line="360" w:lineRule="auto"/>
            </w:pPr>
            <w:r w:rsidRPr="00BA1B01">
              <w:rPr>
                <w:rFonts w:ascii="Arial" w:eastAsia="Calibri" w:hAnsi="Arial" w:cs="Arial"/>
                <w:b/>
                <w:bCs/>
                <w:szCs w:val="22"/>
              </w:rPr>
              <w:t>Methodology:</w:t>
            </w:r>
            <w:r w:rsidRPr="00BA1B01">
              <w:rPr>
                <w:rFonts w:ascii="Arial" w:eastAsia="Calibri" w:hAnsi="Arial" w:cs="Arial"/>
                <w:szCs w:val="22"/>
              </w:rPr>
              <w:t xml:space="preserve"> </w:t>
            </w:r>
            <w:r w:rsidR="00F869FD">
              <w:rPr>
                <w:rFonts w:ascii="Arial" w:eastAsia="Calibri" w:hAnsi="Arial" w:cs="Arial"/>
                <w:szCs w:val="22"/>
              </w:rPr>
              <w:t xml:space="preserve">Forty-six </w:t>
            </w:r>
            <w:r w:rsidR="003E0CB5">
              <w:rPr>
                <w:rFonts w:ascii="Arial" w:hAnsi="Arial"/>
              </w:rPr>
              <w:t xml:space="preserve">female breast cancer patients aged 40–65 years were enrolled, </w:t>
            </w:r>
            <w:r w:rsidR="00F869FD">
              <w:rPr>
                <w:rFonts w:ascii="Arial" w:hAnsi="Arial"/>
              </w:rPr>
              <w:t>including</w:t>
            </w:r>
            <w:r w:rsidR="003E0CB5">
              <w:rPr>
                <w:rFonts w:ascii="Arial" w:hAnsi="Arial"/>
              </w:rPr>
              <w:t xml:space="preserve"> 26 patients with MBD</w:t>
            </w:r>
            <w:r w:rsidR="00F869FD">
              <w:rPr>
                <w:rFonts w:ascii="Arial" w:hAnsi="Arial"/>
              </w:rPr>
              <w:t xml:space="preserve"> </w:t>
            </w:r>
            <w:r w:rsidR="003E0CB5">
              <w:rPr>
                <w:rFonts w:ascii="Arial" w:hAnsi="Arial"/>
              </w:rPr>
              <w:t>and 20 without MBD</w:t>
            </w:r>
            <w:r w:rsidR="00F869FD">
              <w:rPr>
                <w:rFonts w:ascii="Arial" w:hAnsi="Arial"/>
              </w:rPr>
              <w:t xml:space="preserve">. </w:t>
            </w:r>
            <w:r w:rsidR="003E0CB5">
              <w:rPr>
                <w:rFonts w:ascii="Arial" w:hAnsi="Arial"/>
              </w:rPr>
              <w:t>Serum ALP and LDH levels were measured, and IL-1β expression was assessed via immunohistochemistry on primary tumor biopsy specimens. Bivariate analysis was performed using the Chi-square test, and multivariate analysis employed logistic regression. The IL-1β cut-off value was determined by receiver operating characteristic (ROC) curve analysis.</w:t>
            </w:r>
          </w:p>
          <w:p w14:paraId="74EB3136" w14:textId="5EFF71C5" w:rsidR="00BA1B01" w:rsidRPr="00BA1B01" w:rsidRDefault="00BA1B01" w:rsidP="0089477C">
            <w:pPr>
              <w:pStyle w:val="Body"/>
              <w:spacing w:after="0" w:line="360" w:lineRule="auto"/>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E0CB5">
              <w:rPr>
                <w:rFonts w:ascii="Arial" w:hAnsi="Arial"/>
              </w:rPr>
              <w:t xml:space="preserve">Elevated ALP was significantly associated with MBD (OR = 10.50; 95% CI: 2.01–54.77; P = .002). High LDH levels also showed significant association (OR = 7.60; 95% CI: 1.70–33.90; P = .004), as did elevated IL-1β expression (OR = 7.72; 95% CI: 1.80–33.04; P = .003). Multivariate </w:t>
            </w:r>
            <w:r w:rsidR="00F869FD">
              <w:rPr>
                <w:rFonts w:ascii="Arial" w:hAnsi="Arial"/>
              </w:rPr>
              <w:t>analysis</w:t>
            </w:r>
            <w:r w:rsidR="003E0CB5">
              <w:rPr>
                <w:rFonts w:ascii="Arial" w:hAnsi="Arial"/>
              </w:rPr>
              <w:t xml:space="preserve"> identified ALP (AOR = 11.84; 95% CI: 2.01–69.86; P = .006) </w:t>
            </w:r>
            <w:r w:rsidR="003E0CB5">
              <w:rPr>
                <w:rFonts w:ascii="Arial" w:hAnsi="Arial"/>
              </w:rPr>
              <w:lastRenderedPageBreak/>
              <w:t>and IL-1β expression (AOR = 7.49; 95% CI: 1.49–37.71; P = .015) as independent predictors of MBD. The combined predictive model demonstrated strong diagnostic accuracy (AUC = 0.821; 95% CI: 0.698–0.944), with 80% sensitivity and 75% specificity.</w:t>
            </w:r>
          </w:p>
          <w:p w14:paraId="103053D2" w14:textId="2A38BE05" w:rsidR="00505F06" w:rsidRPr="003E0CB5" w:rsidRDefault="00BA1B01" w:rsidP="0089477C">
            <w:pPr>
              <w:spacing w:line="360" w:lineRule="auto"/>
            </w:pPr>
            <w:r w:rsidRPr="00BA1B01">
              <w:rPr>
                <w:rFonts w:ascii="Arial" w:eastAsia="Calibri" w:hAnsi="Arial" w:cs="Arial"/>
                <w:b/>
                <w:bCs/>
                <w:szCs w:val="22"/>
              </w:rPr>
              <w:t>Conclusion:</w:t>
            </w:r>
            <w:r w:rsidRPr="00BA1B01">
              <w:rPr>
                <w:rFonts w:ascii="Arial" w:eastAsia="Calibri" w:hAnsi="Arial" w:cs="Arial"/>
                <w:szCs w:val="22"/>
              </w:rPr>
              <w:t xml:space="preserve"> </w:t>
            </w:r>
            <w:r w:rsidR="003E0CB5">
              <w:rPr>
                <w:rFonts w:ascii="Arial" w:hAnsi="Arial"/>
              </w:rPr>
              <w:t>Elevated ALP levels and high IL-1β expression are significant independent predictors of MBD in breast cancer patients</w:t>
            </w:r>
            <w:r w:rsidR="00F869FD">
              <w:rPr>
                <w:rFonts w:ascii="Arial" w:hAnsi="Arial"/>
              </w:rPr>
              <w:t xml:space="preserve"> and may support early identification of high-risk patients for timely intervention</w:t>
            </w:r>
            <w:r w:rsidR="003E0CB5">
              <w:rPr>
                <w:rFonts w:ascii="Arial" w:hAnsi="Arial"/>
              </w:rPr>
              <w:t xml:space="preserve">. </w:t>
            </w:r>
            <w:bookmarkEnd w:id="0"/>
          </w:p>
        </w:tc>
      </w:tr>
    </w:tbl>
    <w:p w14:paraId="59A4B14E" w14:textId="77777777" w:rsidR="00636EB2" w:rsidRDefault="00636EB2" w:rsidP="0089477C">
      <w:pPr>
        <w:pStyle w:val="Body"/>
        <w:spacing w:after="0" w:line="360" w:lineRule="auto"/>
        <w:rPr>
          <w:rFonts w:ascii="Arial" w:hAnsi="Arial" w:cs="Arial"/>
          <w:i/>
        </w:rPr>
      </w:pPr>
    </w:p>
    <w:p w14:paraId="5562468D" w14:textId="77777777" w:rsidR="003E0CB5" w:rsidRDefault="003E0CB5" w:rsidP="0089477C">
      <w:pPr>
        <w:spacing w:line="360" w:lineRule="auto"/>
      </w:pPr>
      <w:r>
        <w:rPr>
          <w:rFonts w:ascii="Arial" w:hAnsi="Arial"/>
          <w:i/>
        </w:rPr>
        <w:t>Keywords: Breast cancer; bone metastasis; alkaline phosphatase; lactate dehydrogenase; interleukin-1β; prognostic biomarker; case-control study</w:t>
      </w:r>
    </w:p>
    <w:p w14:paraId="7519E8D0" w14:textId="5C744AA8" w:rsidR="00B52896" w:rsidRDefault="00B52896" w:rsidP="0089477C">
      <w:pPr>
        <w:pStyle w:val="Body"/>
        <w:spacing w:after="0" w:line="360" w:lineRule="auto"/>
        <w:rPr>
          <w:rFonts w:ascii="Arial" w:hAnsi="Arial" w:cs="Arial"/>
          <w:i/>
          <w:sz w:val="18"/>
        </w:rPr>
      </w:pPr>
    </w:p>
    <w:p w14:paraId="7E056FCA" w14:textId="77777777" w:rsidR="0024282C" w:rsidRDefault="0024282C" w:rsidP="0089477C">
      <w:pPr>
        <w:pStyle w:val="Body"/>
        <w:spacing w:after="0" w:line="360" w:lineRule="auto"/>
        <w:rPr>
          <w:rFonts w:ascii="Arial" w:hAnsi="Arial" w:cs="Arial"/>
          <w:i/>
          <w:sz w:val="18"/>
        </w:rPr>
      </w:pPr>
    </w:p>
    <w:p w14:paraId="319E9EBB" w14:textId="77777777" w:rsidR="00505F06" w:rsidRPr="00A24E7E" w:rsidRDefault="00505F06" w:rsidP="0089477C">
      <w:pPr>
        <w:pStyle w:val="Body"/>
        <w:spacing w:after="0" w:line="360" w:lineRule="auto"/>
        <w:rPr>
          <w:rFonts w:ascii="Arial" w:hAnsi="Arial" w:cs="Arial"/>
          <w:i/>
        </w:rPr>
      </w:pPr>
    </w:p>
    <w:p w14:paraId="3DE62D4F" w14:textId="77777777" w:rsidR="003E0CB5" w:rsidRPr="0089477C" w:rsidRDefault="003E0CB5" w:rsidP="0089477C">
      <w:pPr>
        <w:spacing w:line="360" w:lineRule="auto"/>
        <w:jc w:val="both"/>
        <w:rPr>
          <w:sz w:val="22"/>
          <w:szCs w:val="22"/>
        </w:rPr>
      </w:pPr>
      <w:r w:rsidRPr="0089477C">
        <w:rPr>
          <w:rFonts w:ascii="Arial" w:hAnsi="Arial"/>
          <w:b/>
          <w:sz w:val="22"/>
          <w:szCs w:val="22"/>
        </w:rPr>
        <w:t>1. INTRODUCTION</w:t>
      </w:r>
    </w:p>
    <w:p w14:paraId="426507E4" w14:textId="77777777" w:rsidR="003E0CB5" w:rsidRPr="0089477C" w:rsidRDefault="003E0CB5" w:rsidP="0089477C">
      <w:pPr>
        <w:spacing w:line="360" w:lineRule="auto"/>
        <w:jc w:val="both"/>
        <w:rPr>
          <w:sz w:val="22"/>
          <w:szCs w:val="22"/>
        </w:rPr>
      </w:pPr>
      <w:r w:rsidRPr="0089477C">
        <w:rPr>
          <w:rFonts w:ascii="Arial" w:hAnsi="Arial"/>
          <w:sz w:val="22"/>
          <w:szCs w:val="22"/>
        </w:rPr>
        <w:t xml:space="preserve">Breast cancer is the most frequently diagnosed malignancy and the leading cause of cancer-related morbidity and mortality in women worldwide. According to GLOBOCAN 2020, an estimated 2.3 million new cases (11.7%) were reported, surpassing lung cancer as the most common malignancy globally. Bone is the most prevalent site of distant metastasis in breast cancer, with approximately 70% of women who succumb to this disease developing skeletal involvement (Mundy, 2002). Between 60% and 75% of metastatic breast cancer cases are diagnosed as metastatic bone disease (MBD) early in the disease course, substantially reducing five-year survival rates and leading to severe complications including </w:t>
      </w:r>
      <w:proofErr w:type="spellStart"/>
      <w:r w:rsidRPr="0089477C">
        <w:rPr>
          <w:rFonts w:ascii="Arial" w:hAnsi="Arial"/>
          <w:sz w:val="22"/>
          <w:szCs w:val="22"/>
        </w:rPr>
        <w:t>osteodynia</w:t>
      </w:r>
      <w:proofErr w:type="spellEnd"/>
      <w:r w:rsidRPr="0089477C">
        <w:rPr>
          <w:rFonts w:ascii="Arial" w:hAnsi="Arial"/>
          <w:sz w:val="22"/>
          <w:szCs w:val="22"/>
        </w:rPr>
        <w:t>, pathological fractures, and neural compression (Coleman, 2006).</w:t>
      </w:r>
    </w:p>
    <w:p w14:paraId="38EC87A7" w14:textId="77777777" w:rsidR="003E0CB5" w:rsidRPr="0089477C" w:rsidRDefault="003E0CB5" w:rsidP="0089477C">
      <w:pPr>
        <w:spacing w:line="360" w:lineRule="auto"/>
        <w:jc w:val="both"/>
        <w:rPr>
          <w:sz w:val="22"/>
          <w:szCs w:val="22"/>
        </w:rPr>
      </w:pPr>
      <w:r w:rsidRPr="0089477C">
        <w:rPr>
          <w:rFonts w:ascii="Arial" w:hAnsi="Arial"/>
          <w:sz w:val="22"/>
          <w:szCs w:val="22"/>
        </w:rPr>
        <w:t>The pathogenesis of MBD in breast cancer involves a complex multi-step process. Tumor cells detach from the primary site, enter the bloodstream or lymphatic system, and colonize the bone microenvironment. Factors such as the biological properties of cancer cells, their interactions with bone-resident cells, and the bone microenvironment influence the ability of tumor cells to establish metastatic foci. MBD can lead to debilitating symptoms and complications, including severe bone pain, pathological fractures, impaired bone function, and hypercalcemia (Chen et al., 2017).</w:t>
      </w:r>
    </w:p>
    <w:p w14:paraId="651CD2A1" w14:textId="77777777" w:rsidR="003E0CB5" w:rsidRPr="0089477C" w:rsidRDefault="003E0CB5" w:rsidP="0089477C">
      <w:pPr>
        <w:spacing w:line="360" w:lineRule="auto"/>
        <w:jc w:val="both"/>
        <w:rPr>
          <w:sz w:val="22"/>
          <w:szCs w:val="22"/>
        </w:rPr>
      </w:pPr>
      <w:r w:rsidRPr="0089477C">
        <w:rPr>
          <w:rFonts w:ascii="Arial" w:hAnsi="Arial"/>
          <w:sz w:val="22"/>
          <w:szCs w:val="22"/>
        </w:rPr>
        <w:t xml:space="preserve">Alkaline phosphatase (ALP) is a serum enzyme reflecting the combined activity of several isoenzymes found in the liver, bone, kidneys, and intestinal lining. The bone-specific isoform (BAP) is released by osteoblasts in large quantities during bone remodeling activity, such as that associated with MBD. In a study conducted by the </w:t>
      </w:r>
      <w:r w:rsidRPr="0089477C">
        <w:rPr>
          <w:rFonts w:ascii="Arial" w:hAnsi="Arial"/>
          <w:sz w:val="22"/>
          <w:szCs w:val="22"/>
        </w:rPr>
        <w:lastRenderedPageBreak/>
        <w:t>International Breast Cancer Study Group, ALP demonstrated superior efficacy compared to aspartate transaminase and gamma-</w:t>
      </w:r>
      <w:proofErr w:type="spellStart"/>
      <w:r w:rsidRPr="0089477C">
        <w:rPr>
          <w:rFonts w:ascii="Arial" w:hAnsi="Arial"/>
          <w:sz w:val="22"/>
          <w:szCs w:val="22"/>
        </w:rPr>
        <w:t>glutamyltransferase</w:t>
      </w:r>
      <w:proofErr w:type="spellEnd"/>
      <w:r w:rsidRPr="0089477C">
        <w:rPr>
          <w:rFonts w:ascii="Arial" w:hAnsi="Arial"/>
          <w:sz w:val="22"/>
          <w:szCs w:val="22"/>
        </w:rPr>
        <w:t xml:space="preserve"> in distinguishing patients with recurrence from those without (Jiang et al., 2023; </w:t>
      </w:r>
      <w:proofErr w:type="spellStart"/>
      <w:r w:rsidRPr="0089477C">
        <w:rPr>
          <w:rFonts w:ascii="Arial" w:hAnsi="Arial"/>
          <w:sz w:val="22"/>
          <w:szCs w:val="22"/>
        </w:rPr>
        <w:t>Keshaviah</w:t>
      </w:r>
      <w:proofErr w:type="spellEnd"/>
      <w:r w:rsidRPr="0089477C">
        <w:rPr>
          <w:rFonts w:ascii="Arial" w:hAnsi="Arial"/>
          <w:sz w:val="22"/>
          <w:szCs w:val="22"/>
        </w:rPr>
        <w:t xml:space="preserve"> et al., 2007; Metwally et al., 2020). Yazdani et al. (2019) and Chen et al. (2017) further confirmed the strong association between elevated serum ALP and MBD in breast cancer patients.</w:t>
      </w:r>
    </w:p>
    <w:p w14:paraId="1DC956D6" w14:textId="77777777" w:rsidR="003E0CB5" w:rsidRPr="0089477C" w:rsidRDefault="003E0CB5" w:rsidP="0089477C">
      <w:pPr>
        <w:spacing w:line="360" w:lineRule="auto"/>
        <w:jc w:val="both"/>
        <w:rPr>
          <w:sz w:val="22"/>
          <w:szCs w:val="22"/>
        </w:rPr>
      </w:pPr>
      <w:r w:rsidRPr="0089477C">
        <w:rPr>
          <w:rFonts w:ascii="Arial" w:hAnsi="Arial"/>
          <w:sz w:val="22"/>
          <w:szCs w:val="22"/>
        </w:rPr>
        <w:t>Lactate dehydrogenase (LDH) is a critical enzyme in cellular energy metabolism. Elevated serum LDH concentrations have been associated with tissue injury and various pathological conditions, including cancer. Its prognostic significance in oncology has been well-established, with higher baseline serum LDH levels correlating with poorer prognosis and shorter survival in patients with Ewing sarcoma, lung cancer, multiple myeloma, and metastatic melanoma (Brown et al., 2012; Li et al., 2016). LDH has also been incorporated into established prognostic models such as the Manchester Prognostic Score and the International Myeloma Staging System (Brown et al., 2010).</w:t>
      </w:r>
    </w:p>
    <w:p w14:paraId="50151C3E" w14:textId="77777777" w:rsidR="003E0CB5" w:rsidRPr="0089477C" w:rsidRDefault="003E0CB5" w:rsidP="0089477C">
      <w:pPr>
        <w:spacing w:line="360" w:lineRule="auto"/>
        <w:jc w:val="both"/>
        <w:rPr>
          <w:sz w:val="22"/>
          <w:szCs w:val="22"/>
        </w:rPr>
      </w:pPr>
      <w:r w:rsidRPr="0089477C">
        <w:rPr>
          <w:rFonts w:ascii="Arial" w:hAnsi="Arial"/>
          <w:sz w:val="22"/>
          <w:szCs w:val="22"/>
        </w:rPr>
        <w:t xml:space="preserve">Interleukin-1β (IL-1β) is a pro-inflammatory cytokine that has emerged as a key mediator in breast cancer metastasis to bone. The IL-1 family comprises 11 members involved in inflammation and immune responses, including IL-1α, IL-1β, and IL-1Ra. Upon binding to IL-1 receptor type 1 (IL-1R1), IL-1β induces downstream signaling cascades and gene transcription. In the breast cancer context, IL-1β produced by both tumor and non-tumor cells within the bone microenvironment plays pivotal roles in regulating cell proliferation, migration, invasion, and apoptosis. Expression of IL-1β in primary breast tumors has been linked to cancer stage and increased risk of bone metastasis (Zhou, </w:t>
      </w:r>
      <w:proofErr w:type="spellStart"/>
      <w:r w:rsidRPr="0089477C">
        <w:rPr>
          <w:rFonts w:ascii="Arial" w:hAnsi="Arial"/>
          <w:sz w:val="22"/>
          <w:szCs w:val="22"/>
        </w:rPr>
        <w:t>Tulotta</w:t>
      </w:r>
      <w:proofErr w:type="spellEnd"/>
      <w:r w:rsidRPr="0089477C">
        <w:rPr>
          <w:rFonts w:ascii="Arial" w:hAnsi="Arial"/>
          <w:sz w:val="22"/>
          <w:szCs w:val="22"/>
        </w:rPr>
        <w:t xml:space="preserve"> and </w:t>
      </w:r>
      <w:proofErr w:type="spellStart"/>
      <w:r w:rsidRPr="0089477C">
        <w:rPr>
          <w:rFonts w:ascii="Arial" w:hAnsi="Arial"/>
          <w:sz w:val="22"/>
          <w:szCs w:val="22"/>
        </w:rPr>
        <w:t>Ottewell</w:t>
      </w:r>
      <w:proofErr w:type="spellEnd"/>
      <w:r w:rsidRPr="0089477C">
        <w:rPr>
          <w:rFonts w:ascii="Arial" w:hAnsi="Arial"/>
          <w:sz w:val="22"/>
          <w:szCs w:val="22"/>
        </w:rPr>
        <w:t>, 2022). However, some investigators have noted that IL-1β levels may also be elevated in inflammatory conditions such as rheumatoid arthritis, thereby reducing its specificity as a standalone marker (</w:t>
      </w:r>
      <w:proofErr w:type="spellStart"/>
      <w:r w:rsidRPr="0089477C">
        <w:rPr>
          <w:rFonts w:ascii="Arial" w:hAnsi="Arial"/>
          <w:sz w:val="22"/>
          <w:szCs w:val="22"/>
        </w:rPr>
        <w:t>Elaraj</w:t>
      </w:r>
      <w:proofErr w:type="spellEnd"/>
      <w:r w:rsidRPr="0089477C">
        <w:rPr>
          <w:rFonts w:ascii="Arial" w:hAnsi="Arial"/>
          <w:sz w:val="22"/>
          <w:szCs w:val="22"/>
        </w:rPr>
        <w:t xml:space="preserve"> et al., 2006).</w:t>
      </w:r>
    </w:p>
    <w:p w14:paraId="54E961D2" w14:textId="77777777" w:rsidR="003E0CB5" w:rsidRPr="0089477C" w:rsidRDefault="003E0CB5" w:rsidP="0089477C">
      <w:pPr>
        <w:spacing w:line="360" w:lineRule="auto"/>
        <w:jc w:val="both"/>
        <w:rPr>
          <w:sz w:val="22"/>
          <w:szCs w:val="22"/>
        </w:rPr>
      </w:pPr>
      <w:r w:rsidRPr="0089477C">
        <w:rPr>
          <w:rFonts w:ascii="Arial" w:hAnsi="Arial"/>
          <w:sz w:val="22"/>
          <w:szCs w:val="22"/>
        </w:rPr>
        <w:t xml:space="preserve">Although previous studies have investigated ALP, LDH, and IL-1β individually as prognostic factors in breast cancer, evidence regarding their combined predictive value for MBD remains limited and controversial. No prior study has simultaneously evaluated these three biomarkers as risk factors for MBD in a single cohort. Identifying reliable early biomarkers for MBD could facilitate timely interventions aimed at </w:t>
      </w:r>
      <w:r w:rsidRPr="0089477C">
        <w:rPr>
          <w:rFonts w:ascii="Arial" w:hAnsi="Arial"/>
          <w:sz w:val="22"/>
          <w:szCs w:val="22"/>
        </w:rPr>
        <w:lastRenderedPageBreak/>
        <w:t>reducing pain, preventing skeletal-related events, and improving patient quality of life. Therefore, this study was designed to assess the associations between elevated ALP, LDH, and IL-1β expression and the occurrence of MBD in breast cancer patients, and to determine the most influential predictor among these biomarkers.</w:t>
      </w:r>
    </w:p>
    <w:p w14:paraId="185A9354" w14:textId="77777777" w:rsidR="003E0CB5" w:rsidRPr="0089477C" w:rsidRDefault="003E0CB5" w:rsidP="0089477C">
      <w:pPr>
        <w:spacing w:line="360" w:lineRule="auto"/>
        <w:jc w:val="both"/>
        <w:rPr>
          <w:sz w:val="22"/>
          <w:szCs w:val="22"/>
        </w:rPr>
      </w:pPr>
      <w:r w:rsidRPr="0089477C">
        <w:rPr>
          <w:rFonts w:ascii="Arial" w:hAnsi="Arial"/>
          <w:b/>
          <w:sz w:val="22"/>
          <w:szCs w:val="22"/>
        </w:rPr>
        <w:t>2. METHODOLOGY</w:t>
      </w:r>
    </w:p>
    <w:p w14:paraId="65D2AF6A" w14:textId="77777777" w:rsidR="003E0CB5" w:rsidRPr="0089477C" w:rsidRDefault="003E0CB5" w:rsidP="0089477C">
      <w:pPr>
        <w:spacing w:line="360" w:lineRule="auto"/>
        <w:jc w:val="both"/>
        <w:rPr>
          <w:sz w:val="22"/>
          <w:szCs w:val="22"/>
        </w:rPr>
      </w:pPr>
      <w:r w:rsidRPr="0089477C">
        <w:rPr>
          <w:rFonts w:ascii="Arial" w:hAnsi="Arial"/>
          <w:b/>
          <w:sz w:val="22"/>
          <w:szCs w:val="22"/>
        </w:rPr>
        <w:t>2.1 Study Design and Setting</w:t>
      </w:r>
    </w:p>
    <w:p w14:paraId="5EA074A9" w14:textId="77777777" w:rsidR="003E0CB5" w:rsidRPr="0089477C" w:rsidRDefault="003E0CB5" w:rsidP="0089477C">
      <w:pPr>
        <w:spacing w:line="360" w:lineRule="auto"/>
        <w:jc w:val="both"/>
        <w:rPr>
          <w:sz w:val="22"/>
          <w:szCs w:val="22"/>
        </w:rPr>
      </w:pPr>
      <w:r w:rsidRPr="0089477C">
        <w:rPr>
          <w:rFonts w:ascii="Arial" w:hAnsi="Arial"/>
          <w:sz w:val="22"/>
          <w:szCs w:val="22"/>
        </w:rPr>
        <w:t xml:space="preserve">This case-control study was conducted at the </w:t>
      </w:r>
      <w:proofErr w:type="spellStart"/>
      <w:r w:rsidRPr="0089477C">
        <w:rPr>
          <w:rFonts w:ascii="Arial" w:hAnsi="Arial"/>
          <w:sz w:val="22"/>
          <w:szCs w:val="22"/>
        </w:rPr>
        <w:t>Orthopaedics</w:t>
      </w:r>
      <w:proofErr w:type="spellEnd"/>
      <w:r w:rsidRPr="0089477C">
        <w:rPr>
          <w:rFonts w:ascii="Arial" w:hAnsi="Arial"/>
          <w:sz w:val="22"/>
          <w:szCs w:val="22"/>
        </w:rPr>
        <w:t xml:space="preserve"> and Oncology Outpatient Clinics, Clinical Pathology Laboratory, and Anatomical Pathology Laboratory of Prof. Dr. I.G.N.G Ngoerah General Hospital, Denpasar, Bali, Indonesia, from July to December 2024. The study protocol was approved by the Ethics Committee of the Faculty of Medicine, Udayana University. All participants provided written informed consent prior to enrollment.</w:t>
      </w:r>
    </w:p>
    <w:p w14:paraId="4CA85A99" w14:textId="77777777" w:rsidR="003E0CB5" w:rsidRPr="0089477C" w:rsidRDefault="003E0CB5" w:rsidP="0089477C">
      <w:pPr>
        <w:spacing w:line="360" w:lineRule="auto"/>
        <w:jc w:val="both"/>
        <w:rPr>
          <w:sz w:val="22"/>
          <w:szCs w:val="22"/>
        </w:rPr>
      </w:pPr>
      <w:r w:rsidRPr="0089477C">
        <w:rPr>
          <w:rFonts w:ascii="Arial" w:hAnsi="Arial"/>
          <w:b/>
          <w:sz w:val="22"/>
          <w:szCs w:val="22"/>
        </w:rPr>
        <w:t>2.2 Study Population and Sample Size</w:t>
      </w:r>
    </w:p>
    <w:p w14:paraId="71A88C4D" w14:textId="77777777" w:rsidR="003E0CB5" w:rsidRPr="0089477C" w:rsidRDefault="003E0CB5" w:rsidP="0089477C">
      <w:pPr>
        <w:spacing w:line="360" w:lineRule="auto"/>
        <w:jc w:val="both"/>
        <w:rPr>
          <w:sz w:val="22"/>
          <w:szCs w:val="22"/>
        </w:rPr>
      </w:pPr>
      <w:r w:rsidRPr="0089477C">
        <w:rPr>
          <w:rFonts w:ascii="Arial" w:hAnsi="Arial"/>
          <w:sz w:val="22"/>
          <w:szCs w:val="22"/>
        </w:rPr>
        <w:t>The study population comprised female breast cancer patients aged 40–65 years. The case group consisted of patients with histologically confirmed breast cancer and radiologically documented bone metastasis (MBD), while the control group included breast cancer patients without evidence of bone metastasis. A total of 46 patients were enrolled: 26 in the case group and 20 in the control group. Sample size was calculated using the unpaired categorical comparative formula based on previously reported proportions (Chen et al., 2012; Schrijver et al., 2018), with an additional 20% allowance for potential dropouts.</w:t>
      </w:r>
    </w:p>
    <w:p w14:paraId="6A1B5550" w14:textId="77777777" w:rsidR="003E0CB5" w:rsidRPr="0089477C" w:rsidRDefault="003E0CB5" w:rsidP="0089477C">
      <w:pPr>
        <w:spacing w:line="360" w:lineRule="auto"/>
        <w:jc w:val="both"/>
        <w:rPr>
          <w:sz w:val="22"/>
          <w:szCs w:val="22"/>
        </w:rPr>
      </w:pPr>
      <w:r w:rsidRPr="0089477C">
        <w:rPr>
          <w:rFonts w:ascii="Arial" w:hAnsi="Arial"/>
          <w:b/>
          <w:sz w:val="22"/>
          <w:szCs w:val="22"/>
        </w:rPr>
        <w:t>2.3 Inclusion and Exclusion Criteria</w:t>
      </w:r>
    </w:p>
    <w:p w14:paraId="35A4DB1E" w14:textId="77777777" w:rsidR="003E0CB5" w:rsidRPr="0089477C" w:rsidRDefault="003E0CB5" w:rsidP="0089477C">
      <w:pPr>
        <w:spacing w:line="360" w:lineRule="auto"/>
        <w:jc w:val="both"/>
        <w:rPr>
          <w:sz w:val="22"/>
          <w:szCs w:val="22"/>
        </w:rPr>
      </w:pPr>
      <w:r w:rsidRPr="0089477C">
        <w:rPr>
          <w:rFonts w:ascii="Arial" w:hAnsi="Arial"/>
          <w:sz w:val="22"/>
          <w:szCs w:val="22"/>
        </w:rPr>
        <w:t xml:space="preserve">Inclusion criteria were: (1) female patients aged 40–65 years with a confirmed diagnosis of breast cancer; (2) patients who had undergone primary tumor biopsy; (3) MBD cases confirmed by restaging imaging at the Oncology or </w:t>
      </w:r>
      <w:proofErr w:type="spellStart"/>
      <w:r w:rsidRPr="0089477C">
        <w:rPr>
          <w:rFonts w:ascii="Arial" w:hAnsi="Arial"/>
          <w:sz w:val="22"/>
          <w:szCs w:val="22"/>
        </w:rPr>
        <w:t>Orthopaedics</w:t>
      </w:r>
      <w:proofErr w:type="spellEnd"/>
      <w:r w:rsidRPr="0089477C">
        <w:rPr>
          <w:rFonts w:ascii="Arial" w:hAnsi="Arial"/>
          <w:sz w:val="22"/>
          <w:szCs w:val="22"/>
        </w:rPr>
        <w:t xml:space="preserve"> outpatient clinic; (4) biomarker data collected after biopsy and before initiation of chemotherapy; and (5) signed informed consent. Exclusion criteria included: (1) breast cancer patients with metastasis to sites other than bone; (2) bone metastasis originating from other primary malignancies; (3) incomplete or unavailable patient data; and (4) refusal to participate.</w:t>
      </w:r>
    </w:p>
    <w:p w14:paraId="1076EDCF" w14:textId="77777777" w:rsidR="003E0CB5" w:rsidRPr="0089477C" w:rsidRDefault="003E0CB5" w:rsidP="0089477C">
      <w:pPr>
        <w:spacing w:line="360" w:lineRule="auto"/>
        <w:jc w:val="both"/>
        <w:rPr>
          <w:sz w:val="22"/>
          <w:szCs w:val="22"/>
        </w:rPr>
      </w:pPr>
      <w:r w:rsidRPr="0089477C">
        <w:rPr>
          <w:rFonts w:ascii="Arial" w:hAnsi="Arial"/>
          <w:b/>
          <w:sz w:val="22"/>
          <w:szCs w:val="22"/>
        </w:rPr>
        <w:t>2.4 Biomarker Assessment</w:t>
      </w:r>
    </w:p>
    <w:p w14:paraId="3D8DE4DB" w14:textId="77777777" w:rsidR="003E0CB5" w:rsidRPr="0089477C" w:rsidRDefault="003E0CB5" w:rsidP="0089477C">
      <w:pPr>
        <w:spacing w:line="360" w:lineRule="auto"/>
        <w:jc w:val="both"/>
        <w:rPr>
          <w:sz w:val="22"/>
          <w:szCs w:val="22"/>
        </w:rPr>
      </w:pPr>
      <w:r w:rsidRPr="0089477C">
        <w:rPr>
          <w:rFonts w:ascii="Arial" w:hAnsi="Arial"/>
          <w:sz w:val="22"/>
          <w:szCs w:val="22"/>
        </w:rPr>
        <w:lastRenderedPageBreak/>
        <w:t>Serum ALP and LDH levels were measured from peripheral blood samples. ALP values were categorized as low (&lt;100 U/L) or high (≥100 U/L), with the normal reference range for women being 30–98 U/L (Jiang et al., 2023). LDH levels were classified as low (&lt;210 U/mL) or high (≥210 U/mL) based on published cut-off values (Hu et al., 2015).</w:t>
      </w:r>
    </w:p>
    <w:p w14:paraId="07918A6A" w14:textId="77777777" w:rsidR="003E0CB5" w:rsidRPr="0089477C" w:rsidRDefault="003E0CB5" w:rsidP="0089477C">
      <w:pPr>
        <w:spacing w:line="360" w:lineRule="auto"/>
        <w:jc w:val="both"/>
        <w:rPr>
          <w:sz w:val="22"/>
          <w:szCs w:val="22"/>
        </w:rPr>
      </w:pPr>
      <w:r w:rsidRPr="0089477C">
        <w:rPr>
          <w:rFonts w:ascii="Arial" w:hAnsi="Arial"/>
          <w:sz w:val="22"/>
          <w:szCs w:val="22"/>
        </w:rPr>
        <w:t xml:space="preserve">IL-1β expression was evaluated by immunohistochemistry (IHC) on formalin-fixed, paraffin-embedded primary breast tumor biopsy specimens using an automated </w:t>
      </w:r>
      <w:proofErr w:type="spellStart"/>
      <w:r w:rsidRPr="0089477C">
        <w:rPr>
          <w:rFonts w:ascii="Arial" w:hAnsi="Arial"/>
          <w:sz w:val="22"/>
          <w:szCs w:val="22"/>
        </w:rPr>
        <w:t>immunostainer</w:t>
      </w:r>
      <w:proofErr w:type="spellEnd"/>
      <w:r w:rsidRPr="0089477C">
        <w:rPr>
          <w:rFonts w:ascii="Arial" w:hAnsi="Arial"/>
          <w:sz w:val="22"/>
          <w:szCs w:val="22"/>
        </w:rPr>
        <w:t xml:space="preserve"> (</w:t>
      </w:r>
      <w:proofErr w:type="spellStart"/>
      <w:r w:rsidRPr="0089477C">
        <w:rPr>
          <w:rFonts w:ascii="Arial" w:hAnsi="Arial"/>
          <w:sz w:val="22"/>
          <w:szCs w:val="22"/>
        </w:rPr>
        <w:t>Bondmax</w:t>
      </w:r>
      <w:proofErr w:type="spellEnd"/>
      <w:r w:rsidRPr="0089477C">
        <w:rPr>
          <w:rFonts w:ascii="Arial" w:hAnsi="Arial"/>
          <w:sz w:val="22"/>
          <w:szCs w:val="22"/>
        </w:rPr>
        <w:t xml:space="preserve">, Leica). The </w:t>
      </w:r>
      <w:proofErr w:type="spellStart"/>
      <w:r w:rsidRPr="0089477C">
        <w:rPr>
          <w:rFonts w:ascii="Arial" w:hAnsi="Arial"/>
          <w:sz w:val="22"/>
          <w:szCs w:val="22"/>
        </w:rPr>
        <w:t>immunoscore</w:t>
      </w:r>
      <w:proofErr w:type="spellEnd"/>
      <w:r w:rsidRPr="0089477C">
        <w:rPr>
          <w:rFonts w:ascii="Arial" w:hAnsi="Arial"/>
          <w:sz w:val="22"/>
          <w:szCs w:val="22"/>
        </w:rPr>
        <w:t xml:space="preserve"> was calculated by multiplying the percentage of positively stained tumor cells by the staining intensity (scored as 0 = negative, 1 = weak, 2 = moderate, 3 = strong) and summing across all intensity categories (McCarty, 2010). The optimal cut-off for IL-1β </w:t>
      </w:r>
      <w:proofErr w:type="spellStart"/>
      <w:r w:rsidRPr="0089477C">
        <w:rPr>
          <w:rFonts w:ascii="Arial" w:hAnsi="Arial"/>
          <w:sz w:val="22"/>
          <w:szCs w:val="22"/>
        </w:rPr>
        <w:t>immunoscore</w:t>
      </w:r>
      <w:proofErr w:type="spellEnd"/>
      <w:r w:rsidRPr="0089477C">
        <w:rPr>
          <w:rFonts w:ascii="Arial" w:hAnsi="Arial"/>
          <w:sz w:val="22"/>
          <w:szCs w:val="22"/>
        </w:rPr>
        <w:t xml:space="preserve"> was determined using receiver operating characteristic (ROC) curve analysis and the Youden index.</w:t>
      </w:r>
    </w:p>
    <w:p w14:paraId="7577CAB6" w14:textId="77777777" w:rsidR="003E0CB5" w:rsidRPr="0089477C" w:rsidRDefault="003E0CB5" w:rsidP="0089477C">
      <w:pPr>
        <w:spacing w:line="360" w:lineRule="auto"/>
        <w:jc w:val="both"/>
        <w:rPr>
          <w:sz w:val="22"/>
          <w:szCs w:val="22"/>
        </w:rPr>
      </w:pPr>
      <w:r w:rsidRPr="0089477C">
        <w:rPr>
          <w:rFonts w:ascii="Arial" w:hAnsi="Arial"/>
          <w:b/>
          <w:sz w:val="22"/>
          <w:szCs w:val="22"/>
        </w:rPr>
        <w:t>2.5 Statistical Analysis</w:t>
      </w:r>
    </w:p>
    <w:p w14:paraId="0FA8AFE4" w14:textId="77777777" w:rsidR="003E0CB5" w:rsidRPr="0089477C" w:rsidRDefault="003E0CB5" w:rsidP="0089477C">
      <w:pPr>
        <w:spacing w:line="360" w:lineRule="auto"/>
        <w:jc w:val="both"/>
        <w:rPr>
          <w:sz w:val="22"/>
          <w:szCs w:val="22"/>
        </w:rPr>
      </w:pPr>
      <w:r w:rsidRPr="0089477C">
        <w:rPr>
          <w:rFonts w:ascii="Arial" w:hAnsi="Arial"/>
          <w:sz w:val="22"/>
          <w:szCs w:val="22"/>
        </w:rPr>
        <w:t>Descriptive statistics were presented as mean ± standard deviation for continuous variables and frequencies with percentages for categorical variables. Group comparisons were performed using the Chi-square test or Fisher's exact test as appropriate. ROC curve analysis was employed to determine the optimal IL-1β cut-off value. Bivariate analysis with cross-tabulation yielded crude odds ratios (OR) with 95% confidence intervals (CI). Variables with P &lt; .25 in bivariate analysis were entered into a multivariate logistic regression model to identify independent risk factors and calculate adjusted odds ratios (AOR). Model calibration was assessed using the Hosmer–</w:t>
      </w:r>
      <w:proofErr w:type="spellStart"/>
      <w:r w:rsidRPr="0089477C">
        <w:rPr>
          <w:rFonts w:ascii="Arial" w:hAnsi="Arial"/>
          <w:sz w:val="22"/>
          <w:szCs w:val="22"/>
        </w:rPr>
        <w:t>Lemeshow</w:t>
      </w:r>
      <w:proofErr w:type="spellEnd"/>
      <w:r w:rsidRPr="0089477C">
        <w:rPr>
          <w:rFonts w:ascii="Arial" w:hAnsi="Arial"/>
          <w:sz w:val="22"/>
          <w:szCs w:val="22"/>
        </w:rPr>
        <w:t xml:space="preserve"> goodness-of-fit test, and discriminative ability was evaluated using the area under the ROC curve (AUC). All analyses were performed using SPSS version 28 (IBM Corp., Armonk, NY, USA), with statistical significance set at P &lt; .05.</w:t>
      </w:r>
    </w:p>
    <w:p w14:paraId="55707666" w14:textId="77777777" w:rsidR="003E0CB5" w:rsidRPr="0089477C" w:rsidRDefault="003E0CB5" w:rsidP="0089477C">
      <w:pPr>
        <w:spacing w:line="360" w:lineRule="auto"/>
        <w:jc w:val="both"/>
        <w:rPr>
          <w:sz w:val="22"/>
          <w:szCs w:val="22"/>
        </w:rPr>
      </w:pPr>
      <w:r w:rsidRPr="0089477C">
        <w:rPr>
          <w:rFonts w:ascii="Arial" w:hAnsi="Arial"/>
          <w:b/>
          <w:sz w:val="22"/>
          <w:szCs w:val="22"/>
        </w:rPr>
        <w:t>3. RESULTS AND DISCUSSION</w:t>
      </w:r>
    </w:p>
    <w:p w14:paraId="567B0636" w14:textId="77777777" w:rsidR="003E0CB5" w:rsidRPr="0089477C" w:rsidRDefault="003E0CB5" w:rsidP="0089477C">
      <w:pPr>
        <w:spacing w:line="360" w:lineRule="auto"/>
        <w:jc w:val="both"/>
        <w:rPr>
          <w:sz w:val="22"/>
          <w:szCs w:val="22"/>
        </w:rPr>
      </w:pPr>
      <w:r w:rsidRPr="0089477C">
        <w:rPr>
          <w:rFonts w:ascii="Arial" w:hAnsi="Arial"/>
          <w:b/>
          <w:sz w:val="22"/>
          <w:szCs w:val="22"/>
        </w:rPr>
        <w:t>3.1 Baseline Characteristics of Study Subjects</w:t>
      </w:r>
    </w:p>
    <w:p w14:paraId="48AA39AE" w14:textId="77777777" w:rsidR="003E0CB5" w:rsidRPr="0089477C" w:rsidRDefault="003E0CB5" w:rsidP="0089477C">
      <w:pPr>
        <w:spacing w:line="360" w:lineRule="auto"/>
        <w:jc w:val="both"/>
        <w:rPr>
          <w:sz w:val="22"/>
          <w:szCs w:val="22"/>
        </w:rPr>
      </w:pPr>
      <w:r w:rsidRPr="0089477C">
        <w:rPr>
          <w:rFonts w:ascii="Arial" w:hAnsi="Arial"/>
          <w:sz w:val="22"/>
          <w:szCs w:val="22"/>
        </w:rPr>
        <w:t>A total of 46 female breast cancer patients were included. The mean age was 51.07 ± 8.75 years, with the majority (50%) in the 41–</w:t>
      </w:r>
      <w:proofErr w:type="gramStart"/>
      <w:r w:rsidRPr="0089477C">
        <w:rPr>
          <w:rFonts w:ascii="Arial" w:hAnsi="Arial"/>
          <w:sz w:val="22"/>
          <w:szCs w:val="22"/>
        </w:rPr>
        <w:t>50 year</w:t>
      </w:r>
      <w:proofErr w:type="gramEnd"/>
      <w:r w:rsidRPr="0089477C">
        <w:rPr>
          <w:rFonts w:ascii="Arial" w:hAnsi="Arial"/>
          <w:sz w:val="22"/>
          <w:szCs w:val="22"/>
        </w:rPr>
        <w:t xml:space="preserve"> age group. All participants were female. A family history of cancer was reported by 23.9% of patients. The predominant ethnicity was Balinese (76.1%). All patients in the MBD group were </w:t>
      </w:r>
      <w:r w:rsidRPr="0089477C">
        <w:rPr>
          <w:rFonts w:ascii="Arial" w:hAnsi="Arial"/>
          <w:sz w:val="22"/>
          <w:szCs w:val="22"/>
        </w:rPr>
        <w:lastRenderedPageBreak/>
        <w:t xml:space="preserve">classified as stage IV (100%), whereas the control group predominantly comprised stage II and III patients. No participants had active inflammatory diseases, and all met the obesity criterion. The mean ALP level was 125.24 ± 80.9 U/L, mean LDH was 233.36 ± 72.2 U/L, and mean IL-1β </w:t>
      </w:r>
      <w:proofErr w:type="spellStart"/>
      <w:r w:rsidRPr="0089477C">
        <w:rPr>
          <w:rFonts w:ascii="Arial" w:hAnsi="Arial"/>
          <w:sz w:val="22"/>
          <w:szCs w:val="22"/>
        </w:rPr>
        <w:t>immunoscore</w:t>
      </w:r>
      <w:proofErr w:type="spellEnd"/>
      <w:r w:rsidRPr="0089477C">
        <w:rPr>
          <w:rFonts w:ascii="Arial" w:hAnsi="Arial"/>
          <w:sz w:val="22"/>
          <w:szCs w:val="22"/>
        </w:rPr>
        <w:t xml:space="preserve"> was 2.23 ± 0.70. The baseline characteristics are presented in Table 1.</w:t>
      </w:r>
    </w:p>
    <w:p w14:paraId="4573AFE9" w14:textId="77777777" w:rsidR="003E0CB5" w:rsidRPr="0089477C" w:rsidRDefault="003E0CB5" w:rsidP="0089477C">
      <w:pPr>
        <w:spacing w:line="360" w:lineRule="auto"/>
        <w:jc w:val="both"/>
        <w:rPr>
          <w:sz w:val="22"/>
          <w:szCs w:val="22"/>
        </w:rPr>
      </w:pPr>
      <w:r w:rsidRPr="0089477C">
        <w:rPr>
          <w:rFonts w:ascii="Arial" w:hAnsi="Arial"/>
          <w:b/>
          <w:sz w:val="22"/>
          <w:szCs w:val="22"/>
        </w:rPr>
        <w:t>Table 1. Baseline characteristics of study subjects</w:t>
      </w:r>
    </w:p>
    <w:tbl>
      <w:tblPr>
        <w:tblStyle w:val="TableGrid"/>
        <w:tblW w:w="0" w:type="auto"/>
        <w:jc w:val="center"/>
        <w:tblLook w:val="04A0" w:firstRow="1" w:lastRow="0" w:firstColumn="1" w:lastColumn="0" w:noHBand="0" w:noVBand="1"/>
      </w:tblPr>
      <w:tblGrid>
        <w:gridCol w:w="1753"/>
        <w:gridCol w:w="1616"/>
        <w:gridCol w:w="1616"/>
        <w:gridCol w:w="1616"/>
        <w:gridCol w:w="1597"/>
      </w:tblGrid>
      <w:tr w:rsidR="003E0CB5" w:rsidRPr="0089477C" w14:paraId="24F94486" w14:textId="77777777" w:rsidTr="0008247C">
        <w:trPr>
          <w:jc w:val="center"/>
        </w:trPr>
        <w:tc>
          <w:tcPr>
            <w:tcW w:w="1768" w:type="dxa"/>
          </w:tcPr>
          <w:p w14:paraId="02306679" w14:textId="77777777" w:rsidR="003E0CB5" w:rsidRPr="0089477C" w:rsidRDefault="003E0CB5" w:rsidP="0089477C">
            <w:pPr>
              <w:spacing w:line="360" w:lineRule="auto"/>
              <w:jc w:val="both"/>
            </w:pPr>
            <w:r w:rsidRPr="0089477C">
              <w:rPr>
                <w:rFonts w:ascii="Arial" w:hAnsi="Arial"/>
                <w:b/>
              </w:rPr>
              <w:t>Characteristic</w:t>
            </w:r>
          </w:p>
        </w:tc>
        <w:tc>
          <w:tcPr>
            <w:tcW w:w="1768" w:type="dxa"/>
          </w:tcPr>
          <w:p w14:paraId="15D7E7DB" w14:textId="77777777" w:rsidR="003E0CB5" w:rsidRPr="0089477C" w:rsidRDefault="003E0CB5" w:rsidP="0089477C">
            <w:pPr>
              <w:spacing w:line="360" w:lineRule="auto"/>
              <w:jc w:val="both"/>
            </w:pPr>
            <w:r w:rsidRPr="0089477C">
              <w:rPr>
                <w:rFonts w:ascii="Arial" w:hAnsi="Arial"/>
                <w:b/>
              </w:rPr>
              <w:t>MBD Group (n=26)</w:t>
            </w:r>
          </w:p>
        </w:tc>
        <w:tc>
          <w:tcPr>
            <w:tcW w:w="1768" w:type="dxa"/>
          </w:tcPr>
          <w:p w14:paraId="16E6835F" w14:textId="77777777" w:rsidR="003E0CB5" w:rsidRPr="0089477C" w:rsidRDefault="003E0CB5" w:rsidP="0089477C">
            <w:pPr>
              <w:spacing w:line="360" w:lineRule="auto"/>
              <w:jc w:val="both"/>
            </w:pPr>
            <w:r w:rsidRPr="0089477C">
              <w:rPr>
                <w:rFonts w:ascii="Arial" w:hAnsi="Arial"/>
                <w:b/>
              </w:rPr>
              <w:t>Non-MBD Group (n=20)</w:t>
            </w:r>
          </w:p>
        </w:tc>
        <w:tc>
          <w:tcPr>
            <w:tcW w:w="1768" w:type="dxa"/>
          </w:tcPr>
          <w:p w14:paraId="244A9095" w14:textId="77777777" w:rsidR="003E0CB5" w:rsidRPr="0089477C" w:rsidRDefault="003E0CB5" w:rsidP="0089477C">
            <w:pPr>
              <w:spacing w:line="360" w:lineRule="auto"/>
              <w:jc w:val="both"/>
            </w:pPr>
            <w:r w:rsidRPr="0089477C">
              <w:rPr>
                <w:rFonts w:ascii="Arial" w:hAnsi="Arial"/>
                <w:b/>
              </w:rPr>
              <w:t>Total (n=46)</w:t>
            </w:r>
          </w:p>
        </w:tc>
        <w:tc>
          <w:tcPr>
            <w:tcW w:w="1768" w:type="dxa"/>
          </w:tcPr>
          <w:p w14:paraId="5B995907" w14:textId="77777777" w:rsidR="003E0CB5" w:rsidRPr="0089477C" w:rsidRDefault="003E0CB5" w:rsidP="0089477C">
            <w:pPr>
              <w:spacing w:line="360" w:lineRule="auto"/>
              <w:jc w:val="both"/>
            </w:pPr>
            <w:r w:rsidRPr="0089477C">
              <w:rPr>
                <w:rFonts w:ascii="Arial" w:hAnsi="Arial"/>
                <w:b/>
              </w:rPr>
              <w:t>P value</w:t>
            </w:r>
          </w:p>
        </w:tc>
      </w:tr>
      <w:tr w:rsidR="003E0CB5" w:rsidRPr="0089477C" w14:paraId="623707A8" w14:textId="77777777" w:rsidTr="0008247C">
        <w:trPr>
          <w:jc w:val="center"/>
        </w:trPr>
        <w:tc>
          <w:tcPr>
            <w:tcW w:w="1768" w:type="dxa"/>
          </w:tcPr>
          <w:p w14:paraId="09C6A080" w14:textId="77777777" w:rsidR="003E0CB5" w:rsidRPr="0089477C" w:rsidRDefault="003E0CB5" w:rsidP="0089477C">
            <w:pPr>
              <w:spacing w:line="360" w:lineRule="auto"/>
              <w:jc w:val="both"/>
            </w:pPr>
            <w:r w:rsidRPr="0089477C">
              <w:rPr>
                <w:rFonts w:ascii="Arial" w:hAnsi="Arial"/>
              </w:rPr>
              <w:t>Age (years), mean ± SD</w:t>
            </w:r>
          </w:p>
        </w:tc>
        <w:tc>
          <w:tcPr>
            <w:tcW w:w="1768" w:type="dxa"/>
          </w:tcPr>
          <w:p w14:paraId="2407FD7B" w14:textId="77777777" w:rsidR="003E0CB5" w:rsidRPr="0089477C" w:rsidRDefault="003E0CB5" w:rsidP="0089477C">
            <w:pPr>
              <w:spacing w:line="360" w:lineRule="auto"/>
              <w:jc w:val="both"/>
            </w:pPr>
            <w:r w:rsidRPr="0089477C">
              <w:rPr>
                <w:rFonts w:ascii="Arial" w:hAnsi="Arial"/>
              </w:rPr>
              <w:t>51.07 ± 8.75</w:t>
            </w:r>
          </w:p>
        </w:tc>
        <w:tc>
          <w:tcPr>
            <w:tcW w:w="1768" w:type="dxa"/>
          </w:tcPr>
          <w:p w14:paraId="61942D40" w14:textId="77777777" w:rsidR="003E0CB5" w:rsidRPr="0089477C" w:rsidRDefault="003E0CB5" w:rsidP="0089477C">
            <w:pPr>
              <w:spacing w:line="360" w:lineRule="auto"/>
              <w:jc w:val="both"/>
            </w:pPr>
            <w:r w:rsidRPr="0089477C">
              <w:rPr>
                <w:rFonts w:ascii="Arial" w:hAnsi="Arial"/>
              </w:rPr>
              <w:t>51.07 ± 8.75</w:t>
            </w:r>
          </w:p>
        </w:tc>
        <w:tc>
          <w:tcPr>
            <w:tcW w:w="1768" w:type="dxa"/>
          </w:tcPr>
          <w:p w14:paraId="0C98DABA" w14:textId="77777777" w:rsidR="003E0CB5" w:rsidRPr="0089477C" w:rsidRDefault="003E0CB5" w:rsidP="0089477C">
            <w:pPr>
              <w:spacing w:line="360" w:lineRule="auto"/>
              <w:jc w:val="both"/>
            </w:pPr>
            <w:r w:rsidRPr="0089477C">
              <w:rPr>
                <w:rFonts w:ascii="Arial" w:hAnsi="Arial"/>
              </w:rPr>
              <w:t>51.07 ± 8.75</w:t>
            </w:r>
          </w:p>
        </w:tc>
        <w:tc>
          <w:tcPr>
            <w:tcW w:w="1768" w:type="dxa"/>
          </w:tcPr>
          <w:p w14:paraId="5F0BC951" w14:textId="77777777" w:rsidR="003E0CB5" w:rsidRPr="0089477C" w:rsidRDefault="003E0CB5" w:rsidP="0089477C">
            <w:pPr>
              <w:spacing w:line="360" w:lineRule="auto"/>
              <w:jc w:val="both"/>
            </w:pPr>
            <w:r w:rsidRPr="0089477C">
              <w:rPr>
                <w:rFonts w:ascii="Arial" w:hAnsi="Arial"/>
              </w:rPr>
              <w:t>.825</w:t>
            </w:r>
          </w:p>
        </w:tc>
      </w:tr>
      <w:tr w:rsidR="003E0CB5" w:rsidRPr="0089477C" w14:paraId="737FDC35" w14:textId="77777777" w:rsidTr="0008247C">
        <w:trPr>
          <w:jc w:val="center"/>
        </w:trPr>
        <w:tc>
          <w:tcPr>
            <w:tcW w:w="1768" w:type="dxa"/>
          </w:tcPr>
          <w:p w14:paraId="742DB310" w14:textId="77777777" w:rsidR="003E0CB5" w:rsidRPr="0089477C" w:rsidRDefault="003E0CB5" w:rsidP="0089477C">
            <w:pPr>
              <w:spacing w:line="360" w:lineRule="auto"/>
              <w:jc w:val="both"/>
            </w:pPr>
            <w:r w:rsidRPr="0089477C">
              <w:rPr>
                <w:rFonts w:ascii="Arial" w:hAnsi="Arial"/>
              </w:rPr>
              <w:t xml:space="preserve">  41–50 years, n (%)</w:t>
            </w:r>
          </w:p>
        </w:tc>
        <w:tc>
          <w:tcPr>
            <w:tcW w:w="1768" w:type="dxa"/>
          </w:tcPr>
          <w:p w14:paraId="183B5065" w14:textId="77777777" w:rsidR="003E0CB5" w:rsidRPr="0089477C" w:rsidRDefault="003E0CB5" w:rsidP="0089477C">
            <w:pPr>
              <w:spacing w:line="360" w:lineRule="auto"/>
              <w:jc w:val="both"/>
            </w:pPr>
            <w:r w:rsidRPr="0089477C">
              <w:rPr>
                <w:rFonts w:ascii="Arial" w:hAnsi="Arial"/>
              </w:rPr>
              <w:t>14 (53.8)</w:t>
            </w:r>
          </w:p>
        </w:tc>
        <w:tc>
          <w:tcPr>
            <w:tcW w:w="1768" w:type="dxa"/>
          </w:tcPr>
          <w:p w14:paraId="3687F59A" w14:textId="77777777" w:rsidR="003E0CB5" w:rsidRPr="0089477C" w:rsidRDefault="003E0CB5" w:rsidP="0089477C">
            <w:pPr>
              <w:spacing w:line="360" w:lineRule="auto"/>
              <w:jc w:val="both"/>
            </w:pPr>
            <w:r w:rsidRPr="0089477C">
              <w:rPr>
                <w:rFonts w:ascii="Arial" w:hAnsi="Arial"/>
              </w:rPr>
              <w:t>9 (45.0)</w:t>
            </w:r>
          </w:p>
        </w:tc>
        <w:tc>
          <w:tcPr>
            <w:tcW w:w="1768" w:type="dxa"/>
          </w:tcPr>
          <w:p w14:paraId="18E5F6A8" w14:textId="77777777" w:rsidR="003E0CB5" w:rsidRPr="0089477C" w:rsidRDefault="003E0CB5" w:rsidP="0089477C">
            <w:pPr>
              <w:spacing w:line="360" w:lineRule="auto"/>
              <w:jc w:val="both"/>
            </w:pPr>
            <w:r w:rsidRPr="0089477C">
              <w:rPr>
                <w:rFonts w:ascii="Arial" w:hAnsi="Arial"/>
              </w:rPr>
              <w:t>23 (50.0)</w:t>
            </w:r>
          </w:p>
        </w:tc>
        <w:tc>
          <w:tcPr>
            <w:tcW w:w="1768" w:type="dxa"/>
          </w:tcPr>
          <w:p w14:paraId="4934391D" w14:textId="77777777" w:rsidR="003E0CB5" w:rsidRPr="0089477C" w:rsidRDefault="003E0CB5" w:rsidP="0089477C">
            <w:pPr>
              <w:spacing w:line="360" w:lineRule="auto"/>
              <w:jc w:val="both"/>
            </w:pPr>
          </w:p>
        </w:tc>
      </w:tr>
      <w:tr w:rsidR="003E0CB5" w:rsidRPr="0089477C" w14:paraId="77BBA0F9" w14:textId="77777777" w:rsidTr="0008247C">
        <w:trPr>
          <w:jc w:val="center"/>
        </w:trPr>
        <w:tc>
          <w:tcPr>
            <w:tcW w:w="1768" w:type="dxa"/>
          </w:tcPr>
          <w:p w14:paraId="0B2FD2D2" w14:textId="77777777" w:rsidR="003E0CB5" w:rsidRPr="0089477C" w:rsidRDefault="003E0CB5" w:rsidP="0089477C">
            <w:pPr>
              <w:spacing w:line="360" w:lineRule="auto"/>
              <w:jc w:val="both"/>
            </w:pPr>
            <w:r w:rsidRPr="0089477C">
              <w:rPr>
                <w:rFonts w:ascii="Arial" w:hAnsi="Arial"/>
              </w:rPr>
              <w:t xml:space="preserve">  51–60 years, n (%)</w:t>
            </w:r>
          </w:p>
        </w:tc>
        <w:tc>
          <w:tcPr>
            <w:tcW w:w="1768" w:type="dxa"/>
          </w:tcPr>
          <w:p w14:paraId="44B7759D" w14:textId="77777777" w:rsidR="003E0CB5" w:rsidRPr="0089477C" w:rsidRDefault="003E0CB5" w:rsidP="0089477C">
            <w:pPr>
              <w:spacing w:line="360" w:lineRule="auto"/>
              <w:jc w:val="both"/>
            </w:pPr>
            <w:r w:rsidRPr="0089477C">
              <w:rPr>
                <w:rFonts w:ascii="Arial" w:hAnsi="Arial"/>
              </w:rPr>
              <w:t>9 (34.6)</w:t>
            </w:r>
          </w:p>
        </w:tc>
        <w:tc>
          <w:tcPr>
            <w:tcW w:w="1768" w:type="dxa"/>
          </w:tcPr>
          <w:p w14:paraId="4D27F222" w14:textId="77777777" w:rsidR="003E0CB5" w:rsidRPr="0089477C" w:rsidRDefault="003E0CB5" w:rsidP="0089477C">
            <w:pPr>
              <w:spacing w:line="360" w:lineRule="auto"/>
              <w:jc w:val="both"/>
            </w:pPr>
            <w:r w:rsidRPr="0089477C">
              <w:rPr>
                <w:rFonts w:ascii="Arial" w:hAnsi="Arial"/>
              </w:rPr>
              <w:t>7 (35.0)</w:t>
            </w:r>
          </w:p>
        </w:tc>
        <w:tc>
          <w:tcPr>
            <w:tcW w:w="1768" w:type="dxa"/>
          </w:tcPr>
          <w:p w14:paraId="1080E3FD" w14:textId="77777777" w:rsidR="003E0CB5" w:rsidRPr="0089477C" w:rsidRDefault="003E0CB5" w:rsidP="0089477C">
            <w:pPr>
              <w:spacing w:line="360" w:lineRule="auto"/>
              <w:jc w:val="both"/>
            </w:pPr>
            <w:r w:rsidRPr="0089477C">
              <w:rPr>
                <w:rFonts w:ascii="Arial" w:hAnsi="Arial"/>
              </w:rPr>
              <w:t>16 (34.8)</w:t>
            </w:r>
          </w:p>
        </w:tc>
        <w:tc>
          <w:tcPr>
            <w:tcW w:w="1768" w:type="dxa"/>
          </w:tcPr>
          <w:p w14:paraId="3BB70806" w14:textId="77777777" w:rsidR="003E0CB5" w:rsidRPr="0089477C" w:rsidRDefault="003E0CB5" w:rsidP="0089477C">
            <w:pPr>
              <w:spacing w:line="360" w:lineRule="auto"/>
              <w:jc w:val="both"/>
            </w:pPr>
          </w:p>
        </w:tc>
      </w:tr>
      <w:tr w:rsidR="003E0CB5" w:rsidRPr="0089477C" w14:paraId="6DF1427D" w14:textId="77777777" w:rsidTr="0008247C">
        <w:trPr>
          <w:jc w:val="center"/>
        </w:trPr>
        <w:tc>
          <w:tcPr>
            <w:tcW w:w="1768" w:type="dxa"/>
          </w:tcPr>
          <w:p w14:paraId="741B65A4" w14:textId="77777777" w:rsidR="003E0CB5" w:rsidRPr="0089477C" w:rsidRDefault="003E0CB5" w:rsidP="0089477C">
            <w:pPr>
              <w:spacing w:line="360" w:lineRule="auto"/>
              <w:jc w:val="both"/>
            </w:pPr>
            <w:r w:rsidRPr="0089477C">
              <w:rPr>
                <w:rFonts w:ascii="Arial" w:hAnsi="Arial"/>
              </w:rPr>
              <w:t>Family history, n (%)</w:t>
            </w:r>
          </w:p>
        </w:tc>
        <w:tc>
          <w:tcPr>
            <w:tcW w:w="1768" w:type="dxa"/>
          </w:tcPr>
          <w:p w14:paraId="5A174813" w14:textId="77777777" w:rsidR="003E0CB5" w:rsidRPr="0089477C" w:rsidRDefault="003E0CB5" w:rsidP="0089477C">
            <w:pPr>
              <w:spacing w:line="360" w:lineRule="auto"/>
              <w:jc w:val="both"/>
            </w:pPr>
            <w:r w:rsidRPr="0089477C">
              <w:rPr>
                <w:rFonts w:ascii="Arial" w:hAnsi="Arial"/>
              </w:rPr>
              <w:t>5 (19.2)</w:t>
            </w:r>
          </w:p>
        </w:tc>
        <w:tc>
          <w:tcPr>
            <w:tcW w:w="1768" w:type="dxa"/>
          </w:tcPr>
          <w:p w14:paraId="4A34F8B6" w14:textId="77777777" w:rsidR="003E0CB5" w:rsidRPr="0089477C" w:rsidRDefault="003E0CB5" w:rsidP="0089477C">
            <w:pPr>
              <w:spacing w:line="360" w:lineRule="auto"/>
              <w:jc w:val="both"/>
            </w:pPr>
            <w:r w:rsidRPr="0089477C">
              <w:rPr>
                <w:rFonts w:ascii="Arial" w:hAnsi="Arial"/>
              </w:rPr>
              <w:t>6 (30.0)</w:t>
            </w:r>
          </w:p>
        </w:tc>
        <w:tc>
          <w:tcPr>
            <w:tcW w:w="1768" w:type="dxa"/>
          </w:tcPr>
          <w:p w14:paraId="6D3648F6" w14:textId="77777777" w:rsidR="003E0CB5" w:rsidRPr="0089477C" w:rsidRDefault="003E0CB5" w:rsidP="0089477C">
            <w:pPr>
              <w:spacing w:line="360" w:lineRule="auto"/>
              <w:jc w:val="both"/>
            </w:pPr>
            <w:r w:rsidRPr="0089477C">
              <w:rPr>
                <w:rFonts w:ascii="Arial" w:hAnsi="Arial"/>
              </w:rPr>
              <w:t>11 (23.9)</w:t>
            </w:r>
          </w:p>
        </w:tc>
        <w:tc>
          <w:tcPr>
            <w:tcW w:w="1768" w:type="dxa"/>
          </w:tcPr>
          <w:p w14:paraId="569A0651" w14:textId="77777777" w:rsidR="003E0CB5" w:rsidRPr="0089477C" w:rsidRDefault="003E0CB5" w:rsidP="0089477C">
            <w:pPr>
              <w:spacing w:line="360" w:lineRule="auto"/>
              <w:jc w:val="both"/>
            </w:pPr>
            <w:r w:rsidRPr="0089477C">
              <w:rPr>
                <w:rFonts w:ascii="Arial" w:hAnsi="Arial"/>
              </w:rPr>
              <w:t>.307</w:t>
            </w:r>
          </w:p>
        </w:tc>
      </w:tr>
      <w:tr w:rsidR="003E0CB5" w:rsidRPr="0089477C" w14:paraId="10FC31C5" w14:textId="77777777" w:rsidTr="0008247C">
        <w:trPr>
          <w:jc w:val="center"/>
        </w:trPr>
        <w:tc>
          <w:tcPr>
            <w:tcW w:w="1768" w:type="dxa"/>
          </w:tcPr>
          <w:p w14:paraId="5B90B948" w14:textId="77777777" w:rsidR="003E0CB5" w:rsidRPr="0089477C" w:rsidRDefault="003E0CB5" w:rsidP="0089477C">
            <w:pPr>
              <w:spacing w:line="360" w:lineRule="auto"/>
              <w:jc w:val="both"/>
            </w:pPr>
            <w:r w:rsidRPr="0089477C">
              <w:rPr>
                <w:rFonts w:ascii="Arial" w:hAnsi="Arial"/>
              </w:rPr>
              <w:t>Balinese ethnicity, n (%)</w:t>
            </w:r>
          </w:p>
        </w:tc>
        <w:tc>
          <w:tcPr>
            <w:tcW w:w="1768" w:type="dxa"/>
          </w:tcPr>
          <w:p w14:paraId="5A20F35E" w14:textId="77777777" w:rsidR="003E0CB5" w:rsidRPr="0089477C" w:rsidRDefault="003E0CB5" w:rsidP="0089477C">
            <w:pPr>
              <w:spacing w:line="360" w:lineRule="auto"/>
              <w:jc w:val="both"/>
            </w:pPr>
            <w:r w:rsidRPr="0089477C">
              <w:rPr>
                <w:rFonts w:ascii="Arial" w:hAnsi="Arial"/>
              </w:rPr>
              <w:t>23 (88.5)</w:t>
            </w:r>
          </w:p>
        </w:tc>
        <w:tc>
          <w:tcPr>
            <w:tcW w:w="1768" w:type="dxa"/>
          </w:tcPr>
          <w:p w14:paraId="3D2552C9" w14:textId="77777777" w:rsidR="003E0CB5" w:rsidRPr="0089477C" w:rsidRDefault="003E0CB5" w:rsidP="0089477C">
            <w:pPr>
              <w:spacing w:line="360" w:lineRule="auto"/>
              <w:jc w:val="both"/>
            </w:pPr>
            <w:r w:rsidRPr="0089477C">
              <w:rPr>
                <w:rFonts w:ascii="Arial" w:hAnsi="Arial"/>
              </w:rPr>
              <w:t>12 (60.0)</w:t>
            </w:r>
          </w:p>
        </w:tc>
        <w:tc>
          <w:tcPr>
            <w:tcW w:w="1768" w:type="dxa"/>
          </w:tcPr>
          <w:p w14:paraId="5BE5C99A" w14:textId="77777777" w:rsidR="003E0CB5" w:rsidRPr="0089477C" w:rsidRDefault="003E0CB5" w:rsidP="0089477C">
            <w:pPr>
              <w:spacing w:line="360" w:lineRule="auto"/>
              <w:jc w:val="both"/>
            </w:pPr>
            <w:r w:rsidRPr="0089477C">
              <w:rPr>
                <w:rFonts w:ascii="Arial" w:hAnsi="Arial"/>
              </w:rPr>
              <w:t>35 (76.1)</w:t>
            </w:r>
          </w:p>
        </w:tc>
        <w:tc>
          <w:tcPr>
            <w:tcW w:w="1768" w:type="dxa"/>
          </w:tcPr>
          <w:p w14:paraId="1973F7F5" w14:textId="77777777" w:rsidR="003E0CB5" w:rsidRPr="0089477C" w:rsidRDefault="003E0CB5" w:rsidP="0089477C">
            <w:pPr>
              <w:spacing w:line="360" w:lineRule="auto"/>
              <w:jc w:val="both"/>
            </w:pPr>
            <w:r w:rsidRPr="0089477C">
              <w:rPr>
                <w:rFonts w:ascii="Arial" w:hAnsi="Arial"/>
              </w:rPr>
              <w:t>.080</w:t>
            </w:r>
          </w:p>
        </w:tc>
      </w:tr>
      <w:tr w:rsidR="003E0CB5" w:rsidRPr="0089477C" w14:paraId="091B9A76" w14:textId="77777777" w:rsidTr="0008247C">
        <w:trPr>
          <w:jc w:val="center"/>
        </w:trPr>
        <w:tc>
          <w:tcPr>
            <w:tcW w:w="1768" w:type="dxa"/>
          </w:tcPr>
          <w:p w14:paraId="360E1C26" w14:textId="77777777" w:rsidR="003E0CB5" w:rsidRPr="0089477C" w:rsidRDefault="003E0CB5" w:rsidP="0089477C">
            <w:pPr>
              <w:spacing w:line="360" w:lineRule="auto"/>
              <w:jc w:val="both"/>
            </w:pPr>
            <w:r w:rsidRPr="0089477C">
              <w:rPr>
                <w:rFonts w:ascii="Arial" w:hAnsi="Arial"/>
              </w:rPr>
              <w:t>Stage IV, n (%)</w:t>
            </w:r>
          </w:p>
        </w:tc>
        <w:tc>
          <w:tcPr>
            <w:tcW w:w="1768" w:type="dxa"/>
          </w:tcPr>
          <w:p w14:paraId="565A9F84" w14:textId="77777777" w:rsidR="003E0CB5" w:rsidRPr="0089477C" w:rsidRDefault="003E0CB5" w:rsidP="0089477C">
            <w:pPr>
              <w:spacing w:line="360" w:lineRule="auto"/>
              <w:jc w:val="both"/>
            </w:pPr>
            <w:r w:rsidRPr="0089477C">
              <w:rPr>
                <w:rFonts w:ascii="Arial" w:hAnsi="Arial"/>
              </w:rPr>
              <w:t>26 (100)</w:t>
            </w:r>
          </w:p>
        </w:tc>
        <w:tc>
          <w:tcPr>
            <w:tcW w:w="1768" w:type="dxa"/>
          </w:tcPr>
          <w:p w14:paraId="6DA67041" w14:textId="77777777" w:rsidR="003E0CB5" w:rsidRPr="0089477C" w:rsidRDefault="003E0CB5" w:rsidP="0089477C">
            <w:pPr>
              <w:spacing w:line="360" w:lineRule="auto"/>
              <w:jc w:val="both"/>
            </w:pPr>
            <w:r w:rsidRPr="0089477C">
              <w:rPr>
                <w:rFonts w:ascii="Arial" w:hAnsi="Arial"/>
              </w:rPr>
              <w:t>4 (20.0)</w:t>
            </w:r>
          </w:p>
        </w:tc>
        <w:tc>
          <w:tcPr>
            <w:tcW w:w="1768" w:type="dxa"/>
          </w:tcPr>
          <w:p w14:paraId="252D5DA2" w14:textId="77777777" w:rsidR="003E0CB5" w:rsidRPr="0089477C" w:rsidRDefault="003E0CB5" w:rsidP="0089477C">
            <w:pPr>
              <w:spacing w:line="360" w:lineRule="auto"/>
              <w:jc w:val="both"/>
            </w:pPr>
            <w:r w:rsidRPr="0089477C">
              <w:rPr>
                <w:rFonts w:ascii="Arial" w:hAnsi="Arial"/>
              </w:rPr>
              <w:t>30 (65.2)</w:t>
            </w:r>
          </w:p>
        </w:tc>
        <w:tc>
          <w:tcPr>
            <w:tcW w:w="1768" w:type="dxa"/>
          </w:tcPr>
          <w:p w14:paraId="586DD89B" w14:textId="77777777" w:rsidR="003E0CB5" w:rsidRPr="0089477C" w:rsidRDefault="003E0CB5" w:rsidP="0089477C">
            <w:pPr>
              <w:spacing w:line="360" w:lineRule="auto"/>
              <w:jc w:val="both"/>
            </w:pPr>
            <w:r w:rsidRPr="0089477C">
              <w:rPr>
                <w:rFonts w:ascii="Arial" w:hAnsi="Arial"/>
              </w:rPr>
              <w:t>.001</w:t>
            </w:r>
          </w:p>
        </w:tc>
      </w:tr>
      <w:tr w:rsidR="003E0CB5" w:rsidRPr="0089477C" w14:paraId="1C0CF1E5" w14:textId="77777777" w:rsidTr="0008247C">
        <w:trPr>
          <w:jc w:val="center"/>
        </w:trPr>
        <w:tc>
          <w:tcPr>
            <w:tcW w:w="1768" w:type="dxa"/>
          </w:tcPr>
          <w:p w14:paraId="030166C8" w14:textId="77777777" w:rsidR="003E0CB5" w:rsidRPr="0089477C" w:rsidRDefault="003E0CB5" w:rsidP="0089477C">
            <w:pPr>
              <w:spacing w:line="360" w:lineRule="auto"/>
              <w:jc w:val="both"/>
            </w:pPr>
            <w:r w:rsidRPr="0089477C">
              <w:rPr>
                <w:rFonts w:ascii="Arial" w:hAnsi="Arial"/>
              </w:rPr>
              <w:t>Alcohol consumption, n (%)</w:t>
            </w:r>
          </w:p>
        </w:tc>
        <w:tc>
          <w:tcPr>
            <w:tcW w:w="1768" w:type="dxa"/>
          </w:tcPr>
          <w:p w14:paraId="67D0A5D3" w14:textId="77777777" w:rsidR="003E0CB5" w:rsidRPr="0089477C" w:rsidRDefault="003E0CB5" w:rsidP="0089477C">
            <w:pPr>
              <w:spacing w:line="360" w:lineRule="auto"/>
              <w:jc w:val="both"/>
            </w:pPr>
            <w:r w:rsidRPr="0089477C">
              <w:rPr>
                <w:rFonts w:ascii="Arial" w:hAnsi="Arial"/>
              </w:rPr>
              <w:t>2 (7.7)</w:t>
            </w:r>
          </w:p>
        </w:tc>
        <w:tc>
          <w:tcPr>
            <w:tcW w:w="1768" w:type="dxa"/>
          </w:tcPr>
          <w:p w14:paraId="4A767F13" w14:textId="77777777" w:rsidR="003E0CB5" w:rsidRPr="0089477C" w:rsidRDefault="003E0CB5" w:rsidP="0089477C">
            <w:pPr>
              <w:spacing w:line="360" w:lineRule="auto"/>
              <w:jc w:val="both"/>
            </w:pPr>
            <w:r w:rsidRPr="0089477C">
              <w:rPr>
                <w:rFonts w:ascii="Arial" w:hAnsi="Arial"/>
              </w:rPr>
              <w:t>5 (25.0)</w:t>
            </w:r>
          </w:p>
        </w:tc>
        <w:tc>
          <w:tcPr>
            <w:tcW w:w="1768" w:type="dxa"/>
          </w:tcPr>
          <w:p w14:paraId="3EF5CA34" w14:textId="77777777" w:rsidR="003E0CB5" w:rsidRPr="0089477C" w:rsidRDefault="003E0CB5" w:rsidP="0089477C">
            <w:pPr>
              <w:spacing w:line="360" w:lineRule="auto"/>
              <w:jc w:val="both"/>
            </w:pPr>
            <w:r w:rsidRPr="0089477C">
              <w:rPr>
                <w:rFonts w:ascii="Arial" w:hAnsi="Arial"/>
              </w:rPr>
              <w:t>7 (15.2)</w:t>
            </w:r>
          </w:p>
        </w:tc>
        <w:tc>
          <w:tcPr>
            <w:tcW w:w="1768" w:type="dxa"/>
          </w:tcPr>
          <w:p w14:paraId="765AFF9C" w14:textId="77777777" w:rsidR="003E0CB5" w:rsidRPr="0089477C" w:rsidRDefault="003E0CB5" w:rsidP="0089477C">
            <w:pPr>
              <w:spacing w:line="360" w:lineRule="auto"/>
              <w:jc w:val="both"/>
            </w:pPr>
            <w:r w:rsidRPr="0089477C">
              <w:rPr>
                <w:rFonts w:ascii="Arial" w:hAnsi="Arial"/>
              </w:rPr>
              <w:t>.114</w:t>
            </w:r>
          </w:p>
        </w:tc>
      </w:tr>
      <w:tr w:rsidR="003E0CB5" w:rsidRPr="0089477C" w14:paraId="64908708" w14:textId="77777777" w:rsidTr="0008247C">
        <w:trPr>
          <w:jc w:val="center"/>
        </w:trPr>
        <w:tc>
          <w:tcPr>
            <w:tcW w:w="1768" w:type="dxa"/>
          </w:tcPr>
          <w:p w14:paraId="37A89929" w14:textId="77777777" w:rsidR="003E0CB5" w:rsidRPr="0089477C" w:rsidRDefault="003E0CB5" w:rsidP="0089477C">
            <w:pPr>
              <w:spacing w:line="360" w:lineRule="auto"/>
              <w:jc w:val="both"/>
            </w:pPr>
            <w:r w:rsidRPr="0089477C">
              <w:rPr>
                <w:rFonts w:ascii="Arial" w:hAnsi="Arial"/>
              </w:rPr>
              <w:t>Smoking history, n (%)</w:t>
            </w:r>
          </w:p>
        </w:tc>
        <w:tc>
          <w:tcPr>
            <w:tcW w:w="1768" w:type="dxa"/>
          </w:tcPr>
          <w:p w14:paraId="5A0891DC" w14:textId="77777777" w:rsidR="003E0CB5" w:rsidRPr="0089477C" w:rsidRDefault="003E0CB5" w:rsidP="0089477C">
            <w:pPr>
              <w:spacing w:line="360" w:lineRule="auto"/>
              <w:jc w:val="both"/>
            </w:pPr>
            <w:r w:rsidRPr="0089477C">
              <w:rPr>
                <w:rFonts w:ascii="Arial" w:hAnsi="Arial"/>
              </w:rPr>
              <w:t>6 (23.1)</w:t>
            </w:r>
          </w:p>
        </w:tc>
        <w:tc>
          <w:tcPr>
            <w:tcW w:w="1768" w:type="dxa"/>
          </w:tcPr>
          <w:p w14:paraId="15D08834" w14:textId="77777777" w:rsidR="003E0CB5" w:rsidRPr="0089477C" w:rsidRDefault="003E0CB5" w:rsidP="0089477C">
            <w:pPr>
              <w:spacing w:line="360" w:lineRule="auto"/>
              <w:jc w:val="both"/>
            </w:pPr>
            <w:r w:rsidRPr="0089477C">
              <w:rPr>
                <w:rFonts w:ascii="Arial" w:hAnsi="Arial"/>
              </w:rPr>
              <w:t>1 (5.0)</w:t>
            </w:r>
          </w:p>
        </w:tc>
        <w:tc>
          <w:tcPr>
            <w:tcW w:w="1768" w:type="dxa"/>
          </w:tcPr>
          <w:p w14:paraId="7C060037" w14:textId="77777777" w:rsidR="003E0CB5" w:rsidRPr="0089477C" w:rsidRDefault="003E0CB5" w:rsidP="0089477C">
            <w:pPr>
              <w:spacing w:line="360" w:lineRule="auto"/>
              <w:jc w:val="both"/>
            </w:pPr>
            <w:r w:rsidRPr="0089477C">
              <w:rPr>
                <w:rFonts w:ascii="Arial" w:hAnsi="Arial"/>
              </w:rPr>
              <w:t>7 (15.2)</w:t>
            </w:r>
          </w:p>
        </w:tc>
        <w:tc>
          <w:tcPr>
            <w:tcW w:w="1768" w:type="dxa"/>
          </w:tcPr>
          <w:p w14:paraId="0D432935" w14:textId="77777777" w:rsidR="003E0CB5" w:rsidRPr="0089477C" w:rsidRDefault="003E0CB5" w:rsidP="0089477C">
            <w:pPr>
              <w:spacing w:line="360" w:lineRule="auto"/>
              <w:jc w:val="both"/>
            </w:pPr>
            <w:r w:rsidRPr="0089477C">
              <w:rPr>
                <w:rFonts w:ascii="Arial" w:hAnsi="Arial"/>
              </w:rPr>
              <w:t>.098</w:t>
            </w:r>
          </w:p>
        </w:tc>
      </w:tr>
      <w:tr w:rsidR="003E0CB5" w:rsidRPr="0089477C" w14:paraId="311465F3" w14:textId="77777777" w:rsidTr="0008247C">
        <w:trPr>
          <w:jc w:val="center"/>
        </w:trPr>
        <w:tc>
          <w:tcPr>
            <w:tcW w:w="1768" w:type="dxa"/>
          </w:tcPr>
          <w:p w14:paraId="17992144" w14:textId="77777777" w:rsidR="003E0CB5" w:rsidRPr="0089477C" w:rsidRDefault="003E0CB5" w:rsidP="0089477C">
            <w:pPr>
              <w:spacing w:line="360" w:lineRule="auto"/>
              <w:jc w:val="both"/>
            </w:pPr>
            <w:r w:rsidRPr="0089477C">
              <w:rPr>
                <w:rFonts w:ascii="Arial" w:hAnsi="Arial"/>
              </w:rPr>
              <w:t>ALP (U/L), mean ± SD</w:t>
            </w:r>
          </w:p>
        </w:tc>
        <w:tc>
          <w:tcPr>
            <w:tcW w:w="1768" w:type="dxa"/>
          </w:tcPr>
          <w:p w14:paraId="689DDBA2" w14:textId="77777777" w:rsidR="003E0CB5" w:rsidRPr="0089477C" w:rsidRDefault="003E0CB5" w:rsidP="0089477C">
            <w:pPr>
              <w:spacing w:line="360" w:lineRule="auto"/>
              <w:jc w:val="both"/>
            </w:pPr>
            <w:r w:rsidRPr="0089477C">
              <w:rPr>
                <w:rFonts w:ascii="Arial" w:hAnsi="Arial"/>
              </w:rPr>
              <w:t>158.23 ± 93.9</w:t>
            </w:r>
          </w:p>
        </w:tc>
        <w:tc>
          <w:tcPr>
            <w:tcW w:w="1768" w:type="dxa"/>
          </w:tcPr>
          <w:p w14:paraId="0AFFBCF5" w14:textId="77777777" w:rsidR="003E0CB5" w:rsidRPr="0089477C" w:rsidRDefault="003E0CB5" w:rsidP="0089477C">
            <w:pPr>
              <w:spacing w:line="360" w:lineRule="auto"/>
              <w:jc w:val="both"/>
            </w:pPr>
            <w:r w:rsidRPr="0089477C">
              <w:rPr>
                <w:rFonts w:ascii="Arial" w:hAnsi="Arial"/>
              </w:rPr>
              <w:t>82.36 ± 21.42</w:t>
            </w:r>
          </w:p>
        </w:tc>
        <w:tc>
          <w:tcPr>
            <w:tcW w:w="1768" w:type="dxa"/>
          </w:tcPr>
          <w:p w14:paraId="1000B416" w14:textId="77777777" w:rsidR="003E0CB5" w:rsidRPr="0089477C" w:rsidRDefault="003E0CB5" w:rsidP="0089477C">
            <w:pPr>
              <w:spacing w:line="360" w:lineRule="auto"/>
              <w:jc w:val="both"/>
            </w:pPr>
            <w:r w:rsidRPr="0089477C">
              <w:rPr>
                <w:rFonts w:ascii="Arial" w:hAnsi="Arial"/>
              </w:rPr>
              <w:t>125.24 ± 80.9</w:t>
            </w:r>
          </w:p>
        </w:tc>
        <w:tc>
          <w:tcPr>
            <w:tcW w:w="1768" w:type="dxa"/>
          </w:tcPr>
          <w:p w14:paraId="0609627F" w14:textId="77777777" w:rsidR="003E0CB5" w:rsidRPr="0089477C" w:rsidRDefault="003E0CB5" w:rsidP="0089477C">
            <w:pPr>
              <w:spacing w:line="360" w:lineRule="auto"/>
              <w:jc w:val="both"/>
            </w:pPr>
            <w:r w:rsidRPr="0089477C">
              <w:rPr>
                <w:rFonts w:ascii="Arial" w:hAnsi="Arial"/>
              </w:rPr>
              <w:t>.010</w:t>
            </w:r>
          </w:p>
        </w:tc>
      </w:tr>
      <w:tr w:rsidR="003E0CB5" w:rsidRPr="0089477C" w14:paraId="65E7E673" w14:textId="77777777" w:rsidTr="0008247C">
        <w:trPr>
          <w:jc w:val="center"/>
        </w:trPr>
        <w:tc>
          <w:tcPr>
            <w:tcW w:w="1768" w:type="dxa"/>
          </w:tcPr>
          <w:p w14:paraId="7697DD83" w14:textId="77777777" w:rsidR="003E0CB5" w:rsidRPr="0089477C" w:rsidRDefault="003E0CB5" w:rsidP="0089477C">
            <w:pPr>
              <w:spacing w:line="360" w:lineRule="auto"/>
              <w:jc w:val="both"/>
            </w:pPr>
            <w:r w:rsidRPr="0089477C">
              <w:rPr>
                <w:rFonts w:ascii="Arial" w:hAnsi="Arial"/>
              </w:rPr>
              <w:t>LDH (U/L), mean ± SD</w:t>
            </w:r>
          </w:p>
        </w:tc>
        <w:tc>
          <w:tcPr>
            <w:tcW w:w="1768" w:type="dxa"/>
          </w:tcPr>
          <w:p w14:paraId="3B19DA4F" w14:textId="77777777" w:rsidR="003E0CB5" w:rsidRPr="0089477C" w:rsidRDefault="003E0CB5" w:rsidP="0089477C">
            <w:pPr>
              <w:spacing w:line="360" w:lineRule="auto"/>
              <w:jc w:val="both"/>
            </w:pPr>
            <w:r w:rsidRPr="0089477C">
              <w:rPr>
                <w:rFonts w:ascii="Arial" w:hAnsi="Arial"/>
              </w:rPr>
              <w:t>263.76 ± 71.07</w:t>
            </w:r>
          </w:p>
        </w:tc>
        <w:tc>
          <w:tcPr>
            <w:tcW w:w="1768" w:type="dxa"/>
          </w:tcPr>
          <w:p w14:paraId="69D8DBF1" w14:textId="77777777" w:rsidR="003E0CB5" w:rsidRPr="0089477C" w:rsidRDefault="003E0CB5" w:rsidP="0089477C">
            <w:pPr>
              <w:spacing w:line="360" w:lineRule="auto"/>
              <w:jc w:val="both"/>
            </w:pPr>
            <w:r w:rsidRPr="0089477C">
              <w:rPr>
                <w:rFonts w:ascii="Arial" w:hAnsi="Arial"/>
              </w:rPr>
              <w:t>193.85 ± 52.87</w:t>
            </w:r>
          </w:p>
        </w:tc>
        <w:tc>
          <w:tcPr>
            <w:tcW w:w="1768" w:type="dxa"/>
          </w:tcPr>
          <w:p w14:paraId="3F7AA530" w14:textId="77777777" w:rsidR="003E0CB5" w:rsidRPr="0089477C" w:rsidRDefault="003E0CB5" w:rsidP="0089477C">
            <w:pPr>
              <w:spacing w:line="360" w:lineRule="auto"/>
              <w:jc w:val="both"/>
            </w:pPr>
            <w:r w:rsidRPr="0089477C">
              <w:rPr>
                <w:rFonts w:ascii="Arial" w:hAnsi="Arial"/>
              </w:rPr>
              <w:t>233.36 ± 72.2</w:t>
            </w:r>
          </w:p>
        </w:tc>
        <w:tc>
          <w:tcPr>
            <w:tcW w:w="1768" w:type="dxa"/>
          </w:tcPr>
          <w:p w14:paraId="5F1FE6D8" w14:textId="77777777" w:rsidR="003E0CB5" w:rsidRPr="0089477C" w:rsidRDefault="003E0CB5" w:rsidP="0089477C">
            <w:pPr>
              <w:spacing w:line="360" w:lineRule="auto"/>
              <w:jc w:val="both"/>
            </w:pPr>
            <w:r w:rsidRPr="0089477C">
              <w:rPr>
                <w:rFonts w:ascii="Arial" w:hAnsi="Arial"/>
              </w:rPr>
              <w:t>.004</w:t>
            </w:r>
          </w:p>
        </w:tc>
      </w:tr>
      <w:tr w:rsidR="003E0CB5" w:rsidRPr="0089477C" w14:paraId="2D669839" w14:textId="77777777" w:rsidTr="0008247C">
        <w:trPr>
          <w:jc w:val="center"/>
        </w:trPr>
        <w:tc>
          <w:tcPr>
            <w:tcW w:w="1768" w:type="dxa"/>
          </w:tcPr>
          <w:p w14:paraId="0C80BEE5" w14:textId="77777777" w:rsidR="003E0CB5" w:rsidRPr="0089477C" w:rsidRDefault="003E0CB5" w:rsidP="0089477C">
            <w:pPr>
              <w:spacing w:line="360" w:lineRule="auto"/>
              <w:jc w:val="both"/>
            </w:pPr>
            <w:r w:rsidRPr="0089477C">
              <w:rPr>
                <w:rFonts w:ascii="Arial" w:hAnsi="Arial"/>
              </w:rPr>
              <w:t xml:space="preserve">IL-1β </w:t>
            </w:r>
            <w:proofErr w:type="spellStart"/>
            <w:r w:rsidRPr="0089477C">
              <w:rPr>
                <w:rFonts w:ascii="Arial" w:hAnsi="Arial"/>
              </w:rPr>
              <w:t>immunoscore</w:t>
            </w:r>
            <w:proofErr w:type="spellEnd"/>
            <w:r w:rsidRPr="0089477C">
              <w:rPr>
                <w:rFonts w:ascii="Arial" w:hAnsi="Arial"/>
              </w:rPr>
              <w:t>, mean ± SD</w:t>
            </w:r>
          </w:p>
        </w:tc>
        <w:tc>
          <w:tcPr>
            <w:tcW w:w="1768" w:type="dxa"/>
          </w:tcPr>
          <w:p w14:paraId="422806FF" w14:textId="77777777" w:rsidR="003E0CB5" w:rsidRPr="0089477C" w:rsidRDefault="003E0CB5" w:rsidP="0089477C">
            <w:pPr>
              <w:spacing w:line="360" w:lineRule="auto"/>
              <w:jc w:val="both"/>
            </w:pPr>
            <w:r w:rsidRPr="0089477C">
              <w:rPr>
                <w:rFonts w:ascii="Arial" w:hAnsi="Arial"/>
              </w:rPr>
              <w:t>2.57 ± 0.50</w:t>
            </w:r>
          </w:p>
        </w:tc>
        <w:tc>
          <w:tcPr>
            <w:tcW w:w="1768" w:type="dxa"/>
          </w:tcPr>
          <w:p w14:paraId="14A13A22" w14:textId="77777777" w:rsidR="003E0CB5" w:rsidRPr="0089477C" w:rsidRDefault="003E0CB5" w:rsidP="0089477C">
            <w:pPr>
              <w:spacing w:line="360" w:lineRule="auto"/>
              <w:jc w:val="both"/>
            </w:pPr>
            <w:r w:rsidRPr="0089477C">
              <w:rPr>
                <w:rFonts w:ascii="Arial" w:hAnsi="Arial"/>
              </w:rPr>
              <w:t>1.80 ± 0.69</w:t>
            </w:r>
          </w:p>
        </w:tc>
        <w:tc>
          <w:tcPr>
            <w:tcW w:w="1768" w:type="dxa"/>
          </w:tcPr>
          <w:p w14:paraId="083FE77F" w14:textId="77777777" w:rsidR="003E0CB5" w:rsidRPr="0089477C" w:rsidRDefault="003E0CB5" w:rsidP="0089477C">
            <w:pPr>
              <w:spacing w:line="360" w:lineRule="auto"/>
              <w:jc w:val="both"/>
            </w:pPr>
            <w:r w:rsidRPr="0089477C">
              <w:rPr>
                <w:rFonts w:ascii="Arial" w:hAnsi="Arial"/>
              </w:rPr>
              <w:t>2.23 ± 0.70</w:t>
            </w:r>
          </w:p>
        </w:tc>
        <w:tc>
          <w:tcPr>
            <w:tcW w:w="1768" w:type="dxa"/>
          </w:tcPr>
          <w:p w14:paraId="16A0AF02" w14:textId="77777777" w:rsidR="003E0CB5" w:rsidRPr="0089477C" w:rsidRDefault="003E0CB5" w:rsidP="0089477C">
            <w:pPr>
              <w:spacing w:line="360" w:lineRule="auto"/>
              <w:jc w:val="both"/>
            </w:pPr>
            <w:r w:rsidRPr="0089477C">
              <w:rPr>
                <w:rFonts w:ascii="Arial" w:hAnsi="Arial"/>
              </w:rPr>
              <w:t>.001</w:t>
            </w:r>
          </w:p>
        </w:tc>
      </w:tr>
    </w:tbl>
    <w:p w14:paraId="53EA9AE6" w14:textId="77777777" w:rsidR="003E0CB5" w:rsidRPr="0089477C" w:rsidRDefault="003E0CB5" w:rsidP="0089477C">
      <w:pPr>
        <w:spacing w:line="360" w:lineRule="auto"/>
        <w:jc w:val="both"/>
        <w:rPr>
          <w:sz w:val="22"/>
          <w:szCs w:val="22"/>
        </w:rPr>
      </w:pPr>
      <w:r w:rsidRPr="0089477C">
        <w:rPr>
          <w:rFonts w:ascii="Arial" w:hAnsi="Arial"/>
          <w:sz w:val="22"/>
          <w:szCs w:val="22"/>
        </w:rPr>
        <w:lastRenderedPageBreak/>
        <w:t>The demographic profile reflects the typical characteristics of breast cancer observed in Southeast Asian populations. The peak incidence in the 41–</w:t>
      </w:r>
      <w:proofErr w:type="gramStart"/>
      <w:r w:rsidRPr="0089477C">
        <w:rPr>
          <w:rFonts w:ascii="Arial" w:hAnsi="Arial"/>
          <w:sz w:val="22"/>
          <w:szCs w:val="22"/>
        </w:rPr>
        <w:t>50 year</w:t>
      </w:r>
      <w:proofErr w:type="gramEnd"/>
      <w:r w:rsidRPr="0089477C">
        <w:rPr>
          <w:rFonts w:ascii="Arial" w:hAnsi="Arial"/>
          <w:sz w:val="22"/>
          <w:szCs w:val="22"/>
        </w:rPr>
        <w:t xml:space="preserve"> age group is consistent with findings from studies in China (Fan et al., 2014) and contrasts with reports from North America and Europe, where the median age at diagnosis is approximately 60 years (</w:t>
      </w:r>
      <w:proofErr w:type="spellStart"/>
      <w:r w:rsidRPr="0089477C">
        <w:rPr>
          <w:rFonts w:ascii="Arial" w:hAnsi="Arial"/>
          <w:sz w:val="22"/>
          <w:szCs w:val="22"/>
        </w:rPr>
        <w:t>Youlden</w:t>
      </w:r>
      <w:proofErr w:type="spellEnd"/>
      <w:r w:rsidRPr="0089477C">
        <w:rPr>
          <w:rFonts w:ascii="Arial" w:hAnsi="Arial"/>
          <w:sz w:val="22"/>
          <w:szCs w:val="22"/>
        </w:rPr>
        <w:t xml:space="preserve"> et al., 2014). The predominance of stage IV disease in the MBD group aligns with established literature indicating that 70–80% of stage IV breast cancer patients develop bone metastasis (Ibrahim et al., 2013).</w:t>
      </w:r>
    </w:p>
    <w:p w14:paraId="6A453B60" w14:textId="77777777" w:rsidR="003E0CB5" w:rsidRPr="0089477C" w:rsidRDefault="003E0CB5" w:rsidP="0089477C">
      <w:pPr>
        <w:spacing w:line="360" w:lineRule="auto"/>
        <w:jc w:val="both"/>
        <w:rPr>
          <w:sz w:val="22"/>
          <w:szCs w:val="22"/>
        </w:rPr>
      </w:pPr>
      <w:r w:rsidRPr="0089477C">
        <w:rPr>
          <w:rFonts w:ascii="Arial" w:hAnsi="Arial"/>
          <w:b/>
          <w:sz w:val="22"/>
          <w:szCs w:val="22"/>
        </w:rPr>
        <w:t>3.2 Determination of IL-1β Cut-off Value</w:t>
      </w:r>
    </w:p>
    <w:p w14:paraId="7D03B933" w14:textId="77777777" w:rsidR="003E0CB5" w:rsidRPr="0089477C" w:rsidRDefault="003E0CB5" w:rsidP="0089477C">
      <w:pPr>
        <w:spacing w:line="360" w:lineRule="auto"/>
        <w:jc w:val="both"/>
        <w:rPr>
          <w:sz w:val="22"/>
          <w:szCs w:val="22"/>
        </w:rPr>
      </w:pPr>
      <w:r w:rsidRPr="0089477C">
        <w:rPr>
          <w:rFonts w:ascii="Arial" w:hAnsi="Arial"/>
          <w:sz w:val="22"/>
          <w:szCs w:val="22"/>
        </w:rPr>
        <w:t xml:space="preserve">ROC curve analysis was performed to determine the optimal IL-1β </w:t>
      </w:r>
      <w:proofErr w:type="spellStart"/>
      <w:r w:rsidRPr="0089477C">
        <w:rPr>
          <w:rFonts w:ascii="Arial" w:hAnsi="Arial"/>
          <w:sz w:val="22"/>
          <w:szCs w:val="22"/>
        </w:rPr>
        <w:t>immunoscore</w:t>
      </w:r>
      <w:proofErr w:type="spellEnd"/>
      <w:r w:rsidRPr="0089477C">
        <w:rPr>
          <w:rFonts w:ascii="Arial" w:hAnsi="Arial"/>
          <w:sz w:val="22"/>
          <w:szCs w:val="22"/>
        </w:rPr>
        <w:t xml:space="preserve"> cut-off for predicting MBD. The analysis yielded an AUC of 0.706 (P = .015; 95% CI: 0.54–0.87), indicating fair diagnostic accuracy. Using the Youden index, the optimal cut-off was identified at an </w:t>
      </w:r>
      <w:proofErr w:type="spellStart"/>
      <w:r w:rsidRPr="0089477C">
        <w:rPr>
          <w:rFonts w:ascii="Arial" w:hAnsi="Arial"/>
          <w:sz w:val="22"/>
          <w:szCs w:val="22"/>
        </w:rPr>
        <w:t>immunoscore</w:t>
      </w:r>
      <w:proofErr w:type="spellEnd"/>
      <w:r w:rsidRPr="0089477C">
        <w:rPr>
          <w:rFonts w:ascii="Arial" w:hAnsi="Arial"/>
          <w:sz w:val="22"/>
          <w:szCs w:val="22"/>
        </w:rPr>
        <w:t xml:space="preserve"> of ≥2.5, yielding a sensitivity of 48.5% and specificity of 84.6% (Table 2). Although the sensitivity was modest, the high specificity suggests clinical utility in reducing false-positive results. As recommended by Chen et al. (2024), combining IL-1β with other markers such as ALP or systemic inflammatory indices may enhance overall predictive performance.</w:t>
      </w:r>
    </w:p>
    <w:p w14:paraId="12E4C5E0" w14:textId="77777777" w:rsidR="003E0CB5" w:rsidRPr="0089477C" w:rsidRDefault="003E0CB5" w:rsidP="0089477C">
      <w:pPr>
        <w:spacing w:line="360" w:lineRule="auto"/>
        <w:jc w:val="both"/>
        <w:rPr>
          <w:sz w:val="22"/>
          <w:szCs w:val="22"/>
        </w:rPr>
      </w:pPr>
      <w:r w:rsidRPr="0089477C">
        <w:rPr>
          <w:rFonts w:ascii="Arial" w:hAnsi="Arial"/>
          <w:b/>
          <w:sz w:val="22"/>
          <w:szCs w:val="22"/>
        </w:rPr>
        <w:t xml:space="preserve">Table 2. ROC analysis results for IL-1β </w:t>
      </w:r>
      <w:proofErr w:type="spellStart"/>
      <w:r w:rsidRPr="0089477C">
        <w:rPr>
          <w:rFonts w:ascii="Arial" w:hAnsi="Arial"/>
          <w:b/>
          <w:sz w:val="22"/>
          <w:szCs w:val="22"/>
        </w:rPr>
        <w:t>immunoscore</w:t>
      </w:r>
      <w:proofErr w:type="spellEnd"/>
      <w:r w:rsidRPr="0089477C">
        <w:rPr>
          <w:rFonts w:ascii="Arial" w:hAnsi="Arial"/>
          <w:b/>
          <w:sz w:val="22"/>
          <w:szCs w:val="22"/>
        </w:rPr>
        <w:t xml:space="preserve"> cut-off</w:t>
      </w:r>
    </w:p>
    <w:tbl>
      <w:tblPr>
        <w:tblStyle w:val="TableGrid"/>
        <w:tblW w:w="0" w:type="auto"/>
        <w:jc w:val="center"/>
        <w:tblLook w:val="04A0" w:firstRow="1" w:lastRow="0" w:firstColumn="1" w:lastColumn="0" w:noHBand="0" w:noVBand="1"/>
      </w:tblPr>
      <w:tblGrid>
        <w:gridCol w:w="1632"/>
        <w:gridCol w:w="1632"/>
        <w:gridCol w:w="1634"/>
        <w:gridCol w:w="1632"/>
        <w:gridCol w:w="1668"/>
      </w:tblGrid>
      <w:tr w:rsidR="003E0CB5" w:rsidRPr="0089477C" w14:paraId="2EC05294" w14:textId="77777777" w:rsidTr="0008247C">
        <w:trPr>
          <w:jc w:val="center"/>
        </w:trPr>
        <w:tc>
          <w:tcPr>
            <w:tcW w:w="1768" w:type="dxa"/>
          </w:tcPr>
          <w:p w14:paraId="6D87EEE0" w14:textId="77777777" w:rsidR="003E0CB5" w:rsidRPr="0089477C" w:rsidRDefault="003E0CB5" w:rsidP="0089477C">
            <w:pPr>
              <w:spacing w:line="360" w:lineRule="auto"/>
              <w:jc w:val="both"/>
            </w:pPr>
            <w:r w:rsidRPr="0089477C">
              <w:rPr>
                <w:rFonts w:ascii="Arial" w:hAnsi="Arial"/>
                <w:b/>
              </w:rPr>
              <w:t>AUC</w:t>
            </w:r>
          </w:p>
        </w:tc>
        <w:tc>
          <w:tcPr>
            <w:tcW w:w="1768" w:type="dxa"/>
          </w:tcPr>
          <w:p w14:paraId="12E3F2AD" w14:textId="77777777" w:rsidR="003E0CB5" w:rsidRPr="0089477C" w:rsidRDefault="003E0CB5" w:rsidP="0089477C">
            <w:pPr>
              <w:spacing w:line="360" w:lineRule="auto"/>
              <w:jc w:val="both"/>
            </w:pPr>
            <w:r w:rsidRPr="0089477C">
              <w:rPr>
                <w:rFonts w:ascii="Arial" w:hAnsi="Arial"/>
                <w:b/>
              </w:rPr>
              <w:t>Std. Error</w:t>
            </w:r>
          </w:p>
        </w:tc>
        <w:tc>
          <w:tcPr>
            <w:tcW w:w="1768" w:type="dxa"/>
          </w:tcPr>
          <w:p w14:paraId="4DE18E85" w14:textId="77777777" w:rsidR="003E0CB5" w:rsidRPr="0089477C" w:rsidRDefault="003E0CB5" w:rsidP="0089477C">
            <w:pPr>
              <w:spacing w:line="360" w:lineRule="auto"/>
              <w:jc w:val="both"/>
            </w:pPr>
            <w:r w:rsidRPr="0089477C">
              <w:rPr>
                <w:rFonts w:ascii="Arial" w:hAnsi="Arial"/>
                <w:b/>
              </w:rPr>
              <w:t>P value</w:t>
            </w:r>
          </w:p>
        </w:tc>
        <w:tc>
          <w:tcPr>
            <w:tcW w:w="1768" w:type="dxa"/>
          </w:tcPr>
          <w:p w14:paraId="61255C95" w14:textId="77777777" w:rsidR="003E0CB5" w:rsidRPr="0089477C" w:rsidRDefault="003E0CB5" w:rsidP="0089477C">
            <w:pPr>
              <w:spacing w:line="360" w:lineRule="auto"/>
              <w:jc w:val="both"/>
            </w:pPr>
            <w:r w:rsidRPr="0089477C">
              <w:rPr>
                <w:rFonts w:ascii="Arial" w:hAnsi="Arial"/>
                <w:b/>
              </w:rPr>
              <w:t>95% CI</w:t>
            </w:r>
          </w:p>
        </w:tc>
        <w:tc>
          <w:tcPr>
            <w:tcW w:w="1768" w:type="dxa"/>
          </w:tcPr>
          <w:p w14:paraId="715D98EB" w14:textId="77777777" w:rsidR="003E0CB5" w:rsidRPr="0089477C" w:rsidRDefault="003E0CB5" w:rsidP="0089477C">
            <w:pPr>
              <w:spacing w:line="360" w:lineRule="auto"/>
              <w:jc w:val="both"/>
            </w:pPr>
            <w:r w:rsidRPr="0089477C">
              <w:rPr>
                <w:rFonts w:ascii="Arial" w:hAnsi="Arial"/>
                <w:b/>
              </w:rPr>
              <w:t>Optimal Cut-off</w:t>
            </w:r>
          </w:p>
        </w:tc>
      </w:tr>
      <w:tr w:rsidR="003E0CB5" w:rsidRPr="0089477C" w14:paraId="2245E1D4" w14:textId="77777777" w:rsidTr="0008247C">
        <w:trPr>
          <w:jc w:val="center"/>
        </w:trPr>
        <w:tc>
          <w:tcPr>
            <w:tcW w:w="1768" w:type="dxa"/>
          </w:tcPr>
          <w:p w14:paraId="232CBE20" w14:textId="77777777" w:rsidR="003E0CB5" w:rsidRPr="0089477C" w:rsidRDefault="003E0CB5" w:rsidP="0089477C">
            <w:pPr>
              <w:spacing w:line="360" w:lineRule="auto"/>
              <w:jc w:val="both"/>
            </w:pPr>
            <w:r w:rsidRPr="0089477C">
              <w:rPr>
                <w:rFonts w:ascii="Arial" w:hAnsi="Arial"/>
              </w:rPr>
              <w:t>0.706</w:t>
            </w:r>
          </w:p>
        </w:tc>
        <w:tc>
          <w:tcPr>
            <w:tcW w:w="1768" w:type="dxa"/>
          </w:tcPr>
          <w:p w14:paraId="06869A9C" w14:textId="77777777" w:rsidR="003E0CB5" w:rsidRPr="0089477C" w:rsidRDefault="003E0CB5" w:rsidP="0089477C">
            <w:pPr>
              <w:spacing w:line="360" w:lineRule="auto"/>
              <w:jc w:val="both"/>
            </w:pPr>
            <w:r w:rsidRPr="0089477C">
              <w:rPr>
                <w:rFonts w:ascii="Arial" w:hAnsi="Arial"/>
              </w:rPr>
              <w:t>0.085</w:t>
            </w:r>
          </w:p>
        </w:tc>
        <w:tc>
          <w:tcPr>
            <w:tcW w:w="1768" w:type="dxa"/>
          </w:tcPr>
          <w:p w14:paraId="74E602FF" w14:textId="77777777" w:rsidR="003E0CB5" w:rsidRPr="0089477C" w:rsidRDefault="003E0CB5" w:rsidP="0089477C">
            <w:pPr>
              <w:spacing w:line="360" w:lineRule="auto"/>
              <w:jc w:val="both"/>
            </w:pPr>
            <w:r w:rsidRPr="0089477C">
              <w:rPr>
                <w:rFonts w:ascii="Arial" w:hAnsi="Arial"/>
              </w:rPr>
              <w:t>.015</w:t>
            </w:r>
          </w:p>
        </w:tc>
        <w:tc>
          <w:tcPr>
            <w:tcW w:w="1768" w:type="dxa"/>
          </w:tcPr>
          <w:p w14:paraId="370DF6E9" w14:textId="77777777" w:rsidR="003E0CB5" w:rsidRPr="0089477C" w:rsidRDefault="003E0CB5" w:rsidP="0089477C">
            <w:pPr>
              <w:spacing w:line="360" w:lineRule="auto"/>
              <w:jc w:val="both"/>
            </w:pPr>
            <w:r w:rsidRPr="0089477C">
              <w:rPr>
                <w:rFonts w:ascii="Arial" w:hAnsi="Arial"/>
              </w:rPr>
              <w:t>0.54–0.87</w:t>
            </w:r>
          </w:p>
        </w:tc>
        <w:tc>
          <w:tcPr>
            <w:tcW w:w="1768" w:type="dxa"/>
          </w:tcPr>
          <w:p w14:paraId="2DC60F4E" w14:textId="77777777" w:rsidR="003E0CB5" w:rsidRPr="0089477C" w:rsidRDefault="003E0CB5" w:rsidP="0089477C">
            <w:pPr>
              <w:spacing w:line="360" w:lineRule="auto"/>
              <w:jc w:val="both"/>
            </w:pPr>
            <w:r w:rsidRPr="0089477C">
              <w:rPr>
                <w:rFonts w:ascii="Arial" w:hAnsi="Arial"/>
              </w:rPr>
              <w:t>≥2.5</w:t>
            </w:r>
          </w:p>
        </w:tc>
      </w:tr>
    </w:tbl>
    <w:p w14:paraId="6DF54839" w14:textId="77777777" w:rsidR="003E0CB5" w:rsidRPr="0089477C" w:rsidRDefault="003E0CB5" w:rsidP="0089477C">
      <w:pPr>
        <w:spacing w:line="360" w:lineRule="auto"/>
        <w:jc w:val="both"/>
        <w:rPr>
          <w:sz w:val="22"/>
          <w:szCs w:val="22"/>
        </w:rPr>
      </w:pPr>
      <w:r w:rsidRPr="0089477C">
        <w:rPr>
          <w:rFonts w:ascii="Arial" w:hAnsi="Arial"/>
          <w:b/>
          <w:sz w:val="22"/>
          <w:szCs w:val="22"/>
        </w:rPr>
        <w:t>3.3 Elevated ALP as a Risk Factor for MBD</w:t>
      </w:r>
    </w:p>
    <w:p w14:paraId="75E0941C" w14:textId="77777777" w:rsidR="003E0CB5" w:rsidRPr="0089477C" w:rsidRDefault="003E0CB5" w:rsidP="0089477C">
      <w:pPr>
        <w:spacing w:line="360" w:lineRule="auto"/>
        <w:jc w:val="both"/>
        <w:rPr>
          <w:sz w:val="22"/>
          <w:szCs w:val="22"/>
        </w:rPr>
      </w:pPr>
      <w:r w:rsidRPr="0089477C">
        <w:rPr>
          <w:rFonts w:ascii="Arial" w:hAnsi="Arial"/>
          <w:sz w:val="22"/>
          <w:szCs w:val="22"/>
        </w:rPr>
        <w:t>Bivariate analysis demonstrated a statistically significant association between elevated ALP levels and the occurrence of bone metastasis (Table 3). Among patients in the MBD group, 53.8% exhibited high ALP levels compared to only 10.0% in the non-MBD group (P = .002). The odds ratio was 10.50 (95% CI: 2.01–54.77), indicating that patients with elevated ALP had a 10.5-fold greater likelihood of developing bone metastasis compared to those with normal ALP levels.</w:t>
      </w:r>
    </w:p>
    <w:p w14:paraId="439EFB78" w14:textId="77777777" w:rsidR="003E0CB5" w:rsidRPr="0089477C" w:rsidRDefault="003E0CB5" w:rsidP="0089477C">
      <w:pPr>
        <w:spacing w:line="360" w:lineRule="auto"/>
        <w:jc w:val="both"/>
        <w:rPr>
          <w:sz w:val="22"/>
          <w:szCs w:val="22"/>
        </w:rPr>
      </w:pPr>
      <w:r w:rsidRPr="0089477C">
        <w:rPr>
          <w:rFonts w:ascii="Arial" w:hAnsi="Arial"/>
          <w:b/>
          <w:sz w:val="22"/>
          <w:szCs w:val="22"/>
        </w:rPr>
        <w:t>Table 3. Bivariate analysis of ALP levels and MBD</w:t>
      </w:r>
    </w:p>
    <w:tbl>
      <w:tblPr>
        <w:tblStyle w:val="TableGrid"/>
        <w:tblW w:w="0" w:type="auto"/>
        <w:jc w:val="center"/>
        <w:tblLook w:val="04A0" w:firstRow="1" w:lastRow="0" w:firstColumn="1" w:lastColumn="0" w:noHBand="0" w:noVBand="1"/>
      </w:tblPr>
      <w:tblGrid>
        <w:gridCol w:w="1674"/>
        <w:gridCol w:w="1645"/>
        <w:gridCol w:w="1645"/>
        <w:gridCol w:w="1612"/>
        <w:gridCol w:w="1622"/>
      </w:tblGrid>
      <w:tr w:rsidR="003E0CB5" w:rsidRPr="0089477C" w14:paraId="68506507" w14:textId="77777777" w:rsidTr="0008247C">
        <w:trPr>
          <w:jc w:val="center"/>
        </w:trPr>
        <w:tc>
          <w:tcPr>
            <w:tcW w:w="1768" w:type="dxa"/>
          </w:tcPr>
          <w:p w14:paraId="452209D4" w14:textId="77777777" w:rsidR="003E0CB5" w:rsidRPr="0089477C" w:rsidRDefault="003E0CB5" w:rsidP="0089477C">
            <w:pPr>
              <w:spacing w:line="360" w:lineRule="auto"/>
              <w:jc w:val="both"/>
            </w:pPr>
            <w:r w:rsidRPr="0089477C">
              <w:rPr>
                <w:rFonts w:ascii="Arial" w:hAnsi="Arial"/>
                <w:b/>
              </w:rPr>
              <w:t>ALP Category</w:t>
            </w:r>
          </w:p>
        </w:tc>
        <w:tc>
          <w:tcPr>
            <w:tcW w:w="1768" w:type="dxa"/>
          </w:tcPr>
          <w:p w14:paraId="45DFDEAF" w14:textId="77777777" w:rsidR="003E0CB5" w:rsidRPr="0089477C" w:rsidRDefault="003E0CB5" w:rsidP="0089477C">
            <w:pPr>
              <w:spacing w:line="360" w:lineRule="auto"/>
              <w:jc w:val="both"/>
            </w:pPr>
            <w:r w:rsidRPr="0089477C">
              <w:rPr>
                <w:rFonts w:ascii="Arial" w:hAnsi="Arial"/>
                <w:b/>
              </w:rPr>
              <w:t>MBD (n=26)</w:t>
            </w:r>
          </w:p>
        </w:tc>
        <w:tc>
          <w:tcPr>
            <w:tcW w:w="1768" w:type="dxa"/>
          </w:tcPr>
          <w:p w14:paraId="386EC328" w14:textId="77777777" w:rsidR="003E0CB5" w:rsidRPr="0089477C" w:rsidRDefault="003E0CB5" w:rsidP="0089477C">
            <w:pPr>
              <w:spacing w:line="360" w:lineRule="auto"/>
              <w:jc w:val="both"/>
            </w:pPr>
            <w:r w:rsidRPr="0089477C">
              <w:rPr>
                <w:rFonts w:ascii="Arial" w:hAnsi="Arial"/>
                <w:b/>
              </w:rPr>
              <w:t>Non-MBD (n=20)</w:t>
            </w:r>
          </w:p>
        </w:tc>
        <w:tc>
          <w:tcPr>
            <w:tcW w:w="1768" w:type="dxa"/>
          </w:tcPr>
          <w:p w14:paraId="0C41985F" w14:textId="77777777" w:rsidR="003E0CB5" w:rsidRPr="0089477C" w:rsidRDefault="003E0CB5" w:rsidP="0089477C">
            <w:pPr>
              <w:spacing w:line="360" w:lineRule="auto"/>
              <w:jc w:val="both"/>
            </w:pPr>
            <w:r w:rsidRPr="0089477C">
              <w:rPr>
                <w:rFonts w:ascii="Arial" w:hAnsi="Arial"/>
                <w:b/>
              </w:rPr>
              <w:t>P value</w:t>
            </w:r>
          </w:p>
        </w:tc>
        <w:tc>
          <w:tcPr>
            <w:tcW w:w="1768" w:type="dxa"/>
          </w:tcPr>
          <w:p w14:paraId="4B7F28E3" w14:textId="77777777" w:rsidR="003E0CB5" w:rsidRPr="0089477C" w:rsidRDefault="003E0CB5" w:rsidP="0089477C">
            <w:pPr>
              <w:spacing w:line="360" w:lineRule="auto"/>
              <w:jc w:val="both"/>
            </w:pPr>
            <w:r w:rsidRPr="0089477C">
              <w:rPr>
                <w:rFonts w:ascii="Arial" w:hAnsi="Arial"/>
                <w:b/>
              </w:rPr>
              <w:t>OR (95% CI)</w:t>
            </w:r>
          </w:p>
        </w:tc>
      </w:tr>
      <w:tr w:rsidR="003E0CB5" w:rsidRPr="0089477C" w14:paraId="50F1A350" w14:textId="77777777" w:rsidTr="0008247C">
        <w:trPr>
          <w:jc w:val="center"/>
        </w:trPr>
        <w:tc>
          <w:tcPr>
            <w:tcW w:w="1768" w:type="dxa"/>
          </w:tcPr>
          <w:p w14:paraId="6F40B234" w14:textId="77777777" w:rsidR="003E0CB5" w:rsidRPr="0089477C" w:rsidRDefault="003E0CB5" w:rsidP="0089477C">
            <w:pPr>
              <w:spacing w:line="360" w:lineRule="auto"/>
              <w:jc w:val="both"/>
            </w:pPr>
            <w:r w:rsidRPr="0089477C">
              <w:rPr>
                <w:rFonts w:ascii="Arial" w:hAnsi="Arial"/>
              </w:rPr>
              <w:t>High (≥100 U/L)</w:t>
            </w:r>
          </w:p>
        </w:tc>
        <w:tc>
          <w:tcPr>
            <w:tcW w:w="1768" w:type="dxa"/>
          </w:tcPr>
          <w:p w14:paraId="20016DFA" w14:textId="77777777" w:rsidR="003E0CB5" w:rsidRPr="0089477C" w:rsidRDefault="003E0CB5" w:rsidP="0089477C">
            <w:pPr>
              <w:spacing w:line="360" w:lineRule="auto"/>
              <w:jc w:val="both"/>
            </w:pPr>
            <w:r w:rsidRPr="0089477C">
              <w:rPr>
                <w:rFonts w:ascii="Arial" w:hAnsi="Arial"/>
              </w:rPr>
              <w:t>14 (53.8%)</w:t>
            </w:r>
          </w:p>
        </w:tc>
        <w:tc>
          <w:tcPr>
            <w:tcW w:w="1768" w:type="dxa"/>
          </w:tcPr>
          <w:p w14:paraId="71E4D7AC" w14:textId="77777777" w:rsidR="003E0CB5" w:rsidRPr="0089477C" w:rsidRDefault="003E0CB5" w:rsidP="0089477C">
            <w:pPr>
              <w:spacing w:line="360" w:lineRule="auto"/>
              <w:jc w:val="both"/>
            </w:pPr>
            <w:r w:rsidRPr="0089477C">
              <w:rPr>
                <w:rFonts w:ascii="Arial" w:hAnsi="Arial"/>
              </w:rPr>
              <w:t>2 (10.0%)</w:t>
            </w:r>
          </w:p>
        </w:tc>
        <w:tc>
          <w:tcPr>
            <w:tcW w:w="1768" w:type="dxa"/>
          </w:tcPr>
          <w:p w14:paraId="7332E91A" w14:textId="77777777" w:rsidR="003E0CB5" w:rsidRPr="0089477C" w:rsidRDefault="003E0CB5" w:rsidP="0089477C">
            <w:pPr>
              <w:spacing w:line="360" w:lineRule="auto"/>
              <w:jc w:val="both"/>
            </w:pPr>
            <w:r w:rsidRPr="0089477C">
              <w:rPr>
                <w:rFonts w:ascii="Arial" w:hAnsi="Arial"/>
              </w:rPr>
              <w:t>.002</w:t>
            </w:r>
          </w:p>
        </w:tc>
        <w:tc>
          <w:tcPr>
            <w:tcW w:w="1768" w:type="dxa"/>
          </w:tcPr>
          <w:p w14:paraId="032581CF" w14:textId="77777777" w:rsidR="003E0CB5" w:rsidRPr="0089477C" w:rsidRDefault="003E0CB5" w:rsidP="0089477C">
            <w:pPr>
              <w:spacing w:line="360" w:lineRule="auto"/>
              <w:jc w:val="both"/>
            </w:pPr>
            <w:r w:rsidRPr="0089477C">
              <w:rPr>
                <w:rFonts w:ascii="Arial" w:hAnsi="Arial"/>
              </w:rPr>
              <w:t>10.50 (2.01–54.77)</w:t>
            </w:r>
          </w:p>
        </w:tc>
      </w:tr>
      <w:tr w:rsidR="003E0CB5" w:rsidRPr="0089477C" w14:paraId="6F8B1888" w14:textId="77777777" w:rsidTr="0008247C">
        <w:trPr>
          <w:jc w:val="center"/>
        </w:trPr>
        <w:tc>
          <w:tcPr>
            <w:tcW w:w="1768" w:type="dxa"/>
          </w:tcPr>
          <w:p w14:paraId="611307FC" w14:textId="77777777" w:rsidR="003E0CB5" w:rsidRPr="0089477C" w:rsidRDefault="003E0CB5" w:rsidP="0089477C">
            <w:pPr>
              <w:spacing w:line="360" w:lineRule="auto"/>
              <w:jc w:val="both"/>
            </w:pPr>
            <w:r w:rsidRPr="0089477C">
              <w:rPr>
                <w:rFonts w:ascii="Arial" w:hAnsi="Arial"/>
              </w:rPr>
              <w:lastRenderedPageBreak/>
              <w:t>Low (&lt;100 U/L)</w:t>
            </w:r>
          </w:p>
        </w:tc>
        <w:tc>
          <w:tcPr>
            <w:tcW w:w="1768" w:type="dxa"/>
          </w:tcPr>
          <w:p w14:paraId="322629D0" w14:textId="77777777" w:rsidR="003E0CB5" w:rsidRPr="0089477C" w:rsidRDefault="003E0CB5" w:rsidP="0089477C">
            <w:pPr>
              <w:spacing w:line="360" w:lineRule="auto"/>
              <w:jc w:val="both"/>
            </w:pPr>
            <w:r w:rsidRPr="0089477C">
              <w:rPr>
                <w:rFonts w:ascii="Arial" w:hAnsi="Arial"/>
              </w:rPr>
              <w:t>12 (46.2%)</w:t>
            </w:r>
          </w:p>
        </w:tc>
        <w:tc>
          <w:tcPr>
            <w:tcW w:w="1768" w:type="dxa"/>
          </w:tcPr>
          <w:p w14:paraId="7D1ECD2D" w14:textId="77777777" w:rsidR="003E0CB5" w:rsidRPr="0089477C" w:rsidRDefault="003E0CB5" w:rsidP="0089477C">
            <w:pPr>
              <w:spacing w:line="360" w:lineRule="auto"/>
              <w:jc w:val="both"/>
            </w:pPr>
            <w:r w:rsidRPr="0089477C">
              <w:rPr>
                <w:rFonts w:ascii="Arial" w:hAnsi="Arial"/>
              </w:rPr>
              <w:t>18 (90.0%)</w:t>
            </w:r>
          </w:p>
        </w:tc>
        <w:tc>
          <w:tcPr>
            <w:tcW w:w="1768" w:type="dxa"/>
          </w:tcPr>
          <w:p w14:paraId="21B23587" w14:textId="77777777" w:rsidR="003E0CB5" w:rsidRPr="0089477C" w:rsidRDefault="003E0CB5" w:rsidP="0089477C">
            <w:pPr>
              <w:spacing w:line="360" w:lineRule="auto"/>
              <w:jc w:val="both"/>
            </w:pPr>
          </w:p>
        </w:tc>
        <w:tc>
          <w:tcPr>
            <w:tcW w:w="1768" w:type="dxa"/>
          </w:tcPr>
          <w:p w14:paraId="4CBC5163" w14:textId="77777777" w:rsidR="003E0CB5" w:rsidRPr="0089477C" w:rsidRDefault="003E0CB5" w:rsidP="0089477C">
            <w:pPr>
              <w:spacing w:line="360" w:lineRule="auto"/>
              <w:jc w:val="both"/>
            </w:pPr>
          </w:p>
        </w:tc>
      </w:tr>
    </w:tbl>
    <w:p w14:paraId="463903E1" w14:textId="77777777" w:rsidR="003E0CB5" w:rsidRPr="0089477C" w:rsidRDefault="003E0CB5" w:rsidP="0089477C">
      <w:pPr>
        <w:spacing w:line="360" w:lineRule="auto"/>
        <w:jc w:val="both"/>
        <w:rPr>
          <w:sz w:val="22"/>
          <w:szCs w:val="22"/>
        </w:rPr>
      </w:pPr>
      <w:r w:rsidRPr="0089477C">
        <w:rPr>
          <w:rFonts w:ascii="Arial" w:hAnsi="Arial"/>
          <w:sz w:val="22"/>
          <w:szCs w:val="22"/>
        </w:rPr>
        <w:t>These findings are consistent with published literature identifying ALP as a sensitive indicator of bone remodeling activity in the context of metastatic disease. The bone-specific isoform (BAP), released by osteoblasts during reparative bone activity, has been established as a reliable marker for detecting both bone and hepatic metastases in breast cancer (Thio et al., 2020). The strong association observed in this study reinforces the clinical utility of ALP as an early screening tool for MBD in advanced breast cancer patients.</w:t>
      </w:r>
    </w:p>
    <w:p w14:paraId="1456ACED" w14:textId="77777777" w:rsidR="003E0CB5" w:rsidRPr="0089477C" w:rsidRDefault="003E0CB5" w:rsidP="0089477C">
      <w:pPr>
        <w:spacing w:line="360" w:lineRule="auto"/>
        <w:jc w:val="both"/>
        <w:rPr>
          <w:sz w:val="22"/>
          <w:szCs w:val="22"/>
        </w:rPr>
      </w:pPr>
      <w:r w:rsidRPr="0089477C">
        <w:rPr>
          <w:rFonts w:ascii="Arial" w:hAnsi="Arial"/>
          <w:b/>
          <w:sz w:val="22"/>
          <w:szCs w:val="22"/>
        </w:rPr>
        <w:t>3.4 Elevated LDH as a Risk Factor for MBD</w:t>
      </w:r>
    </w:p>
    <w:p w14:paraId="5C34BFEF" w14:textId="77777777" w:rsidR="003E0CB5" w:rsidRPr="0089477C" w:rsidRDefault="003E0CB5" w:rsidP="0089477C">
      <w:pPr>
        <w:spacing w:line="360" w:lineRule="auto"/>
        <w:jc w:val="both"/>
        <w:rPr>
          <w:sz w:val="22"/>
          <w:szCs w:val="22"/>
        </w:rPr>
      </w:pPr>
      <w:r w:rsidRPr="0089477C">
        <w:rPr>
          <w:rFonts w:ascii="Arial" w:hAnsi="Arial"/>
          <w:sz w:val="22"/>
          <w:szCs w:val="22"/>
        </w:rPr>
        <w:t>High LDH levels were significantly associated with MBD (Table 4). In the MBD group, 88.5% of patients had elevated LDH, compared to 50.0% in the non-MBD group (P = .004; OR = 7.60; 95% CI: 1.70–33.90). This finding aligns with the known biological role of LDH in tumor metabolism. Cancer cells preferentially metabolize glucose through aerobic glycolysis (the Warburg effect), driven by HIF-1α-mediated upregulation of glycolytic enzymes including LDH, resulting in elevated serum LDH levels (Zhang et al., 2015). Higher baseline LDH has been consistently associated with worse prognosis and increased metastatic potential across multiple solid tumors.</w:t>
      </w:r>
    </w:p>
    <w:p w14:paraId="6EB42ABC" w14:textId="77777777" w:rsidR="003E0CB5" w:rsidRPr="0089477C" w:rsidRDefault="003E0CB5" w:rsidP="0089477C">
      <w:pPr>
        <w:spacing w:line="360" w:lineRule="auto"/>
        <w:jc w:val="both"/>
        <w:rPr>
          <w:sz w:val="22"/>
          <w:szCs w:val="22"/>
        </w:rPr>
      </w:pPr>
      <w:r w:rsidRPr="0089477C">
        <w:rPr>
          <w:rFonts w:ascii="Arial" w:hAnsi="Arial"/>
          <w:b/>
          <w:sz w:val="22"/>
          <w:szCs w:val="22"/>
        </w:rPr>
        <w:t>Table 4. Bivariate analysis of LDH levels and MBD</w:t>
      </w:r>
    </w:p>
    <w:tbl>
      <w:tblPr>
        <w:tblStyle w:val="TableGrid"/>
        <w:tblW w:w="0" w:type="auto"/>
        <w:jc w:val="center"/>
        <w:tblLook w:val="04A0" w:firstRow="1" w:lastRow="0" w:firstColumn="1" w:lastColumn="0" w:noHBand="0" w:noVBand="1"/>
      </w:tblPr>
      <w:tblGrid>
        <w:gridCol w:w="1674"/>
        <w:gridCol w:w="1645"/>
        <w:gridCol w:w="1645"/>
        <w:gridCol w:w="1612"/>
        <w:gridCol w:w="1622"/>
      </w:tblGrid>
      <w:tr w:rsidR="003E0CB5" w:rsidRPr="0089477C" w14:paraId="6347B9C6" w14:textId="77777777" w:rsidTr="0008247C">
        <w:trPr>
          <w:jc w:val="center"/>
        </w:trPr>
        <w:tc>
          <w:tcPr>
            <w:tcW w:w="1768" w:type="dxa"/>
          </w:tcPr>
          <w:p w14:paraId="10D85241" w14:textId="77777777" w:rsidR="003E0CB5" w:rsidRPr="0089477C" w:rsidRDefault="003E0CB5" w:rsidP="0089477C">
            <w:pPr>
              <w:spacing w:line="360" w:lineRule="auto"/>
              <w:jc w:val="both"/>
            </w:pPr>
            <w:r w:rsidRPr="0089477C">
              <w:rPr>
                <w:rFonts w:ascii="Arial" w:hAnsi="Arial"/>
                <w:b/>
              </w:rPr>
              <w:t>LDH Category</w:t>
            </w:r>
          </w:p>
        </w:tc>
        <w:tc>
          <w:tcPr>
            <w:tcW w:w="1768" w:type="dxa"/>
          </w:tcPr>
          <w:p w14:paraId="55D846ED" w14:textId="77777777" w:rsidR="003E0CB5" w:rsidRPr="0089477C" w:rsidRDefault="003E0CB5" w:rsidP="0089477C">
            <w:pPr>
              <w:spacing w:line="360" w:lineRule="auto"/>
              <w:jc w:val="both"/>
            </w:pPr>
            <w:r w:rsidRPr="0089477C">
              <w:rPr>
                <w:rFonts w:ascii="Arial" w:hAnsi="Arial"/>
                <w:b/>
              </w:rPr>
              <w:t>MBD (n=26)</w:t>
            </w:r>
          </w:p>
        </w:tc>
        <w:tc>
          <w:tcPr>
            <w:tcW w:w="1768" w:type="dxa"/>
          </w:tcPr>
          <w:p w14:paraId="6525DE98" w14:textId="77777777" w:rsidR="003E0CB5" w:rsidRPr="0089477C" w:rsidRDefault="003E0CB5" w:rsidP="0089477C">
            <w:pPr>
              <w:spacing w:line="360" w:lineRule="auto"/>
              <w:jc w:val="both"/>
            </w:pPr>
            <w:r w:rsidRPr="0089477C">
              <w:rPr>
                <w:rFonts w:ascii="Arial" w:hAnsi="Arial"/>
                <w:b/>
              </w:rPr>
              <w:t>Non-MBD (n=20)</w:t>
            </w:r>
          </w:p>
        </w:tc>
        <w:tc>
          <w:tcPr>
            <w:tcW w:w="1768" w:type="dxa"/>
          </w:tcPr>
          <w:p w14:paraId="78D947A7" w14:textId="77777777" w:rsidR="003E0CB5" w:rsidRPr="0089477C" w:rsidRDefault="003E0CB5" w:rsidP="0089477C">
            <w:pPr>
              <w:spacing w:line="360" w:lineRule="auto"/>
              <w:jc w:val="both"/>
            </w:pPr>
            <w:r w:rsidRPr="0089477C">
              <w:rPr>
                <w:rFonts w:ascii="Arial" w:hAnsi="Arial"/>
                <w:b/>
              </w:rPr>
              <w:t>P value</w:t>
            </w:r>
          </w:p>
        </w:tc>
        <w:tc>
          <w:tcPr>
            <w:tcW w:w="1768" w:type="dxa"/>
          </w:tcPr>
          <w:p w14:paraId="429EDB16" w14:textId="77777777" w:rsidR="003E0CB5" w:rsidRPr="0089477C" w:rsidRDefault="003E0CB5" w:rsidP="0089477C">
            <w:pPr>
              <w:spacing w:line="360" w:lineRule="auto"/>
              <w:jc w:val="both"/>
            </w:pPr>
            <w:r w:rsidRPr="0089477C">
              <w:rPr>
                <w:rFonts w:ascii="Arial" w:hAnsi="Arial"/>
                <w:b/>
              </w:rPr>
              <w:t>OR (95% CI)</w:t>
            </w:r>
          </w:p>
        </w:tc>
      </w:tr>
      <w:tr w:rsidR="003E0CB5" w:rsidRPr="0089477C" w14:paraId="0AC34B3E" w14:textId="77777777" w:rsidTr="0008247C">
        <w:trPr>
          <w:jc w:val="center"/>
        </w:trPr>
        <w:tc>
          <w:tcPr>
            <w:tcW w:w="1768" w:type="dxa"/>
          </w:tcPr>
          <w:p w14:paraId="51AED884" w14:textId="77777777" w:rsidR="003E0CB5" w:rsidRPr="0089477C" w:rsidRDefault="003E0CB5" w:rsidP="0089477C">
            <w:pPr>
              <w:spacing w:line="360" w:lineRule="auto"/>
              <w:jc w:val="both"/>
            </w:pPr>
            <w:r w:rsidRPr="0089477C">
              <w:rPr>
                <w:rFonts w:ascii="Arial" w:hAnsi="Arial"/>
              </w:rPr>
              <w:t>High (≥210 U/mL)</w:t>
            </w:r>
          </w:p>
        </w:tc>
        <w:tc>
          <w:tcPr>
            <w:tcW w:w="1768" w:type="dxa"/>
          </w:tcPr>
          <w:p w14:paraId="3BB515E5" w14:textId="77777777" w:rsidR="003E0CB5" w:rsidRPr="0089477C" w:rsidRDefault="003E0CB5" w:rsidP="0089477C">
            <w:pPr>
              <w:spacing w:line="360" w:lineRule="auto"/>
              <w:jc w:val="both"/>
            </w:pPr>
            <w:r w:rsidRPr="0089477C">
              <w:rPr>
                <w:rFonts w:ascii="Arial" w:hAnsi="Arial"/>
              </w:rPr>
              <w:t>23 (88.5%)</w:t>
            </w:r>
          </w:p>
        </w:tc>
        <w:tc>
          <w:tcPr>
            <w:tcW w:w="1768" w:type="dxa"/>
          </w:tcPr>
          <w:p w14:paraId="2D15D925" w14:textId="77777777" w:rsidR="003E0CB5" w:rsidRPr="0089477C" w:rsidRDefault="003E0CB5" w:rsidP="0089477C">
            <w:pPr>
              <w:spacing w:line="360" w:lineRule="auto"/>
              <w:jc w:val="both"/>
            </w:pPr>
            <w:r w:rsidRPr="0089477C">
              <w:rPr>
                <w:rFonts w:ascii="Arial" w:hAnsi="Arial"/>
              </w:rPr>
              <w:t>10 (50.0%)</w:t>
            </w:r>
          </w:p>
        </w:tc>
        <w:tc>
          <w:tcPr>
            <w:tcW w:w="1768" w:type="dxa"/>
          </w:tcPr>
          <w:p w14:paraId="3A3829F2" w14:textId="77777777" w:rsidR="003E0CB5" w:rsidRPr="0089477C" w:rsidRDefault="003E0CB5" w:rsidP="0089477C">
            <w:pPr>
              <w:spacing w:line="360" w:lineRule="auto"/>
              <w:jc w:val="both"/>
            </w:pPr>
            <w:r w:rsidRPr="0089477C">
              <w:rPr>
                <w:rFonts w:ascii="Arial" w:hAnsi="Arial"/>
              </w:rPr>
              <w:t>.004</w:t>
            </w:r>
          </w:p>
        </w:tc>
        <w:tc>
          <w:tcPr>
            <w:tcW w:w="1768" w:type="dxa"/>
          </w:tcPr>
          <w:p w14:paraId="17AE0A06" w14:textId="77777777" w:rsidR="003E0CB5" w:rsidRPr="0089477C" w:rsidRDefault="003E0CB5" w:rsidP="0089477C">
            <w:pPr>
              <w:spacing w:line="360" w:lineRule="auto"/>
              <w:jc w:val="both"/>
            </w:pPr>
            <w:r w:rsidRPr="0089477C">
              <w:rPr>
                <w:rFonts w:ascii="Arial" w:hAnsi="Arial"/>
              </w:rPr>
              <w:t>7.60 (1.70–33.90)</w:t>
            </w:r>
          </w:p>
        </w:tc>
      </w:tr>
      <w:tr w:rsidR="003E0CB5" w:rsidRPr="0089477C" w14:paraId="2095C50D" w14:textId="77777777" w:rsidTr="0008247C">
        <w:trPr>
          <w:jc w:val="center"/>
        </w:trPr>
        <w:tc>
          <w:tcPr>
            <w:tcW w:w="1768" w:type="dxa"/>
          </w:tcPr>
          <w:p w14:paraId="012A52CF" w14:textId="77777777" w:rsidR="003E0CB5" w:rsidRPr="0089477C" w:rsidRDefault="003E0CB5" w:rsidP="0089477C">
            <w:pPr>
              <w:spacing w:line="360" w:lineRule="auto"/>
              <w:jc w:val="both"/>
            </w:pPr>
            <w:r w:rsidRPr="0089477C">
              <w:rPr>
                <w:rFonts w:ascii="Arial" w:hAnsi="Arial"/>
              </w:rPr>
              <w:t>Low (&lt;210 U/mL)</w:t>
            </w:r>
          </w:p>
        </w:tc>
        <w:tc>
          <w:tcPr>
            <w:tcW w:w="1768" w:type="dxa"/>
          </w:tcPr>
          <w:p w14:paraId="4FB7750A" w14:textId="77777777" w:rsidR="003E0CB5" w:rsidRPr="0089477C" w:rsidRDefault="003E0CB5" w:rsidP="0089477C">
            <w:pPr>
              <w:spacing w:line="360" w:lineRule="auto"/>
              <w:jc w:val="both"/>
            </w:pPr>
            <w:r w:rsidRPr="0089477C">
              <w:rPr>
                <w:rFonts w:ascii="Arial" w:hAnsi="Arial"/>
              </w:rPr>
              <w:t>3 (11.5%)</w:t>
            </w:r>
          </w:p>
        </w:tc>
        <w:tc>
          <w:tcPr>
            <w:tcW w:w="1768" w:type="dxa"/>
          </w:tcPr>
          <w:p w14:paraId="4C11D00F" w14:textId="77777777" w:rsidR="003E0CB5" w:rsidRPr="0089477C" w:rsidRDefault="003E0CB5" w:rsidP="0089477C">
            <w:pPr>
              <w:spacing w:line="360" w:lineRule="auto"/>
              <w:jc w:val="both"/>
            </w:pPr>
            <w:r w:rsidRPr="0089477C">
              <w:rPr>
                <w:rFonts w:ascii="Arial" w:hAnsi="Arial"/>
              </w:rPr>
              <w:t>10 (50.0%)</w:t>
            </w:r>
          </w:p>
        </w:tc>
        <w:tc>
          <w:tcPr>
            <w:tcW w:w="1768" w:type="dxa"/>
          </w:tcPr>
          <w:p w14:paraId="6267A311" w14:textId="77777777" w:rsidR="003E0CB5" w:rsidRPr="0089477C" w:rsidRDefault="003E0CB5" w:rsidP="0089477C">
            <w:pPr>
              <w:spacing w:line="360" w:lineRule="auto"/>
              <w:jc w:val="both"/>
            </w:pPr>
          </w:p>
        </w:tc>
        <w:tc>
          <w:tcPr>
            <w:tcW w:w="1768" w:type="dxa"/>
          </w:tcPr>
          <w:p w14:paraId="3CE7B84A" w14:textId="77777777" w:rsidR="003E0CB5" w:rsidRPr="0089477C" w:rsidRDefault="003E0CB5" w:rsidP="0089477C">
            <w:pPr>
              <w:spacing w:line="360" w:lineRule="auto"/>
              <w:jc w:val="both"/>
            </w:pPr>
          </w:p>
        </w:tc>
      </w:tr>
    </w:tbl>
    <w:p w14:paraId="2CB55938" w14:textId="77777777" w:rsidR="003E0CB5" w:rsidRPr="0089477C" w:rsidRDefault="003E0CB5" w:rsidP="0089477C">
      <w:pPr>
        <w:spacing w:line="360" w:lineRule="auto"/>
        <w:jc w:val="both"/>
        <w:rPr>
          <w:sz w:val="22"/>
          <w:szCs w:val="22"/>
        </w:rPr>
      </w:pPr>
      <w:r w:rsidRPr="0089477C">
        <w:rPr>
          <w:rFonts w:ascii="Arial" w:hAnsi="Arial"/>
          <w:b/>
          <w:sz w:val="22"/>
          <w:szCs w:val="22"/>
        </w:rPr>
        <w:t>3.5 Elevated IL-1β Expression as a Risk Factor for MBD</w:t>
      </w:r>
    </w:p>
    <w:p w14:paraId="442C767C" w14:textId="77777777" w:rsidR="003E0CB5" w:rsidRPr="0089477C" w:rsidRDefault="003E0CB5" w:rsidP="0089477C">
      <w:pPr>
        <w:spacing w:line="360" w:lineRule="auto"/>
        <w:jc w:val="both"/>
        <w:rPr>
          <w:sz w:val="22"/>
          <w:szCs w:val="22"/>
        </w:rPr>
      </w:pPr>
      <w:r w:rsidRPr="0089477C">
        <w:rPr>
          <w:rFonts w:ascii="Arial" w:hAnsi="Arial"/>
          <w:sz w:val="22"/>
          <w:szCs w:val="22"/>
        </w:rPr>
        <w:t>Elevated IL-1β expression (</w:t>
      </w:r>
      <w:proofErr w:type="spellStart"/>
      <w:r w:rsidRPr="0089477C">
        <w:rPr>
          <w:rFonts w:ascii="Arial" w:hAnsi="Arial"/>
          <w:sz w:val="22"/>
          <w:szCs w:val="22"/>
        </w:rPr>
        <w:t>immunoscore</w:t>
      </w:r>
      <w:proofErr w:type="spellEnd"/>
      <w:r w:rsidRPr="0089477C">
        <w:rPr>
          <w:rFonts w:ascii="Arial" w:hAnsi="Arial"/>
          <w:sz w:val="22"/>
          <w:szCs w:val="22"/>
        </w:rPr>
        <w:t xml:space="preserve"> ≥2.5) was significantly associated with bone metastasis (Table 5). Among MBD patients, 57.7% demonstrated high IL-1β expression versus 15.0% in the control group (P = .004; OR = 7.72; 95% CI: 1.80–33.04). IL-1β is a central mediator linking inflammation, epithelial–mesenchymal transition (EMT), and bone metastasis in breast cancer. It activates NF-</w:t>
      </w:r>
      <w:proofErr w:type="spellStart"/>
      <w:r w:rsidRPr="0089477C">
        <w:rPr>
          <w:rFonts w:ascii="Arial" w:hAnsi="Arial"/>
          <w:sz w:val="22"/>
          <w:szCs w:val="22"/>
        </w:rPr>
        <w:t>κB</w:t>
      </w:r>
      <w:proofErr w:type="spellEnd"/>
      <w:r w:rsidRPr="0089477C">
        <w:rPr>
          <w:rFonts w:ascii="Arial" w:hAnsi="Arial"/>
          <w:sz w:val="22"/>
          <w:szCs w:val="22"/>
        </w:rPr>
        <w:t xml:space="preserve"> and MAPK signaling pathways, leading to increased expression of EMT transcription factors, </w:t>
      </w:r>
      <w:r w:rsidRPr="0089477C">
        <w:rPr>
          <w:rFonts w:ascii="Arial" w:hAnsi="Arial"/>
          <w:sz w:val="22"/>
          <w:szCs w:val="22"/>
        </w:rPr>
        <w:lastRenderedPageBreak/>
        <w:t>downregulation of E-cadherin, and upregulation of N-cadherin and vimentin, thereby enhancing tumor cell migration and tissue invasion (</w:t>
      </w:r>
      <w:proofErr w:type="spellStart"/>
      <w:r w:rsidRPr="0089477C">
        <w:rPr>
          <w:rFonts w:ascii="Arial" w:hAnsi="Arial"/>
          <w:sz w:val="22"/>
          <w:szCs w:val="22"/>
        </w:rPr>
        <w:t>Tulotta</w:t>
      </w:r>
      <w:proofErr w:type="spellEnd"/>
      <w:r w:rsidRPr="0089477C">
        <w:rPr>
          <w:rFonts w:ascii="Arial" w:hAnsi="Arial"/>
          <w:sz w:val="22"/>
          <w:szCs w:val="22"/>
        </w:rPr>
        <w:t xml:space="preserve"> and </w:t>
      </w:r>
      <w:proofErr w:type="spellStart"/>
      <w:r w:rsidRPr="0089477C">
        <w:rPr>
          <w:rFonts w:ascii="Arial" w:hAnsi="Arial"/>
          <w:sz w:val="22"/>
          <w:szCs w:val="22"/>
        </w:rPr>
        <w:t>Ottewell</w:t>
      </w:r>
      <w:proofErr w:type="spellEnd"/>
      <w:r w:rsidRPr="0089477C">
        <w:rPr>
          <w:rFonts w:ascii="Arial" w:hAnsi="Arial"/>
          <w:sz w:val="22"/>
          <w:szCs w:val="22"/>
        </w:rPr>
        <w:t>, 2018).</w:t>
      </w:r>
    </w:p>
    <w:p w14:paraId="78CA5546" w14:textId="77777777" w:rsidR="003E0CB5" w:rsidRPr="0089477C" w:rsidRDefault="003E0CB5" w:rsidP="0089477C">
      <w:pPr>
        <w:spacing w:line="360" w:lineRule="auto"/>
        <w:jc w:val="both"/>
        <w:rPr>
          <w:sz w:val="22"/>
          <w:szCs w:val="22"/>
        </w:rPr>
      </w:pPr>
      <w:r w:rsidRPr="0089477C">
        <w:rPr>
          <w:rFonts w:ascii="Arial" w:hAnsi="Arial"/>
          <w:b/>
          <w:sz w:val="22"/>
          <w:szCs w:val="22"/>
        </w:rPr>
        <w:t>Table 5. Bivariate analysis of IL-1β expression and MBD</w:t>
      </w:r>
    </w:p>
    <w:tbl>
      <w:tblPr>
        <w:tblStyle w:val="TableGrid"/>
        <w:tblW w:w="0" w:type="auto"/>
        <w:jc w:val="center"/>
        <w:tblLook w:val="04A0" w:firstRow="1" w:lastRow="0" w:firstColumn="1" w:lastColumn="0" w:noHBand="0" w:noVBand="1"/>
      </w:tblPr>
      <w:tblGrid>
        <w:gridCol w:w="1674"/>
        <w:gridCol w:w="1645"/>
        <w:gridCol w:w="1645"/>
        <w:gridCol w:w="1612"/>
        <w:gridCol w:w="1622"/>
      </w:tblGrid>
      <w:tr w:rsidR="003E0CB5" w:rsidRPr="0089477C" w14:paraId="05100BB7" w14:textId="77777777" w:rsidTr="0008247C">
        <w:trPr>
          <w:jc w:val="center"/>
        </w:trPr>
        <w:tc>
          <w:tcPr>
            <w:tcW w:w="1768" w:type="dxa"/>
          </w:tcPr>
          <w:p w14:paraId="053663A8" w14:textId="77777777" w:rsidR="003E0CB5" w:rsidRPr="0089477C" w:rsidRDefault="003E0CB5" w:rsidP="0089477C">
            <w:pPr>
              <w:spacing w:line="360" w:lineRule="auto"/>
              <w:jc w:val="both"/>
            </w:pPr>
            <w:r w:rsidRPr="0089477C">
              <w:rPr>
                <w:rFonts w:ascii="Arial" w:hAnsi="Arial"/>
                <w:b/>
              </w:rPr>
              <w:t>IL-1β Category</w:t>
            </w:r>
          </w:p>
        </w:tc>
        <w:tc>
          <w:tcPr>
            <w:tcW w:w="1768" w:type="dxa"/>
          </w:tcPr>
          <w:p w14:paraId="1299D5DD" w14:textId="77777777" w:rsidR="003E0CB5" w:rsidRPr="0089477C" w:rsidRDefault="003E0CB5" w:rsidP="0089477C">
            <w:pPr>
              <w:spacing w:line="360" w:lineRule="auto"/>
              <w:jc w:val="both"/>
            </w:pPr>
            <w:r w:rsidRPr="0089477C">
              <w:rPr>
                <w:rFonts w:ascii="Arial" w:hAnsi="Arial"/>
                <w:b/>
              </w:rPr>
              <w:t>MBD (n=26)</w:t>
            </w:r>
          </w:p>
        </w:tc>
        <w:tc>
          <w:tcPr>
            <w:tcW w:w="1768" w:type="dxa"/>
          </w:tcPr>
          <w:p w14:paraId="32AE2ABF" w14:textId="77777777" w:rsidR="003E0CB5" w:rsidRPr="0089477C" w:rsidRDefault="003E0CB5" w:rsidP="0089477C">
            <w:pPr>
              <w:spacing w:line="360" w:lineRule="auto"/>
              <w:jc w:val="both"/>
            </w:pPr>
            <w:r w:rsidRPr="0089477C">
              <w:rPr>
                <w:rFonts w:ascii="Arial" w:hAnsi="Arial"/>
                <w:b/>
              </w:rPr>
              <w:t>Non-MBD (n=20)</w:t>
            </w:r>
          </w:p>
        </w:tc>
        <w:tc>
          <w:tcPr>
            <w:tcW w:w="1768" w:type="dxa"/>
          </w:tcPr>
          <w:p w14:paraId="5EAAA259" w14:textId="77777777" w:rsidR="003E0CB5" w:rsidRPr="0089477C" w:rsidRDefault="003E0CB5" w:rsidP="0089477C">
            <w:pPr>
              <w:spacing w:line="360" w:lineRule="auto"/>
              <w:jc w:val="both"/>
            </w:pPr>
            <w:r w:rsidRPr="0089477C">
              <w:rPr>
                <w:rFonts w:ascii="Arial" w:hAnsi="Arial"/>
                <w:b/>
              </w:rPr>
              <w:t>P value</w:t>
            </w:r>
          </w:p>
        </w:tc>
        <w:tc>
          <w:tcPr>
            <w:tcW w:w="1768" w:type="dxa"/>
          </w:tcPr>
          <w:p w14:paraId="53231CAD" w14:textId="77777777" w:rsidR="003E0CB5" w:rsidRPr="0089477C" w:rsidRDefault="003E0CB5" w:rsidP="0089477C">
            <w:pPr>
              <w:spacing w:line="360" w:lineRule="auto"/>
              <w:jc w:val="both"/>
            </w:pPr>
            <w:r w:rsidRPr="0089477C">
              <w:rPr>
                <w:rFonts w:ascii="Arial" w:hAnsi="Arial"/>
                <w:b/>
              </w:rPr>
              <w:t>OR (95% CI)</w:t>
            </w:r>
          </w:p>
        </w:tc>
      </w:tr>
      <w:tr w:rsidR="003E0CB5" w:rsidRPr="0089477C" w14:paraId="0A164EE6" w14:textId="77777777" w:rsidTr="0008247C">
        <w:trPr>
          <w:jc w:val="center"/>
        </w:trPr>
        <w:tc>
          <w:tcPr>
            <w:tcW w:w="1768" w:type="dxa"/>
          </w:tcPr>
          <w:p w14:paraId="539E306A" w14:textId="77777777" w:rsidR="003E0CB5" w:rsidRPr="0089477C" w:rsidRDefault="003E0CB5" w:rsidP="0089477C">
            <w:pPr>
              <w:spacing w:line="360" w:lineRule="auto"/>
              <w:jc w:val="both"/>
            </w:pPr>
            <w:r w:rsidRPr="0089477C">
              <w:rPr>
                <w:rFonts w:ascii="Arial" w:hAnsi="Arial"/>
              </w:rPr>
              <w:t>High (≥2.5)</w:t>
            </w:r>
          </w:p>
        </w:tc>
        <w:tc>
          <w:tcPr>
            <w:tcW w:w="1768" w:type="dxa"/>
          </w:tcPr>
          <w:p w14:paraId="76B4308A" w14:textId="77777777" w:rsidR="003E0CB5" w:rsidRPr="0089477C" w:rsidRDefault="003E0CB5" w:rsidP="0089477C">
            <w:pPr>
              <w:spacing w:line="360" w:lineRule="auto"/>
              <w:jc w:val="both"/>
            </w:pPr>
            <w:r w:rsidRPr="0089477C">
              <w:rPr>
                <w:rFonts w:ascii="Arial" w:hAnsi="Arial"/>
              </w:rPr>
              <w:t>15 (57.7%)</w:t>
            </w:r>
          </w:p>
        </w:tc>
        <w:tc>
          <w:tcPr>
            <w:tcW w:w="1768" w:type="dxa"/>
          </w:tcPr>
          <w:p w14:paraId="79B71CC2" w14:textId="77777777" w:rsidR="003E0CB5" w:rsidRPr="0089477C" w:rsidRDefault="003E0CB5" w:rsidP="0089477C">
            <w:pPr>
              <w:spacing w:line="360" w:lineRule="auto"/>
              <w:jc w:val="both"/>
            </w:pPr>
            <w:r w:rsidRPr="0089477C">
              <w:rPr>
                <w:rFonts w:ascii="Arial" w:hAnsi="Arial"/>
              </w:rPr>
              <w:t>3 (15.0%)</w:t>
            </w:r>
          </w:p>
        </w:tc>
        <w:tc>
          <w:tcPr>
            <w:tcW w:w="1768" w:type="dxa"/>
          </w:tcPr>
          <w:p w14:paraId="00D73DA2" w14:textId="77777777" w:rsidR="003E0CB5" w:rsidRPr="0089477C" w:rsidRDefault="003E0CB5" w:rsidP="0089477C">
            <w:pPr>
              <w:spacing w:line="360" w:lineRule="auto"/>
              <w:jc w:val="both"/>
            </w:pPr>
            <w:r w:rsidRPr="0089477C">
              <w:rPr>
                <w:rFonts w:ascii="Arial" w:hAnsi="Arial"/>
              </w:rPr>
              <w:t>.004</w:t>
            </w:r>
          </w:p>
        </w:tc>
        <w:tc>
          <w:tcPr>
            <w:tcW w:w="1768" w:type="dxa"/>
          </w:tcPr>
          <w:p w14:paraId="5C642CC4" w14:textId="77777777" w:rsidR="003E0CB5" w:rsidRPr="0089477C" w:rsidRDefault="003E0CB5" w:rsidP="0089477C">
            <w:pPr>
              <w:spacing w:line="360" w:lineRule="auto"/>
              <w:jc w:val="both"/>
            </w:pPr>
            <w:r w:rsidRPr="0089477C">
              <w:rPr>
                <w:rFonts w:ascii="Arial" w:hAnsi="Arial"/>
              </w:rPr>
              <w:t>7.72 (1.80–33.04)</w:t>
            </w:r>
          </w:p>
        </w:tc>
      </w:tr>
      <w:tr w:rsidR="003E0CB5" w:rsidRPr="0089477C" w14:paraId="29E5F82A" w14:textId="77777777" w:rsidTr="0008247C">
        <w:trPr>
          <w:jc w:val="center"/>
        </w:trPr>
        <w:tc>
          <w:tcPr>
            <w:tcW w:w="1768" w:type="dxa"/>
          </w:tcPr>
          <w:p w14:paraId="14DD7784" w14:textId="77777777" w:rsidR="003E0CB5" w:rsidRPr="0089477C" w:rsidRDefault="003E0CB5" w:rsidP="0089477C">
            <w:pPr>
              <w:spacing w:line="360" w:lineRule="auto"/>
              <w:jc w:val="both"/>
            </w:pPr>
            <w:r w:rsidRPr="0089477C">
              <w:rPr>
                <w:rFonts w:ascii="Arial" w:hAnsi="Arial"/>
              </w:rPr>
              <w:t>Low (&lt;2.5)</w:t>
            </w:r>
          </w:p>
        </w:tc>
        <w:tc>
          <w:tcPr>
            <w:tcW w:w="1768" w:type="dxa"/>
          </w:tcPr>
          <w:p w14:paraId="0F3ED201" w14:textId="77777777" w:rsidR="003E0CB5" w:rsidRPr="0089477C" w:rsidRDefault="003E0CB5" w:rsidP="0089477C">
            <w:pPr>
              <w:spacing w:line="360" w:lineRule="auto"/>
              <w:jc w:val="both"/>
            </w:pPr>
            <w:r w:rsidRPr="0089477C">
              <w:rPr>
                <w:rFonts w:ascii="Arial" w:hAnsi="Arial"/>
              </w:rPr>
              <w:t>11 (42.3%)</w:t>
            </w:r>
          </w:p>
        </w:tc>
        <w:tc>
          <w:tcPr>
            <w:tcW w:w="1768" w:type="dxa"/>
          </w:tcPr>
          <w:p w14:paraId="780B3C0A" w14:textId="77777777" w:rsidR="003E0CB5" w:rsidRPr="0089477C" w:rsidRDefault="003E0CB5" w:rsidP="0089477C">
            <w:pPr>
              <w:spacing w:line="360" w:lineRule="auto"/>
              <w:jc w:val="both"/>
            </w:pPr>
            <w:r w:rsidRPr="0089477C">
              <w:rPr>
                <w:rFonts w:ascii="Arial" w:hAnsi="Arial"/>
              </w:rPr>
              <w:t>17 (85.0%)</w:t>
            </w:r>
          </w:p>
        </w:tc>
        <w:tc>
          <w:tcPr>
            <w:tcW w:w="1768" w:type="dxa"/>
          </w:tcPr>
          <w:p w14:paraId="620B3701" w14:textId="77777777" w:rsidR="003E0CB5" w:rsidRPr="0089477C" w:rsidRDefault="003E0CB5" w:rsidP="0089477C">
            <w:pPr>
              <w:spacing w:line="360" w:lineRule="auto"/>
              <w:jc w:val="both"/>
            </w:pPr>
          </w:p>
        </w:tc>
        <w:tc>
          <w:tcPr>
            <w:tcW w:w="1768" w:type="dxa"/>
          </w:tcPr>
          <w:p w14:paraId="634A0671" w14:textId="77777777" w:rsidR="003E0CB5" w:rsidRPr="0089477C" w:rsidRDefault="003E0CB5" w:rsidP="0089477C">
            <w:pPr>
              <w:spacing w:line="360" w:lineRule="auto"/>
              <w:jc w:val="both"/>
            </w:pPr>
          </w:p>
        </w:tc>
      </w:tr>
    </w:tbl>
    <w:p w14:paraId="766E384C" w14:textId="77777777" w:rsidR="003E0CB5" w:rsidRPr="0089477C" w:rsidRDefault="003E0CB5" w:rsidP="0089477C">
      <w:pPr>
        <w:spacing w:line="360" w:lineRule="auto"/>
        <w:jc w:val="both"/>
        <w:rPr>
          <w:sz w:val="22"/>
          <w:szCs w:val="22"/>
        </w:rPr>
      </w:pPr>
      <w:r w:rsidRPr="0089477C">
        <w:rPr>
          <w:rFonts w:ascii="Arial" w:hAnsi="Arial"/>
          <w:b/>
          <w:sz w:val="22"/>
          <w:szCs w:val="22"/>
        </w:rPr>
        <w:t>3.6 Multivariate Logistic Regression Analysis</w:t>
      </w:r>
    </w:p>
    <w:p w14:paraId="7D72C207" w14:textId="77777777" w:rsidR="003E0CB5" w:rsidRPr="0089477C" w:rsidRDefault="003E0CB5" w:rsidP="0089477C">
      <w:pPr>
        <w:spacing w:line="360" w:lineRule="auto"/>
        <w:jc w:val="both"/>
        <w:rPr>
          <w:sz w:val="22"/>
          <w:szCs w:val="22"/>
        </w:rPr>
      </w:pPr>
      <w:r w:rsidRPr="0089477C">
        <w:rPr>
          <w:rFonts w:ascii="Arial" w:hAnsi="Arial"/>
          <w:sz w:val="22"/>
          <w:szCs w:val="22"/>
        </w:rPr>
        <w:t>All three biomarkers meeting the inclusion threshold (P &lt; .25) were entered into a multivariate logistic regression model (Table 6). In the initial step, ALP (P = .025), LDH (P = .254), and IL-1β (P = .038) were included. As LDH did not reach statistical significance, it was removed in the final model. The final regression equation was: P(MBD) = 1 / [1 + exp(−Y)], where Y = −1.175 + 2.472 × ALP + 2.013 × IL-1β.</w:t>
      </w:r>
    </w:p>
    <w:p w14:paraId="368A8180" w14:textId="77777777" w:rsidR="003E0CB5" w:rsidRPr="0089477C" w:rsidRDefault="003E0CB5" w:rsidP="0089477C">
      <w:pPr>
        <w:spacing w:line="360" w:lineRule="auto"/>
        <w:jc w:val="both"/>
        <w:rPr>
          <w:sz w:val="22"/>
          <w:szCs w:val="22"/>
        </w:rPr>
      </w:pPr>
      <w:r w:rsidRPr="0089477C">
        <w:rPr>
          <w:rFonts w:ascii="Arial" w:hAnsi="Arial"/>
          <w:b/>
          <w:sz w:val="22"/>
          <w:szCs w:val="22"/>
        </w:rPr>
        <w:t>Table 6. Multivariate logistic regression analysis of MBD risk factors</w:t>
      </w:r>
    </w:p>
    <w:tbl>
      <w:tblPr>
        <w:tblStyle w:val="TableGrid"/>
        <w:tblW w:w="0" w:type="auto"/>
        <w:jc w:val="center"/>
        <w:tblLook w:val="04A0" w:firstRow="1" w:lastRow="0" w:firstColumn="1" w:lastColumn="0" w:noHBand="0" w:noVBand="1"/>
      </w:tblPr>
      <w:tblGrid>
        <w:gridCol w:w="1413"/>
        <w:gridCol w:w="1449"/>
        <w:gridCol w:w="1330"/>
        <w:gridCol w:w="1330"/>
        <w:gridCol w:w="1332"/>
        <w:gridCol w:w="1344"/>
      </w:tblGrid>
      <w:tr w:rsidR="003E0CB5" w:rsidRPr="0089477C" w14:paraId="7E2DA39C" w14:textId="77777777" w:rsidTr="0008247C">
        <w:trPr>
          <w:jc w:val="center"/>
        </w:trPr>
        <w:tc>
          <w:tcPr>
            <w:tcW w:w="1473" w:type="dxa"/>
          </w:tcPr>
          <w:p w14:paraId="7A96E82F" w14:textId="77777777" w:rsidR="003E0CB5" w:rsidRPr="0089477C" w:rsidRDefault="003E0CB5" w:rsidP="0089477C">
            <w:pPr>
              <w:spacing w:line="360" w:lineRule="auto"/>
              <w:jc w:val="both"/>
            </w:pPr>
            <w:r w:rsidRPr="0089477C">
              <w:rPr>
                <w:rFonts w:ascii="Arial" w:hAnsi="Arial"/>
                <w:b/>
              </w:rPr>
              <w:t>Predictor</w:t>
            </w:r>
          </w:p>
        </w:tc>
        <w:tc>
          <w:tcPr>
            <w:tcW w:w="1473" w:type="dxa"/>
          </w:tcPr>
          <w:p w14:paraId="0A56475E" w14:textId="77777777" w:rsidR="003E0CB5" w:rsidRPr="0089477C" w:rsidRDefault="003E0CB5" w:rsidP="0089477C">
            <w:pPr>
              <w:spacing w:line="360" w:lineRule="auto"/>
              <w:jc w:val="both"/>
            </w:pPr>
            <w:r w:rsidRPr="0089477C">
              <w:rPr>
                <w:rFonts w:ascii="Arial" w:hAnsi="Arial"/>
                <w:b/>
              </w:rPr>
              <w:t>B Coefficient</w:t>
            </w:r>
          </w:p>
        </w:tc>
        <w:tc>
          <w:tcPr>
            <w:tcW w:w="1473" w:type="dxa"/>
          </w:tcPr>
          <w:p w14:paraId="2AFC9107" w14:textId="77777777" w:rsidR="003E0CB5" w:rsidRPr="0089477C" w:rsidRDefault="003E0CB5" w:rsidP="0089477C">
            <w:pPr>
              <w:spacing w:line="360" w:lineRule="auto"/>
              <w:jc w:val="both"/>
            </w:pPr>
            <w:r w:rsidRPr="0089477C">
              <w:rPr>
                <w:rFonts w:ascii="Arial" w:hAnsi="Arial"/>
                <w:b/>
              </w:rPr>
              <w:t>SE</w:t>
            </w:r>
          </w:p>
        </w:tc>
        <w:tc>
          <w:tcPr>
            <w:tcW w:w="1473" w:type="dxa"/>
          </w:tcPr>
          <w:p w14:paraId="36549601" w14:textId="77777777" w:rsidR="003E0CB5" w:rsidRPr="0089477C" w:rsidRDefault="003E0CB5" w:rsidP="0089477C">
            <w:pPr>
              <w:spacing w:line="360" w:lineRule="auto"/>
              <w:jc w:val="both"/>
            </w:pPr>
            <w:r w:rsidRPr="0089477C">
              <w:rPr>
                <w:rFonts w:ascii="Arial" w:hAnsi="Arial"/>
                <w:b/>
              </w:rPr>
              <w:t>Wald</w:t>
            </w:r>
          </w:p>
        </w:tc>
        <w:tc>
          <w:tcPr>
            <w:tcW w:w="1473" w:type="dxa"/>
          </w:tcPr>
          <w:p w14:paraId="660B83BF" w14:textId="77777777" w:rsidR="003E0CB5" w:rsidRPr="0089477C" w:rsidRDefault="003E0CB5" w:rsidP="0089477C">
            <w:pPr>
              <w:spacing w:line="360" w:lineRule="auto"/>
              <w:jc w:val="both"/>
            </w:pPr>
            <w:r w:rsidRPr="0089477C">
              <w:rPr>
                <w:rFonts w:ascii="Arial" w:hAnsi="Arial"/>
                <w:b/>
              </w:rPr>
              <w:t>P value</w:t>
            </w:r>
          </w:p>
        </w:tc>
        <w:tc>
          <w:tcPr>
            <w:tcW w:w="1473" w:type="dxa"/>
          </w:tcPr>
          <w:p w14:paraId="62CA18FE" w14:textId="77777777" w:rsidR="003E0CB5" w:rsidRPr="0089477C" w:rsidRDefault="003E0CB5" w:rsidP="0089477C">
            <w:pPr>
              <w:spacing w:line="360" w:lineRule="auto"/>
              <w:jc w:val="both"/>
            </w:pPr>
            <w:r w:rsidRPr="0089477C">
              <w:rPr>
                <w:rFonts w:ascii="Arial" w:hAnsi="Arial"/>
                <w:b/>
              </w:rPr>
              <w:t>AOR (95% CI)</w:t>
            </w:r>
          </w:p>
        </w:tc>
      </w:tr>
      <w:tr w:rsidR="003E0CB5" w:rsidRPr="0089477C" w14:paraId="596EEF3F" w14:textId="77777777" w:rsidTr="0008247C">
        <w:trPr>
          <w:jc w:val="center"/>
        </w:trPr>
        <w:tc>
          <w:tcPr>
            <w:tcW w:w="1473" w:type="dxa"/>
          </w:tcPr>
          <w:p w14:paraId="37EA819F" w14:textId="77777777" w:rsidR="003E0CB5" w:rsidRPr="0089477C" w:rsidRDefault="003E0CB5" w:rsidP="0089477C">
            <w:pPr>
              <w:spacing w:line="360" w:lineRule="auto"/>
              <w:jc w:val="both"/>
            </w:pPr>
            <w:r w:rsidRPr="0089477C">
              <w:rPr>
                <w:rFonts w:ascii="Arial" w:hAnsi="Arial"/>
              </w:rPr>
              <w:t>Constant</w:t>
            </w:r>
          </w:p>
        </w:tc>
        <w:tc>
          <w:tcPr>
            <w:tcW w:w="1473" w:type="dxa"/>
          </w:tcPr>
          <w:p w14:paraId="3A7B8475" w14:textId="77777777" w:rsidR="003E0CB5" w:rsidRPr="0089477C" w:rsidRDefault="003E0CB5" w:rsidP="0089477C">
            <w:pPr>
              <w:spacing w:line="360" w:lineRule="auto"/>
              <w:jc w:val="both"/>
            </w:pPr>
            <w:r w:rsidRPr="0089477C">
              <w:rPr>
                <w:rFonts w:ascii="Arial" w:hAnsi="Arial"/>
              </w:rPr>
              <w:t>−1.175</w:t>
            </w:r>
          </w:p>
        </w:tc>
        <w:tc>
          <w:tcPr>
            <w:tcW w:w="1473" w:type="dxa"/>
          </w:tcPr>
          <w:p w14:paraId="2F955239" w14:textId="77777777" w:rsidR="003E0CB5" w:rsidRPr="0089477C" w:rsidRDefault="003E0CB5" w:rsidP="0089477C">
            <w:pPr>
              <w:spacing w:line="360" w:lineRule="auto"/>
              <w:jc w:val="both"/>
            </w:pPr>
            <w:r w:rsidRPr="0089477C">
              <w:rPr>
                <w:rFonts w:ascii="Arial" w:hAnsi="Arial"/>
              </w:rPr>
              <w:t>0.512</w:t>
            </w:r>
          </w:p>
        </w:tc>
        <w:tc>
          <w:tcPr>
            <w:tcW w:w="1473" w:type="dxa"/>
          </w:tcPr>
          <w:p w14:paraId="0E8026C2" w14:textId="77777777" w:rsidR="003E0CB5" w:rsidRPr="0089477C" w:rsidRDefault="003E0CB5" w:rsidP="0089477C">
            <w:pPr>
              <w:spacing w:line="360" w:lineRule="auto"/>
              <w:jc w:val="both"/>
            </w:pPr>
            <w:r w:rsidRPr="0089477C">
              <w:rPr>
                <w:rFonts w:ascii="Arial" w:hAnsi="Arial"/>
              </w:rPr>
              <w:t>5.259</w:t>
            </w:r>
          </w:p>
        </w:tc>
        <w:tc>
          <w:tcPr>
            <w:tcW w:w="1473" w:type="dxa"/>
          </w:tcPr>
          <w:p w14:paraId="655B8FFB" w14:textId="77777777" w:rsidR="003E0CB5" w:rsidRPr="0089477C" w:rsidRDefault="003E0CB5" w:rsidP="0089477C">
            <w:pPr>
              <w:spacing w:line="360" w:lineRule="auto"/>
              <w:jc w:val="both"/>
            </w:pPr>
            <w:r w:rsidRPr="0089477C">
              <w:rPr>
                <w:rFonts w:ascii="Arial" w:hAnsi="Arial"/>
              </w:rPr>
              <w:t>.022</w:t>
            </w:r>
          </w:p>
        </w:tc>
        <w:tc>
          <w:tcPr>
            <w:tcW w:w="1473" w:type="dxa"/>
          </w:tcPr>
          <w:p w14:paraId="04AF702C" w14:textId="77777777" w:rsidR="003E0CB5" w:rsidRPr="0089477C" w:rsidRDefault="003E0CB5" w:rsidP="0089477C">
            <w:pPr>
              <w:spacing w:line="360" w:lineRule="auto"/>
              <w:jc w:val="both"/>
            </w:pPr>
            <w:r w:rsidRPr="0089477C">
              <w:rPr>
                <w:rFonts w:ascii="Arial" w:hAnsi="Arial"/>
              </w:rPr>
              <w:t>0.309</w:t>
            </w:r>
          </w:p>
        </w:tc>
      </w:tr>
      <w:tr w:rsidR="003E0CB5" w:rsidRPr="0089477C" w14:paraId="45A91D9F" w14:textId="77777777" w:rsidTr="0008247C">
        <w:trPr>
          <w:jc w:val="center"/>
        </w:trPr>
        <w:tc>
          <w:tcPr>
            <w:tcW w:w="1473" w:type="dxa"/>
          </w:tcPr>
          <w:p w14:paraId="0FDD249F" w14:textId="77777777" w:rsidR="003E0CB5" w:rsidRPr="0089477C" w:rsidRDefault="003E0CB5" w:rsidP="0089477C">
            <w:pPr>
              <w:spacing w:line="360" w:lineRule="auto"/>
              <w:jc w:val="both"/>
            </w:pPr>
            <w:r w:rsidRPr="0089477C">
              <w:rPr>
                <w:rFonts w:ascii="Arial" w:hAnsi="Arial"/>
              </w:rPr>
              <w:t>ALP (high)</w:t>
            </w:r>
          </w:p>
        </w:tc>
        <w:tc>
          <w:tcPr>
            <w:tcW w:w="1473" w:type="dxa"/>
          </w:tcPr>
          <w:p w14:paraId="31D2AE58" w14:textId="77777777" w:rsidR="003E0CB5" w:rsidRPr="0089477C" w:rsidRDefault="003E0CB5" w:rsidP="0089477C">
            <w:pPr>
              <w:spacing w:line="360" w:lineRule="auto"/>
              <w:jc w:val="both"/>
            </w:pPr>
            <w:r w:rsidRPr="0089477C">
              <w:rPr>
                <w:rFonts w:ascii="Arial" w:hAnsi="Arial"/>
              </w:rPr>
              <w:t>2.472</w:t>
            </w:r>
          </w:p>
        </w:tc>
        <w:tc>
          <w:tcPr>
            <w:tcW w:w="1473" w:type="dxa"/>
          </w:tcPr>
          <w:p w14:paraId="7A7743DA" w14:textId="77777777" w:rsidR="003E0CB5" w:rsidRPr="0089477C" w:rsidRDefault="003E0CB5" w:rsidP="0089477C">
            <w:pPr>
              <w:spacing w:line="360" w:lineRule="auto"/>
              <w:jc w:val="both"/>
            </w:pPr>
            <w:r w:rsidRPr="0089477C">
              <w:rPr>
                <w:rFonts w:ascii="Arial" w:hAnsi="Arial"/>
              </w:rPr>
              <w:t>0.905</w:t>
            </w:r>
          </w:p>
        </w:tc>
        <w:tc>
          <w:tcPr>
            <w:tcW w:w="1473" w:type="dxa"/>
          </w:tcPr>
          <w:p w14:paraId="4C72F2E3" w14:textId="77777777" w:rsidR="003E0CB5" w:rsidRPr="0089477C" w:rsidRDefault="003E0CB5" w:rsidP="0089477C">
            <w:pPr>
              <w:spacing w:line="360" w:lineRule="auto"/>
              <w:jc w:val="both"/>
            </w:pPr>
            <w:r w:rsidRPr="0089477C">
              <w:rPr>
                <w:rFonts w:ascii="Arial" w:hAnsi="Arial"/>
              </w:rPr>
              <w:t>7.451</w:t>
            </w:r>
          </w:p>
        </w:tc>
        <w:tc>
          <w:tcPr>
            <w:tcW w:w="1473" w:type="dxa"/>
          </w:tcPr>
          <w:p w14:paraId="70DCCF7F" w14:textId="77777777" w:rsidR="003E0CB5" w:rsidRPr="0089477C" w:rsidRDefault="003E0CB5" w:rsidP="0089477C">
            <w:pPr>
              <w:spacing w:line="360" w:lineRule="auto"/>
              <w:jc w:val="both"/>
            </w:pPr>
            <w:r w:rsidRPr="0089477C">
              <w:rPr>
                <w:rFonts w:ascii="Arial" w:hAnsi="Arial"/>
              </w:rPr>
              <w:t>.006</w:t>
            </w:r>
          </w:p>
        </w:tc>
        <w:tc>
          <w:tcPr>
            <w:tcW w:w="1473" w:type="dxa"/>
          </w:tcPr>
          <w:p w14:paraId="62111D97" w14:textId="77777777" w:rsidR="003E0CB5" w:rsidRPr="0089477C" w:rsidRDefault="003E0CB5" w:rsidP="0089477C">
            <w:pPr>
              <w:spacing w:line="360" w:lineRule="auto"/>
              <w:jc w:val="both"/>
            </w:pPr>
            <w:r w:rsidRPr="0089477C">
              <w:rPr>
                <w:rFonts w:ascii="Arial" w:hAnsi="Arial"/>
              </w:rPr>
              <w:t>11.84 (2.01–69.86)</w:t>
            </w:r>
          </w:p>
        </w:tc>
      </w:tr>
      <w:tr w:rsidR="003E0CB5" w:rsidRPr="0089477C" w14:paraId="07212068" w14:textId="77777777" w:rsidTr="0008247C">
        <w:trPr>
          <w:jc w:val="center"/>
        </w:trPr>
        <w:tc>
          <w:tcPr>
            <w:tcW w:w="1473" w:type="dxa"/>
          </w:tcPr>
          <w:p w14:paraId="03E22898" w14:textId="77777777" w:rsidR="003E0CB5" w:rsidRPr="0089477C" w:rsidRDefault="003E0CB5" w:rsidP="0089477C">
            <w:pPr>
              <w:spacing w:line="360" w:lineRule="auto"/>
              <w:jc w:val="both"/>
            </w:pPr>
            <w:r w:rsidRPr="0089477C">
              <w:rPr>
                <w:rFonts w:ascii="Arial" w:hAnsi="Arial"/>
              </w:rPr>
              <w:t>IL-1β (high)</w:t>
            </w:r>
          </w:p>
        </w:tc>
        <w:tc>
          <w:tcPr>
            <w:tcW w:w="1473" w:type="dxa"/>
          </w:tcPr>
          <w:p w14:paraId="163BFBCE" w14:textId="77777777" w:rsidR="003E0CB5" w:rsidRPr="0089477C" w:rsidRDefault="003E0CB5" w:rsidP="0089477C">
            <w:pPr>
              <w:spacing w:line="360" w:lineRule="auto"/>
              <w:jc w:val="both"/>
            </w:pPr>
            <w:r w:rsidRPr="0089477C">
              <w:rPr>
                <w:rFonts w:ascii="Arial" w:hAnsi="Arial"/>
              </w:rPr>
              <w:t>2.013</w:t>
            </w:r>
          </w:p>
        </w:tc>
        <w:tc>
          <w:tcPr>
            <w:tcW w:w="1473" w:type="dxa"/>
          </w:tcPr>
          <w:p w14:paraId="1637C43D" w14:textId="77777777" w:rsidR="003E0CB5" w:rsidRPr="0089477C" w:rsidRDefault="003E0CB5" w:rsidP="0089477C">
            <w:pPr>
              <w:spacing w:line="360" w:lineRule="auto"/>
              <w:jc w:val="both"/>
            </w:pPr>
            <w:r w:rsidRPr="0089477C">
              <w:rPr>
                <w:rFonts w:ascii="Arial" w:hAnsi="Arial"/>
              </w:rPr>
              <w:t>0.825</w:t>
            </w:r>
          </w:p>
        </w:tc>
        <w:tc>
          <w:tcPr>
            <w:tcW w:w="1473" w:type="dxa"/>
          </w:tcPr>
          <w:p w14:paraId="747006B0" w14:textId="77777777" w:rsidR="003E0CB5" w:rsidRPr="0089477C" w:rsidRDefault="003E0CB5" w:rsidP="0089477C">
            <w:pPr>
              <w:spacing w:line="360" w:lineRule="auto"/>
              <w:jc w:val="both"/>
            </w:pPr>
            <w:r w:rsidRPr="0089477C">
              <w:rPr>
                <w:rFonts w:ascii="Arial" w:hAnsi="Arial"/>
              </w:rPr>
              <w:t>5.955</w:t>
            </w:r>
          </w:p>
        </w:tc>
        <w:tc>
          <w:tcPr>
            <w:tcW w:w="1473" w:type="dxa"/>
          </w:tcPr>
          <w:p w14:paraId="08BD866D" w14:textId="77777777" w:rsidR="003E0CB5" w:rsidRPr="0089477C" w:rsidRDefault="003E0CB5" w:rsidP="0089477C">
            <w:pPr>
              <w:spacing w:line="360" w:lineRule="auto"/>
              <w:jc w:val="both"/>
            </w:pPr>
            <w:r w:rsidRPr="0089477C">
              <w:rPr>
                <w:rFonts w:ascii="Arial" w:hAnsi="Arial"/>
              </w:rPr>
              <w:t>.015</w:t>
            </w:r>
          </w:p>
        </w:tc>
        <w:tc>
          <w:tcPr>
            <w:tcW w:w="1473" w:type="dxa"/>
          </w:tcPr>
          <w:p w14:paraId="69DABA11" w14:textId="77777777" w:rsidR="003E0CB5" w:rsidRPr="0089477C" w:rsidRDefault="003E0CB5" w:rsidP="0089477C">
            <w:pPr>
              <w:spacing w:line="360" w:lineRule="auto"/>
              <w:jc w:val="both"/>
            </w:pPr>
            <w:r w:rsidRPr="0089477C">
              <w:rPr>
                <w:rFonts w:ascii="Arial" w:hAnsi="Arial"/>
              </w:rPr>
              <w:t>7.49 (1.49–37.71)</w:t>
            </w:r>
          </w:p>
        </w:tc>
      </w:tr>
    </w:tbl>
    <w:p w14:paraId="1CE4DD6C" w14:textId="77777777" w:rsidR="003E0CB5" w:rsidRPr="0089477C" w:rsidRDefault="003E0CB5" w:rsidP="0089477C">
      <w:pPr>
        <w:spacing w:line="360" w:lineRule="auto"/>
        <w:jc w:val="both"/>
        <w:rPr>
          <w:sz w:val="22"/>
          <w:szCs w:val="22"/>
        </w:rPr>
      </w:pPr>
      <w:r w:rsidRPr="0089477C">
        <w:rPr>
          <w:rFonts w:ascii="Arial" w:hAnsi="Arial"/>
          <w:sz w:val="22"/>
          <w:szCs w:val="22"/>
        </w:rPr>
        <w:t>The probability calculations derived from this model yielded clinically meaningful predictions: patients with both low ALP and low IL-1β had only a 23.64% probability of developing MBD; those with high ALP alone had a 78.55% probability; high IL-1β alone yielded a 69.83% probability; and patients with both elevated ALP and high IL-1β expression had a 96.52% probability of bone metastasis. The Hosmer–</w:t>
      </w:r>
      <w:proofErr w:type="spellStart"/>
      <w:r w:rsidRPr="0089477C">
        <w:rPr>
          <w:rFonts w:ascii="Arial" w:hAnsi="Arial"/>
          <w:sz w:val="22"/>
          <w:szCs w:val="22"/>
        </w:rPr>
        <w:t>Lemeshow</w:t>
      </w:r>
      <w:proofErr w:type="spellEnd"/>
      <w:r w:rsidRPr="0089477C">
        <w:rPr>
          <w:rFonts w:ascii="Arial" w:hAnsi="Arial"/>
          <w:sz w:val="22"/>
          <w:szCs w:val="22"/>
        </w:rPr>
        <w:t xml:space="preserve"> test confirmed adequate model calibration (χ² = 0.415, df = 2, P = .813). The predictive model demonstrated strong discriminative ability with an AUC of 0.821 (95% CI: 0.698–0.944), sensitivity of 80%, and specificity of 75% (Table 7).</w:t>
      </w:r>
    </w:p>
    <w:p w14:paraId="130F2F16" w14:textId="77777777" w:rsidR="003E0CB5" w:rsidRPr="0089477C" w:rsidRDefault="003E0CB5" w:rsidP="0089477C">
      <w:pPr>
        <w:spacing w:line="360" w:lineRule="auto"/>
        <w:jc w:val="both"/>
        <w:rPr>
          <w:sz w:val="22"/>
          <w:szCs w:val="22"/>
        </w:rPr>
      </w:pPr>
      <w:r w:rsidRPr="0089477C">
        <w:rPr>
          <w:rFonts w:ascii="Arial" w:hAnsi="Arial"/>
          <w:b/>
          <w:sz w:val="22"/>
          <w:szCs w:val="22"/>
        </w:rPr>
        <w:t>Table 7. Predictive model accuracy</w:t>
      </w:r>
    </w:p>
    <w:tbl>
      <w:tblPr>
        <w:tblStyle w:val="TableGrid"/>
        <w:tblW w:w="0" w:type="auto"/>
        <w:jc w:val="center"/>
        <w:tblLook w:val="04A0" w:firstRow="1" w:lastRow="0" w:firstColumn="1" w:lastColumn="0" w:noHBand="0" w:noVBand="1"/>
      </w:tblPr>
      <w:tblGrid>
        <w:gridCol w:w="2045"/>
        <w:gridCol w:w="2046"/>
        <w:gridCol w:w="2047"/>
        <w:gridCol w:w="2060"/>
      </w:tblGrid>
      <w:tr w:rsidR="003E0CB5" w:rsidRPr="0089477C" w14:paraId="4C2ED749" w14:textId="77777777" w:rsidTr="0008247C">
        <w:trPr>
          <w:jc w:val="center"/>
        </w:trPr>
        <w:tc>
          <w:tcPr>
            <w:tcW w:w="2209" w:type="dxa"/>
          </w:tcPr>
          <w:p w14:paraId="488E10F8" w14:textId="77777777" w:rsidR="003E0CB5" w:rsidRPr="0089477C" w:rsidRDefault="003E0CB5" w:rsidP="0089477C">
            <w:pPr>
              <w:spacing w:line="360" w:lineRule="auto"/>
              <w:jc w:val="both"/>
            </w:pPr>
            <w:r w:rsidRPr="0089477C">
              <w:rPr>
                <w:rFonts w:ascii="Arial" w:hAnsi="Arial"/>
                <w:b/>
              </w:rPr>
              <w:lastRenderedPageBreak/>
              <w:t>AUC</w:t>
            </w:r>
          </w:p>
        </w:tc>
        <w:tc>
          <w:tcPr>
            <w:tcW w:w="2209" w:type="dxa"/>
          </w:tcPr>
          <w:p w14:paraId="0D2DD9DB" w14:textId="77777777" w:rsidR="003E0CB5" w:rsidRPr="0089477C" w:rsidRDefault="003E0CB5" w:rsidP="0089477C">
            <w:pPr>
              <w:spacing w:line="360" w:lineRule="auto"/>
              <w:jc w:val="both"/>
            </w:pPr>
            <w:r w:rsidRPr="0089477C">
              <w:rPr>
                <w:rFonts w:ascii="Arial" w:hAnsi="Arial"/>
                <w:b/>
              </w:rPr>
              <w:t>Std. Error</w:t>
            </w:r>
          </w:p>
        </w:tc>
        <w:tc>
          <w:tcPr>
            <w:tcW w:w="2209" w:type="dxa"/>
          </w:tcPr>
          <w:p w14:paraId="330B5F48" w14:textId="77777777" w:rsidR="003E0CB5" w:rsidRPr="0089477C" w:rsidRDefault="003E0CB5" w:rsidP="0089477C">
            <w:pPr>
              <w:spacing w:line="360" w:lineRule="auto"/>
              <w:jc w:val="both"/>
            </w:pPr>
            <w:r w:rsidRPr="0089477C">
              <w:rPr>
                <w:rFonts w:ascii="Arial" w:hAnsi="Arial"/>
                <w:b/>
              </w:rPr>
              <w:t>P value</w:t>
            </w:r>
          </w:p>
        </w:tc>
        <w:tc>
          <w:tcPr>
            <w:tcW w:w="2209" w:type="dxa"/>
          </w:tcPr>
          <w:p w14:paraId="565313E3" w14:textId="77777777" w:rsidR="003E0CB5" w:rsidRPr="0089477C" w:rsidRDefault="003E0CB5" w:rsidP="0089477C">
            <w:pPr>
              <w:spacing w:line="360" w:lineRule="auto"/>
              <w:jc w:val="both"/>
            </w:pPr>
            <w:r w:rsidRPr="0089477C">
              <w:rPr>
                <w:rFonts w:ascii="Arial" w:hAnsi="Arial"/>
                <w:b/>
              </w:rPr>
              <w:t>95% CI</w:t>
            </w:r>
          </w:p>
        </w:tc>
      </w:tr>
      <w:tr w:rsidR="003E0CB5" w:rsidRPr="0089477C" w14:paraId="06709FC4" w14:textId="77777777" w:rsidTr="0008247C">
        <w:trPr>
          <w:jc w:val="center"/>
        </w:trPr>
        <w:tc>
          <w:tcPr>
            <w:tcW w:w="2209" w:type="dxa"/>
          </w:tcPr>
          <w:p w14:paraId="3C05F3F8" w14:textId="77777777" w:rsidR="003E0CB5" w:rsidRPr="0089477C" w:rsidRDefault="003E0CB5" w:rsidP="0089477C">
            <w:pPr>
              <w:spacing w:line="360" w:lineRule="auto"/>
              <w:jc w:val="both"/>
            </w:pPr>
            <w:r w:rsidRPr="0089477C">
              <w:rPr>
                <w:rFonts w:ascii="Arial" w:hAnsi="Arial"/>
              </w:rPr>
              <w:t>0.821</w:t>
            </w:r>
          </w:p>
        </w:tc>
        <w:tc>
          <w:tcPr>
            <w:tcW w:w="2209" w:type="dxa"/>
          </w:tcPr>
          <w:p w14:paraId="4B6D52E0" w14:textId="77777777" w:rsidR="003E0CB5" w:rsidRPr="0089477C" w:rsidRDefault="003E0CB5" w:rsidP="0089477C">
            <w:pPr>
              <w:spacing w:line="360" w:lineRule="auto"/>
              <w:jc w:val="both"/>
            </w:pPr>
            <w:r w:rsidRPr="0089477C">
              <w:rPr>
                <w:rFonts w:ascii="Arial" w:hAnsi="Arial"/>
              </w:rPr>
              <w:t>0.063</w:t>
            </w:r>
          </w:p>
        </w:tc>
        <w:tc>
          <w:tcPr>
            <w:tcW w:w="2209" w:type="dxa"/>
          </w:tcPr>
          <w:p w14:paraId="3C1136CA" w14:textId="77777777" w:rsidR="003E0CB5" w:rsidRPr="0089477C" w:rsidRDefault="003E0CB5" w:rsidP="0089477C">
            <w:pPr>
              <w:spacing w:line="360" w:lineRule="auto"/>
              <w:jc w:val="both"/>
            </w:pPr>
            <w:r w:rsidRPr="0089477C">
              <w:rPr>
                <w:rFonts w:ascii="Arial" w:hAnsi="Arial"/>
              </w:rPr>
              <w:t>&lt;.001</w:t>
            </w:r>
          </w:p>
        </w:tc>
        <w:tc>
          <w:tcPr>
            <w:tcW w:w="2209" w:type="dxa"/>
          </w:tcPr>
          <w:p w14:paraId="7B6FADEF" w14:textId="77777777" w:rsidR="003E0CB5" w:rsidRPr="0089477C" w:rsidRDefault="003E0CB5" w:rsidP="0089477C">
            <w:pPr>
              <w:spacing w:line="360" w:lineRule="auto"/>
              <w:jc w:val="both"/>
            </w:pPr>
            <w:r w:rsidRPr="0089477C">
              <w:rPr>
                <w:rFonts w:ascii="Arial" w:hAnsi="Arial"/>
              </w:rPr>
              <w:t>0.698–0.944</w:t>
            </w:r>
          </w:p>
        </w:tc>
      </w:tr>
    </w:tbl>
    <w:p w14:paraId="29ADD1EF" w14:textId="77777777" w:rsidR="003E0CB5" w:rsidRPr="0089477C" w:rsidRDefault="003E0CB5" w:rsidP="0089477C">
      <w:pPr>
        <w:spacing w:line="360" w:lineRule="auto"/>
        <w:jc w:val="both"/>
        <w:rPr>
          <w:sz w:val="22"/>
          <w:szCs w:val="22"/>
        </w:rPr>
      </w:pPr>
      <w:r w:rsidRPr="0089477C">
        <w:rPr>
          <w:rFonts w:ascii="Arial" w:hAnsi="Arial"/>
          <w:sz w:val="22"/>
          <w:szCs w:val="22"/>
        </w:rPr>
        <w:t xml:space="preserve">The finding that LDH lost its independent predictive significance in the multivariate model, despite being significant in bivariate analysis, may be attributed to its non-specific nature as a general marker of tissue injury and metabolic activity. The elevated LDH observed in MBD patients likely reflects both tumor-related and non-tumor-related metabolic processes, and its effect may have been confounded by ALP and IL-1β. This is consistent with observations by </w:t>
      </w:r>
      <w:proofErr w:type="spellStart"/>
      <w:r w:rsidRPr="0089477C">
        <w:rPr>
          <w:rFonts w:ascii="Arial" w:hAnsi="Arial"/>
          <w:sz w:val="22"/>
          <w:szCs w:val="22"/>
        </w:rPr>
        <w:t>Forkasiewicz</w:t>
      </w:r>
      <w:proofErr w:type="spellEnd"/>
      <w:r w:rsidRPr="0089477C">
        <w:rPr>
          <w:rFonts w:ascii="Arial" w:hAnsi="Arial"/>
          <w:sz w:val="22"/>
          <w:szCs w:val="22"/>
        </w:rPr>
        <w:t xml:space="preserve"> et al. (2020), who noted that LDH retains prognostic value but may not serve as an independent predictor when combined with more specific biomarkers.</w:t>
      </w:r>
    </w:p>
    <w:p w14:paraId="0C5B8C5A" w14:textId="77777777" w:rsidR="003E0CB5" w:rsidRPr="0089477C" w:rsidRDefault="003E0CB5" w:rsidP="0089477C">
      <w:pPr>
        <w:spacing w:line="360" w:lineRule="auto"/>
        <w:jc w:val="both"/>
        <w:rPr>
          <w:sz w:val="22"/>
          <w:szCs w:val="22"/>
        </w:rPr>
      </w:pPr>
      <w:r w:rsidRPr="0089477C">
        <w:rPr>
          <w:rFonts w:ascii="Arial" w:hAnsi="Arial"/>
          <w:sz w:val="22"/>
          <w:szCs w:val="22"/>
        </w:rPr>
        <w:t>The combination of ALP and IL-1β as independent predictors in the final model is biologically plausible. ALP directly reflects osteoblastic activity in response to metastatic bone remodeling, while IL-1β operates upstream by driving EMT, promoting tumor cell migration to bone, and stimulating osteoclast-mediated bone resorption through the RANK/RANKL/OPG axis (</w:t>
      </w:r>
      <w:proofErr w:type="spellStart"/>
      <w:r w:rsidRPr="0089477C">
        <w:rPr>
          <w:rFonts w:ascii="Arial" w:hAnsi="Arial"/>
          <w:sz w:val="22"/>
          <w:szCs w:val="22"/>
        </w:rPr>
        <w:t>Tulotta</w:t>
      </w:r>
      <w:proofErr w:type="spellEnd"/>
      <w:r w:rsidRPr="0089477C">
        <w:rPr>
          <w:rFonts w:ascii="Arial" w:hAnsi="Arial"/>
          <w:sz w:val="22"/>
          <w:szCs w:val="22"/>
        </w:rPr>
        <w:t xml:space="preserve"> and </w:t>
      </w:r>
      <w:proofErr w:type="spellStart"/>
      <w:r w:rsidRPr="0089477C">
        <w:rPr>
          <w:rFonts w:ascii="Arial" w:hAnsi="Arial"/>
          <w:sz w:val="22"/>
          <w:szCs w:val="22"/>
        </w:rPr>
        <w:t>Ottewell</w:t>
      </w:r>
      <w:proofErr w:type="spellEnd"/>
      <w:r w:rsidRPr="0089477C">
        <w:rPr>
          <w:rFonts w:ascii="Arial" w:hAnsi="Arial"/>
          <w:sz w:val="22"/>
          <w:szCs w:val="22"/>
        </w:rPr>
        <w:t>, 2018). Their complementary mechanisms may explain the enhanced predictive performance observed when both markers are elevated simultaneously.</w:t>
      </w:r>
    </w:p>
    <w:p w14:paraId="2F2419F6" w14:textId="77777777" w:rsidR="003E0CB5" w:rsidRPr="0089477C" w:rsidRDefault="003E0CB5" w:rsidP="0089477C">
      <w:pPr>
        <w:spacing w:line="360" w:lineRule="auto"/>
        <w:jc w:val="both"/>
        <w:rPr>
          <w:sz w:val="22"/>
          <w:szCs w:val="22"/>
        </w:rPr>
      </w:pPr>
      <w:r w:rsidRPr="0089477C">
        <w:rPr>
          <w:rFonts w:ascii="Arial" w:hAnsi="Arial"/>
          <w:b/>
          <w:sz w:val="22"/>
          <w:szCs w:val="22"/>
        </w:rPr>
        <w:t>4. CONCLUSION</w:t>
      </w:r>
    </w:p>
    <w:p w14:paraId="1704ADDD" w14:textId="77777777" w:rsidR="003E0CB5" w:rsidRPr="0089477C" w:rsidRDefault="003E0CB5" w:rsidP="0089477C">
      <w:pPr>
        <w:spacing w:line="360" w:lineRule="auto"/>
        <w:jc w:val="both"/>
        <w:rPr>
          <w:sz w:val="22"/>
          <w:szCs w:val="22"/>
        </w:rPr>
      </w:pPr>
      <w:r w:rsidRPr="0089477C">
        <w:rPr>
          <w:rFonts w:ascii="Arial" w:hAnsi="Arial"/>
          <w:sz w:val="22"/>
          <w:szCs w:val="22"/>
        </w:rPr>
        <w:t xml:space="preserve">This study demonstrates that elevated serum ALP levels and high IL-1β immunohistochemical expression are significant independent risk factors for metastatic bone disease in breast cancer patients. The combined predictive model incorporating ALP and IL-1β achieved strong diagnostic accuracy (AUC = 0.821), with patients exhibiting both elevated biomarkers having a 96.52% probability of developing MBD. While LDH showed significant association with MBD in bivariate analysis, it did not retain independent predictive value in the multivariate model. These findings support the clinical utility of a </w:t>
      </w:r>
      <w:proofErr w:type="spellStart"/>
      <w:r w:rsidRPr="0089477C">
        <w:rPr>
          <w:rFonts w:ascii="Arial" w:hAnsi="Arial"/>
          <w:sz w:val="22"/>
          <w:szCs w:val="22"/>
        </w:rPr>
        <w:t>multimarker</w:t>
      </w:r>
      <w:proofErr w:type="spellEnd"/>
      <w:r w:rsidRPr="0089477C">
        <w:rPr>
          <w:rFonts w:ascii="Arial" w:hAnsi="Arial"/>
          <w:sz w:val="22"/>
          <w:szCs w:val="22"/>
        </w:rPr>
        <w:t xml:space="preserve"> approach combining ALP and IL-1β for early identification of breast cancer patients at high risk for skeletal metastasis, facilitating timely intervention to prevent bone-related complications and improve patient quality of life. Future studies with larger sample sizes and prospective designs are warranted to validate these findings and further refine the predictive model.</w:t>
      </w:r>
    </w:p>
    <w:p w14:paraId="75A43AB3" w14:textId="77777777" w:rsidR="00404A47" w:rsidRDefault="00404A47" w:rsidP="0089477C">
      <w:pPr>
        <w:spacing w:line="360" w:lineRule="auto"/>
        <w:jc w:val="both"/>
        <w:rPr>
          <w:rFonts w:ascii="Arial" w:hAnsi="Arial"/>
          <w:b/>
          <w:sz w:val="22"/>
          <w:szCs w:val="22"/>
        </w:rPr>
      </w:pPr>
      <w:bookmarkStart w:id="1" w:name="_GoBack"/>
      <w:bookmarkEnd w:id="1"/>
    </w:p>
    <w:p w14:paraId="100F96C5" w14:textId="0E873FB8" w:rsidR="003E0CB5" w:rsidRPr="0089477C" w:rsidRDefault="003E0CB5" w:rsidP="0089477C">
      <w:pPr>
        <w:spacing w:line="360" w:lineRule="auto"/>
        <w:jc w:val="both"/>
        <w:rPr>
          <w:sz w:val="22"/>
          <w:szCs w:val="22"/>
        </w:rPr>
      </w:pPr>
      <w:r w:rsidRPr="0089477C">
        <w:rPr>
          <w:rFonts w:ascii="Arial" w:hAnsi="Arial"/>
          <w:b/>
          <w:sz w:val="22"/>
          <w:szCs w:val="22"/>
        </w:rPr>
        <w:lastRenderedPageBreak/>
        <w:t>CONSENT</w:t>
      </w:r>
    </w:p>
    <w:p w14:paraId="4117C787" w14:textId="77777777" w:rsidR="003E0CB5" w:rsidRPr="0089477C" w:rsidRDefault="003E0CB5" w:rsidP="0089477C">
      <w:pPr>
        <w:spacing w:line="360" w:lineRule="auto"/>
        <w:jc w:val="both"/>
        <w:rPr>
          <w:sz w:val="22"/>
          <w:szCs w:val="22"/>
        </w:rPr>
      </w:pPr>
      <w:r w:rsidRPr="0089477C">
        <w:rPr>
          <w:rFonts w:ascii="Arial" w:hAnsi="Arial"/>
          <w:sz w:val="22"/>
          <w:szCs w:val="22"/>
        </w:rPr>
        <w:t>Written informed consent was obtained from all participants for inclusion in this study and for publication of anonymized data. A copy of the written consent is available for review by the Editorial office of this journal.</w:t>
      </w:r>
    </w:p>
    <w:p w14:paraId="484E5637" w14:textId="77777777" w:rsidR="003E0CB5" w:rsidRPr="0089477C" w:rsidRDefault="003E0CB5" w:rsidP="0089477C">
      <w:pPr>
        <w:spacing w:line="360" w:lineRule="auto"/>
        <w:jc w:val="both"/>
        <w:rPr>
          <w:sz w:val="22"/>
          <w:szCs w:val="22"/>
        </w:rPr>
      </w:pPr>
      <w:r w:rsidRPr="0089477C">
        <w:rPr>
          <w:rFonts w:ascii="Arial" w:hAnsi="Arial"/>
          <w:b/>
          <w:sz w:val="22"/>
          <w:szCs w:val="22"/>
        </w:rPr>
        <w:t>ETHICAL APPROVAL</w:t>
      </w:r>
    </w:p>
    <w:p w14:paraId="004E6376" w14:textId="77777777" w:rsidR="003E0CB5" w:rsidRPr="0089477C" w:rsidRDefault="003E0CB5" w:rsidP="0089477C">
      <w:pPr>
        <w:spacing w:line="360" w:lineRule="auto"/>
        <w:jc w:val="both"/>
        <w:rPr>
          <w:sz w:val="22"/>
          <w:szCs w:val="22"/>
        </w:rPr>
      </w:pPr>
      <w:r w:rsidRPr="0089477C">
        <w:rPr>
          <w:rFonts w:ascii="Arial" w:hAnsi="Arial"/>
          <w:sz w:val="22"/>
          <w:szCs w:val="22"/>
        </w:rPr>
        <w:t>All procedures performed in this study involving human participants were in accordance with the ethical standards of the institutional research committee and with the 1964 Declaration of Helsinki and its later amendments. Ethical approval was obtained from the Ethics Committee of the Faculty of Medicine, Udayana University (Reference No. B/1169/UN14.2.</w:t>
      </w:r>
      <w:proofErr w:type="gramStart"/>
      <w:r w:rsidRPr="0089477C">
        <w:rPr>
          <w:rFonts w:ascii="Arial" w:hAnsi="Arial"/>
          <w:sz w:val="22"/>
          <w:szCs w:val="22"/>
        </w:rPr>
        <w:t>2.V.</w:t>
      </w:r>
      <w:proofErr w:type="gramEnd"/>
      <w:r w:rsidRPr="0089477C">
        <w:rPr>
          <w:rFonts w:ascii="Arial" w:hAnsi="Arial"/>
          <w:sz w:val="22"/>
          <w:szCs w:val="22"/>
        </w:rPr>
        <w:t>21/PK.03.08./2025).</w:t>
      </w:r>
    </w:p>
    <w:p w14:paraId="5A4A536C" w14:textId="77777777" w:rsidR="003E0CB5" w:rsidRPr="0089477C" w:rsidRDefault="003E0CB5" w:rsidP="0089477C">
      <w:pPr>
        <w:spacing w:line="360" w:lineRule="auto"/>
        <w:jc w:val="both"/>
        <w:rPr>
          <w:sz w:val="22"/>
          <w:szCs w:val="22"/>
        </w:rPr>
      </w:pPr>
      <w:r w:rsidRPr="0089477C">
        <w:rPr>
          <w:rFonts w:ascii="Arial" w:hAnsi="Arial"/>
          <w:b/>
          <w:sz w:val="22"/>
          <w:szCs w:val="22"/>
        </w:rPr>
        <w:t>REFERENCES</w:t>
      </w:r>
    </w:p>
    <w:p w14:paraId="706F40DB" w14:textId="77777777" w:rsidR="003E0CB5" w:rsidRPr="0089477C" w:rsidRDefault="003E0CB5" w:rsidP="00F869FD">
      <w:pPr>
        <w:jc w:val="both"/>
        <w:rPr>
          <w:sz w:val="22"/>
          <w:szCs w:val="22"/>
        </w:rPr>
      </w:pPr>
      <w:r w:rsidRPr="0089477C">
        <w:rPr>
          <w:rFonts w:ascii="Arial" w:hAnsi="Arial"/>
          <w:sz w:val="22"/>
          <w:szCs w:val="22"/>
        </w:rPr>
        <w:t>Azevedo, A. S., Farinha, P., &amp; Paredes, J. (2015). Bone metastasis from breast cancer: Pathogenesis and clinical implications. Journal of Molecular Medicine, 93(1), 1–12.</w:t>
      </w:r>
    </w:p>
    <w:p w14:paraId="77180BFD" w14:textId="77777777" w:rsidR="003E0CB5" w:rsidRPr="0089477C" w:rsidRDefault="003E0CB5" w:rsidP="00F869FD">
      <w:pPr>
        <w:jc w:val="both"/>
        <w:rPr>
          <w:sz w:val="22"/>
          <w:szCs w:val="22"/>
        </w:rPr>
      </w:pPr>
      <w:r w:rsidRPr="0089477C">
        <w:rPr>
          <w:rFonts w:ascii="Arial" w:hAnsi="Arial"/>
          <w:sz w:val="22"/>
          <w:szCs w:val="22"/>
        </w:rPr>
        <w:t>Azim, H. A., Abdel-Malek, R., &amp; Kassem, L. (2018). Predicting brain metastasis in breast cancer patients: Stage versus biology. Clinical Breast Cancer, 18(2), e187–e195.</w:t>
      </w:r>
    </w:p>
    <w:p w14:paraId="7090E178" w14:textId="77777777" w:rsidR="003E0CB5" w:rsidRPr="0089477C" w:rsidRDefault="003E0CB5" w:rsidP="00F869FD">
      <w:pPr>
        <w:jc w:val="both"/>
        <w:rPr>
          <w:sz w:val="22"/>
          <w:szCs w:val="22"/>
        </w:rPr>
      </w:pPr>
      <w:r w:rsidRPr="0089477C">
        <w:rPr>
          <w:rFonts w:ascii="Arial" w:hAnsi="Arial"/>
          <w:sz w:val="22"/>
          <w:szCs w:val="22"/>
        </w:rPr>
        <w:t>Brown, J. E., Cook, R. J., Major, P., Lipton, A., Saad, F., Smith, M., et al. (2005). Bone turnover markers as predictors of skeletal complications in prostate cancer, lung cancer, and other solid tumors. Journal of the National Cancer Institute, 97(1), 59–69.</w:t>
      </w:r>
    </w:p>
    <w:p w14:paraId="01269C7A" w14:textId="77777777" w:rsidR="003E0CB5" w:rsidRPr="0089477C" w:rsidRDefault="003E0CB5" w:rsidP="00F869FD">
      <w:pPr>
        <w:jc w:val="both"/>
        <w:rPr>
          <w:sz w:val="22"/>
          <w:szCs w:val="22"/>
        </w:rPr>
      </w:pPr>
      <w:r w:rsidRPr="0089477C">
        <w:rPr>
          <w:rFonts w:ascii="Arial" w:hAnsi="Arial"/>
          <w:sz w:val="22"/>
          <w:szCs w:val="22"/>
        </w:rPr>
        <w:t>Brown, J. E., Sim, S., &amp; Glaspy, J. A. (2012). LDH as a prognostic factor in cancer. Annals of Oncology, 23(Suppl 9), ix32.</w:t>
      </w:r>
    </w:p>
    <w:p w14:paraId="414DACBE" w14:textId="77777777" w:rsidR="003E0CB5" w:rsidRPr="0089477C" w:rsidRDefault="003E0CB5" w:rsidP="00F869FD">
      <w:pPr>
        <w:jc w:val="both"/>
        <w:rPr>
          <w:sz w:val="22"/>
          <w:szCs w:val="22"/>
        </w:rPr>
      </w:pPr>
      <w:r w:rsidRPr="0089477C">
        <w:rPr>
          <w:rFonts w:ascii="Arial" w:hAnsi="Arial"/>
          <w:sz w:val="22"/>
          <w:szCs w:val="22"/>
        </w:rPr>
        <w:t>Chen, W. Z., Shen, J. F., Zhou, Y., Chen, X. Y., Liu, J. M., &amp; Liu, Z. L. (2017). Clinical characteristics and risk factors for developing bone metastases in patients with breast cancer. Scientific Reports, 7(1), 11325.</w:t>
      </w:r>
    </w:p>
    <w:p w14:paraId="5BE8C63F" w14:textId="77777777" w:rsidR="003E0CB5" w:rsidRPr="0089477C" w:rsidRDefault="003E0CB5" w:rsidP="00F869FD">
      <w:pPr>
        <w:jc w:val="both"/>
        <w:rPr>
          <w:sz w:val="22"/>
          <w:szCs w:val="22"/>
        </w:rPr>
      </w:pPr>
      <w:r w:rsidRPr="0089477C">
        <w:rPr>
          <w:rFonts w:ascii="Arial" w:hAnsi="Arial"/>
          <w:sz w:val="22"/>
          <w:szCs w:val="22"/>
        </w:rPr>
        <w:t>Jiang, C., Hu, F., Li, J., Gao, G., &amp; Guo, X. (2023). Diagnostic value of alkaline phosphatase and bone-specific alkaline phosphatase for metastases in breast cancer: A systematic review and meta-analysis. Breast Cancer Research and Treatment, 202(2), 233–244.</w:t>
      </w:r>
    </w:p>
    <w:p w14:paraId="0C0A404C" w14:textId="77777777" w:rsidR="003E0CB5" w:rsidRPr="0089477C" w:rsidRDefault="003E0CB5" w:rsidP="00F869FD">
      <w:pPr>
        <w:jc w:val="both"/>
        <w:rPr>
          <w:sz w:val="22"/>
          <w:szCs w:val="22"/>
        </w:rPr>
      </w:pPr>
      <w:r w:rsidRPr="0089477C">
        <w:rPr>
          <w:rFonts w:ascii="Arial" w:hAnsi="Arial"/>
          <w:sz w:val="22"/>
          <w:szCs w:val="22"/>
        </w:rPr>
        <w:t xml:space="preserve">Cleeland, C. S., Body, J. J., </w:t>
      </w:r>
      <w:proofErr w:type="spellStart"/>
      <w:r w:rsidRPr="0089477C">
        <w:rPr>
          <w:rFonts w:ascii="Arial" w:hAnsi="Arial"/>
          <w:sz w:val="22"/>
          <w:szCs w:val="22"/>
        </w:rPr>
        <w:t>Stopeck</w:t>
      </w:r>
      <w:proofErr w:type="spellEnd"/>
      <w:r w:rsidRPr="0089477C">
        <w:rPr>
          <w:rFonts w:ascii="Arial" w:hAnsi="Arial"/>
          <w:sz w:val="22"/>
          <w:szCs w:val="22"/>
        </w:rPr>
        <w:t>, A., von Moos, R., Fallowfield, L., Mathias, S. D., et al. (2013). Pain outcomes in patients with advanced breast cancer and bone metastases. Cancer, 119(4), 832–838.</w:t>
      </w:r>
    </w:p>
    <w:p w14:paraId="00515C2F" w14:textId="77777777" w:rsidR="003E0CB5" w:rsidRPr="0089477C" w:rsidRDefault="003E0CB5" w:rsidP="00F869FD">
      <w:pPr>
        <w:jc w:val="both"/>
        <w:rPr>
          <w:sz w:val="22"/>
          <w:szCs w:val="22"/>
        </w:rPr>
      </w:pPr>
      <w:r w:rsidRPr="0089477C">
        <w:rPr>
          <w:rFonts w:ascii="Arial" w:hAnsi="Arial"/>
          <w:sz w:val="22"/>
          <w:szCs w:val="22"/>
        </w:rPr>
        <w:t>Coleman, R. E. (2001). Metastatic bone disease: Clinical features, pathophysiology and treatment strategies. Cancer Treatment Reviews, 27(3), 165–176.</w:t>
      </w:r>
    </w:p>
    <w:p w14:paraId="4C4A2FDF" w14:textId="77777777" w:rsidR="003E0CB5" w:rsidRPr="0089477C" w:rsidRDefault="003E0CB5" w:rsidP="00F869FD">
      <w:pPr>
        <w:jc w:val="both"/>
        <w:rPr>
          <w:sz w:val="22"/>
          <w:szCs w:val="22"/>
        </w:rPr>
      </w:pPr>
      <w:r w:rsidRPr="0089477C">
        <w:rPr>
          <w:rFonts w:ascii="Arial" w:hAnsi="Arial"/>
          <w:sz w:val="22"/>
          <w:szCs w:val="22"/>
        </w:rPr>
        <w:t>Coleman, R. E. (2006). Clinical features of metastatic bone disease and risk of skeletal morbidity. Clinical Cancer Research, 12(20 Suppl), 6243s–6249s.</w:t>
      </w:r>
    </w:p>
    <w:p w14:paraId="551B4BB6" w14:textId="77777777" w:rsidR="003E0CB5" w:rsidRPr="0089477C" w:rsidRDefault="003E0CB5" w:rsidP="00F869FD">
      <w:pPr>
        <w:jc w:val="both"/>
        <w:rPr>
          <w:sz w:val="22"/>
          <w:szCs w:val="22"/>
        </w:rPr>
      </w:pPr>
      <w:proofErr w:type="spellStart"/>
      <w:r w:rsidRPr="0089477C">
        <w:rPr>
          <w:rFonts w:ascii="Arial" w:hAnsi="Arial"/>
          <w:sz w:val="22"/>
          <w:szCs w:val="22"/>
        </w:rPr>
        <w:t>D'Oronzo</w:t>
      </w:r>
      <w:proofErr w:type="spellEnd"/>
      <w:r w:rsidRPr="0089477C">
        <w:rPr>
          <w:rFonts w:ascii="Arial" w:hAnsi="Arial"/>
          <w:sz w:val="22"/>
          <w:szCs w:val="22"/>
        </w:rPr>
        <w:t>, S., Coleman, R., Brown, J., &amp; Silvestris, F. (2017). Metastatic bone disease: Pathogenesis and therapeutic options. Journal of Bone Oncology, 15, 100205.</w:t>
      </w:r>
    </w:p>
    <w:p w14:paraId="13347B35" w14:textId="77777777" w:rsidR="003E0CB5" w:rsidRPr="0089477C" w:rsidRDefault="003E0CB5" w:rsidP="00F869FD">
      <w:pPr>
        <w:jc w:val="both"/>
        <w:rPr>
          <w:sz w:val="22"/>
          <w:szCs w:val="22"/>
        </w:rPr>
      </w:pPr>
      <w:r w:rsidRPr="0089477C">
        <w:rPr>
          <w:rFonts w:ascii="Arial" w:hAnsi="Arial"/>
          <w:sz w:val="22"/>
          <w:szCs w:val="22"/>
        </w:rPr>
        <w:t>Fan, L., Strasser-Weippl, K., Li, J. J., St Louis, J., Finkelstein, D. M., Yu, K. D., et al. (2014). Breast cancer in China. The Lancet Oncology, 15(7), e279–e289.</w:t>
      </w:r>
    </w:p>
    <w:p w14:paraId="5F675DEB" w14:textId="77777777" w:rsidR="003E0CB5" w:rsidRPr="0089477C" w:rsidRDefault="003E0CB5" w:rsidP="00F869FD">
      <w:pPr>
        <w:jc w:val="both"/>
        <w:rPr>
          <w:sz w:val="22"/>
          <w:szCs w:val="22"/>
        </w:rPr>
      </w:pPr>
      <w:proofErr w:type="spellStart"/>
      <w:r w:rsidRPr="0089477C">
        <w:rPr>
          <w:rFonts w:ascii="Arial" w:hAnsi="Arial"/>
          <w:sz w:val="22"/>
          <w:szCs w:val="22"/>
        </w:rPr>
        <w:lastRenderedPageBreak/>
        <w:t>Forkasiewicz</w:t>
      </w:r>
      <w:proofErr w:type="spellEnd"/>
      <w:r w:rsidRPr="0089477C">
        <w:rPr>
          <w:rFonts w:ascii="Arial" w:hAnsi="Arial"/>
          <w:sz w:val="22"/>
          <w:szCs w:val="22"/>
        </w:rPr>
        <w:t xml:space="preserve">, A., </w:t>
      </w:r>
      <w:proofErr w:type="spellStart"/>
      <w:r w:rsidRPr="0089477C">
        <w:rPr>
          <w:rFonts w:ascii="Arial" w:hAnsi="Arial"/>
          <w:sz w:val="22"/>
          <w:szCs w:val="22"/>
        </w:rPr>
        <w:t>Dorociak</w:t>
      </w:r>
      <w:proofErr w:type="spellEnd"/>
      <w:r w:rsidRPr="0089477C">
        <w:rPr>
          <w:rFonts w:ascii="Arial" w:hAnsi="Arial"/>
          <w:sz w:val="22"/>
          <w:szCs w:val="22"/>
        </w:rPr>
        <w:t xml:space="preserve">, M., Stach, K., Szelachowski, P., &amp; </w:t>
      </w:r>
      <w:proofErr w:type="spellStart"/>
      <w:r w:rsidRPr="0089477C">
        <w:rPr>
          <w:rFonts w:ascii="Arial" w:hAnsi="Arial"/>
          <w:sz w:val="22"/>
          <w:szCs w:val="22"/>
        </w:rPr>
        <w:t>Tabola</w:t>
      </w:r>
      <w:proofErr w:type="spellEnd"/>
      <w:r w:rsidRPr="0089477C">
        <w:rPr>
          <w:rFonts w:ascii="Arial" w:hAnsi="Arial"/>
          <w:sz w:val="22"/>
          <w:szCs w:val="22"/>
        </w:rPr>
        <w:t>, R. (2020). The usefulness of lactate dehydrogenase measurements in current oncological practice. Cellular &amp; Molecular Biology Letters, 25, 35.</w:t>
      </w:r>
    </w:p>
    <w:p w14:paraId="1B8AED05" w14:textId="77777777" w:rsidR="003E0CB5" w:rsidRPr="0089477C" w:rsidRDefault="003E0CB5" w:rsidP="00F869FD">
      <w:pPr>
        <w:jc w:val="both"/>
        <w:rPr>
          <w:sz w:val="22"/>
          <w:szCs w:val="22"/>
        </w:rPr>
      </w:pPr>
      <w:r w:rsidRPr="0089477C">
        <w:rPr>
          <w:rFonts w:ascii="Arial" w:hAnsi="Arial"/>
          <w:sz w:val="22"/>
          <w:szCs w:val="22"/>
        </w:rPr>
        <w:t xml:space="preserve">Freeman, A. K., Sumathi, V. P., &amp; Jeys, L. (2018). Metastatic </w:t>
      </w:r>
      <w:proofErr w:type="spellStart"/>
      <w:r w:rsidRPr="0089477C">
        <w:rPr>
          <w:rFonts w:ascii="Arial" w:hAnsi="Arial"/>
          <w:sz w:val="22"/>
          <w:szCs w:val="22"/>
        </w:rPr>
        <w:t>tumours</w:t>
      </w:r>
      <w:proofErr w:type="spellEnd"/>
      <w:r w:rsidRPr="0089477C">
        <w:rPr>
          <w:rFonts w:ascii="Arial" w:hAnsi="Arial"/>
          <w:sz w:val="22"/>
          <w:szCs w:val="22"/>
        </w:rPr>
        <w:t xml:space="preserve"> of bone. Surgery, 36(2), 93–98.</w:t>
      </w:r>
    </w:p>
    <w:p w14:paraId="3BB39AD4" w14:textId="77777777" w:rsidR="003E0CB5" w:rsidRPr="0089477C" w:rsidRDefault="003E0CB5" w:rsidP="00F869FD">
      <w:pPr>
        <w:jc w:val="both"/>
        <w:rPr>
          <w:sz w:val="22"/>
          <w:szCs w:val="22"/>
        </w:rPr>
      </w:pPr>
      <w:r w:rsidRPr="0089477C">
        <w:rPr>
          <w:rFonts w:ascii="Arial" w:hAnsi="Arial"/>
          <w:sz w:val="22"/>
          <w:szCs w:val="22"/>
        </w:rPr>
        <w:t xml:space="preserve">Gunasinghe, N. P. A. D., Wells, A., Thompson, E. W., &amp; Hugo, H. J. (2012). Mesenchymal–epithelial transition (MET) as a mechanism for metastatic </w:t>
      </w:r>
      <w:proofErr w:type="spellStart"/>
      <w:r w:rsidRPr="0089477C">
        <w:rPr>
          <w:rFonts w:ascii="Arial" w:hAnsi="Arial"/>
          <w:sz w:val="22"/>
          <w:szCs w:val="22"/>
        </w:rPr>
        <w:t>colonisation</w:t>
      </w:r>
      <w:proofErr w:type="spellEnd"/>
      <w:r w:rsidRPr="0089477C">
        <w:rPr>
          <w:rFonts w:ascii="Arial" w:hAnsi="Arial"/>
          <w:sz w:val="22"/>
          <w:szCs w:val="22"/>
        </w:rPr>
        <w:t xml:space="preserve"> in breast cancer. Cancer and Metastasis Reviews, 31(3–4), 469–478.</w:t>
      </w:r>
    </w:p>
    <w:p w14:paraId="744791D3" w14:textId="77777777" w:rsidR="003E0CB5" w:rsidRPr="0089477C" w:rsidRDefault="003E0CB5" w:rsidP="00F869FD">
      <w:pPr>
        <w:jc w:val="both"/>
        <w:rPr>
          <w:sz w:val="22"/>
          <w:szCs w:val="22"/>
        </w:rPr>
      </w:pPr>
      <w:r w:rsidRPr="0089477C">
        <w:rPr>
          <w:rFonts w:ascii="Arial" w:hAnsi="Arial"/>
          <w:sz w:val="22"/>
          <w:szCs w:val="22"/>
        </w:rPr>
        <w:t>Howlader, N., Noone, A. M., Krapcho, M., et al. (2021). SEER Cancer Statistics Review, 1975–2018. National Cancer Institute.</w:t>
      </w:r>
    </w:p>
    <w:p w14:paraId="78B2518C" w14:textId="77777777" w:rsidR="003E0CB5" w:rsidRPr="0089477C" w:rsidRDefault="003E0CB5" w:rsidP="00F869FD">
      <w:pPr>
        <w:jc w:val="both"/>
        <w:rPr>
          <w:sz w:val="22"/>
          <w:szCs w:val="22"/>
        </w:rPr>
      </w:pPr>
      <w:r w:rsidRPr="0089477C">
        <w:rPr>
          <w:rFonts w:ascii="Arial" w:hAnsi="Arial"/>
          <w:sz w:val="22"/>
          <w:szCs w:val="22"/>
        </w:rPr>
        <w:t>Hu, K., Lou, L., Ye, J., &amp; Zhang, S. (2015). Prognostic role of the neutrophil-lymphocyte ratio in renal cell carcinoma: A meta-analysis. BMJ Open, 5(4), e006404.</w:t>
      </w:r>
    </w:p>
    <w:p w14:paraId="6BEF5879" w14:textId="77777777" w:rsidR="003E0CB5" w:rsidRPr="0089477C" w:rsidRDefault="003E0CB5" w:rsidP="00F869FD">
      <w:pPr>
        <w:jc w:val="both"/>
        <w:rPr>
          <w:sz w:val="22"/>
          <w:szCs w:val="22"/>
        </w:rPr>
      </w:pPr>
      <w:r w:rsidRPr="0089477C">
        <w:rPr>
          <w:rFonts w:ascii="Arial" w:hAnsi="Arial"/>
          <w:sz w:val="22"/>
          <w:szCs w:val="22"/>
        </w:rPr>
        <w:t>Dinarello, C. A. (2011). Interleukin-1 in the pathogenesis and treatment of inflammatory diseases. Blood, 117(14), 3720–3732.</w:t>
      </w:r>
    </w:p>
    <w:p w14:paraId="58221A75" w14:textId="77777777" w:rsidR="003E0CB5" w:rsidRPr="0089477C" w:rsidRDefault="003E0CB5" w:rsidP="00F869FD">
      <w:pPr>
        <w:jc w:val="both"/>
        <w:rPr>
          <w:sz w:val="22"/>
          <w:szCs w:val="22"/>
        </w:rPr>
      </w:pPr>
      <w:r w:rsidRPr="0089477C">
        <w:rPr>
          <w:rFonts w:ascii="Arial" w:hAnsi="Arial"/>
          <w:sz w:val="22"/>
          <w:szCs w:val="22"/>
        </w:rPr>
        <w:t xml:space="preserve">Keshaviah, A., </w:t>
      </w:r>
      <w:proofErr w:type="spellStart"/>
      <w:r w:rsidRPr="0089477C">
        <w:rPr>
          <w:rFonts w:ascii="Arial" w:hAnsi="Arial"/>
          <w:sz w:val="22"/>
          <w:szCs w:val="22"/>
        </w:rPr>
        <w:t>Dellapasqua</w:t>
      </w:r>
      <w:proofErr w:type="spellEnd"/>
      <w:r w:rsidRPr="0089477C">
        <w:rPr>
          <w:rFonts w:ascii="Arial" w:hAnsi="Arial"/>
          <w:sz w:val="22"/>
          <w:szCs w:val="22"/>
        </w:rPr>
        <w:t xml:space="preserve">, S., </w:t>
      </w:r>
      <w:proofErr w:type="spellStart"/>
      <w:r w:rsidRPr="0089477C">
        <w:rPr>
          <w:rFonts w:ascii="Arial" w:hAnsi="Arial"/>
          <w:sz w:val="22"/>
          <w:szCs w:val="22"/>
        </w:rPr>
        <w:t>Rotmensz</w:t>
      </w:r>
      <w:proofErr w:type="spellEnd"/>
      <w:r w:rsidRPr="0089477C">
        <w:rPr>
          <w:rFonts w:ascii="Arial" w:hAnsi="Arial"/>
          <w:sz w:val="22"/>
          <w:szCs w:val="22"/>
        </w:rPr>
        <w:t xml:space="preserve">, N., Lindtner, J., </w:t>
      </w:r>
      <w:proofErr w:type="spellStart"/>
      <w:r w:rsidRPr="0089477C">
        <w:rPr>
          <w:rFonts w:ascii="Arial" w:hAnsi="Arial"/>
          <w:sz w:val="22"/>
          <w:szCs w:val="22"/>
        </w:rPr>
        <w:t>Crivellari</w:t>
      </w:r>
      <w:proofErr w:type="spellEnd"/>
      <w:r w:rsidRPr="0089477C">
        <w:rPr>
          <w:rFonts w:ascii="Arial" w:hAnsi="Arial"/>
          <w:sz w:val="22"/>
          <w:szCs w:val="22"/>
        </w:rPr>
        <w:t>, D., Collins, J., et al. (2007). CA15-3 and alkaline phosphatase as predictors for breast cancer recurrence: A combined analysis of seven International Breast Cancer Study Group trials. Annals of Oncology, 18(4), 701–708.</w:t>
      </w:r>
    </w:p>
    <w:p w14:paraId="2F5DE820" w14:textId="77777777" w:rsidR="003E0CB5" w:rsidRPr="0089477C" w:rsidRDefault="003E0CB5" w:rsidP="00F869FD">
      <w:pPr>
        <w:jc w:val="both"/>
        <w:rPr>
          <w:sz w:val="22"/>
          <w:szCs w:val="22"/>
        </w:rPr>
      </w:pPr>
      <w:r w:rsidRPr="0089477C">
        <w:rPr>
          <w:rFonts w:ascii="Arial" w:hAnsi="Arial"/>
          <w:sz w:val="22"/>
          <w:szCs w:val="22"/>
        </w:rPr>
        <w:t>McCarty, M. F. (2010). The H-score method for immunohistochemistry: Principles and clinical applications. Diagnostic Histopathology, 16(4), 169–176.</w:t>
      </w:r>
    </w:p>
    <w:p w14:paraId="409EE380" w14:textId="77777777" w:rsidR="003E0CB5" w:rsidRPr="0089477C" w:rsidRDefault="003E0CB5" w:rsidP="00F869FD">
      <w:pPr>
        <w:jc w:val="both"/>
        <w:rPr>
          <w:sz w:val="22"/>
          <w:szCs w:val="22"/>
        </w:rPr>
      </w:pPr>
      <w:r w:rsidRPr="0089477C">
        <w:rPr>
          <w:rFonts w:ascii="Arial" w:hAnsi="Arial"/>
          <w:sz w:val="22"/>
          <w:szCs w:val="22"/>
        </w:rPr>
        <w:t>Li, G., Gao, J., Tao, Y. L., Xu, B. Q., Tu, Z. W., Liu, Z. G., et al. (2016). Increased pretreatment levels of serum LDH and ALP as poor prognostic factors for nasopharyngeal carcinoma. Chinese Journal of Cancer, 31(4), 197–206.</w:t>
      </w:r>
    </w:p>
    <w:p w14:paraId="2A8A711B" w14:textId="77777777" w:rsidR="003E0CB5" w:rsidRPr="0089477C" w:rsidRDefault="003E0CB5" w:rsidP="00F869FD">
      <w:pPr>
        <w:jc w:val="both"/>
        <w:rPr>
          <w:sz w:val="22"/>
          <w:szCs w:val="22"/>
        </w:rPr>
      </w:pPr>
      <w:r w:rsidRPr="0089477C">
        <w:rPr>
          <w:rFonts w:ascii="Arial" w:hAnsi="Arial"/>
          <w:sz w:val="22"/>
          <w:szCs w:val="22"/>
        </w:rPr>
        <w:t>Macedo, F., Ladeira, K., Pinho, F., Saraiva, N., Bonito, N., Pinto, L., et al. (2017). Bone metastases: An overview. Oncology Reviews, 11(1), 321.</w:t>
      </w:r>
    </w:p>
    <w:p w14:paraId="1C21D6DA" w14:textId="77777777" w:rsidR="003E0CB5" w:rsidRPr="0089477C" w:rsidRDefault="003E0CB5" w:rsidP="00F869FD">
      <w:pPr>
        <w:jc w:val="both"/>
        <w:rPr>
          <w:sz w:val="22"/>
          <w:szCs w:val="22"/>
        </w:rPr>
      </w:pPr>
      <w:r w:rsidRPr="0089477C">
        <w:rPr>
          <w:rFonts w:ascii="Arial" w:hAnsi="Arial"/>
          <w:sz w:val="22"/>
          <w:szCs w:val="22"/>
        </w:rPr>
        <w:t xml:space="preserve">Metwally, A. M., </w:t>
      </w:r>
      <w:proofErr w:type="spellStart"/>
      <w:r w:rsidRPr="0089477C">
        <w:rPr>
          <w:rFonts w:ascii="Arial" w:hAnsi="Arial"/>
          <w:sz w:val="22"/>
          <w:szCs w:val="22"/>
        </w:rPr>
        <w:t>Hendawy</w:t>
      </w:r>
      <w:proofErr w:type="spellEnd"/>
      <w:r w:rsidRPr="0089477C">
        <w:rPr>
          <w:rFonts w:ascii="Arial" w:hAnsi="Arial"/>
          <w:sz w:val="22"/>
          <w:szCs w:val="22"/>
        </w:rPr>
        <w:t>, H. A., &amp; Ghaith, D. M. (2020). Diagnostic accuracy of alkaline phosphatase for detection of bone metastasis in breast cancer patients. Asian Pacific Journal of Cancer Prevention, 21(4), 1067–1072.</w:t>
      </w:r>
    </w:p>
    <w:p w14:paraId="593C2BF5" w14:textId="77777777" w:rsidR="003E0CB5" w:rsidRPr="0089477C" w:rsidRDefault="003E0CB5" w:rsidP="00F869FD">
      <w:pPr>
        <w:jc w:val="both"/>
        <w:rPr>
          <w:sz w:val="22"/>
          <w:szCs w:val="22"/>
        </w:rPr>
      </w:pPr>
      <w:r w:rsidRPr="0089477C">
        <w:rPr>
          <w:rFonts w:ascii="Arial" w:hAnsi="Arial"/>
          <w:sz w:val="22"/>
          <w:szCs w:val="22"/>
        </w:rPr>
        <w:t>Mundy, G. R. (2002). Metastasis to bone: Causes, consequences and therapeutic opportunities. Nature Reviews Cancer, 2(8), 584–593.</w:t>
      </w:r>
    </w:p>
    <w:p w14:paraId="746F29C5" w14:textId="77777777" w:rsidR="003E0CB5" w:rsidRPr="0089477C" w:rsidRDefault="003E0CB5" w:rsidP="00F869FD">
      <w:pPr>
        <w:jc w:val="both"/>
        <w:rPr>
          <w:sz w:val="22"/>
          <w:szCs w:val="22"/>
        </w:rPr>
      </w:pPr>
      <w:r w:rsidRPr="0089477C">
        <w:rPr>
          <w:rFonts w:ascii="Arial" w:hAnsi="Arial"/>
          <w:sz w:val="22"/>
          <w:szCs w:val="22"/>
        </w:rPr>
        <w:t xml:space="preserve">Thio, Q. C. B. S., Karhade, A. V., Notman, E., Raskin, K. A., Lozano-Calderón, S. A., Ferrone, M. L., et al. (2020). Serum alkaline phosphatase is a prognostic marker in bone metastatic disease of the extremity. Journal of </w:t>
      </w:r>
      <w:proofErr w:type="spellStart"/>
      <w:r w:rsidRPr="0089477C">
        <w:rPr>
          <w:rFonts w:ascii="Arial" w:hAnsi="Arial"/>
          <w:sz w:val="22"/>
          <w:szCs w:val="22"/>
        </w:rPr>
        <w:t>Orthopaedics</w:t>
      </w:r>
      <w:proofErr w:type="spellEnd"/>
      <w:r w:rsidRPr="0089477C">
        <w:rPr>
          <w:rFonts w:ascii="Arial" w:hAnsi="Arial"/>
          <w:sz w:val="22"/>
          <w:szCs w:val="22"/>
        </w:rPr>
        <w:t>, 22, 346–351.</w:t>
      </w:r>
    </w:p>
    <w:p w14:paraId="67A26D9D" w14:textId="77777777" w:rsidR="003E0CB5" w:rsidRPr="0089477C" w:rsidRDefault="003E0CB5" w:rsidP="00F869FD">
      <w:pPr>
        <w:jc w:val="both"/>
        <w:rPr>
          <w:sz w:val="22"/>
          <w:szCs w:val="22"/>
        </w:rPr>
      </w:pPr>
      <w:r w:rsidRPr="0089477C">
        <w:rPr>
          <w:rFonts w:ascii="Arial" w:hAnsi="Arial"/>
          <w:sz w:val="22"/>
          <w:szCs w:val="22"/>
        </w:rPr>
        <w:t xml:space="preserve">Ibrahim, T., </w:t>
      </w:r>
      <w:proofErr w:type="spellStart"/>
      <w:r w:rsidRPr="0089477C">
        <w:rPr>
          <w:rFonts w:ascii="Arial" w:hAnsi="Arial"/>
          <w:sz w:val="22"/>
          <w:szCs w:val="22"/>
        </w:rPr>
        <w:t>Mercatali</w:t>
      </w:r>
      <w:proofErr w:type="spellEnd"/>
      <w:r w:rsidRPr="0089477C">
        <w:rPr>
          <w:rFonts w:ascii="Arial" w:hAnsi="Arial"/>
          <w:sz w:val="22"/>
          <w:szCs w:val="22"/>
        </w:rPr>
        <w:t>, L., &amp; Amadori, D. (2013). A new emergency in oncology: Bone metastases in breast cancer patients. Oncology Letters, 6(2), 306–310.</w:t>
      </w:r>
    </w:p>
    <w:p w14:paraId="5D541466" w14:textId="77777777" w:rsidR="003E0CB5" w:rsidRPr="0089477C" w:rsidRDefault="003E0CB5" w:rsidP="00F869FD">
      <w:pPr>
        <w:jc w:val="both"/>
        <w:rPr>
          <w:sz w:val="22"/>
          <w:szCs w:val="22"/>
        </w:rPr>
      </w:pPr>
      <w:r w:rsidRPr="0089477C">
        <w:rPr>
          <w:rFonts w:ascii="Arial" w:hAnsi="Arial"/>
          <w:sz w:val="22"/>
          <w:szCs w:val="22"/>
        </w:rPr>
        <w:t xml:space="preserve">Schrijver, W., </w:t>
      </w:r>
      <w:proofErr w:type="spellStart"/>
      <w:r w:rsidRPr="0089477C">
        <w:rPr>
          <w:rFonts w:ascii="Arial" w:hAnsi="Arial"/>
          <w:sz w:val="22"/>
          <w:szCs w:val="22"/>
        </w:rPr>
        <w:t>Suijkerbuijk</w:t>
      </w:r>
      <w:proofErr w:type="spellEnd"/>
      <w:r w:rsidRPr="0089477C">
        <w:rPr>
          <w:rFonts w:ascii="Arial" w:hAnsi="Arial"/>
          <w:sz w:val="22"/>
          <w:szCs w:val="22"/>
        </w:rPr>
        <w:t xml:space="preserve">, K. P., van Gils, C. H., van der Wall, E., </w:t>
      </w:r>
      <w:proofErr w:type="spellStart"/>
      <w:r w:rsidRPr="0089477C">
        <w:rPr>
          <w:rFonts w:ascii="Arial" w:hAnsi="Arial"/>
          <w:sz w:val="22"/>
          <w:szCs w:val="22"/>
        </w:rPr>
        <w:t>Moelans</w:t>
      </w:r>
      <w:proofErr w:type="spellEnd"/>
      <w:r w:rsidRPr="0089477C">
        <w:rPr>
          <w:rFonts w:ascii="Arial" w:hAnsi="Arial"/>
          <w:sz w:val="22"/>
          <w:szCs w:val="22"/>
        </w:rPr>
        <w:t>, C. B., &amp; van Diest, P. J. (2018). Receptor conversion in distant breast cancer metastases: A systematic review and meta-analysis. Journal of the National Cancer Institute, 110(6), 568–580.</w:t>
      </w:r>
    </w:p>
    <w:p w14:paraId="7D9F6A43" w14:textId="77777777" w:rsidR="003E0CB5" w:rsidRPr="0089477C" w:rsidRDefault="003E0CB5" w:rsidP="00F869FD">
      <w:pPr>
        <w:jc w:val="both"/>
        <w:rPr>
          <w:sz w:val="22"/>
          <w:szCs w:val="22"/>
        </w:rPr>
      </w:pPr>
      <w:r w:rsidRPr="0089477C">
        <w:rPr>
          <w:rFonts w:ascii="Arial" w:hAnsi="Arial"/>
          <w:sz w:val="22"/>
          <w:szCs w:val="22"/>
        </w:rPr>
        <w:t xml:space="preserve">Elaraj, D. M., Weinreich, D. M., </w:t>
      </w:r>
      <w:proofErr w:type="spellStart"/>
      <w:r w:rsidRPr="0089477C">
        <w:rPr>
          <w:rFonts w:ascii="Arial" w:hAnsi="Arial"/>
          <w:sz w:val="22"/>
          <w:szCs w:val="22"/>
        </w:rPr>
        <w:t>Varber</w:t>
      </w:r>
      <w:proofErr w:type="spellEnd"/>
      <w:r w:rsidRPr="0089477C">
        <w:rPr>
          <w:rFonts w:ascii="Arial" w:hAnsi="Arial"/>
          <w:sz w:val="22"/>
          <w:szCs w:val="22"/>
        </w:rPr>
        <w:t>, S., Torres, M., Gadd, M. A., Smith, B. L., et al. (2006). The role of interleukin 1 in growth and metastasis of human cancer xenografts. Clinical Cancer Research, 12(4), 1088–1096.</w:t>
      </w:r>
    </w:p>
    <w:p w14:paraId="67BC8B0B" w14:textId="77777777" w:rsidR="003E0CB5" w:rsidRPr="0089477C" w:rsidRDefault="003E0CB5" w:rsidP="00F869FD">
      <w:pPr>
        <w:jc w:val="both"/>
        <w:rPr>
          <w:sz w:val="22"/>
          <w:szCs w:val="22"/>
        </w:rPr>
      </w:pPr>
      <w:proofErr w:type="spellStart"/>
      <w:r w:rsidRPr="0089477C">
        <w:rPr>
          <w:rFonts w:ascii="Arial" w:hAnsi="Arial"/>
          <w:sz w:val="22"/>
          <w:szCs w:val="22"/>
        </w:rPr>
        <w:t>Tulotta</w:t>
      </w:r>
      <w:proofErr w:type="spellEnd"/>
      <w:r w:rsidRPr="0089477C">
        <w:rPr>
          <w:rFonts w:ascii="Arial" w:hAnsi="Arial"/>
          <w:sz w:val="22"/>
          <w:szCs w:val="22"/>
        </w:rPr>
        <w:t>, C., &amp; Ottewell, P. (2018). The role of IL-1B in breast cancer bone metastasis. Endocrine-Related Cancer, 25(7), R421–R434.</w:t>
      </w:r>
    </w:p>
    <w:p w14:paraId="472F04D4" w14:textId="77777777" w:rsidR="003E0CB5" w:rsidRPr="0089477C" w:rsidRDefault="003E0CB5" w:rsidP="00F869FD">
      <w:pPr>
        <w:jc w:val="both"/>
        <w:rPr>
          <w:sz w:val="22"/>
          <w:szCs w:val="22"/>
        </w:rPr>
      </w:pPr>
      <w:r w:rsidRPr="0089477C">
        <w:rPr>
          <w:rFonts w:ascii="Arial" w:hAnsi="Arial"/>
          <w:sz w:val="22"/>
          <w:szCs w:val="22"/>
        </w:rPr>
        <w:t xml:space="preserve">Yazdani, A., Dorri, S., Atashi, A., </w:t>
      </w:r>
      <w:proofErr w:type="spellStart"/>
      <w:r w:rsidRPr="0089477C">
        <w:rPr>
          <w:rFonts w:ascii="Arial" w:hAnsi="Arial"/>
          <w:sz w:val="22"/>
          <w:szCs w:val="22"/>
        </w:rPr>
        <w:t>Shirafkan</w:t>
      </w:r>
      <w:proofErr w:type="spellEnd"/>
      <w:r w:rsidRPr="0089477C">
        <w:rPr>
          <w:rFonts w:ascii="Arial" w:hAnsi="Arial"/>
          <w:sz w:val="22"/>
          <w:szCs w:val="22"/>
        </w:rPr>
        <w:t xml:space="preserve">, H., &amp; </w:t>
      </w:r>
      <w:proofErr w:type="spellStart"/>
      <w:r w:rsidRPr="0089477C">
        <w:rPr>
          <w:rFonts w:ascii="Arial" w:hAnsi="Arial"/>
          <w:sz w:val="22"/>
          <w:szCs w:val="22"/>
        </w:rPr>
        <w:t>Zabolinejad</w:t>
      </w:r>
      <w:proofErr w:type="spellEnd"/>
      <w:r w:rsidRPr="0089477C">
        <w:rPr>
          <w:rFonts w:ascii="Arial" w:hAnsi="Arial"/>
          <w:sz w:val="22"/>
          <w:szCs w:val="22"/>
        </w:rPr>
        <w:t>, H. (2019). Bone metastasis prognostic factors in breast cancer. Breast Cancer: Basic and Clinical Research, 13, 1178223419830978.</w:t>
      </w:r>
    </w:p>
    <w:p w14:paraId="71D91F11" w14:textId="77777777" w:rsidR="003E0CB5" w:rsidRPr="0089477C" w:rsidRDefault="003E0CB5" w:rsidP="00F869FD">
      <w:pPr>
        <w:jc w:val="both"/>
        <w:rPr>
          <w:sz w:val="22"/>
          <w:szCs w:val="22"/>
        </w:rPr>
      </w:pPr>
      <w:r w:rsidRPr="0089477C">
        <w:rPr>
          <w:rFonts w:ascii="Arial" w:hAnsi="Arial"/>
          <w:sz w:val="22"/>
          <w:szCs w:val="22"/>
        </w:rPr>
        <w:lastRenderedPageBreak/>
        <w:t>Zhang, J., Yao, Y. H., Li, B. G., Yang, Q., Zhang, P. Y., &amp; Wang, H. T. (2015). Prognostic value of pretreatment serum lactate dehydrogenase level in patients with solid tumors: A systematic review and meta-analysis. Scientific Reports, 5, 9800.</w:t>
      </w:r>
    </w:p>
    <w:p w14:paraId="3189B827" w14:textId="77777777" w:rsidR="003E0CB5" w:rsidRPr="0089477C" w:rsidRDefault="003E0CB5" w:rsidP="00F869FD">
      <w:pPr>
        <w:jc w:val="both"/>
        <w:rPr>
          <w:sz w:val="22"/>
          <w:szCs w:val="22"/>
        </w:rPr>
      </w:pPr>
      <w:r w:rsidRPr="0089477C">
        <w:rPr>
          <w:rFonts w:ascii="Arial" w:hAnsi="Arial"/>
          <w:sz w:val="22"/>
          <w:szCs w:val="22"/>
        </w:rPr>
        <w:t xml:space="preserve">Zhou, W., </w:t>
      </w:r>
      <w:proofErr w:type="spellStart"/>
      <w:r w:rsidRPr="0089477C">
        <w:rPr>
          <w:rFonts w:ascii="Arial" w:hAnsi="Arial"/>
          <w:sz w:val="22"/>
          <w:szCs w:val="22"/>
        </w:rPr>
        <w:t>Tulotta</w:t>
      </w:r>
      <w:proofErr w:type="spellEnd"/>
      <w:r w:rsidRPr="0089477C">
        <w:rPr>
          <w:rFonts w:ascii="Arial" w:hAnsi="Arial"/>
          <w:sz w:val="22"/>
          <w:szCs w:val="22"/>
        </w:rPr>
        <w:t xml:space="preserve">, C., &amp; Ottewell, P. D. (2022). The role of the </w:t>
      </w:r>
      <w:proofErr w:type="spellStart"/>
      <w:r w:rsidRPr="0089477C">
        <w:rPr>
          <w:rFonts w:ascii="Arial" w:hAnsi="Arial"/>
          <w:sz w:val="22"/>
          <w:szCs w:val="22"/>
        </w:rPr>
        <w:t>tumour</w:t>
      </w:r>
      <w:proofErr w:type="spellEnd"/>
      <w:r w:rsidRPr="0089477C">
        <w:rPr>
          <w:rFonts w:ascii="Arial" w:hAnsi="Arial"/>
          <w:sz w:val="22"/>
          <w:szCs w:val="22"/>
        </w:rPr>
        <w:t xml:space="preserve"> microenvironment in bone metastasis: Implications for IL-1β </w:t>
      </w:r>
      <w:proofErr w:type="spellStart"/>
      <w:r w:rsidRPr="0089477C">
        <w:rPr>
          <w:rFonts w:ascii="Arial" w:hAnsi="Arial"/>
          <w:sz w:val="22"/>
          <w:szCs w:val="22"/>
        </w:rPr>
        <w:t>signalling</w:t>
      </w:r>
      <w:proofErr w:type="spellEnd"/>
      <w:r w:rsidRPr="0089477C">
        <w:rPr>
          <w:rFonts w:ascii="Arial" w:hAnsi="Arial"/>
          <w:sz w:val="22"/>
          <w:szCs w:val="22"/>
        </w:rPr>
        <w:t>. International Journal of Molecular Sciences, 23(3), 1557.</w:t>
      </w:r>
    </w:p>
    <w:p w14:paraId="399D74B7" w14:textId="77777777" w:rsidR="00B01FCD" w:rsidRPr="00FB3A86" w:rsidRDefault="00B01FCD" w:rsidP="0089477C">
      <w:pPr>
        <w:pStyle w:val="AbstHead"/>
        <w:spacing w:after="0" w:line="360" w:lineRule="auto"/>
        <w:jc w:val="both"/>
        <w:rPr>
          <w:rFonts w:ascii="Arial" w:hAnsi="Arial" w:cs="Arial"/>
          <w:b w:val="0"/>
        </w:rPr>
      </w:pPr>
    </w:p>
    <w:sectPr w:rsidR="00B01FCD" w:rsidRPr="00FB3A86" w:rsidSect="00404A4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C4F3A" w14:textId="77777777" w:rsidR="00644879" w:rsidRDefault="00644879" w:rsidP="00C37E61">
      <w:r>
        <w:separator/>
      </w:r>
    </w:p>
  </w:endnote>
  <w:endnote w:type="continuationSeparator" w:id="0">
    <w:p w14:paraId="22DEEA8C" w14:textId="77777777" w:rsidR="00644879" w:rsidRDefault="0064487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783D3" w14:textId="77777777" w:rsidR="00404A47" w:rsidRDefault="00404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1B28D" w14:textId="77777777" w:rsidR="00404A47" w:rsidRDefault="00404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2A5E0" w14:textId="77777777" w:rsidR="009E048A" w:rsidRDefault="009E048A">
    <w:pPr>
      <w:pStyle w:val="Footer"/>
      <w:rPr>
        <w:rFonts w:ascii="Arial" w:hAnsi="Arial" w:cs="Arial"/>
        <w:sz w:val="16"/>
      </w:rPr>
    </w:pPr>
  </w:p>
  <w:p w14:paraId="2D02559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D9B8708" w14:textId="77777777" w:rsidR="009E048A" w:rsidRDefault="009E048A">
    <w:pPr>
      <w:pStyle w:val="Footer"/>
      <w:rPr>
        <w:rFonts w:ascii="Arial" w:hAnsi="Arial" w:cs="Arial"/>
        <w:sz w:val="16"/>
      </w:rPr>
    </w:pPr>
  </w:p>
  <w:p w14:paraId="629828A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1B02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E5B01" w14:textId="77777777" w:rsidR="00644879" w:rsidRDefault="00644879" w:rsidP="00C37E61">
      <w:r>
        <w:separator/>
      </w:r>
    </w:p>
  </w:footnote>
  <w:footnote w:type="continuationSeparator" w:id="0">
    <w:p w14:paraId="197FDDBC" w14:textId="77777777" w:rsidR="00644879" w:rsidRDefault="0064487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87F0A" w14:textId="2E7CC709" w:rsidR="00404A47" w:rsidRDefault="00404A47">
    <w:pPr>
      <w:pStyle w:val="Header"/>
    </w:pPr>
    <w:r>
      <w:rPr>
        <w:noProof/>
      </w:rPr>
      <w:pict w14:anchorId="2F280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05609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A0A09" w14:textId="51B3E2EE" w:rsidR="00404A47" w:rsidRDefault="00404A47">
    <w:pPr>
      <w:pStyle w:val="Header"/>
    </w:pPr>
    <w:r>
      <w:rPr>
        <w:noProof/>
      </w:rPr>
      <w:pict w14:anchorId="1741C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05609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A4B9" w14:textId="40164E7C" w:rsidR="00296529" w:rsidRPr="00296529" w:rsidRDefault="00404A47" w:rsidP="00296529">
    <w:pPr>
      <w:ind w:left="2160"/>
      <w:jc w:val="center"/>
      <w:rPr>
        <w:rFonts w:ascii="Times New Roman" w:eastAsia="Calibri" w:hAnsi="Times New Roman"/>
        <w:i/>
        <w:sz w:val="18"/>
        <w:szCs w:val="22"/>
      </w:rPr>
    </w:pPr>
    <w:r>
      <w:rPr>
        <w:noProof/>
      </w:rPr>
      <w:pict w14:anchorId="131C4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05609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FF821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2CF27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5EDF4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A880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44998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C3D6F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AB676" w14:textId="5846BF24" w:rsidR="00404A47" w:rsidRDefault="00404A47">
    <w:pPr>
      <w:pStyle w:val="Header"/>
    </w:pPr>
    <w:r>
      <w:rPr>
        <w:noProof/>
      </w:rPr>
      <w:pict w14:anchorId="31F32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05609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07043" w14:textId="6E9F15C5" w:rsidR="00404A47" w:rsidRDefault="00404A47">
    <w:pPr>
      <w:pStyle w:val="Header"/>
    </w:pPr>
    <w:r>
      <w:rPr>
        <w:noProof/>
      </w:rPr>
      <w:pict w14:anchorId="4136C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05609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E117B" w14:textId="21E86270" w:rsidR="00404A47" w:rsidRDefault="00404A47">
    <w:pPr>
      <w:pStyle w:val="Header"/>
    </w:pPr>
    <w:r>
      <w:rPr>
        <w:noProof/>
      </w:rPr>
      <w:pict w14:anchorId="1FABE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05609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06748"/>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0CB5"/>
    <w:rsid w:val="003E2904"/>
    <w:rsid w:val="00401927"/>
    <w:rsid w:val="00404A47"/>
    <w:rsid w:val="0041027F"/>
    <w:rsid w:val="00412475"/>
    <w:rsid w:val="00423789"/>
    <w:rsid w:val="00440F43"/>
    <w:rsid w:val="00441B6F"/>
    <w:rsid w:val="00446221"/>
    <w:rsid w:val="00450E62"/>
    <w:rsid w:val="004539DB"/>
    <w:rsid w:val="00471A80"/>
    <w:rsid w:val="004D305E"/>
    <w:rsid w:val="004D4277"/>
    <w:rsid w:val="004E7210"/>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44879"/>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477C"/>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3BF5"/>
    <w:rsid w:val="00B52583"/>
    <w:rsid w:val="00B52896"/>
    <w:rsid w:val="00B95236"/>
    <w:rsid w:val="00B96BD9"/>
    <w:rsid w:val="00BA1B01"/>
    <w:rsid w:val="00BA2641"/>
    <w:rsid w:val="00BB37AA"/>
    <w:rsid w:val="00BC53A0"/>
    <w:rsid w:val="00BE62AD"/>
    <w:rsid w:val="00BF121F"/>
    <w:rsid w:val="00BF1F80"/>
    <w:rsid w:val="00C10152"/>
    <w:rsid w:val="00C166EF"/>
    <w:rsid w:val="00C17EB0"/>
    <w:rsid w:val="00C27F5F"/>
    <w:rsid w:val="00C30A0F"/>
    <w:rsid w:val="00C31255"/>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1CF5"/>
    <w:rsid w:val="00E053D0"/>
    <w:rsid w:val="00E15994"/>
    <w:rsid w:val="00E3114E"/>
    <w:rsid w:val="00E31A70"/>
    <w:rsid w:val="00E35B02"/>
    <w:rsid w:val="00E66496"/>
    <w:rsid w:val="00E66B35"/>
    <w:rsid w:val="00E66E10"/>
    <w:rsid w:val="00E769F6"/>
    <w:rsid w:val="00E8407C"/>
    <w:rsid w:val="00E84F3C"/>
    <w:rsid w:val="00E931E8"/>
    <w:rsid w:val="00EA012C"/>
    <w:rsid w:val="00EC6A55"/>
    <w:rsid w:val="00ED0288"/>
    <w:rsid w:val="00EE52CB"/>
    <w:rsid w:val="00EF581D"/>
    <w:rsid w:val="00EF7FD8"/>
    <w:rsid w:val="00F06F59"/>
    <w:rsid w:val="00F17988"/>
    <w:rsid w:val="00F32542"/>
    <w:rsid w:val="00F469F0"/>
    <w:rsid w:val="00F53273"/>
    <w:rsid w:val="00F755E4"/>
    <w:rsid w:val="00F77D02"/>
    <w:rsid w:val="00F869F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F629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01CF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E01CF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26126-AF65-41B5-BB8E-022090254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13</Pages>
  <Words>3942</Words>
  <Characters>22471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26361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2026-03-03T13:43:00Z</cp:lastPrinted>
  <dcterms:created xsi:type="dcterms:W3CDTF">2026-03-03T13:52:00Z</dcterms:created>
  <dcterms:modified xsi:type="dcterms:W3CDTF">2026-03-04T10:34:00Z</dcterms:modified>
</cp:coreProperties>
</file>