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839F6" w14:textId="76518D97" w:rsidR="00754C9A" w:rsidRDefault="00B540BB" w:rsidP="00441B6F">
      <w:pPr>
        <w:pStyle w:val="Title"/>
        <w:spacing w:after="0"/>
        <w:jc w:val="both"/>
        <w:rPr>
          <w:rFonts w:ascii="Arial" w:hAnsi="Arial" w:cs="Arial"/>
          <w:u w:val="single"/>
        </w:rPr>
      </w:pPr>
      <w:r w:rsidRPr="00B540BB">
        <w:rPr>
          <w:rFonts w:ascii="Arial" w:hAnsi="Arial" w:cs="Arial"/>
          <w:u w:val="single"/>
        </w:rPr>
        <w:t>Original Research Article</w:t>
      </w:r>
    </w:p>
    <w:p w14:paraId="341A18CB" w14:textId="77777777" w:rsidR="009D1D25" w:rsidRPr="00B540BB" w:rsidRDefault="009D1D25" w:rsidP="00441B6F">
      <w:pPr>
        <w:pStyle w:val="Title"/>
        <w:spacing w:after="0"/>
        <w:jc w:val="both"/>
        <w:rPr>
          <w:rFonts w:ascii="Arial" w:hAnsi="Arial" w:cs="Arial"/>
          <w:u w:val="single"/>
        </w:rPr>
      </w:pPr>
    </w:p>
    <w:p w14:paraId="4C740D1D" w14:textId="77777777" w:rsidR="009D1D25" w:rsidRPr="009D1D25" w:rsidRDefault="009D1D25" w:rsidP="002725F7">
      <w:pPr>
        <w:pStyle w:val="Author"/>
        <w:spacing w:line="240" w:lineRule="auto"/>
        <w:jc w:val="center"/>
        <w:rPr>
          <w:rFonts w:ascii="Arial" w:hAnsi="Arial" w:cs="Arial"/>
          <w:sz w:val="36"/>
          <w:szCs w:val="28"/>
        </w:rPr>
      </w:pPr>
      <w:r w:rsidRPr="009D1D25">
        <w:rPr>
          <w:rFonts w:ascii="Arial" w:hAnsi="Arial" w:cs="Arial"/>
          <w:sz w:val="36"/>
          <w:szCs w:val="28"/>
        </w:rPr>
        <w:t>Histological and Histochemical Studies on the Hippocampus Induced with Lead acetate following Oral Administration of Ethanolic Cowpea Extract on Adult Male Wistar Rats</w:t>
      </w:r>
    </w:p>
    <w:p w14:paraId="6EA8B43A" w14:textId="77777777" w:rsidR="009D1D25" w:rsidRDefault="009D1D25" w:rsidP="002725F7">
      <w:pPr>
        <w:pStyle w:val="Author"/>
        <w:spacing w:line="240" w:lineRule="auto"/>
        <w:jc w:val="center"/>
        <w:rPr>
          <w:rFonts w:ascii="Arial" w:hAnsi="Arial" w:cs="Arial"/>
        </w:rPr>
      </w:pPr>
    </w:p>
    <w:p w14:paraId="5C4FE221" w14:textId="77777777" w:rsidR="00B540BB" w:rsidRDefault="00B540BB" w:rsidP="00636C5C">
      <w:pPr>
        <w:spacing w:before="240"/>
        <w:ind w:left="221"/>
        <w:jc w:val="center"/>
        <w:rPr>
          <w:rFonts w:ascii="Arial" w:hAnsi="Arial" w:cs="Arial"/>
          <w:bCs/>
        </w:rPr>
      </w:pPr>
    </w:p>
    <w:p w14:paraId="6A24EAC2" w14:textId="77777777" w:rsidR="00B540BB" w:rsidRPr="00636C5C" w:rsidRDefault="00B540BB" w:rsidP="00636C5C">
      <w:pPr>
        <w:spacing w:before="240"/>
        <w:ind w:left="221"/>
        <w:jc w:val="center"/>
        <w:rPr>
          <w:rFonts w:ascii="Arial" w:hAnsi="Arial" w:cs="Arial"/>
          <w:bCs/>
        </w:rPr>
      </w:pPr>
    </w:p>
    <w:p w14:paraId="7D30BFE6" w14:textId="77777777" w:rsidR="00B01FCD" w:rsidRPr="00FB3A86" w:rsidRDefault="0082458F" w:rsidP="00441B6F">
      <w:pPr>
        <w:pStyle w:val="Copyright"/>
        <w:spacing w:after="0" w:line="240" w:lineRule="auto"/>
        <w:jc w:val="both"/>
        <w:rPr>
          <w:rFonts w:ascii="Arial" w:hAnsi="Arial" w:cs="Arial"/>
        </w:rPr>
        <w:sectPr w:rsidR="00B01FCD" w:rsidRPr="00FB3A86" w:rsidSect="00DA55C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B3F0359">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23ECB8C" w14:textId="0C687F9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E13906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4B06C4D" w14:textId="77777777" w:rsidTr="001E44FE">
        <w:tc>
          <w:tcPr>
            <w:tcW w:w="9576" w:type="dxa"/>
            <w:shd w:val="clear" w:color="auto" w:fill="F2F2F2"/>
          </w:tcPr>
          <w:p w14:paraId="30664917" w14:textId="1212268C" w:rsidR="00E03630" w:rsidRPr="00784252" w:rsidRDefault="00BA1B01" w:rsidP="00784252">
            <w:pPr>
              <w:pStyle w:val="Body"/>
              <w:spacing w:after="0"/>
              <w:rPr>
                <w:rFonts w:ascii="Arial" w:eastAsia="Calibri" w:hAnsi="Arial" w:cs="Arial"/>
              </w:rPr>
            </w:pPr>
            <w:r w:rsidRPr="00784252">
              <w:rPr>
                <w:rFonts w:ascii="Arial" w:eastAsia="Calibri" w:hAnsi="Arial" w:cs="Arial"/>
                <w:b/>
              </w:rPr>
              <w:t>Aim:</w:t>
            </w:r>
            <w:r w:rsidR="00315186" w:rsidRPr="00784252">
              <w:rPr>
                <w:rFonts w:ascii="Arial" w:eastAsia="Calibri" w:hAnsi="Arial" w:cs="Arial"/>
              </w:rPr>
              <w:t xml:space="preserve"> </w:t>
            </w:r>
            <w:r w:rsidR="00CD05DB" w:rsidRPr="00784252">
              <w:t xml:space="preserve">This study was aimed at ascertaining the neuroprotective effects of Vigna unguiculata on adult male </w:t>
            </w:r>
            <w:proofErr w:type="spellStart"/>
            <w:r w:rsidR="00CD05DB" w:rsidRPr="00784252">
              <w:t>wistar</w:t>
            </w:r>
            <w:proofErr w:type="spellEnd"/>
            <w:r w:rsidR="00CD05DB" w:rsidRPr="00784252">
              <w:t xml:space="preserve"> rats following lead induced neurotoxicity.</w:t>
            </w:r>
          </w:p>
          <w:p w14:paraId="69EDCF8C" w14:textId="4A6E07E6" w:rsidR="00BA1B01" w:rsidRPr="00784252" w:rsidRDefault="00BA1B01" w:rsidP="00784252">
            <w:pPr>
              <w:pStyle w:val="Body"/>
              <w:spacing w:after="0"/>
              <w:rPr>
                <w:rFonts w:ascii="Arial" w:eastAsia="Calibri" w:hAnsi="Arial" w:cs="Arial"/>
              </w:rPr>
            </w:pPr>
            <w:r w:rsidRPr="00784252">
              <w:rPr>
                <w:rFonts w:ascii="Arial" w:eastAsia="Calibri" w:hAnsi="Arial" w:cs="Arial"/>
                <w:b/>
              </w:rPr>
              <w:t>Study design:</w:t>
            </w:r>
            <w:r w:rsidR="0007222C" w:rsidRPr="00784252">
              <w:rPr>
                <w:rFonts w:ascii="Arial" w:eastAsia="Calibri" w:hAnsi="Arial" w:cs="Arial"/>
                <w:b/>
              </w:rPr>
              <w:t xml:space="preserve"> </w:t>
            </w:r>
            <w:r w:rsidR="00CD05DB" w:rsidRPr="00784252">
              <w:rPr>
                <w:rFonts w:ascii="Arial" w:eastAsia="Calibri" w:hAnsi="Arial" w:cs="Arial"/>
                <w:bCs/>
              </w:rPr>
              <w:t>2</w:t>
            </w:r>
            <w:r w:rsidR="007B249D" w:rsidRPr="00784252">
              <w:rPr>
                <w:rFonts w:ascii="Arial" w:eastAsia="Calibri" w:hAnsi="Arial" w:cs="Arial"/>
                <w:bCs/>
              </w:rPr>
              <w:t>5</w:t>
            </w:r>
            <w:r w:rsidR="00AE40A1" w:rsidRPr="00784252">
              <w:rPr>
                <w:rFonts w:ascii="Arial" w:hAnsi="Arial" w:cs="Arial"/>
                <w:bCs/>
              </w:rPr>
              <w:t xml:space="preserve"> </w:t>
            </w:r>
            <w:r w:rsidR="00AE40A1" w:rsidRPr="00784252">
              <w:rPr>
                <w:rFonts w:ascii="Arial" w:hAnsi="Arial" w:cs="Arial"/>
              </w:rPr>
              <w:t>rats were randomly assigned into five groups (n=</w:t>
            </w:r>
            <w:r w:rsidR="00CD05DB" w:rsidRPr="00784252">
              <w:rPr>
                <w:rFonts w:ascii="Arial" w:hAnsi="Arial" w:cs="Arial"/>
              </w:rPr>
              <w:t>5</w:t>
            </w:r>
            <w:r w:rsidR="00AE40A1" w:rsidRPr="00784252">
              <w:rPr>
                <w:rFonts w:ascii="Arial" w:hAnsi="Arial" w:cs="Arial"/>
              </w:rPr>
              <w:t>): Group A (control), Group B (</w:t>
            </w:r>
            <w:r w:rsidR="0079783A" w:rsidRPr="00784252">
              <w:rPr>
                <w:rFonts w:ascii="Arial" w:hAnsi="Arial" w:cs="Arial"/>
              </w:rPr>
              <w:t>15 mg/kg lead acetate</w:t>
            </w:r>
            <w:r w:rsidR="00AE40A1" w:rsidRPr="00784252">
              <w:rPr>
                <w:rFonts w:ascii="Arial" w:hAnsi="Arial" w:cs="Arial"/>
              </w:rPr>
              <w:t>), Group C (</w:t>
            </w:r>
            <w:r w:rsidR="0079783A" w:rsidRPr="00784252">
              <w:rPr>
                <w:rFonts w:ascii="Arial" w:hAnsi="Arial" w:cs="Arial"/>
              </w:rPr>
              <w:t>15mg/kg lead acetate+1</w:t>
            </w:r>
            <w:r w:rsidR="003F40F4">
              <w:rPr>
                <w:rFonts w:ascii="Arial" w:hAnsi="Arial" w:cs="Arial"/>
              </w:rPr>
              <w:t>0</w:t>
            </w:r>
            <w:r w:rsidR="0079783A" w:rsidRPr="00784252">
              <w:rPr>
                <w:rFonts w:ascii="Arial" w:hAnsi="Arial" w:cs="Arial"/>
              </w:rPr>
              <w:t>0 mg/kg cowpea extract</w:t>
            </w:r>
            <w:r w:rsidR="00AE40A1" w:rsidRPr="00784252">
              <w:rPr>
                <w:rFonts w:ascii="Arial" w:hAnsi="Arial" w:cs="Arial"/>
              </w:rPr>
              <w:t>), Group D (</w:t>
            </w:r>
            <w:r w:rsidR="003F40F4">
              <w:rPr>
                <w:rFonts w:ascii="Arial" w:hAnsi="Arial" w:cs="Arial"/>
              </w:rPr>
              <w:t>15mg/kg lead acetate+20</w:t>
            </w:r>
            <w:r w:rsidR="0079783A" w:rsidRPr="00784252">
              <w:rPr>
                <w:rFonts w:ascii="Arial" w:hAnsi="Arial" w:cs="Arial"/>
              </w:rPr>
              <w:t>0 mg/kg cowpea extract</w:t>
            </w:r>
            <w:r w:rsidR="00AE40A1" w:rsidRPr="00784252">
              <w:rPr>
                <w:rFonts w:ascii="Arial" w:hAnsi="Arial" w:cs="Arial"/>
              </w:rPr>
              <w:t>), and Group E (</w:t>
            </w:r>
            <w:r w:rsidR="003F40F4">
              <w:rPr>
                <w:rFonts w:ascii="Arial" w:hAnsi="Arial" w:cs="Arial"/>
              </w:rPr>
              <w:t>20</w:t>
            </w:r>
            <w:r w:rsidR="0079783A" w:rsidRPr="00784252">
              <w:rPr>
                <w:rFonts w:ascii="Arial" w:hAnsi="Arial" w:cs="Arial"/>
              </w:rPr>
              <w:t>0 mg/kg cowpea extract</w:t>
            </w:r>
            <w:r w:rsidR="00AE40A1" w:rsidRPr="00784252">
              <w:rPr>
                <w:rFonts w:ascii="Arial" w:hAnsi="Arial" w:cs="Arial"/>
              </w:rPr>
              <w:t>).</w:t>
            </w:r>
          </w:p>
          <w:p w14:paraId="634010D6" w14:textId="7B378259" w:rsidR="00BA1B01" w:rsidRPr="00784252" w:rsidRDefault="00BA1B01" w:rsidP="00784252">
            <w:pPr>
              <w:pStyle w:val="Body"/>
              <w:spacing w:after="0"/>
              <w:rPr>
                <w:rFonts w:ascii="Arial" w:eastAsia="Calibri" w:hAnsi="Arial" w:cs="Arial"/>
              </w:rPr>
            </w:pPr>
            <w:r w:rsidRPr="00784252">
              <w:rPr>
                <w:rFonts w:ascii="Arial" w:eastAsia="Calibri" w:hAnsi="Arial" w:cs="Arial"/>
                <w:b/>
              </w:rPr>
              <w:t>Place and Duration of Study:</w:t>
            </w:r>
            <w:r w:rsidRPr="00784252">
              <w:rPr>
                <w:rFonts w:ascii="Arial" w:eastAsia="Calibri" w:hAnsi="Arial" w:cs="Arial"/>
              </w:rPr>
              <w:t xml:space="preserve"> Department of </w:t>
            </w:r>
            <w:r w:rsidR="00105852" w:rsidRPr="00784252">
              <w:rPr>
                <w:rFonts w:ascii="Arial" w:eastAsia="Calibri" w:hAnsi="Arial" w:cs="Arial"/>
              </w:rPr>
              <w:t>Human Anatomy</w:t>
            </w:r>
            <w:r w:rsidRPr="00784252">
              <w:rPr>
                <w:rFonts w:ascii="Arial" w:eastAsia="Calibri" w:hAnsi="Arial" w:cs="Arial"/>
              </w:rPr>
              <w:t>,</w:t>
            </w:r>
            <w:r w:rsidR="00105852" w:rsidRPr="00784252">
              <w:rPr>
                <w:rFonts w:ascii="Arial" w:eastAsia="Calibri" w:hAnsi="Arial" w:cs="Arial"/>
              </w:rPr>
              <w:t xml:space="preserve"> Chukwuemeka </w:t>
            </w:r>
            <w:proofErr w:type="spellStart"/>
            <w:r w:rsidR="00105852" w:rsidRPr="00784252">
              <w:rPr>
                <w:rFonts w:ascii="Arial" w:eastAsia="Calibri" w:hAnsi="Arial" w:cs="Arial"/>
              </w:rPr>
              <w:t>Odumegwu</w:t>
            </w:r>
            <w:proofErr w:type="spellEnd"/>
            <w:r w:rsidR="00105852" w:rsidRPr="00784252">
              <w:rPr>
                <w:rFonts w:ascii="Arial" w:eastAsia="Calibri" w:hAnsi="Arial" w:cs="Arial"/>
              </w:rPr>
              <w:t xml:space="preserve"> Ojukwu University, Anambra State, Nigeria</w:t>
            </w:r>
            <w:r w:rsidRPr="00784252">
              <w:rPr>
                <w:rFonts w:ascii="Arial" w:eastAsia="Calibri" w:hAnsi="Arial" w:cs="Arial"/>
              </w:rPr>
              <w:t xml:space="preserve"> between </w:t>
            </w:r>
            <w:r w:rsidR="00B14A32" w:rsidRPr="00784252">
              <w:rPr>
                <w:rFonts w:ascii="Arial" w:eastAsia="Calibri" w:hAnsi="Arial" w:cs="Arial"/>
              </w:rPr>
              <w:t>September</w:t>
            </w:r>
            <w:r w:rsidRPr="00784252">
              <w:rPr>
                <w:rFonts w:ascii="Arial" w:eastAsia="Calibri" w:hAnsi="Arial" w:cs="Arial"/>
              </w:rPr>
              <w:t xml:space="preserve"> and </w:t>
            </w:r>
            <w:r w:rsidR="00B14A32" w:rsidRPr="00784252">
              <w:rPr>
                <w:rFonts w:ascii="Arial" w:eastAsia="Calibri" w:hAnsi="Arial" w:cs="Arial"/>
              </w:rPr>
              <w:t>October</w:t>
            </w:r>
            <w:r w:rsidRPr="00784252">
              <w:rPr>
                <w:rFonts w:ascii="Arial" w:eastAsia="Calibri" w:hAnsi="Arial" w:cs="Arial"/>
              </w:rPr>
              <w:t xml:space="preserve"> 20</w:t>
            </w:r>
            <w:r w:rsidR="00B14A32" w:rsidRPr="00784252">
              <w:rPr>
                <w:rFonts w:ascii="Arial" w:eastAsia="Calibri" w:hAnsi="Arial" w:cs="Arial"/>
              </w:rPr>
              <w:t>21</w:t>
            </w:r>
            <w:r w:rsidRPr="00784252">
              <w:rPr>
                <w:rFonts w:ascii="Arial" w:eastAsia="Calibri" w:hAnsi="Arial" w:cs="Arial"/>
              </w:rPr>
              <w:t>.</w:t>
            </w:r>
          </w:p>
          <w:p w14:paraId="2BD2DFEC" w14:textId="65EB958E" w:rsidR="00BA1B01" w:rsidRPr="00784252" w:rsidRDefault="00BA1B01" w:rsidP="00784252">
            <w:pPr>
              <w:pStyle w:val="Body"/>
              <w:spacing w:after="0"/>
              <w:rPr>
                <w:rFonts w:ascii="Arial" w:eastAsia="Calibri" w:hAnsi="Arial" w:cs="Arial"/>
              </w:rPr>
            </w:pPr>
            <w:r w:rsidRPr="00784252">
              <w:rPr>
                <w:rFonts w:ascii="Arial" w:eastAsia="Calibri" w:hAnsi="Arial" w:cs="Arial"/>
                <w:b/>
                <w:bCs/>
              </w:rPr>
              <w:t>Methodology:</w:t>
            </w:r>
            <w:r w:rsidRPr="00784252">
              <w:rPr>
                <w:rFonts w:ascii="Arial" w:eastAsia="Calibri" w:hAnsi="Arial" w:cs="Arial"/>
              </w:rPr>
              <w:t xml:space="preserve"> </w:t>
            </w:r>
            <w:r w:rsidR="00315186" w:rsidRPr="00784252">
              <w:rPr>
                <w:rFonts w:ascii="Arial" w:eastAsia="Calibri" w:hAnsi="Arial" w:cs="Arial"/>
              </w:rPr>
              <w:t>Sample:</w:t>
            </w:r>
            <w:r w:rsidR="0007222C" w:rsidRPr="00784252">
              <w:rPr>
                <w:rFonts w:ascii="Arial" w:eastAsia="Calibri" w:hAnsi="Arial" w:cs="Arial"/>
              </w:rPr>
              <w:t xml:space="preserve"> </w:t>
            </w:r>
            <w:r w:rsidR="00832902" w:rsidRPr="00784252">
              <w:rPr>
                <w:rFonts w:ascii="Arial" w:eastAsia="Calibri" w:hAnsi="Arial" w:cs="Arial"/>
              </w:rPr>
              <w:t>2</w:t>
            </w:r>
            <w:r w:rsidR="007B249D" w:rsidRPr="00784252">
              <w:rPr>
                <w:rFonts w:ascii="Arial" w:eastAsia="Calibri" w:hAnsi="Arial" w:cs="Arial"/>
              </w:rPr>
              <w:t>5</w:t>
            </w:r>
            <w:r w:rsidR="00105852" w:rsidRPr="00784252">
              <w:rPr>
                <w:rFonts w:ascii="Arial" w:hAnsi="Arial" w:cs="Arial"/>
              </w:rPr>
              <w:t xml:space="preserve"> male Wistar</w:t>
            </w:r>
            <w:r w:rsidR="00832902" w:rsidRPr="00784252">
              <w:rPr>
                <w:rFonts w:ascii="Arial" w:hAnsi="Arial" w:cs="Arial"/>
              </w:rPr>
              <w:t xml:space="preserve"> Rats weighing between 70-120</w:t>
            </w:r>
            <w:r w:rsidR="00105852" w:rsidRPr="00784252">
              <w:rPr>
                <w:rFonts w:ascii="Arial" w:hAnsi="Arial" w:cs="Arial"/>
              </w:rPr>
              <w:t xml:space="preserve">g were used for this study. </w:t>
            </w:r>
            <w:r w:rsidR="0027574F" w:rsidRPr="00784252">
              <w:rPr>
                <w:rFonts w:ascii="Arial" w:hAnsi="Arial" w:cs="Arial"/>
              </w:rPr>
              <w:t xml:space="preserve">Acclimatized for 7 days </w:t>
            </w:r>
            <w:r w:rsidR="00105852" w:rsidRPr="00784252">
              <w:rPr>
                <w:rFonts w:ascii="Arial" w:hAnsi="Arial" w:cs="Arial"/>
              </w:rPr>
              <w:t>a</w:t>
            </w:r>
            <w:r w:rsidR="0027574F" w:rsidRPr="00784252">
              <w:rPr>
                <w:rFonts w:ascii="Arial" w:hAnsi="Arial" w:cs="Arial"/>
              </w:rPr>
              <w:t>nd</w:t>
            </w:r>
            <w:r w:rsidR="00105852" w:rsidRPr="00784252">
              <w:rPr>
                <w:rFonts w:ascii="Arial" w:hAnsi="Arial" w:cs="Arial"/>
              </w:rPr>
              <w:t xml:space="preserve"> were randomly se</w:t>
            </w:r>
            <w:r w:rsidR="00832902" w:rsidRPr="00784252">
              <w:rPr>
                <w:rFonts w:ascii="Arial" w:hAnsi="Arial" w:cs="Arial"/>
              </w:rPr>
              <w:t>lected into five groups of five</w:t>
            </w:r>
            <w:r w:rsidR="00105852" w:rsidRPr="00784252">
              <w:rPr>
                <w:rFonts w:ascii="Arial" w:hAnsi="Arial" w:cs="Arial"/>
              </w:rPr>
              <w:t xml:space="preserve"> animals each (A to </w:t>
            </w:r>
            <w:r w:rsidR="0007222C" w:rsidRPr="00784252">
              <w:rPr>
                <w:rFonts w:ascii="Arial" w:hAnsi="Arial" w:cs="Arial"/>
              </w:rPr>
              <w:t>E)</w:t>
            </w:r>
            <w:r w:rsidR="00105852" w:rsidRPr="00784252">
              <w:rPr>
                <w:rFonts w:ascii="Arial" w:hAnsi="Arial" w:cs="Arial"/>
              </w:rPr>
              <w:t>.</w:t>
            </w:r>
            <w:r w:rsidR="00105852" w:rsidRPr="00784252">
              <w:rPr>
                <w:rFonts w:ascii="Times New Roman" w:hAnsi="Times New Roman"/>
              </w:rPr>
              <w:t xml:space="preserve"> </w:t>
            </w:r>
          </w:p>
          <w:p w14:paraId="1C9CD245" w14:textId="1458F618" w:rsidR="003D7A92" w:rsidRDefault="00BA1B01" w:rsidP="00784252">
            <w:pPr>
              <w:pStyle w:val="Default"/>
              <w:spacing w:after="303"/>
              <w:jc w:val="both"/>
              <w:rPr>
                <w:rFonts w:ascii="Arial" w:hAnsi="Arial" w:cs="Arial"/>
                <w:sz w:val="20"/>
                <w:szCs w:val="20"/>
              </w:rPr>
            </w:pPr>
            <w:r w:rsidRPr="00784252">
              <w:rPr>
                <w:rFonts w:ascii="Arial" w:eastAsia="Calibri" w:hAnsi="Arial" w:cs="Arial"/>
                <w:b/>
                <w:bCs/>
                <w:sz w:val="20"/>
                <w:szCs w:val="20"/>
              </w:rPr>
              <w:t>Results</w:t>
            </w:r>
            <w:r w:rsidR="00E27931" w:rsidRPr="00784252">
              <w:rPr>
                <w:rFonts w:ascii="Arial" w:hAnsi="Arial" w:cs="Arial"/>
                <w:sz w:val="20"/>
                <w:szCs w:val="20"/>
              </w:rPr>
              <w:t xml:space="preserve"> </w:t>
            </w:r>
            <w:r w:rsidR="00784252" w:rsidRPr="00784252">
              <w:rPr>
                <w:rFonts w:ascii="Arial" w:hAnsi="Arial" w:cs="Arial"/>
                <w:sz w:val="20"/>
                <w:szCs w:val="20"/>
              </w:rPr>
              <w:t>The present study</w:t>
            </w:r>
            <w:r w:rsidR="003D7A92">
              <w:rPr>
                <w:rFonts w:ascii="Arial" w:hAnsi="Arial" w:cs="Arial"/>
                <w:sz w:val="20"/>
                <w:szCs w:val="20"/>
              </w:rPr>
              <w:t xml:space="preserve"> observed that t</w:t>
            </w:r>
            <w:r w:rsidR="00784252" w:rsidRPr="00784252">
              <w:rPr>
                <w:rFonts w:ascii="Arial" w:hAnsi="Arial" w:cs="Arial"/>
                <w:sz w:val="20"/>
                <w:szCs w:val="20"/>
              </w:rPr>
              <w:t>here were histo</w:t>
            </w:r>
            <w:r w:rsidR="00784252">
              <w:rPr>
                <w:rFonts w:ascii="Arial" w:hAnsi="Arial" w:cs="Arial"/>
                <w:sz w:val="20"/>
                <w:szCs w:val="20"/>
              </w:rPr>
              <w:t>logical</w:t>
            </w:r>
            <w:r w:rsidR="007C7988">
              <w:rPr>
                <w:rFonts w:ascii="Arial" w:hAnsi="Arial" w:cs="Arial"/>
                <w:sz w:val="20"/>
                <w:szCs w:val="20"/>
              </w:rPr>
              <w:t xml:space="preserve"> </w:t>
            </w:r>
            <w:r w:rsidR="00784252">
              <w:rPr>
                <w:rFonts w:ascii="Arial" w:hAnsi="Arial" w:cs="Arial"/>
                <w:sz w:val="20"/>
                <w:szCs w:val="20"/>
              </w:rPr>
              <w:t>changes in hippocampus</w:t>
            </w:r>
            <w:r w:rsidR="00784252" w:rsidRPr="00784252">
              <w:rPr>
                <w:rFonts w:ascii="Arial" w:hAnsi="Arial" w:cs="Arial"/>
                <w:sz w:val="20"/>
                <w:szCs w:val="20"/>
              </w:rPr>
              <w:t xml:space="preserve"> of adult Wistar rats exposed to lead acetate.</w:t>
            </w:r>
            <w:r w:rsidR="00784252">
              <w:rPr>
                <w:rFonts w:ascii="Arial" w:hAnsi="Arial" w:cs="Arial"/>
                <w:sz w:val="20"/>
                <w:szCs w:val="20"/>
              </w:rPr>
              <w:t xml:space="preserve"> There was</w:t>
            </w:r>
            <w:r w:rsidR="00784252" w:rsidRPr="00784252">
              <w:rPr>
                <w:rFonts w:ascii="Arial" w:hAnsi="Arial" w:cs="Arial"/>
                <w:sz w:val="20"/>
                <w:szCs w:val="20"/>
              </w:rPr>
              <w:t xml:space="preserve"> restorative effect</w:t>
            </w:r>
            <w:r w:rsidR="008B531C">
              <w:rPr>
                <w:rFonts w:ascii="Arial" w:hAnsi="Arial" w:cs="Arial"/>
                <w:sz w:val="20"/>
                <w:szCs w:val="20"/>
              </w:rPr>
              <w:t xml:space="preserve"> in the groups treated with Vigna unguiculata</w:t>
            </w:r>
            <w:r w:rsidR="00784252" w:rsidRPr="00784252">
              <w:rPr>
                <w:rFonts w:ascii="Arial" w:hAnsi="Arial" w:cs="Arial"/>
                <w:sz w:val="20"/>
                <w:szCs w:val="20"/>
              </w:rPr>
              <w:t xml:space="preserve"> on the hippocampus by the changes induced by lead acetate</w:t>
            </w:r>
            <w:r w:rsidR="007C7988">
              <w:rPr>
                <w:rFonts w:ascii="Arial" w:hAnsi="Arial" w:cs="Arial"/>
                <w:sz w:val="20"/>
                <w:szCs w:val="20"/>
              </w:rPr>
              <w:t xml:space="preserve">. Histochemical results revealed that </w:t>
            </w:r>
            <w:r w:rsidR="007C7988">
              <w:rPr>
                <w:rStyle w:val="bzpyqfadein"/>
                <w:rFonts w:ascii="Arial" w:hAnsi="Arial" w:cs="Arial"/>
                <w:sz w:val="20"/>
                <w:szCs w:val="20"/>
              </w:rPr>
              <w:t>e</w:t>
            </w:r>
            <w:r w:rsidR="007C7988" w:rsidRPr="007C7988">
              <w:rPr>
                <w:rStyle w:val="bzpyqfadein"/>
                <w:rFonts w:ascii="Arial" w:hAnsi="Arial" w:cs="Arial"/>
                <w:sz w:val="20"/>
                <w:szCs w:val="20"/>
              </w:rPr>
              <w:t>xposure to 15 mg/kg of lead acetate resulted in densely packed neurons with reduced Nissl substance, indicative of cytoplasmic condensation and impaired protein synthesis associated with neurotoxicity. Co-administration of cowpea extract demonstrated a dose-dependent restorative effect</w:t>
            </w:r>
            <w:r w:rsidR="00226169">
              <w:rPr>
                <w:rStyle w:val="bzpyqfadein"/>
                <w:rFonts w:ascii="Arial" w:hAnsi="Arial" w:cs="Arial"/>
                <w:sz w:val="20"/>
                <w:szCs w:val="20"/>
              </w:rPr>
              <w:t>.</w:t>
            </w:r>
            <w:r w:rsidR="008B531C">
              <w:rPr>
                <w:rFonts w:ascii="Arial" w:hAnsi="Arial" w:cs="Arial"/>
                <w:sz w:val="20"/>
                <w:szCs w:val="20"/>
              </w:rPr>
              <w:t xml:space="preserve"> </w:t>
            </w:r>
            <w:r w:rsidR="00226169" w:rsidRPr="009D312A">
              <w:rPr>
                <w:rFonts w:ascii="Arial" w:hAnsi="Arial" w:cs="Arial"/>
                <w:sz w:val="20"/>
                <w:szCs w:val="20"/>
              </w:rPr>
              <w:t>Biochemical analysis in the present investigation further revealed alterations in oxidative stress markers in the brain tissues</w:t>
            </w:r>
            <w:r w:rsidR="00226169">
              <w:rPr>
                <w:rFonts w:ascii="Arial" w:hAnsi="Arial" w:cs="Arial"/>
                <w:sz w:val="20"/>
                <w:szCs w:val="20"/>
              </w:rPr>
              <w:t xml:space="preserve"> of the experimental animals.</w:t>
            </w:r>
          </w:p>
          <w:p w14:paraId="2B3A3FDB" w14:textId="473B5059" w:rsidR="00505F06" w:rsidRPr="00784252" w:rsidRDefault="00BA1B01" w:rsidP="00784252">
            <w:pPr>
              <w:pStyle w:val="Default"/>
              <w:spacing w:after="303"/>
              <w:jc w:val="both"/>
              <w:rPr>
                <w:rFonts w:ascii="Arial" w:hAnsi="Arial" w:cs="Arial"/>
                <w:sz w:val="20"/>
                <w:szCs w:val="20"/>
              </w:rPr>
            </w:pPr>
            <w:r w:rsidRPr="00784252">
              <w:rPr>
                <w:rFonts w:ascii="Arial" w:eastAsia="Calibri" w:hAnsi="Arial" w:cs="Arial"/>
                <w:b/>
                <w:bCs/>
                <w:sz w:val="20"/>
                <w:szCs w:val="20"/>
              </w:rPr>
              <w:t>Conclusion:</w:t>
            </w:r>
            <w:r w:rsidR="005B0722" w:rsidRPr="00784252">
              <w:rPr>
                <w:rFonts w:ascii="Arial" w:eastAsia="Calibri" w:hAnsi="Arial" w:cs="Arial"/>
                <w:b/>
                <w:bCs/>
                <w:sz w:val="20"/>
                <w:szCs w:val="20"/>
              </w:rPr>
              <w:t xml:space="preserve"> </w:t>
            </w:r>
            <w:r w:rsidR="00784252" w:rsidRPr="00784252">
              <w:rPr>
                <w:rFonts w:ascii="Arial" w:hAnsi="Arial" w:cs="Arial"/>
                <w:sz w:val="20"/>
                <w:szCs w:val="20"/>
              </w:rPr>
              <w:t xml:space="preserve">This present study has established that ethanolic extract of </w:t>
            </w:r>
            <w:proofErr w:type="gramStart"/>
            <w:r w:rsidR="00784252" w:rsidRPr="00784252">
              <w:rPr>
                <w:rFonts w:ascii="Arial" w:hAnsi="Arial" w:cs="Arial"/>
                <w:sz w:val="20"/>
                <w:szCs w:val="20"/>
              </w:rPr>
              <w:t>cowpea(</w:t>
            </w:r>
            <w:proofErr w:type="gramEnd"/>
            <w:r w:rsidR="00784252" w:rsidRPr="00784252">
              <w:rPr>
                <w:rFonts w:ascii="Arial" w:hAnsi="Arial" w:cs="Arial"/>
                <w:sz w:val="20"/>
                <w:szCs w:val="20"/>
              </w:rPr>
              <w:t>Vigna unguiculata) at appropriate doses was able to ameliorate the effect of lead on the hippocampus and may likely be beneficial to the population in areas exposed to lead poisoning.</w:t>
            </w:r>
          </w:p>
        </w:tc>
      </w:tr>
    </w:tbl>
    <w:p w14:paraId="6FEC91DB" w14:textId="4B89B521" w:rsidR="00262714" w:rsidRPr="0045682E" w:rsidRDefault="00A24E7E" w:rsidP="00262714">
      <w:pPr>
        <w:spacing w:before="100" w:beforeAutospacing="1" w:after="100" w:afterAutospacing="1"/>
        <w:rPr>
          <w:rFonts w:ascii="Arial" w:hAnsi="Arial" w:cs="Arial"/>
          <w:bCs/>
          <w:i/>
          <w:iCs/>
        </w:rPr>
      </w:pPr>
      <w:r>
        <w:rPr>
          <w:rFonts w:ascii="Arial" w:hAnsi="Arial" w:cs="Arial"/>
          <w:i/>
        </w:rPr>
        <w:t xml:space="preserve">Keywords: </w:t>
      </w:r>
      <w:r w:rsidR="00FC5F23">
        <w:rPr>
          <w:rFonts w:ascii="Arial" w:hAnsi="Arial" w:cs="Arial"/>
          <w:bCs/>
          <w:i/>
          <w:iCs/>
        </w:rPr>
        <w:t>Vigna unguiculata, histochemical</w:t>
      </w:r>
      <w:r w:rsidR="00784252">
        <w:rPr>
          <w:rFonts w:ascii="Arial" w:hAnsi="Arial" w:cs="Arial"/>
          <w:bCs/>
          <w:i/>
          <w:iCs/>
        </w:rPr>
        <w:t>, poisoning</w:t>
      </w:r>
      <w:r w:rsidR="0007222C" w:rsidRPr="0007222C">
        <w:rPr>
          <w:rFonts w:ascii="Arial" w:hAnsi="Arial" w:cs="Arial"/>
          <w:bCs/>
          <w:i/>
          <w:iCs/>
        </w:rPr>
        <w:t>, neurop</w:t>
      </w:r>
      <w:r w:rsidR="00784252">
        <w:rPr>
          <w:rFonts w:ascii="Arial" w:hAnsi="Arial" w:cs="Arial"/>
          <w:bCs/>
          <w:i/>
          <w:iCs/>
        </w:rPr>
        <w:t>rotection, hippocampus, Wistar rats</w:t>
      </w:r>
    </w:p>
    <w:p w14:paraId="32E238AD" w14:textId="3483464A"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E16E644" w14:textId="77777777" w:rsidR="00C47A7C" w:rsidRPr="0064396B" w:rsidRDefault="00C47A7C" w:rsidP="00C47A7C">
      <w:pPr>
        <w:spacing w:before="100" w:beforeAutospacing="1" w:after="100" w:afterAutospacing="1"/>
        <w:rPr>
          <w:rFonts w:ascii="Arial" w:hAnsi="Arial" w:cs="Arial"/>
        </w:rPr>
      </w:pPr>
      <w:r w:rsidRPr="0064396B">
        <w:rPr>
          <w:rFonts w:ascii="Arial" w:hAnsi="Arial" w:cs="Arial"/>
        </w:rPr>
        <w:t xml:space="preserve">Heavy metal pollution remains a persistent environmental and public health challenge worldwide. Rapid industrialization, mining activities, battery manufacturing, and improper waste disposal have significantly increased the release of toxic metals into the environment. Among these metals, lead (Pb) is particularly concerning due to its widespread distribution, persistence in ecosystems, and strong capacity for bioaccumulation in biological tissues. Human and animal exposure to lead commonly occurs through contaminated air, water, food, and occupational activities. Once absorbed into the body, lead is distributed to various organs including the liver, kidneys, bones, and brain where it exerts toxic effects that may </w:t>
      </w:r>
      <w:r w:rsidRPr="0064396B">
        <w:rPr>
          <w:rFonts w:ascii="Arial" w:hAnsi="Arial" w:cs="Arial"/>
        </w:rPr>
        <w:lastRenderedPageBreak/>
        <w:t>persist for long periods (Caito &amp; Aschner, 2017). Because of its ability to cross the blood–brain barrier and interfere with neuronal signaling, lead is widely recognized as a potent neurotoxin capable of disrupting central nervous system function.</w:t>
      </w:r>
    </w:p>
    <w:p w14:paraId="1DBFD3E8" w14:textId="2EF2993D" w:rsidR="0097466A" w:rsidRPr="00AF5E01" w:rsidRDefault="0097466A" w:rsidP="0097466A">
      <w:pPr>
        <w:pStyle w:val="NormalWeb"/>
        <w:spacing w:before="240"/>
        <w:rPr>
          <w:rFonts w:ascii="Arial" w:hAnsi="Arial" w:cs="Arial"/>
          <w:sz w:val="20"/>
          <w:szCs w:val="20"/>
        </w:rPr>
      </w:pPr>
      <w:r w:rsidRPr="0064396B">
        <w:rPr>
          <w:rFonts w:ascii="Arial" w:hAnsi="Arial" w:cs="Arial"/>
          <w:sz w:val="20"/>
          <w:szCs w:val="20"/>
        </w:rPr>
        <w:t>The nervous system is particularly vulnerable to lead toxicity because neurons rely heavily on tightly regulated biochemical and ion</w:t>
      </w:r>
      <w:r>
        <w:rPr>
          <w:rFonts w:ascii="Arial" w:hAnsi="Arial" w:cs="Arial"/>
          <w:sz w:val="20"/>
          <w:szCs w:val="20"/>
        </w:rPr>
        <w:t xml:space="preserve">ic processes for proper function. </w:t>
      </w:r>
      <w:r w:rsidRPr="00AF5E01">
        <w:rPr>
          <w:rFonts w:ascii="Arial" w:hAnsi="Arial" w:cs="Arial"/>
          <w:sz w:val="20"/>
          <w:szCs w:val="20"/>
        </w:rPr>
        <w:t>Lead has a high affinity for calcium-binding sites and is able to disrupt tightly regulated ionic and biochemical processes that are essential for normal neuronal function. By competing with calcium ions, lead alters calcium-dependent signaling pathways, impairs neurotransmitter release at synapses, and interferes with mechanisms of synaptic plasticity that underlie learning and memory. These disruptions contribute to structural and functional neuronal damage observed in experimental models, where lead exposure is associated with impaired synaptic communication, cognitive deficits, and behavioral abnormalities (</w:t>
      </w:r>
      <w:proofErr w:type="spellStart"/>
      <w:r w:rsidRPr="00AF5E01">
        <w:rPr>
          <w:rFonts w:ascii="Arial" w:hAnsi="Arial" w:cs="Arial"/>
          <w:sz w:val="20"/>
          <w:szCs w:val="20"/>
        </w:rPr>
        <w:t>Tamagno</w:t>
      </w:r>
      <w:proofErr w:type="spellEnd"/>
      <w:r w:rsidRPr="00AF5E01">
        <w:rPr>
          <w:rFonts w:ascii="Arial" w:hAnsi="Arial" w:cs="Arial"/>
          <w:sz w:val="20"/>
          <w:szCs w:val="20"/>
        </w:rPr>
        <w:t xml:space="preserve"> &amp; Freeman, 2025)</w:t>
      </w:r>
    </w:p>
    <w:p w14:paraId="21238E64" w14:textId="77777777" w:rsidR="00C47A7C" w:rsidRPr="0064396B" w:rsidRDefault="00C47A7C" w:rsidP="00C47A7C">
      <w:pPr>
        <w:spacing w:before="100" w:beforeAutospacing="1" w:after="100" w:afterAutospacing="1"/>
        <w:rPr>
          <w:rFonts w:ascii="Arial" w:hAnsi="Arial" w:cs="Arial"/>
        </w:rPr>
      </w:pPr>
      <w:r w:rsidRPr="0064396B">
        <w:rPr>
          <w:rFonts w:ascii="Arial" w:hAnsi="Arial" w:cs="Arial"/>
        </w:rPr>
        <w:t>Oxidative stress is widely recognized as one of the primary mechanisms underlying lead-induced neurotoxicity. Lead exposure promotes the formation of reactive oxygen species and simultaneously weakens endogenous antioxidant defenses such as superoxide dismutase, catalase, and glutathione peroxidase. This imbalance results in lipid peroxidation, protein oxidation, and DNA damage in neural tissues. Experimental studies using Wistar rats have shown that lead exposure significantly increases oxidative stress biomarkers while decreasing antioxidant enzyme activities in brain tissues, ultimately leading to neuronal degeneration and functional impairment (Oliveira et al., 2021). These biochemical alterations highlight the importance of oxidative damage in the pathogenesis of lead-induced neurological disorders.</w:t>
      </w:r>
    </w:p>
    <w:p w14:paraId="6C1A67AB" w14:textId="77777777" w:rsidR="00C47A7C" w:rsidRPr="0064396B" w:rsidRDefault="00C47A7C" w:rsidP="00C47A7C">
      <w:pPr>
        <w:spacing w:before="100" w:beforeAutospacing="1" w:after="100" w:afterAutospacing="1"/>
        <w:rPr>
          <w:rFonts w:ascii="Arial" w:hAnsi="Arial" w:cs="Arial"/>
        </w:rPr>
      </w:pPr>
      <w:r w:rsidRPr="0064396B">
        <w:rPr>
          <w:rFonts w:ascii="Arial" w:hAnsi="Arial" w:cs="Arial"/>
        </w:rPr>
        <w:t>The increasing burden of heavy metal toxicity has stimulated interest in identifying natural substances capable of protecting biological systems against oxidative damage. Plant-derived phytochemicals have gained considerable attention due to their antioxidant and therapeutic properties. Many medicinal plants contain polyphenols, flavonoids, carotenoids, and other bioactive compounds that can neutralize free radicals and enhance endogenous antioxidant defenses. These compounds have been widely studied for their protective roles against oxidative stress-related diseases, including neurodegenerative disorders and toxicological damage caused by environmental pollutants (Caito &amp; Aschner, 2017). Consequently, dietary plants with strong antioxidant properties are being investigated as potential therapeutic agents for mitigating heavy-metal-induced toxicity.</w:t>
      </w:r>
    </w:p>
    <w:p w14:paraId="4C08070D" w14:textId="77777777" w:rsidR="00C47A7C" w:rsidRPr="0064396B" w:rsidRDefault="00C47A7C" w:rsidP="00C47A7C">
      <w:pPr>
        <w:spacing w:before="100" w:beforeAutospacing="1" w:after="100" w:afterAutospacing="1"/>
        <w:rPr>
          <w:rFonts w:ascii="Arial" w:hAnsi="Arial" w:cs="Arial"/>
        </w:rPr>
      </w:pPr>
      <w:r w:rsidRPr="0064396B">
        <w:rPr>
          <w:rFonts w:ascii="Arial" w:hAnsi="Arial" w:cs="Arial"/>
        </w:rPr>
        <w:t>Cowpea (</w:t>
      </w:r>
      <w:r w:rsidRPr="00DB4894">
        <w:rPr>
          <w:rFonts w:ascii="Arial" w:hAnsi="Arial" w:cs="Arial"/>
          <w:i/>
          <w:iCs/>
        </w:rPr>
        <w:t>Vigna unguiculata</w:t>
      </w:r>
      <w:r w:rsidRPr="0064396B">
        <w:rPr>
          <w:rFonts w:ascii="Arial" w:hAnsi="Arial" w:cs="Arial"/>
        </w:rPr>
        <w:t>), an important leguminous crop widely cultivated in Africa, Asia, and parts of the Americas, has attracted increasing scientific interest because of its nutritional value and phytochemical composition. Cowpea is a major source of plant protein and contains essential nutrients such as vitamins, minerals, and dietary fiber. In addition to its nutritional importance, cowpea contains numerous bioactive compounds including phenolic acids, flavonoids, tannins, and carotenoids. These phytochemicals have been associated with significant antioxidant activity and health-promoting effects. Investigations into the phytochemical composition of different cowpea genotypes have demonstrated that the crop contains substantial levels of phenolic compounds capable of scavenging reactive oxygen species and inhibiting lipid peroxidation (</w:t>
      </w:r>
      <w:proofErr w:type="spellStart"/>
      <w:r w:rsidRPr="0064396B">
        <w:rPr>
          <w:rFonts w:ascii="Arial" w:hAnsi="Arial" w:cs="Arial"/>
        </w:rPr>
        <w:t>Sombié</w:t>
      </w:r>
      <w:proofErr w:type="spellEnd"/>
      <w:r w:rsidRPr="0064396B">
        <w:rPr>
          <w:rFonts w:ascii="Arial" w:hAnsi="Arial" w:cs="Arial"/>
        </w:rPr>
        <w:t xml:space="preserve"> et al., 2018).</w:t>
      </w:r>
    </w:p>
    <w:p w14:paraId="6B036858" w14:textId="77777777" w:rsidR="00C47A7C" w:rsidRPr="0064396B" w:rsidRDefault="00C47A7C" w:rsidP="00C47A7C">
      <w:pPr>
        <w:spacing w:before="100" w:beforeAutospacing="1" w:after="100" w:afterAutospacing="1"/>
        <w:rPr>
          <w:rFonts w:ascii="Arial" w:hAnsi="Arial" w:cs="Arial"/>
        </w:rPr>
      </w:pPr>
      <w:r w:rsidRPr="0064396B">
        <w:rPr>
          <w:rFonts w:ascii="Arial" w:hAnsi="Arial" w:cs="Arial"/>
        </w:rPr>
        <w:t>Several studies have further explored the antioxidant properties of cowpea and reported significant biological activity. For instance, Moloto et al. (2020) reported that cowpea leaves contain considerable amounts of phenolic compounds and carotenoids, which contribute to strong antioxidant capacity. These bioactive compounds are believed to play an important role in protecting cells from oxidative stress and maintaining physiological balance. Similarly, research investigating the phenolic profile of cowpea has demonstrated that the plant contains compounds with potent antioxidant potential, suggesting that it may serve as a functional food with therapeutic benefits (Avanza et al., 2021).</w:t>
      </w:r>
    </w:p>
    <w:p w14:paraId="7CC6E403" w14:textId="77777777" w:rsidR="00C47A7C" w:rsidRPr="0064396B" w:rsidRDefault="00C47A7C" w:rsidP="00C47A7C">
      <w:pPr>
        <w:spacing w:before="100" w:beforeAutospacing="1" w:after="100" w:afterAutospacing="1"/>
        <w:rPr>
          <w:rFonts w:ascii="Arial" w:hAnsi="Arial" w:cs="Arial"/>
        </w:rPr>
      </w:pPr>
      <w:r w:rsidRPr="0064396B">
        <w:rPr>
          <w:rFonts w:ascii="Arial" w:hAnsi="Arial" w:cs="Arial"/>
        </w:rPr>
        <w:t>Despite the well-documented nutritional and antioxidant properties of cowpea, limited research has investigated its potential protective effects against heavy-metal-induced neurotoxicity. Most previous studies have focused primarily on its phytochemical composition, antioxidant capacity, and nutritional value, with relatively little attention given to its possible neuroprotective roles in toxicological models. Considering that oxidative stress plays a central role in the mechanism of lead-induced neuronal damage, plant extracts rich in antioxidant phytochemicals may provide a promising strategy for mitigating the harmful effects of lead exposure.</w:t>
      </w:r>
    </w:p>
    <w:p w14:paraId="75264498" w14:textId="77777777" w:rsidR="00C47A7C" w:rsidRPr="0064396B" w:rsidRDefault="00C47A7C" w:rsidP="00C47A7C">
      <w:pPr>
        <w:spacing w:before="100" w:beforeAutospacing="1" w:after="100" w:afterAutospacing="1"/>
        <w:rPr>
          <w:rFonts w:ascii="Arial" w:hAnsi="Arial" w:cs="Arial"/>
        </w:rPr>
      </w:pPr>
      <w:r w:rsidRPr="0064396B">
        <w:rPr>
          <w:rFonts w:ascii="Arial" w:hAnsi="Arial" w:cs="Arial"/>
        </w:rPr>
        <w:t>Ethanolic extraction is widely employed in phytochemical research because ethanol efficiently dissolves and extracts phenolic compounds and flavonoids from plant materials. Extracts obtained through ethanol extraction often contain higher concentrations of bioactive compounds compared with aqueous extracts, resulting in stronger antioxidant activity. Investigating ethanolic extracts of cowpea may therefore provide valuable insight into the potential neuroprotective mechanisms associated with its phytochemical constituents.</w:t>
      </w:r>
    </w:p>
    <w:p w14:paraId="58225EA6" w14:textId="2C4E2A03" w:rsidR="00C47A7C" w:rsidRPr="0064396B" w:rsidRDefault="00C47A7C" w:rsidP="00C47A7C">
      <w:pPr>
        <w:spacing w:before="100" w:beforeAutospacing="1" w:after="100" w:afterAutospacing="1"/>
        <w:rPr>
          <w:rFonts w:ascii="Arial" w:hAnsi="Arial" w:cs="Arial"/>
        </w:rPr>
      </w:pPr>
      <w:r w:rsidRPr="0064396B">
        <w:rPr>
          <w:rFonts w:ascii="Arial" w:hAnsi="Arial" w:cs="Arial"/>
        </w:rPr>
        <w:lastRenderedPageBreak/>
        <w:t xml:space="preserve">In view of the increasing environmental burden of lead contamination and the need for safer therapeutic interventions, exploring natural plant-based antioxidants has become increasingly important. This study was therefore designed to evaluate the effect of ethanolic cowpea extract on adult male Wistar rats induced with acute lead neurotoxicity. Using Wistar rats as an experimental model allows for controlled investigation </w:t>
      </w:r>
      <w:r>
        <w:rPr>
          <w:rFonts w:ascii="Arial" w:hAnsi="Arial" w:cs="Arial"/>
        </w:rPr>
        <w:t>of biochemical and structural</w:t>
      </w:r>
      <w:r w:rsidRPr="0064396B">
        <w:rPr>
          <w:rFonts w:ascii="Arial" w:hAnsi="Arial" w:cs="Arial"/>
        </w:rPr>
        <w:t xml:space="preserve"> alterations associated with lead toxicity, as well as the assessment of potential protective effects of plant-derived compounds.</w:t>
      </w:r>
    </w:p>
    <w:p w14:paraId="3995E1A5" w14:textId="5638A77B" w:rsidR="00C47A7C" w:rsidRPr="0064396B" w:rsidRDefault="00C47A7C" w:rsidP="00C47A7C">
      <w:pPr>
        <w:spacing w:before="100" w:beforeAutospacing="1" w:after="100" w:afterAutospacing="1"/>
        <w:rPr>
          <w:rFonts w:ascii="Arial" w:hAnsi="Arial" w:cs="Arial"/>
        </w:rPr>
      </w:pPr>
      <w:r w:rsidRPr="0064396B">
        <w:rPr>
          <w:rFonts w:ascii="Arial" w:hAnsi="Arial" w:cs="Arial"/>
        </w:rPr>
        <w:t>The scope of this study focuses on evaluating the neuroprotective potential of ethanolic cowpea extract against acute lead-induced neurotoxicity in adult male Wistar rats. Specifically, the study examines biochemical indicators of oxid</w:t>
      </w:r>
      <w:r>
        <w:rPr>
          <w:rFonts w:ascii="Arial" w:hAnsi="Arial" w:cs="Arial"/>
        </w:rPr>
        <w:t>ative stress and histological changes</w:t>
      </w:r>
      <w:r w:rsidR="00511E09">
        <w:rPr>
          <w:rFonts w:ascii="Arial" w:hAnsi="Arial" w:cs="Arial"/>
        </w:rPr>
        <w:t xml:space="preserve"> using Hematoxylin and Eosin stain, histochemical changes using </w:t>
      </w:r>
      <w:proofErr w:type="spellStart"/>
      <w:r w:rsidR="00511E09">
        <w:rPr>
          <w:rFonts w:ascii="Arial" w:hAnsi="Arial" w:cs="Arial"/>
        </w:rPr>
        <w:t>cresyl</w:t>
      </w:r>
      <w:proofErr w:type="spellEnd"/>
      <w:r w:rsidR="00511E09">
        <w:rPr>
          <w:rFonts w:ascii="Arial" w:hAnsi="Arial" w:cs="Arial"/>
        </w:rPr>
        <w:t xml:space="preserve"> violet(</w:t>
      </w:r>
      <w:proofErr w:type="spellStart"/>
      <w:r w:rsidR="00511E09">
        <w:rPr>
          <w:rFonts w:ascii="Arial" w:hAnsi="Arial" w:cs="Arial"/>
        </w:rPr>
        <w:t>nissyl</w:t>
      </w:r>
      <w:proofErr w:type="spellEnd"/>
      <w:r w:rsidR="00511E09">
        <w:rPr>
          <w:rFonts w:ascii="Arial" w:hAnsi="Arial" w:cs="Arial"/>
        </w:rPr>
        <w:t xml:space="preserve"> stain)</w:t>
      </w:r>
      <w:r w:rsidRPr="0064396B">
        <w:rPr>
          <w:rFonts w:ascii="Arial" w:hAnsi="Arial" w:cs="Arial"/>
        </w:rPr>
        <w:t xml:space="preserve"> in order to determine whether cowpea extract can attenuate the harmful effects associated with lead exposure.</w:t>
      </w:r>
    </w:p>
    <w:p w14:paraId="45FE3A87" w14:textId="77777777" w:rsidR="00C47A7C" w:rsidRPr="0064396B" w:rsidRDefault="00C47A7C" w:rsidP="00C47A7C">
      <w:pPr>
        <w:spacing w:before="100" w:beforeAutospacing="1" w:after="100" w:afterAutospacing="1"/>
        <w:rPr>
          <w:rFonts w:ascii="Arial" w:hAnsi="Arial" w:cs="Arial"/>
        </w:rPr>
      </w:pPr>
      <w:r w:rsidRPr="0064396B">
        <w:rPr>
          <w:rFonts w:ascii="Arial" w:hAnsi="Arial" w:cs="Arial"/>
        </w:rPr>
        <w:t>The justification for this research lies in the increasing prevalence of environmental heavy-metal contamination and the urgent need for accessible and cost-effective strategies to reduce its impact on human health. Since cowpea is widely cultivated and consumed in many developing c</w:t>
      </w:r>
      <w:r>
        <w:rPr>
          <w:rFonts w:ascii="Arial" w:hAnsi="Arial" w:cs="Arial"/>
        </w:rPr>
        <w:t>ountries, particularly in Nigeria</w:t>
      </w:r>
      <w:r w:rsidRPr="0064396B">
        <w:rPr>
          <w:rFonts w:ascii="Arial" w:hAnsi="Arial" w:cs="Arial"/>
        </w:rPr>
        <w:t>, understanding its potential neuroprotective properties could contribute to the development of nutritional and therapeutic approaches aimed at combating heavy-metal-induced oxidative damage.</w:t>
      </w:r>
    </w:p>
    <w:p w14:paraId="52868675" w14:textId="77777777" w:rsidR="00790ADA" w:rsidRPr="00FB3A86" w:rsidRDefault="00790ADA" w:rsidP="00441B6F">
      <w:pPr>
        <w:pStyle w:val="Body"/>
        <w:spacing w:after="0"/>
        <w:rPr>
          <w:rFonts w:ascii="Arial" w:hAnsi="Arial" w:cs="Arial"/>
        </w:rPr>
      </w:pPr>
    </w:p>
    <w:p w14:paraId="0E2E724A" w14:textId="2B397FEF"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0322F34" w14:textId="77777777" w:rsidR="00C16969" w:rsidRPr="00AA7544" w:rsidRDefault="00C16969" w:rsidP="00C16969">
      <w:pPr>
        <w:spacing w:before="240" w:after="240"/>
        <w:rPr>
          <w:rFonts w:ascii="Arial" w:hAnsi="Arial" w:cs="Arial"/>
          <w:b/>
          <w:bCs/>
          <w:sz w:val="22"/>
          <w:szCs w:val="22"/>
        </w:rPr>
      </w:pPr>
      <w:r w:rsidRPr="00AA7544">
        <w:rPr>
          <w:rFonts w:ascii="Arial" w:hAnsi="Arial" w:cs="Arial"/>
          <w:b/>
          <w:bCs/>
          <w:sz w:val="22"/>
          <w:szCs w:val="22"/>
        </w:rPr>
        <w:t xml:space="preserve">2.1 Plant Collection  </w:t>
      </w:r>
    </w:p>
    <w:p w14:paraId="5049C691" w14:textId="262C2834" w:rsidR="00C16969" w:rsidRPr="00C16969" w:rsidRDefault="004D1C49" w:rsidP="00C16969">
      <w:pPr>
        <w:jc w:val="both"/>
        <w:rPr>
          <w:rFonts w:ascii="Arial" w:hAnsi="Arial" w:cs="Arial"/>
        </w:rPr>
      </w:pPr>
      <w:r>
        <w:rPr>
          <w:rFonts w:ascii="Arial" w:hAnsi="Arial" w:cs="Arial"/>
          <w:i/>
        </w:rPr>
        <w:t>Cowpea</w:t>
      </w:r>
      <w:r>
        <w:rPr>
          <w:rFonts w:ascii="Arial" w:hAnsi="Arial" w:cs="Arial"/>
        </w:rPr>
        <w:t xml:space="preserve"> wa</w:t>
      </w:r>
      <w:r w:rsidR="00642F3D">
        <w:rPr>
          <w:rFonts w:ascii="Arial" w:hAnsi="Arial" w:cs="Arial"/>
        </w:rPr>
        <w:t>s purchased from a local</w:t>
      </w:r>
      <w:r w:rsidR="00C16969" w:rsidRPr="00C16969">
        <w:rPr>
          <w:rFonts w:ascii="Arial" w:hAnsi="Arial" w:cs="Arial"/>
        </w:rPr>
        <w:t xml:space="preserve"> farm, at Uli, Anambra state. </w:t>
      </w:r>
      <w:r w:rsidR="00C16969" w:rsidRPr="00C16969">
        <w:rPr>
          <w:rFonts w:ascii="Arial" w:hAnsi="Arial" w:cs="Arial"/>
          <w:color w:val="000000"/>
        </w:rPr>
        <w:t>The botanical identification</w:t>
      </w:r>
      <w:r w:rsidR="006E48E8">
        <w:rPr>
          <w:rFonts w:ascii="Arial" w:hAnsi="Arial" w:cs="Arial"/>
          <w:color w:val="000000"/>
        </w:rPr>
        <w:t xml:space="preserve"> </w:t>
      </w:r>
      <w:r w:rsidR="00C16969" w:rsidRPr="00C16969">
        <w:rPr>
          <w:rFonts w:ascii="Arial" w:hAnsi="Arial" w:cs="Arial"/>
          <w:color w:val="000000"/>
        </w:rPr>
        <w:t xml:space="preserve">was confirmed in the herbarium </w:t>
      </w:r>
      <w:r w:rsidR="00A15DB5">
        <w:rPr>
          <w:rFonts w:ascii="Arial" w:hAnsi="Arial" w:cs="Arial"/>
          <w:color w:val="000000"/>
        </w:rPr>
        <w:t xml:space="preserve">unit </w:t>
      </w:r>
      <w:r w:rsidR="00C16969" w:rsidRPr="00C16969">
        <w:rPr>
          <w:rFonts w:ascii="Arial" w:hAnsi="Arial" w:cs="Arial"/>
          <w:color w:val="000000"/>
        </w:rPr>
        <w:t xml:space="preserve">of the Department of Biological Science, Chukwuemeka </w:t>
      </w:r>
      <w:proofErr w:type="spellStart"/>
      <w:r w:rsidR="00C16969" w:rsidRPr="00C16969">
        <w:rPr>
          <w:rFonts w:ascii="Arial" w:hAnsi="Arial" w:cs="Arial"/>
          <w:color w:val="000000"/>
        </w:rPr>
        <w:t>Odumegwu</w:t>
      </w:r>
      <w:proofErr w:type="spellEnd"/>
      <w:r w:rsidR="00C16969" w:rsidRPr="00C16969">
        <w:rPr>
          <w:rFonts w:ascii="Arial" w:hAnsi="Arial" w:cs="Arial"/>
          <w:color w:val="000000"/>
        </w:rPr>
        <w:t xml:space="preserve"> Ojukwu University, </w:t>
      </w:r>
      <w:proofErr w:type="spellStart"/>
      <w:r w:rsidR="00C16969" w:rsidRPr="00C16969">
        <w:rPr>
          <w:rFonts w:ascii="Arial" w:hAnsi="Arial" w:cs="Arial"/>
          <w:color w:val="000000"/>
        </w:rPr>
        <w:t>Uli</w:t>
      </w:r>
      <w:proofErr w:type="spellEnd"/>
      <w:r w:rsidR="00C16969" w:rsidRPr="00C16969">
        <w:rPr>
          <w:rFonts w:ascii="Arial" w:hAnsi="Arial" w:cs="Arial"/>
          <w:color w:val="000000"/>
        </w:rPr>
        <w:t xml:space="preserve"> Campus, Anambra State</w:t>
      </w:r>
      <w:r w:rsidR="00642F3D">
        <w:rPr>
          <w:rFonts w:ascii="Arial" w:hAnsi="Arial" w:cs="Arial"/>
          <w:color w:val="000000"/>
        </w:rPr>
        <w:t>.</w:t>
      </w:r>
      <w:r w:rsidR="00A15DB5">
        <w:rPr>
          <w:rFonts w:ascii="Arial" w:hAnsi="Arial" w:cs="Arial"/>
          <w:color w:val="000000"/>
        </w:rPr>
        <w:t xml:space="preserve"> </w:t>
      </w:r>
    </w:p>
    <w:p w14:paraId="58F908ED" w14:textId="33EA155A" w:rsidR="00C16969" w:rsidRPr="00AA7544" w:rsidRDefault="00C16969" w:rsidP="00C16969">
      <w:pPr>
        <w:spacing w:before="240" w:after="240"/>
        <w:rPr>
          <w:rFonts w:ascii="Arial" w:hAnsi="Arial" w:cs="Arial"/>
          <w:b/>
          <w:bCs/>
          <w:sz w:val="22"/>
          <w:szCs w:val="22"/>
        </w:rPr>
      </w:pPr>
      <w:r w:rsidRPr="00AA7544">
        <w:rPr>
          <w:rFonts w:ascii="Arial" w:hAnsi="Arial" w:cs="Arial"/>
          <w:b/>
          <w:bCs/>
          <w:sz w:val="22"/>
          <w:szCs w:val="22"/>
        </w:rPr>
        <w:t xml:space="preserve">2.2 Preparation of </w:t>
      </w:r>
      <w:r w:rsidR="00CC0B01">
        <w:rPr>
          <w:rFonts w:ascii="Arial" w:hAnsi="Arial" w:cs="Arial"/>
          <w:b/>
          <w:bCs/>
          <w:i/>
          <w:sz w:val="22"/>
          <w:szCs w:val="22"/>
        </w:rPr>
        <w:t>Cowpea</w:t>
      </w:r>
      <w:r w:rsidRPr="00AA7544">
        <w:rPr>
          <w:rFonts w:ascii="Arial" w:hAnsi="Arial" w:cs="Arial"/>
          <w:b/>
          <w:bCs/>
          <w:sz w:val="22"/>
          <w:szCs w:val="22"/>
        </w:rPr>
        <w:t xml:space="preserve"> extract  </w:t>
      </w:r>
    </w:p>
    <w:p w14:paraId="2504317B" w14:textId="321F362D" w:rsidR="00C16969" w:rsidRDefault="00D210AC" w:rsidP="00C16969">
      <w:pPr>
        <w:jc w:val="both"/>
        <w:rPr>
          <w:rStyle w:val="bzpyqfadein"/>
        </w:rPr>
      </w:pPr>
      <w:r>
        <w:rPr>
          <w:rStyle w:val="bzpyqfadein"/>
        </w:rPr>
        <w:t>Fresh cowpea seeds were cleaned and air-dried at room temperature until a constant weight was obtained. The dried samples were then ground into fine powder using an electric grinder. A measured quantity of the powdered sample was macerated in 95% ethanol for 48 hours at room temperature with intermittent shaking to facilitate extraction of bioactive compounds. The mixture was subsequently filtered using Whatman No. 1 filter paper to obtain the crude filtrate. The filtrate was concentrated under reduced pressure using a digital rotary evaporator at 40 °C to remove the solvent and obtain a concentrated extract. The resulting extract was further dried in a laboratory oven at 40 °C until a semi-solid mass was obtained. The concentrated extract was then transferred into sterile airtight containers and stored in a refrigerator at 4 °C until required for experimental use.</w:t>
      </w:r>
    </w:p>
    <w:p w14:paraId="4E766A47" w14:textId="77777777" w:rsidR="00D210AC" w:rsidRPr="00AA7544" w:rsidRDefault="00D210AC" w:rsidP="00C16969">
      <w:pPr>
        <w:jc w:val="both"/>
        <w:rPr>
          <w:rFonts w:ascii="Arial" w:hAnsi="Arial" w:cs="Arial"/>
          <w:sz w:val="22"/>
          <w:szCs w:val="22"/>
        </w:rPr>
      </w:pPr>
    </w:p>
    <w:p w14:paraId="365AF7F9" w14:textId="7197BB03" w:rsidR="00C16969" w:rsidRPr="00AA7544" w:rsidRDefault="00C16969" w:rsidP="00C16969">
      <w:pPr>
        <w:jc w:val="both"/>
        <w:rPr>
          <w:rFonts w:ascii="Arial" w:hAnsi="Arial" w:cs="Arial"/>
          <w:b/>
          <w:bCs/>
          <w:sz w:val="22"/>
          <w:szCs w:val="22"/>
        </w:rPr>
      </w:pPr>
      <w:r w:rsidRPr="00AA7544">
        <w:rPr>
          <w:rFonts w:ascii="Arial" w:hAnsi="Arial" w:cs="Arial"/>
          <w:b/>
          <w:bCs/>
          <w:sz w:val="22"/>
          <w:szCs w:val="22"/>
        </w:rPr>
        <w:t>2.</w:t>
      </w:r>
      <w:r w:rsidR="00262714">
        <w:rPr>
          <w:rFonts w:ascii="Arial" w:hAnsi="Arial" w:cs="Arial"/>
          <w:b/>
          <w:bCs/>
          <w:sz w:val="22"/>
          <w:szCs w:val="22"/>
        </w:rPr>
        <w:t>3</w:t>
      </w:r>
      <w:r w:rsidRPr="00AA7544">
        <w:rPr>
          <w:rFonts w:ascii="Arial" w:hAnsi="Arial" w:cs="Arial"/>
          <w:b/>
          <w:bCs/>
          <w:sz w:val="22"/>
          <w:szCs w:val="22"/>
        </w:rPr>
        <w:t xml:space="preserve"> Declaration of Interest</w:t>
      </w:r>
    </w:p>
    <w:p w14:paraId="7EFA3AF5" w14:textId="77777777" w:rsidR="00C16969" w:rsidRPr="00C16969" w:rsidRDefault="00C16969" w:rsidP="00C16969">
      <w:pPr>
        <w:jc w:val="both"/>
        <w:rPr>
          <w:rFonts w:ascii="Arial" w:hAnsi="Arial" w:cs="Arial"/>
          <w:b/>
          <w:bCs/>
        </w:rPr>
      </w:pPr>
    </w:p>
    <w:p w14:paraId="5AE7CAFF" w14:textId="00A2D1C3" w:rsidR="00C16969" w:rsidRDefault="00C16969" w:rsidP="00C16969">
      <w:pPr>
        <w:jc w:val="both"/>
        <w:rPr>
          <w:rFonts w:ascii="Arial" w:hAnsi="Arial" w:cs="Arial"/>
        </w:rPr>
      </w:pPr>
      <w:r w:rsidRPr="00C16969">
        <w:rPr>
          <w:rFonts w:ascii="Arial" w:hAnsi="Arial" w:cs="Arial"/>
        </w:rPr>
        <w:t>None</w:t>
      </w:r>
    </w:p>
    <w:p w14:paraId="0155CAEF" w14:textId="77777777" w:rsidR="00C16969" w:rsidRPr="00C16969" w:rsidRDefault="00C16969" w:rsidP="00C16969">
      <w:pPr>
        <w:jc w:val="both"/>
        <w:rPr>
          <w:rFonts w:ascii="Arial" w:hAnsi="Arial" w:cs="Arial"/>
        </w:rPr>
      </w:pPr>
    </w:p>
    <w:p w14:paraId="096373AE" w14:textId="682A0281" w:rsidR="00C16969" w:rsidRPr="00AA7544" w:rsidRDefault="00C16969" w:rsidP="00C16969">
      <w:pPr>
        <w:jc w:val="both"/>
        <w:rPr>
          <w:rFonts w:ascii="Arial" w:hAnsi="Arial" w:cs="Arial"/>
          <w:b/>
          <w:bCs/>
          <w:sz w:val="22"/>
          <w:szCs w:val="22"/>
        </w:rPr>
      </w:pPr>
      <w:r w:rsidRPr="00AA7544">
        <w:rPr>
          <w:rFonts w:ascii="Arial" w:hAnsi="Arial" w:cs="Arial"/>
          <w:b/>
          <w:bCs/>
          <w:sz w:val="22"/>
          <w:szCs w:val="22"/>
        </w:rPr>
        <w:t>2.</w:t>
      </w:r>
      <w:r w:rsidR="00BB3540">
        <w:rPr>
          <w:rFonts w:ascii="Arial" w:hAnsi="Arial" w:cs="Arial"/>
          <w:b/>
          <w:bCs/>
          <w:sz w:val="22"/>
          <w:szCs w:val="22"/>
        </w:rPr>
        <w:t>4</w:t>
      </w:r>
      <w:r w:rsidRPr="00AA7544">
        <w:rPr>
          <w:rFonts w:ascii="Arial" w:hAnsi="Arial" w:cs="Arial"/>
          <w:b/>
          <w:bCs/>
          <w:sz w:val="22"/>
          <w:szCs w:val="22"/>
        </w:rPr>
        <w:t xml:space="preserve"> Funding Source</w:t>
      </w:r>
    </w:p>
    <w:p w14:paraId="475981EC" w14:textId="77777777" w:rsidR="00C16969" w:rsidRPr="00C16969" w:rsidRDefault="00C16969" w:rsidP="00C16969">
      <w:pPr>
        <w:spacing w:before="240" w:after="240"/>
        <w:rPr>
          <w:rFonts w:ascii="Arial" w:hAnsi="Arial" w:cs="Arial"/>
        </w:rPr>
      </w:pPr>
      <w:r w:rsidRPr="00C16969">
        <w:rPr>
          <w:rFonts w:ascii="Arial" w:hAnsi="Arial" w:cs="Arial"/>
        </w:rPr>
        <w:t>This research did not receive any specific grant from funding agencies in the public, commercial, or non-profit sectors.</w:t>
      </w:r>
    </w:p>
    <w:p w14:paraId="4FDA1EEA" w14:textId="745133A3" w:rsidR="00C16969" w:rsidRPr="00AA7544" w:rsidRDefault="00C16969" w:rsidP="00C16969">
      <w:pPr>
        <w:spacing w:before="240" w:after="240"/>
        <w:rPr>
          <w:rFonts w:ascii="Arial" w:hAnsi="Arial" w:cs="Arial"/>
          <w:b/>
          <w:bCs/>
          <w:sz w:val="22"/>
          <w:szCs w:val="22"/>
        </w:rPr>
      </w:pPr>
      <w:r w:rsidRPr="00AA7544">
        <w:rPr>
          <w:rFonts w:ascii="Arial" w:hAnsi="Arial" w:cs="Arial"/>
          <w:b/>
          <w:bCs/>
          <w:sz w:val="22"/>
          <w:szCs w:val="22"/>
        </w:rPr>
        <w:t>2.</w:t>
      </w:r>
      <w:r w:rsidR="00BB3540">
        <w:rPr>
          <w:rFonts w:ascii="Arial" w:hAnsi="Arial" w:cs="Arial"/>
          <w:b/>
          <w:bCs/>
          <w:sz w:val="22"/>
          <w:szCs w:val="22"/>
        </w:rPr>
        <w:t>5</w:t>
      </w:r>
      <w:r w:rsidRPr="00AA7544">
        <w:rPr>
          <w:rFonts w:ascii="Arial" w:hAnsi="Arial" w:cs="Arial"/>
          <w:b/>
          <w:bCs/>
          <w:sz w:val="22"/>
          <w:szCs w:val="22"/>
        </w:rPr>
        <w:t xml:space="preserve"> Experimental Design </w:t>
      </w:r>
    </w:p>
    <w:p w14:paraId="7DE0CB39" w14:textId="39C652EF" w:rsidR="00C16969" w:rsidRPr="00C16969" w:rsidRDefault="00B911AF" w:rsidP="00C16969">
      <w:pPr>
        <w:jc w:val="both"/>
        <w:rPr>
          <w:rFonts w:ascii="Arial" w:hAnsi="Arial" w:cs="Arial"/>
        </w:rPr>
      </w:pPr>
      <w:r>
        <w:rPr>
          <w:rFonts w:ascii="Arial" w:hAnsi="Arial" w:cs="Arial"/>
        </w:rPr>
        <w:t>Twenty-five (2</w:t>
      </w:r>
      <w:r w:rsidR="00C16969" w:rsidRPr="00C16969">
        <w:rPr>
          <w:rFonts w:ascii="Arial" w:hAnsi="Arial" w:cs="Arial"/>
        </w:rPr>
        <w:t xml:space="preserve">5) male </w:t>
      </w:r>
      <w:r>
        <w:rPr>
          <w:rFonts w:ascii="Arial" w:hAnsi="Arial" w:cs="Arial"/>
        </w:rPr>
        <w:t>Wistar Rats weighing between 70-120</w:t>
      </w:r>
      <w:r w:rsidR="00C16969" w:rsidRPr="00C16969">
        <w:rPr>
          <w:rFonts w:ascii="Arial" w:hAnsi="Arial" w:cs="Arial"/>
        </w:rPr>
        <w:t>g were used for this study. The animals were allowed to a</w:t>
      </w:r>
      <w:r>
        <w:rPr>
          <w:rFonts w:ascii="Arial" w:hAnsi="Arial" w:cs="Arial"/>
        </w:rPr>
        <w:t>cclimatize for a period of fourteen</w:t>
      </w:r>
      <w:r w:rsidR="00C16969" w:rsidRPr="00C16969">
        <w:rPr>
          <w:rFonts w:ascii="Arial" w:hAnsi="Arial" w:cs="Arial"/>
        </w:rPr>
        <w:t xml:space="preserve"> days with full access to feed and water, after which were randomly se</w:t>
      </w:r>
      <w:r>
        <w:rPr>
          <w:rFonts w:ascii="Arial" w:hAnsi="Arial" w:cs="Arial"/>
        </w:rPr>
        <w:t>lected into five groups of five</w:t>
      </w:r>
      <w:r w:rsidR="00C16969" w:rsidRPr="00C16969">
        <w:rPr>
          <w:rFonts w:ascii="Arial" w:hAnsi="Arial" w:cs="Arial"/>
        </w:rPr>
        <w:t xml:space="preserve"> animals each (A to E). The grouping was as follows:</w:t>
      </w:r>
    </w:p>
    <w:p w14:paraId="33E15034" w14:textId="36045F70" w:rsidR="00C16969" w:rsidRPr="00C16969" w:rsidRDefault="00C16969" w:rsidP="00C16969">
      <w:pPr>
        <w:jc w:val="both"/>
        <w:rPr>
          <w:rFonts w:ascii="Arial" w:hAnsi="Arial" w:cs="Arial"/>
        </w:rPr>
      </w:pPr>
      <w:r w:rsidRPr="00C16969">
        <w:rPr>
          <w:rFonts w:ascii="Arial" w:hAnsi="Arial" w:cs="Arial"/>
        </w:rPr>
        <w:t xml:space="preserve">Group A (Control </w:t>
      </w:r>
      <w:r w:rsidR="00A41504">
        <w:rPr>
          <w:rFonts w:ascii="Arial" w:hAnsi="Arial" w:cs="Arial"/>
        </w:rPr>
        <w:t>Group): animals received</w:t>
      </w:r>
      <w:r w:rsidRPr="00C16969">
        <w:rPr>
          <w:rFonts w:ascii="Arial" w:hAnsi="Arial" w:cs="Arial"/>
        </w:rPr>
        <w:t xml:space="preserve"> distilled water and laboratory chow</w:t>
      </w:r>
    </w:p>
    <w:p w14:paraId="65CEB687" w14:textId="3247B9DF" w:rsidR="00C16969" w:rsidRPr="00C16969" w:rsidRDefault="00A41504" w:rsidP="00C16969">
      <w:pPr>
        <w:jc w:val="both"/>
        <w:rPr>
          <w:rFonts w:ascii="Arial" w:hAnsi="Arial" w:cs="Arial"/>
        </w:rPr>
      </w:pPr>
      <w:r>
        <w:rPr>
          <w:rFonts w:ascii="Arial" w:hAnsi="Arial" w:cs="Arial"/>
        </w:rPr>
        <w:t>Group B (Lead acetate</w:t>
      </w:r>
      <w:r w:rsidR="00C16969" w:rsidRPr="00C16969">
        <w:rPr>
          <w:rFonts w:ascii="Arial" w:hAnsi="Arial" w:cs="Arial"/>
        </w:rPr>
        <w:t xml:space="preserve"> group): received </w:t>
      </w:r>
      <w:r>
        <w:rPr>
          <w:rFonts w:ascii="Arial" w:hAnsi="Arial" w:cs="Arial"/>
        </w:rPr>
        <w:t>1</w:t>
      </w:r>
      <w:r w:rsidR="00C16969" w:rsidRPr="00C16969">
        <w:rPr>
          <w:rFonts w:ascii="Arial" w:hAnsi="Arial" w:cs="Arial"/>
        </w:rPr>
        <w:t>5mg/kg of</w:t>
      </w:r>
      <w:r>
        <w:rPr>
          <w:rFonts w:ascii="Arial" w:hAnsi="Arial" w:cs="Arial"/>
        </w:rPr>
        <w:t xml:space="preserve"> lead</w:t>
      </w:r>
      <w:r w:rsidR="00C16969" w:rsidRPr="00C16969">
        <w:rPr>
          <w:rFonts w:ascii="Arial" w:hAnsi="Arial" w:cs="Arial"/>
        </w:rPr>
        <w:t xml:space="preserve"> only.</w:t>
      </w:r>
    </w:p>
    <w:p w14:paraId="463D3880" w14:textId="5327C47D" w:rsidR="00C16969" w:rsidRPr="00C16969" w:rsidRDefault="00A41504" w:rsidP="00C16969">
      <w:pPr>
        <w:jc w:val="both"/>
        <w:rPr>
          <w:rFonts w:ascii="Arial" w:hAnsi="Arial" w:cs="Arial"/>
        </w:rPr>
      </w:pPr>
      <w:r>
        <w:rPr>
          <w:rFonts w:ascii="Arial" w:hAnsi="Arial" w:cs="Arial"/>
        </w:rPr>
        <w:t>Group C</w:t>
      </w:r>
      <w:r w:rsidR="001E0A22">
        <w:rPr>
          <w:rFonts w:ascii="Arial" w:hAnsi="Arial" w:cs="Arial"/>
        </w:rPr>
        <w:t xml:space="preserve"> </w:t>
      </w:r>
      <w:r w:rsidR="00C16969" w:rsidRPr="00C16969">
        <w:rPr>
          <w:rFonts w:ascii="Arial" w:hAnsi="Arial" w:cs="Arial"/>
        </w:rPr>
        <w:t>(</w:t>
      </w:r>
      <w:proofErr w:type="spellStart"/>
      <w:r>
        <w:rPr>
          <w:rFonts w:ascii="Arial" w:hAnsi="Arial" w:cs="Arial"/>
          <w:i/>
        </w:rPr>
        <w:t>lead+low</w:t>
      </w:r>
      <w:proofErr w:type="spellEnd"/>
      <w:r>
        <w:rPr>
          <w:rFonts w:ascii="Arial" w:hAnsi="Arial" w:cs="Arial"/>
          <w:i/>
        </w:rPr>
        <w:t xml:space="preserve"> dose cowpea extract</w:t>
      </w:r>
      <w:r w:rsidR="00C16969" w:rsidRPr="00C16969">
        <w:rPr>
          <w:rFonts w:ascii="Arial" w:hAnsi="Arial" w:cs="Arial"/>
        </w:rPr>
        <w:t xml:space="preserve">): received </w:t>
      </w:r>
      <w:r w:rsidRPr="00A41504">
        <w:rPr>
          <w:rFonts w:ascii="Arial" w:hAnsi="Arial" w:cs="Arial"/>
        </w:rPr>
        <w:t>Lead acetate + 1</w:t>
      </w:r>
      <w:r w:rsidR="00AC25A7">
        <w:rPr>
          <w:rFonts w:ascii="Arial" w:hAnsi="Arial" w:cs="Arial"/>
        </w:rPr>
        <w:t>0</w:t>
      </w:r>
      <w:r w:rsidRPr="00A41504">
        <w:rPr>
          <w:rFonts w:ascii="Arial" w:hAnsi="Arial" w:cs="Arial"/>
        </w:rPr>
        <w:t>0mg/kg of cowpea extract</w:t>
      </w:r>
      <w:r w:rsidR="00C16969" w:rsidRPr="00A41504">
        <w:rPr>
          <w:rFonts w:ascii="Arial" w:hAnsi="Arial" w:cs="Arial"/>
        </w:rPr>
        <w:t>.</w:t>
      </w:r>
    </w:p>
    <w:p w14:paraId="000B0A8F" w14:textId="7A4A423B" w:rsidR="001E0A22" w:rsidRPr="00C16969" w:rsidRDefault="00A41504" w:rsidP="001E0A22">
      <w:pPr>
        <w:jc w:val="both"/>
        <w:rPr>
          <w:rFonts w:ascii="Arial" w:hAnsi="Arial" w:cs="Arial"/>
        </w:rPr>
      </w:pPr>
      <w:r>
        <w:rPr>
          <w:rFonts w:ascii="Arial" w:hAnsi="Arial" w:cs="Arial"/>
        </w:rPr>
        <w:t>Group D (lead+ high dose cowpea extract</w:t>
      </w:r>
      <w:r w:rsidR="00C16969" w:rsidRPr="00C16969">
        <w:rPr>
          <w:rFonts w:ascii="Arial" w:hAnsi="Arial" w:cs="Arial"/>
        </w:rPr>
        <w:t xml:space="preserve">): </w:t>
      </w:r>
      <w:r w:rsidR="001E0A22" w:rsidRPr="00C16969">
        <w:rPr>
          <w:rFonts w:ascii="Arial" w:hAnsi="Arial" w:cs="Arial"/>
        </w:rPr>
        <w:t xml:space="preserve">received </w:t>
      </w:r>
      <w:r w:rsidR="00AC25A7">
        <w:rPr>
          <w:rFonts w:ascii="Arial" w:hAnsi="Arial" w:cs="Arial"/>
        </w:rPr>
        <w:t>Lead acetate + 20</w:t>
      </w:r>
      <w:r w:rsidR="001E0A22" w:rsidRPr="00A41504">
        <w:rPr>
          <w:rFonts w:ascii="Arial" w:hAnsi="Arial" w:cs="Arial"/>
        </w:rPr>
        <w:t>0mg/kg of cowpea extract.</w:t>
      </w:r>
    </w:p>
    <w:p w14:paraId="7A570448" w14:textId="7096F807" w:rsidR="001E0A22" w:rsidRDefault="001E0A22" w:rsidP="001E0A22">
      <w:pPr>
        <w:jc w:val="both"/>
        <w:rPr>
          <w:rFonts w:ascii="Arial" w:hAnsi="Arial" w:cs="Arial"/>
        </w:rPr>
      </w:pPr>
      <w:r>
        <w:rPr>
          <w:rFonts w:ascii="Arial" w:hAnsi="Arial" w:cs="Arial"/>
        </w:rPr>
        <w:t>Group E (Cowpea group</w:t>
      </w:r>
      <w:r w:rsidR="00C16969" w:rsidRPr="00C16969">
        <w:rPr>
          <w:rFonts w:ascii="Arial" w:hAnsi="Arial" w:cs="Arial"/>
        </w:rPr>
        <w:t xml:space="preserve">): received </w:t>
      </w:r>
      <w:r w:rsidR="00706C89">
        <w:rPr>
          <w:rFonts w:ascii="Arial" w:hAnsi="Arial" w:cs="Arial"/>
        </w:rPr>
        <w:t>2</w:t>
      </w:r>
      <w:r w:rsidR="00AC25A7">
        <w:rPr>
          <w:rFonts w:ascii="Arial" w:hAnsi="Arial" w:cs="Arial"/>
        </w:rPr>
        <w:t>0</w:t>
      </w:r>
      <w:r w:rsidRPr="00A41504">
        <w:rPr>
          <w:rFonts w:ascii="Arial" w:hAnsi="Arial" w:cs="Arial"/>
        </w:rPr>
        <w:t>0mg/kg of cowpea extract.</w:t>
      </w:r>
    </w:p>
    <w:p w14:paraId="3CB8FC72" w14:textId="77777777" w:rsidR="001E0A22" w:rsidRPr="00C16969" w:rsidRDefault="001E0A22" w:rsidP="001E0A22">
      <w:pPr>
        <w:jc w:val="both"/>
        <w:rPr>
          <w:rFonts w:ascii="Arial" w:hAnsi="Arial" w:cs="Arial"/>
        </w:rPr>
      </w:pPr>
    </w:p>
    <w:p w14:paraId="04C1493A" w14:textId="10E618F6" w:rsidR="00C16969" w:rsidRPr="00C16969" w:rsidRDefault="00C16969" w:rsidP="001E0A22">
      <w:pPr>
        <w:jc w:val="both"/>
        <w:rPr>
          <w:rFonts w:ascii="Arial" w:hAnsi="Arial" w:cs="Arial"/>
        </w:rPr>
      </w:pPr>
      <w:r w:rsidRPr="001E0A22">
        <w:rPr>
          <w:rFonts w:ascii="Arial" w:hAnsi="Arial" w:cs="Arial"/>
        </w:rPr>
        <w:t xml:space="preserve">The administration was done orally using oral canula within the period of 6am to 8am every day. </w:t>
      </w:r>
      <w:r w:rsidR="001E0A22" w:rsidRPr="001E0A22">
        <w:rPr>
          <w:rFonts w:ascii="Arial" w:hAnsi="Arial" w:cs="Arial"/>
        </w:rPr>
        <w:t xml:space="preserve">The experimental animals were administered with lead acetate for 7 days and ethanolic extract of Vigna </w:t>
      </w:r>
      <w:r w:rsidR="0022696B">
        <w:rPr>
          <w:rFonts w:ascii="Arial" w:hAnsi="Arial" w:cs="Arial"/>
        </w:rPr>
        <w:t>unguiculata for 21 days orally.</w:t>
      </w:r>
      <w:r w:rsidRPr="00C16969">
        <w:rPr>
          <w:rFonts w:ascii="Arial" w:hAnsi="Arial" w:cs="Arial"/>
        </w:rPr>
        <w:t xml:space="preserve"> </w:t>
      </w:r>
      <w:r w:rsidR="0022696B" w:rsidRPr="005D1952">
        <w:rPr>
          <w:rFonts w:ascii="Arial" w:hAnsi="Arial" w:cs="Arial"/>
        </w:rPr>
        <w:lastRenderedPageBreak/>
        <w:t>Before dissection, an ocular puncture was carried out and blood was released into blood containers. After this,</w:t>
      </w:r>
      <w:r w:rsidR="004B1305">
        <w:rPr>
          <w:rFonts w:ascii="Arial" w:hAnsi="Arial" w:cs="Arial"/>
        </w:rPr>
        <w:t xml:space="preserve"> </w:t>
      </w:r>
      <w:r w:rsidR="0022696B" w:rsidRPr="005D1952">
        <w:rPr>
          <w:rFonts w:ascii="Arial" w:hAnsi="Arial" w:cs="Arial"/>
        </w:rPr>
        <w:t>a cervical dislocation was carried out to further reduce the movement of</w:t>
      </w:r>
      <w:r w:rsidR="004B1305">
        <w:rPr>
          <w:rFonts w:ascii="Arial" w:hAnsi="Arial" w:cs="Arial"/>
        </w:rPr>
        <w:t xml:space="preserve"> the animals during dissection </w:t>
      </w:r>
      <w:r w:rsidRPr="00C16969">
        <w:rPr>
          <w:rFonts w:ascii="Arial" w:hAnsi="Arial" w:cs="Arial"/>
        </w:rPr>
        <w:t xml:space="preserve">and thereafter anaesthetized with 50mg/kg ketamine. The brain was perfused fixed in 10% buffered formalin, dissected and processed for histological studies using H&amp;E technique as described by </w:t>
      </w:r>
      <w:proofErr w:type="spellStart"/>
      <w:r w:rsidRPr="00C16969">
        <w:rPr>
          <w:rFonts w:ascii="Arial" w:hAnsi="Arial" w:cs="Arial"/>
        </w:rPr>
        <w:t>Kieman</w:t>
      </w:r>
      <w:proofErr w:type="spellEnd"/>
      <w:r w:rsidRPr="00C16969">
        <w:rPr>
          <w:rFonts w:ascii="Arial" w:hAnsi="Arial" w:cs="Arial"/>
        </w:rPr>
        <w:t xml:space="preserve"> (2008)</w:t>
      </w:r>
    </w:p>
    <w:p w14:paraId="0622DFE2" w14:textId="3521C0CB" w:rsidR="00C16969" w:rsidRPr="00AA7544" w:rsidRDefault="00C16969" w:rsidP="00C16969">
      <w:pPr>
        <w:spacing w:before="240" w:after="240"/>
        <w:rPr>
          <w:rFonts w:ascii="Arial" w:hAnsi="Arial" w:cs="Arial"/>
          <w:b/>
          <w:bCs/>
          <w:sz w:val="22"/>
          <w:szCs w:val="22"/>
        </w:rPr>
      </w:pPr>
      <w:r w:rsidRPr="00AA7544">
        <w:rPr>
          <w:rFonts w:ascii="Arial" w:hAnsi="Arial" w:cs="Arial"/>
          <w:b/>
          <w:bCs/>
          <w:sz w:val="22"/>
          <w:szCs w:val="22"/>
        </w:rPr>
        <w:t>2.</w:t>
      </w:r>
      <w:r w:rsidR="00BB3540">
        <w:rPr>
          <w:rFonts w:ascii="Arial" w:hAnsi="Arial" w:cs="Arial"/>
          <w:b/>
          <w:bCs/>
          <w:sz w:val="22"/>
          <w:szCs w:val="22"/>
        </w:rPr>
        <w:t>6</w:t>
      </w:r>
      <w:r w:rsidRPr="00AA7544">
        <w:rPr>
          <w:rFonts w:ascii="Arial" w:hAnsi="Arial" w:cs="Arial"/>
          <w:b/>
          <w:bCs/>
          <w:sz w:val="22"/>
          <w:szCs w:val="22"/>
        </w:rPr>
        <w:t xml:space="preserve"> Statistical Analysis</w:t>
      </w:r>
    </w:p>
    <w:p w14:paraId="4538A45D" w14:textId="4CE2903F" w:rsidR="00C16969" w:rsidRPr="00C16969" w:rsidRDefault="00C16969" w:rsidP="003A1B18">
      <w:pPr>
        <w:jc w:val="both"/>
        <w:rPr>
          <w:rFonts w:ascii="Arial" w:hAnsi="Arial" w:cs="Arial"/>
        </w:rPr>
      </w:pPr>
      <w:r w:rsidRPr="00C16969">
        <w:rPr>
          <w:rFonts w:ascii="Arial" w:hAnsi="Arial" w:cs="Arial"/>
          <w:color w:val="000000"/>
        </w:rPr>
        <w:t>Research objectives and hypothesis of the study was considered before analyzing data. The results were statistically an</w:t>
      </w:r>
      <w:r w:rsidR="00B82610">
        <w:rPr>
          <w:rFonts w:ascii="Arial" w:hAnsi="Arial" w:cs="Arial"/>
          <w:color w:val="000000"/>
        </w:rPr>
        <w:t>alyzed using the SPSS</w:t>
      </w:r>
      <w:r w:rsidRPr="00C16969">
        <w:rPr>
          <w:rFonts w:ascii="Arial" w:hAnsi="Arial" w:cs="Arial"/>
          <w:color w:val="000000"/>
        </w:rPr>
        <w:t xml:space="preserve"> software. </w:t>
      </w:r>
      <w:r w:rsidRPr="00C16969">
        <w:rPr>
          <w:rFonts w:ascii="Arial" w:hAnsi="Arial" w:cs="Arial"/>
        </w:rPr>
        <w:t xml:space="preserve">Two principal statistical tests were used i.e.  Dependent t-test and One-way ANOVA served explicit purposes in examining various sorts of data gathered during the study.  The results were expressed as mean± S.E.M. </w:t>
      </w:r>
      <w:r w:rsidRPr="00C16969">
        <w:rPr>
          <w:rFonts w:ascii="Arial" w:hAnsi="Arial" w:cs="Arial"/>
          <w:color w:val="000000"/>
        </w:rPr>
        <w:t>Statistical differences between the experimental and control groups were determined using ANOVA and values were considered significant at p ≤ .05.</w:t>
      </w:r>
    </w:p>
    <w:p w14:paraId="636E6D9D" w14:textId="77777777" w:rsidR="00790ADA" w:rsidRPr="00FB3A86" w:rsidRDefault="00790ADA" w:rsidP="00441B6F">
      <w:pPr>
        <w:pStyle w:val="Body"/>
        <w:spacing w:after="0"/>
        <w:rPr>
          <w:rFonts w:ascii="Arial" w:hAnsi="Arial" w:cs="Arial"/>
        </w:rPr>
      </w:pPr>
    </w:p>
    <w:p w14:paraId="1E6FFEE6" w14:textId="69BC430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9926F62" w14:textId="77777777" w:rsidR="00790ADA" w:rsidRPr="00FB3A86" w:rsidRDefault="00790ADA" w:rsidP="00441B6F">
      <w:pPr>
        <w:pStyle w:val="Head1"/>
        <w:spacing w:after="0"/>
        <w:jc w:val="both"/>
        <w:rPr>
          <w:rFonts w:ascii="Arial" w:hAnsi="Arial" w:cs="Arial"/>
        </w:rPr>
      </w:pPr>
    </w:p>
    <w:p w14:paraId="645F1E45" w14:textId="0FC384B7" w:rsidR="00FD5BE4" w:rsidRDefault="00FD5BE4" w:rsidP="00FD5BE4">
      <w:pPr>
        <w:rPr>
          <w:rFonts w:ascii="Arial" w:hAnsi="Arial" w:cs="Arial"/>
          <w:b/>
        </w:rPr>
      </w:pPr>
      <w:r w:rsidRPr="00FD5BE4">
        <w:rPr>
          <w:rFonts w:ascii="Arial" w:hAnsi="Arial" w:cs="Arial"/>
          <w:b/>
          <w:bCs/>
        </w:rPr>
        <w:t xml:space="preserve">Table 1: </w:t>
      </w:r>
      <w:r w:rsidR="0045682E" w:rsidRPr="0045682E">
        <w:rPr>
          <w:rFonts w:ascii="Arial" w:hAnsi="Arial" w:cs="Arial"/>
          <w:b/>
        </w:rPr>
        <w:t>Descriptive table of stress markers of the brain</w:t>
      </w:r>
    </w:p>
    <w:p w14:paraId="3BC643F4" w14:textId="77777777" w:rsidR="0045682E" w:rsidRPr="00FD5BE4" w:rsidRDefault="0045682E" w:rsidP="00FD5BE4">
      <w:pPr>
        <w:rPr>
          <w:rFonts w:ascii="Arial" w:hAnsi="Arial" w:cs="Arial"/>
          <w:b/>
          <w:bCs/>
        </w:rPr>
      </w:pPr>
    </w:p>
    <w:tbl>
      <w:tblPr>
        <w:tblW w:w="6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00" w:firstRow="0" w:lastRow="0" w:firstColumn="0" w:lastColumn="0" w:noHBand="0" w:noVBand="1"/>
      </w:tblPr>
      <w:tblGrid>
        <w:gridCol w:w="1376"/>
        <w:gridCol w:w="1239"/>
        <w:gridCol w:w="1025"/>
        <w:gridCol w:w="1438"/>
        <w:gridCol w:w="1025"/>
      </w:tblGrid>
      <w:tr w:rsidR="008D2613" w:rsidRPr="007A1C4F" w14:paraId="243411BB" w14:textId="77777777" w:rsidTr="00AD22A3">
        <w:trPr>
          <w:cantSplit/>
        </w:trPr>
        <w:tc>
          <w:tcPr>
            <w:tcW w:w="6103" w:type="dxa"/>
            <w:gridSpan w:val="5"/>
            <w:tcBorders>
              <w:top w:val="nil"/>
              <w:left w:val="nil"/>
              <w:bottom w:val="nil"/>
              <w:right w:val="nil"/>
            </w:tcBorders>
            <w:shd w:val="clear" w:color="auto" w:fill="FFFFFF"/>
            <w:vAlign w:val="center"/>
            <w:hideMark/>
          </w:tcPr>
          <w:p w14:paraId="4845434F" w14:textId="77777777" w:rsidR="008D2613" w:rsidRPr="007A1C4F" w:rsidRDefault="008D2613" w:rsidP="00AD22A3">
            <w:pPr>
              <w:autoSpaceDE w:val="0"/>
              <w:autoSpaceDN w:val="0"/>
              <w:adjustRightInd w:val="0"/>
              <w:spacing w:line="360" w:lineRule="auto"/>
              <w:ind w:left="60" w:right="60"/>
              <w:jc w:val="center"/>
              <w:rPr>
                <w:rFonts w:ascii="Arial" w:hAnsi="Arial" w:cs="Arial"/>
                <w:color w:val="000000"/>
              </w:rPr>
            </w:pPr>
            <w:r w:rsidRPr="007A1C4F">
              <w:rPr>
                <w:rFonts w:ascii="Arial" w:hAnsi="Arial" w:cs="Arial"/>
                <w:b/>
                <w:bCs/>
                <w:color w:val="000000"/>
              </w:rPr>
              <w:t>Descriptive Statistics</w:t>
            </w:r>
          </w:p>
        </w:tc>
      </w:tr>
      <w:tr w:rsidR="008D2613" w:rsidRPr="007A1C4F" w14:paraId="139D9B5C" w14:textId="77777777" w:rsidTr="00AD22A3">
        <w:trPr>
          <w:cantSplit/>
        </w:trPr>
        <w:tc>
          <w:tcPr>
            <w:tcW w:w="6103" w:type="dxa"/>
            <w:gridSpan w:val="5"/>
            <w:tcBorders>
              <w:top w:val="nil"/>
              <w:left w:val="nil"/>
              <w:bottom w:val="nil"/>
              <w:right w:val="nil"/>
            </w:tcBorders>
            <w:shd w:val="clear" w:color="auto" w:fill="FFFFFF"/>
            <w:vAlign w:val="bottom"/>
            <w:hideMark/>
          </w:tcPr>
          <w:p w14:paraId="7C98F937" w14:textId="77777777" w:rsidR="008D2613" w:rsidRPr="007A1C4F" w:rsidRDefault="008D2613" w:rsidP="00AD22A3">
            <w:pPr>
              <w:autoSpaceDE w:val="0"/>
              <w:autoSpaceDN w:val="0"/>
              <w:adjustRightInd w:val="0"/>
              <w:spacing w:line="360" w:lineRule="auto"/>
              <w:rPr>
                <w:rFonts w:ascii="Arial" w:hAnsi="Arial" w:cs="Arial"/>
              </w:rPr>
            </w:pPr>
            <w:r w:rsidRPr="007A1C4F">
              <w:rPr>
                <w:rFonts w:ascii="Arial" w:hAnsi="Arial" w:cs="Arial"/>
                <w:color w:val="000000"/>
                <w:shd w:val="clear" w:color="auto" w:fill="FFFFFF"/>
              </w:rPr>
              <w:t>Dependent Variable:   STRESSMARKERS</w:t>
            </w:r>
          </w:p>
        </w:tc>
      </w:tr>
      <w:tr w:rsidR="008D2613" w:rsidRPr="007A1C4F" w14:paraId="27DA49A0" w14:textId="77777777" w:rsidTr="00AD22A3">
        <w:trPr>
          <w:cantSplit/>
        </w:trPr>
        <w:tc>
          <w:tcPr>
            <w:tcW w:w="1376" w:type="dxa"/>
            <w:tcBorders>
              <w:top w:val="single" w:sz="18" w:space="0" w:color="000000"/>
              <w:left w:val="single" w:sz="18" w:space="0" w:color="000000"/>
              <w:bottom w:val="single" w:sz="18" w:space="0" w:color="000000"/>
              <w:right w:val="nil"/>
            </w:tcBorders>
            <w:shd w:val="clear" w:color="auto" w:fill="FFFFFF"/>
            <w:vAlign w:val="bottom"/>
            <w:hideMark/>
          </w:tcPr>
          <w:p w14:paraId="205DCCF3"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Parameters</w:t>
            </w:r>
          </w:p>
        </w:tc>
        <w:tc>
          <w:tcPr>
            <w:tcW w:w="1239" w:type="dxa"/>
            <w:tcBorders>
              <w:top w:val="single" w:sz="18" w:space="0" w:color="000000"/>
              <w:left w:val="nil"/>
              <w:bottom w:val="single" w:sz="18" w:space="0" w:color="000000"/>
              <w:right w:val="single" w:sz="18" w:space="0" w:color="000000"/>
            </w:tcBorders>
            <w:shd w:val="clear" w:color="auto" w:fill="FFFFFF"/>
            <w:vAlign w:val="bottom"/>
            <w:hideMark/>
          </w:tcPr>
          <w:p w14:paraId="498C466A"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Experiment</w:t>
            </w:r>
          </w:p>
        </w:tc>
        <w:tc>
          <w:tcPr>
            <w:tcW w:w="1025"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25763CEE" w14:textId="77777777" w:rsidR="008D2613" w:rsidRPr="007A1C4F" w:rsidRDefault="008D2613" w:rsidP="00AD22A3">
            <w:pPr>
              <w:autoSpaceDE w:val="0"/>
              <w:autoSpaceDN w:val="0"/>
              <w:adjustRightInd w:val="0"/>
              <w:spacing w:line="360" w:lineRule="auto"/>
              <w:ind w:left="60" w:right="60"/>
              <w:jc w:val="center"/>
              <w:rPr>
                <w:rFonts w:ascii="Arial" w:hAnsi="Arial" w:cs="Arial"/>
                <w:color w:val="000000"/>
              </w:rPr>
            </w:pPr>
            <w:r w:rsidRPr="007A1C4F">
              <w:rPr>
                <w:rFonts w:ascii="Arial" w:hAnsi="Arial" w:cs="Arial"/>
                <w:color w:val="000000"/>
              </w:rPr>
              <w:t>Mean</w:t>
            </w:r>
          </w:p>
        </w:tc>
        <w:tc>
          <w:tcPr>
            <w:tcW w:w="143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40C49EE" w14:textId="77777777" w:rsidR="008D2613" w:rsidRPr="007A1C4F" w:rsidRDefault="008D2613" w:rsidP="00AD22A3">
            <w:pPr>
              <w:autoSpaceDE w:val="0"/>
              <w:autoSpaceDN w:val="0"/>
              <w:adjustRightInd w:val="0"/>
              <w:spacing w:line="360" w:lineRule="auto"/>
              <w:ind w:left="60" w:right="60"/>
              <w:jc w:val="center"/>
              <w:rPr>
                <w:rFonts w:ascii="Arial" w:hAnsi="Arial" w:cs="Arial"/>
                <w:color w:val="000000"/>
              </w:rPr>
            </w:pPr>
            <w:r w:rsidRPr="007A1C4F">
              <w:rPr>
                <w:rFonts w:ascii="Arial" w:hAnsi="Arial" w:cs="Arial"/>
                <w:color w:val="000000"/>
              </w:rPr>
              <w:t>Std. Deviation</w:t>
            </w:r>
          </w:p>
        </w:tc>
        <w:tc>
          <w:tcPr>
            <w:tcW w:w="102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267D16A4" w14:textId="77777777" w:rsidR="008D2613" w:rsidRPr="007A1C4F" w:rsidRDefault="008D2613" w:rsidP="00AD22A3">
            <w:pPr>
              <w:autoSpaceDE w:val="0"/>
              <w:autoSpaceDN w:val="0"/>
              <w:adjustRightInd w:val="0"/>
              <w:spacing w:line="360" w:lineRule="auto"/>
              <w:ind w:left="60" w:right="60"/>
              <w:jc w:val="center"/>
              <w:rPr>
                <w:rFonts w:ascii="Arial" w:hAnsi="Arial" w:cs="Arial"/>
                <w:color w:val="000000"/>
              </w:rPr>
            </w:pPr>
            <w:r w:rsidRPr="007A1C4F">
              <w:rPr>
                <w:rFonts w:ascii="Arial" w:hAnsi="Arial" w:cs="Arial"/>
                <w:color w:val="000000"/>
              </w:rPr>
              <w:t>N</w:t>
            </w:r>
          </w:p>
        </w:tc>
      </w:tr>
      <w:tr w:rsidR="008D2613" w:rsidRPr="007A1C4F" w14:paraId="4B15502E" w14:textId="77777777" w:rsidTr="00AD22A3">
        <w:trPr>
          <w:cantSplit/>
        </w:trPr>
        <w:tc>
          <w:tcPr>
            <w:tcW w:w="1376" w:type="dxa"/>
            <w:vMerge w:val="restart"/>
            <w:tcBorders>
              <w:top w:val="single" w:sz="18" w:space="0" w:color="000000"/>
              <w:left w:val="single" w:sz="18" w:space="0" w:color="000000"/>
              <w:bottom w:val="single" w:sz="8" w:space="0" w:color="000000"/>
              <w:right w:val="nil"/>
            </w:tcBorders>
            <w:shd w:val="clear" w:color="auto" w:fill="FFFFFF"/>
            <w:hideMark/>
          </w:tcPr>
          <w:p w14:paraId="7C4753DE"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GLUTA</w:t>
            </w:r>
          </w:p>
        </w:tc>
        <w:tc>
          <w:tcPr>
            <w:tcW w:w="1239" w:type="dxa"/>
            <w:tcBorders>
              <w:top w:val="single" w:sz="18" w:space="0" w:color="000000"/>
              <w:left w:val="nil"/>
              <w:bottom w:val="nil"/>
              <w:right w:val="single" w:sz="18" w:space="0" w:color="000000"/>
            </w:tcBorders>
            <w:shd w:val="clear" w:color="auto" w:fill="FFFFFF"/>
            <w:hideMark/>
          </w:tcPr>
          <w:p w14:paraId="57695632"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A</w:t>
            </w:r>
          </w:p>
        </w:tc>
        <w:tc>
          <w:tcPr>
            <w:tcW w:w="1025" w:type="dxa"/>
            <w:tcBorders>
              <w:top w:val="single" w:sz="18" w:space="0" w:color="000000"/>
              <w:left w:val="single" w:sz="18" w:space="0" w:color="000000"/>
              <w:bottom w:val="nil"/>
              <w:right w:val="single" w:sz="8" w:space="0" w:color="000000"/>
            </w:tcBorders>
            <w:shd w:val="clear" w:color="auto" w:fill="FFFFFF"/>
            <w:vAlign w:val="center"/>
            <w:hideMark/>
          </w:tcPr>
          <w:p w14:paraId="7F1CA163"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72.1067</w:t>
            </w:r>
          </w:p>
        </w:tc>
        <w:tc>
          <w:tcPr>
            <w:tcW w:w="1438" w:type="dxa"/>
            <w:tcBorders>
              <w:top w:val="single" w:sz="18" w:space="0" w:color="000000"/>
              <w:left w:val="single" w:sz="8" w:space="0" w:color="000000"/>
              <w:bottom w:val="nil"/>
              <w:right w:val="single" w:sz="8" w:space="0" w:color="000000"/>
            </w:tcBorders>
            <w:shd w:val="clear" w:color="auto" w:fill="FFFFFF"/>
            <w:vAlign w:val="center"/>
            <w:hideMark/>
          </w:tcPr>
          <w:p w14:paraId="08686262"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1.08011</w:t>
            </w:r>
          </w:p>
        </w:tc>
        <w:tc>
          <w:tcPr>
            <w:tcW w:w="1025" w:type="dxa"/>
            <w:tcBorders>
              <w:top w:val="single" w:sz="18" w:space="0" w:color="000000"/>
              <w:left w:val="single" w:sz="8" w:space="0" w:color="000000"/>
              <w:bottom w:val="nil"/>
              <w:right w:val="single" w:sz="18" w:space="0" w:color="000000"/>
            </w:tcBorders>
            <w:shd w:val="clear" w:color="auto" w:fill="FFFFFF"/>
            <w:vAlign w:val="center"/>
            <w:hideMark/>
          </w:tcPr>
          <w:p w14:paraId="2792F031"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448FED46" w14:textId="77777777" w:rsidTr="00AD22A3">
        <w:trPr>
          <w:cantSplit/>
        </w:trPr>
        <w:tc>
          <w:tcPr>
            <w:tcW w:w="0" w:type="auto"/>
            <w:vMerge/>
            <w:tcBorders>
              <w:top w:val="single" w:sz="18" w:space="0" w:color="000000"/>
              <w:left w:val="single" w:sz="18" w:space="0" w:color="000000"/>
              <w:bottom w:val="single" w:sz="8" w:space="0" w:color="000000"/>
              <w:right w:val="nil"/>
            </w:tcBorders>
            <w:vAlign w:val="center"/>
            <w:hideMark/>
          </w:tcPr>
          <w:p w14:paraId="0BB1E063"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41F9EA1D"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B</w:t>
            </w:r>
          </w:p>
        </w:tc>
        <w:tc>
          <w:tcPr>
            <w:tcW w:w="1025" w:type="dxa"/>
            <w:tcBorders>
              <w:top w:val="nil"/>
              <w:left w:val="single" w:sz="18" w:space="0" w:color="000000"/>
              <w:bottom w:val="nil"/>
              <w:right w:val="single" w:sz="8" w:space="0" w:color="000000"/>
            </w:tcBorders>
            <w:shd w:val="clear" w:color="auto" w:fill="FFFFFF"/>
            <w:vAlign w:val="center"/>
            <w:hideMark/>
          </w:tcPr>
          <w:p w14:paraId="2B97448F"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97.9500</w:t>
            </w:r>
          </w:p>
        </w:tc>
        <w:tc>
          <w:tcPr>
            <w:tcW w:w="1438" w:type="dxa"/>
            <w:tcBorders>
              <w:top w:val="nil"/>
              <w:left w:val="single" w:sz="8" w:space="0" w:color="000000"/>
              <w:bottom w:val="nil"/>
              <w:right w:val="single" w:sz="8" w:space="0" w:color="000000"/>
            </w:tcBorders>
            <w:shd w:val="clear" w:color="auto" w:fill="FFFFFF"/>
            <w:vAlign w:val="center"/>
            <w:hideMark/>
          </w:tcPr>
          <w:p w14:paraId="652DFC9C"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1.09891</w:t>
            </w:r>
          </w:p>
        </w:tc>
        <w:tc>
          <w:tcPr>
            <w:tcW w:w="1025" w:type="dxa"/>
            <w:tcBorders>
              <w:top w:val="nil"/>
              <w:left w:val="single" w:sz="8" w:space="0" w:color="000000"/>
              <w:bottom w:val="nil"/>
              <w:right w:val="single" w:sz="18" w:space="0" w:color="000000"/>
            </w:tcBorders>
            <w:shd w:val="clear" w:color="auto" w:fill="FFFFFF"/>
            <w:vAlign w:val="center"/>
            <w:hideMark/>
          </w:tcPr>
          <w:p w14:paraId="3040E4A2"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67A06E50" w14:textId="77777777" w:rsidTr="00AD22A3">
        <w:trPr>
          <w:cantSplit/>
        </w:trPr>
        <w:tc>
          <w:tcPr>
            <w:tcW w:w="0" w:type="auto"/>
            <w:vMerge/>
            <w:tcBorders>
              <w:top w:val="single" w:sz="18" w:space="0" w:color="000000"/>
              <w:left w:val="single" w:sz="18" w:space="0" w:color="000000"/>
              <w:bottom w:val="single" w:sz="8" w:space="0" w:color="000000"/>
              <w:right w:val="nil"/>
            </w:tcBorders>
            <w:vAlign w:val="center"/>
            <w:hideMark/>
          </w:tcPr>
          <w:p w14:paraId="608E68C6"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525665AC"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C</w:t>
            </w:r>
          </w:p>
        </w:tc>
        <w:tc>
          <w:tcPr>
            <w:tcW w:w="1025" w:type="dxa"/>
            <w:tcBorders>
              <w:top w:val="nil"/>
              <w:left w:val="single" w:sz="18" w:space="0" w:color="000000"/>
              <w:bottom w:val="nil"/>
              <w:right w:val="single" w:sz="8" w:space="0" w:color="000000"/>
            </w:tcBorders>
            <w:shd w:val="clear" w:color="auto" w:fill="FFFFFF"/>
            <w:vAlign w:val="center"/>
            <w:hideMark/>
          </w:tcPr>
          <w:p w14:paraId="578746FB"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42.7400</w:t>
            </w:r>
          </w:p>
        </w:tc>
        <w:tc>
          <w:tcPr>
            <w:tcW w:w="1438" w:type="dxa"/>
            <w:tcBorders>
              <w:top w:val="nil"/>
              <w:left w:val="single" w:sz="8" w:space="0" w:color="000000"/>
              <w:bottom w:val="nil"/>
              <w:right w:val="single" w:sz="8" w:space="0" w:color="000000"/>
            </w:tcBorders>
            <w:shd w:val="clear" w:color="auto" w:fill="FFFFFF"/>
            <w:vAlign w:val="center"/>
            <w:hideMark/>
          </w:tcPr>
          <w:p w14:paraId="7BBB00AB"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1.28946</w:t>
            </w:r>
          </w:p>
        </w:tc>
        <w:tc>
          <w:tcPr>
            <w:tcW w:w="1025" w:type="dxa"/>
            <w:tcBorders>
              <w:top w:val="nil"/>
              <w:left w:val="single" w:sz="8" w:space="0" w:color="000000"/>
              <w:bottom w:val="nil"/>
              <w:right w:val="single" w:sz="18" w:space="0" w:color="000000"/>
            </w:tcBorders>
            <w:shd w:val="clear" w:color="auto" w:fill="FFFFFF"/>
            <w:vAlign w:val="center"/>
            <w:hideMark/>
          </w:tcPr>
          <w:p w14:paraId="50159921"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61E3D8C0" w14:textId="77777777" w:rsidTr="00AD22A3">
        <w:trPr>
          <w:cantSplit/>
        </w:trPr>
        <w:tc>
          <w:tcPr>
            <w:tcW w:w="0" w:type="auto"/>
            <w:vMerge/>
            <w:tcBorders>
              <w:top w:val="single" w:sz="18" w:space="0" w:color="000000"/>
              <w:left w:val="single" w:sz="18" w:space="0" w:color="000000"/>
              <w:bottom w:val="single" w:sz="8" w:space="0" w:color="000000"/>
              <w:right w:val="nil"/>
            </w:tcBorders>
            <w:vAlign w:val="center"/>
            <w:hideMark/>
          </w:tcPr>
          <w:p w14:paraId="10B4DF69"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05EB8BA6"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D</w:t>
            </w:r>
          </w:p>
        </w:tc>
        <w:tc>
          <w:tcPr>
            <w:tcW w:w="1025" w:type="dxa"/>
            <w:tcBorders>
              <w:top w:val="nil"/>
              <w:left w:val="single" w:sz="18" w:space="0" w:color="000000"/>
              <w:bottom w:val="nil"/>
              <w:right w:val="single" w:sz="8" w:space="0" w:color="000000"/>
            </w:tcBorders>
            <w:shd w:val="clear" w:color="auto" w:fill="FFFFFF"/>
            <w:vAlign w:val="center"/>
            <w:hideMark/>
          </w:tcPr>
          <w:p w14:paraId="3859243D"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58.6067</w:t>
            </w:r>
          </w:p>
        </w:tc>
        <w:tc>
          <w:tcPr>
            <w:tcW w:w="1438" w:type="dxa"/>
            <w:tcBorders>
              <w:top w:val="nil"/>
              <w:left w:val="single" w:sz="8" w:space="0" w:color="000000"/>
              <w:bottom w:val="nil"/>
              <w:right w:val="single" w:sz="8" w:space="0" w:color="000000"/>
            </w:tcBorders>
            <w:shd w:val="clear" w:color="auto" w:fill="FFFFFF"/>
            <w:vAlign w:val="center"/>
            <w:hideMark/>
          </w:tcPr>
          <w:p w14:paraId="4ED01632"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.52272</w:t>
            </w:r>
          </w:p>
        </w:tc>
        <w:tc>
          <w:tcPr>
            <w:tcW w:w="1025" w:type="dxa"/>
            <w:tcBorders>
              <w:top w:val="nil"/>
              <w:left w:val="single" w:sz="8" w:space="0" w:color="000000"/>
              <w:bottom w:val="nil"/>
              <w:right w:val="single" w:sz="18" w:space="0" w:color="000000"/>
            </w:tcBorders>
            <w:shd w:val="clear" w:color="auto" w:fill="FFFFFF"/>
            <w:vAlign w:val="center"/>
            <w:hideMark/>
          </w:tcPr>
          <w:p w14:paraId="1FF0546F"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27B4AB4F" w14:textId="77777777" w:rsidTr="00AD22A3">
        <w:trPr>
          <w:cantSplit/>
        </w:trPr>
        <w:tc>
          <w:tcPr>
            <w:tcW w:w="0" w:type="auto"/>
            <w:vMerge/>
            <w:tcBorders>
              <w:top w:val="single" w:sz="18" w:space="0" w:color="000000"/>
              <w:left w:val="single" w:sz="18" w:space="0" w:color="000000"/>
              <w:bottom w:val="single" w:sz="8" w:space="0" w:color="000000"/>
              <w:right w:val="nil"/>
            </w:tcBorders>
            <w:vAlign w:val="center"/>
            <w:hideMark/>
          </w:tcPr>
          <w:p w14:paraId="7CFF20F4"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62A01D5C"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E</w:t>
            </w:r>
          </w:p>
        </w:tc>
        <w:tc>
          <w:tcPr>
            <w:tcW w:w="1025" w:type="dxa"/>
            <w:tcBorders>
              <w:top w:val="nil"/>
              <w:left w:val="single" w:sz="18" w:space="0" w:color="000000"/>
              <w:bottom w:val="nil"/>
              <w:right w:val="single" w:sz="8" w:space="0" w:color="000000"/>
            </w:tcBorders>
            <w:shd w:val="clear" w:color="auto" w:fill="FFFFFF"/>
            <w:vAlign w:val="center"/>
            <w:hideMark/>
          </w:tcPr>
          <w:p w14:paraId="339341D7"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68.1600</w:t>
            </w:r>
          </w:p>
        </w:tc>
        <w:tc>
          <w:tcPr>
            <w:tcW w:w="1438" w:type="dxa"/>
            <w:tcBorders>
              <w:top w:val="nil"/>
              <w:left w:val="single" w:sz="8" w:space="0" w:color="000000"/>
              <w:bottom w:val="nil"/>
              <w:right w:val="single" w:sz="8" w:space="0" w:color="000000"/>
            </w:tcBorders>
            <w:shd w:val="clear" w:color="auto" w:fill="FFFFFF"/>
            <w:vAlign w:val="center"/>
            <w:hideMark/>
          </w:tcPr>
          <w:p w14:paraId="3351B2C4"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.98000</w:t>
            </w:r>
          </w:p>
        </w:tc>
        <w:tc>
          <w:tcPr>
            <w:tcW w:w="1025" w:type="dxa"/>
            <w:tcBorders>
              <w:top w:val="nil"/>
              <w:left w:val="single" w:sz="8" w:space="0" w:color="000000"/>
              <w:bottom w:val="nil"/>
              <w:right w:val="single" w:sz="18" w:space="0" w:color="000000"/>
            </w:tcBorders>
            <w:shd w:val="clear" w:color="auto" w:fill="FFFFFF"/>
            <w:vAlign w:val="center"/>
            <w:hideMark/>
          </w:tcPr>
          <w:p w14:paraId="6043E4FD"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1AA9C250" w14:textId="77777777" w:rsidTr="00AD22A3">
        <w:trPr>
          <w:cantSplit/>
        </w:trPr>
        <w:tc>
          <w:tcPr>
            <w:tcW w:w="0" w:type="auto"/>
            <w:vMerge/>
            <w:tcBorders>
              <w:top w:val="single" w:sz="18" w:space="0" w:color="000000"/>
              <w:left w:val="single" w:sz="18" w:space="0" w:color="000000"/>
              <w:bottom w:val="single" w:sz="8" w:space="0" w:color="000000"/>
              <w:right w:val="nil"/>
            </w:tcBorders>
            <w:vAlign w:val="center"/>
            <w:hideMark/>
          </w:tcPr>
          <w:p w14:paraId="591CB0AB"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single" w:sz="8" w:space="0" w:color="000000"/>
              <w:right w:val="single" w:sz="18" w:space="0" w:color="000000"/>
            </w:tcBorders>
            <w:shd w:val="clear" w:color="auto" w:fill="FFFFFF"/>
            <w:hideMark/>
          </w:tcPr>
          <w:p w14:paraId="3CB26816"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Total</w:t>
            </w:r>
          </w:p>
        </w:tc>
        <w:tc>
          <w:tcPr>
            <w:tcW w:w="1025" w:type="dxa"/>
            <w:tcBorders>
              <w:top w:val="nil"/>
              <w:left w:val="single" w:sz="18" w:space="0" w:color="000000"/>
              <w:bottom w:val="single" w:sz="8" w:space="0" w:color="000000"/>
              <w:right w:val="single" w:sz="8" w:space="0" w:color="000000"/>
            </w:tcBorders>
            <w:shd w:val="clear" w:color="auto" w:fill="FFFFFF"/>
            <w:vAlign w:val="center"/>
            <w:hideMark/>
          </w:tcPr>
          <w:p w14:paraId="234FF746"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67.9127</w:t>
            </w:r>
          </w:p>
        </w:tc>
        <w:tc>
          <w:tcPr>
            <w:tcW w:w="1438" w:type="dxa"/>
            <w:tcBorders>
              <w:top w:val="nil"/>
              <w:left w:val="single" w:sz="8" w:space="0" w:color="000000"/>
              <w:bottom w:val="single" w:sz="8" w:space="0" w:color="000000"/>
              <w:right w:val="single" w:sz="8" w:space="0" w:color="000000"/>
            </w:tcBorders>
            <w:shd w:val="clear" w:color="auto" w:fill="FFFFFF"/>
            <w:vAlign w:val="center"/>
            <w:hideMark/>
          </w:tcPr>
          <w:p w14:paraId="4DCE05C1"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18.76740</w:t>
            </w:r>
          </w:p>
        </w:tc>
        <w:tc>
          <w:tcPr>
            <w:tcW w:w="1025" w:type="dxa"/>
            <w:tcBorders>
              <w:top w:val="nil"/>
              <w:left w:val="single" w:sz="8" w:space="0" w:color="000000"/>
              <w:bottom w:val="single" w:sz="8" w:space="0" w:color="000000"/>
              <w:right w:val="single" w:sz="18" w:space="0" w:color="000000"/>
            </w:tcBorders>
            <w:shd w:val="clear" w:color="auto" w:fill="FFFFFF"/>
            <w:vAlign w:val="center"/>
            <w:hideMark/>
          </w:tcPr>
          <w:p w14:paraId="73BFA855"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15</w:t>
            </w:r>
          </w:p>
        </w:tc>
      </w:tr>
      <w:tr w:rsidR="008D2613" w:rsidRPr="007A1C4F" w14:paraId="23D6B7CD" w14:textId="77777777" w:rsidTr="00AD22A3">
        <w:trPr>
          <w:cantSplit/>
        </w:trPr>
        <w:tc>
          <w:tcPr>
            <w:tcW w:w="1376" w:type="dxa"/>
            <w:vMerge w:val="restart"/>
            <w:tcBorders>
              <w:top w:val="nil"/>
              <w:left w:val="single" w:sz="18" w:space="0" w:color="000000"/>
              <w:bottom w:val="single" w:sz="8" w:space="0" w:color="000000"/>
              <w:right w:val="nil"/>
            </w:tcBorders>
            <w:shd w:val="clear" w:color="auto" w:fill="FFFFFF"/>
            <w:hideMark/>
          </w:tcPr>
          <w:p w14:paraId="7D902D3B"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SEROTONIN</w:t>
            </w:r>
          </w:p>
        </w:tc>
        <w:tc>
          <w:tcPr>
            <w:tcW w:w="1239" w:type="dxa"/>
            <w:tcBorders>
              <w:top w:val="nil"/>
              <w:left w:val="nil"/>
              <w:bottom w:val="nil"/>
              <w:right w:val="single" w:sz="18" w:space="0" w:color="000000"/>
            </w:tcBorders>
            <w:shd w:val="clear" w:color="auto" w:fill="FFFFFF"/>
            <w:hideMark/>
          </w:tcPr>
          <w:p w14:paraId="1F243D27"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A</w:t>
            </w:r>
          </w:p>
        </w:tc>
        <w:tc>
          <w:tcPr>
            <w:tcW w:w="1025" w:type="dxa"/>
            <w:tcBorders>
              <w:top w:val="nil"/>
              <w:left w:val="single" w:sz="18" w:space="0" w:color="000000"/>
              <w:bottom w:val="nil"/>
              <w:right w:val="single" w:sz="8" w:space="0" w:color="000000"/>
            </w:tcBorders>
            <w:shd w:val="clear" w:color="auto" w:fill="FFFFFF"/>
            <w:vAlign w:val="center"/>
            <w:hideMark/>
          </w:tcPr>
          <w:p w14:paraId="4C4AB970"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88.7033</w:t>
            </w:r>
          </w:p>
        </w:tc>
        <w:tc>
          <w:tcPr>
            <w:tcW w:w="1438" w:type="dxa"/>
            <w:tcBorders>
              <w:top w:val="nil"/>
              <w:left w:val="single" w:sz="8" w:space="0" w:color="000000"/>
              <w:bottom w:val="nil"/>
              <w:right w:val="single" w:sz="8" w:space="0" w:color="000000"/>
            </w:tcBorders>
            <w:shd w:val="clear" w:color="auto" w:fill="FFFFFF"/>
            <w:vAlign w:val="center"/>
            <w:hideMark/>
          </w:tcPr>
          <w:p w14:paraId="69B8E756"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.79463</w:t>
            </w:r>
          </w:p>
        </w:tc>
        <w:tc>
          <w:tcPr>
            <w:tcW w:w="1025" w:type="dxa"/>
            <w:tcBorders>
              <w:top w:val="nil"/>
              <w:left w:val="single" w:sz="8" w:space="0" w:color="000000"/>
              <w:bottom w:val="nil"/>
              <w:right w:val="single" w:sz="18" w:space="0" w:color="000000"/>
            </w:tcBorders>
            <w:shd w:val="clear" w:color="auto" w:fill="FFFFFF"/>
            <w:vAlign w:val="center"/>
            <w:hideMark/>
          </w:tcPr>
          <w:p w14:paraId="758FAC6D"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4342FFD1"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7F560404"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21E517C6"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B</w:t>
            </w:r>
          </w:p>
        </w:tc>
        <w:tc>
          <w:tcPr>
            <w:tcW w:w="1025" w:type="dxa"/>
            <w:tcBorders>
              <w:top w:val="nil"/>
              <w:left w:val="single" w:sz="18" w:space="0" w:color="000000"/>
              <w:bottom w:val="nil"/>
              <w:right w:val="single" w:sz="8" w:space="0" w:color="000000"/>
            </w:tcBorders>
            <w:shd w:val="clear" w:color="auto" w:fill="FFFFFF"/>
            <w:vAlign w:val="center"/>
            <w:hideMark/>
          </w:tcPr>
          <w:p w14:paraId="6CCDC664"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43.8700</w:t>
            </w:r>
          </w:p>
        </w:tc>
        <w:tc>
          <w:tcPr>
            <w:tcW w:w="1438" w:type="dxa"/>
            <w:tcBorders>
              <w:top w:val="nil"/>
              <w:left w:val="single" w:sz="8" w:space="0" w:color="000000"/>
              <w:bottom w:val="nil"/>
              <w:right w:val="single" w:sz="8" w:space="0" w:color="000000"/>
            </w:tcBorders>
            <w:shd w:val="clear" w:color="auto" w:fill="FFFFFF"/>
            <w:vAlign w:val="center"/>
            <w:hideMark/>
          </w:tcPr>
          <w:p w14:paraId="2D40E4C3"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1.01129</w:t>
            </w:r>
          </w:p>
        </w:tc>
        <w:tc>
          <w:tcPr>
            <w:tcW w:w="1025" w:type="dxa"/>
            <w:tcBorders>
              <w:top w:val="nil"/>
              <w:left w:val="single" w:sz="8" w:space="0" w:color="000000"/>
              <w:bottom w:val="nil"/>
              <w:right w:val="single" w:sz="18" w:space="0" w:color="000000"/>
            </w:tcBorders>
            <w:shd w:val="clear" w:color="auto" w:fill="FFFFFF"/>
            <w:vAlign w:val="center"/>
            <w:hideMark/>
          </w:tcPr>
          <w:p w14:paraId="2D94DF30"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6D373F5E"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7C5CC46C"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0DE858BA"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C</w:t>
            </w:r>
          </w:p>
        </w:tc>
        <w:tc>
          <w:tcPr>
            <w:tcW w:w="1025" w:type="dxa"/>
            <w:tcBorders>
              <w:top w:val="nil"/>
              <w:left w:val="single" w:sz="18" w:space="0" w:color="000000"/>
              <w:bottom w:val="nil"/>
              <w:right w:val="single" w:sz="8" w:space="0" w:color="000000"/>
            </w:tcBorders>
            <w:shd w:val="clear" w:color="auto" w:fill="FFFFFF"/>
            <w:vAlign w:val="center"/>
            <w:hideMark/>
          </w:tcPr>
          <w:p w14:paraId="25A083DB"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27.8133</w:t>
            </w:r>
          </w:p>
        </w:tc>
        <w:tc>
          <w:tcPr>
            <w:tcW w:w="1438" w:type="dxa"/>
            <w:tcBorders>
              <w:top w:val="nil"/>
              <w:left w:val="single" w:sz="8" w:space="0" w:color="000000"/>
              <w:bottom w:val="nil"/>
              <w:right w:val="single" w:sz="8" w:space="0" w:color="000000"/>
            </w:tcBorders>
            <w:shd w:val="clear" w:color="auto" w:fill="FFFFFF"/>
            <w:vAlign w:val="center"/>
            <w:hideMark/>
          </w:tcPr>
          <w:p w14:paraId="19EF2973"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1.04882</w:t>
            </w:r>
          </w:p>
        </w:tc>
        <w:tc>
          <w:tcPr>
            <w:tcW w:w="1025" w:type="dxa"/>
            <w:tcBorders>
              <w:top w:val="nil"/>
              <w:left w:val="single" w:sz="8" w:space="0" w:color="000000"/>
              <w:bottom w:val="nil"/>
              <w:right w:val="single" w:sz="18" w:space="0" w:color="000000"/>
            </w:tcBorders>
            <w:shd w:val="clear" w:color="auto" w:fill="FFFFFF"/>
            <w:vAlign w:val="center"/>
            <w:hideMark/>
          </w:tcPr>
          <w:p w14:paraId="0715DFCC"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67D07F8D"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7B86E411"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00E8682D"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D</w:t>
            </w:r>
          </w:p>
        </w:tc>
        <w:tc>
          <w:tcPr>
            <w:tcW w:w="1025" w:type="dxa"/>
            <w:tcBorders>
              <w:top w:val="nil"/>
              <w:left w:val="single" w:sz="18" w:space="0" w:color="000000"/>
              <w:bottom w:val="nil"/>
              <w:right w:val="single" w:sz="8" w:space="0" w:color="000000"/>
            </w:tcBorders>
            <w:shd w:val="clear" w:color="auto" w:fill="FFFFFF"/>
            <w:vAlign w:val="center"/>
            <w:hideMark/>
          </w:tcPr>
          <w:p w14:paraId="6EF12D88"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30.9367</w:t>
            </w:r>
          </w:p>
        </w:tc>
        <w:tc>
          <w:tcPr>
            <w:tcW w:w="1438" w:type="dxa"/>
            <w:tcBorders>
              <w:top w:val="nil"/>
              <w:left w:val="single" w:sz="8" w:space="0" w:color="000000"/>
              <w:bottom w:val="nil"/>
              <w:right w:val="single" w:sz="8" w:space="0" w:color="000000"/>
            </w:tcBorders>
            <w:shd w:val="clear" w:color="auto" w:fill="FFFFFF"/>
            <w:vAlign w:val="center"/>
            <w:hideMark/>
          </w:tcPr>
          <w:p w14:paraId="356CBA89"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.88500</w:t>
            </w:r>
          </w:p>
        </w:tc>
        <w:tc>
          <w:tcPr>
            <w:tcW w:w="1025" w:type="dxa"/>
            <w:tcBorders>
              <w:top w:val="nil"/>
              <w:left w:val="single" w:sz="8" w:space="0" w:color="000000"/>
              <w:bottom w:val="nil"/>
              <w:right w:val="single" w:sz="18" w:space="0" w:color="000000"/>
            </w:tcBorders>
            <w:shd w:val="clear" w:color="auto" w:fill="FFFFFF"/>
            <w:vAlign w:val="center"/>
            <w:hideMark/>
          </w:tcPr>
          <w:p w14:paraId="273CF004"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182CE0E6"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44BA239B"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33F4D3EA"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E</w:t>
            </w:r>
          </w:p>
        </w:tc>
        <w:tc>
          <w:tcPr>
            <w:tcW w:w="1025" w:type="dxa"/>
            <w:tcBorders>
              <w:top w:val="nil"/>
              <w:left w:val="single" w:sz="18" w:space="0" w:color="000000"/>
              <w:bottom w:val="nil"/>
              <w:right w:val="single" w:sz="8" w:space="0" w:color="000000"/>
            </w:tcBorders>
            <w:shd w:val="clear" w:color="auto" w:fill="FFFFFF"/>
            <w:vAlign w:val="center"/>
            <w:hideMark/>
          </w:tcPr>
          <w:p w14:paraId="52729358"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68.6300</w:t>
            </w:r>
          </w:p>
        </w:tc>
        <w:tc>
          <w:tcPr>
            <w:tcW w:w="1438" w:type="dxa"/>
            <w:tcBorders>
              <w:top w:val="nil"/>
              <w:left w:val="single" w:sz="8" w:space="0" w:color="000000"/>
              <w:bottom w:val="nil"/>
              <w:right w:val="single" w:sz="8" w:space="0" w:color="000000"/>
            </w:tcBorders>
            <w:shd w:val="clear" w:color="auto" w:fill="FFFFFF"/>
            <w:vAlign w:val="center"/>
            <w:hideMark/>
          </w:tcPr>
          <w:p w14:paraId="108B80EC"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.75319</w:t>
            </w:r>
          </w:p>
        </w:tc>
        <w:tc>
          <w:tcPr>
            <w:tcW w:w="1025" w:type="dxa"/>
            <w:tcBorders>
              <w:top w:val="nil"/>
              <w:left w:val="single" w:sz="8" w:space="0" w:color="000000"/>
              <w:bottom w:val="nil"/>
              <w:right w:val="single" w:sz="18" w:space="0" w:color="000000"/>
            </w:tcBorders>
            <w:shd w:val="clear" w:color="auto" w:fill="FFFFFF"/>
            <w:vAlign w:val="center"/>
            <w:hideMark/>
          </w:tcPr>
          <w:p w14:paraId="52DD8B11"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3BE75D25"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0CBC833E"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single" w:sz="8" w:space="0" w:color="000000"/>
              <w:right w:val="single" w:sz="18" w:space="0" w:color="000000"/>
            </w:tcBorders>
            <w:shd w:val="clear" w:color="auto" w:fill="FFFFFF"/>
            <w:hideMark/>
          </w:tcPr>
          <w:p w14:paraId="37039107"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Total</w:t>
            </w:r>
          </w:p>
        </w:tc>
        <w:tc>
          <w:tcPr>
            <w:tcW w:w="1025" w:type="dxa"/>
            <w:tcBorders>
              <w:top w:val="nil"/>
              <w:left w:val="single" w:sz="18" w:space="0" w:color="000000"/>
              <w:bottom w:val="single" w:sz="8" w:space="0" w:color="000000"/>
              <w:right w:val="single" w:sz="8" w:space="0" w:color="000000"/>
            </w:tcBorders>
            <w:shd w:val="clear" w:color="auto" w:fill="FFFFFF"/>
            <w:vAlign w:val="center"/>
            <w:hideMark/>
          </w:tcPr>
          <w:p w14:paraId="1EDF9987"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51.9907</w:t>
            </w:r>
          </w:p>
        </w:tc>
        <w:tc>
          <w:tcPr>
            <w:tcW w:w="1438" w:type="dxa"/>
            <w:tcBorders>
              <w:top w:val="nil"/>
              <w:left w:val="single" w:sz="8" w:space="0" w:color="000000"/>
              <w:bottom w:val="single" w:sz="8" w:space="0" w:color="000000"/>
              <w:right w:val="single" w:sz="8" w:space="0" w:color="000000"/>
            </w:tcBorders>
            <w:shd w:val="clear" w:color="auto" w:fill="FFFFFF"/>
            <w:vAlign w:val="center"/>
            <w:hideMark/>
          </w:tcPr>
          <w:p w14:paraId="03119DAC"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24.14769</w:t>
            </w:r>
          </w:p>
        </w:tc>
        <w:tc>
          <w:tcPr>
            <w:tcW w:w="1025" w:type="dxa"/>
            <w:tcBorders>
              <w:top w:val="nil"/>
              <w:left w:val="single" w:sz="8" w:space="0" w:color="000000"/>
              <w:bottom w:val="single" w:sz="8" w:space="0" w:color="000000"/>
              <w:right w:val="single" w:sz="18" w:space="0" w:color="000000"/>
            </w:tcBorders>
            <w:shd w:val="clear" w:color="auto" w:fill="FFFFFF"/>
            <w:vAlign w:val="center"/>
            <w:hideMark/>
          </w:tcPr>
          <w:p w14:paraId="55DA89DA"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15</w:t>
            </w:r>
          </w:p>
        </w:tc>
      </w:tr>
      <w:tr w:rsidR="008D2613" w:rsidRPr="007A1C4F" w14:paraId="008B36CB" w14:textId="77777777" w:rsidTr="00AD22A3">
        <w:trPr>
          <w:cantSplit/>
        </w:trPr>
        <w:tc>
          <w:tcPr>
            <w:tcW w:w="1376" w:type="dxa"/>
            <w:vMerge w:val="restart"/>
            <w:tcBorders>
              <w:top w:val="nil"/>
              <w:left w:val="single" w:sz="18" w:space="0" w:color="000000"/>
              <w:bottom w:val="single" w:sz="8" w:space="0" w:color="000000"/>
              <w:right w:val="nil"/>
            </w:tcBorders>
            <w:shd w:val="clear" w:color="auto" w:fill="FFFFFF"/>
            <w:hideMark/>
          </w:tcPr>
          <w:p w14:paraId="35ED22F8"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MDA</w:t>
            </w:r>
          </w:p>
        </w:tc>
        <w:tc>
          <w:tcPr>
            <w:tcW w:w="1239" w:type="dxa"/>
            <w:tcBorders>
              <w:top w:val="nil"/>
              <w:left w:val="nil"/>
              <w:bottom w:val="nil"/>
              <w:right w:val="single" w:sz="18" w:space="0" w:color="000000"/>
            </w:tcBorders>
            <w:shd w:val="clear" w:color="auto" w:fill="FFFFFF"/>
            <w:hideMark/>
          </w:tcPr>
          <w:p w14:paraId="6563455B"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A</w:t>
            </w:r>
          </w:p>
        </w:tc>
        <w:tc>
          <w:tcPr>
            <w:tcW w:w="1025" w:type="dxa"/>
            <w:tcBorders>
              <w:top w:val="nil"/>
              <w:left w:val="single" w:sz="18" w:space="0" w:color="000000"/>
              <w:bottom w:val="nil"/>
              <w:right w:val="single" w:sz="8" w:space="0" w:color="000000"/>
            </w:tcBorders>
            <w:shd w:val="clear" w:color="auto" w:fill="FFFFFF"/>
            <w:vAlign w:val="center"/>
            <w:hideMark/>
          </w:tcPr>
          <w:p w14:paraId="2C6895EB"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41.2800</w:t>
            </w:r>
          </w:p>
        </w:tc>
        <w:tc>
          <w:tcPr>
            <w:tcW w:w="1438" w:type="dxa"/>
            <w:tcBorders>
              <w:top w:val="nil"/>
              <w:left w:val="single" w:sz="8" w:space="0" w:color="000000"/>
              <w:bottom w:val="nil"/>
              <w:right w:val="single" w:sz="8" w:space="0" w:color="000000"/>
            </w:tcBorders>
            <w:shd w:val="clear" w:color="auto" w:fill="FFFFFF"/>
            <w:vAlign w:val="center"/>
            <w:hideMark/>
          </w:tcPr>
          <w:p w14:paraId="434C1464"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1.01237</w:t>
            </w:r>
          </w:p>
        </w:tc>
        <w:tc>
          <w:tcPr>
            <w:tcW w:w="1025" w:type="dxa"/>
            <w:tcBorders>
              <w:top w:val="nil"/>
              <w:left w:val="single" w:sz="8" w:space="0" w:color="000000"/>
              <w:bottom w:val="nil"/>
              <w:right w:val="single" w:sz="18" w:space="0" w:color="000000"/>
            </w:tcBorders>
            <w:shd w:val="clear" w:color="auto" w:fill="FFFFFF"/>
            <w:vAlign w:val="center"/>
            <w:hideMark/>
          </w:tcPr>
          <w:p w14:paraId="58B706C2"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28E1345B"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77C1B5F3"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5D6E31EC"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B</w:t>
            </w:r>
          </w:p>
        </w:tc>
        <w:tc>
          <w:tcPr>
            <w:tcW w:w="1025" w:type="dxa"/>
            <w:tcBorders>
              <w:top w:val="nil"/>
              <w:left w:val="single" w:sz="18" w:space="0" w:color="000000"/>
              <w:bottom w:val="nil"/>
              <w:right w:val="single" w:sz="8" w:space="0" w:color="000000"/>
            </w:tcBorders>
            <w:shd w:val="clear" w:color="auto" w:fill="FFFFFF"/>
            <w:vAlign w:val="center"/>
            <w:hideMark/>
          </w:tcPr>
          <w:p w14:paraId="677E1FD8"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26.9400</w:t>
            </w:r>
          </w:p>
        </w:tc>
        <w:tc>
          <w:tcPr>
            <w:tcW w:w="1438" w:type="dxa"/>
            <w:tcBorders>
              <w:top w:val="nil"/>
              <w:left w:val="single" w:sz="8" w:space="0" w:color="000000"/>
              <w:bottom w:val="nil"/>
              <w:right w:val="single" w:sz="8" w:space="0" w:color="000000"/>
            </w:tcBorders>
            <w:shd w:val="clear" w:color="auto" w:fill="FFFFFF"/>
            <w:vAlign w:val="center"/>
            <w:hideMark/>
          </w:tcPr>
          <w:p w14:paraId="6C989DFF"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.52202</w:t>
            </w:r>
          </w:p>
        </w:tc>
        <w:tc>
          <w:tcPr>
            <w:tcW w:w="1025" w:type="dxa"/>
            <w:tcBorders>
              <w:top w:val="nil"/>
              <w:left w:val="single" w:sz="8" w:space="0" w:color="000000"/>
              <w:bottom w:val="nil"/>
              <w:right w:val="single" w:sz="18" w:space="0" w:color="000000"/>
            </w:tcBorders>
            <w:shd w:val="clear" w:color="auto" w:fill="FFFFFF"/>
            <w:vAlign w:val="center"/>
            <w:hideMark/>
          </w:tcPr>
          <w:p w14:paraId="35F23B7E"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5C8A55A8"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62A249E5"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06F9B0EF"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C</w:t>
            </w:r>
          </w:p>
        </w:tc>
        <w:tc>
          <w:tcPr>
            <w:tcW w:w="1025" w:type="dxa"/>
            <w:tcBorders>
              <w:top w:val="nil"/>
              <w:left w:val="single" w:sz="18" w:space="0" w:color="000000"/>
              <w:bottom w:val="nil"/>
              <w:right w:val="single" w:sz="8" w:space="0" w:color="000000"/>
            </w:tcBorders>
            <w:shd w:val="clear" w:color="auto" w:fill="FFFFFF"/>
            <w:vAlign w:val="center"/>
            <w:hideMark/>
          </w:tcPr>
          <w:p w14:paraId="34057307"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29.9900</w:t>
            </w:r>
          </w:p>
        </w:tc>
        <w:tc>
          <w:tcPr>
            <w:tcW w:w="1438" w:type="dxa"/>
            <w:tcBorders>
              <w:top w:val="nil"/>
              <w:left w:val="single" w:sz="8" w:space="0" w:color="000000"/>
              <w:bottom w:val="nil"/>
              <w:right w:val="single" w:sz="8" w:space="0" w:color="000000"/>
            </w:tcBorders>
            <w:shd w:val="clear" w:color="auto" w:fill="FFFFFF"/>
            <w:vAlign w:val="center"/>
            <w:hideMark/>
          </w:tcPr>
          <w:p w14:paraId="501AA1D8"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.19079</w:t>
            </w:r>
          </w:p>
        </w:tc>
        <w:tc>
          <w:tcPr>
            <w:tcW w:w="1025" w:type="dxa"/>
            <w:tcBorders>
              <w:top w:val="nil"/>
              <w:left w:val="single" w:sz="8" w:space="0" w:color="000000"/>
              <w:bottom w:val="nil"/>
              <w:right w:val="single" w:sz="18" w:space="0" w:color="000000"/>
            </w:tcBorders>
            <w:shd w:val="clear" w:color="auto" w:fill="FFFFFF"/>
            <w:vAlign w:val="center"/>
            <w:hideMark/>
          </w:tcPr>
          <w:p w14:paraId="28BFAE31"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4E4C4231"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4204EF4A"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525CBAE1"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D</w:t>
            </w:r>
          </w:p>
        </w:tc>
        <w:tc>
          <w:tcPr>
            <w:tcW w:w="1025" w:type="dxa"/>
            <w:tcBorders>
              <w:top w:val="nil"/>
              <w:left w:val="single" w:sz="18" w:space="0" w:color="000000"/>
              <w:bottom w:val="nil"/>
              <w:right w:val="single" w:sz="8" w:space="0" w:color="000000"/>
            </w:tcBorders>
            <w:shd w:val="clear" w:color="auto" w:fill="FFFFFF"/>
            <w:vAlign w:val="center"/>
            <w:hideMark/>
          </w:tcPr>
          <w:p w14:paraId="4A7A3124"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32.0500</w:t>
            </w:r>
          </w:p>
        </w:tc>
        <w:tc>
          <w:tcPr>
            <w:tcW w:w="1438" w:type="dxa"/>
            <w:tcBorders>
              <w:top w:val="nil"/>
              <w:left w:val="single" w:sz="8" w:space="0" w:color="000000"/>
              <w:bottom w:val="nil"/>
              <w:right w:val="single" w:sz="8" w:space="0" w:color="000000"/>
            </w:tcBorders>
            <w:shd w:val="clear" w:color="auto" w:fill="FFFFFF"/>
            <w:vAlign w:val="center"/>
            <w:hideMark/>
          </w:tcPr>
          <w:p w14:paraId="4CBBFF07"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.67506</w:t>
            </w:r>
          </w:p>
        </w:tc>
        <w:tc>
          <w:tcPr>
            <w:tcW w:w="1025" w:type="dxa"/>
            <w:tcBorders>
              <w:top w:val="nil"/>
              <w:left w:val="single" w:sz="8" w:space="0" w:color="000000"/>
              <w:bottom w:val="nil"/>
              <w:right w:val="single" w:sz="18" w:space="0" w:color="000000"/>
            </w:tcBorders>
            <w:shd w:val="clear" w:color="auto" w:fill="FFFFFF"/>
            <w:vAlign w:val="center"/>
            <w:hideMark/>
          </w:tcPr>
          <w:p w14:paraId="63339E49"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7231F9C5"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5E942C50"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7574E315"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E</w:t>
            </w:r>
          </w:p>
        </w:tc>
        <w:tc>
          <w:tcPr>
            <w:tcW w:w="1025" w:type="dxa"/>
            <w:tcBorders>
              <w:top w:val="nil"/>
              <w:left w:val="single" w:sz="18" w:space="0" w:color="000000"/>
              <w:bottom w:val="nil"/>
              <w:right w:val="single" w:sz="8" w:space="0" w:color="000000"/>
            </w:tcBorders>
            <w:shd w:val="clear" w:color="auto" w:fill="FFFFFF"/>
            <w:vAlign w:val="center"/>
            <w:hideMark/>
          </w:tcPr>
          <w:p w14:paraId="20389DA8"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37.0933</w:t>
            </w:r>
          </w:p>
        </w:tc>
        <w:tc>
          <w:tcPr>
            <w:tcW w:w="1438" w:type="dxa"/>
            <w:tcBorders>
              <w:top w:val="nil"/>
              <w:left w:val="single" w:sz="8" w:space="0" w:color="000000"/>
              <w:bottom w:val="nil"/>
              <w:right w:val="single" w:sz="8" w:space="0" w:color="000000"/>
            </w:tcBorders>
            <w:shd w:val="clear" w:color="auto" w:fill="FFFFFF"/>
            <w:vAlign w:val="center"/>
            <w:hideMark/>
          </w:tcPr>
          <w:p w14:paraId="370507C7"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.50954</w:t>
            </w:r>
          </w:p>
        </w:tc>
        <w:tc>
          <w:tcPr>
            <w:tcW w:w="1025" w:type="dxa"/>
            <w:tcBorders>
              <w:top w:val="nil"/>
              <w:left w:val="single" w:sz="8" w:space="0" w:color="000000"/>
              <w:bottom w:val="nil"/>
              <w:right w:val="single" w:sz="18" w:space="0" w:color="000000"/>
            </w:tcBorders>
            <w:shd w:val="clear" w:color="auto" w:fill="FFFFFF"/>
            <w:vAlign w:val="center"/>
            <w:hideMark/>
          </w:tcPr>
          <w:p w14:paraId="57083DA6"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4A64F1F0"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0247ED10"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single" w:sz="8" w:space="0" w:color="000000"/>
              <w:right w:val="single" w:sz="18" w:space="0" w:color="000000"/>
            </w:tcBorders>
            <w:shd w:val="clear" w:color="auto" w:fill="FFFFFF"/>
            <w:hideMark/>
          </w:tcPr>
          <w:p w14:paraId="1C5E20E8"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Total</w:t>
            </w:r>
          </w:p>
        </w:tc>
        <w:tc>
          <w:tcPr>
            <w:tcW w:w="1025" w:type="dxa"/>
            <w:tcBorders>
              <w:top w:val="nil"/>
              <w:left w:val="single" w:sz="18" w:space="0" w:color="000000"/>
              <w:bottom w:val="single" w:sz="8" w:space="0" w:color="000000"/>
              <w:right w:val="single" w:sz="8" w:space="0" w:color="000000"/>
            </w:tcBorders>
            <w:shd w:val="clear" w:color="auto" w:fill="FFFFFF"/>
            <w:vAlign w:val="center"/>
            <w:hideMark/>
          </w:tcPr>
          <w:p w14:paraId="6221308F"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33.4707</w:t>
            </w:r>
          </w:p>
        </w:tc>
        <w:tc>
          <w:tcPr>
            <w:tcW w:w="1438" w:type="dxa"/>
            <w:tcBorders>
              <w:top w:val="nil"/>
              <w:left w:val="single" w:sz="8" w:space="0" w:color="000000"/>
              <w:bottom w:val="single" w:sz="8" w:space="0" w:color="000000"/>
              <w:right w:val="single" w:sz="8" w:space="0" w:color="000000"/>
            </w:tcBorders>
            <w:shd w:val="clear" w:color="auto" w:fill="FFFFFF"/>
            <w:vAlign w:val="center"/>
            <w:hideMark/>
          </w:tcPr>
          <w:p w14:paraId="2E50CB59"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5.32364</w:t>
            </w:r>
          </w:p>
        </w:tc>
        <w:tc>
          <w:tcPr>
            <w:tcW w:w="1025" w:type="dxa"/>
            <w:tcBorders>
              <w:top w:val="nil"/>
              <w:left w:val="single" w:sz="8" w:space="0" w:color="000000"/>
              <w:bottom w:val="single" w:sz="8" w:space="0" w:color="000000"/>
              <w:right w:val="single" w:sz="18" w:space="0" w:color="000000"/>
            </w:tcBorders>
            <w:shd w:val="clear" w:color="auto" w:fill="FFFFFF"/>
            <w:vAlign w:val="center"/>
            <w:hideMark/>
          </w:tcPr>
          <w:p w14:paraId="6C95D04C"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15</w:t>
            </w:r>
          </w:p>
        </w:tc>
      </w:tr>
    </w:tbl>
    <w:p w14:paraId="53B8F1EA" w14:textId="1E36A446" w:rsidR="00FD5BE4" w:rsidRPr="00FD5BE4" w:rsidRDefault="00FD5BE4" w:rsidP="00FD5BE4">
      <w:pPr>
        <w:spacing w:line="480" w:lineRule="auto"/>
        <w:ind w:left="221"/>
        <w:rPr>
          <w:rFonts w:ascii="Arial" w:hAnsi="Arial" w:cs="Arial"/>
        </w:rPr>
      </w:pPr>
    </w:p>
    <w:p w14:paraId="79257DD7" w14:textId="5E1959AD" w:rsidR="00FD5BE4" w:rsidRDefault="008D2613" w:rsidP="00FD5BE4">
      <w:pPr>
        <w:jc w:val="both"/>
        <w:rPr>
          <w:rFonts w:ascii="Arial" w:hAnsi="Arial" w:cs="Arial"/>
        </w:rPr>
      </w:pPr>
      <w:r>
        <w:rPr>
          <w:rFonts w:ascii="Arial" w:hAnsi="Arial" w:cs="Arial"/>
        </w:rPr>
        <w:t>MDA: malondialdehyde</w:t>
      </w:r>
      <w:r w:rsidR="00FD5BE4" w:rsidRPr="00FD5BE4">
        <w:rPr>
          <w:rFonts w:ascii="Arial" w:hAnsi="Arial" w:cs="Arial"/>
        </w:rPr>
        <w:t xml:space="preserve">, </w:t>
      </w:r>
      <w:r>
        <w:rPr>
          <w:rFonts w:ascii="Arial" w:hAnsi="Arial" w:cs="Arial"/>
        </w:rPr>
        <w:t>GLUTA: glutathione,</w:t>
      </w:r>
      <w:r w:rsidR="00755C1E">
        <w:rPr>
          <w:rFonts w:ascii="Arial" w:hAnsi="Arial" w:cs="Arial"/>
        </w:rPr>
        <w:t xml:space="preserve"> </w:t>
      </w:r>
      <w:r w:rsidR="00FD5BE4" w:rsidRPr="00FD5BE4">
        <w:rPr>
          <w:rFonts w:ascii="Arial" w:hAnsi="Arial" w:cs="Arial"/>
        </w:rPr>
        <w:t xml:space="preserve">significance is indicated at </w:t>
      </w:r>
      <w:r w:rsidR="00FD5BE4" w:rsidRPr="00FD5BE4">
        <w:rPr>
          <w:rFonts w:ascii="Arial" w:hAnsi="Arial" w:cs="Arial"/>
          <w:i/>
        </w:rPr>
        <w:t>p≤0.05</w:t>
      </w:r>
      <w:r w:rsidR="00FD5BE4" w:rsidRPr="00FD5BE4">
        <w:rPr>
          <w:rFonts w:ascii="Arial" w:hAnsi="Arial" w:cs="Arial"/>
        </w:rPr>
        <w:t>.</w:t>
      </w:r>
    </w:p>
    <w:p w14:paraId="64B8A781" w14:textId="016C71D4" w:rsidR="00FD5BE4" w:rsidRDefault="00FD5BE4" w:rsidP="00FD5BE4">
      <w:pPr>
        <w:jc w:val="both"/>
        <w:rPr>
          <w:rFonts w:ascii="Arial" w:hAnsi="Arial" w:cs="Arial"/>
        </w:rPr>
      </w:pPr>
    </w:p>
    <w:p w14:paraId="309A024F" w14:textId="77777777" w:rsidR="00836E33" w:rsidRDefault="00836E33" w:rsidP="00FD5BE4">
      <w:pPr>
        <w:jc w:val="both"/>
        <w:rPr>
          <w:rFonts w:ascii="Arial" w:hAnsi="Arial" w:cs="Arial"/>
        </w:rPr>
      </w:pPr>
    </w:p>
    <w:p w14:paraId="174F483B" w14:textId="77777777" w:rsidR="00836E33" w:rsidRDefault="00836E33" w:rsidP="00FD5BE4">
      <w:pPr>
        <w:jc w:val="both"/>
        <w:rPr>
          <w:rFonts w:ascii="Arial" w:hAnsi="Arial" w:cs="Arial"/>
        </w:rPr>
      </w:pPr>
    </w:p>
    <w:p w14:paraId="60847539" w14:textId="77777777" w:rsidR="00836E33" w:rsidRDefault="00836E33" w:rsidP="00FD5BE4">
      <w:pPr>
        <w:jc w:val="both"/>
        <w:rPr>
          <w:rFonts w:ascii="Arial" w:hAnsi="Arial" w:cs="Arial"/>
        </w:rPr>
      </w:pPr>
    </w:p>
    <w:p w14:paraId="3DF510F2" w14:textId="77777777" w:rsidR="00836E33" w:rsidRDefault="00836E33" w:rsidP="00FD5BE4">
      <w:pPr>
        <w:jc w:val="both"/>
        <w:rPr>
          <w:rFonts w:ascii="Arial" w:hAnsi="Arial" w:cs="Arial"/>
        </w:rPr>
      </w:pPr>
    </w:p>
    <w:p w14:paraId="374D9B41" w14:textId="77777777" w:rsidR="00836E33" w:rsidRDefault="00836E33" w:rsidP="00FD5BE4">
      <w:pPr>
        <w:jc w:val="both"/>
        <w:rPr>
          <w:rFonts w:ascii="Arial" w:hAnsi="Arial" w:cs="Arial"/>
        </w:rPr>
      </w:pPr>
    </w:p>
    <w:p w14:paraId="4AB7F5E6" w14:textId="77777777" w:rsidR="00836E33" w:rsidRDefault="00836E33" w:rsidP="00FD5BE4">
      <w:pPr>
        <w:jc w:val="both"/>
        <w:rPr>
          <w:rFonts w:ascii="Arial" w:hAnsi="Arial" w:cs="Arial"/>
        </w:rPr>
      </w:pPr>
    </w:p>
    <w:p w14:paraId="488AACAE" w14:textId="2934757B" w:rsidR="006B7B70" w:rsidRDefault="006B7B70" w:rsidP="006B7B70">
      <w:pPr>
        <w:rPr>
          <w:rFonts w:ascii="Arial" w:hAnsi="Arial" w:cs="Arial"/>
          <w:b/>
        </w:rPr>
      </w:pPr>
      <w:r>
        <w:rPr>
          <w:rFonts w:ascii="Arial" w:hAnsi="Arial" w:cs="Arial"/>
          <w:b/>
          <w:bCs/>
        </w:rPr>
        <w:t>Table 2</w:t>
      </w:r>
      <w:r w:rsidRPr="00FD5BE4">
        <w:rPr>
          <w:rFonts w:ascii="Arial" w:hAnsi="Arial" w:cs="Arial"/>
          <w:b/>
          <w:bCs/>
        </w:rPr>
        <w:t xml:space="preserve">: </w:t>
      </w:r>
      <w:r>
        <w:rPr>
          <w:rFonts w:ascii="Arial" w:hAnsi="Arial" w:cs="Arial"/>
          <w:b/>
        </w:rPr>
        <w:t xml:space="preserve">ANOVA results for the </w:t>
      </w:r>
      <w:r w:rsidRPr="0045682E">
        <w:rPr>
          <w:rFonts w:ascii="Arial" w:hAnsi="Arial" w:cs="Arial"/>
          <w:b/>
        </w:rPr>
        <w:t>stress markers of the brain</w:t>
      </w:r>
    </w:p>
    <w:tbl>
      <w:tblPr>
        <w:tblW w:w="651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00" w:firstRow="0" w:lastRow="0" w:firstColumn="0" w:lastColumn="0" w:noHBand="0" w:noVBand="1"/>
      </w:tblPr>
      <w:tblGrid>
        <w:gridCol w:w="1454"/>
        <w:gridCol w:w="1500"/>
        <w:gridCol w:w="1469"/>
        <w:gridCol w:w="1070"/>
        <w:gridCol w:w="1024"/>
      </w:tblGrid>
      <w:tr w:rsidR="006B7B70" w:rsidRPr="007A1C4F" w14:paraId="14974DC1" w14:textId="77777777" w:rsidTr="00AD22A3">
        <w:trPr>
          <w:cantSplit/>
          <w:trHeight w:val="483"/>
        </w:trPr>
        <w:tc>
          <w:tcPr>
            <w:tcW w:w="1454" w:type="dxa"/>
            <w:vMerge w:val="restart"/>
            <w:tcBorders>
              <w:top w:val="single" w:sz="18" w:space="0" w:color="000000"/>
              <w:left w:val="single" w:sz="18" w:space="0" w:color="000000"/>
              <w:bottom w:val="nil"/>
              <w:right w:val="nil"/>
            </w:tcBorders>
            <w:shd w:val="clear" w:color="auto" w:fill="FFFFFF"/>
            <w:vAlign w:val="bottom"/>
            <w:hideMark/>
          </w:tcPr>
          <w:p w14:paraId="70C79E21"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(I) Experiment</w:t>
            </w:r>
          </w:p>
        </w:tc>
        <w:tc>
          <w:tcPr>
            <w:tcW w:w="1500" w:type="dxa"/>
            <w:vMerge w:val="restart"/>
            <w:tcBorders>
              <w:top w:val="single" w:sz="18" w:space="0" w:color="000000"/>
              <w:left w:val="nil"/>
              <w:bottom w:val="nil"/>
              <w:right w:val="single" w:sz="18" w:space="0" w:color="000000"/>
            </w:tcBorders>
            <w:shd w:val="clear" w:color="auto" w:fill="FFFFFF"/>
            <w:vAlign w:val="bottom"/>
            <w:hideMark/>
          </w:tcPr>
          <w:p w14:paraId="350A4349"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(J) Experiment</w:t>
            </w:r>
          </w:p>
        </w:tc>
        <w:tc>
          <w:tcPr>
            <w:tcW w:w="1469" w:type="dxa"/>
            <w:vMerge w:val="restart"/>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65C4258D" w14:textId="77777777" w:rsidR="006B7B70" w:rsidRPr="007A1C4F" w:rsidRDefault="006B7B70" w:rsidP="00AD22A3">
            <w:pPr>
              <w:autoSpaceDE w:val="0"/>
              <w:autoSpaceDN w:val="0"/>
              <w:adjustRightInd w:val="0"/>
              <w:spacing w:line="360" w:lineRule="auto"/>
              <w:ind w:left="60" w:right="60"/>
              <w:jc w:val="center"/>
              <w:rPr>
                <w:rFonts w:ascii="Arial" w:hAnsi="Arial" w:cs="Arial"/>
                <w:color w:val="000000"/>
              </w:rPr>
            </w:pPr>
            <w:r w:rsidRPr="007A1C4F">
              <w:rPr>
                <w:rFonts w:ascii="Arial" w:hAnsi="Arial" w:cs="Arial"/>
                <w:color w:val="000000"/>
              </w:rPr>
              <w:t>Mean Difference (I-J)</w:t>
            </w:r>
          </w:p>
        </w:tc>
        <w:tc>
          <w:tcPr>
            <w:tcW w:w="1070" w:type="dxa"/>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30E190DA" w14:textId="77777777" w:rsidR="006B7B70" w:rsidRPr="007A1C4F" w:rsidRDefault="006B7B70" w:rsidP="00AD22A3">
            <w:pPr>
              <w:autoSpaceDE w:val="0"/>
              <w:autoSpaceDN w:val="0"/>
              <w:adjustRightInd w:val="0"/>
              <w:spacing w:line="360" w:lineRule="auto"/>
              <w:ind w:left="60" w:right="60"/>
              <w:jc w:val="center"/>
              <w:rPr>
                <w:rFonts w:ascii="Arial" w:hAnsi="Arial" w:cs="Arial"/>
                <w:color w:val="000000"/>
              </w:rPr>
            </w:pPr>
            <w:r w:rsidRPr="007A1C4F">
              <w:rPr>
                <w:rFonts w:ascii="Arial" w:hAnsi="Arial" w:cs="Arial"/>
                <w:color w:val="000000"/>
              </w:rPr>
              <w:t>Std. Error</w:t>
            </w:r>
          </w:p>
        </w:tc>
        <w:tc>
          <w:tcPr>
            <w:tcW w:w="1024" w:type="dxa"/>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587ED3FC" w14:textId="77777777" w:rsidR="006B7B70" w:rsidRPr="007A1C4F" w:rsidRDefault="006B7B70" w:rsidP="00AD22A3">
            <w:pPr>
              <w:autoSpaceDE w:val="0"/>
              <w:autoSpaceDN w:val="0"/>
              <w:adjustRightInd w:val="0"/>
              <w:spacing w:line="360" w:lineRule="auto"/>
              <w:ind w:left="60" w:right="60"/>
              <w:jc w:val="center"/>
              <w:rPr>
                <w:rFonts w:ascii="Arial" w:hAnsi="Arial" w:cs="Arial"/>
                <w:color w:val="000000"/>
              </w:rPr>
            </w:pPr>
            <w:r w:rsidRPr="007A1C4F">
              <w:rPr>
                <w:rFonts w:ascii="Arial" w:hAnsi="Arial" w:cs="Arial"/>
                <w:color w:val="000000"/>
              </w:rPr>
              <w:t>Sig.</w:t>
            </w:r>
          </w:p>
        </w:tc>
      </w:tr>
      <w:tr w:rsidR="006B7B70" w:rsidRPr="007A1C4F" w14:paraId="0900631D" w14:textId="77777777" w:rsidTr="00AD22A3">
        <w:trPr>
          <w:cantSplit/>
          <w:trHeight w:val="483"/>
        </w:trPr>
        <w:tc>
          <w:tcPr>
            <w:tcW w:w="0" w:type="auto"/>
            <w:vMerge/>
            <w:tcBorders>
              <w:top w:val="single" w:sz="18" w:space="0" w:color="000000"/>
              <w:left w:val="single" w:sz="18" w:space="0" w:color="000000"/>
              <w:bottom w:val="nil"/>
              <w:right w:val="nil"/>
            </w:tcBorders>
            <w:vAlign w:val="center"/>
            <w:hideMark/>
          </w:tcPr>
          <w:p w14:paraId="0B8EAB79" w14:textId="77777777" w:rsidR="006B7B70" w:rsidRPr="007A1C4F" w:rsidRDefault="006B7B70" w:rsidP="00AD22A3">
            <w:pPr>
              <w:spacing w:line="276" w:lineRule="auto"/>
              <w:rPr>
                <w:rFonts w:ascii="Arial" w:hAnsi="Arial" w:cs="Arial"/>
                <w:color w:val="000000"/>
              </w:rPr>
            </w:pPr>
          </w:p>
        </w:tc>
        <w:tc>
          <w:tcPr>
            <w:tcW w:w="0" w:type="auto"/>
            <w:vMerge/>
            <w:tcBorders>
              <w:top w:val="single" w:sz="18" w:space="0" w:color="000000"/>
              <w:left w:val="nil"/>
              <w:bottom w:val="nil"/>
              <w:right w:val="single" w:sz="18" w:space="0" w:color="000000"/>
            </w:tcBorders>
            <w:vAlign w:val="center"/>
            <w:hideMark/>
          </w:tcPr>
          <w:p w14:paraId="7B5509EF" w14:textId="77777777" w:rsidR="006B7B70" w:rsidRPr="007A1C4F" w:rsidRDefault="006B7B70" w:rsidP="00AD22A3">
            <w:pPr>
              <w:spacing w:line="276" w:lineRule="auto"/>
              <w:rPr>
                <w:rFonts w:ascii="Arial" w:hAnsi="Arial" w:cs="Arial"/>
                <w:color w:val="000000"/>
              </w:rPr>
            </w:pPr>
          </w:p>
        </w:tc>
        <w:tc>
          <w:tcPr>
            <w:tcW w:w="0" w:type="auto"/>
            <w:vMerge/>
            <w:tcBorders>
              <w:top w:val="single" w:sz="18" w:space="0" w:color="000000"/>
              <w:left w:val="single" w:sz="18" w:space="0" w:color="000000"/>
              <w:bottom w:val="single" w:sz="8" w:space="0" w:color="000000"/>
              <w:right w:val="single" w:sz="8" w:space="0" w:color="000000"/>
            </w:tcBorders>
            <w:vAlign w:val="center"/>
            <w:hideMark/>
          </w:tcPr>
          <w:p w14:paraId="086B12E2" w14:textId="77777777" w:rsidR="006B7B70" w:rsidRPr="007A1C4F" w:rsidRDefault="006B7B70" w:rsidP="00AD22A3">
            <w:pPr>
              <w:spacing w:line="276" w:lineRule="auto"/>
              <w:rPr>
                <w:rFonts w:ascii="Arial" w:hAnsi="Arial" w:cs="Arial"/>
                <w:color w:val="000000"/>
              </w:rPr>
            </w:pPr>
          </w:p>
        </w:tc>
        <w:tc>
          <w:tcPr>
            <w:tcW w:w="0" w:type="auto"/>
            <w:vMerge/>
            <w:tcBorders>
              <w:top w:val="single" w:sz="18" w:space="0" w:color="000000"/>
              <w:left w:val="single" w:sz="8" w:space="0" w:color="000000"/>
              <w:bottom w:val="single" w:sz="8" w:space="0" w:color="000000"/>
              <w:right w:val="single" w:sz="8" w:space="0" w:color="000000"/>
            </w:tcBorders>
            <w:vAlign w:val="center"/>
            <w:hideMark/>
          </w:tcPr>
          <w:p w14:paraId="0EC021BA" w14:textId="77777777" w:rsidR="006B7B70" w:rsidRPr="007A1C4F" w:rsidRDefault="006B7B70" w:rsidP="00AD22A3">
            <w:pPr>
              <w:spacing w:line="276" w:lineRule="auto"/>
              <w:rPr>
                <w:rFonts w:ascii="Arial" w:hAnsi="Arial" w:cs="Arial"/>
                <w:color w:val="000000"/>
              </w:rPr>
            </w:pPr>
          </w:p>
        </w:tc>
        <w:tc>
          <w:tcPr>
            <w:tcW w:w="0" w:type="auto"/>
            <w:vMerge/>
            <w:tcBorders>
              <w:top w:val="single" w:sz="18" w:space="0" w:color="000000"/>
              <w:left w:val="single" w:sz="8" w:space="0" w:color="000000"/>
              <w:bottom w:val="single" w:sz="8" w:space="0" w:color="000000"/>
              <w:right w:val="single" w:sz="8" w:space="0" w:color="000000"/>
            </w:tcBorders>
            <w:vAlign w:val="center"/>
            <w:hideMark/>
          </w:tcPr>
          <w:p w14:paraId="7BDA83D4" w14:textId="77777777" w:rsidR="006B7B70" w:rsidRPr="007A1C4F" w:rsidRDefault="006B7B70" w:rsidP="00AD22A3">
            <w:pPr>
              <w:spacing w:line="276" w:lineRule="auto"/>
              <w:rPr>
                <w:rFonts w:ascii="Arial" w:hAnsi="Arial" w:cs="Arial"/>
                <w:color w:val="000000"/>
              </w:rPr>
            </w:pPr>
          </w:p>
        </w:tc>
      </w:tr>
      <w:tr w:rsidR="006B7B70" w:rsidRPr="007A1C4F" w14:paraId="6B557B3C" w14:textId="77777777" w:rsidTr="00AD22A3">
        <w:trPr>
          <w:cantSplit/>
        </w:trPr>
        <w:tc>
          <w:tcPr>
            <w:tcW w:w="1454" w:type="dxa"/>
            <w:vMerge w:val="restart"/>
            <w:tcBorders>
              <w:top w:val="single" w:sz="18" w:space="0" w:color="000000"/>
              <w:left w:val="single" w:sz="18" w:space="0" w:color="000000"/>
              <w:bottom w:val="single" w:sz="8" w:space="0" w:color="000000"/>
              <w:right w:val="nil"/>
            </w:tcBorders>
            <w:shd w:val="clear" w:color="auto" w:fill="FFFFFF"/>
            <w:hideMark/>
          </w:tcPr>
          <w:p w14:paraId="6EE71631"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A</w:t>
            </w:r>
          </w:p>
        </w:tc>
        <w:tc>
          <w:tcPr>
            <w:tcW w:w="1500" w:type="dxa"/>
            <w:tcBorders>
              <w:top w:val="single" w:sz="18" w:space="0" w:color="000000"/>
              <w:left w:val="nil"/>
              <w:bottom w:val="nil"/>
              <w:right w:val="single" w:sz="18" w:space="0" w:color="000000"/>
            </w:tcBorders>
            <w:shd w:val="clear" w:color="auto" w:fill="FFFFFF"/>
            <w:hideMark/>
          </w:tcPr>
          <w:p w14:paraId="324B3AA8"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B</w:t>
            </w:r>
          </w:p>
        </w:tc>
        <w:tc>
          <w:tcPr>
            <w:tcW w:w="1469" w:type="dxa"/>
            <w:tcBorders>
              <w:top w:val="single" w:sz="18" w:space="0" w:color="000000"/>
              <w:left w:val="single" w:sz="18" w:space="0" w:color="000000"/>
              <w:bottom w:val="nil"/>
              <w:right w:val="single" w:sz="8" w:space="0" w:color="000000"/>
            </w:tcBorders>
            <w:shd w:val="clear" w:color="auto" w:fill="FFFFFF"/>
            <w:vAlign w:val="center"/>
            <w:hideMark/>
          </w:tcPr>
          <w:p w14:paraId="0B160564"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11.1100</w:t>
            </w:r>
            <w:r w:rsidRPr="007A1C4F">
              <w:rPr>
                <w:rFonts w:ascii="Arial" w:hAnsi="Arial" w:cs="Arial"/>
                <w:color w:val="000000"/>
                <w:vertAlign w:val="superscript"/>
              </w:rPr>
              <w:t>*</w:t>
            </w:r>
          </w:p>
        </w:tc>
        <w:tc>
          <w:tcPr>
            <w:tcW w:w="1070" w:type="dxa"/>
            <w:tcBorders>
              <w:top w:val="single" w:sz="18" w:space="0" w:color="000000"/>
              <w:left w:val="single" w:sz="8" w:space="0" w:color="000000"/>
              <w:bottom w:val="nil"/>
              <w:right w:val="single" w:sz="8" w:space="0" w:color="000000"/>
            </w:tcBorders>
            <w:shd w:val="clear" w:color="auto" w:fill="FFFFFF"/>
            <w:vAlign w:val="center"/>
            <w:hideMark/>
          </w:tcPr>
          <w:p w14:paraId="66D9964E"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44682B64"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31E70D53" w14:textId="77777777" w:rsidTr="00AD22A3">
        <w:trPr>
          <w:cantSplit/>
        </w:trPr>
        <w:tc>
          <w:tcPr>
            <w:tcW w:w="0" w:type="auto"/>
            <w:vMerge/>
            <w:tcBorders>
              <w:top w:val="single" w:sz="18" w:space="0" w:color="000000"/>
              <w:left w:val="single" w:sz="18" w:space="0" w:color="000000"/>
              <w:bottom w:val="single" w:sz="8" w:space="0" w:color="000000"/>
              <w:right w:val="nil"/>
            </w:tcBorders>
            <w:vAlign w:val="center"/>
            <w:hideMark/>
          </w:tcPr>
          <w:p w14:paraId="496599D1"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59CACBDA"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C</w:t>
            </w:r>
          </w:p>
        </w:tc>
        <w:tc>
          <w:tcPr>
            <w:tcW w:w="1469" w:type="dxa"/>
            <w:tcBorders>
              <w:top w:val="nil"/>
              <w:left w:val="single" w:sz="18" w:space="0" w:color="000000"/>
              <w:bottom w:val="nil"/>
              <w:right w:val="single" w:sz="8" w:space="0" w:color="000000"/>
            </w:tcBorders>
            <w:shd w:val="clear" w:color="auto" w:fill="FFFFFF"/>
            <w:vAlign w:val="center"/>
            <w:hideMark/>
          </w:tcPr>
          <w:p w14:paraId="53FB5DBC"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33.8489</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6D47D295"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77667D6F"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283C1F0B" w14:textId="77777777" w:rsidTr="00AD22A3">
        <w:trPr>
          <w:cantSplit/>
        </w:trPr>
        <w:tc>
          <w:tcPr>
            <w:tcW w:w="0" w:type="auto"/>
            <w:vMerge/>
            <w:tcBorders>
              <w:top w:val="single" w:sz="18" w:space="0" w:color="000000"/>
              <w:left w:val="single" w:sz="18" w:space="0" w:color="000000"/>
              <w:bottom w:val="single" w:sz="8" w:space="0" w:color="000000"/>
              <w:right w:val="nil"/>
            </w:tcBorders>
            <w:vAlign w:val="center"/>
            <w:hideMark/>
          </w:tcPr>
          <w:p w14:paraId="07F708B1"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2B15121E"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D</w:t>
            </w:r>
          </w:p>
        </w:tc>
        <w:tc>
          <w:tcPr>
            <w:tcW w:w="1469" w:type="dxa"/>
            <w:tcBorders>
              <w:top w:val="nil"/>
              <w:left w:val="single" w:sz="18" w:space="0" w:color="000000"/>
              <w:bottom w:val="nil"/>
              <w:right w:val="single" w:sz="8" w:space="0" w:color="000000"/>
            </w:tcBorders>
            <w:shd w:val="clear" w:color="auto" w:fill="FFFFFF"/>
            <w:vAlign w:val="center"/>
            <w:hideMark/>
          </w:tcPr>
          <w:p w14:paraId="6264DBFE"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26.8322</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525889F8"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29B1E21C"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659A602C" w14:textId="77777777" w:rsidTr="00AD22A3">
        <w:trPr>
          <w:cantSplit/>
        </w:trPr>
        <w:tc>
          <w:tcPr>
            <w:tcW w:w="0" w:type="auto"/>
            <w:vMerge/>
            <w:tcBorders>
              <w:top w:val="single" w:sz="18" w:space="0" w:color="000000"/>
              <w:left w:val="single" w:sz="18" w:space="0" w:color="000000"/>
              <w:bottom w:val="single" w:sz="8" w:space="0" w:color="000000"/>
              <w:right w:val="nil"/>
            </w:tcBorders>
            <w:vAlign w:val="center"/>
            <w:hideMark/>
          </w:tcPr>
          <w:p w14:paraId="257FBECA"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single" w:sz="8" w:space="0" w:color="000000"/>
              <w:right w:val="single" w:sz="18" w:space="0" w:color="000000"/>
            </w:tcBorders>
            <w:shd w:val="clear" w:color="auto" w:fill="FFFFFF"/>
            <w:hideMark/>
          </w:tcPr>
          <w:p w14:paraId="30C72466"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E</w:t>
            </w:r>
          </w:p>
        </w:tc>
        <w:tc>
          <w:tcPr>
            <w:tcW w:w="1469" w:type="dxa"/>
            <w:tcBorders>
              <w:top w:val="nil"/>
              <w:left w:val="single" w:sz="18" w:space="0" w:color="000000"/>
              <w:bottom w:val="single" w:sz="8" w:space="0" w:color="000000"/>
              <w:right w:val="single" w:sz="8" w:space="0" w:color="000000"/>
            </w:tcBorders>
            <w:shd w:val="clear" w:color="auto" w:fill="FFFFFF"/>
            <w:vAlign w:val="center"/>
            <w:hideMark/>
          </w:tcPr>
          <w:p w14:paraId="62CC2ECD"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9.4022</w:t>
            </w:r>
            <w:r w:rsidRPr="007A1C4F">
              <w:rPr>
                <w:rFonts w:ascii="Arial" w:hAnsi="Arial" w:cs="Arial"/>
                <w:color w:val="000000"/>
                <w:vertAlign w:val="superscript"/>
              </w:rPr>
              <w:t>*</w:t>
            </w:r>
          </w:p>
        </w:tc>
        <w:tc>
          <w:tcPr>
            <w:tcW w:w="1070" w:type="dxa"/>
            <w:tcBorders>
              <w:top w:val="nil"/>
              <w:left w:val="single" w:sz="8" w:space="0" w:color="000000"/>
              <w:bottom w:val="single" w:sz="8" w:space="0" w:color="000000"/>
              <w:right w:val="single" w:sz="8" w:space="0" w:color="000000"/>
            </w:tcBorders>
            <w:shd w:val="clear" w:color="auto" w:fill="FFFFFF"/>
            <w:vAlign w:val="center"/>
            <w:hideMark/>
          </w:tcPr>
          <w:p w14:paraId="4E2C4ED4"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single" w:sz="8" w:space="0" w:color="000000"/>
              <w:right w:val="single" w:sz="8" w:space="0" w:color="000000"/>
            </w:tcBorders>
            <w:shd w:val="clear" w:color="auto" w:fill="FFFFFF"/>
            <w:vAlign w:val="center"/>
            <w:hideMark/>
          </w:tcPr>
          <w:p w14:paraId="14D90B7C"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16E277A2" w14:textId="77777777" w:rsidTr="00AD22A3">
        <w:trPr>
          <w:cantSplit/>
        </w:trPr>
        <w:tc>
          <w:tcPr>
            <w:tcW w:w="1454" w:type="dxa"/>
            <w:vMerge w:val="restart"/>
            <w:tcBorders>
              <w:top w:val="nil"/>
              <w:left w:val="single" w:sz="18" w:space="0" w:color="000000"/>
              <w:bottom w:val="single" w:sz="8" w:space="0" w:color="000000"/>
              <w:right w:val="nil"/>
            </w:tcBorders>
            <w:shd w:val="clear" w:color="auto" w:fill="FFFFFF"/>
            <w:hideMark/>
          </w:tcPr>
          <w:p w14:paraId="6E6866CD"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B</w:t>
            </w:r>
          </w:p>
        </w:tc>
        <w:tc>
          <w:tcPr>
            <w:tcW w:w="1500" w:type="dxa"/>
            <w:tcBorders>
              <w:top w:val="nil"/>
              <w:left w:val="nil"/>
              <w:bottom w:val="nil"/>
              <w:right w:val="single" w:sz="18" w:space="0" w:color="000000"/>
            </w:tcBorders>
            <w:shd w:val="clear" w:color="auto" w:fill="FFFFFF"/>
            <w:hideMark/>
          </w:tcPr>
          <w:p w14:paraId="363CB91D"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A</w:t>
            </w:r>
          </w:p>
        </w:tc>
        <w:tc>
          <w:tcPr>
            <w:tcW w:w="1469" w:type="dxa"/>
            <w:tcBorders>
              <w:top w:val="nil"/>
              <w:left w:val="single" w:sz="18" w:space="0" w:color="000000"/>
              <w:bottom w:val="nil"/>
              <w:right w:val="single" w:sz="8" w:space="0" w:color="000000"/>
            </w:tcBorders>
            <w:shd w:val="clear" w:color="auto" w:fill="FFFFFF"/>
            <w:vAlign w:val="center"/>
            <w:hideMark/>
          </w:tcPr>
          <w:p w14:paraId="52966414"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-11.1100</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6E8A253C"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44C3640F"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795D7540"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09142FB6"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667712E3"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C</w:t>
            </w:r>
          </w:p>
        </w:tc>
        <w:tc>
          <w:tcPr>
            <w:tcW w:w="1469" w:type="dxa"/>
            <w:tcBorders>
              <w:top w:val="nil"/>
              <w:left w:val="single" w:sz="18" w:space="0" w:color="000000"/>
              <w:bottom w:val="nil"/>
              <w:right w:val="single" w:sz="8" w:space="0" w:color="000000"/>
            </w:tcBorders>
            <w:shd w:val="clear" w:color="auto" w:fill="FFFFFF"/>
            <w:vAlign w:val="center"/>
            <w:hideMark/>
          </w:tcPr>
          <w:p w14:paraId="011C6A08"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22.7389</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3A1C6709"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6EA98B9A"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798CA0B2"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1167FE15"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5D8B1969"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D</w:t>
            </w:r>
          </w:p>
        </w:tc>
        <w:tc>
          <w:tcPr>
            <w:tcW w:w="1469" w:type="dxa"/>
            <w:tcBorders>
              <w:top w:val="nil"/>
              <w:left w:val="single" w:sz="18" w:space="0" w:color="000000"/>
              <w:bottom w:val="nil"/>
              <w:right w:val="single" w:sz="8" w:space="0" w:color="000000"/>
            </w:tcBorders>
            <w:shd w:val="clear" w:color="auto" w:fill="FFFFFF"/>
            <w:vAlign w:val="center"/>
            <w:hideMark/>
          </w:tcPr>
          <w:p w14:paraId="3C5AAA4F"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15.7222</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7D447861"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46CB1FB8"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54D1C3F6"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22FDB81D"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single" w:sz="8" w:space="0" w:color="000000"/>
              <w:right w:val="single" w:sz="18" w:space="0" w:color="000000"/>
            </w:tcBorders>
            <w:shd w:val="clear" w:color="auto" w:fill="FFFFFF"/>
            <w:hideMark/>
          </w:tcPr>
          <w:p w14:paraId="7A8CF64A"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E</w:t>
            </w:r>
          </w:p>
        </w:tc>
        <w:tc>
          <w:tcPr>
            <w:tcW w:w="1469" w:type="dxa"/>
            <w:tcBorders>
              <w:top w:val="nil"/>
              <w:left w:val="single" w:sz="18" w:space="0" w:color="000000"/>
              <w:bottom w:val="single" w:sz="8" w:space="0" w:color="000000"/>
              <w:right w:val="single" w:sz="8" w:space="0" w:color="000000"/>
            </w:tcBorders>
            <w:shd w:val="clear" w:color="auto" w:fill="FFFFFF"/>
            <w:vAlign w:val="center"/>
            <w:hideMark/>
          </w:tcPr>
          <w:p w14:paraId="0CD17936"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-1.7078</w:t>
            </w:r>
            <w:r w:rsidRPr="007A1C4F">
              <w:rPr>
                <w:rFonts w:ascii="Arial" w:hAnsi="Arial" w:cs="Arial"/>
                <w:color w:val="000000"/>
                <w:vertAlign w:val="superscript"/>
              </w:rPr>
              <w:t>*</w:t>
            </w:r>
          </w:p>
        </w:tc>
        <w:tc>
          <w:tcPr>
            <w:tcW w:w="1070" w:type="dxa"/>
            <w:tcBorders>
              <w:top w:val="nil"/>
              <w:left w:val="single" w:sz="8" w:space="0" w:color="000000"/>
              <w:bottom w:val="single" w:sz="8" w:space="0" w:color="000000"/>
              <w:right w:val="single" w:sz="8" w:space="0" w:color="000000"/>
            </w:tcBorders>
            <w:shd w:val="clear" w:color="auto" w:fill="FFFFFF"/>
            <w:vAlign w:val="center"/>
            <w:hideMark/>
          </w:tcPr>
          <w:p w14:paraId="5B23B7B3"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single" w:sz="8" w:space="0" w:color="000000"/>
              <w:right w:val="single" w:sz="8" w:space="0" w:color="000000"/>
            </w:tcBorders>
            <w:shd w:val="clear" w:color="auto" w:fill="FFFFFF"/>
            <w:vAlign w:val="center"/>
            <w:hideMark/>
          </w:tcPr>
          <w:p w14:paraId="044B38E1"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.002</w:t>
            </w:r>
          </w:p>
        </w:tc>
      </w:tr>
      <w:tr w:rsidR="006B7B70" w:rsidRPr="007A1C4F" w14:paraId="71512A07" w14:textId="77777777" w:rsidTr="00AD22A3">
        <w:trPr>
          <w:cantSplit/>
        </w:trPr>
        <w:tc>
          <w:tcPr>
            <w:tcW w:w="1454" w:type="dxa"/>
            <w:vMerge w:val="restart"/>
            <w:tcBorders>
              <w:top w:val="nil"/>
              <w:left w:val="single" w:sz="18" w:space="0" w:color="000000"/>
              <w:bottom w:val="single" w:sz="8" w:space="0" w:color="000000"/>
              <w:right w:val="nil"/>
            </w:tcBorders>
            <w:shd w:val="clear" w:color="auto" w:fill="FFFFFF"/>
            <w:hideMark/>
          </w:tcPr>
          <w:p w14:paraId="0E57A55D"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C</w:t>
            </w:r>
          </w:p>
        </w:tc>
        <w:tc>
          <w:tcPr>
            <w:tcW w:w="1500" w:type="dxa"/>
            <w:tcBorders>
              <w:top w:val="nil"/>
              <w:left w:val="nil"/>
              <w:bottom w:val="nil"/>
              <w:right w:val="single" w:sz="18" w:space="0" w:color="000000"/>
            </w:tcBorders>
            <w:shd w:val="clear" w:color="auto" w:fill="FFFFFF"/>
            <w:hideMark/>
          </w:tcPr>
          <w:p w14:paraId="536F90F7"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A</w:t>
            </w:r>
          </w:p>
        </w:tc>
        <w:tc>
          <w:tcPr>
            <w:tcW w:w="1469" w:type="dxa"/>
            <w:tcBorders>
              <w:top w:val="nil"/>
              <w:left w:val="single" w:sz="18" w:space="0" w:color="000000"/>
              <w:bottom w:val="nil"/>
              <w:right w:val="single" w:sz="8" w:space="0" w:color="000000"/>
            </w:tcBorders>
            <w:shd w:val="clear" w:color="auto" w:fill="FFFFFF"/>
            <w:vAlign w:val="center"/>
            <w:hideMark/>
          </w:tcPr>
          <w:p w14:paraId="7A1925B3"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-33.8489</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31C8394B"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694AB00F"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00C7EB58"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51C6550A"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40B93C45"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B</w:t>
            </w:r>
          </w:p>
        </w:tc>
        <w:tc>
          <w:tcPr>
            <w:tcW w:w="1469" w:type="dxa"/>
            <w:tcBorders>
              <w:top w:val="nil"/>
              <w:left w:val="single" w:sz="18" w:space="0" w:color="000000"/>
              <w:bottom w:val="nil"/>
              <w:right w:val="single" w:sz="8" w:space="0" w:color="000000"/>
            </w:tcBorders>
            <w:shd w:val="clear" w:color="auto" w:fill="FFFFFF"/>
            <w:vAlign w:val="center"/>
            <w:hideMark/>
          </w:tcPr>
          <w:p w14:paraId="1D4A0287"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-22.7389</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3B4FB841"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7C5C6CD4"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58910897"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109C38DB"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543DF1A4"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D</w:t>
            </w:r>
          </w:p>
        </w:tc>
        <w:tc>
          <w:tcPr>
            <w:tcW w:w="1469" w:type="dxa"/>
            <w:tcBorders>
              <w:top w:val="nil"/>
              <w:left w:val="single" w:sz="18" w:space="0" w:color="000000"/>
              <w:bottom w:val="nil"/>
              <w:right w:val="single" w:sz="8" w:space="0" w:color="000000"/>
            </w:tcBorders>
            <w:shd w:val="clear" w:color="auto" w:fill="FFFFFF"/>
            <w:vAlign w:val="center"/>
            <w:hideMark/>
          </w:tcPr>
          <w:p w14:paraId="676BFBE0"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-7.0167</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34AABA0F"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14B0AAB1"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37CCA918"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4F035CD9"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single" w:sz="8" w:space="0" w:color="000000"/>
              <w:right w:val="single" w:sz="18" w:space="0" w:color="000000"/>
            </w:tcBorders>
            <w:shd w:val="clear" w:color="auto" w:fill="FFFFFF"/>
            <w:hideMark/>
          </w:tcPr>
          <w:p w14:paraId="4F0DE26C"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E</w:t>
            </w:r>
          </w:p>
        </w:tc>
        <w:tc>
          <w:tcPr>
            <w:tcW w:w="1469" w:type="dxa"/>
            <w:tcBorders>
              <w:top w:val="nil"/>
              <w:left w:val="single" w:sz="18" w:space="0" w:color="000000"/>
              <w:bottom w:val="single" w:sz="8" w:space="0" w:color="000000"/>
              <w:right w:val="single" w:sz="8" w:space="0" w:color="000000"/>
            </w:tcBorders>
            <w:shd w:val="clear" w:color="auto" w:fill="FFFFFF"/>
            <w:vAlign w:val="center"/>
            <w:hideMark/>
          </w:tcPr>
          <w:p w14:paraId="62B43128"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-24.4467</w:t>
            </w:r>
            <w:r w:rsidRPr="007A1C4F">
              <w:rPr>
                <w:rFonts w:ascii="Arial" w:hAnsi="Arial" w:cs="Arial"/>
                <w:color w:val="000000"/>
                <w:vertAlign w:val="superscript"/>
              </w:rPr>
              <w:t>*</w:t>
            </w:r>
          </w:p>
        </w:tc>
        <w:tc>
          <w:tcPr>
            <w:tcW w:w="1070" w:type="dxa"/>
            <w:tcBorders>
              <w:top w:val="nil"/>
              <w:left w:val="single" w:sz="8" w:space="0" w:color="000000"/>
              <w:bottom w:val="single" w:sz="8" w:space="0" w:color="000000"/>
              <w:right w:val="single" w:sz="8" w:space="0" w:color="000000"/>
            </w:tcBorders>
            <w:shd w:val="clear" w:color="auto" w:fill="FFFFFF"/>
            <w:vAlign w:val="center"/>
            <w:hideMark/>
          </w:tcPr>
          <w:p w14:paraId="35CEC943"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single" w:sz="8" w:space="0" w:color="000000"/>
              <w:right w:val="single" w:sz="8" w:space="0" w:color="000000"/>
            </w:tcBorders>
            <w:shd w:val="clear" w:color="auto" w:fill="FFFFFF"/>
            <w:vAlign w:val="center"/>
            <w:hideMark/>
          </w:tcPr>
          <w:p w14:paraId="590BE13C"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3561E655" w14:textId="77777777" w:rsidTr="00AD22A3">
        <w:trPr>
          <w:cantSplit/>
        </w:trPr>
        <w:tc>
          <w:tcPr>
            <w:tcW w:w="1454" w:type="dxa"/>
            <w:vMerge w:val="restart"/>
            <w:tcBorders>
              <w:top w:val="nil"/>
              <w:left w:val="single" w:sz="18" w:space="0" w:color="000000"/>
              <w:bottom w:val="single" w:sz="8" w:space="0" w:color="000000"/>
              <w:right w:val="nil"/>
            </w:tcBorders>
            <w:shd w:val="clear" w:color="auto" w:fill="FFFFFF"/>
            <w:hideMark/>
          </w:tcPr>
          <w:p w14:paraId="417FBF95"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D</w:t>
            </w:r>
          </w:p>
        </w:tc>
        <w:tc>
          <w:tcPr>
            <w:tcW w:w="1500" w:type="dxa"/>
            <w:tcBorders>
              <w:top w:val="nil"/>
              <w:left w:val="nil"/>
              <w:bottom w:val="nil"/>
              <w:right w:val="single" w:sz="18" w:space="0" w:color="000000"/>
            </w:tcBorders>
            <w:shd w:val="clear" w:color="auto" w:fill="FFFFFF"/>
            <w:hideMark/>
          </w:tcPr>
          <w:p w14:paraId="5CE58401"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A</w:t>
            </w:r>
          </w:p>
        </w:tc>
        <w:tc>
          <w:tcPr>
            <w:tcW w:w="1469" w:type="dxa"/>
            <w:tcBorders>
              <w:top w:val="nil"/>
              <w:left w:val="single" w:sz="18" w:space="0" w:color="000000"/>
              <w:bottom w:val="nil"/>
              <w:right w:val="single" w:sz="8" w:space="0" w:color="000000"/>
            </w:tcBorders>
            <w:shd w:val="clear" w:color="auto" w:fill="FFFFFF"/>
            <w:vAlign w:val="center"/>
            <w:hideMark/>
          </w:tcPr>
          <w:p w14:paraId="6C060223"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-26.8322</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3D8CE882"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61C09D5D"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3CF4027E"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07CE13CA"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07D9D5BF"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B</w:t>
            </w:r>
          </w:p>
        </w:tc>
        <w:tc>
          <w:tcPr>
            <w:tcW w:w="1469" w:type="dxa"/>
            <w:tcBorders>
              <w:top w:val="nil"/>
              <w:left w:val="single" w:sz="18" w:space="0" w:color="000000"/>
              <w:bottom w:val="nil"/>
              <w:right w:val="single" w:sz="8" w:space="0" w:color="000000"/>
            </w:tcBorders>
            <w:shd w:val="clear" w:color="auto" w:fill="FFFFFF"/>
            <w:vAlign w:val="center"/>
            <w:hideMark/>
          </w:tcPr>
          <w:p w14:paraId="4AE9BE0D"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-15.7222</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042CE55F"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49682F86"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6DA2A0A5"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78107B4E"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2B574FE1"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C</w:t>
            </w:r>
          </w:p>
        </w:tc>
        <w:tc>
          <w:tcPr>
            <w:tcW w:w="1469" w:type="dxa"/>
            <w:tcBorders>
              <w:top w:val="nil"/>
              <w:left w:val="single" w:sz="18" w:space="0" w:color="000000"/>
              <w:bottom w:val="nil"/>
              <w:right w:val="single" w:sz="8" w:space="0" w:color="000000"/>
            </w:tcBorders>
            <w:shd w:val="clear" w:color="auto" w:fill="FFFFFF"/>
            <w:vAlign w:val="center"/>
            <w:hideMark/>
          </w:tcPr>
          <w:p w14:paraId="4FA03DFC"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7.0167</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5176BED1"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538342B3"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40891E6C"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12F9CF0F"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single" w:sz="8" w:space="0" w:color="000000"/>
              <w:right w:val="single" w:sz="18" w:space="0" w:color="000000"/>
            </w:tcBorders>
            <w:shd w:val="clear" w:color="auto" w:fill="FFFFFF"/>
            <w:hideMark/>
          </w:tcPr>
          <w:p w14:paraId="14892255"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E</w:t>
            </w:r>
          </w:p>
        </w:tc>
        <w:tc>
          <w:tcPr>
            <w:tcW w:w="1469" w:type="dxa"/>
            <w:tcBorders>
              <w:top w:val="nil"/>
              <w:left w:val="single" w:sz="18" w:space="0" w:color="000000"/>
              <w:bottom w:val="single" w:sz="8" w:space="0" w:color="000000"/>
              <w:right w:val="single" w:sz="8" w:space="0" w:color="000000"/>
            </w:tcBorders>
            <w:shd w:val="clear" w:color="auto" w:fill="FFFFFF"/>
            <w:vAlign w:val="center"/>
            <w:hideMark/>
          </w:tcPr>
          <w:p w14:paraId="6BF6CCFA"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-17.4300</w:t>
            </w:r>
            <w:r w:rsidRPr="007A1C4F">
              <w:rPr>
                <w:rFonts w:ascii="Arial" w:hAnsi="Arial" w:cs="Arial"/>
                <w:color w:val="000000"/>
                <w:vertAlign w:val="superscript"/>
              </w:rPr>
              <w:t>*</w:t>
            </w:r>
          </w:p>
        </w:tc>
        <w:tc>
          <w:tcPr>
            <w:tcW w:w="1070" w:type="dxa"/>
            <w:tcBorders>
              <w:top w:val="nil"/>
              <w:left w:val="single" w:sz="8" w:space="0" w:color="000000"/>
              <w:bottom w:val="single" w:sz="8" w:space="0" w:color="000000"/>
              <w:right w:val="single" w:sz="8" w:space="0" w:color="000000"/>
            </w:tcBorders>
            <w:shd w:val="clear" w:color="auto" w:fill="FFFFFF"/>
            <w:vAlign w:val="center"/>
            <w:hideMark/>
          </w:tcPr>
          <w:p w14:paraId="76227233"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single" w:sz="8" w:space="0" w:color="000000"/>
              <w:right w:val="single" w:sz="8" w:space="0" w:color="000000"/>
            </w:tcBorders>
            <w:shd w:val="clear" w:color="auto" w:fill="FFFFFF"/>
            <w:vAlign w:val="center"/>
            <w:hideMark/>
          </w:tcPr>
          <w:p w14:paraId="22841793"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541F8CD3" w14:textId="77777777" w:rsidTr="00AD22A3">
        <w:trPr>
          <w:cantSplit/>
        </w:trPr>
        <w:tc>
          <w:tcPr>
            <w:tcW w:w="1454" w:type="dxa"/>
            <w:vMerge w:val="restart"/>
            <w:tcBorders>
              <w:top w:val="nil"/>
              <w:left w:val="single" w:sz="18" w:space="0" w:color="000000"/>
              <w:bottom w:val="single" w:sz="18" w:space="0" w:color="000000"/>
              <w:right w:val="nil"/>
            </w:tcBorders>
            <w:shd w:val="clear" w:color="auto" w:fill="FFFFFF"/>
            <w:hideMark/>
          </w:tcPr>
          <w:p w14:paraId="6760DBAA"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E</w:t>
            </w:r>
          </w:p>
        </w:tc>
        <w:tc>
          <w:tcPr>
            <w:tcW w:w="1500" w:type="dxa"/>
            <w:tcBorders>
              <w:top w:val="nil"/>
              <w:left w:val="nil"/>
              <w:bottom w:val="nil"/>
              <w:right w:val="single" w:sz="18" w:space="0" w:color="000000"/>
            </w:tcBorders>
            <w:shd w:val="clear" w:color="auto" w:fill="FFFFFF"/>
            <w:hideMark/>
          </w:tcPr>
          <w:p w14:paraId="09D7FF13"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A</w:t>
            </w:r>
          </w:p>
        </w:tc>
        <w:tc>
          <w:tcPr>
            <w:tcW w:w="1469" w:type="dxa"/>
            <w:tcBorders>
              <w:top w:val="nil"/>
              <w:left w:val="single" w:sz="18" w:space="0" w:color="000000"/>
              <w:bottom w:val="nil"/>
              <w:right w:val="single" w:sz="8" w:space="0" w:color="000000"/>
            </w:tcBorders>
            <w:shd w:val="clear" w:color="auto" w:fill="FFFFFF"/>
            <w:vAlign w:val="center"/>
            <w:hideMark/>
          </w:tcPr>
          <w:p w14:paraId="3E61281C"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-9.4022</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304C9A75"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05CE3DA5"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6C56A34F" w14:textId="77777777" w:rsidTr="00AD22A3">
        <w:trPr>
          <w:cantSplit/>
        </w:trPr>
        <w:tc>
          <w:tcPr>
            <w:tcW w:w="0" w:type="auto"/>
            <w:vMerge/>
            <w:tcBorders>
              <w:top w:val="nil"/>
              <w:left w:val="single" w:sz="18" w:space="0" w:color="000000"/>
              <w:bottom w:val="single" w:sz="18" w:space="0" w:color="000000"/>
              <w:right w:val="nil"/>
            </w:tcBorders>
            <w:vAlign w:val="center"/>
            <w:hideMark/>
          </w:tcPr>
          <w:p w14:paraId="596A6918"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624EB3E1"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B</w:t>
            </w:r>
          </w:p>
        </w:tc>
        <w:tc>
          <w:tcPr>
            <w:tcW w:w="1469" w:type="dxa"/>
            <w:tcBorders>
              <w:top w:val="nil"/>
              <w:left w:val="single" w:sz="18" w:space="0" w:color="000000"/>
              <w:bottom w:val="nil"/>
              <w:right w:val="single" w:sz="8" w:space="0" w:color="000000"/>
            </w:tcBorders>
            <w:shd w:val="clear" w:color="auto" w:fill="FFFFFF"/>
            <w:vAlign w:val="center"/>
            <w:hideMark/>
          </w:tcPr>
          <w:p w14:paraId="0057A9BD"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1.7078</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3E1779D3"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25A9560B"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.002</w:t>
            </w:r>
          </w:p>
        </w:tc>
      </w:tr>
      <w:tr w:rsidR="006B7B70" w:rsidRPr="007A1C4F" w14:paraId="3005BB78" w14:textId="77777777" w:rsidTr="00AD22A3">
        <w:trPr>
          <w:cantSplit/>
        </w:trPr>
        <w:tc>
          <w:tcPr>
            <w:tcW w:w="0" w:type="auto"/>
            <w:vMerge/>
            <w:tcBorders>
              <w:top w:val="nil"/>
              <w:left w:val="single" w:sz="18" w:space="0" w:color="000000"/>
              <w:bottom w:val="single" w:sz="18" w:space="0" w:color="000000"/>
              <w:right w:val="nil"/>
            </w:tcBorders>
            <w:vAlign w:val="center"/>
            <w:hideMark/>
          </w:tcPr>
          <w:p w14:paraId="52C3FA32"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43622A9A"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C</w:t>
            </w:r>
          </w:p>
        </w:tc>
        <w:tc>
          <w:tcPr>
            <w:tcW w:w="1469" w:type="dxa"/>
            <w:tcBorders>
              <w:top w:val="nil"/>
              <w:left w:val="single" w:sz="18" w:space="0" w:color="000000"/>
              <w:bottom w:val="nil"/>
              <w:right w:val="single" w:sz="8" w:space="0" w:color="000000"/>
            </w:tcBorders>
            <w:shd w:val="clear" w:color="auto" w:fill="FFFFFF"/>
            <w:vAlign w:val="center"/>
            <w:hideMark/>
          </w:tcPr>
          <w:p w14:paraId="28093901"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24.4467</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04DC93CA"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1D1E573F"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0EF8404D" w14:textId="77777777" w:rsidTr="00AD22A3">
        <w:trPr>
          <w:cantSplit/>
        </w:trPr>
        <w:tc>
          <w:tcPr>
            <w:tcW w:w="0" w:type="auto"/>
            <w:vMerge/>
            <w:tcBorders>
              <w:top w:val="nil"/>
              <w:left w:val="single" w:sz="18" w:space="0" w:color="000000"/>
              <w:bottom w:val="single" w:sz="18" w:space="0" w:color="000000"/>
              <w:right w:val="nil"/>
            </w:tcBorders>
            <w:vAlign w:val="center"/>
            <w:hideMark/>
          </w:tcPr>
          <w:p w14:paraId="66F5AB2E"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single" w:sz="18" w:space="0" w:color="000000"/>
              <w:right w:val="single" w:sz="18" w:space="0" w:color="000000"/>
            </w:tcBorders>
            <w:shd w:val="clear" w:color="auto" w:fill="FFFFFF"/>
            <w:hideMark/>
          </w:tcPr>
          <w:p w14:paraId="79B4F393"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D</w:t>
            </w:r>
          </w:p>
        </w:tc>
        <w:tc>
          <w:tcPr>
            <w:tcW w:w="1469" w:type="dxa"/>
            <w:tcBorders>
              <w:top w:val="nil"/>
              <w:left w:val="single" w:sz="18" w:space="0" w:color="000000"/>
              <w:bottom w:val="single" w:sz="18" w:space="0" w:color="000000"/>
              <w:right w:val="single" w:sz="8" w:space="0" w:color="000000"/>
            </w:tcBorders>
            <w:shd w:val="clear" w:color="auto" w:fill="FFFFFF"/>
            <w:vAlign w:val="center"/>
            <w:hideMark/>
          </w:tcPr>
          <w:p w14:paraId="2DF155E0"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17.4300</w:t>
            </w:r>
            <w:r w:rsidRPr="007A1C4F">
              <w:rPr>
                <w:rFonts w:ascii="Arial" w:hAnsi="Arial" w:cs="Arial"/>
                <w:color w:val="000000"/>
                <w:vertAlign w:val="superscript"/>
              </w:rPr>
              <w:t>*</w:t>
            </w:r>
          </w:p>
        </w:tc>
        <w:tc>
          <w:tcPr>
            <w:tcW w:w="1070" w:type="dxa"/>
            <w:tcBorders>
              <w:top w:val="nil"/>
              <w:left w:val="single" w:sz="8" w:space="0" w:color="000000"/>
              <w:bottom w:val="single" w:sz="18" w:space="0" w:color="000000"/>
              <w:right w:val="single" w:sz="8" w:space="0" w:color="000000"/>
            </w:tcBorders>
            <w:shd w:val="clear" w:color="auto" w:fill="FFFFFF"/>
            <w:vAlign w:val="center"/>
            <w:hideMark/>
          </w:tcPr>
          <w:p w14:paraId="1E783570"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04A6D2F9"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bl>
    <w:p w14:paraId="0C38C585" w14:textId="2E0A234A" w:rsidR="00FD5BE4" w:rsidRDefault="007452EC" w:rsidP="00FD5BE4">
      <w:pPr>
        <w:jc w:val="both"/>
        <w:rPr>
          <w:rFonts w:ascii="Arial" w:hAnsi="Arial" w:cs="Arial"/>
        </w:rPr>
      </w:pPr>
      <w:r w:rsidRPr="007A1C4F">
        <w:rPr>
          <w:rFonts w:ascii="Arial" w:hAnsi="Arial" w:cs="Arial"/>
        </w:rPr>
        <w:t>Values are significant at (p &lt; 0.05).</w:t>
      </w:r>
    </w:p>
    <w:p w14:paraId="6FB167AF" w14:textId="77777777" w:rsidR="008C0C5B" w:rsidRDefault="008C0C5B" w:rsidP="00FD5BE4">
      <w:pPr>
        <w:jc w:val="both"/>
        <w:rPr>
          <w:rFonts w:ascii="Arial" w:hAnsi="Arial" w:cs="Arial"/>
        </w:rPr>
      </w:pPr>
    </w:p>
    <w:p w14:paraId="5AE35BA8" w14:textId="41231CFE" w:rsidR="00586CF2" w:rsidRPr="001A49A1" w:rsidRDefault="00D73B84" w:rsidP="001A49A1">
      <w:pPr>
        <w:jc w:val="both"/>
        <w:rPr>
          <w:rFonts w:ascii="Arial" w:hAnsi="Arial" w:cs="Arial"/>
        </w:rPr>
      </w:pPr>
      <w:r w:rsidRPr="007A1C4F">
        <w:rPr>
          <w:rFonts w:ascii="Arial" w:hAnsi="Arial" w:cs="Arial"/>
          <w:noProof/>
        </w:rPr>
        <w:drawing>
          <wp:inline distT="0" distB="0" distL="0" distR="0" wp14:anchorId="41175E35" wp14:editId="67109753">
            <wp:extent cx="4943475" cy="279590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3971D8" w14:textId="77777777" w:rsidR="00D73B84" w:rsidRDefault="00D73B84" w:rsidP="00586CF2">
      <w:pPr>
        <w:rPr>
          <w:rFonts w:ascii="Arial" w:hAnsi="Arial" w:cs="Arial"/>
          <w:bCs/>
        </w:rPr>
      </w:pPr>
    </w:p>
    <w:p w14:paraId="273C4D4E" w14:textId="4E172A00" w:rsidR="00586CF2" w:rsidRPr="00586CF2" w:rsidRDefault="00D73B84" w:rsidP="00586CF2">
      <w:pPr>
        <w:rPr>
          <w:rFonts w:ascii="Arial" w:hAnsi="Arial" w:cs="Arial"/>
          <w:bCs/>
        </w:rPr>
      </w:pPr>
      <w:r>
        <w:rPr>
          <w:rFonts w:ascii="Arial" w:hAnsi="Arial" w:cs="Arial"/>
          <w:bCs/>
        </w:rPr>
        <w:t>Figure 1: Effect of</w:t>
      </w:r>
      <w:r w:rsidR="00586CF2" w:rsidRPr="00586CF2">
        <w:rPr>
          <w:rFonts w:ascii="Arial" w:hAnsi="Arial" w:cs="Arial"/>
          <w:bCs/>
        </w:rPr>
        <w:t xml:space="preserve"> extract of </w:t>
      </w:r>
      <w:r>
        <w:rPr>
          <w:rFonts w:ascii="Arial" w:hAnsi="Arial" w:cs="Arial"/>
          <w:bCs/>
          <w:i/>
        </w:rPr>
        <w:t xml:space="preserve">cowpea </w:t>
      </w:r>
      <w:r w:rsidRPr="006E5AB9">
        <w:rPr>
          <w:rFonts w:ascii="Arial" w:hAnsi="Arial" w:cs="Arial"/>
          <w:bCs/>
        </w:rPr>
        <w:t>across the groups</w:t>
      </w:r>
      <w:r w:rsidR="006E5AB9">
        <w:rPr>
          <w:rFonts w:ascii="Arial" w:hAnsi="Arial" w:cs="Arial"/>
          <w:bCs/>
        </w:rPr>
        <w:t xml:space="preserve"> following lead</w:t>
      </w:r>
      <w:r w:rsidR="00586CF2" w:rsidRPr="00586CF2">
        <w:rPr>
          <w:rFonts w:ascii="Arial" w:hAnsi="Arial" w:cs="Arial"/>
          <w:bCs/>
        </w:rPr>
        <w:t xml:space="preserve"> exposure </w:t>
      </w:r>
    </w:p>
    <w:p w14:paraId="76E7A9D7" w14:textId="5A8DF9D1" w:rsidR="00586CF2" w:rsidRDefault="00586CF2" w:rsidP="00586CF2">
      <w:pPr>
        <w:jc w:val="both"/>
        <w:rPr>
          <w:rFonts w:ascii="Arial" w:hAnsi="Arial" w:cs="Arial"/>
        </w:rPr>
      </w:pPr>
    </w:p>
    <w:p w14:paraId="016FFDA4" w14:textId="4E7D5AA6" w:rsidR="00D17CBE" w:rsidRDefault="008C0C5B" w:rsidP="00586CF2">
      <w:pPr>
        <w:jc w:val="both"/>
        <w:rPr>
          <w:rFonts w:ascii="Arial" w:hAnsi="Arial" w:cs="Arial"/>
        </w:rPr>
      </w:pPr>
      <w:r>
        <w:rPr>
          <w:noProof/>
        </w:rPr>
        <w:drawing>
          <wp:inline distT="0" distB="0" distL="0" distR="0" wp14:anchorId="5B6CB2C7" wp14:editId="122158EC">
            <wp:extent cx="2428875" cy="2095500"/>
            <wp:effectExtent l="0" t="0" r="0" b="0"/>
            <wp:docPr id="3" name="Image1"/>
            <wp:cNvGraphicFramePr/>
            <a:graphic xmlns:a="http://schemas.openxmlformats.org/drawingml/2006/main">
              <a:graphicData uri="http://schemas.openxmlformats.org/drawingml/2006/picture">
                <pic:pic xmlns:pic="http://schemas.openxmlformats.org/drawingml/2006/picture">
                  <pic:nvPicPr>
                    <pic:cNvPr id="1033" name="Image1"/>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2428875" cy="2095500"/>
                    </a:xfrm>
                    <a:prstGeom prst="rect">
                      <a:avLst/>
                    </a:prstGeom>
                  </pic:spPr>
                </pic:pic>
              </a:graphicData>
            </a:graphic>
          </wp:inline>
        </w:drawing>
      </w:r>
      <w:r w:rsidRPr="008C0C5B">
        <w:rPr>
          <w:noProof/>
        </w:rPr>
        <w:t xml:space="preserve"> </w:t>
      </w:r>
      <w:r>
        <w:rPr>
          <w:noProof/>
        </w:rPr>
        <w:drawing>
          <wp:inline distT="0" distB="0" distL="0" distR="0" wp14:anchorId="60331DB4" wp14:editId="04D9BA91">
            <wp:extent cx="2724150" cy="2076450"/>
            <wp:effectExtent l="0" t="0" r="0" b="0"/>
            <wp:docPr id="4" name="Image1"/>
            <wp:cNvGraphicFramePr/>
            <a:graphic xmlns:a="http://schemas.openxmlformats.org/drawingml/2006/main">
              <a:graphicData uri="http://schemas.openxmlformats.org/drawingml/2006/picture">
                <pic:pic xmlns:pic="http://schemas.openxmlformats.org/drawingml/2006/picture">
                  <pic:nvPicPr>
                    <pic:cNvPr id="1034" name="Image1"/>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2724150" cy="2076450"/>
                    </a:xfrm>
                    <a:prstGeom prst="rect">
                      <a:avLst/>
                    </a:prstGeom>
                  </pic:spPr>
                </pic:pic>
              </a:graphicData>
            </a:graphic>
          </wp:inline>
        </w:drawing>
      </w:r>
    </w:p>
    <w:p w14:paraId="6966C07F" w14:textId="1E1D4C64" w:rsidR="00D17CBE" w:rsidRDefault="00D17CBE" w:rsidP="00D17CBE">
      <w:pPr>
        <w:pStyle w:val="ListParagraph"/>
        <w:numPr>
          <w:ilvl w:val="0"/>
          <w:numId w:val="33"/>
        </w:numPr>
        <w:jc w:val="both"/>
        <w:rPr>
          <w:rFonts w:ascii="Arial" w:hAnsi="Arial" w:cs="Arial"/>
        </w:rPr>
      </w:pPr>
      <w:r>
        <w:rPr>
          <w:rFonts w:ascii="Arial" w:hAnsi="Arial" w:cs="Arial"/>
        </w:rPr>
        <w:t xml:space="preserve">                                                                   (B)</w:t>
      </w:r>
    </w:p>
    <w:p w14:paraId="65085EAF" w14:textId="2BB03825" w:rsidR="00D17CBE" w:rsidRPr="00D17CBE" w:rsidRDefault="008C0C5B" w:rsidP="00D17CBE">
      <w:pPr>
        <w:jc w:val="both"/>
        <w:rPr>
          <w:rFonts w:ascii="Arial" w:hAnsi="Arial" w:cs="Arial"/>
        </w:rPr>
      </w:pPr>
      <w:r>
        <w:rPr>
          <w:noProof/>
        </w:rPr>
        <w:drawing>
          <wp:inline distT="0" distB="0" distL="0" distR="0" wp14:anchorId="1A5E5A63" wp14:editId="45B3574A">
            <wp:extent cx="2400300" cy="2190750"/>
            <wp:effectExtent l="0" t="0" r="0" b="0"/>
            <wp:docPr id="1035" name="Image1"/>
            <wp:cNvGraphicFramePr/>
            <a:graphic xmlns:a="http://schemas.openxmlformats.org/drawingml/2006/main">
              <a:graphicData uri="http://schemas.openxmlformats.org/drawingml/2006/picture">
                <pic:pic xmlns:pic="http://schemas.openxmlformats.org/drawingml/2006/picture">
                  <pic:nvPicPr>
                    <pic:cNvPr id="1035" name="Image1"/>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2400300" cy="2190750"/>
                    </a:xfrm>
                    <a:prstGeom prst="rect">
                      <a:avLst/>
                    </a:prstGeom>
                  </pic:spPr>
                </pic:pic>
              </a:graphicData>
            </a:graphic>
          </wp:inline>
        </w:drawing>
      </w:r>
      <w:r w:rsidRPr="008C0C5B">
        <w:rPr>
          <w:noProof/>
        </w:rPr>
        <w:t xml:space="preserve"> </w:t>
      </w:r>
      <w:r>
        <w:rPr>
          <w:noProof/>
        </w:rPr>
        <w:drawing>
          <wp:inline distT="0" distB="0" distL="0" distR="0" wp14:anchorId="1991E229" wp14:editId="75A49E9A">
            <wp:extent cx="2695575" cy="2190750"/>
            <wp:effectExtent l="0" t="0" r="0" b="0"/>
            <wp:docPr id="5" name="Image1"/>
            <wp:cNvGraphicFramePr/>
            <a:graphic xmlns:a="http://schemas.openxmlformats.org/drawingml/2006/main">
              <a:graphicData uri="http://schemas.openxmlformats.org/drawingml/2006/picture">
                <pic:pic xmlns:pic="http://schemas.openxmlformats.org/drawingml/2006/picture">
                  <pic:nvPicPr>
                    <pic:cNvPr id="1036" name="Image1"/>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2695575" cy="2190750"/>
                    </a:xfrm>
                    <a:prstGeom prst="rect">
                      <a:avLst/>
                    </a:prstGeom>
                  </pic:spPr>
                </pic:pic>
              </a:graphicData>
            </a:graphic>
          </wp:inline>
        </w:drawing>
      </w:r>
    </w:p>
    <w:p w14:paraId="3970539A" w14:textId="0FDD9835" w:rsidR="00D17CBE" w:rsidRPr="00993081" w:rsidRDefault="00993081" w:rsidP="00993081">
      <w:pPr>
        <w:jc w:val="both"/>
        <w:rPr>
          <w:rFonts w:ascii="Arial" w:hAnsi="Arial" w:cs="Arial"/>
        </w:rPr>
      </w:pPr>
      <w:r>
        <w:rPr>
          <w:rFonts w:ascii="Arial" w:hAnsi="Arial" w:cs="Arial"/>
        </w:rPr>
        <w:t xml:space="preserve">                         (C)</w:t>
      </w:r>
      <w:r w:rsidRPr="00993081">
        <w:rPr>
          <w:rFonts w:ascii="Arial" w:hAnsi="Arial" w:cs="Arial"/>
        </w:rPr>
        <w:t xml:space="preserve">                                                             </w:t>
      </w:r>
      <w:r>
        <w:rPr>
          <w:rFonts w:ascii="Arial" w:hAnsi="Arial" w:cs="Arial"/>
        </w:rPr>
        <w:t xml:space="preserve">      </w:t>
      </w:r>
      <w:r w:rsidRPr="00993081">
        <w:rPr>
          <w:rFonts w:ascii="Arial" w:hAnsi="Arial" w:cs="Arial"/>
        </w:rPr>
        <w:t xml:space="preserve"> </w:t>
      </w:r>
      <w:r w:rsidR="001A49A1">
        <w:rPr>
          <w:rFonts w:ascii="Arial" w:hAnsi="Arial" w:cs="Arial"/>
        </w:rPr>
        <w:t xml:space="preserve">          </w:t>
      </w:r>
      <w:r w:rsidRPr="00993081">
        <w:rPr>
          <w:rFonts w:ascii="Arial" w:hAnsi="Arial" w:cs="Arial"/>
        </w:rPr>
        <w:t>(D)</w:t>
      </w:r>
    </w:p>
    <w:p w14:paraId="0CA5CD21" w14:textId="1CCDF916" w:rsidR="00D17CBE" w:rsidRDefault="00D17CBE" w:rsidP="00586CF2">
      <w:pPr>
        <w:jc w:val="both"/>
        <w:rPr>
          <w:rFonts w:ascii="Arial" w:hAnsi="Arial" w:cs="Arial"/>
        </w:rPr>
      </w:pPr>
    </w:p>
    <w:p w14:paraId="26F02221" w14:textId="4AA11CAD" w:rsidR="00171642" w:rsidRDefault="008C0C5B" w:rsidP="00586CF2">
      <w:pPr>
        <w:jc w:val="both"/>
        <w:rPr>
          <w:rFonts w:ascii="Arial" w:hAnsi="Arial" w:cs="Arial"/>
        </w:rPr>
      </w:pPr>
      <w:r>
        <w:rPr>
          <w:noProof/>
        </w:rPr>
        <w:drawing>
          <wp:inline distT="0" distB="0" distL="0" distR="0" wp14:anchorId="21D6001A" wp14:editId="559F3A3C">
            <wp:extent cx="2390775" cy="2143125"/>
            <wp:effectExtent l="0" t="0" r="0" b="0"/>
            <wp:docPr id="6" name="Image1"/>
            <wp:cNvGraphicFramePr/>
            <a:graphic xmlns:a="http://schemas.openxmlformats.org/drawingml/2006/main">
              <a:graphicData uri="http://schemas.openxmlformats.org/drawingml/2006/picture">
                <pic:pic xmlns:pic="http://schemas.openxmlformats.org/drawingml/2006/picture">
                  <pic:nvPicPr>
                    <pic:cNvPr id="1037" name="Image1"/>
                    <pic:cNvPicPr/>
                  </pic:nvPicPr>
                  <pic:blipFill rotWithShape="1">
                    <a:blip r:embed="rId19" cstate="print">
                      <a:extLst>
                        <a:ext uri="{28A0092B-C50C-407E-A947-70E740481C1C}">
                          <a14:useLocalDpi xmlns:a14="http://schemas.microsoft.com/office/drawing/2010/main" val="0"/>
                        </a:ext>
                      </a:extLst>
                    </a:blip>
                    <a:srcRect/>
                    <a:stretch>
                      <a:fillRect/>
                    </a:stretch>
                  </pic:blipFill>
                  <pic:spPr>
                    <a:xfrm>
                      <a:off x="0" y="0"/>
                      <a:ext cx="2390775" cy="2143125"/>
                    </a:xfrm>
                    <a:prstGeom prst="rect">
                      <a:avLst/>
                    </a:prstGeom>
                  </pic:spPr>
                </pic:pic>
              </a:graphicData>
            </a:graphic>
          </wp:inline>
        </w:drawing>
      </w:r>
    </w:p>
    <w:p w14:paraId="38E7AB66" w14:textId="2D18B78F" w:rsidR="00171642" w:rsidRDefault="00171642" w:rsidP="00586CF2">
      <w:pPr>
        <w:jc w:val="both"/>
        <w:rPr>
          <w:rFonts w:ascii="Arial" w:hAnsi="Arial" w:cs="Arial"/>
        </w:rPr>
      </w:pPr>
      <w:r>
        <w:rPr>
          <w:rFonts w:ascii="Arial" w:hAnsi="Arial" w:cs="Arial"/>
        </w:rPr>
        <w:t xml:space="preserve">                              (E)</w:t>
      </w:r>
    </w:p>
    <w:p w14:paraId="2AAEB215" w14:textId="77777777" w:rsidR="00D17CBE" w:rsidRDefault="00D17CBE" w:rsidP="00586CF2">
      <w:pPr>
        <w:jc w:val="both"/>
        <w:rPr>
          <w:rFonts w:ascii="Arial" w:hAnsi="Arial" w:cs="Arial"/>
        </w:rPr>
      </w:pPr>
    </w:p>
    <w:p w14:paraId="28341644" w14:textId="3F47A12A" w:rsidR="00BB5863" w:rsidRPr="00BB5863" w:rsidRDefault="00171642" w:rsidP="00BB5863">
      <w:pPr>
        <w:rPr>
          <w:rFonts w:ascii="Arial" w:hAnsi="Arial" w:cs="Arial"/>
          <w:noProof/>
        </w:rPr>
      </w:pPr>
      <w:r w:rsidRPr="00171642">
        <w:rPr>
          <w:rFonts w:ascii="Arial" w:hAnsi="Arial" w:cs="Arial"/>
          <w:b/>
        </w:rPr>
        <w:t>Fi</w:t>
      </w:r>
      <w:r w:rsidR="00F65923">
        <w:rPr>
          <w:rFonts w:ascii="Arial" w:hAnsi="Arial" w:cs="Arial"/>
          <w:b/>
        </w:rPr>
        <w:t>g 2: Photomicrograph of the hippocampus</w:t>
      </w:r>
      <w:r w:rsidRPr="00171642">
        <w:rPr>
          <w:rFonts w:ascii="Arial" w:hAnsi="Arial" w:cs="Arial"/>
          <w:b/>
        </w:rPr>
        <w:t xml:space="preserve"> of (A) control rats</w:t>
      </w:r>
      <w:r w:rsidRPr="00171642">
        <w:rPr>
          <w:rFonts w:ascii="Arial" w:hAnsi="Arial" w:cs="Arial"/>
        </w:rPr>
        <w:t xml:space="preserve"> showing</w:t>
      </w:r>
      <w:r w:rsidR="00D122C8">
        <w:rPr>
          <w:rFonts w:ascii="Times New Roman" w:hAnsi="Times New Roman"/>
          <w:noProof/>
          <w:sz w:val="28"/>
          <w:szCs w:val="28"/>
        </w:rPr>
        <w:t xml:space="preserve"> </w:t>
      </w:r>
      <w:r w:rsidR="00D122C8" w:rsidRPr="00D122C8">
        <w:rPr>
          <w:rFonts w:ascii="Arial" w:hAnsi="Arial" w:cs="Arial"/>
          <w:noProof/>
        </w:rPr>
        <w:t>normal morphology of the hippocampus. The molecular layer (M), Pyramidal layer (Py), and the Polymorphic layer (Pm)</w:t>
      </w:r>
      <w:r w:rsidRPr="00171642">
        <w:rPr>
          <w:rFonts w:ascii="Arial" w:hAnsi="Arial" w:cs="Arial"/>
        </w:rPr>
        <w:t xml:space="preserve"> </w:t>
      </w:r>
      <w:r w:rsidRPr="00171642">
        <w:rPr>
          <w:rFonts w:ascii="Arial" w:hAnsi="Arial" w:cs="Arial"/>
          <w:b/>
        </w:rPr>
        <w:t xml:space="preserve">(B) </w:t>
      </w:r>
      <w:r w:rsidR="00204265">
        <w:rPr>
          <w:rFonts w:ascii="Arial" w:hAnsi="Arial" w:cs="Arial"/>
          <w:b/>
        </w:rPr>
        <w:t>15mg/kg of lead-acetat</w:t>
      </w:r>
      <w:r w:rsidRPr="00171642">
        <w:rPr>
          <w:rFonts w:ascii="Arial" w:hAnsi="Arial" w:cs="Arial"/>
          <w:b/>
        </w:rPr>
        <w:t>e</w:t>
      </w:r>
      <w:r w:rsidRPr="00171642">
        <w:rPr>
          <w:rFonts w:ascii="Arial" w:hAnsi="Arial" w:cs="Arial"/>
        </w:rPr>
        <w:t xml:space="preserve"> </w:t>
      </w:r>
      <w:r w:rsidR="00BB5863" w:rsidRPr="00BB5863">
        <w:rPr>
          <w:rFonts w:ascii="Arial" w:hAnsi="Arial" w:cs="Arial"/>
          <w:noProof/>
        </w:rPr>
        <w:t xml:space="preserve">showing necrosis of pyramidal cells (n) with vacoulization. However, there are sparse appearance of cells in the molecular layer (arrow). </w:t>
      </w:r>
    </w:p>
    <w:p w14:paraId="21F139B4" w14:textId="748AB492" w:rsidR="008B6338" w:rsidRPr="008B6338" w:rsidRDefault="00171642" w:rsidP="008B6338">
      <w:pPr>
        <w:rPr>
          <w:rFonts w:ascii="Arial" w:hAnsi="Arial" w:cs="Arial"/>
          <w:noProof/>
        </w:rPr>
      </w:pPr>
      <w:r w:rsidRPr="00171642">
        <w:rPr>
          <w:rFonts w:ascii="Arial" w:hAnsi="Arial" w:cs="Arial"/>
          <w:b/>
        </w:rPr>
        <w:t xml:space="preserve">  (C) </w:t>
      </w:r>
      <w:r w:rsidR="00CA1215">
        <w:rPr>
          <w:rFonts w:ascii="Arial" w:hAnsi="Arial" w:cs="Arial"/>
          <w:b/>
        </w:rPr>
        <w:t>15mg/kg of lead-acetat</w:t>
      </w:r>
      <w:r w:rsidR="00CA1215" w:rsidRPr="00171642">
        <w:rPr>
          <w:rFonts w:ascii="Arial" w:hAnsi="Arial" w:cs="Arial"/>
          <w:b/>
        </w:rPr>
        <w:t>e</w:t>
      </w:r>
      <w:r w:rsidR="00CA1215">
        <w:rPr>
          <w:rFonts w:ascii="Arial" w:hAnsi="Arial" w:cs="Arial"/>
          <w:b/>
        </w:rPr>
        <w:t>+1</w:t>
      </w:r>
      <w:r w:rsidR="00F65923">
        <w:rPr>
          <w:rFonts w:ascii="Arial" w:hAnsi="Arial" w:cs="Arial"/>
          <w:b/>
        </w:rPr>
        <w:t>0</w:t>
      </w:r>
      <w:r w:rsidR="00CA1215">
        <w:rPr>
          <w:rFonts w:ascii="Arial" w:hAnsi="Arial" w:cs="Arial"/>
          <w:b/>
        </w:rPr>
        <w:t xml:space="preserve">0mg/kg of cowpea extract </w:t>
      </w:r>
      <w:r w:rsidR="00CA1215" w:rsidRPr="00CA1215">
        <w:rPr>
          <w:rFonts w:ascii="Arial" w:hAnsi="Arial" w:cs="Arial"/>
          <w:noProof/>
        </w:rPr>
        <w:t>showing sparse degeneration of appearance of cells in the molecular layer.</w:t>
      </w:r>
      <w:r w:rsidRPr="00171642">
        <w:rPr>
          <w:rFonts w:ascii="Arial" w:hAnsi="Arial" w:cs="Arial"/>
          <w:bCs/>
        </w:rPr>
        <w:t xml:space="preserve"> </w:t>
      </w:r>
      <w:r w:rsidRPr="00171642">
        <w:rPr>
          <w:rFonts w:ascii="Arial" w:hAnsi="Arial" w:cs="Arial"/>
          <w:b/>
        </w:rPr>
        <w:t xml:space="preserve">(D) </w:t>
      </w:r>
      <w:r w:rsidR="00214528">
        <w:rPr>
          <w:rFonts w:ascii="Arial" w:hAnsi="Arial" w:cs="Arial"/>
          <w:b/>
        </w:rPr>
        <w:t>15mg/kg of lead-acetat</w:t>
      </w:r>
      <w:r w:rsidR="00214528" w:rsidRPr="00171642">
        <w:rPr>
          <w:rFonts w:ascii="Arial" w:hAnsi="Arial" w:cs="Arial"/>
          <w:b/>
        </w:rPr>
        <w:t>e</w:t>
      </w:r>
      <w:r w:rsidR="00214528">
        <w:rPr>
          <w:rFonts w:ascii="Arial" w:hAnsi="Arial" w:cs="Arial"/>
          <w:b/>
        </w:rPr>
        <w:t>+2</w:t>
      </w:r>
      <w:r w:rsidR="00F65923">
        <w:rPr>
          <w:rFonts w:ascii="Arial" w:hAnsi="Arial" w:cs="Arial"/>
          <w:b/>
        </w:rPr>
        <w:t>0</w:t>
      </w:r>
      <w:r w:rsidR="00214528">
        <w:rPr>
          <w:rFonts w:ascii="Arial" w:hAnsi="Arial" w:cs="Arial"/>
          <w:b/>
        </w:rPr>
        <w:t xml:space="preserve">0mg/kg of cowpea extract </w:t>
      </w:r>
      <w:r w:rsidR="00214528" w:rsidRPr="00214528">
        <w:rPr>
          <w:rFonts w:ascii="Arial" w:hAnsi="Arial" w:cs="Arial"/>
          <w:noProof/>
        </w:rPr>
        <w:t xml:space="preserve">showing pyknosis of pyramidal neuron, few vacoulization with reduced appearance of </w:t>
      </w:r>
      <w:r w:rsidR="00214528">
        <w:rPr>
          <w:rFonts w:ascii="Arial" w:hAnsi="Arial" w:cs="Arial"/>
          <w:noProof/>
        </w:rPr>
        <w:t>cells in the polymorphic layer.</w:t>
      </w:r>
      <w:r w:rsidRPr="00171642">
        <w:rPr>
          <w:rFonts w:ascii="Arial" w:hAnsi="Arial" w:cs="Arial"/>
        </w:rPr>
        <w:t xml:space="preserve">  </w:t>
      </w:r>
      <w:r w:rsidR="008B6338">
        <w:rPr>
          <w:rFonts w:ascii="Arial" w:hAnsi="Arial" w:cs="Arial"/>
          <w:b/>
          <w:bCs/>
        </w:rPr>
        <w:t>(E) 2</w:t>
      </w:r>
      <w:r w:rsidR="00F65923">
        <w:rPr>
          <w:rFonts w:ascii="Arial" w:hAnsi="Arial" w:cs="Arial"/>
          <w:b/>
          <w:bCs/>
        </w:rPr>
        <w:t>0</w:t>
      </w:r>
      <w:r w:rsidR="008B6338">
        <w:rPr>
          <w:rFonts w:ascii="Arial" w:hAnsi="Arial" w:cs="Arial"/>
          <w:b/>
          <w:bCs/>
        </w:rPr>
        <w:t xml:space="preserve">0mg/kg of </w:t>
      </w:r>
      <w:r w:rsidR="008B6338">
        <w:rPr>
          <w:rFonts w:ascii="Arial" w:hAnsi="Arial" w:cs="Arial"/>
          <w:b/>
          <w:bCs/>
          <w:i/>
        </w:rPr>
        <w:t>cowpe</w:t>
      </w:r>
      <w:r w:rsidRPr="00171642">
        <w:rPr>
          <w:rFonts w:ascii="Arial" w:hAnsi="Arial" w:cs="Arial"/>
          <w:b/>
          <w:bCs/>
          <w:i/>
        </w:rPr>
        <w:t>a</w:t>
      </w:r>
      <w:r w:rsidRPr="00171642">
        <w:rPr>
          <w:rFonts w:ascii="Arial" w:hAnsi="Arial" w:cs="Arial"/>
          <w:b/>
          <w:bCs/>
        </w:rPr>
        <w:t xml:space="preserve"> extract</w:t>
      </w:r>
      <w:r w:rsidRPr="00171642">
        <w:rPr>
          <w:rFonts w:ascii="Arial" w:hAnsi="Arial" w:cs="Arial"/>
          <w:bCs/>
        </w:rPr>
        <w:t xml:space="preserve"> showing </w:t>
      </w:r>
      <w:r w:rsidR="008B6338" w:rsidRPr="008B6338">
        <w:rPr>
          <w:rFonts w:ascii="Arial" w:hAnsi="Arial" w:cs="Arial"/>
          <w:noProof/>
        </w:rPr>
        <w:t xml:space="preserve">mild degeneration of pyramidal neuron (d), few vacoulization with reduced appearance of cells in the polymorphic layer (arrow). </w:t>
      </w:r>
    </w:p>
    <w:p w14:paraId="2BC9B35D" w14:textId="2D86A83F" w:rsidR="00171642" w:rsidRDefault="00171642" w:rsidP="00171642">
      <w:pPr>
        <w:rPr>
          <w:rFonts w:ascii="Arial" w:hAnsi="Arial" w:cs="Arial"/>
        </w:rPr>
      </w:pPr>
    </w:p>
    <w:p w14:paraId="4D58BC73" w14:textId="77777777" w:rsidR="00171642" w:rsidRPr="00171642" w:rsidRDefault="00171642" w:rsidP="00171642">
      <w:pPr>
        <w:rPr>
          <w:rFonts w:ascii="Arial" w:hAnsi="Arial" w:cs="Arial"/>
          <w:b/>
        </w:rPr>
      </w:pPr>
    </w:p>
    <w:p w14:paraId="4B5ABA5E" w14:textId="06C65246" w:rsidR="00095A41" w:rsidRDefault="00095A41" w:rsidP="00586CF2">
      <w:pPr>
        <w:jc w:val="both"/>
        <w:rPr>
          <w:rFonts w:ascii="Arial" w:hAnsi="Arial" w:cs="Arial"/>
        </w:rPr>
      </w:pPr>
    </w:p>
    <w:p w14:paraId="014F09D2" w14:textId="77233929" w:rsidR="00095A41" w:rsidRDefault="00095A41" w:rsidP="00586CF2">
      <w:pPr>
        <w:jc w:val="both"/>
        <w:rPr>
          <w:rFonts w:ascii="Arial" w:hAnsi="Arial" w:cs="Arial"/>
        </w:rPr>
      </w:pPr>
    </w:p>
    <w:p w14:paraId="48F777CE" w14:textId="1B4B4163" w:rsidR="00095A41" w:rsidRDefault="00095A41" w:rsidP="00586CF2">
      <w:pPr>
        <w:jc w:val="both"/>
        <w:rPr>
          <w:rFonts w:ascii="Arial" w:hAnsi="Arial" w:cs="Arial"/>
        </w:rPr>
      </w:pPr>
      <w:r>
        <w:rPr>
          <w:rFonts w:ascii="Arial" w:hAnsi="Arial" w:cs="Arial"/>
        </w:rPr>
        <w:t xml:space="preserve">   </w:t>
      </w:r>
      <w:r w:rsidR="002D3998">
        <w:rPr>
          <w:noProof/>
        </w:rPr>
        <w:drawing>
          <wp:inline distT="0" distB="0" distL="0" distR="0" wp14:anchorId="1A89C937" wp14:editId="1C3A064F">
            <wp:extent cx="2486025" cy="1971675"/>
            <wp:effectExtent l="0" t="0" r="0" b="0"/>
            <wp:docPr id="1038" name="Image1"/>
            <wp:cNvGraphicFramePr/>
            <a:graphic xmlns:a="http://schemas.openxmlformats.org/drawingml/2006/main">
              <a:graphicData uri="http://schemas.openxmlformats.org/drawingml/2006/picture">
                <pic:pic xmlns:pic="http://schemas.openxmlformats.org/drawingml/2006/picture">
                  <pic:nvPicPr>
                    <pic:cNvPr id="1038" name="Image1"/>
                    <pic:cNvPicPr/>
                  </pic:nvPicPr>
                  <pic:blipFill rotWithShape="1">
                    <a:blip r:embed="rId20" cstate="print">
                      <a:extLst>
                        <a:ext uri="{28A0092B-C50C-407E-A947-70E740481C1C}">
                          <a14:useLocalDpi xmlns:a14="http://schemas.microsoft.com/office/drawing/2010/main" val="0"/>
                        </a:ext>
                      </a:extLst>
                    </a:blip>
                    <a:srcRect/>
                    <a:stretch>
                      <a:fillRect/>
                    </a:stretch>
                  </pic:blipFill>
                  <pic:spPr>
                    <a:xfrm>
                      <a:off x="0" y="0"/>
                      <a:ext cx="2486025" cy="1971675"/>
                    </a:xfrm>
                    <a:prstGeom prst="rect">
                      <a:avLst/>
                    </a:prstGeom>
                  </pic:spPr>
                </pic:pic>
              </a:graphicData>
            </a:graphic>
          </wp:inline>
        </w:drawing>
      </w:r>
      <w:r w:rsidR="002D3998">
        <w:rPr>
          <w:rFonts w:ascii="Arial" w:hAnsi="Arial" w:cs="Arial"/>
          <w:noProof/>
        </w:rPr>
        <w:t xml:space="preserve"> </w:t>
      </w:r>
      <w:r w:rsidR="002D3998">
        <w:rPr>
          <w:noProof/>
        </w:rPr>
        <w:drawing>
          <wp:inline distT="0" distB="0" distL="0" distR="0" wp14:anchorId="3118205F" wp14:editId="6D49C490">
            <wp:extent cx="2381250" cy="1981200"/>
            <wp:effectExtent l="0" t="0" r="0" b="0"/>
            <wp:docPr id="1039" name="Image1"/>
            <wp:cNvGraphicFramePr/>
            <a:graphic xmlns:a="http://schemas.openxmlformats.org/drawingml/2006/main">
              <a:graphicData uri="http://schemas.openxmlformats.org/drawingml/2006/picture">
                <pic:pic xmlns:pic="http://schemas.openxmlformats.org/drawingml/2006/picture">
                  <pic:nvPicPr>
                    <pic:cNvPr id="1039" name="Image1"/>
                    <pic:cNvPicPr/>
                  </pic:nvPicPr>
                  <pic:blipFill rotWithShape="1">
                    <a:blip r:embed="rId21" cstate="print">
                      <a:extLst>
                        <a:ext uri="{28A0092B-C50C-407E-A947-70E740481C1C}">
                          <a14:useLocalDpi xmlns:a14="http://schemas.microsoft.com/office/drawing/2010/main" val="0"/>
                        </a:ext>
                      </a:extLst>
                    </a:blip>
                    <a:srcRect/>
                    <a:stretch>
                      <a:fillRect/>
                    </a:stretch>
                  </pic:blipFill>
                  <pic:spPr>
                    <a:xfrm>
                      <a:off x="0" y="0"/>
                      <a:ext cx="2381250" cy="1981200"/>
                    </a:xfrm>
                    <a:prstGeom prst="rect">
                      <a:avLst/>
                    </a:prstGeom>
                  </pic:spPr>
                </pic:pic>
              </a:graphicData>
            </a:graphic>
          </wp:inline>
        </w:drawing>
      </w:r>
    </w:p>
    <w:p w14:paraId="341BD511" w14:textId="03A21575" w:rsidR="00095A41" w:rsidRDefault="00826B0C" w:rsidP="00826B0C">
      <w:pPr>
        <w:pStyle w:val="ListParagraph"/>
        <w:numPr>
          <w:ilvl w:val="0"/>
          <w:numId w:val="34"/>
        </w:numPr>
        <w:jc w:val="both"/>
        <w:rPr>
          <w:rFonts w:ascii="Arial" w:hAnsi="Arial" w:cs="Arial"/>
        </w:rPr>
      </w:pPr>
      <w:r>
        <w:rPr>
          <w:rFonts w:ascii="Arial" w:hAnsi="Arial" w:cs="Arial"/>
        </w:rPr>
        <w:t xml:space="preserve">                                                             </w:t>
      </w:r>
      <w:r w:rsidR="008A6955">
        <w:rPr>
          <w:rFonts w:ascii="Arial" w:hAnsi="Arial" w:cs="Arial"/>
        </w:rPr>
        <w:t xml:space="preserve">    </w:t>
      </w:r>
      <w:r>
        <w:rPr>
          <w:rFonts w:ascii="Arial" w:hAnsi="Arial" w:cs="Arial"/>
        </w:rPr>
        <w:t>(B)</w:t>
      </w:r>
    </w:p>
    <w:p w14:paraId="2D1B872A" w14:textId="4F7A961A" w:rsidR="00826B0C" w:rsidRDefault="002D3998" w:rsidP="00826B0C">
      <w:pPr>
        <w:jc w:val="both"/>
        <w:rPr>
          <w:rFonts w:ascii="Arial" w:hAnsi="Arial" w:cs="Arial"/>
        </w:rPr>
      </w:pPr>
      <w:r>
        <w:rPr>
          <w:noProof/>
        </w:rPr>
        <w:drawing>
          <wp:inline distT="0" distB="0" distL="0" distR="0" wp14:anchorId="1ABAAA0D" wp14:editId="62EC8055">
            <wp:extent cx="2590800" cy="2247900"/>
            <wp:effectExtent l="0" t="0" r="0" b="0"/>
            <wp:docPr id="1040" name="Image1"/>
            <wp:cNvGraphicFramePr/>
            <a:graphic xmlns:a="http://schemas.openxmlformats.org/drawingml/2006/main">
              <a:graphicData uri="http://schemas.openxmlformats.org/drawingml/2006/picture">
                <pic:pic xmlns:pic="http://schemas.openxmlformats.org/drawingml/2006/picture">
                  <pic:nvPicPr>
                    <pic:cNvPr id="1040" name="Image1"/>
                    <pic:cNvPicPr/>
                  </pic:nvPicPr>
                  <pic:blipFill rotWithShape="1">
                    <a:blip r:embed="rId22" cstate="print">
                      <a:extLst>
                        <a:ext uri="{28A0092B-C50C-407E-A947-70E740481C1C}">
                          <a14:useLocalDpi xmlns:a14="http://schemas.microsoft.com/office/drawing/2010/main" val="0"/>
                        </a:ext>
                      </a:extLst>
                    </a:blip>
                    <a:srcRect/>
                    <a:stretch>
                      <a:fillRect/>
                    </a:stretch>
                  </pic:blipFill>
                  <pic:spPr>
                    <a:xfrm>
                      <a:off x="0" y="0"/>
                      <a:ext cx="2590800" cy="2247900"/>
                    </a:xfrm>
                    <a:prstGeom prst="rect">
                      <a:avLst/>
                    </a:prstGeom>
                  </pic:spPr>
                </pic:pic>
              </a:graphicData>
            </a:graphic>
          </wp:inline>
        </w:drawing>
      </w:r>
      <w:r w:rsidRPr="00CC6DA2">
        <w:rPr>
          <w:rFonts w:ascii="Times New Roman" w:hAnsi="Times New Roman"/>
          <w:noProof/>
          <w:sz w:val="24"/>
          <w:szCs w:val="24"/>
        </w:rPr>
        <w:t xml:space="preserve"> </w:t>
      </w:r>
      <w:r>
        <w:rPr>
          <w:noProof/>
        </w:rPr>
        <w:drawing>
          <wp:inline distT="0" distB="0" distL="0" distR="0" wp14:anchorId="2CDD3724" wp14:editId="2C681C62">
            <wp:extent cx="2419350" cy="2266950"/>
            <wp:effectExtent l="0" t="0" r="0" b="0"/>
            <wp:docPr id="1041" name="Image1"/>
            <wp:cNvGraphicFramePr/>
            <a:graphic xmlns:a="http://schemas.openxmlformats.org/drawingml/2006/main">
              <a:graphicData uri="http://schemas.openxmlformats.org/drawingml/2006/picture">
                <pic:pic xmlns:pic="http://schemas.openxmlformats.org/drawingml/2006/picture">
                  <pic:nvPicPr>
                    <pic:cNvPr id="1041" name="Image1"/>
                    <pic:cNvPicPr/>
                  </pic:nvPicPr>
                  <pic:blipFill rotWithShape="1">
                    <a:blip r:embed="rId23" cstate="print">
                      <a:extLst>
                        <a:ext uri="{28A0092B-C50C-407E-A947-70E740481C1C}">
                          <a14:useLocalDpi xmlns:a14="http://schemas.microsoft.com/office/drawing/2010/main" val="0"/>
                        </a:ext>
                      </a:extLst>
                    </a:blip>
                    <a:srcRect/>
                    <a:stretch>
                      <a:fillRect/>
                    </a:stretch>
                  </pic:blipFill>
                  <pic:spPr>
                    <a:xfrm>
                      <a:off x="0" y="0"/>
                      <a:ext cx="2419350" cy="2266950"/>
                    </a:xfrm>
                    <a:prstGeom prst="rect">
                      <a:avLst/>
                    </a:prstGeom>
                  </pic:spPr>
                </pic:pic>
              </a:graphicData>
            </a:graphic>
          </wp:inline>
        </w:drawing>
      </w:r>
    </w:p>
    <w:p w14:paraId="0E6301BF" w14:textId="47504109" w:rsidR="0068150A" w:rsidRPr="00A65354" w:rsidRDefault="00A65354" w:rsidP="00A65354">
      <w:pPr>
        <w:ind w:left="1785"/>
        <w:jc w:val="both"/>
        <w:rPr>
          <w:rFonts w:ascii="Arial" w:hAnsi="Arial" w:cs="Arial"/>
        </w:rPr>
      </w:pPr>
      <w:r>
        <w:rPr>
          <w:rFonts w:ascii="Arial" w:hAnsi="Arial" w:cs="Arial"/>
        </w:rPr>
        <w:t>(C)</w:t>
      </w:r>
      <w:r w:rsidR="0068150A" w:rsidRPr="00A65354">
        <w:rPr>
          <w:rFonts w:ascii="Arial" w:hAnsi="Arial" w:cs="Arial"/>
        </w:rPr>
        <w:t xml:space="preserve">                                                                 (D)</w:t>
      </w:r>
    </w:p>
    <w:p w14:paraId="5D46A475" w14:textId="77777777" w:rsidR="0068150A" w:rsidRPr="0068150A" w:rsidRDefault="0068150A" w:rsidP="0068150A">
      <w:pPr>
        <w:jc w:val="both"/>
        <w:rPr>
          <w:rFonts w:ascii="Arial" w:hAnsi="Arial" w:cs="Arial"/>
        </w:rPr>
      </w:pPr>
    </w:p>
    <w:p w14:paraId="77DFE634" w14:textId="091DF289" w:rsidR="00826B0C" w:rsidRDefault="002D3998" w:rsidP="00826B0C">
      <w:pPr>
        <w:jc w:val="both"/>
        <w:rPr>
          <w:rFonts w:ascii="Arial" w:hAnsi="Arial" w:cs="Arial"/>
        </w:rPr>
      </w:pPr>
      <w:r>
        <w:rPr>
          <w:noProof/>
        </w:rPr>
        <w:drawing>
          <wp:inline distT="0" distB="0" distL="0" distR="0" wp14:anchorId="5CEE18BB" wp14:editId="554543D0">
            <wp:extent cx="2790825" cy="2228850"/>
            <wp:effectExtent l="0" t="0" r="0" b="0"/>
            <wp:docPr id="1042" name="Image1"/>
            <wp:cNvGraphicFramePr/>
            <a:graphic xmlns:a="http://schemas.openxmlformats.org/drawingml/2006/main">
              <a:graphicData uri="http://schemas.openxmlformats.org/drawingml/2006/picture">
                <pic:pic xmlns:pic="http://schemas.openxmlformats.org/drawingml/2006/picture">
                  <pic:nvPicPr>
                    <pic:cNvPr id="1042" name="Image1"/>
                    <pic:cNvPicPr/>
                  </pic:nvPicPr>
                  <pic:blipFill rotWithShape="1">
                    <a:blip r:embed="rId24" cstate="print">
                      <a:extLst>
                        <a:ext uri="{28A0092B-C50C-407E-A947-70E740481C1C}">
                          <a14:useLocalDpi xmlns:a14="http://schemas.microsoft.com/office/drawing/2010/main" val="0"/>
                        </a:ext>
                      </a:extLst>
                    </a:blip>
                    <a:srcRect/>
                    <a:stretch>
                      <a:fillRect/>
                    </a:stretch>
                  </pic:blipFill>
                  <pic:spPr>
                    <a:xfrm>
                      <a:off x="0" y="0"/>
                      <a:ext cx="2790825" cy="2228850"/>
                    </a:xfrm>
                    <a:prstGeom prst="rect">
                      <a:avLst/>
                    </a:prstGeom>
                  </pic:spPr>
                </pic:pic>
              </a:graphicData>
            </a:graphic>
          </wp:inline>
        </w:drawing>
      </w:r>
    </w:p>
    <w:p w14:paraId="4C1EA872" w14:textId="49C72B57" w:rsidR="0068150A" w:rsidRDefault="0068150A" w:rsidP="00826B0C">
      <w:pPr>
        <w:jc w:val="both"/>
        <w:rPr>
          <w:rFonts w:ascii="Arial" w:hAnsi="Arial" w:cs="Arial"/>
        </w:rPr>
      </w:pPr>
      <w:r>
        <w:rPr>
          <w:rFonts w:ascii="Arial" w:hAnsi="Arial" w:cs="Arial"/>
        </w:rPr>
        <w:t xml:space="preserve">                                 (E)</w:t>
      </w:r>
    </w:p>
    <w:p w14:paraId="78D67960" w14:textId="3BCEB98B" w:rsidR="0068150A" w:rsidRDefault="0068150A" w:rsidP="00826B0C">
      <w:pPr>
        <w:jc w:val="both"/>
        <w:rPr>
          <w:rFonts w:ascii="Arial" w:hAnsi="Arial" w:cs="Arial"/>
        </w:rPr>
      </w:pPr>
    </w:p>
    <w:p w14:paraId="1FF62212" w14:textId="5283089A" w:rsidR="00E85DEA" w:rsidRDefault="00C23631" w:rsidP="00E85DEA">
      <w:pPr>
        <w:spacing w:line="360" w:lineRule="auto"/>
        <w:jc w:val="center"/>
        <w:rPr>
          <w:rFonts w:ascii="Arial" w:hAnsi="Arial" w:cs="Arial"/>
          <w:b/>
        </w:rPr>
      </w:pPr>
      <w:r w:rsidRPr="00C23631">
        <w:rPr>
          <w:rFonts w:ascii="Arial" w:hAnsi="Arial" w:cs="Arial"/>
          <w:b/>
        </w:rPr>
        <w:t xml:space="preserve">Fig </w:t>
      </w:r>
      <w:r w:rsidR="00AF01B0">
        <w:rPr>
          <w:rFonts w:ascii="Arial" w:hAnsi="Arial" w:cs="Arial"/>
          <w:b/>
        </w:rPr>
        <w:t>3</w:t>
      </w:r>
      <w:r w:rsidRPr="00C23631">
        <w:rPr>
          <w:rFonts w:ascii="Arial" w:hAnsi="Arial" w:cs="Arial"/>
          <w:b/>
        </w:rPr>
        <w:t xml:space="preserve">: Photomicrograph of hippocampus </w:t>
      </w:r>
      <w:r w:rsidR="00313A2F" w:rsidRPr="00313A2F">
        <w:rPr>
          <w:rFonts w:ascii="Arial" w:hAnsi="Arial" w:cs="Arial"/>
        </w:rPr>
        <w:t>stained with Cresyl Violet</w:t>
      </w:r>
      <w:r w:rsidR="00875C49">
        <w:rPr>
          <w:rFonts w:ascii="Arial" w:hAnsi="Arial" w:cs="Arial"/>
        </w:rPr>
        <w:t xml:space="preserve"> </w:t>
      </w:r>
      <w:r w:rsidR="00313A2F" w:rsidRPr="00313A2F">
        <w:rPr>
          <w:rFonts w:ascii="Arial" w:hAnsi="Arial" w:cs="Arial"/>
        </w:rPr>
        <w:t>(Nissl stain)</w:t>
      </w:r>
      <w:r w:rsidR="00313A2F">
        <w:rPr>
          <w:rFonts w:ascii="Times New Roman" w:hAnsi="Times New Roman"/>
          <w:sz w:val="28"/>
          <w:szCs w:val="28"/>
        </w:rPr>
        <w:t xml:space="preserve"> </w:t>
      </w:r>
      <w:r w:rsidRPr="00C23631">
        <w:rPr>
          <w:rFonts w:ascii="Arial" w:hAnsi="Arial" w:cs="Arial"/>
          <w:b/>
        </w:rPr>
        <w:t xml:space="preserve">of (A) control rats </w:t>
      </w:r>
      <w:r w:rsidR="00E85DEA">
        <w:rPr>
          <w:rFonts w:ascii="Arial" w:hAnsi="Arial" w:cs="Arial"/>
          <w:bCs/>
        </w:rPr>
        <w:t>showing</w:t>
      </w:r>
      <w:r w:rsidR="00E85DEA" w:rsidRPr="00E85DEA">
        <w:rPr>
          <w:rFonts w:ascii="Arial" w:hAnsi="Arial" w:cs="Arial"/>
        </w:rPr>
        <w:t xml:space="preserve"> numer</w:t>
      </w:r>
      <w:r w:rsidR="00E85DEA">
        <w:rPr>
          <w:rFonts w:ascii="Arial" w:hAnsi="Arial" w:cs="Arial"/>
        </w:rPr>
        <w:t>ous neurons with Nissl substance</w:t>
      </w:r>
      <w:r w:rsidRPr="00C23631">
        <w:rPr>
          <w:rFonts w:ascii="Arial" w:hAnsi="Arial" w:cs="Arial"/>
        </w:rPr>
        <w:t>.</w:t>
      </w:r>
      <w:r w:rsidRPr="00C23631">
        <w:rPr>
          <w:rFonts w:ascii="Arial" w:hAnsi="Arial" w:cs="Arial"/>
          <w:b/>
        </w:rPr>
        <w:t xml:space="preserve"> (B) </w:t>
      </w:r>
      <w:r w:rsidR="00E85DEA">
        <w:rPr>
          <w:rFonts w:ascii="Arial" w:hAnsi="Arial" w:cs="Arial"/>
          <w:b/>
        </w:rPr>
        <w:t>15mg/kg of lead-acetate</w:t>
      </w:r>
      <w:r w:rsidR="00E85DEA">
        <w:rPr>
          <w:rFonts w:ascii="Arial" w:hAnsi="Arial" w:cs="Arial"/>
        </w:rPr>
        <w:t xml:space="preserve"> chloride</w:t>
      </w:r>
      <w:r w:rsidRPr="00C23631">
        <w:rPr>
          <w:rFonts w:ascii="Arial" w:hAnsi="Arial" w:cs="Arial"/>
        </w:rPr>
        <w:t xml:space="preserve"> </w:t>
      </w:r>
      <w:r w:rsidR="00E85DEA" w:rsidRPr="00E85DEA">
        <w:rPr>
          <w:rFonts w:ascii="Arial" w:hAnsi="Arial" w:cs="Arial"/>
        </w:rPr>
        <w:t>showing densely packed neurons within the pyramidal cell layer</w:t>
      </w:r>
      <w:r w:rsidR="00D51ADB" w:rsidRPr="00E85DEA">
        <w:rPr>
          <w:rFonts w:ascii="Arial" w:hAnsi="Arial" w:cs="Arial"/>
        </w:rPr>
        <w:t>.</w:t>
      </w:r>
      <w:r w:rsidRPr="00C23631">
        <w:rPr>
          <w:rFonts w:ascii="Arial" w:hAnsi="Arial" w:cs="Arial"/>
        </w:rPr>
        <w:t xml:space="preserve"> </w:t>
      </w:r>
      <w:r w:rsidRPr="00C23631">
        <w:rPr>
          <w:rFonts w:ascii="Arial" w:hAnsi="Arial" w:cs="Arial"/>
          <w:b/>
        </w:rPr>
        <w:t xml:space="preserve"> (C</w:t>
      </w:r>
      <w:r w:rsidR="00E85DEA" w:rsidRPr="00171642">
        <w:rPr>
          <w:rFonts w:ascii="Arial" w:hAnsi="Arial" w:cs="Arial"/>
          <w:b/>
        </w:rPr>
        <w:t xml:space="preserve">) </w:t>
      </w:r>
      <w:r w:rsidR="00E85DEA">
        <w:rPr>
          <w:rFonts w:ascii="Arial" w:hAnsi="Arial" w:cs="Arial"/>
          <w:b/>
        </w:rPr>
        <w:t>15mg/kg of lead-acetat</w:t>
      </w:r>
      <w:r w:rsidR="00E85DEA" w:rsidRPr="00171642">
        <w:rPr>
          <w:rFonts w:ascii="Arial" w:hAnsi="Arial" w:cs="Arial"/>
          <w:b/>
        </w:rPr>
        <w:t>e</w:t>
      </w:r>
      <w:r w:rsidR="00E85DEA">
        <w:rPr>
          <w:rFonts w:ascii="Arial" w:hAnsi="Arial" w:cs="Arial"/>
          <w:b/>
        </w:rPr>
        <w:t>+1</w:t>
      </w:r>
      <w:r w:rsidR="00F65923">
        <w:rPr>
          <w:rFonts w:ascii="Arial" w:hAnsi="Arial" w:cs="Arial"/>
          <w:b/>
        </w:rPr>
        <w:t>0</w:t>
      </w:r>
      <w:r w:rsidR="00E85DEA">
        <w:rPr>
          <w:rFonts w:ascii="Arial" w:hAnsi="Arial" w:cs="Arial"/>
          <w:b/>
        </w:rPr>
        <w:t xml:space="preserve">0mg/kg of cowpea extract </w:t>
      </w:r>
      <w:r w:rsidRPr="00C23631">
        <w:rPr>
          <w:rFonts w:ascii="Arial" w:hAnsi="Arial" w:cs="Arial"/>
        </w:rPr>
        <w:t xml:space="preserve">showing </w:t>
      </w:r>
      <w:r w:rsidR="00E85DEA" w:rsidRPr="00E85DEA">
        <w:rPr>
          <w:rFonts w:ascii="Arial" w:hAnsi="Arial" w:cs="Arial"/>
        </w:rPr>
        <w:t>few</w:t>
      </w:r>
      <w:r w:rsidR="00E85DEA">
        <w:rPr>
          <w:rFonts w:ascii="Arial" w:hAnsi="Arial" w:cs="Arial"/>
        </w:rPr>
        <w:t xml:space="preserve">er pyramidal neurons with </w:t>
      </w:r>
      <w:proofErr w:type="spellStart"/>
      <w:r w:rsidR="00E85DEA">
        <w:rPr>
          <w:rFonts w:ascii="Arial" w:hAnsi="Arial" w:cs="Arial"/>
        </w:rPr>
        <w:t>nissl</w:t>
      </w:r>
      <w:proofErr w:type="spellEnd"/>
      <w:r w:rsidR="00E85DEA">
        <w:rPr>
          <w:rFonts w:ascii="Arial" w:hAnsi="Arial" w:cs="Arial"/>
        </w:rPr>
        <w:t xml:space="preserve"> </w:t>
      </w:r>
      <w:r w:rsidR="00E85DEA" w:rsidRPr="00E85DEA">
        <w:rPr>
          <w:rFonts w:ascii="Arial" w:hAnsi="Arial" w:cs="Arial"/>
        </w:rPr>
        <w:t>substance.</w:t>
      </w:r>
      <w:r w:rsidR="00E85DEA" w:rsidRPr="00C23631">
        <w:rPr>
          <w:rFonts w:ascii="Arial" w:hAnsi="Arial" w:cs="Arial"/>
          <w:b/>
        </w:rPr>
        <w:t xml:space="preserve"> </w:t>
      </w:r>
      <w:r w:rsidRPr="00C23631">
        <w:rPr>
          <w:rFonts w:ascii="Arial" w:hAnsi="Arial" w:cs="Arial"/>
          <w:b/>
        </w:rPr>
        <w:t xml:space="preserve">(D) </w:t>
      </w:r>
      <w:r w:rsidR="00E85DEA">
        <w:rPr>
          <w:rFonts w:ascii="Arial" w:hAnsi="Arial" w:cs="Arial"/>
          <w:b/>
        </w:rPr>
        <w:t>15mg/kg of lead-acetat</w:t>
      </w:r>
      <w:r w:rsidR="00E85DEA" w:rsidRPr="00171642">
        <w:rPr>
          <w:rFonts w:ascii="Arial" w:hAnsi="Arial" w:cs="Arial"/>
          <w:b/>
        </w:rPr>
        <w:t>e</w:t>
      </w:r>
      <w:r w:rsidR="00E85DEA">
        <w:rPr>
          <w:rFonts w:ascii="Arial" w:hAnsi="Arial" w:cs="Arial"/>
          <w:b/>
        </w:rPr>
        <w:t>+2</w:t>
      </w:r>
      <w:r w:rsidR="00F65923">
        <w:rPr>
          <w:rFonts w:ascii="Arial" w:hAnsi="Arial" w:cs="Arial"/>
          <w:b/>
        </w:rPr>
        <w:t>0</w:t>
      </w:r>
      <w:r w:rsidR="00E85DEA">
        <w:rPr>
          <w:rFonts w:ascii="Arial" w:hAnsi="Arial" w:cs="Arial"/>
          <w:b/>
        </w:rPr>
        <w:t xml:space="preserve">0mg/kg of cowpea extract </w:t>
      </w:r>
      <w:r w:rsidRPr="00C23631">
        <w:rPr>
          <w:rFonts w:ascii="Arial" w:hAnsi="Arial" w:cs="Arial"/>
        </w:rPr>
        <w:t>show</w:t>
      </w:r>
      <w:r w:rsidR="003D5869">
        <w:rPr>
          <w:rFonts w:ascii="Arial" w:hAnsi="Arial" w:cs="Arial"/>
        </w:rPr>
        <w:t xml:space="preserve">ing densely packed pyramidal </w:t>
      </w:r>
      <w:r w:rsidRPr="00C23631">
        <w:rPr>
          <w:rFonts w:ascii="Arial" w:hAnsi="Arial" w:cs="Arial"/>
        </w:rPr>
        <w:t xml:space="preserve">neurons(P). </w:t>
      </w:r>
      <w:r w:rsidRPr="00C23631">
        <w:rPr>
          <w:rFonts w:ascii="Arial" w:hAnsi="Arial" w:cs="Arial"/>
          <w:b/>
          <w:bCs/>
        </w:rPr>
        <w:t xml:space="preserve">(E) </w:t>
      </w:r>
      <w:r w:rsidR="00E85DEA">
        <w:rPr>
          <w:rFonts w:ascii="Arial" w:hAnsi="Arial" w:cs="Arial"/>
          <w:b/>
          <w:bCs/>
        </w:rPr>
        <w:t>2</w:t>
      </w:r>
      <w:r w:rsidR="00F65923">
        <w:rPr>
          <w:rFonts w:ascii="Arial" w:hAnsi="Arial" w:cs="Arial"/>
          <w:b/>
          <w:bCs/>
        </w:rPr>
        <w:t>0</w:t>
      </w:r>
      <w:r w:rsidR="00E85DEA">
        <w:rPr>
          <w:rFonts w:ascii="Arial" w:hAnsi="Arial" w:cs="Arial"/>
          <w:b/>
          <w:bCs/>
        </w:rPr>
        <w:t xml:space="preserve">0mg/kg of </w:t>
      </w:r>
      <w:r w:rsidR="00E85DEA">
        <w:rPr>
          <w:rFonts w:ascii="Arial" w:hAnsi="Arial" w:cs="Arial"/>
          <w:b/>
          <w:bCs/>
          <w:i/>
        </w:rPr>
        <w:t>cowpe</w:t>
      </w:r>
      <w:r w:rsidR="00E85DEA" w:rsidRPr="00171642">
        <w:rPr>
          <w:rFonts w:ascii="Arial" w:hAnsi="Arial" w:cs="Arial"/>
          <w:b/>
          <w:bCs/>
          <w:i/>
        </w:rPr>
        <w:t>a</w:t>
      </w:r>
      <w:r w:rsidR="00E85DEA" w:rsidRPr="00171642">
        <w:rPr>
          <w:rFonts w:ascii="Arial" w:hAnsi="Arial" w:cs="Arial"/>
          <w:b/>
          <w:bCs/>
        </w:rPr>
        <w:t xml:space="preserve"> extract</w:t>
      </w:r>
      <w:r w:rsidR="00E85DEA" w:rsidRPr="00171642">
        <w:rPr>
          <w:rFonts w:ascii="Arial" w:hAnsi="Arial" w:cs="Arial"/>
          <w:bCs/>
        </w:rPr>
        <w:t xml:space="preserve"> </w:t>
      </w:r>
      <w:r w:rsidR="00E85DEA" w:rsidRPr="00E85DEA">
        <w:rPr>
          <w:rFonts w:ascii="Arial" w:hAnsi="Arial" w:cs="Arial"/>
        </w:rPr>
        <w:t xml:space="preserve">showing densely packed pyramidal neuron with </w:t>
      </w:r>
      <w:proofErr w:type="spellStart"/>
      <w:r w:rsidR="00E85DEA" w:rsidRPr="00E85DEA">
        <w:rPr>
          <w:rFonts w:ascii="Arial" w:hAnsi="Arial" w:cs="Arial"/>
        </w:rPr>
        <w:t>nissl</w:t>
      </w:r>
      <w:proofErr w:type="spellEnd"/>
      <w:r w:rsidR="00E85DEA" w:rsidRPr="00E85DEA">
        <w:rPr>
          <w:rFonts w:ascii="Arial" w:hAnsi="Arial" w:cs="Arial"/>
        </w:rPr>
        <w:t xml:space="preserve"> substance</w:t>
      </w:r>
      <w:r w:rsidR="00E85DEA" w:rsidRPr="00E85DEA">
        <w:rPr>
          <w:rFonts w:ascii="Arial" w:hAnsi="Arial" w:cs="Arial"/>
          <w:b/>
        </w:rPr>
        <w:t xml:space="preserve"> </w:t>
      </w:r>
    </w:p>
    <w:p w14:paraId="4555B34E" w14:textId="77777777" w:rsidR="00A779B5" w:rsidRPr="00A779B5" w:rsidRDefault="00A779B5" w:rsidP="00A779B5">
      <w:pPr>
        <w:spacing w:after="160" w:line="259" w:lineRule="auto"/>
        <w:rPr>
          <w:rFonts w:ascii="Arial" w:eastAsia="Calibri" w:hAnsi="Arial" w:cs="Arial"/>
        </w:rPr>
      </w:pPr>
    </w:p>
    <w:p w14:paraId="47887060" w14:textId="4C1A30D7" w:rsidR="002B095F" w:rsidRPr="002B095F" w:rsidRDefault="002B095F" w:rsidP="002B095F">
      <w:pPr>
        <w:tabs>
          <w:tab w:val="left" w:pos="1029"/>
        </w:tabs>
        <w:spacing w:before="240"/>
        <w:jc w:val="both"/>
        <w:rPr>
          <w:rFonts w:ascii="Arial" w:eastAsia="Calibri" w:hAnsi="Arial" w:cs="Arial"/>
          <w:b/>
          <w:sz w:val="22"/>
          <w:szCs w:val="22"/>
        </w:rPr>
      </w:pPr>
    </w:p>
    <w:p w14:paraId="778EC281" w14:textId="77777777" w:rsidR="003D5869" w:rsidRPr="008F245A" w:rsidRDefault="003D5869" w:rsidP="003D5869">
      <w:pPr>
        <w:spacing w:before="100" w:beforeAutospacing="1" w:after="100" w:afterAutospacing="1"/>
        <w:rPr>
          <w:rFonts w:ascii="Arial" w:hAnsi="Arial" w:cs="Arial"/>
        </w:rPr>
      </w:pPr>
      <w:r w:rsidRPr="009D312A">
        <w:rPr>
          <w:rFonts w:ascii="Arial" w:hAnsi="Arial" w:cs="Arial"/>
        </w:rPr>
        <w:t xml:space="preserve">The results of this investigation indicate that exposure to lead acetate induced noticeable neurodegenerative alterations in the brain tissues of the experimental rats. However, treatment with </w:t>
      </w:r>
      <w:r w:rsidRPr="009D312A">
        <w:rPr>
          <w:rFonts w:ascii="Arial" w:hAnsi="Arial" w:cs="Arial"/>
          <w:i/>
          <w:iCs/>
        </w:rPr>
        <w:t>Vigna unguiculata</w:t>
      </w:r>
      <w:r w:rsidRPr="009D312A">
        <w:rPr>
          <w:rFonts w:ascii="Arial" w:hAnsi="Arial" w:cs="Arial"/>
        </w:rPr>
        <w:t xml:space="preserve"> extract appeared to lessen the severity of these pathological changes, suggesting a possible neuroprotective effect. Lead is recognized as a highly toxic environmental contaminant that can accumulate in neural tissues and disrupt normal cellular processes within the central nervous system. Because of its capacity to cross the blood–brain barrier, lead interferes with neurotransmitter systems, promotes oxidative stress, and alters neuronal signaling pathways. Both acute and chronic exposure to this heavy metal have been associated with structural and functional damage in several brain regions, particularly the cerebral cortex, hippocampus, and cerebellum, which are important for cognitive processing, learning, memory, and motor coordination (Flora et al., 2017).</w:t>
      </w:r>
    </w:p>
    <w:p w14:paraId="3AC8D164" w14:textId="77777777" w:rsidR="003D5869" w:rsidRPr="009D312A" w:rsidRDefault="003D5869" w:rsidP="003D5869">
      <w:pPr>
        <w:spacing w:before="100" w:beforeAutospacing="1" w:after="100" w:afterAutospacing="1"/>
        <w:rPr>
          <w:rFonts w:ascii="Arial" w:hAnsi="Arial" w:cs="Arial"/>
        </w:rPr>
      </w:pPr>
      <w:r w:rsidRPr="009D312A">
        <w:rPr>
          <w:rFonts w:ascii="Arial" w:hAnsi="Arial" w:cs="Arial"/>
        </w:rPr>
        <w:t>Histological examination in this study revealed neuronal degeneration within the hippocampus and a reduction in the number of Purkinje cells within the cerebellar cortex of lead-exposed animals. Purkinje neurons represent the primary output neurons of the cerebellar cortex and play a crucial role in the integration of motor coordination and balance. Damage or loss of these neurons has been widely associated with impairments in motor control and postural stability. Experimental investigations have shown that exposure to heavy metals such as lead can result in degeneration of cerebellar Purkinje cells, which may ultimately lead to deficits in coordination, muscle tone regulation, and locomotor performance (Oliveira et al., 2021). The decrease in Purkinje cell density observed in the present investigation may therefore contribute to disturbances in motor activity such as reduced movement coordination and compromised equilibrium.</w:t>
      </w:r>
    </w:p>
    <w:p w14:paraId="4515ACFD" w14:textId="77777777" w:rsidR="003D5869" w:rsidRPr="009D312A" w:rsidRDefault="003D5869" w:rsidP="003D5869">
      <w:pPr>
        <w:spacing w:before="100" w:beforeAutospacing="1" w:after="100" w:afterAutospacing="1"/>
        <w:rPr>
          <w:rFonts w:ascii="Arial" w:hAnsi="Arial" w:cs="Arial"/>
        </w:rPr>
      </w:pPr>
      <w:r w:rsidRPr="009D312A">
        <w:rPr>
          <w:rFonts w:ascii="Arial" w:hAnsi="Arial" w:cs="Arial"/>
        </w:rPr>
        <w:t>One of the important mechanisms underlying neuronal degeneration during lead exposure is mitochondrial dysfunction. Mitochondria are responsible for energy production in neurons and play a key role in maintaining cellular survival. Toxic metals such as lead can interfere with mitochondrial respiratory processes, leading to decreased ATP production and increased generation of reactive oxygen species (ROS). Structural alterations in mitochondria, including swelling and disruption of cristae architecture, have been reported in neurons exposed to lead, indicating impaired oxidative phosphorylation and cellular energy metabolism (Flora et al., 2017). Such disturbances can compromise neuronal viability and may contribute to the progressive degeneration of brain cells observed in lead toxicity.</w:t>
      </w:r>
    </w:p>
    <w:p w14:paraId="6B9A4092" w14:textId="77777777" w:rsidR="003D5869" w:rsidRPr="009D312A" w:rsidRDefault="003D5869" w:rsidP="003D5869">
      <w:pPr>
        <w:spacing w:before="100" w:beforeAutospacing="1" w:after="100" w:afterAutospacing="1"/>
        <w:rPr>
          <w:rFonts w:ascii="Arial" w:hAnsi="Arial" w:cs="Arial"/>
        </w:rPr>
      </w:pPr>
      <w:r w:rsidRPr="009D312A">
        <w:rPr>
          <w:rFonts w:ascii="Arial" w:hAnsi="Arial" w:cs="Arial"/>
        </w:rPr>
        <w:t>In addition to neuronal damage, alterations in myelin integrity have been implicated in lead-induced neurotoxicity. Myelin sheaths surrounding neuronal axons are essential for rapid conduction of electrical impulses along nerve fibers. Damage to myelin or oligodendrocytes can therefore disrupt neuronal communication and impair cognitive and motor functions. Previous research has demonstrated that exposure to heavy metals can induce structural abnormalities in myelin and reduce oligodendrocyte function, which may lead to impaired neural transmission and decreased functional connectivity within neuronal networks (Caito &amp; Aschner, 2017). Disruption of myelin integrity may consequently contribute to deficits in motor coordination and cognitive performance.</w:t>
      </w:r>
    </w:p>
    <w:p w14:paraId="17AC1901" w14:textId="77777777" w:rsidR="003D5869" w:rsidRPr="009D312A" w:rsidRDefault="003D5869" w:rsidP="003D5869">
      <w:pPr>
        <w:spacing w:before="100" w:beforeAutospacing="1" w:after="100" w:afterAutospacing="1"/>
        <w:rPr>
          <w:rFonts w:ascii="Arial" w:hAnsi="Arial" w:cs="Arial"/>
        </w:rPr>
      </w:pPr>
      <w:r w:rsidRPr="009D312A">
        <w:rPr>
          <w:rFonts w:ascii="Arial" w:hAnsi="Arial" w:cs="Arial"/>
        </w:rPr>
        <w:t>The study also demonstrated histological alterations within the hippocampus in lead-exposed groups, including nuclear pyknosis and a reduction in pyramidal and stellate neuronal populations. Pyramidal neurons represent the principal excitatory neurons of the brain and are critically involved in processes such as voluntary motor control, sensory perception, and higher cognitive functions including learning and memory. Degeneration of these neurons can therefore lead to substantial neurological dysfunction. Evidence from experimental studies suggests that lead exposure may trigger neuronal apoptosis and DNA fragmentation in multiple brain regions, including the cortex and hippocampus, thereby contributing to cognitive impairment and behavioral disturbances (Liu et al., 2018). Treatment with cowpea extract helped restore the hippocampal architecture to normalcy.</w:t>
      </w:r>
    </w:p>
    <w:p w14:paraId="4047E77F" w14:textId="49CF9B9D" w:rsidR="003D5869" w:rsidRPr="009D312A" w:rsidRDefault="003D5869" w:rsidP="003D5869">
      <w:pPr>
        <w:spacing w:before="100" w:beforeAutospacing="1" w:after="100" w:afterAutospacing="1"/>
        <w:rPr>
          <w:rFonts w:ascii="Arial" w:hAnsi="Arial" w:cs="Arial"/>
        </w:rPr>
      </w:pPr>
      <w:r w:rsidRPr="009D312A">
        <w:rPr>
          <w:rStyle w:val="bzpyqfadein"/>
          <w:rFonts w:ascii="Arial" w:hAnsi="Arial" w:cs="Arial"/>
        </w:rPr>
        <w:t xml:space="preserve">Histochemical analysis of the hippocampus stained with Cresyl Violet revealed clear structural differences between experimental groups, highlighting the neuroprotective effects of </w:t>
      </w:r>
      <w:r w:rsidRPr="009D312A">
        <w:rPr>
          <w:rStyle w:val="bzpyqfadein"/>
          <w:rFonts w:ascii="Arial" w:hAnsi="Arial" w:cs="Arial"/>
          <w:i/>
          <w:iCs/>
        </w:rPr>
        <w:t>Vigna unguiculata</w:t>
      </w:r>
      <w:r w:rsidRPr="009D312A">
        <w:rPr>
          <w:rStyle w:val="bzpyqfadein"/>
          <w:rFonts w:ascii="Arial" w:hAnsi="Arial" w:cs="Arial"/>
        </w:rPr>
        <w:t xml:space="preserve"> extract against lead-induced damage. In control rats, the pyramidal cell layer displayed numerous neurons with prominent Nissl substance, reflecting healthy and metabolically active neurons. Exposure to 15 mg/kg of lead acetate resulted in densely packed neurons with reduced Nissl substance, indicative of cytoplasmic condensation and impaired protein synthesis associated with neurotoxicity. Co-administration of cowpea extract demonstrated a dose-dependent restorative effect: at 1</w:t>
      </w:r>
      <w:r w:rsidR="003B5066">
        <w:rPr>
          <w:rStyle w:val="bzpyqfadein"/>
          <w:rFonts w:ascii="Arial" w:hAnsi="Arial" w:cs="Arial"/>
        </w:rPr>
        <w:t>0</w:t>
      </w:r>
      <w:r w:rsidRPr="009D312A">
        <w:rPr>
          <w:rStyle w:val="bzpyqfadein"/>
          <w:rFonts w:ascii="Arial" w:hAnsi="Arial" w:cs="Arial"/>
        </w:rPr>
        <w:t>0 mg/kg, partial recovery of pyramidal neurons was observed, while at 2</w:t>
      </w:r>
      <w:r w:rsidR="003B5066">
        <w:rPr>
          <w:rStyle w:val="bzpyqfadein"/>
          <w:rFonts w:ascii="Arial" w:hAnsi="Arial" w:cs="Arial"/>
        </w:rPr>
        <w:t>0</w:t>
      </w:r>
      <w:r w:rsidRPr="009D312A">
        <w:rPr>
          <w:rStyle w:val="bzpyqfadein"/>
          <w:rFonts w:ascii="Arial" w:hAnsi="Arial" w:cs="Arial"/>
        </w:rPr>
        <w:t>0 mg/kg, the neurons were densely packed with abundant Nissl bodies, suggesting significant preservation of neuronal integrity and functional protein synthesis. Notably, rats treated with 2</w:t>
      </w:r>
      <w:r w:rsidR="003B5066">
        <w:rPr>
          <w:rStyle w:val="bzpyqfadein"/>
          <w:rFonts w:ascii="Arial" w:hAnsi="Arial" w:cs="Arial"/>
        </w:rPr>
        <w:t>0</w:t>
      </w:r>
      <w:r w:rsidRPr="009D312A">
        <w:rPr>
          <w:rStyle w:val="bzpyqfadein"/>
          <w:rFonts w:ascii="Arial" w:hAnsi="Arial" w:cs="Arial"/>
        </w:rPr>
        <w:t xml:space="preserve">0 mg/kg of cowpea extract alone maintained dense pyramidal neurons with well-defined Nissl substance, comparable to controls, emphasizing the extract’s inherent neuroprotective potential. These observations are consistent with evidence </w:t>
      </w:r>
      <w:r w:rsidRPr="009D312A">
        <w:rPr>
          <w:rStyle w:val="bzpyqfadein"/>
          <w:rFonts w:ascii="Arial" w:hAnsi="Arial" w:cs="Arial"/>
        </w:rPr>
        <w:lastRenderedPageBreak/>
        <w:t>that plant-derived antioxidants can protect hippocampal neurons from oxidative stress and apoptosis induced by heavy metals, likely by preserving cytoplasmic structure and supporting neuronal metabolism (Sharma et al., 2020).</w:t>
      </w:r>
    </w:p>
    <w:p w14:paraId="2188CC74" w14:textId="77777777" w:rsidR="003D5869" w:rsidRPr="009D312A" w:rsidRDefault="003D5869" w:rsidP="003D5869">
      <w:pPr>
        <w:pStyle w:val="NormalWeb"/>
        <w:rPr>
          <w:rFonts w:ascii="Arial" w:hAnsi="Arial" w:cs="Arial"/>
          <w:sz w:val="20"/>
          <w:szCs w:val="20"/>
        </w:rPr>
      </w:pPr>
      <w:r w:rsidRPr="009D312A">
        <w:rPr>
          <w:rFonts w:ascii="Arial" w:hAnsi="Arial" w:cs="Arial"/>
          <w:sz w:val="20"/>
          <w:szCs w:val="20"/>
        </w:rPr>
        <w:t>Biochemical analysis in the present investigation further revealed alterations in oxidative stress markers in the brain tissues of experimental animals. Oxidative stress plays a central role in the pathogenesis of lead toxicity. Exposure to lead is known to disturb the redox equilibrium within biological systems by promoting the excessive production of reactive oxygen species while simultaneously weakening endogenous antioxidant defenses. This imbalance results in oxidative injury to essential cellular components such as membrane lipids, structural proteins, and genetic material. Glutathione plays a critical role as a major intracellular antioxidant responsible for neutralizing reactive oxygen species and maintaining cellular redox stability. Variations in glutathione concentration observed in the present study may therefore represent a protective physiological response aimed at counteracting the oxidative stress triggered by lead toxicity (Flora et al., 2017).</w:t>
      </w:r>
    </w:p>
    <w:p w14:paraId="18184566" w14:textId="77777777" w:rsidR="003D5869" w:rsidRPr="009D312A" w:rsidRDefault="003D5869" w:rsidP="003D5869">
      <w:pPr>
        <w:spacing w:before="100" w:beforeAutospacing="1" w:after="100" w:afterAutospacing="1"/>
        <w:rPr>
          <w:rFonts w:ascii="Arial" w:hAnsi="Arial" w:cs="Arial"/>
        </w:rPr>
      </w:pPr>
      <w:r w:rsidRPr="009D312A">
        <w:rPr>
          <w:rFonts w:ascii="Arial" w:hAnsi="Arial" w:cs="Arial"/>
        </w:rPr>
        <w:t xml:space="preserve">Malondialdehyde (MDA), a widely recognized biomarker of lipid peroxidation, is commonly used to evaluate oxidative damage within biological systems. Elevated MDA levels indicate increased degradation of membrane lipids resulting from excessive reactive oxygen species activity. </w:t>
      </w:r>
      <w:r w:rsidRPr="009D312A">
        <w:rPr>
          <w:rStyle w:val="bzpyqfadein"/>
          <w:rFonts w:ascii="Arial" w:hAnsi="Arial" w:cs="Arial"/>
        </w:rPr>
        <w:t>Elevated levels of lipid peroxidation are a hallmark of lead-induced neurotoxicity and are widely recognized as a major factor contributing to the disruption of neuronal membrane integrity and compromised cellular function. Experimental studies have consistently demonstrated that lead exposure enhances oxidative degradation of membrane lipids, thereby impairing neuronal signaling and overall brain function (Liu et al., 2020).</w:t>
      </w:r>
      <w:r w:rsidRPr="009D312A">
        <w:rPr>
          <w:rFonts w:ascii="Arial" w:hAnsi="Arial" w:cs="Arial"/>
        </w:rPr>
        <w:t>Oxidative damage to neuronal membranes can compromise cellular integrity and disrupt synaptic signaling processes.</w:t>
      </w:r>
    </w:p>
    <w:p w14:paraId="762B29ED" w14:textId="77777777" w:rsidR="003D5869" w:rsidRPr="009D312A" w:rsidRDefault="003D5869" w:rsidP="003D5869">
      <w:pPr>
        <w:spacing w:before="100" w:beforeAutospacing="1" w:after="100" w:afterAutospacing="1"/>
        <w:rPr>
          <w:rFonts w:ascii="Arial" w:hAnsi="Arial" w:cs="Arial"/>
        </w:rPr>
      </w:pPr>
      <w:r w:rsidRPr="009D312A">
        <w:rPr>
          <w:rFonts w:ascii="Arial" w:hAnsi="Arial" w:cs="Arial"/>
        </w:rPr>
        <w:t xml:space="preserve">Treatment with </w:t>
      </w:r>
      <w:r w:rsidRPr="009D312A">
        <w:rPr>
          <w:rFonts w:ascii="Arial" w:hAnsi="Arial" w:cs="Arial"/>
          <w:i/>
          <w:iCs/>
        </w:rPr>
        <w:t>Vigna unguiculata</w:t>
      </w:r>
      <w:r w:rsidRPr="009D312A">
        <w:rPr>
          <w:rFonts w:ascii="Arial" w:hAnsi="Arial" w:cs="Arial"/>
        </w:rPr>
        <w:t xml:space="preserve"> extract in this study appeared to mitigate several of the structural and biochemical alterations induced by lead acetate. The improvement observed in histological features of the cerebellum, cerebrum, and hippocampus following extract administration suggests a potential neuroprotective effect of the plant. Cowpea is known to contain several biologically active compounds including phenolic acids, flavonoids, and carotenoids that possess strong antioxidant properties. These compounds have the ability to neutralize free radicals, inhibit lipid peroxidation, and enhance endogenous antioxidant defense systems (Moloto et al., 2020).</w:t>
      </w:r>
    </w:p>
    <w:p w14:paraId="70F45B10" w14:textId="77777777" w:rsidR="003D5869" w:rsidRPr="009D312A" w:rsidRDefault="003D5869" w:rsidP="003D5869">
      <w:pPr>
        <w:spacing w:before="100" w:beforeAutospacing="1" w:after="100" w:afterAutospacing="1"/>
        <w:rPr>
          <w:rFonts w:ascii="Arial" w:hAnsi="Arial" w:cs="Arial"/>
        </w:rPr>
      </w:pPr>
      <w:r w:rsidRPr="009D312A">
        <w:rPr>
          <w:rFonts w:ascii="Arial" w:hAnsi="Arial" w:cs="Arial"/>
        </w:rPr>
        <w:t>Furthermore, increasing doses of the extract appeared to produce progressive improvements in oxidative stress markers, suggesting a dose-dependent protective effect. The antioxidant phytochemicals present in cowpea may therefore contribute to the attenuation of oxidative damage caused by lead exposure. Plant-derived antioxidants have been widely reported to exert protective effects against heavy-metal-induced toxicity by reducing oxidative stress, stabilizing cellular membranes, and improving neuronal survival (Caito &amp; Aschner, 2017).</w:t>
      </w:r>
    </w:p>
    <w:p w14:paraId="6956594A" w14:textId="77777777" w:rsidR="003D5869" w:rsidRPr="009D312A" w:rsidRDefault="003D5869" w:rsidP="003D5869">
      <w:pPr>
        <w:spacing w:before="100" w:beforeAutospacing="1" w:after="100" w:afterAutospacing="1"/>
        <w:rPr>
          <w:rFonts w:ascii="Arial" w:hAnsi="Arial" w:cs="Arial"/>
        </w:rPr>
      </w:pPr>
      <w:r w:rsidRPr="009D312A">
        <w:rPr>
          <w:rFonts w:ascii="Arial" w:hAnsi="Arial" w:cs="Arial"/>
        </w:rPr>
        <w:t xml:space="preserve">Overall, the findings of the present study suggest that </w:t>
      </w:r>
      <w:r w:rsidRPr="009D312A">
        <w:rPr>
          <w:rFonts w:ascii="Arial" w:hAnsi="Arial" w:cs="Arial"/>
          <w:i/>
          <w:iCs/>
        </w:rPr>
        <w:t>Vigna unguiculata</w:t>
      </w:r>
      <w:r w:rsidRPr="009D312A">
        <w:rPr>
          <w:rFonts w:ascii="Arial" w:hAnsi="Arial" w:cs="Arial"/>
        </w:rPr>
        <w:t xml:space="preserve"> extract possesses neuroprotective properties capable of reducing lead-induced neuronal degeneration. The observed restoration of neuronal structures and improvement in oxidative stress parameters indicate that the extract may help protect brain tissues from the damaging effects of lead toxicity. These results highlight the potential therapeutic value of cowpea-derived phytochemicals as natural antioxidants in the management of heavy-metal-induced neurotoxicity.</w:t>
      </w:r>
    </w:p>
    <w:p w14:paraId="431AA63B" w14:textId="30172189" w:rsidR="00790ADA" w:rsidRDefault="00790ADA" w:rsidP="00441B6F">
      <w:pPr>
        <w:pStyle w:val="Body"/>
        <w:spacing w:after="0"/>
        <w:rPr>
          <w:rFonts w:ascii="Arial" w:hAnsi="Arial" w:cs="Arial"/>
        </w:rPr>
      </w:pPr>
    </w:p>
    <w:p w14:paraId="026E4BF5" w14:textId="77777777" w:rsidR="00A333DE" w:rsidRPr="00FB3A86" w:rsidRDefault="00A333DE" w:rsidP="00441B6F">
      <w:pPr>
        <w:pStyle w:val="Body"/>
        <w:spacing w:after="0"/>
        <w:rPr>
          <w:rFonts w:ascii="Arial" w:hAnsi="Arial" w:cs="Arial"/>
        </w:rPr>
      </w:pPr>
    </w:p>
    <w:p w14:paraId="70680A8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2681EB3" w14:textId="77777777" w:rsidR="00790ADA" w:rsidRPr="00FB3A86" w:rsidRDefault="00790ADA" w:rsidP="00441B6F">
      <w:pPr>
        <w:pStyle w:val="ConcHead"/>
        <w:spacing w:after="0"/>
        <w:jc w:val="both"/>
        <w:rPr>
          <w:rFonts w:ascii="Arial" w:hAnsi="Arial" w:cs="Arial"/>
        </w:rPr>
      </w:pPr>
    </w:p>
    <w:p w14:paraId="07907281" w14:textId="1838689B" w:rsidR="002B095F" w:rsidRPr="00C7595C" w:rsidRDefault="00F9293C" w:rsidP="00C7595C">
      <w:pPr>
        <w:pStyle w:val="Default"/>
        <w:spacing w:after="303"/>
        <w:jc w:val="both"/>
        <w:rPr>
          <w:rStyle w:val="bzpyqfadein"/>
          <w:rFonts w:ascii="Arial" w:hAnsi="Arial" w:cs="Arial"/>
          <w:sz w:val="20"/>
          <w:szCs w:val="20"/>
        </w:rPr>
      </w:pPr>
      <w:r w:rsidRPr="00C7595C">
        <w:rPr>
          <w:rFonts w:ascii="Arial" w:eastAsia="Calibri" w:hAnsi="Arial" w:cs="Arial"/>
          <w:sz w:val="20"/>
          <w:szCs w:val="20"/>
        </w:rPr>
        <w:t>This study show</w:t>
      </w:r>
      <w:r w:rsidR="002B095F" w:rsidRPr="00C7595C">
        <w:rPr>
          <w:rFonts w:ascii="Arial" w:eastAsia="Calibri" w:hAnsi="Arial" w:cs="Arial"/>
          <w:sz w:val="20"/>
          <w:szCs w:val="20"/>
        </w:rPr>
        <w:t xml:space="preserve">ed that oral administration of ethanolic extract of </w:t>
      </w:r>
      <w:r w:rsidRPr="00C7595C">
        <w:rPr>
          <w:rFonts w:ascii="Arial" w:eastAsia="Calibri" w:hAnsi="Arial" w:cs="Arial"/>
          <w:i/>
          <w:iCs/>
          <w:sz w:val="20"/>
          <w:szCs w:val="20"/>
        </w:rPr>
        <w:t>cowpea</w:t>
      </w:r>
      <w:r w:rsidRPr="00C7595C">
        <w:rPr>
          <w:rFonts w:ascii="Arial" w:eastAsia="Calibri" w:hAnsi="Arial" w:cs="Arial"/>
          <w:sz w:val="20"/>
          <w:szCs w:val="20"/>
        </w:rPr>
        <w:t xml:space="preserve"> </w:t>
      </w:r>
      <w:r w:rsidR="002B095F" w:rsidRPr="00C7595C">
        <w:rPr>
          <w:rFonts w:ascii="Arial" w:eastAsia="Calibri" w:hAnsi="Arial" w:cs="Arial"/>
          <w:sz w:val="20"/>
          <w:szCs w:val="20"/>
        </w:rPr>
        <w:t>signific</w:t>
      </w:r>
      <w:r w:rsidRPr="00C7595C">
        <w:rPr>
          <w:rFonts w:ascii="Arial" w:eastAsia="Calibri" w:hAnsi="Arial" w:cs="Arial"/>
          <w:sz w:val="20"/>
          <w:szCs w:val="20"/>
        </w:rPr>
        <w:t>antly mitigates lead</w:t>
      </w:r>
      <w:r w:rsidR="002B095F" w:rsidRPr="00C7595C">
        <w:rPr>
          <w:rFonts w:ascii="Arial" w:eastAsia="Calibri" w:hAnsi="Arial" w:cs="Arial"/>
          <w:sz w:val="20"/>
          <w:szCs w:val="20"/>
        </w:rPr>
        <w:t>-induced neurotoxicity</w:t>
      </w:r>
      <w:r w:rsidRPr="00C7595C">
        <w:rPr>
          <w:rFonts w:ascii="Arial" w:eastAsia="Calibri" w:hAnsi="Arial" w:cs="Arial"/>
          <w:sz w:val="20"/>
          <w:szCs w:val="20"/>
        </w:rPr>
        <w:t xml:space="preserve"> in the hippocampus</w:t>
      </w:r>
      <w:r w:rsidR="00EE24AF">
        <w:rPr>
          <w:rFonts w:ascii="Arial" w:eastAsia="Calibri" w:hAnsi="Arial" w:cs="Arial"/>
          <w:sz w:val="20"/>
          <w:szCs w:val="20"/>
        </w:rPr>
        <w:t xml:space="preserve"> of adult male </w:t>
      </w:r>
      <w:proofErr w:type="spellStart"/>
      <w:r w:rsidR="00EE24AF">
        <w:rPr>
          <w:rFonts w:ascii="Arial" w:eastAsia="Calibri" w:hAnsi="Arial" w:cs="Arial"/>
          <w:sz w:val="20"/>
          <w:szCs w:val="20"/>
        </w:rPr>
        <w:t>w</w:t>
      </w:r>
      <w:r w:rsidR="002B095F" w:rsidRPr="00C7595C">
        <w:rPr>
          <w:rFonts w:ascii="Arial" w:eastAsia="Calibri" w:hAnsi="Arial" w:cs="Arial"/>
          <w:sz w:val="20"/>
          <w:szCs w:val="20"/>
        </w:rPr>
        <w:t>istar</w:t>
      </w:r>
      <w:proofErr w:type="spellEnd"/>
      <w:r w:rsidR="002B095F" w:rsidRPr="00C7595C">
        <w:rPr>
          <w:rFonts w:ascii="Arial" w:eastAsia="Calibri" w:hAnsi="Arial" w:cs="Arial"/>
          <w:sz w:val="20"/>
          <w:szCs w:val="20"/>
        </w:rPr>
        <w:t xml:space="preserve"> rats. </w:t>
      </w:r>
      <w:r w:rsidRPr="00C7595C">
        <w:rPr>
          <w:rFonts w:ascii="Arial" w:eastAsia="Calibri" w:hAnsi="Arial" w:cs="Arial"/>
          <w:sz w:val="20"/>
          <w:szCs w:val="20"/>
        </w:rPr>
        <w:t xml:space="preserve"> The study also revealed</w:t>
      </w:r>
      <w:r w:rsidRPr="00C7595C">
        <w:rPr>
          <w:rFonts w:ascii="Arial" w:hAnsi="Arial" w:cs="Arial"/>
          <w:sz w:val="20"/>
          <w:szCs w:val="20"/>
        </w:rPr>
        <w:t xml:space="preserve"> histological changes on the hippocampus </w:t>
      </w:r>
      <w:r w:rsidR="00EE24AF">
        <w:rPr>
          <w:rFonts w:ascii="Arial" w:hAnsi="Arial" w:cs="Arial"/>
          <w:sz w:val="20"/>
          <w:szCs w:val="20"/>
        </w:rPr>
        <w:t xml:space="preserve">of adult </w:t>
      </w:r>
      <w:proofErr w:type="spellStart"/>
      <w:r w:rsidR="00EE24AF">
        <w:rPr>
          <w:rFonts w:ascii="Arial" w:hAnsi="Arial" w:cs="Arial"/>
          <w:sz w:val="20"/>
          <w:szCs w:val="20"/>
        </w:rPr>
        <w:t>w</w:t>
      </w:r>
      <w:r w:rsidRPr="00C7595C">
        <w:rPr>
          <w:rFonts w:ascii="Arial" w:hAnsi="Arial" w:cs="Arial"/>
          <w:sz w:val="20"/>
          <w:szCs w:val="20"/>
        </w:rPr>
        <w:t>istar</w:t>
      </w:r>
      <w:proofErr w:type="spellEnd"/>
      <w:r w:rsidRPr="00C7595C">
        <w:rPr>
          <w:rFonts w:ascii="Arial" w:hAnsi="Arial" w:cs="Arial"/>
          <w:sz w:val="20"/>
          <w:szCs w:val="20"/>
        </w:rPr>
        <w:t xml:space="preserve"> rats exposed to lead acetate which was ameliorated in cowpea treated groups.</w:t>
      </w:r>
      <w:r w:rsidR="00C7595C">
        <w:rPr>
          <w:rFonts w:ascii="Arial" w:hAnsi="Arial" w:cs="Arial"/>
          <w:sz w:val="20"/>
          <w:szCs w:val="20"/>
        </w:rPr>
        <w:t xml:space="preserve"> </w:t>
      </w:r>
      <w:r w:rsidR="002B095F" w:rsidRPr="00C7595C">
        <w:rPr>
          <w:rFonts w:ascii="Arial" w:eastAsia="Calibri" w:hAnsi="Arial" w:cs="Arial"/>
          <w:sz w:val="20"/>
          <w:szCs w:val="20"/>
        </w:rPr>
        <w:t xml:space="preserve">Based on these findings, </w:t>
      </w:r>
      <w:r w:rsidR="00C7595C" w:rsidRPr="00C7595C">
        <w:rPr>
          <w:rStyle w:val="bzpyqfadein"/>
          <w:rFonts w:ascii="Arial" w:hAnsi="Arial" w:cs="Arial"/>
          <w:sz w:val="20"/>
          <w:szCs w:val="20"/>
        </w:rPr>
        <w:t xml:space="preserve">it is recommended that subsequent studies should assess the long-term functional outcomes of </w:t>
      </w:r>
      <w:r w:rsidR="00C7595C" w:rsidRPr="00C7595C">
        <w:rPr>
          <w:rStyle w:val="bzpyqfadein"/>
          <w:rFonts w:ascii="Arial" w:hAnsi="Arial" w:cs="Arial"/>
          <w:i/>
          <w:iCs/>
          <w:sz w:val="20"/>
          <w:szCs w:val="20"/>
        </w:rPr>
        <w:t>Vigna unguiculata</w:t>
      </w:r>
      <w:r w:rsidR="00C7595C" w:rsidRPr="00C7595C">
        <w:rPr>
          <w:rStyle w:val="bzpyqfadein"/>
          <w:rFonts w:ascii="Arial" w:hAnsi="Arial" w:cs="Arial"/>
          <w:sz w:val="20"/>
          <w:szCs w:val="20"/>
        </w:rPr>
        <w:t xml:space="preserve"> treatment in lead-exposed rats, including learning, memory, and motor coordination. Correlating histological and biochemical improvements with behavioral performance would provide stronger evidence for the extract’s neuroprotective efficacy and potential translational application.</w:t>
      </w:r>
    </w:p>
    <w:p w14:paraId="3F5DDFC0" w14:textId="77777777" w:rsidR="00C7595C" w:rsidRDefault="00C7595C" w:rsidP="00C7595C">
      <w:pPr>
        <w:spacing w:before="240"/>
        <w:jc w:val="both"/>
        <w:rPr>
          <w:rFonts w:ascii="Arial" w:hAnsi="Arial" w:cs="Arial"/>
        </w:rPr>
      </w:pPr>
    </w:p>
    <w:p w14:paraId="06A5A9BE" w14:textId="77777777" w:rsidR="005C784C" w:rsidRDefault="005C784C" w:rsidP="00441B6F">
      <w:pPr>
        <w:pStyle w:val="ReferHead"/>
        <w:spacing w:after="0"/>
        <w:jc w:val="both"/>
        <w:rPr>
          <w:rFonts w:ascii="Arial" w:hAnsi="Arial" w:cs="Arial"/>
          <w:b w:val="0"/>
          <w:caps w:val="0"/>
          <w:sz w:val="20"/>
        </w:rPr>
      </w:pPr>
      <w:bookmarkStart w:id="0" w:name="_GoBack"/>
      <w:bookmarkEnd w:id="0"/>
    </w:p>
    <w:p w14:paraId="1C6D8C55" w14:textId="436B081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31AD5619" w14:textId="77777777" w:rsidR="005C784C" w:rsidRPr="002B685A" w:rsidRDefault="005C784C" w:rsidP="00441B6F">
      <w:pPr>
        <w:pStyle w:val="ReferHead"/>
        <w:spacing w:after="0"/>
        <w:jc w:val="both"/>
        <w:rPr>
          <w:rFonts w:ascii="Arial" w:hAnsi="Arial" w:cs="Arial"/>
          <w:bCs/>
        </w:rPr>
      </w:pPr>
    </w:p>
    <w:p w14:paraId="58E89648" w14:textId="74FAD217" w:rsidR="007530E6" w:rsidRDefault="007530E6" w:rsidP="007530E6">
      <w:pPr>
        <w:jc w:val="both"/>
        <w:rPr>
          <w:rFonts w:ascii="Arial" w:hAnsi="Arial" w:cs="Arial"/>
        </w:rPr>
      </w:pPr>
      <w:r w:rsidRPr="00C16969">
        <w:rPr>
          <w:rFonts w:ascii="Arial" w:hAnsi="Arial" w:cs="Arial"/>
        </w:rPr>
        <w:t xml:space="preserve">This was obtained from the ethical committee, faculty of basic medical sciences Chukwuemeka </w:t>
      </w:r>
      <w:proofErr w:type="spellStart"/>
      <w:r w:rsidRPr="00C16969">
        <w:rPr>
          <w:rFonts w:ascii="Arial" w:hAnsi="Arial" w:cs="Arial"/>
        </w:rPr>
        <w:t>Odumegwu</w:t>
      </w:r>
      <w:proofErr w:type="spellEnd"/>
      <w:r w:rsidRPr="00C16969">
        <w:rPr>
          <w:rFonts w:ascii="Arial" w:hAnsi="Arial" w:cs="Arial"/>
        </w:rPr>
        <w:t xml:space="preserve"> Ojukwu University, </w:t>
      </w:r>
      <w:proofErr w:type="spellStart"/>
      <w:r w:rsidRPr="00C16969">
        <w:rPr>
          <w:rFonts w:ascii="Arial" w:hAnsi="Arial" w:cs="Arial"/>
        </w:rPr>
        <w:t>Uli</w:t>
      </w:r>
      <w:proofErr w:type="spellEnd"/>
      <w:r w:rsidRPr="00C16969">
        <w:rPr>
          <w:rFonts w:ascii="Arial" w:hAnsi="Arial" w:cs="Arial"/>
        </w:rPr>
        <w:t xml:space="preserve"> campus in compliance with the relevant laws </w:t>
      </w:r>
      <w:r w:rsidR="000A244D">
        <w:rPr>
          <w:rFonts w:ascii="Arial" w:hAnsi="Arial" w:cs="Arial"/>
        </w:rPr>
        <w:t>and institution’s guidelines.</w:t>
      </w:r>
    </w:p>
    <w:p w14:paraId="63A67316" w14:textId="395DA751" w:rsidR="0041027F" w:rsidRDefault="008671C6" w:rsidP="007530E6">
      <w:pPr>
        <w:jc w:val="both"/>
        <w:rPr>
          <w:rFonts w:ascii="Arial" w:hAnsi="Arial" w:cs="Arial"/>
          <w:b/>
          <w:caps/>
        </w:rPr>
      </w:pPr>
      <w:r w:rsidRPr="007530E6">
        <w:rPr>
          <w:rFonts w:ascii="Arial" w:hAnsi="Arial" w:cs="Arial"/>
        </w:rPr>
        <w:t xml:space="preserve">All authors hereby declare that </w:t>
      </w:r>
      <w:r w:rsidR="0041027F" w:rsidRPr="007530E6">
        <w:rPr>
          <w:rFonts w:ascii="Arial" w:hAnsi="Arial" w:cs="Arial"/>
        </w:rPr>
        <w:t>"Principles of laboratory animal care" (NIH publication No. 85-23, revised 1985) were followed, as well as specific national laws where applicable.</w:t>
      </w:r>
      <w:r w:rsidRPr="007530E6">
        <w:rPr>
          <w:rFonts w:ascii="Arial" w:hAnsi="Arial" w:cs="Arial"/>
        </w:rPr>
        <w:t xml:space="preserve"> All experiments have been examined and approved by the appropriate ethics committee</w:t>
      </w:r>
      <w:r w:rsidR="007530E6" w:rsidRPr="007530E6">
        <w:rPr>
          <w:rFonts w:ascii="Arial" w:hAnsi="Arial" w:cs="Arial"/>
          <w:b/>
          <w:caps/>
        </w:rPr>
        <w:t>.</w:t>
      </w:r>
    </w:p>
    <w:p w14:paraId="6584D32C" w14:textId="77777777" w:rsidR="00CD61BD" w:rsidRDefault="00CD61BD" w:rsidP="007530E6">
      <w:pPr>
        <w:jc w:val="both"/>
        <w:rPr>
          <w:rFonts w:ascii="Arial" w:hAnsi="Arial" w:cs="Arial"/>
          <w:b/>
          <w:caps/>
        </w:rPr>
      </w:pPr>
    </w:p>
    <w:p w14:paraId="29A7A350" w14:textId="77777777" w:rsidR="00CD61BD" w:rsidRPr="00CD61BD" w:rsidRDefault="00CD61BD" w:rsidP="00CD61BD">
      <w:pPr>
        <w:jc w:val="both"/>
        <w:rPr>
          <w:rFonts w:ascii="Arial" w:hAnsi="Arial" w:cs="Arial"/>
        </w:rPr>
      </w:pPr>
      <w:r w:rsidRPr="00CD61BD">
        <w:rPr>
          <w:rFonts w:ascii="Arial" w:hAnsi="Arial" w:cs="Arial"/>
        </w:rPr>
        <w:t>COMPETING INTERESTS DISCLAIMER:</w:t>
      </w:r>
    </w:p>
    <w:p w14:paraId="51FFBF4E" w14:textId="1F3106B6" w:rsidR="00CD61BD" w:rsidRDefault="00CD61BD" w:rsidP="00CD61BD">
      <w:pPr>
        <w:jc w:val="both"/>
        <w:rPr>
          <w:rFonts w:ascii="Arial" w:hAnsi="Arial" w:cs="Arial"/>
        </w:rPr>
      </w:pPr>
      <w:r w:rsidRPr="00CD61BD">
        <w:rPr>
          <w:rFonts w:ascii="Arial" w:hAnsi="Arial" w:cs="Arial"/>
        </w:rPr>
        <w:t>Authors have declared that they have no known competing financial interests OR non-financial interests OR personal relationships that could have appeared to influence the work reported in this paper.</w:t>
      </w:r>
    </w:p>
    <w:p w14:paraId="64B8F7F2" w14:textId="77777777" w:rsidR="00CD61BD" w:rsidRPr="007530E6" w:rsidRDefault="00CD61BD" w:rsidP="00CD61BD">
      <w:pPr>
        <w:jc w:val="both"/>
        <w:rPr>
          <w:rFonts w:ascii="Arial" w:hAnsi="Arial" w:cs="Arial"/>
        </w:rPr>
      </w:pPr>
    </w:p>
    <w:p w14:paraId="039A0137" w14:textId="77777777" w:rsidR="00CD6856" w:rsidRDefault="00CD6856" w:rsidP="00441B6F">
      <w:pPr>
        <w:pStyle w:val="ReferHead"/>
        <w:spacing w:after="0"/>
        <w:jc w:val="both"/>
        <w:rPr>
          <w:rFonts w:ascii="Arial" w:hAnsi="Arial" w:cs="Arial"/>
          <w:b w:val="0"/>
          <w:caps w:val="0"/>
          <w:sz w:val="20"/>
        </w:rPr>
      </w:pPr>
    </w:p>
    <w:p w14:paraId="074D2FF7" w14:textId="77777777" w:rsidR="00860000" w:rsidRDefault="00860000" w:rsidP="00441B6F">
      <w:pPr>
        <w:pStyle w:val="ReferHead"/>
        <w:spacing w:after="0"/>
        <w:jc w:val="both"/>
        <w:rPr>
          <w:rFonts w:ascii="Arial" w:hAnsi="Arial" w:cs="Arial"/>
        </w:rPr>
      </w:pPr>
    </w:p>
    <w:p w14:paraId="3735B8C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2FD6310" w14:textId="77777777" w:rsidR="00790ADA" w:rsidRPr="00FB3A86" w:rsidRDefault="00790ADA" w:rsidP="00441B6F">
      <w:pPr>
        <w:pStyle w:val="ReferHead"/>
        <w:spacing w:after="0"/>
        <w:jc w:val="both"/>
        <w:rPr>
          <w:rFonts w:ascii="Arial" w:hAnsi="Arial" w:cs="Arial"/>
        </w:rPr>
      </w:pPr>
    </w:p>
    <w:p w14:paraId="6B398659" w14:textId="7E5B761F" w:rsidR="009A550E" w:rsidRPr="009A550E" w:rsidRDefault="00AF010F" w:rsidP="009A550E">
      <w:pPr>
        <w:spacing w:before="240"/>
        <w:ind w:left="720" w:hanging="720"/>
        <w:jc w:val="both"/>
        <w:rPr>
          <w:rFonts w:ascii="Arial" w:hAnsi="Arial" w:cs="Arial"/>
        </w:rPr>
      </w:pPr>
      <w:r w:rsidRPr="0064396B">
        <w:rPr>
          <w:rFonts w:ascii="Arial" w:hAnsi="Arial" w:cs="Arial"/>
        </w:rPr>
        <w:t>Avanza, M. V., Álvarez-Rivera, G., Cifuentes, A., Mendiola, J. A., &amp; Ibáñez, E. (2021). Phytochemical and functional characterization of phenolic compounds from cowpea (</w:t>
      </w:r>
      <w:r w:rsidRPr="00DB4894">
        <w:rPr>
          <w:rFonts w:ascii="Arial" w:hAnsi="Arial" w:cs="Arial"/>
          <w:i/>
          <w:iCs/>
        </w:rPr>
        <w:t>Vigna unguiculata</w:t>
      </w:r>
      <w:r w:rsidRPr="0064396B">
        <w:rPr>
          <w:rFonts w:ascii="Arial" w:hAnsi="Arial" w:cs="Arial"/>
        </w:rPr>
        <w:t xml:space="preserve"> (L.) Walp.) obtained by green extraction technologies. </w:t>
      </w:r>
      <w:r w:rsidRPr="00DB4894">
        <w:rPr>
          <w:rFonts w:ascii="Arial" w:hAnsi="Arial" w:cs="Arial"/>
          <w:i/>
          <w:iCs/>
        </w:rPr>
        <w:t>Agronomy, 11</w:t>
      </w:r>
      <w:r w:rsidRPr="0064396B">
        <w:rPr>
          <w:rFonts w:ascii="Arial" w:hAnsi="Arial" w:cs="Arial"/>
        </w:rPr>
        <w:t>(1), 162.</w:t>
      </w:r>
      <w:r w:rsidR="009A550E" w:rsidRPr="009A550E">
        <w:rPr>
          <w:rFonts w:ascii="Arial" w:hAnsi="Arial" w:cs="Arial"/>
        </w:rPr>
        <w:t xml:space="preserve">Almeida, J. R. G. S., Oliveira, A. P., Araújo, A. A. S., &amp; Silva, M. S. (2022). Pharmacological and pharmacokinetic properties of steroidal sapogenins: Neuroprotective and therapeutic perspectives. </w:t>
      </w:r>
      <w:r w:rsidR="009A550E" w:rsidRPr="009A550E">
        <w:rPr>
          <w:rFonts w:ascii="Arial" w:hAnsi="Arial" w:cs="Arial"/>
          <w:i/>
          <w:iCs/>
        </w:rPr>
        <w:t>Frontiers in Neuroscience, 16</w:t>
      </w:r>
      <w:r w:rsidR="009A550E" w:rsidRPr="009A550E">
        <w:rPr>
          <w:rFonts w:ascii="Arial" w:hAnsi="Arial" w:cs="Arial"/>
        </w:rPr>
        <w:t>, 853214.</w:t>
      </w:r>
    </w:p>
    <w:p w14:paraId="614DDDB1" w14:textId="77777777" w:rsidR="00AF010F" w:rsidRDefault="00AF010F" w:rsidP="009A550E">
      <w:pPr>
        <w:spacing w:before="240"/>
        <w:ind w:left="720" w:hanging="720"/>
        <w:jc w:val="both"/>
        <w:rPr>
          <w:rFonts w:ascii="Arial" w:hAnsi="Arial" w:cs="Arial"/>
        </w:rPr>
      </w:pPr>
      <w:r w:rsidRPr="0064396B">
        <w:rPr>
          <w:rFonts w:ascii="Arial" w:hAnsi="Arial" w:cs="Arial"/>
        </w:rPr>
        <w:t xml:space="preserve">Caito, S., &amp; Aschner, M. (2017). Neurotoxicity of metals. </w:t>
      </w:r>
      <w:r w:rsidRPr="00DB4894">
        <w:rPr>
          <w:rFonts w:ascii="Arial" w:hAnsi="Arial" w:cs="Arial"/>
          <w:i/>
          <w:iCs/>
        </w:rPr>
        <w:t>Current Opinion in Toxicology, 1</w:t>
      </w:r>
      <w:r>
        <w:rPr>
          <w:rFonts w:ascii="Arial" w:hAnsi="Arial" w:cs="Arial"/>
        </w:rPr>
        <w:t>, 21–27.</w:t>
      </w:r>
    </w:p>
    <w:p w14:paraId="79F7227B" w14:textId="61177BA3" w:rsidR="009A550E" w:rsidRPr="009A550E" w:rsidRDefault="00AF010F" w:rsidP="009A550E">
      <w:pPr>
        <w:spacing w:before="240"/>
        <w:ind w:left="720" w:hanging="720"/>
        <w:jc w:val="both"/>
        <w:rPr>
          <w:rFonts w:ascii="Arial" w:hAnsi="Arial" w:cs="Arial"/>
        </w:rPr>
      </w:pPr>
      <w:r w:rsidRPr="00C529F6">
        <w:rPr>
          <w:rFonts w:ascii="Arial" w:hAnsi="Arial" w:cs="Arial"/>
        </w:rPr>
        <w:t xml:space="preserve">Caito, S., &amp; Aschner, M. (2017). Neurotoxicity of metals. </w:t>
      </w:r>
      <w:r w:rsidRPr="00C529F6">
        <w:rPr>
          <w:rFonts w:ascii="Arial" w:hAnsi="Arial" w:cs="Arial"/>
          <w:i/>
          <w:iCs/>
        </w:rPr>
        <w:t>Handbook of Clinical Neurology, 131</w:t>
      </w:r>
      <w:r>
        <w:rPr>
          <w:rFonts w:ascii="Arial" w:hAnsi="Arial" w:cs="Arial"/>
        </w:rPr>
        <w:t>, 169–189.</w:t>
      </w:r>
    </w:p>
    <w:p w14:paraId="328A9C8C" w14:textId="77777777" w:rsidR="00AF010F" w:rsidRDefault="00AF010F" w:rsidP="009A550E">
      <w:pPr>
        <w:spacing w:before="240"/>
        <w:ind w:left="720" w:hanging="720"/>
        <w:jc w:val="both"/>
        <w:rPr>
          <w:rFonts w:ascii="Arial" w:hAnsi="Arial" w:cs="Arial"/>
        </w:rPr>
      </w:pPr>
      <w:r w:rsidRPr="00C529F6">
        <w:rPr>
          <w:rFonts w:ascii="Arial" w:hAnsi="Arial" w:cs="Arial"/>
        </w:rPr>
        <w:t xml:space="preserve">Flora, G., Gupta, D., &amp; Tiwari, A. (2017). Toxicity of lead: A review with recent updates. </w:t>
      </w:r>
      <w:r w:rsidRPr="00C529F6">
        <w:rPr>
          <w:rFonts w:ascii="Arial" w:hAnsi="Arial" w:cs="Arial"/>
          <w:i/>
          <w:iCs/>
        </w:rPr>
        <w:t>Interdisciplinary Toxicology, 10</w:t>
      </w:r>
      <w:r w:rsidRPr="00C529F6">
        <w:rPr>
          <w:rFonts w:ascii="Arial" w:hAnsi="Arial" w:cs="Arial"/>
        </w:rPr>
        <w:t>(2), 77–87.</w:t>
      </w:r>
      <w:r w:rsidRPr="00C529F6">
        <w:rPr>
          <w:rFonts w:ascii="Arial" w:hAnsi="Arial" w:cs="Arial"/>
        </w:rPr>
        <w:br/>
      </w:r>
    </w:p>
    <w:p w14:paraId="018B8149" w14:textId="77777777" w:rsidR="00AF010F" w:rsidRDefault="00AF010F" w:rsidP="009A550E">
      <w:pPr>
        <w:spacing w:before="240"/>
        <w:ind w:left="720" w:hanging="720"/>
        <w:jc w:val="both"/>
        <w:rPr>
          <w:rFonts w:ascii="Arial" w:hAnsi="Arial" w:cs="Arial"/>
        </w:rPr>
      </w:pPr>
      <w:r w:rsidRPr="00C529F6">
        <w:rPr>
          <w:rFonts w:ascii="Arial" w:hAnsi="Arial" w:cs="Arial"/>
        </w:rPr>
        <w:t xml:space="preserve">Liu, C. M., Ma, J. Q., &amp; Sun, Y. Z. (2018). Quercetin protects the rat kidney against oxidative stress-mediated DNA damage induced by lead. </w:t>
      </w:r>
      <w:r w:rsidRPr="00C529F6">
        <w:rPr>
          <w:rFonts w:ascii="Arial" w:hAnsi="Arial" w:cs="Arial"/>
          <w:i/>
          <w:iCs/>
        </w:rPr>
        <w:t>Environmental Toxicology and Pharmacology, 36</w:t>
      </w:r>
      <w:r>
        <w:rPr>
          <w:rFonts w:ascii="Arial" w:hAnsi="Arial" w:cs="Arial"/>
        </w:rPr>
        <w:t>(2), 572–578.</w:t>
      </w:r>
    </w:p>
    <w:p w14:paraId="768D1F38" w14:textId="77777777" w:rsidR="00AF010F" w:rsidRDefault="00AF010F" w:rsidP="009A550E">
      <w:pPr>
        <w:spacing w:before="240"/>
        <w:ind w:left="720" w:hanging="720"/>
        <w:jc w:val="both"/>
        <w:rPr>
          <w:rFonts w:ascii="Arial" w:hAnsi="Arial" w:cs="Arial"/>
        </w:rPr>
      </w:pPr>
      <w:r w:rsidRPr="00C529F6">
        <w:rPr>
          <w:rStyle w:val="bzpyqfadein"/>
          <w:rFonts w:ascii="Arial" w:hAnsi="Arial" w:cs="Arial"/>
        </w:rPr>
        <w:t xml:space="preserve">Liu, Y., Wang, Q., Zhang, H., &amp; Li, X. (2020). Lead exposure induces oxidative stress and neurodegeneration in rat brain: Protective effects of antioxidant treatment. </w:t>
      </w:r>
      <w:r w:rsidRPr="00C529F6">
        <w:rPr>
          <w:rStyle w:val="bzpyqfadein"/>
          <w:rFonts w:ascii="Arial" w:hAnsi="Arial" w:cs="Arial"/>
          <w:i/>
          <w:iCs/>
        </w:rPr>
        <w:t>Neurotoxicology, 78</w:t>
      </w:r>
      <w:r w:rsidRPr="00C529F6">
        <w:rPr>
          <w:rStyle w:val="bzpyqfadein"/>
          <w:rFonts w:ascii="Arial" w:hAnsi="Arial" w:cs="Arial"/>
        </w:rPr>
        <w:t>, 79–87.</w:t>
      </w:r>
    </w:p>
    <w:p w14:paraId="15920706" w14:textId="77777777" w:rsidR="00AF010F" w:rsidRDefault="00AF010F" w:rsidP="009A550E">
      <w:pPr>
        <w:spacing w:before="240"/>
        <w:ind w:left="720" w:hanging="720"/>
        <w:jc w:val="both"/>
        <w:rPr>
          <w:rFonts w:ascii="Arial" w:hAnsi="Arial" w:cs="Arial"/>
        </w:rPr>
      </w:pPr>
      <w:r w:rsidRPr="00C529F6">
        <w:rPr>
          <w:rFonts w:ascii="Arial" w:hAnsi="Arial" w:cs="Arial"/>
        </w:rPr>
        <w:t xml:space="preserve">Moloto, M. R., Phan, A. D. T., Shai, J. L., </w:t>
      </w:r>
      <w:proofErr w:type="spellStart"/>
      <w:r w:rsidRPr="00C529F6">
        <w:rPr>
          <w:rFonts w:ascii="Arial" w:hAnsi="Arial" w:cs="Arial"/>
        </w:rPr>
        <w:t>Sultanbawa</w:t>
      </w:r>
      <w:proofErr w:type="spellEnd"/>
      <w:r w:rsidRPr="00C529F6">
        <w:rPr>
          <w:rFonts w:ascii="Arial" w:hAnsi="Arial" w:cs="Arial"/>
        </w:rPr>
        <w:t>, Y., &amp; Sivakumar, D. (2020). Comparison of phenolic compounds, carotenoids, amino acid composition and antioxidant activities in leaves of cowpea (</w:t>
      </w:r>
      <w:r w:rsidRPr="00C529F6">
        <w:rPr>
          <w:rFonts w:ascii="Arial" w:hAnsi="Arial" w:cs="Arial"/>
          <w:i/>
          <w:iCs/>
        </w:rPr>
        <w:t>Vigna unguiculata</w:t>
      </w:r>
      <w:r w:rsidRPr="00C529F6">
        <w:rPr>
          <w:rFonts w:ascii="Arial" w:hAnsi="Arial" w:cs="Arial"/>
        </w:rPr>
        <w:t xml:space="preserve">) cultivars. </w:t>
      </w:r>
      <w:r w:rsidRPr="00C529F6">
        <w:rPr>
          <w:rFonts w:ascii="Arial" w:hAnsi="Arial" w:cs="Arial"/>
          <w:i/>
          <w:iCs/>
        </w:rPr>
        <w:t>Foods, 9</w:t>
      </w:r>
      <w:r w:rsidRPr="00C529F6">
        <w:rPr>
          <w:rFonts w:ascii="Arial" w:hAnsi="Arial" w:cs="Arial"/>
        </w:rPr>
        <w:t>(9), 1285.</w:t>
      </w:r>
    </w:p>
    <w:p w14:paraId="4089200C" w14:textId="77777777" w:rsidR="00AF010F" w:rsidRDefault="00AF010F" w:rsidP="009A550E">
      <w:pPr>
        <w:spacing w:before="240"/>
        <w:ind w:left="720" w:hanging="720"/>
        <w:jc w:val="both"/>
        <w:rPr>
          <w:rFonts w:ascii="Arial" w:hAnsi="Arial" w:cs="Arial"/>
        </w:rPr>
      </w:pPr>
      <w:r w:rsidRPr="00C529F6">
        <w:rPr>
          <w:rFonts w:ascii="Arial" w:hAnsi="Arial" w:cs="Arial"/>
        </w:rPr>
        <w:t xml:space="preserve">Oliveira, J. S., Maciel, E. N., Leão, L. K. R., et al. (2021). Lead-induced motor dysfunction is associated with oxidative stress and neurodegeneration in the motor cortex of rats. </w:t>
      </w:r>
      <w:r w:rsidRPr="00C529F6">
        <w:rPr>
          <w:rFonts w:ascii="Arial" w:hAnsi="Arial" w:cs="Arial"/>
          <w:i/>
          <w:iCs/>
        </w:rPr>
        <w:t>International Journal of Molecular Sciences, 22</w:t>
      </w:r>
      <w:r w:rsidRPr="00C529F6">
        <w:rPr>
          <w:rFonts w:ascii="Arial" w:hAnsi="Arial" w:cs="Arial"/>
        </w:rPr>
        <w:t>(20), 10945</w:t>
      </w:r>
    </w:p>
    <w:p w14:paraId="2C768D58" w14:textId="77777777" w:rsidR="00AF010F" w:rsidRDefault="00AF010F" w:rsidP="009A550E">
      <w:pPr>
        <w:spacing w:before="240"/>
        <w:ind w:left="720" w:hanging="720"/>
        <w:jc w:val="both"/>
        <w:rPr>
          <w:rFonts w:ascii="Arial" w:hAnsi="Arial" w:cs="Arial"/>
        </w:rPr>
      </w:pPr>
      <w:r w:rsidRPr="00C529F6">
        <w:rPr>
          <w:rStyle w:val="bzpyqfadein"/>
          <w:rFonts w:ascii="Arial" w:hAnsi="Arial" w:cs="Arial"/>
        </w:rPr>
        <w:t xml:space="preserve">Sharma, P., Dubey, R. S., &amp; Rani, P. (2020). Neuroprotective effects of plant-derived antioxidants against heavy metal-induced hippocampal damage: A review. </w:t>
      </w:r>
      <w:r w:rsidRPr="00C529F6">
        <w:rPr>
          <w:rStyle w:val="bzpyqfadein"/>
          <w:rFonts w:ascii="Arial" w:hAnsi="Arial" w:cs="Arial"/>
          <w:i/>
          <w:iCs/>
        </w:rPr>
        <w:t>Neurotoxicology, 78</w:t>
      </w:r>
      <w:r w:rsidRPr="00C529F6">
        <w:rPr>
          <w:rStyle w:val="bzpyqfadein"/>
          <w:rFonts w:ascii="Arial" w:hAnsi="Arial" w:cs="Arial"/>
        </w:rPr>
        <w:t>, 134–145.</w:t>
      </w:r>
      <w:r w:rsidRPr="00C529F6">
        <w:rPr>
          <w:rFonts w:ascii="Arial" w:hAnsi="Arial" w:cs="Arial"/>
        </w:rPr>
        <w:br/>
      </w:r>
    </w:p>
    <w:p w14:paraId="0FF0EA68" w14:textId="77777777" w:rsidR="00AF010F" w:rsidRDefault="00AF010F" w:rsidP="009A550E">
      <w:pPr>
        <w:autoSpaceDE w:val="0"/>
        <w:autoSpaceDN w:val="0"/>
        <w:adjustRightInd w:val="0"/>
        <w:spacing w:before="240"/>
        <w:ind w:left="720" w:hanging="720"/>
        <w:jc w:val="both"/>
        <w:rPr>
          <w:rFonts w:ascii="Arial" w:hAnsi="Arial" w:cs="Arial"/>
        </w:rPr>
      </w:pPr>
      <w:proofErr w:type="spellStart"/>
      <w:r w:rsidRPr="0064396B">
        <w:rPr>
          <w:rFonts w:ascii="Arial" w:hAnsi="Arial" w:cs="Arial"/>
        </w:rPr>
        <w:t>Sombié</w:t>
      </w:r>
      <w:proofErr w:type="spellEnd"/>
      <w:r w:rsidRPr="0064396B">
        <w:rPr>
          <w:rFonts w:ascii="Arial" w:hAnsi="Arial" w:cs="Arial"/>
        </w:rPr>
        <w:t xml:space="preserve">, P. A. E. D., Compaoré, M., Coulibaly, A. Y., Ouédraogo, J. T., </w:t>
      </w:r>
      <w:proofErr w:type="spellStart"/>
      <w:r w:rsidRPr="0064396B">
        <w:rPr>
          <w:rFonts w:ascii="Arial" w:hAnsi="Arial" w:cs="Arial"/>
        </w:rPr>
        <w:t>Tignégré</w:t>
      </w:r>
      <w:proofErr w:type="spellEnd"/>
      <w:r w:rsidRPr="0064396B">
        <w:rPr>
          <w:rFonts w:ascii="Arial" w:hAnsi="Arial" w:cs="Arial"/>
        </w:rPr>
        <w:t xml:space="preserve">, J. B. D. L. S., &amp; </w:t>
      </w:r>
      <w:proofErr w:type="spellStart"/>
      <w:r w:rsidRPr="0064396B">
        <w:rPr>
          <w:rFonts w:ascii="Arial" w:hAnsi="Arial" w:cs="Arial"/>
        </w:rPr>
        <w:t>Kiendrébéogo</w:t>
      </w:r>
      <w:proofErr w:type="spellEnd"/>
      <w:r w:rsidRPr="0064396B">
        <w:rPr>
          <w:rFonts w:ascii="Arial" w:hAnsi="Arial" w:cs="Arial"/>
        </w:rPr>
        <w:t>, M. (2018). Antioxidant and phytochemical studies of 31 cowpeas (</w:t>
      </w:r>
      <w:r w:rsidRPr="00DB4894">
        <w:rPr>
          <w:rFonts w:ascii="Arial" w:hAnsi="Arial" w:cs="Arial"/>
          <w:i/>
          <w:iCs/>
        </w:rPr>
        <w:t>Vigna unguiculata</w:t>
      </w:r>
      <w:r w:rsidRPr="0064396B">
        <w:rPr>
          <w:rFonts w:ascii="Arial" w:hAnsi="Arial" w:cs="Arial"/>
        </w:rPr>
        <w:t xml:space="preserve"> (L.) Walp.) genotypes from Burkina Faso. </w:t>
      </w:r>
      <w:r w:rsidRPr="00DB4894">
        <w:rPr>
          <w:rFonts w:ascii="Arial" w:hAnsi="Arial" w:cs="Arial"/>
          <w:i/>
          <w:iCs/>
        </w:rPr>
        <w:t>Foods, 7</w:t>
      </w:r>
      <w:r w:rsidRPr="0064396B">
        <w:rPr>
          <w:rFonts w:ascii="Arial" w:hAnsi="Arial" w:cs="Arial"/>
        </w:rPr>
        <w:t>(9), 143</w:t>
      </w:r>
      <w:r>
        <w:rPr>
          <w:rFonts w:ascii="Arial" w:hAnsi="Arial" w:cs="Arial"/>
        </w:rPr>
        <w:t>.</w:t>
      </w:r>
    </w:p>
    <w:p w14:paraId="191B1A74" w14:textId="77777777" w:rsidR="00B01FCD" w:rsidRPr="00FB3A86" w:rsidRDefault="00B01FCD" w:rsidP="00441B6F">
      <w:pPr>
        <w:pStyle w:val="Appendix"/>
        <w:spacing w:after="0"/>
        <w:jc w:val="both"/>
        <w:rPr>
          <w:rFonts w:ascii="Arial" w:hAnsi="Arial" w:cs="Arial"/>
          <w:b w:val="0"/>
        </w:rPr>
      </w:pPr>
    </w:p>
    <w:sectPr w:rsidR="00B01FCD" w:rsidRPr="00FB3A86" w:rsidSect="00DA55C2">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865C4" w14:textId="77777777" w:rsidR="0082458F" w:rsidRDefault="0082458F" w:rsidP="00C37E61">
      <w:r>
        <w:separator/>
      </w:r>
    </w:p>
  </w:endnote>
  <w:endnote w:type="continuationSeparator" w:id="0">
    <w:p w14:paraId="1670FB39" w14:textId="77777777" w:rsidR="0082458F" w:rsidRDefault="0082458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DA4D0" w14:textId="77777777" w:rsidR="00DA55C2" w:rsidRDefault="00DA55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36C56" w14:textId="77777777" w:rsidR="00DA55C2" w:rsidRDefault="00DA55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9AACF" w14:textId="77777777" w:rsidR="00784252" w:rsidRDefault="00784252">
    <w:pPr>
      <w:pStyle w:val="Footer"/>
      <w:rPr>
        <w:rFonts w:ascii="Arial" w:hAnsi="Arial" w:cs="Arial"/>
        <w:sz w:val="16"/>
      </w:rPr>
    </w:pPr>
  </w:p>
  <w:p w14:paraId="0C2A87F1" w14:textId="77777777" w:rsidR="00784252" w:rsidRDefault="0078425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6ADD9A1" w14:textId="77777777" w:rsidR="00784252" w:rsidRDefault="00784252">
    <w:pPr>
      <w:pStyle w:val="Footer"/>
      <w:rPr>
        <w:rFonts w:ascii="Arial" w:hAnsi="Arial" w:cs="Arial"/>
        <w:sz w:val="16"/>
      </w:rPr>
    </w:pPr>
  </w:p>
  <w:p w14:paraId="6682CE5A" w14:textId="77777777" w:rsidR="00784252" w:rsidRPr="009E048A" w:rsidRDefault="00784252">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2F940" w14:textId="77777777" w:rsidR="00784252" w:rsidRPr="00C37E61" w:rsidRDefault="0078425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EE887" w14:textId="77777777" w:rsidR="0082458F" w:rsidRDefault="0082458F" w:rsidP="00C37E61">
      <w:r>
        <w:separator/>
      </w:r>
    </w:p>
  </w:footnote>
  <w:footnote w:type="continuationSeparator" w:id="0">
    <w:p w14:paraId="38642B5A" w14:textId="77777777" w:rsidR="0082458F" w:rsidRDefault="0082458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2B0A7" w14:textId="4CC48944" w:rsidR="00DA55C2" w:rsidRDefault="00DA55C2">
    <w:pPr>
      <w:pStyle w:val="Header"/>
    </w:pPr>
    <w:r>
      <w:rPr>
        <w:noProof/>
      </w:rPr>
      <w:pict w14:anchorId="276E47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9141"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12B96" w14:textId="18034A9F" w:rsidR="00DA55C2" w:rsidRDefault="00DA55C2">
    <w:pPr>
      <w:pStyle w:val="Header"/>
    </w:pPr>
    <w:r>
      <w:rPr>
        <w:noProof/>
      </w:rPr>
      <w:pict w14:anchorId="453B8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9142"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B9E32" w14:textId="1581E1DC" w:rsidR="00784252" w:rsidRPr="00296529" w:rsidRDefault="00DA55C2" w:rsidP="00296529">
    <w:pPr>
      <w:ind w:left="2160"/>
      <w:jc w:val="center"/>
      <w:rPr>
        <w:rFonts w:ascii="Times New Roman" w:eastAsia="Calibri" w:hAnsi="Times New Roman"/>
        <w:i/>
        <w:sz w:val="18"/>
        <w:szCs w:val="22"/>
      </w:rPr>
    </w:pPr>
    <w:r>
      <w:rPr>
        <w:noProof/>
      </w:rPr>
      <w:pict w14:anchorId="2EA1F0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9140"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280D84E" w14:textId="77777777" w:rsidR="00784252" w:rsidRPr="00296529" w:rsidRDefault="0078425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3F6F0CA" w14:textId="77777777" w:rsidR="00784252" w:rsidRPr="00296529" w:rsidRDefault="0078425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806807" w14:textId="77777777" w:rsidR="00784252" w:rsidRPr="00296529" w:rsidRDefault="0078425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238493" w14:textId="77777777" w:rsidR="00784252" w:rsidRDefault="0078425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DA1BF70" w14:textId="77777777" w:rsidR="00784252" w:rsidRDefault="0078425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13A02D5" w14:textId="77777777" w:rsidR="00784252" w:rsidRDefault="0078425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81749" w14:textId="52152467" w:rsidR="00DA55C2" w:rsidRDefault="00DA55C2">
    <w:pPr>
      <w:pStyle w:val="Header"/>
    </w:pPr>
    <w:r>
      <w:rPr>
        <w:noProof/>
      </w:rPr>
      <w:pict w14:anchorId="57863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9144"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CE657" w14:textId="779DD7AF" w:rsidR="00DA55C2" w:rsidRDefault="00DA55C2">
    <w:pPr>
      <w:pStyle w:val="Header"/>
    </w:pPr>
    <w:r>
      <w:rPr>
        <w:noProof/>
      </w:rPr>
      <w:pict w14:anchorId="3D0EB0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9145"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11193" w14:textId="0C670B53" w:rsidR="00DA55C2" w:rsidRDefault="00DA55C2">
    <w:pPr>
      <w:pStyle w:val="Header"/>
    </w:pPr>
    <w:r>
      <w:rPr>
        <w:noProof/>
      </w:rPr>
      <w:pict w14:anchorId="5EE82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9143"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692C66"/>
    <w:multiLevelType w:val="hybridMultilevel"/>
    <w:tmpl w:val="AFAA8314"/>
    <w:lvl w:ilvl="0" w:tplc="3D9260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FAB0FBC"/>
    <w:multiLevelType w:val="hybridMultilevel"/>
    <w:tmpl w:val="6232AE74"/>
    <w:lvl w:ilvl="0" w:tplc="AE661EE4">
      <w:start w:val="1"/>
      <w:numFmt w:val="upperLetter"/>
      <w:lvlText w:val="(%1)"/>
      <w:lvlJc w:val="left"/>
      <w:pPr>
        <w:ind w:left="7185" w:hanging="5550"/>
      </w:pPr>
      <w:rPr>
        <w:rFonts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DC5694"/>
    <w:multiLevelType w:val="hybridMultilevel"/>
    <w:tmpl w:val="01324972"/>
    <w:lvl w:ilvl="0" w:tplc="E2DA79E6">
      <w:start w:val="1"/>
      <w:numFmt w:val="upperLetter"/>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596017C"/>
    <w:multiLevelType w:val="multilevel"/>
    <w:tmpl w:val="5454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DB138C"/>
    <w:multiLevelType w:val="hybridMultilevel"/>
    <w:tmpl w:val="BAB40332"/>
    <w:lvl w:ilvl="0" w:tplc="EAF42286">
      <w:start w:val="1"/>
      <w:numFmt w:val="upp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30"/>
  </w:num>
  <w:num w:numId="10">
    <w:abstractNumId w:val="2"/>
  </w:num>
  <w:num w:numId="11">
    <w:abstractNumId w:val="22"/>
  </w:num>
  <w:num w:numId="12">
    <w:abstractNumId w:val="3"/>
  </w:num>
  <w:num w:numId="13">
    <w:abstractNumId w:val="20"/>
  </w:num>
  <w:num w:numId="14">
    <w:abstractNumId w:val="9"/>
  </w:num>
  <w:num w:numId="15">
    <w:abstractNumId w:val="26"/>
  </w:num>
  <w:num w:numId="16">
    <w:abstractNumId w:val="5"/>
  </w:num>
  <w:num w:numId="17">
    <w:abstractNumId w:val="27"/>
  </w:num>
  <w:num w:numId="18">
    <w:abstractNumId w:val="15"/>
  </w:num>
  <w:num w:numId="19">
    <w:abstractNumId w:val="33"/>
  </w:num>
  <w:num w:numId="20">
    <w:abstractNumId w:val="12"/>
  </w:num>
  <w:num w:numId="21">
    <w:abstractNumId w:val="10"/>
  </w:num>
  <w:num w:numId="22">
    <w:abstractNumId w:val="14"/>
  </w:num>
  <w:num w:numId="23">
    <w:abstractNumId w:val="23"/>
  </w:num>
  <w:num w:numId="24">
    <w:abstractNumId w:val="31"/>
  </w:num>
  <w:num w:numId="25">
    <w:abstractNumId w:val="4"/>
  </w:num>
  <w:num w:numId="26">
    <w:abstractNumId w:val="18"/>
  </w:num>
  <w:num w:numId="27">
    <w:abstractNumId w:val="24"/>
  </w:num>
  <w:num w:numId="28">
    <w:abstractNumId w:val="32"/>
  </w:num>
  <w:num w:numId="29">
    <w:abstractNumId w:val="29"/>
  </w:num>
  <w:num w:numId="30">
    <w:abstractNumId w:val="11"/>
  </w:num>
  <w:num w:numId="31">
    <w:abstractNumId w:val="6"/>
  </w:num>
  <w:num w:numId="32">
    <w:abstractNumId w:val="17"/>
  </w:num>
  <w:num w:numId="33">
    <w:abstractNumId w:val="25"/>
  </w:num>
  <w:num w:numId="34">
    <w:abstractNumId w:val="1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3EE8"/>
    <w:rsid w:val="00030174"/>
    <w:rsid w:val="000306A4"/>
    <w:rsid w:val="0004579C"/>
    <w:rsid w:val="00047A04"/>
    <w:rsid w:val="00047A4A"/>
    <w:rsid w:val="0007222C"/>
    <w:rsid w:val="00077391"/>
    <w:rsid w:val="00086AD0"/>
    <w:rsid w:val="00095A41"/>
    <w:rsid w:val="000A244D"/>
    <w:rsid w:val="000A47FA"/>
    <w:rsid w:val="000A65D3"/>
    <w:rsid w:val="000B109C"/>
    <w:rsid w:val="000B1E33"/>
    <w:rsid w:val="000D689F"/>
    <w:rsid w:val="000E728F"/>
    <w:rsid w:val="000E7B7B"/>
    <w:rsid w:val="000E7D62"/>
    <w:rsid w:val="00101133"/>
    <w:rsid w:val="00103357"/>
    <w:rsid w:val="00105852"/>
    <w:rsid w:val="001120F5"/>
    <w:rsid w:val="00123C9F"/>
    <w:rsid w:val="00126190"/>
    <w:rsid w:val="00130F17"/>
    <w:rsid w:val="001320BF"/>
    <w:rsid w:val="00132730"/>
    <w:rsid w:val="00135848"/>
    <w:rsid w:val="001369A6"/>
    <w:rsid w:val="00141163"/>
    <w:rsid w:val="00163BC4"/>
    <w:rsid w:val="001705BB"/>
    <w:rsid w:val="00171642"/>
    <w:rsid w:val="00191062"/>
    <w:rsid w:val="00192B72"/>
    <w:rsid w:val="001931D9"/>
    <w:rsid w:val="00195EA2"/>
    <w:rsid w:val="001A29D8"/>
    <w:rsid w:val="001A49A1"/>
    <w:rsid w:val="001A5CAA"/>
    <w:rsid w:val="001B0427"/>
    <w:rsid w:val="001C5D17"/>
    <w:rsid w:val="001D2088"/>
    <w:rsid w:val="001D3A51"/>
    <w:rsid w:val="001E0A22"/>
    <w:rsid w:val="001E10D2"/>
    <w:rsid w:val="001E25B4"/>
    <w:rsid w:val="001E44FE"/>
    <w:rsid w:val="00200595"/>
    <w:rsid w:val="00204265"/>
    <w:rsid w:val="00204835"/>
    <w:rsid w:val="00210520"/>
    <w:rsid w:val="00214528"/>
    <w:rsid w:val="002149C4"/>
    <w:rsid w:val="00222AC2"/>
    <w:rsid w:val="00226169"/>
    <w:rsid w:val="0022696B"/>
    <w:rsid w:val="002304E0"/>
    <w:rsid w:val="00231920"/>
    <w:rsid w:val="0023195C"/>
    <w:rsid w:val="0024282C"/>
    <w:rsid w:val="002460DC"/>
    <w:rsid w:val="00250985"/>
    <w:rsid w:val="002556F6"/>
    <w:rsid w:val="00257DCD"/>
    <w:rsid w:val="00262714"/>
    <w:rsid w:val="002645C3"/>
    <w:rsid w:val="0026557B"/>
    <w:rsid w:val="002725F7"/>
    <w:rsid w:val="002751B8"/>
    <w:rsid w:val="0027574F"/>
    <w:rsid w:val="00277982"/>
    <w:rsid w:val="00283105"/>
    <w:rsid w:val="00284C4C"/>
    <w:rsid w:val="00287E68"/>
    <w:rsid w:val="002917A9"/>
    <w:rsid w:val="00296529"/>
    <w:rsid w:val="002A02E1"/>
    <w:rsid w:val="002B095F"/>
    <w:rsid w:val="002B27FB"/>
    <w:rsid w:val="002B685A"/>
    <w:rsid w:val="002B7524"/>
    <w:rsid w:val="002C57D2"/>
    <w:rsid w:val="002D3998"/>
    <w:rsid w:val="002E0D56"/>
    <w:rsid w:val="002E135D"/>
    <w:rsid w:val="002E6685"/>
    <w:rsid w:val="002F5838"/>
    <w:rsid w:val="00313A2F"/>
    <w:rsid w:val="00315186"/>
    <w:rsid w:val="0033080E"/>
    <w:rsid w:val="0033343E"/>
    <w:rsid w:val="00342FEA"/>
    <w:rsid w:val="00350A26"/>
    <w:rsid w:val="003512C2"/>
    <w:rsid w:val="00362FF6"/>
    <w:rsid w:val="0037153E"/>
    <w:rsid w:val="00371FB6"/>
    <w:rsid w:val="003763C1"/>
    <w:rsid w:val="00376BBE"/>
    <w:rsid w:val="00382F08"/>
    <w:rsid w:val="003909EB"/>
    <w:rsid w:val="0039224F"/>
    <w:rsid w:val="003A0A1B"/>
    <w:rsid w:val="003A0C4D"/>
    <w:rsid w:val="003A1B18"/>
    <w:rsid w:val="003A238E"/>
    <w:rsid w:val="003A43A4"/>
    <w:rsid w:val="003A7E18"/>
    <w:rsid w:val="003B0E5B"/>
    <w:rsid w:val="003B5066"/>
    <w:rsid w:val="003C2250"/>
    <w:rsid w:val="003C4C86"/>
    <w:rsid w:val="003C6258"/>
    <w:rsid w:val="003D1F99"/>
    <w:rsid w:val="003D5869"/>
    <w:rsid w:val="003D6B31"/>
    <w:rsid w:val="003D7A92"/>
    <w:rsid w:val="003E021E"/>
    <w:rsid w:val="003E2904"/>
    <w:rsid w:val="003F40F4"/>
    <w:rsid w:val="00401927"/>
    <w:rsid w:val="0041027F"/>
    <w:rsid w:val="00412475"/>
    <w:rsid w:val="00423789"/>
    <w:rsid w:val="00440F43"/>
    <w:rsid w:val="00441B6F"/>
    <w:rsid w:val="00446221"/>
    <w:rsid w:val="00450E62"/>
    <w:rsid w:val="004539DB"/>
    <w:rsid w:val="0045682E"/>
    <w:rsid w:val="00464AD3"/>
    <w:rsid w:val="00467BD5"/>
    <w:rsid w:val="00471A80"/>
    <w:rsid w:val="004B0B87"/>
    <w:rsid w:val="004B1305"/>
    <w:rsid w:val="004D1C49"/>
    <w:rsid w:val="004D305E"/>
    <w:rsid w:val="004D4277"/>
    <w:rsid w:val="004E58AD"/>
    <w:rsid w:val="00502516"/>
    <w:rsid w:val="00505F06"/>
    <w:rsid w:val="00506828"/>
    <w:rsid w:val="00511E09"/>
    <w:rsid w:val="005146F4"/>
    <w:rsid w:val="0053056E"/>
    <w:rsid w:val="00541952"/>
    <w:rsid w:val="00541E78"/>
    <w:rsid w:val="0054517F"/>
    <w:rsid w:val="005538D2"/>
    <w:rsid w:val="00554FDA"/>
    <w:rsid w:val="00573D9C"/>
    <w:rsid w:val="00582251"/>
    <w:rsid w:val="00586CF2"/>
    <w:rsid w:val="005B0722"/>
    <w:rsid w:val="005C713B"/>
    <w:rsid w:val="005C784C"/>
    <w:rsid w:val="005D17F6"/>
    <w:rsid w:val="005E1BA6"/>
    <w:rsid w:val="005E2A6B"/>
    <w:rsid w:val="005E5539"/>
    <w:rsid w:val="005E6DA2"/>
    <w:rsid w:val="005F7A39"/>
    <w:rsid w:val="00602733"/>
    <w:rsid w:val="00602BF5"/>
    <w:rsid w:val="00617FDD"/>
    <w:rsid w:val="00631AB1"/>
    <w:rsid w:val="00632C39"/>
    <w:rsid w:val="00633614"/>
    <w:rsid w:val="00633F68"/>
    <w:rsid w:val="00636C5C"/>
    <w:rsid w:val="00636EB2"/>
    <w:rsid w:val="006375B8"/>
    <w:rsid w:val="00642F3D"/>
    <w:rsid w:val="0066510A"/>
    <w:rsid w:val="00673F9F"/>
    <w:rsid w:val="0067794E"/>
    <w:rsid w:val="0068150A"/>
    <w:rsid w:val="00686953"/>
    <w:rsid w:val="00687DEA"/>
    <w:rsid w:val="00687E67"/>
    <w:rsid w:val="00694984"/>
    <w:rsid w:val="006967F7"/>
    <w:rsid w:val="006A250C"/>
    <w:rsid w:val="006B21D3"/>
    <w:rsid w:val="006B57D0"/>
    <w:rsid w:val="006B7B70"/>
    <w:rsid w:val="006D1F0C"/>
    <w:rsid w:val="006D2CB4"/>
    <w:rsid w:val="006D30FF"/>
    <w:rsid w:val="006D6940"/>
    <w:rsid w:val="006D7B09"/>
    <w:rsid w:val="006E48E8"/>
    <w:rsid w:val="006E5AB9"/>
    <w:rsid w:val="006E7460"/>
    <w:rsid w:val="006F11EC"/>
    <w:rsid w:val="006F64D0"/>
    <w:rsid w:val="0070082C"/>
    <w:rsid w:val="00706C89"/>
    <w:rsid w:val="00732F6D"/>
    <w:rsid w:val="007369E6"/>
    <w:rsid w:val="007420E5"/>
    <w:rsid w:val="00743412"/>
    <w:rsid w:val="007452EC"/>
    <w:rsid w:val="00746E59"/>
    <w:rsid w:val="007530E6"/>
    <w:rsid w:val="00754C9A"/>
    <w:rsid w:val="0075599A"/>
    <w:rsid w:val="00755C1E"/>
    <w:rsid w:val="00761D52"/>
    <w:rsid w:val="0077749E"/>
    <w:rsid w:val="00783862"/>
    <w:rsid w:val="00784252"/>
    <w:rsid w:val="00790ADA"/>
    <w:rsid w:val="00797702"/>
    <w:rsid w:val="0079783A"/>
    <w:rsid w:val="007B249D"/>
    <w:rsid w:val="007C7988"/>
    <w:rsid w:val="007D2288"/>
    <w:rsid w:val="007D6F03"/>
    <w:rsid w:val="007E088F"/>
    <w:rsid w:val="007F7B32"/>
    <w:rsid w:val="00804BC2"/>
    <w:rsid w:val="0081431A"/>
    <w:rsid w:val="0082269D"/>
    <w:rsid w:val="0082458F"/>
    <w:rsid w:val="00826B0C"/>
    <w:rsid w:val="0083216F"/>
    <w:rsid w:val="00832902"/>
    <w:rsid w:val="00832E10"/>
    <w:rsid w:val="00836E33"/>
    <w:rsid w:val="00860000"/>
    <w:rsid w:val="00863BD3"/>
    <w:rsid w:val="008641ED"/>
    <w:rsid w:val="00866D66"/>
    <w:rsid w:val="008671C6"/>
    <w:rsid w:val="00875803"/>
    <w:rsid w:val="00875C49"/>
    <w:rsid w:val="008A3990"/>
    <w:rsid w:val="008A6955"/>
    <w:rsid w:val="008B459E"/>
    <w:rsid w:val="008B531C"/>
    <w:rsid w:val="008B6338"/>
    <w:rsid w:val="008C0C5B"/>
    <w:rsid w:val="008C3CCA"/>
    <w:rsid w:val="008D2613"/>
    <w:rsid w:val="008E13AE"/>
    <w:rsid w:val="008E1506"/>
    <w:rsid w:val="008E2025"/>
    <w:rsid w:val="008E710C"/>
    <w:rsid w:val="008F50F3"/>
    <w:rsid w:val="008F69D6"/>
    <w:rsid w:val="00902823"/>
    <w:rsid w:val="00913522"/>
    <w:rsid w:val="00915007"/>
    <w:rsid w:val="00915CA6"/>
    <w:rsid w:val="00927834"/>
    <w:rsid w:val="009500A6"/>
    <w:rsid w:val="00957C18"/>
    <w:rsid w:val="009659BA"/>
    <w:rsid w:val="00971C65"/>
    <w:rsid w:val="0097466A"/>
    <w:rsid w:val="00983040"/>
    <w:rsid w:val="00993081"/>
    <w:rsid w:val="0099779C"/>
    <w:rsid w:val="009A4097"/>
    <w:rsid w:val="009A550E"/>
    <w:rsid w:val="009B3FB9"/>
    <w:rsid w:val="009C2465"/>
    <w:rsid w:val="009C4A1D"/>
    <w:rsid w:val="009D1D25"/>
    <w:rsid w:val="009D235C"/>
    <w:rsid w:val="009D3404"/>
    <w:rsid w:val="009D35A0"/>
    <w:rsid w:val="009D7EB7"/>
    <w:rsid w:val="009E048A"/>
    <w:rsid w:val="009E08E9"/>
    <w:rsid w:val="009E3DB9"/>
    <w:rsid w:val="009E6E35"/>
    <w:rsid w:val="009F0EDA"/>
    <w:rsid w:val="00A03B96"/>
    <w:rsid w:val="00A05B19"/>
    <w:rsid w:val="00A1134E"/>
    <w:rsid w:val="00A15DB5"/>
    <w:rsid w:val="00A24E7E"/>
    <w:rsid w:val="00A258C3"/>
    <w:rsid w:val="00A333DE"/>
    <w:rsid w:val="00A347C0"/>
    <w:rsid w:val="00A41504"/>
    <w:rsid w:val="00A51431"/>
    <w:rsid w:val="00A539AD"/>
    <w:rsid w:val="00A65354"/>
    <w:rsid w:val="00A779B5"/>
    <w:rsid w:val="00A80F8B"/>
    <w:rsid w:val="00A9052A"/>
    <w:rsid w:val="00A94063"/>
    <w:rsid w:val="00AA5B4E"/>
    <w:rsid w:val="00AA6219"/>
    <w:rsid w:val="00AA74E0"/>
    <w:rsid w:val="00AA7544"/>
    <w:rsid w:val="00AB54D8"/>
    <w:rsid w:val="00AB65C3"/>
    <w:rsid w:val="00AB703F"/>
    <w:rsid w:val="00AC25A7"/>
    <w:rsid w:val="00AC4773"/>
    <w:rsid w:val="00AC6BB8"/>
    <w:rsid w:val="00AD2E78"/>
    <w:rsid w:val="00AD40CD"/>
    <w:rsid w:val="00AE008F"/>
    <w:rsid w:val="00AE2F89"/>
    <w:rsid w:val="00AE40A1"/>
    <w:rsid w:val="00AF010F"/>
    <w:rsid w:val="00AF01B0"/>
    <w:rsid w:val="00B01FCD"/>
    <w:rsid w:val="00B07264"/>
    <w:rsid w:val="00B14A32"/>
    <w:rsid w:val="00B1776C"/>
    <w:rsid w:val="00B21A00"/>
    <w:rsid w:val="00B467EC"/>
    <w:rsid w:val="00B52583"/>
    <w:rsid w:val="00B52896"/>
    <w:rsid w:val="00B540BB"/>
    <w:rsid w:val="00B54C4B"/>
    <w:rsid w:val="00B82610"/>
    <w:rsid w:val="00B911AF"/>
    <w:rsid w:val="00B95236"/>
    <w:rsid w:val="00B96BD9"/>
    <w:rsid w:val="00BA1B01"/>
    <w:rsid w:val="00BA2641"/>
    <w:rsid w:val="00BB0EE9"/>
    <w:rsid w:val="00BB3540"/>
    <w:rsid w:val="00BB37AA"/>
    <w:rsid w:val="00BB5863"/>
    <w:rsid w:val="00BC53A0"/>
    <w:rsid w:val="00BC6395"/>
    <w:rsid w:val="00BC7620"/>
    <w:rsid w:val="00BD2FEF"/>
    <w:rsid w:val="00BE62AD"/>
    <w:rsid w:val="00BF121F"/>
    <w:rsid w:val="00BF1F80"/>
    <w:rsid w:val="00C166EF"/>
    <w:rsid w:val="00C16969"/>
    <w:rsid w:val="00C17EB0"/>
    <w:rsid w:val="00C2189F"/>
    <w:rsid w:val="00C23631"/>
    <w:rsid w:val="00C27F5F"/>
    <w:rsid w:val="00C30A0F"/>
    <w:rsid w:val="00C337F1"/>
    <w:rsid w:val="00C36F64"/>
    <w:rsid w:val="00C37E61"/>
    <w:rsid w:val="00C47A7C"/>
    <w:rsid w:val="00C70F1B"/>
    <w:rsid w:val="00C71A47"/>
    <w:rsid w:val="00C7464C"/>
    <w:rsid w:val="00C7595C"/>
    <w:rsid w:val="00C77FC5"/>
    <w:rsid w:val="00C84E93"/>
    <w:rsid w:val="00C85588"/>
    <w:rsid w:val="00CA1215"/>
    <w:rsid w:val="00CA1AB9"/>
    <w:rsid w:val="00CC0B01"/>
    <w:rsid w:val="00CD05DB"/>
    <w:rsid w:val="00CD61BD"/>
    <w:rsid w:val="00CD6755"/>
    <w:rsid w:val="00CD6856"/>
    <w:rsid w:val="00CE0089"/>
    <w:rsid w:val="00CE793C"/>
    <w:rsid w:val="00CF04D7"/>
    <w:rsid w:val="00CF193C"/>
    <w:rsid w:val="00D11C63"/>
    <w:rsid w:val="00D122C8"/>
    <w:rsid w:val="00D173F1"/>
    <w:rsid w:val="00D17CBE"/>
    <w:rsid w:val="00D210AC"/>
    <w:rsid w:val="00D21872"/>
    <w:rsid w:val="00D313CA"/>
    <w:rsid w:val="00D42BDC"/>
    <w:rsid w:val="00D459C9"/>
    <w:rsid w:val="00D51ADB"/>
    <w:rsid w:val="00D70E3F"/>
    <w:rsid w:val="00D73B84"/>
    <w:rsid w:val="00D74CB0"/>
    <w:rsid w:val="00D8295D"/>
    <w:rsid w:val="00DA55C2"/>
    <w:rsid w:val="00DA60B9"/>
    <w:rsid w:val="00DB1B15"/>
    <w:rsid w:val="00DC2A65"/>
    <w:rsid w:val="00DE15F0"/>
    <w:rsid w:val="00DE5663"/>
    <w:rsid w:val="00DE78AA"/>
    <w:rsid w:val="00E03630"/>
    <w:rsid w:val="00E053D0"/>
    <w:rsid w:val="00E15994"/>
    <w:rsid w:val="00E23D55"/>
    <w:rsid w:val="00E27931"/>
    <w:rsid w:val="00E3114E"/>
    <w:rsid w:val="00E31A70"/>
    <w:rsid w:val="00E35B02"/>
    <w:rsid w:val="00E65E8B"/>
    <w:rsid w:val="00E66496"/>
    <w:rsid w:val="00E66B35"/>
    <w:rsid w:val="00E66E10"/>
    <w:rsid w:val="00E737BF"/>
    <w:rsid w:val="00E769F6"/>
    <w:rsid w:val="00E8407C"/>
    <w:rsid w:val="00E84F3C"/>
    <w:rsid w:val="00E85DEA"/>
    <w:rsid w:val="00E92ABE"/>
    <w:rsid w:val="00E96FA5"/>
    <w:rsid w:val="00EA012C"/>
    <w:rsid w:val="00EB2F04"/>
    <w:rsid w:val="00EC6A55"/>
    <w:rsid w:val="00EC7B05"/>
    <w:rsid w:val="00ED0288"/>
    <w:rsid w:val="00ED2228"/>
    <w:rsid w:val="00EE24AF"/>
    <w:rsid w:val="00EE52CB"/>
    <w:rsid w:val="00EF581D"/>
    <w:rsid w:val="00EF7FD8"/>
    <w:rsid w:val="00F06F59"/>
    <w:rsid w:val="00F110DF"/>
    <w:rsid w:val="00F17988"/>
    <w:rsid w:val="00F25168"/>
    <w:rsid w:val="00F25C9C"/>
    <w:rsid w:val="00F469F0"/>
    <w:rsid w:val="00F53273"/>
    <w:rsid w:val="00F5482F"/>
    <w:rsid w:val="00F60320"/>
    <w:rsid w:val="00F65923"/>
    <w:rsid w:val="00F755E4"/>
    <w:rsid w:val="00F77D02"/>
    <w:rsid w:val="00F9147E"/>
    <w:rsid w:val="00F9293C"/>
    <w:rsid w:val="00FB3A86"/>
    <w:rsid w:val="00FC5F23"/>
    <w:rsid w:val="00FD36C8"/>
    <w:rsid w:val="00FD5BE4"/>
    <w:rsid w:val="00FE0339"/>
    <w:rsid w:val="00FF7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8"/>
      </o:rules>
    </o:shapelayout>
  </w:shapeDefaults>
  <w:decimalSymbol w:val="."/>
  <w:listSeparator w:val=","/>
  <w14:docId w14:val="5DA3C57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B095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uiPriority w:val="9"/>
    <w:semiHidden/>
    <w:unhideWhenUsed/>
    <w:qFormat/>
    <w:rsid w:val="00C16969"/>
    <w:pPr>
      <w:keepNext/>
      <w:keepLines/>
      <w:spacing w:before="40" w:line="259" w:lineRule="auto"/>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uiPriority w:val="9"/>
    <w:semiHidden/>
    <w:rsid w:val="00C16969"/>
    <w:rPr>
      <w:rFonts w:asciiTheme="majorHAnsi" w:eastAsiaTheme="majorEastAsia" w:hAnsiTheme="majorHAnsi" w:cstheme="majorBidi"/>
      <w:i/>
      <w:iCs/>
      <w:color w:val="365F91" w:themeColor="accent1" w:themeShade="BF"/>
      <w:sz w:val="22"/>
      <w:szCs w:val="22"/>
    </w:rPr>
  </w:style>
  <w:style w:type="paragraph" w:styleId="ListParagraph">
    <w:name w:val="List Paragraph"/>
    <w:basedOn w:val="Normal"/>
    <w:uiPriority w:val="34"/>
    <w:qFormat/>
    <w:rsid w:val="00135848"/>
    <w:pPr>
      <w:ind w:left="720"/>
      <w:contextualSpacing/>
    </w:pPr>
  </w:style>
  <w:style w:type="character" w:customStyle="1" w:styleId="breakword">
    <w:name w:val="breakword"/>
    <w:basedOn w:val="DefaultParagraphFont"/>
    <w:rsid w:val="002B7524"/>
  </w:style>
  <w:style w:type="table" w:customStyle="1" w:styleId="TableGrid1">
    <w:name w:val="Table Grid1"/>
    <w:basedOn w:val="TableNormal"/>
    <w:next w:val="TableGrid"/>
    <w:uiPriority w:val="59"/>
    <w:rsid w:val="00D42BD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2F6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79B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4252"/>
    <w:pPr>
      <w:autoSpaceDE w:val="0"/>
      <w:autoSpaceDN w:val="0"/>
      <w:adjustRightInd w:val="0"/>
    </w:pPr>
    <w:rPr>
      <w:rFonts w:eastAsiaTheme="minorHAnsi"/>
      <w:color w:val="000000"/>
      <w:sz w:val="24"/>
      <w:szCs w:val="24"/>
    </w:rPr>
  </w:style>
  <w:style w:type="character" w:customStyle="1" w:styleId="bzpyqfadein">
    <w:name w:val="bz_pyq_fadein"/>
    <w:basedOn w:val="DefaultParagraphFont"/>
    <w:rsid w:val="00D210AC"/>
  </w:style>
  <w:style w:type="paragraph" w:styleId="NormalWeb">
    <w:name w:val="Normal (Web)"/>
    <w:basedOn w:val="Normal"/>
    <w:uiPriority w:val="99"/>
    <w:unhideWhenUsed/>
    <w:rsid w:val="00AD2E78"/>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B540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080711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224910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04022960">
      <w:bodyDiv w:val="1"/>
      <w:marLeft w:val="0"/>
      <w:marRight w:val="0"/>
      <w:marTop w:val="0"/>
      <w:marBottom w:val="0"/>
      <w:divBdr>
        <w:top w:val="none" w:sz="0" w:space="0" w:color="auto"/>
        <w:left w:val="none" w:sz="0" w:space="0" w:color="auto"/>
        <w:bottom w:val="none" w:sz="0" w:space="0" w:color="auto"/>
        <w:right w:val="none" w:sz="0" w:space="0" w:color="auto"/>
      </w:divBdr>
    </w:div>
    <w:div w:id="96399932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47555617">
      <w:bodyDiv w:val="1"/>
      <w:marLeft w:val="0"/>
      <w:marRight w:val="0"/>
      <w:marTop w:val="0"/>
      <w:marBottom w:val="0"/>
      <w:divBdr>
        <w:top w:val="none" w:sz="0" w:space="0" w:color="auto"/>
        <w:left w:val="none" w:sz="0" w:space="0" w:color="auto"/>
        <w:bottom w:val="none" w:sz="0" w:space="0" w:color="auto"/>
        <w:right w:val="none" w:sz="0" w:space="0" w:color="auto"/>
      </w:divBdr>
    </w:div>
    <w:div w:id="1384255489">
      <w:bodyDiv w:val="1"/>
      <w:marLeft w:val="0"/>
      <w:marRight w:val="0"/>
      <w:marTop w:val="0"/>
      <w:marBottom w:val="0"/>
      <w:divBdr>
        <w:top w:val="none" w:sz="0" w:space="0" w:color="auto"/>
        <w:left w:val="none" w:sz="0" w:space="0" w:color="auto"/>
        <w:bottom w:val="none" w:sz="0" w:space="0" w:color="auto"/>
        <w:right w:val="none" w:sz="0" w:space="0" w:color="auto"/>
      </w:divBdr>
    </w:div>
    <w:div w:id="1436712430">
      <w:bodyDiv w:val="1"/>
      <w:marLeft w:val="0"/>
      <w:marRight w:val="0"/>
      <w:marTop w:val="0"/>
      <w:marBottom w:val="0"/>
      <w:divBdr>
        <w:top w:val="none" w:sz="0" w:space="0" w:color="auto"/>
        <w:left w:val="none" w:sz="0" w:space="0" w:color="auto"/>
        <w:bottom w:val="none" w:sz="0" w:space="0" w:color="auto"/>
        <w:right w:val="none" w:sz="0" w:space="0" w:color="auto"/>
      </w:divBdr>
    </w:div>
    <w:div w:id="1692679232">
      <w:bodyDiv w:val="1"/>
      <w:marLeft w:val="0"/>
      <w:marRight w:val="0"/>
      <w:marTop w:val="0"/>
      <w:marBottom w:val="0"/>
      <w:divBdr>
        <w:top w:val="none" w:sz="0" w:space="0" w:color="auto"/>
        <w:left w:val="none" w:sz="0" w:space="0" w:color="auto"/>
        <w:bottom w:val="none" w:sz="0" w:space="0" w:color="auto"/>
        <w:right w:val="none" w:sz="0" w:space="0" w:color="auto"/>
      </w:divBdr>
    </w:div>
    <w:div w:id="1733573953">
      <w:bodyDiv w:val="1"/>
      <w:marLeft w:val="0"/>
      <w:marRight w:val="0"/>
      <w:marTop w:val="0"/>
      <w:marBottom w:val="0"/>
      <w:divBdr>
        <w:top w:val="none" w:sz="0" w:space="0" w:color="auto"/>
        <w:left w:val="none" w:sz="0" w:space="0" w:color="auto"/>
        <w:bottom w:val="none" w:sz="0" w:space="0" w:color="auto"/>
        <w:right w:val="none" w:sz="0" w:space="0" w:color="auto"/>
      </w:divBdr>
    </w:div>
    <w:div w:id="173581297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467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Body weights</a:t>
            </a:r>
            <a:r>
              <a:rPr lang="en-US" baseline="0"/>
              <a:t> </a:t>
            </a:r>
            <a:endParaRPr lang="en-US"/>
          </a:p>
        </c:rich>
      </c:tx>
      <c:overlay val="1"/>
      <c:spPr>
        <a:noFill/>
        <a:ln>
          <a:noFill/>
        </a:ln>
        <a:effectLst/>
      </c:spPr>
    </c:title>
    <c:autoTitleDeleted val="0"/>
    <c:plotArea>
      <c:layout/>
      <c:barChart>
        <c:barDir val="col"/>
        <c:grouping val="clustered"/>
        <c:varyColors val="1"/>
        <c:ser>
          <c:idx val="0"/>
          <c:order val="0"/>
          <c:tx>
            <c:strRef>
              <c:f>Sheet1!$B$1</c:f>
              <c:strCache>
                <c:ptCount val="1"/>
                <c:pt idx="0">
                  <c:v>Initial weights</c:v>
                </c:pt>
              </c:strCache>
            </c:strRef>
          </c:tx>
          <c:spPr>
            <a:solidFill>
              <a:srgbClr val="4F81BD"/>
            </a:solidFill>
            <a:ln>
              <a:noFill/>
            </a:ln>
            <a:effectLst/>
          </c:spPr>
          <c:invertIfNegative val="1"/>
          <c:errBars>
            <c:errBarType val="both"/>
            <c:errValType val="stdErr"/>
            <c:noEndCap val="1"/>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Sheet1!$B$2:$B$6</c:f>
              <c:numCache>
                <c:formatCode>General</c:formatCode>
                <c:ptCount val="5"/>
                <c:pt idx="0">
                  <c:v>200</c:v>
                </c:pt>
                <c:pt idx="1">
                  <c:v>201</c:v>
                </c:pt>
                <c:pt idx="2">
                  <c:v>186</c:v>
                </c:pt>
                <c:pt idx="3">
                  <c:v>174</c:v>
                </c:pt>
                <c:pt idx="4">
                  <c:v>209</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50EE-4DE2-B61F-0D5F76E2E501}"/>
            </c:ext>
          </c:extLst>
        </c:ser>
        <c:ser>
          <c:idx val="1"/>
          <c:order val="1"/>
          <c:tx>
            <c:strRef>
              <c:f>Sheet1!$C$1</c:f>
              <c:strCache>
                <c:ptCount val="1"/>
                <c:pt idx="0">
                  <c:v>Final Weights</c:v>
                </c:pt>
              </c:strCache>
            </c:strRef>
          </c:tx>
          <c:spPr>
            <a:solidFill>
              <a:srgbClr val="C0504D"/>
            </a:solidFill>
            <a:ln>
              <a:noFill/>
            </a:ln>
            <a:effectLst/>
          </c:spPr>
          <c:invertIfNegative val="1"/>
          <c:errBars>
            <c:errBarType val="both"/>
            <c:errValType val="stdErr"/>
            <c:noEndCap val="1"/>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Sheet1!$C$2:$C$6</c:f>
              <c:numCache>
                <c:formatCode>General</c:formatCode>
                <c:ptCount val="5"/>
                <c:pt idx="0">
                  <c:v>244</c:v>
                </c:pt>
                <c:pt idx="1">
                  <c:v>113</c:v>
                </c:pt>
                <c:pt idx="2">
                  <c:v>206</c:v>
                </c:pt>
                <c:pt idx="3">
                  <c:v>190</c:v>
                </c:pt>
                <c:pt idx="4">
                  <c:v>245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50EE-4DE2-B61F-0D5F76E2E501}"/>
            </c:ext>
          </c:extLst>
        </c:ser>
        <c:ser>
          <c:idx val="2"/>
          <c:order val="2"/>
          <c:tx>
            <c:strRef>
              <c:f>Sheet1!$D$1</c:f>
              <c:strCache>
                <c:ptCount val="1"/>
                <c:pt idx="0">
                  <c:v>Column1</c:v>
                </c:pt>
              </c:strCache>
            </c:strRef>
          </c:tx>
          <c:spPr>
            <a:solidFill>
              <a:srgbClr val="9BBB59"/>
            </a:solidFill>
            <a:ln>
              <a:noFill/>
            </a:ln>
            <a:effectLst/>
          </c:spPr>
          <c:invertIfNegative val="1"/>
          <c:errBars>
            <c:errBarType val="both"/>
            <c:errValType val="stdErr"/>
            <c:noEndCap val="1"/>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Sheet1!$D$2:$D$6</c:f>
              <c:numCache>
                <c:formatCode>General</c:formatCode>
                <c:ptCount val="5"/>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50EE-4DE2-B61F-0D5F76E2E501}"/>
            </c:ext>
          </c:extLst>
        </c:ser>
        <c:dLbls>
          <c:showLegendKey val="0"/>
          <c:showVal val="0"/>
          <c:showCatName val="0"/>
          <c:showSerName val="0"/>
          <c:showPercent val="0"/>
          <c:showBubbleSize val="0"/>
        </c:dLbls>
        <c:gapWidth val="219"/>
        <c:overlap val="-27"/>
        <c:axId val="288255064"/>
        <c:axId val="288260160"/>
      </c:barChart>
      <c:catAx>
        <c:axId val="28825506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EXPERIMENTAL</a:t>
                </a:r>
                <a:r>
                  <a:rPr lang="en-US" baseline="0"/>
                  <a:t> GROUPS</a:t>
                </a:r>
                <a:endParaRPr lang="en-US"/>
              </a:p>
            </c:rich>
          </c:tx>
          <c:overlay val="1"/>
          <c:spPr>
            <a:noFill/>
            <a:ln>
              <a:noFill/>
            </a:ln>
            <a:effectLst/>
          </c:spPr>
        </c:title>
        <c:numFmt formatCode="General" sourceLinked="1"/>
        <c:majorTickMark val="none"/>
        <c:minorTickMark val="cross"/>
        <c:tickLblPos val="nextTo"/>
        <c:crossAx val="288260160"/>
        <c:crosses val="autoZero"/>
        <c:auto val="1"/>
        <c:lblAlgn val="ctr"/>
        <c:lblOffset val="100"/>
        <c:noMultiLvlLbl val="1"/>
      </c:catAx>
      <c:valAx>
        <c:axId val="28826016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WEIGHTS</a:t>
                </a:r>
                <a:r>
                  <a:rPr lang="en-US" baseline="0"/>
                  <a:t> (KG)</a:t>
                </a:r>
                <a:endParaRPr lang="en-US"/>
              </a:p>
            </c:rich>
          </c:tx>
          <c:overlay val="1"/>
          <c:spPr>
            <a:noFill/>
            <a:ln>
              <a:noFill/>
            </a:ln>
            <a:effectLst/>
          </c:spPr>
        </c:title>
        <c:numFmt formatCode="General" sourceLinked="1"/>
        <c:majorTickMark val="none"/>
        <c:minorTickMark val="cross"/>
        <c:tickLblPos val="nextTo"/>
        <c:crossAx val="288255064"/>
        <c:crosses val="autoZero"/>
        <c:crossBetween val="between"/>
      </c:valAx>
      <c:spPr>
        <a:noFill/>
        <a:ln>
          <a:noFill/>
        </a:ln>
        <a:effectLst/>
      </c:spPr>
    </c:plotArea>
    <c:legend>
      <c:legendPos val="b"/>
      <c:legendEntry>
        <c:idx val="2"/>
        <c:delete val="1"/>
      </c:legendEntry>
      <c:layout>
        <c:manualLayout>
          <c:xMode val="edge"/>
          <c:yMode val="edge"/>
          <c:x val="0.33334661590178177"/>
          <c:y val="0.93323395406434728"/>
          <c:w val="0.333306586243444"/>
          <c:h val="6.6766045935652704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2994A-2D1B-4EB6-8EBF-3BA16FAF3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574</TotalTime>
  <Pages>10</Pages>
  <Words>4431</Words>
  <Characters>25263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29635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228</cp:revision>
  <cp:lastPrinted>1999-07-06T11:00:00Z</cp:lastPrinted>
  <dcterms:created xsi:type="dcterms:W3CDTF">2014-10-25T14:34:00Z</dcterms:created>
  <dcterms:modified xsi:type="dcterms:W3CDTF">2026-03-21T10:20:00Z</dcterms:modified>
</cp:coreProperties>
</file>