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71965" w14:textId="77777777" w:rsidR="00856E36" w:rsidRDefault="00856E36">
      <w:pPr>
        <w:pStyle w:val="Title"/>
        <w:spacing w:after="0"/>
        <w:jc w:val="both"/>
        <w:rPr>
          <w:rFonts w:ascii="Arial" w:hAnsi="Arial" w:cs="Arial"/>
        </w:rPr>
      </w:pPr>
    </w:p>
    <w:p w14:paraId="558638B8" w14:textId="77777777" w:rsidR="00856E36" w:rsidRDefault="00A659E2">
      <w:pPr>
        <w:pStyle w:val="Author"/>
        <w:spacing w:line="240" w:lineRule="auto"/>
        <w:rPr>
          <w:rFonts w:ascii="Arial" w:hAnsi="Arial" w:cs="Arial"/>
          <w:bCs/>
          <w:iCs/>
          <w:kern w:val="28"/>
          <w:sz w:val="36"/>
        </w:rPr>
      </w:pPr>
      <w:r>
        <w:rPr>
          <w:rFonts w:ascii="Arial" w:hAnsi="Arial"/>
          <w:bCs/>
          <w:iCs/>
          <w:kern w:val="28"/>
          <w:sz w:val="36"/>
        </w:rPr>
        <w:t>Molecular Refinement in Oligodendroglioma Diagnosis: Role of Next Generation Sequencing</w:t>
      </w:r>
      <w:r>
        <w:rPr>
          <w:rFonts w:ascii="Arial" w:hAnsi="Arial" w:cs="Arial"/>
          <w:bCs/>
          <w:iCs/>
          <w:kern w:val="28"/>
          <w:sz w:val="36"/>
        </w:rPr>
        <w:t xml:space="preserve"> </w:t>
      </w:r>
    </w:p>
    <w:p w14:paraId="193ABC98" w14:textId="77777777" w:rsidR="00856E36" w:rsidRDefault="00856E36">
      <w:pPr>
        <w:pStyle w:val="Author"/>
        <w:spacing w:line="240" w:lineRule="auto"/>
        <w:jc w:val="both"/>
        <w:rPr>
          <w:rFonts w:ascii="Arial" w:hAnsi="Arial" w:cs="Arial"/>
          <w:sz w:val="36"/>
        </w:rPr>
      </w:pPr>
    </w:p>
    <w:p w14:paraId="7252CDFC" w14:textId="77777777" w:rsidR="00A2098B" w:rsidRDefault="00A2098B">
      <w:pPr>
        <w:pStyle w:val="Affiliation"/>
        <w:spacing w:after="0" w:line="240" w:lineRule="auto"/>
        <w:rPr>
          <w:rFonts w:ascii="Arial" w:hAnsi="Arial" w:cs="Arial"/>
          <w:i/>
          <w:sz w:val="21"/>
          <w:szCs w:val="21"/>
        </w:rPr>
      </w:pPr>
    </w:p>
    <w:p w14:paraId="2CB7C2F0" w14:textId="77777777" w:rsidR="00856E36" w:rsidRDefault="00856E36">
      <w:pPr>
        <w:pStyle w:val="Affiliation"/>
        <w:spacing w:after="0" w:line="240" w:lineRule="auto"/>
        <w:jc w:val="both"/>
        <w:rPr>
          <w:rFonts w:ascii="Arial" w:hAnsi="Arial" w:cs="Arial"/>
        </w:rPr>
      </w:pPr>
    </w:p>
    <w:p w14:paraId="20BE33F3" w14:textId="77777777" w:rsidR="00856E36" w:rsidRDefault="00856E36">
      <w:pPr>
        <w:pStyle w:val="Affiliation"/>
        <w:spacing w:after="0" w:line="240" w:lineRule="auto"/>
        <w:jc w:val="both"/>
        <w:rPr>
          <w:rFonts w:ascii="Arial" w:hAnsi="Arial" w:cs="Arial"/>
        </w:rPr>
      </w:pPr>
    </w:p>
    <w:p w14:paraId="3BDBC50C" w14:textId="77777777" w:rsidR="00856E36" w:rsidRDefault="00A659E2">
      <w:pPr>
        <w:pStyle w:val="Copyright"/>
        <w:spacing w:after="0" w:line="240" w:lineRule="auto"/>
        <w:jc w:val="both"/>
        <w:rPr>
          <w:rFonts w:ascii="Arial" w:hAnsi="Arial" w:cs="Arial"/>
        </w:rPr>
        <w:sectPr w:rsidR="00856E36" w:rsidSect="00B114D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114300" distR="114300" wp14:anchorId="16ACF7FB" wp14:editId="04B21D59">
                <wp:extent cx="5303520" cy="0"/>
                <wp:effectExtent l="0" t="9525" r="0" b="13335"/>
                <wp:docPr id="3"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AEA3F7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DTVi8+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79233A0B" w14:textId="7A7A5692" w:rsidR="00856E36" w:rsidRDefault="00A659E2">
      <w:pPr>
        <w:pStyle w:val="AbstHead"/>
        <w:spacing w:after="0"/>
        <w:jc w:val="both"/>
        <w:rPr>
          <w:rFonts w:ascii="Arial" w:hAnsi="Arial" w:cs="Arial"/>
        </w:rPr>
      </w:pPr>
      <w:r>
        <w:rPr>
          <w:rFonts w:ascii="Arial" w:hAnsi="Arial" w:cs="Arial"/>
        </w:rPr>
        <w:t xml:space="preserve">ABSTRACT </w:t>
      </w:r>
    </w:p>
    <w:p w14:paraId="5776AC49" w14:textId="77777777" w:rsidR="00856E36" w:rsidRDefault="00856E3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56E36" w14:paraId="103D3608" w14:textId="77777777">
        <w:tc>
          <w:tcPr>
            <w:tcW w:w="9576" w:type="dxa"/>
            <w:shd w:val="clear" w:color="auto" w:fill="F2F2F2"/>
          </w:tcPr>
          <w:p w14:paraId="7EBC42C2" w14:textId="77777777" w:rsidR="00856E36" w:rsidRDefault="00A659E2">
            <w:pPr>
              <w:pStyle w:val="Body"/>
              <w:spacing w:after="0"/>
              <w:rPr>
                <w:rFonts w:ascii="Arial" w:eastAsia="Calibri" w:hAnsi="Arial"/>
                <w:szCs w:val="22"/>
              </w:rPr>
            </w:pPr>
            <w:r>
              <w:rPr>
                <w:rFonts w:ascii="Arial" w:eastAsia="Calibri" w:hAnsi="Arial"/>
                <w:b/>
                <w:bCs/>
                <w:szCs w:val="22"/>
              </w:rPr>
              <w:t>Introduction:</w:t>
            </w:r>
            <w:r>
              <w:rPr>
                <w:rFonts w:ascii="Arial" w:eastAsia="Calibri" w:hAnsi="Arial"/>
                <w:szCs w:val="22"/>
              </w:rPr>
              <w:t xml:space="preserve"> Oligodendroglioma is a rare, slow-growing glioma originating from </w:t>
            </w:r>
            <w:proofErr w:type="spellStart"/>
            <w:r>
              <w:rPr>
                <w:rFonts w:ascii="Arial" w:eastAsia="Calibri" w:hAnsi="Arial"/>
                <w:szCs w:val="22"/>
              </w:rPr>
              <w:t>oligodendrocytic</w:t>
            </w:r>
            <w:proofErr w:type="spellEnd"/>
            <w:r>
              <w:rPr>
                <w:rFonts w:ascii="Arial" w:eastAsia="Calibri" w:hAnsi="Arial"/>
                <w:szCs w:val="22"/>
              </w:rPr>
              <w:t xml:space="preserve"> cells and primarily affects adults. According to the 5th edition (2021) of the World Health Organization Classification of Tumors of the Central Nervous System (WHO 2021, CNS5), a definitive diagnosis requires the presence of an Isocitrate Dehydrogenase (IDH) gene mutation and co-deletion of chromosome arms 1p and 19q. Histopathology, immunohistochemistry (IHC), and molecular genetic analyses form the diagnostic foundation. However, the accuracy of IHC alone in distinguishing oligodendrogliomas from </w:t>
            </w:r>
            <w:proofErr w:type="spellStart"/>
            <w:r>
              <w:rPr>
                <w:rFonts w:ascii="Arial" w:eastAsia="Calibri" w:hAnsi="Arial"/>
                <w:szCs w:val="22"/>
              </w:rPr>
              <w:t>astrocytomas</w:t>
            </w:r>
            <w:proofErr w:type="spellEnd"/>
            <w:r>
              <w:rPr>
                <w:rFonts w:ascii="Arial" w:eastAsia="Calibri" w:hAnsi="Arial"/>
                <w:szCs w:val="22"/>
              </w:rPr>
              <w:t xml:space="preserve"> remains questionable. </w:t>
            </w:r>
          </w:p>
          <w:p w14:paraId="175A0F4E" w14:textId="77777777" w:rsidR="00856E36" w:rsidRDefault="00A659E2">
            <w:pPr>
              <w:pStyle w:val="Body"/>
              <w:spacing w:after="0"/>
              <w:rPr>
                <w:rFonts w:ascii="Arial" w:eastAsia="Calibri" w:hAnsi="Arial"/>
                <w:szCs w:val="22"/>
              </w:rPr>
            </w:pPr>
            <w:r>
              <w:rPr>
                <w:rFonts w:ascii="Arial" w:eastAsia="Calibri" w:hAnsi="Arial"/>
                <w:b/>
                <w:bCs/>
                <w:szCs w:val="22"/>
              </w:rPr>
              <w:t xml:space="preserve">Methods: </w:t>
            </w:r>
            <w:r>
              <w:rPr>
                <w:rFonts w:ascii="Arial" w:eastAsia="Calibri" w:hAnsi="Arial"/>
                <w:szCs w:val="22"/>
              </w:rPr>
              <w:t xml:space="preserve">Based on IHC findings, 11 cases were initially diagnosed as oligodendroglioma, they all were found positive for IDH1 R132H mutation and retained ATRX protein expression and were subjected to further molecular testing. Next Generation Sequencing (NGS) was used to identify the single nucleotide variations (SNVs), fusions and copy number variations (CNVs). The gold standard technique Fluorescence In-Situ Hybridization (FISH) technique was used to identify 1p/19q co-deletion detection along with CNVs. </w:t>
            </w:r>
          </w:p>
          <w:p w14:paraId="7509DC81" w14:textId="77777777" w:rsidR="00856E36" w:rsidRDefault="00A659E2">
            <w:pPr>
              <w:pStyle w:val="Body"/>
              <w:spacing w:after="0"/>
              <w:rPr>
                <w:rFonts w:ascii="Arial" w:eastAsia="Calibri" w:hAnsi="Arial"/>
                <w:szCs w:val="22"/>
              </w:rPr>
            </w:pPr>
            <w:r>
              <w:rPr>
                <w:rFonts w:ascii="Arial" w:eastAsia="Calibri" w:hAnsi="Arial"/>
                <w:b/>
                <w:bCs/>
                <w:szCs w:val="22"/>
              </w:rPr>
              <w:t>Results:</w:t>
            </w:r>
            <w:r>
              <w:rPr>
                <w:rFonts w:ascii="Arial" w:eastAsia="Calibri" w:hAnsi="Arial"/>
                <w:szCs w:val="22"/>
              </w:rPr>
              <w:t xml:space="preserve"> Our NGS results demonstrated that out of 11 patients who were positive for IDH mutation by IHC, 4 patients had IDH wild-type glioma tumors. In another result, we found that 1 patient had 1p/19q co-deletion by FISH and had IDH mutation </w:t>
            </w:r>
            <w:proofErr w:type="spellStart"/>
            <w:r>
              <w:rPr>
                <w:rFonts w:ascii="Arial" w:eastAsia="Calibri" w:hAnsi="Arial"/>
                <w:szCs w:val="22"/>
              </w:rPr>
              <w:t>alongwith</w:t>
            </w:r>
            <w:proofErr w:type="spellEnd"/>
            <w:r>
              <w:rPr>
                <w:rFonts w:ascii="Arial" w:eastAsia="Calibri" w:hAnsi="Arial"/>
                <w:szCs w:val="22"/>
              </w:rPr>
              <w:t xml:space="preserve"> ATRX retained by IHC, however, by NGS, it showed presence of ATRX mutation and no co-deletion in CNVs. Rest 5 samples showed concordance findings with FISH results proving to be negative for oligodendrogliomas. </w:t>
            </w:r>
          </w:p>
          <w:p w14:paraId="165D3169" w14:textId="77777777" w:rsidR="00856E36" w:rsidRDefault="00A659E2">
            <w:pPr>
              <w:pStyle w:val="Body"/>
              <w:spacing w:after="0"/>
              <w:rPr>
                <w:rFonts w:ascii="Arial" w:eastAsia="Calibri" w:hAnsi="Arial" w:cs="Arial"/>
                <w:szCs w:val="22"/>
              </w:rPr>
            </w:pPr>
            <w:r>
              <w:rPr>
                <w:rFonts w:ascii="Arial" w:eastAsia="Calibri" w:hAnsi="Arial"/>
                <w:b/>
                <w:bCs/>
                <w:szCs w:val="22"/>
              </w:rPr>
              <w:t>Conclusion:</w:t>
            </w:r>
            <w:r>
              <w:rPr>
                <w:rFonts w:ascii="Arial" w:eastAsia="Calibri" w:hAnsi="Arial"/>
                <w:szCs w:val="22"/>
              </w:rPr>
              <w:t xml:space="preserve"> NGS is a sensitive advanced molecular technique. In our study, we might conclude that IHC alone is insufficient for definitive oligodendroglioma diagnosis, while FISH remains the diagnostic gold standard, NGS surpasses traditional this technique by offering higher throughput, multi-</w:t>
            </w:r>
            <w:proofErr w:type="spellStart"/>
            <w:r>
              <w:rPr>
                <w:rFonts w:ascii="Arial" w:eastAsia="Calibri" w:hAnsi="Arial"/>
                <w:szCs w:val="22"/>
              </w:rPr>
              <w:t>analyse</w:t>
            </w:r>
            <w:proofErr w:type="spellEnd"/>
            <w:r>
              <w:rPr>
                <w:rFonts w:ascii="Arial" w:eastAsia="Calibri" w:hAnsi="Arial"/>
                <w:szCs w:val="22"/>
              </w:rPr>
              <w:t xml:space="preserve"> profiling, and superior utility with limited biopsy material, enabling precise sub-typing even in challenging cases aligning with WHO CNS5 recommendations.</w:t>
            </w:r>
          </w:p>
        </w:tc>
      </w:tr>
    </w:tbl>
    <w:p w14:paraId="174E7CD1" w14:textId="77777777" w:rsidR="00856E36" w:rsidRDefault="00856E36">
      <w:pPr>
        <w:pStyle w:val="Body"/>
        <w:spacing w:after="0"/>
        <w:rPr>
          <w:rFonts w:ascii="Arial" w:hAnsi="Arial" w:cs="Arial"/>
          <w:i/>
        </w:rPr>
      </w:pPr>
    </w:p>
    <w:p w14:paraId="39172256" w14:textId="77777777" w:rsidR="00856E36" w:rsidRDefault="00A659E2">
      <w:pPr>
        <w:pStyle w:val="Body"/>
        <w:spacing w:after="0"/>
        <w:rPr>
          <w:rFonts w:ascii="Arial" w:hAnsi="Arial"/>
          <w:i/>
        </w:rPr>
      </w:pPr>
      <w:r>
        <w:rPr>
          <w:rFonts w:ascii="Arial" w:hAnsi="Arial"/>
          <w:i/>
        </w:rPr>
        <w:t>Keywords: Oligodendroglioma, Next-Generation Sequencing (NGS), 1p/19q Co-deletion, Immunohistochemistry (IHC), Fluorescence in Situ Hybridization</w:t>
      </w:r>
    </w:p>
    <w:p w14:paraId="478D10DD" w14:textId="77777777" w:rsidR="00856E36" w:rsidRDefault="00856E36">
      <w:pPr>
        <w:pStyle w:val="Body"/>
        <w:spacing w:after="0"/>
        <w:rPr>
          <w:rFonts w:ascii="Arial" w:hAnsi="Arial"/>
          <w:i/>
        </w:rPr>
      </w:pPr>
    </w:p>
    <w:p w14:paraId="09CCBD0A" w14:textId="77777777" w:rsidR="00856E36" w:rsidRDefault="00A659E2" w:rsidP="00B114D3">
      <w:pPr>
        <w:numPr>
          <w:ilvl w:val="0"/>
          <w:numId w:val="2"/>
        </w:numPr>
        <w:jc w:val="both"/>
        <w:rPr>
          <w:rStyle w:val="Strong"/>
          <w:rFonts w:ascii="Arial" w:hAnsi="Arial" w:cs="Arial"/>
          <w:b w:val="0"/>
          <w:bCs w:val="0"/>
          <w:sz w:val="22"/>
          <w:szCs w:val="22"/>
          <w:lang w:val="en-IN"/>
        </w:rPr>
      </w:pPr>
      <w:r>
        <w:rPr>
          <w:rStyle w:val="Strong"/>
          <w:rFonts w:ascii="Arial" w:hAnsi="Arial" w:cs="Arial"/>
          <w:sz w:val="22"/>
          <w:szCs w:val="22"/>
          <w:lang w:val="en-IN"/>
        </w:rPr>
        <w:t>Introduction</w:t>
      </w:r>
    </w:p>
    <w:p w14:paraId="0E7CD871"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Oligodendroglioma represents a rare, distinct subtype of primary central nervous system (CNS) </w:t>
      </w:r>
      <w:proofErr w:type="spellStart"/>
      <w:r>
        <w:rPr>
          <w:rStyle w:val="Strong"/>
          <w:rFonts w:ascii="Arial" w:hAnsi="Arial" w:cs="Arial"/>
          <w:b w:val="0"/>
          <w:bCs w:val="0"/>
          <w:sz w:val="22"/>
          <w:szCs w:val="22"/>
          <w:lang w:val="en-IN"/>
        </w:rPr>
        <w:t>tumors</w:t>
      </w:r>
      <w:proofErr w:type="spellEnd"/>
      <w:r>
        <w:rPr>
          <w:rStyle w:val="Strong"/>
          <w:rFonts w:ascii="Arial" w:hAnsi="Arial" w:cs="Arial"/>
          <w:b w:val="0"/>
          <w:bCs w:val="0"/>
          <w:sz w:val="22"/>
          <w:szCs w:val="22"/>
          <w:lang w:val="en-IN"/>
        </w:rPr>
        <w:t xml:space="preserve"> originating from Oligodendrocyte, the glial cells responsible for myelinating axons in the brain and spinal cord (Bale et al., 2022). Oligodendrogliomas make up 3% to 4% of all brain tumours and 5% to 15% of all gliomas. Approximately 24,000 individuals worldwide receive a diagnosis of oligodendroglioma tumour each year. They usually occur in frontal lobe, with people having age from 40 years to 50 years. (Jiang et al., 2025). The WHO 2021 CNS5 classification stratifies oligodendroglioma into grade 2 (low-grade, slow-growing, </w:t>
      </w:r>
      <w:r>
        <w:rPr>
          <w:rStyle w:val="Strong"/>
          <w:rFonts w:ascii="Arial" w:hAnsi="Arial" w:cs="Arial"/>
          <w:b w:val="0"/>
          <w:bCs w:val="0"/>
          <w:sz w:val="22"/>
          <w:szCs w:val="22"/>
          <w:lang w:val="en-IN"/>
        </w:rPr>
        <w:lastRenderedPageBreak/>
        <w:t xml:space="preserve">seizure-prone </w:t>
      </w:r>
      <w:proofErr w:type="spellStart"/>
      <w:r>
        <w:rPr>
          <w:rStyle w:val="Strong"/>
          <w:rFonts w:ascii="Arial" w:hAnsi="Arial" w:cs="Arial"/>
          <w:b w:val="0"/>
          <w:bCs w:val="0"/>
          <w:sz w:val="22"/>
          <w:szCs w:val="22"/>
          <w:lang w:val="en-IN"/>
        </w:rPr>
        <w:t>tumors</w:t>
      </w:r>
      <w:proofErr w:type="spellEnd"/>
      <w:r>
        <w:rPr>
          <w:rStyle w:val="Strong"/>
          <w:rFonts w:ascii="Arial" w:hAnsi="Arial" w:cs="Arial"/>
          <w:b w:val="0"/>
          <w:bCs w:val="0"/>
          <w:sz w:val="22"/>
          <w:szCs w:val="22"/>
          <w:lang w:val="en-IN"/>
        </w:rPr>
        <w:t xml:space="preserve"> with minimal mitotic activity) and grade 3 (anaplastic variants showing elevated mitotic activity, increased cellularity, microvascular proliferation, and aggressive recurrence risk) </w:t>
      </w:r>
      <w:proofErr w:type="spellStart"/>
      <w:r>
        <w:rPr>
          <w:rStyle w:val="Strong"/>
          <w:rFonts w:ascii="Arial" w:hAnsi="Arial" w:cs="Arial"/>
          <w:b w:val="0"/>
          <w:bCs w:val="0"/>
          <w:sz w:val="22"/>
          <w:szCs w:val="22"/>
          <w:lang w:val="en-IN"/>
        </w:rPr>
        <w:t>tumors</w:t>
      </w:r>
      <w:proofErr w:type="spellEnd"/>
      <w:r>
        <w:rPr>
          <w:rStyle w:val="Strong"/>
          <w:rFonts w:ascii="Arial" w:hAnsi="Arial" w:cs="Arial"/>
          <w:b w:val="0"/>
          <w:bCs w:val="0"/>
          <w:sz w:val="22"/>
          <w:szCs w:val="22"/>
          <w:lang w:val="en-IN"/>
        </w:rPr>
        <w:t xml:space="preserve"> (Guo et al., 2023).</w:t>
      </w:r>
    </w:p>
    <w:p w14:paraId="6688162E" w14:textId="77777777" w:rsidR="00856E36" w:rsidRDefault="00856E36" w:rsidP="00B114D3">
      <w:pPr>
        <w:jc w:val="both"/>
        <w:rPr>
          <w:rStyle w:val="Strong"/>
          <w:rFonts w:ascii="Arial" w:hAnsi="Arial" w:cs="Arial"/>
          <w:b w:val="0"/>
          <w:bCs w:val="0"/>
          <w:sz w:val="22"/>
          <w:szCs w:val="22"/>
          <w:lang w:val="en-IN"/>
        </w:rPr>
      </w:pPr>
    </w:p>
    <w:p w14:paraId="0DC7C638"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Molecularly, oligodendroglioma </w:t>
      </w:r>
      <w:proofErr w:type="spellStart"/>
      <w:r>
        <w:rPr>
          <w:rStyle w:val="Strong"/>
          <w:rFonts w:ascii="Arial" w:hAnsi="Arial" w:cs="Arial"/>
          <w:b w:val="0"/>
          <w:bCs w:val="0"/>
          <w:sz w:val="22"/>
          <w:szCs w:val="22"/>
          <w:lang w:val="en-IN"/>
        </w:rPr>
        <w:t>tumors</w:t>
      </w:r>
      <w:proofErr w:type="spellEnd"/>
      <w:r>
        <w:rPr>
          <w:rStyle w:val="Strong"/>
          <w:rFonts w:ascii="Arial" w:hAnsi="Arial" w:cs="Arial"/>
          <w:b w:val="0"/>
          <w:bCs w:val="0"/>
          <w:sz w:val="22"/>
          <w:szCs w:val="22"/>
          <w:lang w:val="en-IN"/>
        </w:rPr>
        <w:t xml:space="preserve"> are defined by mandatory co-deletion of chromosomal arms 1p/19q, occurring in ~70–90% of cases. (</w:t>
      </w:r>
      <w:proofErr w:type="spellStart"/>
      <w:r>
        <w:rPr>
          <w:rStyle w:val="Strong"/>
          <w:rFonts w:ascii="Arial" w:hAnsi="Arial" w:cs="Arial"/>
          <w:b w:val="0"/>
          <w:bCs w:val="0"/>
          <w:sz w:val="22"/>
          <w:szCs w:val="22"/>
          <w:lang w:val="en-IN"/>
        </w:rPr>
        <w:t>Mandaliya</w:t>
      </w:r>
      <w:proofErr w:type="spellEnd"/>
      <w:r>
        <w:rPr>
          <w:rStyle w:val="Strong"/>
          <w:rFonts w:ascii="Arial" w:hAnsi="Arial" w:cs="Arial"/>
          <w:b w:val="0"/>
          <w:bCs w:val="0"/>
          <w:sz w:val="22"/>
          <w:szCs w:val="22"/>
          <w:lang w:val="en-IN"/>
        </w:rPr>
        <w:t xml:space="preserve"> et at., 2023</w:t>
      </w:r>
      <w:proofErr w:type="gramStart"/>
      <w:r>
        <w:rPr>
          <w:rStyle w:val="Strong"/>
          <w:rFonts w:ascii="Arial" w:hAnsi="Arial" w:cs="Arial"/>
          <w:b w:val="0"/>
          <w:bCs w:val="0"/>
          <w:sz w:val="22"/>
          <w:szCs w:val="22"/>
          <w:lang w:val="en-IN"/>
        </w:rPr>
        <w:t>)  Nearly</w:t>
      </w:r>
      <w:proofErr w:type="gramEnd"/>
      <w:r>
        <w:rPr>
          <w:rStyle w:val="Strong"/>
          <w:rFonts w:ascii="Arial" w:hAnsi="Arial" w:cs="Arial"/>
          <w:b w:val="0"/>
          <w:bCs w:val="0"/>
          <w:sz w:val="22"/>
          <w:szCs w:val="22"/>
          <w:lang w:val="en-IN"/>
        </w:rPr>
        <w:t xml:space="preserve"> all (&gt;95%) carry IDH1 (most commonly R132H) or IDH2 (R172K) mutations. This IDH-mutant, 1p/19q-codeleted molecular profile is pathognomonic for oligodendrogliomas and distinguishes them from </w:t>
      </w:r>
      <w:proofErr w:type="spellStart"/>
      <w:r>
        <w:rPr>
          <w:rStyle w:val="Strong"/>
          <w:rFonts w:ascii="Arial" w:hAnsi="Arial" w:cs="Arial"/>
          <w:b w:val="0"/>
          <w:bCs w:val="0"/>
          <w:sz w:val="22"/>
          <w:szCs w:val="22"/>
          <w:lang w:val="en-IN"/>
        </w:rPr>
        <w:t>astrocytomas</w:t>
      </w:r>
      <w:proofErr w:type="spellEnd"/>
      <w:r>
        <w:rPr>
          <w:rStyle w:val="Strong"/>
          <w:rFonts w:ascii="Arial" w:hAnsi="Arial" w:cs="Arial"/>
          <w:b w:val="0"/>
          <w:bCs w:val="0"/>
          <w:sz w:val="22"/>
          <w:szCs w:val="22"/>
          <w:lang w:val="en-IN"/>
        </w:rPr>
        <w:t>, which typically lack 1p/19q loss and instead demonstrate TP53 mutations and ATRX loss, whereas oligodendrogliomas show ATRX retention and wild-type TP53 (Higuchi et al., 2024</w:t>
      </w:r>
      <w:proofErr w:type="gramStart"/>
      <w:r>
        <w:rPr>
          <w:rStyle w:val="Strong"/>
          <w:rFonts w:ascii="Arial" w:hAnsi="Arial" w:cs="Arial"/>
          <w:b w:val="0"/>
          <w:bCs w:val="0"/>
          <w:sz w:val="22"/>
          <w:szCs w:val="22"/>
          <w:lang w:val="en-IN"/>
        </w:rPr>
        <w:t>) .</w:t>
      </w:r>
      <w:proofErr w:type="gramEnd"/>
      <w:r>
        <w:rPr>
          <w:rStyle w:val="Strong"/>
          <w:rFonts w:ascii="Arial" w:hAnsi="Arial" w:cs="Arial"/>
          <w:b w:val="0"/>
          <w:bCs w:val="0"/>
          <w:sz w:val="22"/>
          <w:szCs w:val="22"/>
          <w:lang w:val="en-IN"/>
        </w:rPr>
        <w:t xml:space="preserve"> TERT promoter mutations co-occur in 70–80% of oligodendrogliomas, activating telomerase and enhancing diagnostic specificity when combined with IDH/1p19q status. (</w:t>
      </w:r>
      <w:proofErr w:type="spellStart"/>
      <w:r>
        <w:rPr>
          <w:rStyle w:val="Strong"/>
          <w:rFonts w:ascii="Arial" w:hAnsi="Arial" w:cs="Arial"/>
          <w:b w:val="0"/>
          <w:bCs w:val="0"/>
          <w:sz w:val="22"/>
          <w:szCs w:val="22"/>
          <w:lang w:val="en-IN"/>
        </w:rPr>
        <w:t>Arita</w:t>
      </w:r>
      <w:proofErr w:type="spellEnd"/>
      <w:r>
        <w:rPr>
          <w:rStyle w:val="Strong"/>
          <w:rFonts w:ascii="Arial" w:hAnsi="Arial" w:cs="Arial"/>
          <w:b w:val="0"/>
          <w:bCs w:val="0"/>
          <w:sz w:val="22"/>
          <w:szCs w:val="22"/>
          <w:lang w:val="en-IN"/>
        </w:rPr>
        <w:t xml:space="preserve"> et al., 2022)</w:t>
      </w:r>
    </w:p>
    <w:p w14:paraId="440C0E36" w14:textId="77777777" w:rsidR="00856E36" w:rsidRDefault="00856E36" w:rsidP="00B114D3">
      <w:pPr>
        <w:jc w:val="both"/>
        <w:rPr>
          <w:rStyle w:val="Strong"/>
          <w:rFonts w:ascii="Arial" w:hAnsi="Arial" w:cs="Arial"/>
          <w:b w:val="0"/>
          <w:bCs w:val="0"/>
          <w:sz w:val="22"/>
          <w:szCs w:val="22"/>
          <w:lang w:val="en-IN"/>
        </w:rPr>
      </w:pPr>
    </w:p>
    <w:p w14:paraId="1D8A0C7B"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The fluorescence in situ hybridization (FISH) has been regarded valuable for targeted 1p/19q confirmation with &gt;95% specificity. (</w:t>
      </w:r>
      <w:proofErr w:type="spellStart"/>
      <w:r>
        <w:rPr>
          <w:rStyle w:val="Strong"/>
          <w:rFonts w:ascii="Arial" w:hAnsi="Arial" w:cs="Arial"/>
          <w:b w:val="0"/>
          <w:bCs w:val="0"/>
          <w:sz w:val="22"/>
          <w:szCs w:val="22"/>
          <w:lang w:val="en-IN"/>
        </w:rPr>
        <w:t>Brandner</w:t>
      </w:r>
      <w:proofErr w:type="spellEnd"/>
      <w:r>
        <w:rPr>
          <w:rStyle w:val="Strong"/>
          <w:rFonts w:ascii="Arial" w:hAnsi="Arial" w:cs="Arial"/>
          <w:b w:val="0"/>
          <w:bCs w:val="0"/>
          <w:sz w:val="22"/>
          <w:szCs w:val="22"/>
          <w:lang w:val="en-IN"/>
        </w:rPr>
        <w:t xml:space="preserve"> et al., 2022). However, advances in molecular diagnostics have transformed oligodendroglioma classification from histology-dependent to molecularly-driven precision. NGS stands out for detecting IDH mutations, 1p/19q co-deletion, TP53, ATRX, and TERT alterations, simultaneously and provides comprehensive genomic insights, including variant allele frequencies, CNVs via read-depth analysis, and fusion detection-critical for distinguishing oligodendrogliomas from histological mimics like IDH-mutant </w:t>
      </w:r>
      <w:proofErr w:type="spellStart"/>
      <w:r>
        <w:rPr>
          <w:rStyle w:val="Strong"/>
          <w:rFonts w:ascii="Arial" w:hAnsi="Arial" w:cs="Arial"/>
          <w:b w:val="0"/>
          <w:bCs w:val="0"/>
          <w:sz w:val="22"/>
          <w:szCs w:val="22"/>
          <w:lang w:val="en-IN"/>
        </w:rPr>
        <w:t>astrocytomas</w:t>
      </w:r>
      <w:proofErr w:type="spellEnd"/>
      <w:r>
        <w:rPr>
          <w:rStyle w:val="Strong"/>
          <w:rFonts w:ascii="Arial" w:hAnsi="Arial" w:cs="Arial"/>
          <w:b w:val="0"/>
          <w:bCs w:val="0"/>
          <w:sz w:val="22"/>
          <w:szCs w:val="22"/>
          <w:lang w:val="en-IN"/>
        </w:rPr>
        <w:t>. (</w:t>
      </w:r>
      <w:proofErr w:type="spellStart"/>
      <w:r>
        <w:rPr>
          <w:rStyle w:val="Strong"/>
          <w:rFonts w:ascii="Arial" w:hAnsi="Arial" w:cs="Arial"/>
          <w:b w:val="0"/>
          <w:bCs w:val="0"/>
          <w:sz w:val="22"/>
          <w:szCs w:val="22"/>
          <w:lang w:val="en-IN"/>
        </w:rPr>
        <w:t>Tirro</w:t>
      </w:r>
      <w:proofErr w:type="spellEnd"/>
      <w:r>
        <w:rPr>
          <w:rStyle w:val="Strong"/>
          <w:rFonts w:ascii="Arial" w:hAnsi="Arial" w:cs="Arial"/>
          <w:b w:val="0"/>
          <w:bCs w:val="0"/>
          <w:sz w:val="22"/>
          <w:szCs w:val="22"/>
          <w:lang w:val="en-IN"/>
        </w:rPr>
        <w:t xml:space="preserve"> et al., 2022). This comprehensive molecular profiling approach provides objective, quantitative, and highly reproducible results that are fully aligned with the WHO CNS5 classification framework. Thus, by capturing the complete molecular landscape, NGS allows accurate and confident distinction between oligodendroglioma and astrocytoma, even in diagnostically challenging cases. </w:t>
      </w:r>
    </w:p>
    <w:p w14:paraId="540D7C83" w14:textId="77777777" w:rsidR="00856E36" w:rsidRDefault="00856E36" w:rsidP="00B114D3">
      <w:pPr>
        <w:jc w:val="both"/>
        <w:rPr>
          <w:rStyle w:val="Strong"/>
          <w:rFonts w:ascii="Arial" w:hAnsi="Arial" w:cs="Arial"/>
          <w:b w:val="0"/>
          <w:bCs w:val="0"/>
          <w:sz w:val="22"/>
          <w:szCs w:val="22"/>
          <w:lang w:val="en-IN"/>
        </w:rPr>
      </w:pPr>
    </w:p>
    <w:p w14:paraId="246E7F6A"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For oligodendroglioma </w:t>
      </w:r>
      <w:proofErr w:type="spellStart"/>
      <w:r>
        <w:rPr>
          <w:rStyle w:val="Strong"/>
          <w:rFonts w:ascii="Arial" w:hAnsi="Arial" w:cs="Arial"/>
          <w:b w:val="0"/>
          <w:bCs w:val="0"/>
          <w:sz w:val="22"/>
          <w:szCs w:val="22"/>
          <w:lang w:val="en-IN"/>
        </w:rPr>
        <w:t>tumors</w:t>
      </w:r>
      <w:proofErr w:type="spellEnd"/>
      <w:r>
        <w:rPr>
          <w:rStyle w:val="Strong"/>
          <w:rFonts w:ascii="Arial" w:hAnsi="Arial" w:cs="Arial"/>
          <w:b w:val="0"/>
          <w:bCs w:val="0"/>
          <w:sz w:val="22"/>
          <w:szCs w:val="22"/>
          <w:lang w:val="en-IN"/>
        </w:rPr>
        <w:t>, apart from classical known genes, other genes such as ARID1A, MAGOH, and ERCC2 reflect chromatin regulation, RNA processing, and DNA repair alterations. (</w:t>
      </w:r>
      <w:proofErr w:type="spellStart"/>
      <w:r>
        <w:rPr>
          <w:rStyle w:val="Strong"/>
          <w:rFonts w:ascii="Arial" w:hAnsi="Arial" w:cs="Arial"/>
          <w:b w:val="0"/>
          <w:bCs w:val="0"/>
          <w:sz w:val="22"/>
          <w:szCs w:val="22"/>
          <w:lang w:val="en-IN"/>
        </w:rPr>
        <w:t>Dand</w:t>
      </w:r>
      <w:proofErr w:type="spellEnd"/>
      <w:r>
        <w:rPr>
          <w:rStyle w:val="Strong"/>
          <w:rFonts w:ascii="Arial" w:hAnsi="Arial" w:cs="Arial"/>
          <w:b w:val="0"/>
          <w:bCs w:val="0"/>
          <w:sz w:val="22"/>
          <w:szCs w:val="22"/>
          <w:lang w:val="en-IN"/>
        </w:rPr>
        <w:t xml:space="preserve"> et al., 2023) Also, MTOR, AKT2, NRAS, and JAK1 converge on PI3K-AKT-mTOR, MAPK, and cytokine </w:t>
      </w:r>
      <w:proofErr w:type="spellStart"/>
      <w:r>
        <w:rPr>
          <w:rStyle w:val="Strong"/>
          <w:rFonts w:ascii="Arial" w:hAnsi="Arial" w:cs="Arial"/>
          <w:b w:val="0"/>
          <w:bCs w:val="0"/>
          <w:sz w:val="22"/>
          <w:szCs w:val="22"/>
          <w:lang w:val="en-IN"/>
        </w:rPr>
        <w:t>signaling</w:t>
      </w:r>
      <w:proofErr w:type="spellEnd"/>
      <w:r>
        <w:rPr>
          <w:rStyle w:val="Strong"/>
          <w:rFonts w:ascii="Arial" w:hAnsi="Arial" w:cs="Arial"/>
          <w:b w:val="0"/>
          <w:bCs w:val="0"/>
          <w:sz w:val="22"/>
          <w:szCs w:val="22"/>
          <w:lang w:val="en-IN"/>
        </w:rPr>
        <w:t xml:space="preserve"> pathways, highlighting oncogenic growth and survival mechanisms. (Wu et al., 2022) MYCL and CCNE1 drive transcriptional activation and cell-cycle progression (Li HL et at., 2023), while NOTCH2 and AXL influence differentiation and invasiveness. (Abdallah 2023) PPP2R1A modulates phosphatase-mediated </w:t>
      </w:r>
      <w:proofErr w:type="spellStart"/>
      <w:r>
        <w:rPr>
          <w:rStyle w:val="Strong"/>
          <w:rFonts w:ascii="Arial" w:hAnsi="Arial" w:cs="Arial"/>
          <w:b w:val="0"/>
          <w:bCs w:val="0"/>
          <w:sz w:val="22"/>
          <w:szCs w:val="22"/>
          <w:lang w:val="en-IN"/>
        </w:rPr>
        <w:t>signaling</w:t>
      </w:r>
      <w:proofErr w:type="spellEnd"/>
      <w:r>
        <w:rPr>
          <w:rStyle w:val="Strong"/>
          <w:rFonts w:ascii="Arial" w:hAnsi="Arial" w:cs="Arial"/>
          <w:b w:val="0"/>
          <w:bCs w:val="0"/>
          <w:sz w:val="22"/>
          <w:szCs w:val="22"/>
          <w:lang w:val="en-IN"/>
        </w:rPr>
        <w:t xml:space="preserve"> control. Collectively, these genes define molecular pathways useful for oligodendroglioma classification, prognostication, and therapeutic targeting (</w:t>
      </w:r>
      <w:r>
        <w:rPr>
          <w:rFonts w:ascii="Arial" w:eastAsia="SimSun" w:hAnsi="Arial" w:cs="Arial"/>
          <w:sz w:val="22"/>
          <w:szCs w:val="22"/>
          <w:shd w:val="clear" w:color="auto" w:fill="FFFFFF"/>
        </w:rPr>
        <w:t>Peris-Martínez</w:t>
      </w:r>
      <w:r>
        <w:rPr>
          <w:rFonts w:ascii="Arial" w:eastAsia="SimSun" w:hAnsi="Arial" w:cs="Arial"/>
          <w:sz w:val="22"/>
          <w:szCs w:val="22"/>
          <w:shd w:val="clear" w:color="auto" w:fill="FFFFFF"/>
          <w:lang w:val="en-IN"/>
        </w:rPr>
        <w:t xml:space="preserve"> et al., 2023)</w:t>
      </w:r>
      <w:r>
        <w:rPr>
          <w:rStyle w:val="Strong"/>
          <w:rFonts w:ascii="Arial" w:hAnsi="Arial" w:cs="Arial"/>
          <w:b w:val="0"/>
          <w:bCs w:val="0"/>
          <w:sz w:val="22"/>
          <w:szCs w:val="22"/>
          <w:lang w:val="en-IN"/>
        </w:rPr>
        <w:t xml:space="preserve">. Based on </w:t>
      </w:r>
      <w:proofErr w:type="gramStart"/>
      <w:r>
        <w:rPr>
          <w:rStyle w:val="Strong"/>
          <w:rFonts w:ascii="Arial" w:hAnsi="Arial" w:cs="Arial"/>
          <w:b w:val="0"/>
          <w:bCs w:val="0"/>
          <w:sz w:val="22"/>
          <w:szCs w:val="22"/>
          <w:lang w:val="en-IN"/>
        </w:rPr>
        <w:t>these information</w:t>
      </w:r>
      <w:proofErr w:type="gramEnd"/>
      <w:r>
        <w:rPr>
          <w:rStyle w:val="Strong"/>
          <w:rFonts w:ascii="Arial" w:hAnsi="Arial" w:cs="Arial"/>
          <w:b w:val="0"/>
          <w:bCs w:val="0"/>
          <w:sz w:val="22"/>
          <w:szCs w:val="22"/>
          <w:lang w:val="en-IN"/>
        </w:rPr>
        <w:t xml:space="preserve">, in the current study, we investigated oligodendroglioma </w:t>
      </w:r>
      <w:proofErr w:type="spellStart"/>
      <w:r>
        <w:rPr>
          <w:rStyle w:val="Strong"/>
          <w:rFonts w:ascii="Arial" w:hAnsi="Arial" w:cs="Arial"/>
          <w:b w:val="0"/>
          <w:bCs w:val="0"/>
          <w:sz w:val="22"/>
          <w:szCs w:val="22"/>
          <w:lang w:val="en-IN"/>
        </w:rPr>
        <w:t>tumor</w:t>
      </w:r>
      <w:proofErr w:type="spellEnd"/>
      <w:r>
        <w:rPr>
          <w:rStyle w:val="Strong"/>
          <w:rFonts w:ascii="Arial" w:hAnsi="Arial" w:cs="Arial"/>
          <w:b w:val="0"/>
          <w:bCs w:val="0"/>
          <w:sz w:val="22"/>
          <w:szCs w:val="22"/>
          <w:lang w:val="en-IN"/>
        </w:rPr>
        <w:t xml:space="preserve"> samples on NGS platform. </w:t>
      </w:r>
    </w:p>
    <w:p w14:paraId="3E1AC679" w14:textId="77777777" w:rsidR="00856E36" w:rsidRDefault="00856E36" w:rsidP="00B114D3">
      <w:pPr>
        <w:jc w:val="both"/>
        <w:rPr>
          <w:rStyle w:val="Strong"/>
          <w:rFonts w:ascii="Arial" w:hAnsi="Arial" w:cs="Arial"/>
          <w:b w:val="0"/>
          <w:bCs w:val="0"/>
          <w:sz w:val="22"/>
          <w:szCs w:val="22"/>
          <w:lang w:val="en-IN"/>
        </w:rPr>
      </w:pPr>
    </w:p>
    <w:p w14:paraId="243CD5F1" w14:textId="77777777" w:rsidR="00856E36" w:rsidRDefault="00A659E2" w:rsidP="00B114D3">
      <w:pPr>
        <w:numPr>
          <w:ilvl w:val="0"/>
          <w:numId w:val="3"/>
        </w:numPr>
        <w:jc w:val="both"/>
        <w:rPr>
          <w:rStyle w:val="Strong"/>
          <w:rFonts w:ascii="Arial" w:hAnsi="Arial" w:cs="Arial"/>
          <w:sz w:val="22"/>
          <w:szCs w:val="22"/>
          <w:lang w:val="en-IN"/>
        </w:rPr>
      </w:pPr>
      <w:r>
        <w:rPr>
          <w:rStyle w:val="Strong"/>
          <w:rFonts w:ascii="Arial" w:hAnsi="Arial" w:cs="Arial"/>
          <w:sz w:val="22"/>
          <w:szCs w:val="22"/>
          <w:lang w:val="en-IN"/>
        </w:rPr>
        <w:t>Materials and Methods</w:t>
      </w:r>
    </w:p>
    <w:p w14:paraId="4CE84B0D"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After collecting consent form and taking ethical approval from “Institutional Ethics Committee”, in the current study, histologically confirmed 11 oligodendrogliomas </w:t>
      </w:r>
      <w:proofErr w:type="spellStart"/>
      <w:r>
        <w:rPr>
          <w:rStyle w:val="Strong"/>
          <w:rFonts w:ascii="Arial" w:hAnsi="Arial" w:cs="Arial"/>
          <w:b w:val="0"/>
          <w:bCs w:val="0"/>
          <w:sz w:val="22"/>
          <w:szCs w:val="22"/>
          <w:lang w:val="en-IN"/>
        </w:rPr>
        <w:t>tumors</w:t>
      </w:r>
      <w:proofErr w:type="spellEnd"/>
      <w:r>
        <w:rPr>
          <w:rStyle w:val="Strong"/>
          <w:rFonts w:ascii="Arial" w:hAnsi="Arial" w:cs="Arial"/>
          <w:b w:val="0"/>
          <w:bCs w:val="0"/>
          <w:sz w:val="22"/>
          <w:szCs w:val="22"/>
          <w:lang w:val="en-IN"/>
        </w:rPr>
        <w:t xml:space="preserve"> were analysed for comprehensive molecular profiling. DNA and RNA were extracted from fresh-frozen tissues using the </w:t>
      </w:r>
      <w:proofErr w:type="spellStart"/>
      <w:r>
        <w:rPr>
          <w:rStyle w:val="Strong"/>
          <w:rFonts w:ascii="Arial" w:hAnsi="Arial" w:cs="Arial"/>
          <w:b w:val="0"/>
          <w:bCs w:val="0"/>
          <w:sz w:val="22"/>
          <w:szCs w:val="22"/>
          <w:lang w:val="en-IN"/>
        </w:rPr>
        <w:t>QIAa</w:t>
      </w:r>
      <w:r w:rsidR="00AB5673">
        <w:rPr>
          <w:rStyle w:val="Strong"/>
          <w:rFonts w:ascii="Arial" w:hAnsi="Arial" w:cs="Arial"/>
          <w:b w:val="0"/>
          <w:bCs w:val="0"/>
          <w:sz w:val="22"/>
          <w:szCs w:val="22"/>
          <w:lang w:val="en-IN"/>
        </w:rPr>
        <w:t>mp</w:t>
      </w:r>
      <w:proofErr w:type="spellEnd"/>
      <w:r w:rsidR="00AB5673">
        <w:rPr>
          <w:rStyle w:val="Strong"/>
          <w:rFonts w:ascii="Arial" w:hAnsi="Arial" w:cs="Arial"/>
          <w:b w:val="0"/>
          <w:bCs w:val="0"/>
          <w:sz w:val="22"/>
          <w:szCs w:val="22"/>
          <w:lang w:val="en-IN"/>
        </w:rPr>
        <w:t xml:space="preserve"> DNA &amp; RNA kits, respectively.</w:t>
      </w:r>
    </w:p>
    <w:p w14:paraId="06941D06" w14:textId="77777777" w:rsidR="00AB5673" w:rsidRDefault="00AB5673" w:rsidP="00B114D3">
      <w:pPr>
        <w:jc w:val="both"/>
        <w:rPr>
          <w:rStyle w:val="Strong"/>
          <w:rFonts w:ascii="Arial" w:hAnsi="Arial" w:cs="Arial"/>
          <w:b w:val="0"/>
          <w:bCs w:val="0"/>
          <w:sz w:val="22"/>
          <w:szCs w:val="22"/>
          <w:lang w:val="en-IN"/>
        </w:rPr>
      </w:pPr>
    </w:p>
    <w:p w14:paraId="7B2A26D9"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Nucleic acid concentrations were quantified via Qubit 4 Fluorometer (Thermo Fisher Scientific, Waltham, MA, USA) with dsDNA HS and RNA HS assay kits.  Quality assessment involved spectrophotometric analysis on the </w:t>
      </w:r>
      <w:proofErr w:type="spellStart"/>
      <w:r>
        <w:rPr>
          <w:rStyle w:val="Strong"/>
          <w:rFonts w:ascii="Arial" w:hAnsi="Arial" w:cs="Arial"/>
          <w:b w:val="0"/>
          <w:bCs w:val="0"/>
          <w:sz w:val="22"/>
          <w:szCs w:val="22"/>
          <w:lang w:val="en-IN"/>
        </w:rPr>
        <w:t>Varioskan</w:t>
      </w:r>
      <w:proofErr w:type="spellEnd"/>
      <w:r>
        <w:rPr>
          <w:rStyle w:val="Strong"/>
          <w:rFonts w:ascii="Arial" w:hAnsi="Arial" w:cs="Arial"/>
          <w:b w:val="0"/>
          <w:bCs w:val="0"/>
          <w:sz w:val="22"/>
          <w:szCs w:val="22"/>
          <w:lang w:val="en-IN"/>
        </w:rPr>
        <w:t xml:space="preserve"> LUX multimode microplate reader, evaluating 260/280 nm (1.8–2.0) and 260/230 nm (&gt;1.8) ratios to confirm minimal contamination or degradation.</w:t>
      </w:r>
    </w:p>
    <w:p w14:paraId="1B215177" w14:textId="77777777" w:rsidR="00856E36" w:rsidRDefault="00856E36" w:rsidP="00B114D3">
      <w:pPr>
        <w:jc w:val="both"/>
        <w:rPr>
          <w:rStyle w:val="Strong"/>
          <w:rFonts w:ascii="Arial" w:hAnsi="Arial" w:cs="Arial"/>
          <w:b w:val="0"/>
          <w:bCs w:val="0"/>
          <w:sz w:val="22"/>
          <w:szCs w:val="22"/>
          <w:lang w:val="en-IN"/>
        </w:rPr>
      </w:pPr>
    </w:p>
    <w:p w14:paraId="683EF4CE"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Further for the NGS, 25 µL sample with the concentration of 5 ng/µL DNA and RNA respectively were loaded in the Ion Torrent </w:t>
      </w:r>
      <w:proofErr w:type="spellStart"/>
      <w:r>
        <w:rPr>
          <w:rStyle w:val="Strong"/>
          <w:rFonts w:ascii="Arial" w:hAnsi="Arial" w:cs="Arial"/>
          <w:b w:val="0"/>
          <w:bCs w:val="0"/>
          <w:sz w:val="22"/>
          <w:szCs w:val="22"/>
          <w:lang w:val="en-IN"/>
        </w:rPr>
        <w:t>Genexus</w:t>
      </w:r>
      <w:proofErr w:type="spellEnd"/>
      <w:r>
        <w:rPr>
          <w:rStyle w:val="Strong"/>
          <w:rFonts w:ascii="Arial" w:hAnsi="Arial" w:cs="Arial"/>
          <w:b w:val="0"/>
          <w:bCs w:val="0"/>
          <w:sz w:val="22"/>
          <w:szCs w:val="22"/>
          <w:lang w:val="en-IN"/>
        </w:rPr>
        <w:t xml:space="preserve"> Integrated Sequencer (Thermo Fisher Scientific) and analysed using the </w:t>
      </w:r>
      <w:proofErr w:type="spellStart"/>
      <w:r>
        <w:rPr>
          <w:rStyle w:val="Strong"/>
          <w:rFonts w:ascii="Arial" w:hAnsi="Arial" w:cs="Arial"/>
          <w:b w:val="0"/>
          <w:bCs w:val="0"/>
          <w:sz w:val="22"/>
          <w:szCs w:val="22"/>
          <w:lang w:val="en-IN"/>
        </w:rPr>
        <w:t>Oncomine</w:t>
      </w:r>
      <w:proofErr w:type="spellEnd"/>
      <w:r>
        <w:rPr>
          <w:rStyle w:val="Strong"/>
          <w:rFonts w:ascii="Arial" w:hAnsi="Arial" w:cs="Arial"/>
          <w:b w:val="0"/>
          <w:bCs w:val="0"/>
          <w:sz w:val="22"/>
          <w:szCs w:val="22"/>
          <w:lang w:val="en-IN"/>
        </w:rPr>
        <w:t xml:space="preserve"> Comprehensive Assay v3 (OCAv3) panel. This multiplex assay enables simultaneous detection of SNVs, CNVs, and gene fusions critical to glioma biology, including IDH1/IDH2 hotspots and 1p/19q co-deletions.</w:t>
      </w:r>
    </w:p>
    <w:p w14:paraId="524273FA" w14:textId="77777777" w:rsidR="00856E36" w:rsidRDefault="00856E36" w:rsidP="00B114D3">
      <w:pPr>
        <w:jc w:val="both"/>
        <w:rPr>
          <w:rStyle w:val="Strong"/>
          <w:rFonts w:ascii="Arial" w:hAnsi="Arial" w:cs="Arial"/>
          <w:b w:val="0"/>
          <w:bCs w:val="0"/>
          <w:sz w:val="22"/>
          <w:szCs w:val="22"/>
          <w:lang w:val="en-IN"/>
        </w:rPr>
      </w:pPr>
    </w:p>
    <w:p w14:paraId="5A68224C" w14:textId="77777777" w:rsidR="00856E36" w:rsidRDefault="00A659E2" w:rsidP="00B114D3">
      <w:pPr>
        <w:numPr>
          <w:ilvl w:val="0"/>
          <w:numId w:val="4"/>
        </w:numPr>
        <w:jc w:val="both"/>
        <w:rPr>
          <w:rStyle w:val="Strong"/>
          <w:rFonts w:ascii="Arial" w:hAnsi="Arial" w:cs="Arial"/>
          <w:sz w:val="22"/>
          <w:szCs w:val="22"/>
          <w:lang w:val="en-IN"/>
        </w:rPr>
      </w:pPr>
      <w:r>
        <w:rPr>
          <w:rStyle w:val="Strong"/>
          <w:rFonts w:ascii="Arial" w:hAnsi="Arial" w:cs="Arial"/>
          <w:sz w:val="22"/>
          <w:szCs w:val="22"/>
          <w:lang w:val="en-IN"/>
        </w:rPr>
        <w:t>Results</w:t>
      </w:r>
    </w:p>
    <w:p w14:paraId="67F8ADB3" w14:textId="77777777" w:rsidR="00856E36" w:rsidRDefault="00A659E2" w:rsidP="00B114D3">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Clinicopathological Features</w:t>
      </w:r>
    </w:p>
    <w:p w14:paraId="4A2CA20A"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The clinicopathological characteristics of the oligodendroglioma were identified in age, gender, grade, </w:t>
      </w:r>
      <w:proofErr w:type="spellStart"/>
      <w:r>
        <w:rPr>
          <w:rStyle w:val="Strong"/>
          <w:rFonts w:ascii="Arial" w:hAnsi="Arial" w:cs="Arial"/>
          <w:b w:val="0"/>
          <w:bCs w:val="0"/>
          <w:sz w:val="22"/>
          <w:szCs w:val="22"/>
          <w:lang w:val="en-IN"/>
        </w:rPr>
        <w:t>tumor</w:t>
      </w:r>
      <w:proofErr w:type="spellEnd"/>
      <w:r>
        <w:rPr>
          <w:rStyle w:val="Strong"/>
          <w:rFonts w:ascii="Arial" w:hAnsi="Arial" w:cs="Arial"/>
          <w:b w:val="0"/>
          <w:bCs w:val="0"/>
          <w:sz w:val="22"/>
          <w:szCs w:val="22"/>
          <w:lang w:val="en-IN"/>
        </w:rPr>
        <w:t xml:space="preserve"> location, MGMT status &amp; therapies. 6 males and 5 females were enrolled in our study. Further </w:t>
      </w:r>
      <w:proofErr w:type="gramStart"/>
      <w:r>
        <w:rPr>
          <w:rStyle w:val="Strong"/>
          <w:rFonts w:ascii="Arial" w:hAnsi="Arial" w:cs="Arial"/>
          <w:b w:val="0"/>
          <w:bCs w:val="0"/>
          <w:sz w:val="22"/>
          <w:szCs w:val="22"/>
          <w:lang w:val="en-IN"/>
        </w:rPr>
        <w:t>grade based</w:t>
      </w:r>
      <w:proofErr w:type="gramEnd"/>
      <w:r>
        <w:rPr>
          <w:rStyle w:val="Strong"/>
          <w:rFonts w:ascii="Arial" w:hAnsi="Arial" w:cs="Arial"/>
          <w:b w:val="0"/>
          <w:bCs w:val="0"/>
          <w:sz w:val="22"/>
          <w:szCs w:val="22"/>
          <w:lang w:val="en-IN"/>
        </w:rPr>
        <w:t xml:space="preserve"> analysis showed that 6 patients were of grade 2 and 5 patients with grade 3. Regarding </w:t>
      </w:r>
      <w:proofErr w:type="spellStart"/>
      <w:r>
        <w:rPr>
          <w:rStyle w:val="Strong"/>
          <w:rFonts w:ascii="Arial" w:hAnsi="Arial" w:cs="Arial"/>
          <w:b w:val="0"/>
          <w:bCs w:val="0"/>
          <w:sz w:val="22"/>
          <w:szCs w:val="22"/>
          <w:lang w:val="en-IN"/>
        </w:rPr>
        <w:t>tumor</w:t>
      </w:r>
      <w:proofErr w:type="spellEnd"/>
      <w:r>
        <w:rPr>
          <w:rStyle w:val="Strong"/>
          <w:rFonts w:ascii="Arial" w:hAnsi="Arial" w:cs="Arial"/>
          <w:b w:val="0"/>
          <w:bCs w:val="0"/>
          <w:sz w:val="22"/>
          <w:szCs w:val="22"/>
          <w:lang w:val="en-IN"/>
        </w:rPr>
        <w:t xml:space="preserve"> location, frontal lobe involvement was most common followed by parietal lobe </w:t>
      </w:r>
      <w:proofErr w:type="spellStart"/>
      <w:r>
        <w:rPr>
          <w:rStyle w:val="Strong"/>
          <w:rFonts w:ascii="Arial" w:hAnsi="Arial" w:cs="Arial"/>
          <w:b w:val="0"/>
          <w:bCs w:val="0"/>
          <w:sz w:val="22"/>
          <w:szCs w:val="22"/>
          <w:lang w:val="en-IN"/>
        </w:rPr>
        <w:t>tumors</w:t>
      </w:r>
      <w:proofErr w:type="spellEnd"/>
      <w:r>
        <w:rPr>
          <w:rStyle w:val="Strong"/>
          <w:rFonts w:ascii="Arial" w:hAnsi="Arial" w:cs="Arial"/>
          <w:b w:val="0"/>
          <w:bCs w:val="0"/>
          <w:sz w:val="22"/>
          <w:szCs w:val="22"/>
          <w:lang w:val="en-IN"/>
        </w:rPr>
        <w:t xml:space="preserve">. 9 out of 11 patients lacked MGMT methylation. 54.55% Patients received combined surgery, chemotherapy, and radiotherapy followed by received surgery with chemotherapy surgery with radiotherapy </w:t>
      </w:r>
      <w:r w:rsidR="009F052B">
        <w:rPr>
          <w:rStyle w:val="Strong"/>
          <w:rFonts w:ascii="Arial" w:hAnsi="Arial" w:cs="Arial"/>
          <w:b w:val="0"/>
          <w:bCs w:val="0"/>
          <w:sz w:val="22"/>
          <w:szCs w:val="22"/>
          <w:lang w:val="en-IN"/>
        </w:rPr>
        <w:t>19</w:t>
      </w:r>
      <w:r>
        <w:rPr>
          <w:rStyle w:val="Strong"/>
          <w:rFonts w:ascii="Arial" w:hAnsi="Arial" w:cs="Arial"/>
          <w:b w:val="0"/>
          <w:bCs w:val="0"/>
          <w:sz w:val="22"/>
          <w:szCs w:val="22"/>
          <w:lang w:val="en-IN"/>
        </w:rPr>
        <w:t>.1</w:t>
      </w:r>
      <w:r w:rsidR="009F052B">
        <w:rPr>
          <w:rStyle w:val="Strong"/>
          <w:rFonts w:ascii="Arial" w:hAnsi="Arial" w:cs="Arial"/>
          <w:b w:val="0"/>
          <w:bCs w:val="0"/>
          <w:sz w:val="22"/>
          <w:szCs w:val="22"/>
          <w:lang w:val="en-IN"/>
        </w:rPr>
        <w:t>1</w:t>
      </w:r>
      <w:r>
        <w:rPr>
          <w:rStyle w:val="Strong"/>
          <w:rFonts w:ascii="Arial" w:hAnsi="Arial" w:cs="Arial"/>
          <w:b w:val="0"/>
          <w:bCs w:val="0"/>
          <w:sz w:val="22"/>
          <w:szCs w:val="22"/>
          <w:lang w:val="en-IN"/>
        </w:rPr>
        <w:t>%, and surgery alone 9.09%. Overall, the figure illustrates demographic trends, molecular features, and treatment patterns characteristic of oligodendroglioma management.</w:t>
      </w:r>
    </w:p>
    <w:p w14:paraId="2D5136B2" w14:textId="77777777" w:rsidR="00856E36" w:rsidRDefault="00A659E2" w:rsidP="00B114D3">
      <w:pPr>
        <w:jc w:val="center"/>
        <w:rPr>
          <w:rStyle w:val="Strong"/>
          <w:rFonts w:ascii="Arial" w:hAnsi="Arial" w:cs="Arial"/>
          <w:sz w:val="22"/>
          <w:szCs w:val="22"/>
          <w:lang w:val="en-IN"/>
        </w:rPr>
      </w:pPr>
      <w:r>
        <w:rPr>
          <w:rStyle w:val="Strong"/>
          <w:rFonts w:ascii="Arial" w:hAnsi="Arial" w:cs="Arial"/>
          <w:b w:val="0"/>
          <w:bCs w:val="0"/>
          <w:noProof/>
          <w:sz w:val="22"/>
          <w:szCs w:val="22"/>
          <w:lang w:val="en-IN" w:eastAsia="en-IN"/>
        </w:rPr>
        <w:drawing>
          <wp:anchor distT="0" distB="0" distL="114300" distR="114300" simplePos="0" relativeHeight="251661312" behindDoc="0" locked="0" layoutInCell="1" allowOverlap="1" wp14:anchorId="401C858C" wp14:editId="213C17C4">
            <wp:simplePos x="0" y="0"/>
            <wp:positionH relativeFrom="column">
              <wp:posOffset>-480695</wp:posOffset>
            </wp:positionH>
            <wp:positionV relativeFrom="paragraph">
              <wp:posOffset>123825</wp:posOffset>
            </wp:positionV>
            <wp:extent cx="5605145" cy="2980690"/>
            <wp:effectExtent l="0" t="0" r="3175" b="6350"/>
            <wp:wrapTopAndBottom/>
            <wp:docPr id="1" name="Picture 1" descr="Screenshot 2025-12-27 13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2025-12-27 134101"/>
                    <pic:cNvPicPr>
                      <a:picLocks noChangeAspect="1"/>
                    </pic:cNvPicPr>
                  </pic:nvPicPr>
                  <pic:blipFill>
                    <a:blip r:embed="rId15"/>
                    <a:stretch>
                      <a:fillRect/>
                    </a:stretch>
                  </pic:blipFill>
                  <pic:spPr>
                    <a:xfrm>
                      <a:off x="0" y="0"/>
                      <a:ext cx="5605145" cy="2980690"/>
                    </a:xfrm>
                    <a:prstGeom prst="rect">
                      <a:avLst/>
                    </a:prstGeom>
                  </pic:spPr>
                </pic:pic>
              </a:graphicData>
            </a:graphic>
          </wp:anchor>
        </w:drawing>
      </w:r>
    </w:p>
    <w:p w14:paraId="1FAC1512" w14:textId="77777777" w:rsidR="00856E36" w:rsidRDefault="00A659E2" w:rsidP="00B114D3">
      <w:pPr>
        <w:rPr>
          <w:rStyle w:val="Strong"/>
          <w:rFonts w:ascii="Arial" w:hAnsi="Arial" w:cs="Arial"/>
          <w:sz w:val="22"/>
          <w:szCs w:val="22"/>
          <w:lang w:val="en-IN"/>
        </w:rPr>
      </w:pPr>
      <w:r>
        <w:rPr>
          <w:rStyle w:val="Strong"/>
          <w:rFonts w:ascii="Arial" w:hAnsi="Arial" w:cs="Arial"/>
          <w:sz w:val="22"/>
          <w:szCs w:val="22"/>
          <w:lang w:val="en-IN"/>
        </w:rPr>
        <w:t xml:space="preserve">Fig </w:t>
      </w:r>
      <w:proofErr w:type="gramStart"/>
      <w:r>
        <w:rPr>
          <w:rStyle w:val="Strong"/>
          <w:rFonts w:ascii="Arial" w:hAnsi="Arial" w:cs="Arial"/>
          <w:sz w:val="22"/>
          <w:szCs w:val="22"/>
          <w:lang w:val="en-IN"/>
        </w:rPr>
        <w:t>1:-</w:t>
      </w:r>
      <w:proofErr w:type="gramEnd"/>
      <w:r>
        <w:rPr>
          <w:rStyle w:val="Strong"/>
          <w:rFonts w:ascii="Arial" w:hAnsi="Arial" w:cs="Arial"/>
          <w:sz w:val="22"/>
          <w:szCs w:val="22"/>
          <w:lang w:val="en-IN"/>
        </w:rPr>
        <w:t xml:space="preserve"> Distribution of Clinicopathological parameters among 11 patients studied</w:t>
      </w:r>
    </w:p>
    <w:p w14:paraId="27B1152E" w14:textId="77777777" w:rsidR="00856E36" w:rsidRDefault="00856E36" w:rsidP="00B114D3">
      <w:pPr>
        <w:jc w:val="both"/>
        <w:rPr>
          <w:rStyle w:val="Strong"/>
          <w:rFonts w:ascii="Arial" w:hAnsi="Arial" w:cs="Arial"/>
          <w:sz w:val="22"/>
          <w:szCs w:val="22"/>
          <w:lang w:val="en-IN"/>
        </w:rPr>
      </w:pPr>
    </w:p>
    <w:p w14:paraId="4F863DAF" w14:textId="77777777" w:rsidR="00856E36" w:rsidRDefault="00856E36" w:rsidP="00B114D3">
      <w:pPr>
        <w:jc w:val="both"/>
        <w:rPr>
          <w:rStyle w:val="Strong"/>
          <w:rFonts w:ascii="Arial" w:hAnsi="Arial" w:cs="Arial"/>
          <w:sz w:val="22"/>
          <w:szCs w:val="22"/>
          <w:lang w:val="en-IN"/>
        </w:rPr>
      </w:pPr>
    </w:p>
    <w:p w14:paraId="6BF93059" w14:textId="77777777" w:rsidR="00856E36" w:rsidRDefault="00A659E2" w:rsidP="00B114D3">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Immunohistochemistry Marker Analysis</w:t>
      </w:r>
    </w:p>
    <w:p w14:paraId="51C0B500"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Across all 11 </w:t>
      </w:r>
      <w:proofErr w:type="spellStart"/>
      <w:r>
        <w:rPr>
          <w:rStyle w:val="Strong"/>
          <w:rFonts w:ascii="Arial" w:hAnsi="Arial" w:cs="Arial"/>
          <w:b w:val="0"/>
          <w:bCs w:val="0"/>
          <w:sz w:val="22"/>
          <w:szCs w:val="22"/>
          <w:lang w:val="en-IN"/>
        </w:rPr>
        <w:t>tumor</w:t>
      </w:r>
      <w:proofErr w:type="spellEnd"/>
      <w:r>
        <w:rPr>
          <w:rStyle w:val="Strong"/>
          <w:rFonts w:ascii="Arial" w:hAnsi="Arial" w:cs="Arial"/>
          <w:b w:val="0"/>
          <w:bCs w:val="0"/>
          <w:sz w:val="22"/>
          <w:szCs w:val="22"/>
          <w:lang w:val="en-IN"/>
        </w:rPr>
        <w:t xml:space="preserve"> samples, IDH mutations were uniformly detected by IHC, confirming an IDH-mutant status in the entire cohort. TP53 mutations were identified in three samples. ATRX expression was retained in all </w:t>
      </w:r>
      <w:proofErr w:type="spellStart"/>
      <w:r>
        <w:rPr>
          <w:rStyle w:val="Strong"/>
          <w:rFonts w:ascii="Arial" w:hAnsi="Arial" w:cs="Arial"/>
          <w:b w:val="0"/>
          <w:bCs w:val="0"/>
          <w:sz w:val="22"/>
          <w:szCs w:val="22"/>
          <w:lang w:val="en-IN"/>
        </w:rPr>
        <w:t>tumors</w:t>
      </w:r>
      <w:proofErr w:type="spellEnd"/>
      <w:r>
        <w:rPr>
          <w:rStyle w:val="Strong"/>
          <w:rFonts w:ascii="Arial" w:hAnsi="Arial" w:cs="Arial"/>
          <w:b w:val="0"/>
          <w:bCs w:val="0"/>
          <w:sz w:val="22"/>
          <w:szCs w:val="22"/>
          <w:lang w:val="en-IN"/>
        </w:rPr>
        <w:t>, with one sample showing focal, patchy partial positivity. TERT promoter mutations could not be evaluated using IHC. Collectively, these IIHC findings are consistent with the molecular profile of IDH-mutant oligodendrogliomas.</w:t>
      </w:r>
    </w:p>
    <w:p w14:paraId="68ECA5C7" w14:textId="77777777" w:rsidR="00856E36" w:rsidRDefault="00856E36" w:rsidP="00B114D3">
      <w:pPr>
        <w:jc w:val="both"/>
        <w:rPr>
          <w:rStyle w:val="Strong"/>
          <w:rFonts w:ascii="Arial" w:hAnsi="Arial" w:cs="Arial"/>
          <w:b w:val="0"/>
          <w:bCs w:val="0"/>
          <w:sz w:val="22"/>
          <w:szCs w:val="22"/>
          <w:lang w:val="en-IN"/>
        </w:rPr>
      </w:pPr>
    </w:p>
    <w:p w14:paraId="59A0A8E5" w14:textId="77777777" w:rsidR="00856E36" w:rsidRDefault="00856E36" w:rsidP="00B114D3">
      <w:pPr>
        <w:jc w:val="both"/>
        <w:rPr>
          <w:rStyle w:val="Strong"/>
          <w:rFonts w:ascii="Arial" w:hAnsi="Arial" w:cs="Arial"/>
          <w:b w:val="0"/>
          <w:bCs w:val="0"/>
          <w:sz w:val="22"/>
          <w:szCs w:val="22"/>
          <w:lang w:val="en-IN"/>
        </w:rPr>
      </w:pPr>
    </w:p>
    <w:p w14:paraId="037C3EB9" w14:textId="77777777" w:rsidR="00856E36" w:rsidRDefault="00A659E2" w:rsidP="00B114D3">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 xml:space="preserve">Florescent In-Situ Hybridization (FISH) </w:t>
      </w:r>
    </w:p>
    <w:p w14:paraId="507EF767"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For 1p/19q co-deletion, all samples evaluated by FISH. Out of 11 samples, 10 cases were negative, indicating absence of whole-arm 1p and 19q loss. Only one sample demonstrated a positive result, confirming true 1p/19q co-deletion and supporting a definitive oligodendroglioma diagnosis in that case.</w:t>
      </w:r>
    </w:p>
    <w:p w14:paraId="31E60D1A" w14:textId="77777777" w:rsidR="00856E36" w:rsidRDefault="00856E36" w:rsidP="00B114D3">
      <w:pPr>
        <w:jc w:val="both"/>
        <w:rPr>
          <w:rStyle w:val="Strong"/>
          <w:rFonts w:ascii="Arial" w:hAnsi="Arial" w:cs="Arial"/>
          <w:b w:val="0"/>
          <w:bCs w:val="0"/>
          <w:sz w:val="22"/>
          <w:szCs w:val="22"/>
          <w:lang w:val="en-IN"/>
        </w:rPr>
      </w:pPr>
    </w:p>
    <w:p w14:paraId="61915A63" w14:textId="77777777" w:rsidR="00856E36" w:rsidRDefault="00856E36" w:rsidP="00B114D3">
      <w:pPr>
        <w:jc w:val="both"/>
        <w:rPr>
          <w:rStyle w:val="Strong"/>
          <w:rFonts w:ascii="Arial" w:hAnsi="Arial" w:cs="Arial"/>
          <w:b w:val="0"/>
          <w:bCs w:val="0"/>
          <w:sz w:val="22"/>
          <w:szCs w:val="22"/>
          <w:lang w:val="en-IN"/>
        </w:rPr>
      </w:pPr>
    </w:p>
    <w:p w14:paraId="20456DCB" w14:textId="77777777" w:rsidR="00856E36" w:rsidRDefault="00A659E2" w:rsidP="00B114D3">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 xml:space="preserve">Single Nucleotide Variants </w:t>
      </w:r>
    </w:p>
    <w:p w14:paraId="2291D8D1"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On NGS platform, we detected total 40 SNVs in 14 glioma-associated genes. The highest mutation frequencies observed in IDH1 (26.7%) followed by TERT (20%), TP53 (10%), NOTCH1 (6.7%), PIK3CA (6.7%), and a spectrum of lower-frequency alterations in ATRX, FBXW7, MTOR, PDGFRA, PIK3R1, POLE, PTEN, ROS1, and SLX4 (each 3.3%). This mutational landscape reflects canonical glioma biology, where the co-occurrence of IDH1 with TP53 and/or ATRX is more characteristic of IDH-mutant astrocytoma, whereas isolated TERT promoter mutations are more often associated with oligodendroglioma, although they are not dominant in this cohort. Overall, the profile highlights convergent disruption of DNA repair and PI3K–AKT–mTOR </w:t>
      </w:r>
      <w:proofErr w:type="spellStart"/>
      <w:r>
        <w:rPr>
          <w:rStyle w:val="Strong"/>
          <w:rFonts w:ascii="Arial" w:hAnsi="Arial" w:cs="Arial"/>
          <w:b w:val="0"/>
          <w:bCs w:val="0"/>
          <w:sz w:val="22"/>
          <w:szCs w:val="22"/>
          <w:lang w:val="en-IN"/>
        </w:rPr>
        <w:t>signaling</w:t>
      </w:r>
      <w:proofErr w:type="spellEnd"/>
      <w:r>
        <w:rPr>
          <w:rStyle w:val="Strong"/>
          <w:rFonts w:ascii="Arial" w:hAnsi="Arial" w:cs="Arial"/>
          <w:b w:val="0"/>
          <w:bCs w:val="0"/>
          <w:sz w:val="22"/>
          <w:szCs w:val="22"/>
          <w:lang w:val="en-IN"/>
        </w:rPr>
        <w:t xml:space="preserve"> pathways, supporting the role of panel-based molecular profiling in refining integrated </w:t>
      </w:r>
      <w:proofErr w:type="spellStart"/>
      <w:r>
        <w:rPr>
          <w:rStyle w:val="Strong"/>
          <w:rFonts w:ascii="Arial" w:hAnsi="Arial" w:cs="Arial"/>
          <w:b w:val="0"/>
          <w:bCs w:val="0"/>
          <w:sz w:val="22"/>
          <w:szCs w:val="22"/>
          <w:lang w:val="en-IN"/>
        </w:rPr>
        <w:t>histomolecular</w:t>
      </w:r>
      <w:proofErr w:type="spellEnd"/>
      <w:r>
        <w:rPr>
          <w:rStyle w:val="Strong"/>
          <w:rFonts w:ascii="Arial" w:hAnsi="Arial" w:cs="Arial"/>
          <w:b w:val="0"/>
          <w:bCs w:val="0"/>
          <w:sz w:val="22"/>
          <w:szCs w:val="22"/>
          <w:lang w:val="en-IN"/>
        </w:rPr>
        <w:t xml:space="preserve"> diagnosis and improving clinicopathological stratification.</w:t>
      </w:r>
    </w:p>
    <w:p w14:paraId="50379C1F"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noProof/>
          <w:sz w:val="22"/>
          <w:szCs w:val="22"/>
          <w:lang w:val="en-IN" w:eastAsia="en-IN"/>
        </w:rPr>
        <w:drawing>
          <wp:anchor distT="0" distB="0" distL="114300" distR="114300" simplePos="0" relativeHeight="251659264" behindDoc="0" locked="0" layoutInCell="1" allowOverlap="1" wp14:anchorId="19686DC2" wp14:editId="56475DC1">
            <wp:simplePos x="0" y="0"/>
            <wp:positionH relativeFrom="column">
              <wp:posOffset>287020</wp:posOffset>
            </wp:positionH>
            <wp:positionV relativeFrom="paragraph">
              <wp:posOffset>60960</wp:posOffset>
            </wp:positionV>
            <wp:extent cx="3581400" cy="2280920"/>
            <wp:effectExtent l="0" t="0" r="0" b="5080"/>
            <wp:wrapTopAndBottom/>
            <wp:docPr id="2" name="Picture 2" descr="Screenshot 2025-12-30 10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2025-12-30 104059"/>
                    <pic:cNvPicPr>
                      <a:picLocks noChangeAspect="1"/>
                    </pic:cNvPicPr>
                  </pic:nvPicPr>
                  <pic:blipFill>
                    <a:blip r:embed="rId16"/>
                    <a:srcRect t="3678" b="3567"/>
                    <a:stretch>
                      <a:fillRect/>
                    </a:stretch>
                  </pic:blipFill>
                  <pic:spPr>
                    <a:xfrm>
                      <a:off x="0" y="0"/>
                      <a:ext cx="3581400" cy="2280920"/>
                    </a:xfrm>
                    <a:prstGeom prst="rect">
                      <a:avLst/>
                    </a:prstGeom>
                  </pic:spPr>
                </pic:pic>
              </a:graphicData>
            </a:graphic>
          </wp:anchor>
        </w:drawing>
      </w:r>
    </w:p>
    <w:p w14:paraId="006D3512" w14:textId="77777777" w:rsidR="00856E36" w:rsidRDefault="00A659E2" w:rsidP="00B114D3">
      <w:pPr>
        <w:rPr>
          <w:rStyle w:val="Strong"/>
          <w:rFonts w:ascii="Arial" w:hAnsi="Arial" w:cs="Arial"/>
          <w:b w:val="0"/>
          <w:bCs w:val="0"/>
          <w:sz w:val="22"/>
          <w:szCs w:val="22"/>
          <w:lang w:val="en-IN"/>
        </w:rPr>
      </w:pPr>
      <w:r>
        <w:rPr>
          <w:rStyle w:val="Strong"/>
          <w:rFonts w:ascii="Arial" w:hAnsi="Arial" w:cs="Arial"/>
          <w:sz w:val="22"/>
          <w:szCs w:val="22"/>
          <w:lang w:val="en-IN"/>
        </w:rPr>
        <w:t xml:space="preserve">Fig </w:t>
      </w:r>
      <w:proofErr w:type="gramStart"/>
      <w:r>
        <w:rPr>
          <w:rStyle w:val="Strong"/>
          <w:rFonts w:ascii="Arial" w:hAnsi="Arial" w:cs="Arial"/>
          <w:sz w:val="22"/>
          <w:szCs w:val="22"/>
          <w:lang w:val="en-IN"/>
        </w:rPr>
        <w:t>2:-</w:t>
      </w:r>
      <w:proofErr w:type="gramEnd"/>
      <w:r>
        <w:rPr>
          <w:rStyle w:val="Strong"/>
          <w:rFonts w:ascii="Arial" w:hAnsi="Arial" w:cs="Arial"/>
          <w:sz w:val="22"/>
          <w:szCs w:val="22"/>
          <w:lang w:val="en-IN"/>
        </w:rPr>
        <w:t xml:space="preserve"> Distribution of various SNVs found across 11 Patients from the study cohort</w:t>
      </w:r>
    </w:p>
    <w:p w14:paraId="7899A4EA" w14:textId="77777777" w:rsidR="00856E36" w:rsidRDefault="00856E36" w:rsidP="00B114D3">
      <w:pPr>
        <w:jc w:val="both"/>
        <w:rPr>
          <w:rStyle w:val="Strong"/>
          <w:rFonts w:ascii="Arial" w:hAnsi="Arial" w:cs="Arial"/>
          <w:b w:val="0"/>
          <w:bCs w:val="0"/>
          <w:sz w:val="22"/>
          <w:szCs w:val="22"/>
          <w:lang w:val="en-IN"/>
        </w:rPr>
      </w:pPr>
    </w:p>
    <w:p w14:paraId="395899BF"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On SNV analysis using the NGS platform, four of the eleven samples demonstrated an IDH-wild-type profile, thereby precluding an oligodendroglioma diagnosis and instead </w:t>
      </w:r>
      <w:r w:rsidR="00857AAB">
        <w:rPr>
          <w:rStyle w:val="Strong"/>
          <w:rFonts w:ascii="Arial" w:hAnsi="Arial" w:cs="Arial"/>
          <w:b w:val="0"/>
          <w:bCs w:val="0"/>
          <w:sz w:val="22"/>
          <w:szCs w:val="22"/>
          <w:lang w:val="en-IN"/>
        </w:rPr>
        <w:t>favouring</w:t>
      </w:r>
      <w:r>
        <w:rPr>
          <w:rStyle w:val="Strong"/>
          <w:rFonts w:ascii="Arial" w:hAnsi="Arial" w:cs="Arial"/>
          <w:b w:val="0"/>
          <w:bCs w:val="0"/>
          <w:sz w:val="22"/>
          <w:szCs w:val="22"/>
          <w:lang w:val="en-IN"/>
        </w:rPr>
        <w:t xml:space="preserve"> classification as IDH-wild-type </w:t>
      </w:r>
      <w:proofErr w:type="spellStart"/>
      <w:r>
        <w:rPr>
          <w:rStyle w:val="Strong"/>
          <w:rFonts w:ascii="Arial" w:hAnsi="Arial" w:cs="Arial"/>
          <w:b w:val="0"/>
          <w:bCs w:val="0"/>
          <w:sz w:val="22"/>
          <w:szCs w:val="22"/>
          <w:lang w:val="en-IN"/>
        </w:rPr>
        <w:t>astrocytomas</w:t>
      </w:r>
      <w:proofErr w:type="spellEnd"/>
      <w:r>
        <w:rPr>
          <w:rStyle w:val="Strong"/>
          <w:rFonts w:ascii="Arial" w:hAnsi="Arial" w:cs="Arial"/>
          <w:b w:val="0"/>
          <w:bCs w:val="0"/>
          <w:sz w:val="22"/>
          <w:szCs w:val="22"/>
          <w:lang w:val="en-IN"/>
        </w:rPr>
        <w:t xml:space="preserve">. </w:t>
      </w:r>
    </w:p>
    <w:p w14:paraId="170F199E" w14:textId="77777777" w:rsidR="00856E36" w:rsidRDefault="00A659E2" w:rsidP="00B114D3">
      <w:pPr>
        <w:jc w:val="both"/>
        <w:rPr>
          <w:rFonts w:ascii="Arial" w:eastAsia="SimSun" w:hAnsi="Arial" w:cs="Arial"/>
          <w:sz w:val="22"/>
          <w:szCs w:val="22"/>
          <w:lang w:val="en-IN"/>
        </w:rPr>
      </w:pPr>
      <w:r>
        <w:rPr>
          <w:rFonts w:ascii="Arial" w:eastAsia="SimSun" w:hAnsi="Arial" w:cs="Arial"/>
          <w:sz w:val="22"/>
          <w:szCs w:val="22"/>
        </w:rPr>
        <w:t>One sample was IDH-mutant by NGS and IHC and showed 1p/19q co-deletion by FISH. However, NGS revealed an ATRX mutation and TP53 mutations, despite retained ATRX on IHC, highlighting NGS’s higher sensitivity and accuracy over IHC and FISH in detecting clinically relevant molecular alterations</w:t>
      </w:r>
      <w:r>
        <w:rPr>
          <w:rFonts w:ascii="Arial" w:eastAsia="SimSun" w:hAnsi="Arial" w:cs="Arial"/>
          <w:sz w:val="22"/>
          <w:szCs w:val="22"/>
          <w:lang w:val="en-IN"/>
        </w:rPr>
        <w:t>.</w:t>
      </w:r>
    </w:p>
    <w:p w14:paraId="39568516" w14:textId="77777777" w:rsidR="00856E36" w:rsidRDefault="00856E36" w:rsidP="00B114D3">
      <w:pPr>
        <w:jc w:val="both"/>
        <w:rPr>
          <w:rFonts w:ascii="Arial" w:eastAsia="SimSun" w:hAnsi="Arial" w:cs="Arial"/>
          <w:sz w:val="22"/>
          <w:szCs w:val="22"/>
          <w:lang w:val="en-IN"/>
        </w:rPr>
      </w:pPr>
    </w:p>
    <w:p w14:paraId="473C69CB" w14:textId="77777777" w:rsidR="00856E36" w:rsidRDefault="00856E36" w:rsidP="00B114D3">
      <w:pPr>
        <w:jc w:val="both"/>
        <w:rPr>
          <w:rFonts w:ascii="Arial" w:eastAsia="SimSun" w:hAnsi="Arial" w:cs="Arial"/>
          <w:sz w:val="22"/>
          <w:szCs w:val="22"/>
          <w:lang w:val="en-IN"/>
        </w:rPr>
      </w:pP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680"/>
        <w:gridCol w:w="1140"/>
        <w:gridCol w:w="3336"/>
      </w:tblGrid>
      <w:tr w:rsidR="00856E36" w14:paraId="46182223" w14:textId="77777777">
        <w:trPr>
          <w:trHeight w:val="330"/>
          <w:jc w:val="center"/>
        </w:trPr>
        <w:tc>
          <w:tcPr>
            <w:tcW w:w="7762" w:type="dxa"/>
            <w:gridSpan w:val="4"/>
            <w:shd w:val="clear" w:color="auto" w:fill="4BACC6"/>
            <w:noWrap/>
            <w:vAlign w:val="bottom"/>
          </w:tcPr>
          <w:p w14:paraId="73B3718D" w14:textId="77777777" w:rsidR="00856E36" w:rsidRDefault="00A659E2" w:rsidP="00B114D3">
            <w:pPr>
              <w:jc w:val="center"/>
              <w:textAlignment w:val="bottom"/>
              <w:rPr>
                <w:rFonts w:ascii="Arial" w:hAnsi="Arial" w:cs="Arial"/>
                <w:b/>
                <w:bCs/>
                <w:color w:val="FFFFFF"/>
                <w:sz w:val="22"/>
                <w:szCs w:val="22"/>
              </w:rPr>
            </w:pPr>
            <w:r>
              <w:rPr>
                <w:rFonts w:ascii="Arial" w:eastAsia="SimSun" w:hAnsi="Arial" w:cs="Arial"/>
                <w:b/>
                <w:bCs/>
                <w:sz w:val="22"/>
                <w:szCs w:val="22"/>
                <w:lang w:bidi="ar"/>
              </w:rPr>
              <w:t>Sample 5 By NGS</w:t>
            </w:r>
          </w:p>
        </w:tc>
      </w:tr>
      <w:tr w:rsidR="00856E36" w14:paraId="640AF6A0" w14:textId="77777777">
        <w:trPr>
          <w:trHeight w:val="441"/>
          <w:jc w:val="center"/>
        </w:trPr>
        <w:tc>
          <w:tcPr>
            <w:tcW w:w="1606" w:type="dxa"/>
            <w:shd w:val="clear" w:color="auto" w:fill="FFFFFF"/>
            <w:noWrap/>
            <w:vAlign w:val="bottom"/>
          </w:tcPr>
          <w:p w14:paraId="26E2728E" w14:textId="77777777" w:rsidR="00856E36" w:rsidRDefault="00A659E2" w:rsidP="00B114D3">
            <w:pPr>
              <w:jc w:val="center"/>
              <w:textAlignment w:val="bottom"/>
              <w:rPr>
                <w:rFonts w:ascii="Arial" w:hAnsi="Arial" w:cs="Arial"/>
                <w:b/>
                <w:bCs/>
                <w:color w:val="000000"/>
                <w:sz w:val="22"/>
                <w:szCs w:val="22"/>
              </w:rPr>
            </w:pPr>
            <w:r>
              <w:rPr>
                <w:rFonts w:ascii="Arial" w:eastAsia="SimSun" w:hAnsi="Arial" w:cs="Arial"/>
                <w:b/>
                <w:bCs/>
                <w:color w:val="000000"/>
                <w:sz w:val="22"/>
                <w:szCs w:val="22"/>
                <w:lang w:bidi="ar"/>
              </w:rPr>
              <w:t>Gene</w:t>
            </w:r>
          </w:p>
        </w:tc>
        <w:tc>
          <w:tcPr>
            <w:tcW w:w="1680" w:type="dxa"/>
            <w:shd w:val="clear" w:color="auto" w:fill="FFFFFF"/>
            <w:noWrap/>
            <w:vAlign w:val="bottom"/>
          </w:tcPr>
          <w:p w14:paraId="58518342" w14:textId="77777777" w:rsidR="00856E36" w:rsidRDefault="00A659E2" w:rsidP="00B114D3">
            <w:pPr>
              <w:jc w:val="center"/>
              <w:textAlignment w:val="bottom"/>
              <w:rPr>
                <w:rFonts w:ascii="Arial" w:hAnsi="Arial" w:cs="Arial"/>
                <w:b/>
                <w:bCs/>
                <w:color w:val="000000"/>
                <w:sz w:val="22"/>
                <w:szCs w:val="22"/>
              </w:rPr>
            </w:pPr>
            <w:r>
              <w:rPr>
                <w:rFonts w:ascii="Arial" w:eastAsia="SimSun" w:hAnsi="Arial" w:cs="Arial"/>
                <w:b/>
                <w:bCs/>
                <w:color w:val="000000"/>
                <w:sz w:val="22"/>
                <w:szCs w:val="22"/>
                <w:lang w:bidi="ar"/>
              </w:rPr>
              <w:t>AA Change</w:t>
            </w:r>
          </w:p>
        </w:tc>
        <w:tc>
          <w:tcPr>
            <w:tcW w:w="1140" w:type="dxa"/>
            <w:shd w:val="clear" w:color="auto" w:fill="FFFFFF"/>
            <w:noWrap/>
            <w:vAlign w:val="bottom"/>
          </w:tcPr>
          <w:p w14:paraId="4A25545E" w14:textId="77777777" w:rsidR="00856E36" w:rsidRDefault="00A659E2" w:rsidP="00B114D3">
            <w:pPr>
              <w:jc w:val="center"/>
              <w:textAlignment w:val="bottom"/>
              <w:rPr>
                <w:rFonts w:ascii="Arial" w:hAnsi="Arial" w:cs="Arial"/>
                <w:b/>
                <w:bCs/>
                <w:color w:val="000000"/>
                <w:sz w:val="22"/>
                <w:szCs w:val="22"/>
              </w:rPr>
            </w:pPr>
            <w:r>
              <w:rPr>
                <w:rFonts w:ascii="Arial" w:eastAsia="SimSun" w:hAnsi="Arial" w:cs="Arial"/>
                <w:b/>
                <w:bCs/>
                <w:color w:val="000000"/>
                <w:sz w:val="22"/>
                <w:szCs w:val="22"/>
                <w:lang w:bidi="ar"/>
              </w:rPr>
              <w:t>Type</w:t>
            </w:r>
          </w:p>
        </w:tc>
        <w:tc>
          <w:tcPr>
            <w:tcW w:w="3336" w:type="dxa"/>
            <w:shd w:val="clear" w:color="auto" w:fill="FFFFFF"/>
            <w:noWrap/>
            <w:vAlign w:val="bottom"/>
          </w:tcPr>
          <w:p w14:paraId="15226860" w14:textId="77777777" w:rsidR="00856E36" w:rsidRDefault="00A659E2" w:rsidP="00B114D3">
            <w:pPr>
              <w:jc w:val="center"/>
              <w:textAlignment w:val="bottom"/>
              <w:rPr>
                <w:rFonts w:ascii="Arial" w:hAnsi="Arial" w:cs="Arial"/>
                <w:b/>
                <w:bCs/>
                <w:color w:val="000000"/>
                <w:sz w:val="22"/>
                <w:szCs w:val="22"/>
              </w:rPr>
            </w:pPr>
            <w:r>
              <w:rPr>
                <w:rFonts w:ascii="Arial" w:eastAsia="SimSun" w:hAnsi="Arial" w:cs="Arial"/>
                <w:b/>
                <w:bCs/>
                <w:color w:val="000000"/>
                <w:sz w:val="22"/>
                <w:szCs w:val="22"/>
                <w:lang w:bidi="ar"/>
              </w:rPr>
              <w:t>Call</w:t>
            </w:r>
          </w:p>
        </w:tc>
      </w:tr>
      <w:tr w:rsidR="00856E36" w14:paraId="134E9417" w14:textId="77777777">
        <w:trPr>
          <w:trHeight w:val="345"/>
          <w:jc w:val="center"/>
        </w:trPr>
        <w:tc>
          <w:tcPr>
            <w:tcW w:w="1606" w:type="dxa"/>
            <w:shd w:val="clear" w:color="auto" w:fill="FFFFFF"/>
            <w:noWrap/>
            <w:vAlign w:val="bottom"/>
          </w:tcPr>
          <w:p w14:paraId="13A44A78"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IDH1</w:t>
            </w:r>
          </w:p>
        </w:tc>
        <w:tc>
          <w:tcPr>
            <w:tcW w:w="1680" w:type="dxa"/>
            <w:shd w:val="clear" w:color="auto" w:fill="FFFFFF"/>
            <w:noWrap/>
            <w:vAlign w:val="bottom"/>
          </w:tcPr>
          <w:p w14:paraId="20C9981D" w14:textId="77777777" w:rsidR="00856E36" w:rsidRDefault="00A659E2" w:rsidP="00B114D3">
            <w:pPr>
              <w:jc w:val="center"/>
              <w:textAlignment w:val="bottom"/>
              <w:rPr>
                <w:rFonts w:ascii="Arial" w:hAnsi="Arial" w:cs="Arial"/>
                <w:color w:val="000000"/>
                <w:sz w:val="22"/>
                <w:szCs w:val="22"/>
              </w:rPr>
            </w:pPr>
            <w:proofErr w:type="gramStart"/>
            <w:r>
              <w:rPr>
                <w:rFonts w:ascii="Arial" w:eastAsia="SimSun" w:hAnsi="Arial" w:cs="Arial"/>
                <w:color w:val="000000"/>
                <w:sz w:val="22"/>
                <w:szCs w:val="22"/>
                <w:lang w:bidi="ar"/>
              </w:rPr>
              <w:t>p.Arg</w:t>
            </w:r>
            <w:proofErr w:type="gramEnd"/>
            <w:r>
              <w:rPr>
                <w:rFonts w:ascii="Arial" w:eastAsia="SimSun" w:hAnsi="Arial" w:cs="Arial"/>
                <w:color w:val="000000"/>
                <w:sz w:val="22"/>
                <w:szCs w:val="22"/>
                <w:lang w:bidi="ar"/>
              </w:rPr>
              <w:t>132His</w:t>
            </w:r>
          </w:p>
        </w:tc>
        <w:tc>
          <w:tcPr>
            <w:tcW w:w="1140" w:type="dxa"/>
            <w:shd w:val="clear" w:color="auto" w:fill="FFFFFF"/>
            <w:noWrap/>
            <w:vAlign w:val="bottom"/>
          </w:tcPr>
          <w:p w14:paraId="70DD650D" w14:textId="77777777" w:rsidR="00856E36" w:rsidRDefault="00A659E2" w:rsidP="00B114D3">
            <w:pPr>
              <w:jc w:val="center"/>
              <w:textAlignment w:val="bottom"/>
              <w:rPr>
                <w:rFonts w:ascii="Arial" w:hAnsi="Arial" w:cs="Arial"/>
                <w:color w:val="000000"/>
                <w:sz w:val="22"/>
                <w:szCs w:val="22"/>
              </w:rPr>
            </w:pPr>
            <w:proofErr w:type="spellStart"/>
            <w:r>
              <w:rPr>
                <w:rFonts w:ascii="Arial" w:eastAsia="SimSun" w:hAnsi="Arial" w:cs="Arial"/>
                <w:color w:val="000000"/>
                <w:sz w:val="22"/>
                <w:szCs w:val="22"/>
                <w:lang w:bidi="ar"/>
              </w:rPr>
              <w:t>snp</w:t>
            </w:r>
            <w:proofErr w:type="spellEnd"/>
          </w:p>
        </w:tc>
        <w:tc>
          <w:tcPr>
            <w:tcW w:w="3336" w:type="dxa"/>
            <w:shd w:val="clear" w:color="auto" w:fill="FFFFFF"/>
            <w:noWrap/>
            <w:vAlign w:val="bottom"/>
          </w:tcPr>
          <w:p w14:paraId="787A9FBA" w14:textId="77777777" w:rsidR="00856E36" w:rsidRDefault="00A659E2" w:rsidP="00B114D3">
            <w:pPr>
              <w:jc w:val="center"/>
              <w:textAlignment w:val="bottom"/>
              <w:rPr>
                <w:rFonts w:ascii="Arial" w:hAnsi="Arial" w:cs="Arial"/>
                <w:color w:val="FF0000"/>
                <w:sz w:val="22"/>
                <w:szCs w:val="22"/>
              </w:rPr>
            </w:pPr>
            <w:r>
              <w:rPr>
                <w:rFonts w:ascii="Arial" w:eastAsia="SimSun" w:hAnsi="Arial" w:cs="Arial"/>
                <w:color w:val="FF0000"/>
                <w:sz w:val="22"/>
                <w:szCs w:val="22"/>
                <w:lang w:bidi="ar"/>
              </w:rPr>
              <w:t>PRESENT (HETEROZYGOUS)</w:t>
            </w:r>
          </w:p>
        </w:tc>
      </w:tr>
      <w:tr w:rsidR="00856E36" w14:paraId="7D9E8BF5" w14:textId="77777777">
        <w:trPr>
          <w:trHeight w:val="417"/>
          <w:jc w:val="center"/>
        </w:trPr>
        <w:tc>
          <w:tcPr>
            <w:tcW w:w="1606" w:type="dxa"/>
            <w:shd w:val="clear" w:color="auto" w:fill="FFFFFF"/>
            <w:noWrap/>
            <w:vAlign w:val="bottom"/>
          </w:tcPr>
          <w:p w14:paraId="4893F106"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TP53</w:t>
            </w:r>
          </w:p>
        </w:tc>
        <w:tc>
          <w:tcPr>
            <w:tcW w:w="1680" w:type="dxa"/>
            <w:shd w:val="clear" w:color="auto" w:fill="FFFFFF"/>
            <w:noWrap/>
            <w:vAlign w:val="bottom"/>
          </w:tcPr>
          <w:p w14:paraId="6E9255A2" w14:textId="77777777" w:rsidR="00856E36" w:rsidRDefault="00A659E2" w:rsidP="00B114D3">
            <w:pPr>
              <w:jc w:val="center"/>
              <w:textAlignment w:val="bottom"/>
              <w:rPr>
                <w:rFonts w:ascii="Arial" w:hAnsi="Arial" w:cs="Arial"/>
                <w:color w:val="000000"/>
                <w:sz w:val="22"/>
                <w:szCs w:val="22"/>
              </w:rPr>
            </w:pPr>
            <w:proofErr w:type="gramStart"/>
            <w:r>
              <w:rPr>
                <w:rFonts w:ascii="Arial" w:eastAsia="SimSun" w:hAnsi="Arial" w:cs="Arial"/>
                <w:color w:val="000000"/>
                <w:sz w:val="22"/>
                <w:szCs w:val="22"/>
                <w:lang w:bidi="ar"/>
              </w:rPr>
              <w:t>p.Arg</w:t>
            </w:r>
            <w:proofErr w:type="gramEnd"/>
            <w:r>
              <w:rPr>
                <w:rFonts w:ascii="Arial" w:eastAsia="SimSun" w:hAnsi="Arial" w:cs="Arial"/>
                <w:color w:val="000000"/>
                <w:sz w:val="22"/>
                <w:szCs w:val="22"/>
                <w:lang w:bidi="ar"/>
              </w:rPr>
              <w:t>273Cys</w:t>
            </w:r>
          </w:p>
        </w:tc>
        <w:tc>
          <w:tcPr>
            <w:tcW w:w="1140" w:type="dxa"/>
            <w:shd w:val="clear" w:color="auto" w:fill="FFFFFF"/>
            <w:noWrap/>
            <w:vAlign w:val="bottom"/>
          </w:tcPr>
          <w:p w14:paraId="7EEC1B9D" w14:textId="77777777" w:rsidR="00856E36" w:rsidRDefault="00A659E2" w:rsidP="00B114D3">
            <w:pPr>
              <w:jc w:val="center"/>
              <w:textAlignment w:val="bottom"/>
              <w:rPr>
                <w:rFonts w:ascii="Arial" w:hAnsi="Arial" w:cs="Arial"/>
                <w:color w:val="000000"/>
                <w:sz w:val="22"/>
                <w:szCs w:val="22"/>
              </w:rPr>
            </w:pPr>
            <w:proofErr w:type="spellStart"/>
            <w:r>
              <w:rPr>
                <w:rFonts w:ascii="Arial" w:eastAsia="SimSun" w:hAnsi="Arial" w:cs="Arial"/>
                <w:color w:val="000000"/>
                <w:sz w:val="22"/>
                <w:szCs w:val="22"/>
                <w:lang w:bidi="ar"/>
              </w:rPr>
              <w:t>snp</w:t>
            </w:r>
            <w:proofErr w:type="spellEnd"/>
          </w:p>
        </w:tc>
        <w:tc>
          <w:tcPr>
            <w:tcW w:w="3336" w:type="dxa"/>
            <w:shd w:val="clear" w:color="auto" w:fill="FFFFFF"/>
            <w:noWrap/>
            <w:vAlign w:val="bottom"/>
          </w:tcPr>
          <w:p w14:paraId="42EC484D" w14:textId="77777777" w:rsidR="00856E36" w:rsidRDefault="00A659E2" w:rsidP="00B114D3">
            <w:pPr>
              <w:jc w:val="center"/>
              <w:textAlignment w:val="bottom"/>
              <w:rPr>
                <w:rFonts w:ascii="Arial" w:hAnsi="Arial" w:cs="Arial"/>
                <w:color w:val="FF0000"/>
                <w:sz w:val="22"/>
                <w:szCs w:val="22"/>
              </w:rPr>
            </w:pPr>
            <w:r>
              <w:rPr>
                <w:rFonts w:ascii="Arial" w:eastAsia="SimSun" w:hAnsi="Arial" w:cs="Arial"/>
                <w:color w:val="FF0000"/>
                <w:sz w:val="22"/>
                <w:szCs w:val="22"/>
                <w:lang w:bidi="ar"/>
              </w:rPr>
              <w:t>PRESENT (HETEROZYGOUS)</w:t>
            </w:r>
          </w:p>
        </w:tc>
      </w:tr>
      <w:tr w:rsidR="00856E36" w14:paraId="7FFCAA60" w14:textId="77777777">
        <w:trPr>
          <w:trHeight w:val="345"/>
          <w:jc w:val="center"/>
        </w:trPr>
        <w:tc>
          <w:tcPr>
            <w:tcW w:w="1606" w:type="dxa"/>
            <w:shd w:val="clear" w:color="auto" w:fill="FFFFFF"/>
            <w:noWrap/>
            <w:vAlign w:val="bottom"/>
          </w:tcPr>
          <w:p w14:paraId="466C3BFA"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ATRX</w:t>
            </w:r>
          </w:p>
        </w:tc>
        <w:tc>
          <w:tcPr>
            <w:tcW w:w="1680" w:type="dxa"/>
            <w:shd w:val="clear" w:color="auto" w:fill="FFFFFF"/>
            <w:noWrap/>
            <w:vAlign w:val="bottom"/>
          </w:tcPr>
          <w:p w14:paraId="4145B6F8" w14:textId="77777777" w:rsidR="00856E36" w:rsidRDefault="00A659E2" w:rsidP="00B114D3">
            <w:pPr>
              <w:jc w:val="center"/>
              <w:textAlignment w:val="bottom"/>
              <w:rPr>
                <w:rFonts w:ascii="Arial" w:hAnsi="Arial" w:cs="Arial"/>
                <w:color w:val="000000"/>
                <w:sz w:val="22"/>
                <w:szCs w:val="22"/>
              </w:rPr>
            </w:pPr>
            <w:proofErr w:type="gramStart"/>
            <w:r>
              <w:rPr>
                <w:rFonts w:ascii="Arial" w:eastAsia="SimSun" w:hAnsi="Arial" w:cs="Arial"/>
                <w:color w:val="000000"/>
                <w:sz w:val="22"/>
                <w:szCs w:val="22"/>
                <w:lang w:bidi="ar"/>
              </w:rPr>
              <w:t>p.Gln</w:t>
            </w:r>
            <w:proofErr w:type="gramEnd"/>
            <w:r>
              <w:rPr>
                <w:rFonts w:ascii="Arial" w:eastAsia="SimSun" w:hAnsi="Arial" w:cs="Arial"/>
                <w:color w:val="000000"/>
                <w:sz w:val="22"/>
                <w:szCs w:val="22"/>
                <w:lang w:bidi="ar"/>
              </w:rPr>
              <w:t>2194Leu</w:t>
            </w:r>
          </w:p>
        </w:tc>
        <w:tc>
          <w:tcPr>
            <w:tcW w:w="1140" w:type="dxa"/>
            <w:shd w:val="clear" w:color="auto" w:fill="FFFFFF"/>
            <w:noWrap/>
            <w:vAlign w:val="bottom"/>
          </w:tcPr>
          <w:p w14:paraId="2A891712" w14:textId="77777777" w:rsidR="00856E36" w:rsidRDefault="00A659E2" w:rsidP="00B114D3">
            <w:pPr>
              <w:jc w:val="center"/>
              <w:textAlignment w:val="bottom"/>
              <w:rPr>
                <w:rFonts w:ascii="Arial" w:hAnsi="Arial" w:cs="Arial"/>
                <w:color w:val="000000"/>
                <w:sz w:val="22"/>
                <w:szCs w:val="22"/>
              </w:rPr>
            </w:pPr>
            <w:proofErr w:type="spellStart"/>
            <w:r>
              <w:rPr>
                <w:rFonts w:ascii="Arial" w:eastAsia="SimSun" w:hAnsi="Arial" w:cs="Arial"/>
                <w:color w:val="000000"/>
                <w:sz w:val="22"/>
                <w:szCs w:val="22"/>
                <w:lang w:bidi="ar"/>
              </w:rPr>
              <w:t>snp</w:t>
            </w:r>
            <w:proofErr w:type="spellEnd"/>
          </w:p>
        </w:tc>
        <w:tc>
          <w:tcPr>
            <w:tcW w:w="3336" w:type="dxa"/>
            <w:shd w:val="clear" w:color="auto" w:fill="FFFFFF"/>
            <w:noWrap/>
            <w:vAlign w:val="bottom"/>
          </w:tcPr>
          <w:p w14:paraId="6846D23F" w14:textId="77777777" w:rsidR="00856E36" w:rsidRDefault="00A659E2" w:rsidP="00B114D3">
            <w:pPr>
              <w:jc w:val="center"/>
              <w:textAlignment w:val="bottom"/>
              <w:rPr>
                <w:rFonts w:ascii="Arial" w:hAnsi="Arial" w:cs="Arial"/>
                <w:color w:val="FF0000"/>
                <w:sz w:val="22"/>
                <w:szCs w:val="22"/>
              </w:rPr>
            </w:pPr>
            <w:r>
              <w:rPr>
                <w:rFonts w:ascii="Arial" w:eastAsia="SimSun" w:hAnsi="Arial" w:cs="Arial"/>
                <w:color w:val="FF0000"/>
                <w:sz w:val="22"/>
                <w:szCs w:val="22"/>
                <w:lang w:bidi="ar"/>
              </w:rPr>
              <w:t>PRESENT (HETEROZYGOUS)</w:t>
            </w:r>
          </w:p>
        </w:tc>
      </w:tr>
      <w:tr w:rsidR="00856E36" w14:paraId="63362F63" w14:textId="77777777">
        <w:trPr>
          <w:trHeight w:val="330"/>
          <w:jc w:val="center"/>
        </w:trPr>
        <w:tc>
          <w:tcPr>
            <w:tcW w:w="7762" w:type="dxa"/>
            <w:gridSpan w:val="4"/>
            <w:shd w:val="clear" w:color="auto" w:fill="FFFFFF"/>
            <w:noWrap/>
            <w:vAlign w:val="center"/>
          </w:tcPr>
          <w:p w14:paraId="1B212FDF" w14:textId="77777777" w:rsidR="00856E36" w:rsidRDefault="00A659E2" w:rsidP="00B114D3">
            <w:pPr>
              <w:jc w:val="center"/>
              <w:textAlignment w:val="center"/>
              <w:rPr>
                <w:rFonts w:ascii="Arial" w:hAnsi="Arial" w:cs="Arial"/>
                <w:b/>
                <w:bCs/>
                <w:color w:val="000000"/>
                <w:sz w:val="22"/>
                <w:szCs w:val="22"/>
              </w:rPr>
            </w:pPr>
            <w:r>
              <w:rPr>
                <w:rFonts w:ascii="Arial" w:eastAsia="SimSun" w:hAnsi="Arial" w:cs="Arial"/>
                <w:b/>
                <w:bCs/>
                <w:color w:val="000000"/>
                <w:sz w:val="22"/>
                <w:szCs w:val="22"/>
                <w:lang w:bidi="ar"/>
              </w:rPr>
              <w:t>IHC</w:t>
            </w:r>
          </w:p>
        </w:tc>
      </w:tr>
      <w:tr w:rsidR="00856E36" w14:paraId="77A64058" w14:textId="77777777">
        <w:trPr>
          <w:trHeight w:val="330"/>
          <w:jc w:val="center"/>
        </w:trPr>
        <w:tc>
          <w:tcPr>
            <w:tcW w:w="1606" w:type="dxa"/>
            <w:shd w:val="clear" w:color="auto" w:fill="FFFFFF"/>
            <w:vAlign w:val="center"/>
          </w:tcPr>
          <w:p w14:paraId="30C4DDB4" w14:textId="77777777" w:rsidR="00856E36" w:rsidRDefault="00A659E2" w:rsidP="00B114D3">
            <w:pPr>
              <w:jc w:val="center"/>
              <w:textAlignment w:val="center"/>
              <w:rPr>
                <w:rFonts w:ascii="Arial" w:hAnsi="Arial" w:cs="Arial"/>
                <w:b/>
                <w:bCs/>
                <w:color w:val="000000"/>
                <w:sz w:val="22"/>
                <w:szCs w:val="22"/>
              </w:rPr>
            </w:pPr>
            <w:r>
              <w:rPr>
                <w:rFonts w:ascii="Arial" w:eastAsia="SimSun" w:hAnsi="Arial" w:cs="Arial"/>
                <w:b/>
                <w:bCs/>
                <w:color w:val="000000"/>
                <w:sz w:val="22"/>
                <w:szCs w:val="22"/>
                <w:lang w:bidi="ar"/>
              </w:rPr>
              <w:t>Sample ID</w:t>
            </w:r>
          </w:p>
        </w:tc>
        <w:tc>
          <w:tcPr>
            <w:tcW w:w="1680" w:type="dxa"/>
            <w:shd w:val="clear" w:color="auto" w:fill="FFFFFF"/>
            <w:noWrap/>
            <w:vAlign w:val="center"/>
          </w:tcPr>
          <w:p w14:paraId="0B7A1C15" w14:textId="77777777" w:rsidR="00856E36" w:rsidRDefault="00A659E2" w:rsidP="00B114D3">
            <w:pPr>
              <w:jc w:val="center"/>
              <w:textAlignment w:val="center"/>
              <w:rPr>
                <w:rFonts w:ascii="Arial" w:hAnsi="Arial" w:cs="Arial"/>
                <w:b/>
                <w:bCs/>
                <w:color w:val="000000"/>
                <w:sz w:val="22"/>
                <w:szCs w:val="22"/>
              </w:rPr>
            </w:pPr>
            <w:r>
              <w:rPr>
                <w:rFonts w:ascii="Arial" w:eastAsia="SimSun" w:hAnsi="Arial" w:cs="Arial"/>
                <w:b/>
                <w:bCs/>
                <w:color w:val="000000"/>
                <w:sz w:val="22"/>
                <w:szCs w:val="22"/>
                <w:lang w:bidi="ar"/>
              </w:rPr>
              <w:t>IDH</w:t>
            </w:r>
          </w:p>
        </w:tc>
        <w:tc>
          <w:tcPr>
            <w:tcW w:w="1140" w:type="dxa"/>
            <w:shd w:val="clear" w:color="auto" w:fill="FFFFFF"/>
            <w:noWrap/>
            <w:vAlign w:val="center"/>
          </w:tcPr>
          <w:p w14:paraId="6694155D" w14:textId="77777777" w:rsidR="00856E36" w:rsidRDefault="00A659E2" w:rsidP="00B114D3">
            <w:pPr>
              <w:jc w:val="center"/>
              <w:textAlignment w:val="center"/>
              <w:rPr>
                <w:rFonts w:ascii="Arial" w:hAnsi="Arial" w:cs="Arial"/>
                <w:b/>
                <w:bCs/>
                <w:color w:val="000000"/>
                <w:sz w:val="22"/>
                <w:szCs w:val="22"/>
              </w:rPr>
            </w:pPr>
            <w:r>
              <w:rPr>
                <w:rFonts w:ascii="Arial" w:eastAsia="SimSun" w:hAnsi="Arial" w:cs="Arial"/>
                <w:b/>
                <w:bCs/>
                <w:color w:val="000000"/>
                <w:sz w:val="22"/>
                <w:szCs w:val="22"/>
                <w:lang w:bidi="ar"/>
              </w:rPr>
              <w:t>P53</w:t>
            </w:r>
          </w:p>
        </w:tc>
        <w:tc>
          <w:tcPr>
            <w:tcW w:w="3336" w:type="dxa"/>
            <w:shd w:val="clear" w:color="auto" w:fill="FFFFFF"/>
            <w:noWrap/>
            <w:vAlign w:val="center"/>
          </w:tcPr>
          <w:p w14:paraId="5A04726A" w14:textId="77777777" w:rsidR="00856E36" w:rsidRDefault="00A659E2" w:rsidP="00B114D3">
            <w:pPr>
              <w:jc w:val="center"/>
              <w:textAlignment w:val="center"/>
              <w:rPr>
                <w:rFonts w:ascii="Arial" w:hAnsi="Arial" w:cs="Arial"/>
                <w:b/>
                <w:bCs/>
                <w:color w:val="000000"/>
                <w:sz w:val="22"/>
                <w:szCs w:val="22"/>
              </w:rPr>
            </w:pPr>
            <w:r>
              <w:rPr>
                <w:rFonts w:ascii="Arial" w:eastAsia="SimSun" w:hAnsi="Arial" w:cs="Arial"/>
                <w:b/>
                <w:bCs/>
                <w:color w:val="000000"/>
                <w:sz w:val="22"/>
                <w:szCs w:val="22"/>
                <w:lang w:bidi="ar"/>
              </w:rPr>
              <w:t>ATRX</w:t>
            </w:r>
          </w:p>
        </w:tc>
      </w:tr>
      <w:tr w:rsidR="00856E36" w14:paraId="75BDD222" w14:textId="77777777">
        <w:trPr>
          <w:trHeight w:val="341"/>
          <w:jc w:val="center"/>
        </w:trPr>
        <w:tc>
          <w:tcPr>
            <w:tcW w:w="1606" w:type="dxa"/>
            <w:shd w:val="clear" w:color="auto" w:fill="FFFFFF"/>
            <w:noWrap/>
            <w:vAlign w:val="center"/>
          </w:tcPr>
          <w:p w14:paraId="3FFF6921" w14:textId="77777777" w:rsidR="00856E36" w:rsidRDefault="00A659E2" w:rsidP="00B114D3">
            <w:pPr>
              <w:jc w:val="center"/>
              <w:textAlignment w:val="center"/>
              <w:rPr>
                <w:rFonts w:ascii="Arial" w:hAnsi="Arial" w:cs="Arial"/>
                <w:color w:val="000000"/>
                <w:sz w:val="22"/>
                <w:szCs w:val="22"/>
              </w:rPr>
            </w:pPr>
            <w:r>
              <w:rPr>
                <w:rFonts w:ascii="Arial" w:eastAsia="SimSun" w:hAnsi="Arial" w:cs="Arial"/>
                <w:color w:val="000000"/>
                <w:sz w:val="22"/>
                <w:szCs w:val="22"/>
                <w:lang w:bidi="ar"/>
              </w:rPr>
              <w:t>Sample 5</w:t>
            </w:r>
          </w:p>
        </w:tc>
        <w:tc>
          <w:tcPr>
            <w:tcW w:w="1680" w:type="dxa"/>
            <w:shd w:val="clear" w:color="auto" w:fill="FFFFFF"/>
            <w:noWrap/>
            <w:vAlign w:val="center"/>
          </w:tcPr>
          <w:p w14:paraId="4470E5E3" w14:textId="77777777" w:rsidR="00856E36" w:rsidRDefault="00A659E2" w:rsidP="00B114D3">
            <w:pPr>
              <w:jc w:val="center"/>
              <w:textAlignment w:val="center"/>
              <w:rPr>
                <w:rFonts w:ascii="Arial" w:hAnsi="Arial" w:cs="Arial"/>
                <w:color w:val="000000"/>
                <w:sz w:val="22"/>
                <w:szCs w:val="22"/>
              </w:rPr>
            </w:pPr>
            <w:r>
              <w:rPr>
                <w:rFonts w:ascii="Arial" w:eastAsia="SimSun" w:hAnsi="Arial" w:cs="Arial"/>
                <w:color w:val="000000"/>
                <w:sz w:val="22"/>
                <w:szCs w:val="22"/>
                <w:lang w:bidi="ar"/>
              </w:rPr>
              <w:t>Mutant</w:t>
            </w:r>
          </w:p>
        </w:tc>
        <w:tc>
          <w:tcPr>
            <w:tcW w:w="1140" w:type="dxa"/>
            <w:shd w:val="clear" w:color="auto" w:fill="FFFFFF"/>
            <w:noWrap/>
            <w:vAlign w:val="bottom"/>
          </w:tcPr>
          <w:p w14:paraId="3A30199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Mutant</w:t>
            </w:r>
          </w:p>
        </w:tc>
        <w:tc>
          <w:tcPr>
            <w:tcW w:w="3336" w:type="dxa"/>
            <w:shd w:val="clear" w:color="auto" w:fill="FFFFFF"/>
            <w:noWrap/>
            <w:vAlign w:val="center"/>
          </w:tcPr>
          <w:p w14:paraId="6251C34A" w14:textId="77777777" w:rsidR="00856E36" w:rsidRDefault="00A659E2" w:rsidP="00B114D3">
            <w:pPr>
              <w:jc w:val="center"/>
              <w:textAlignment w:val="center"/>
              <w:rPr>
                <w:rFonts w:ascii="Arial" w:hAnsi="Arial" w:cs="Arial"/>
                <w:color w:val="000000"/>
                <w:sz w:val="22"/>
                <w:szCs w:val="22"/>
              </w:rPr>
            </w:pPr>
            <w:r>
              <w:rPr>
                <w:rFonts w:ascii="Arial" w:eastAsia="SimSun" w:hAnsi="Arial" w:cs="Arial"/>
                <w:color w:val="000000"/>
                <w:sz w:val="22"/>
                <w:szCs w:val="22"/>
                <w:lang w:bidi="ar"/>
              </w:rPr>
              <w:t>Retained</w:t>
            </w:r>
          </w:p>
        </w:tc>
      </w:tr>
    </w:tbl>
    <w:p w14:paraId="0E3363E8"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sz w:val="22"/>
          <w:szCs w:val="22"/>
          <w:lang w:val="en-IN"/>
        </w:rPr>
        <w:t xml:space="preserve">Table </w:t>
      </w:r>
      <w:proofErr w:type="gramStart"/>
      <w:r>
        <w:rPr>
          <w:rStyle w:val="Strong"/>
          <w:rFonts w:ascii="Arial" w:hAnsi="Arial" w:cs="Arial"/>
          <w:sz w:val="22"/>
          <w:szCs w:val="22"/>
          <w:lang w:val="en-IN"/>
        </w:rPr>
        <w:t>1:-</w:t>
      </w:r>
      <w:proofErr w:type="gramEnd"/>
      <w:r>
        <w:rPr>
          <w:rStyle w:val="Strong"/>
          <w:rFonts w:ascii="Arial" w:hAnsi="Arial" w:cs="Arial"/>
          <w:sz w:val="22"/>
          <w:szCs w:val="22"/>
          <w:lang w:val="en-IN"/>
        </w:rPr>
        <w:t xml:space="preserve"> Genetic alterations and protein expression of various oligodendroglioma specific genes</w:t>
      </w:r>
      <w:r>
        <w:rPr>
          <w:rStyle w:val="Strong"/>
          <w:rFonts w:ascii="Arial" w:hAnsi="Arial" w:cs="Arial"/>
          <w:b w:val="0"/>
          <w:bCs w:val="0"/>
          <w:sz w:val="22"/>
          <w:szCs w:val="22"/>
          <w:lang w:val="en-IN"/>
        </w:rPr>
        <w:t xml:space="preserve"> </w:t>
      </w:r>
    </w:p>
    <w:p w14:paraId="648C7101" w14:textId="77777777" w:rsidR="00856E36" w:rsidRDefault="00856E36" w:rsidP="00B114D3">
      <w:pPr>
        <w:jc w:val="both"/>
        <w:rPr>
          <w:rStyle w:val="Strong"/>
          <w:rFonts w:ascii="Arial" w:hAnsi="Arial" w:cs="Arial"/>
          <w:b w:val="0"/>
          <w:bCs w:val="0"/>
          <w:sz w:val="22"/>
          <w:szCs w:val="22"/>
          <w:lang w:val="en-IN"/>
        </w:rPr>
      </w:pPr>
    </w:p>
    <w:p w14:paraId="7AD81644" w14:textId="77777777" w:rsidR="00856E36" w:rsidRDefault="00856E36" w:rsidP="00B114D3">
      <w:pPr>
        <w:jc w:val="both"/>
        <w:rPr>
          <w:rStyle w:val="Strong"/>
          <w:rFonts w:ascii="Arial" w:hAnsi="Arial" w:cs="Arial"/>
          <w:b w:val="0"/>
          <w:bCs w:val="0"/>
          <w:sz w:val="22"/>
          <w:szCs w:val="22"/>
          <w:lang w:val="en-IN"/>
        </w:rPr>
      </w:pPr>
    </w:p>
    <w:p w14:paraId="4EDB25EA" w14:textId="77777777" w:rsidR="00856E36" w:rsidRDefault="00A659E2" w:rsidP="00B114D3">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Detection of Fusions in NGS</w:t>
      </w:r>
    </w:p>
    <w:p w14:paraId="484A5B8C" w14:textId="77777777" w:rsidR="00856E36" w:rsidRDefault="00A659E2" w:rsidP="00B114D3">
      <w:pPr>
        <w:jc w:val="both"/>
        <w:rPr>
          <w:rStyle w:val="Strong"/>
          <w:rFonts w:ascii="Arial" w:hAnsi="Arial" w:cs="Arial"/>
          <w:sz w:val="22"/>
          <w:szCs w:val="22"/>
          <w:lang w:val="en-IN"/>
        </w:rPr>
      </w:pPr>
      <w:r>
        <w:rPr>
          <w:rStyle w:val="Strong"/>
          <w:rFonts w:ascii="Arial" w:hAnsi="Arial" w:cs="Arial"/>
          <w:b w:val="0"/>
          <w:bCs w:val="0"/>
          <w:sz w:val="22"/>
          <w:szCs w:val="22"/>
          <w:lang w:val="en-IN"/>
        </w:rPr>
        <w:t xml:space="preserve">NGS identified nine fusion events spanning four fusion types. The most frequent, PTPRZ1–MET, is a recognized astrocytoma hallmark, driving MET activation and aggressive </w:t>
      </w:r>
      <w:proofErr w:type="spellStart"/>
      <w:r>
        <w:rPr>
          <w:rStyle w:val="Strong"/>
          <w:rFonts w:ascii="Arial" w:hAnsi="Arial" w:cs="Arial"/>
          <w:b w:val="0"/>
          <w:bCs w:val="0"/>
          <w:sz w:val="22"/>
          <w:szCs w:val="22"/>
          <w:lang w:val="en-IN"/>
        </w:rPr>
        <w:t>tumor</w:t>
      </w:r>
      <w:proofErr w:type="spellEnd"/>
      <w:r>
        <w:rPr>
          <w:rStyle w:val="Strong"/>
          <w:rFonts w:ascii="Arial" w:hAnsi="Arial" w:cs="Arial"/>
          <w:b w:val="0"/>
          <w:bCs w:val="0"/>
          <w:sz w:val="22"/>
          <w:szCs w:val="22"/>
          <w:lang w:val="en-IN"/>
        </w:rPr>
        <w:t xml:space="preserve"> behaviour (</w:t>
      </w:r>
      <w:r>
        <w:rPr>
          <w:rFonts w:ascii="Arial" w:eastAsia="SimSun" w:hAnsi="Arial" w:cs="Arial"/>
          <w:color w:val="222222"/>
          <w:sz w:val="22"/>
          <w:szCs w:val="22"/>
          <w:shd w:val="clear" w:color="auto" w:fill="FFFFFF"/>
        </w:rPr>
        <w:t>Rodriguez</w:t>
      </w:r>
      <w:r>
        <w:rPr>
          <w:rFonts w:ascii="Arial" w:eastAsia="SimSun" w:hAnsi="Arial" w:cs="Arial"/>
          <w:color w:val="222222"/>
          <w:sz w:val="22"/>
          <w:szCs w:val="22"/>
          <w:shd w:val="clear" w:color="auto" w:fill="FFFFFF"/>
          <w:lang w:val="en-IN"/>
        </w:rPr>
        <w:t xml:space="preserve"> et al., 2025)</w:t>
      </w:r>
      <w:r>
        <w:rPr>
          <w:rStyle w:val="Strong"/>
          <w:rFonts w:ascii="Arial" w:hAnsi="Arial" w:cs="Arial"/>
          <w:b w:val="0"/>
          <w:bCs w:val="0"/>
          <w:sz w:val="22"/>
          <w:szCs w:val="22"/>
          <w:lang w:val="en-IN"/>
        </w:rPr>
        <w:t xml:space="preserve">. C11orf95–RELA characterizes astrocytic </w:t>
      </w:r>
      <w:proofErr w:type="spellStart"/>
      <w:r>
        <w:rPr>
          <w:rStyle w:val="Strong"/>
          <w:rFonts w:ascii="Arial" w:hAnsi="Arial" w:cs="Arial"/>
          <w:b w:val="0"/>
          <w:bCs w:val="0"/>
          <w:sz w:val="22"/>
          <w:szCs w:val="22"/>
          <w:lang w:val="en-IN"/>
        </w:rPr>
        <w:t>tumors</w:t>
      </w:r>
      <w:proofErr w:type="spellEnd"/>
      <w:r>
        <w:rPr>
          <w:rStyle w:val="Strong"/>
          <w:rFonts w:ascii="Arial" w:hAnsi="Arial" w:cs="Arial"/>
          <w:b w:val="0"/>
          <w:bCs w:val="0"/>
          <w:sz w:val="22"/>
          <w:szCs w:val="22"/>
          <w:lang w:val="en-IN"/>
        </w:rPr>
        <w:t xml:space="preserve"> through NF-</w:t>
      </w:r>
      <w:proofErr w:type="spellStart"/>
      <w:r>
        <w:rPr>
          <w:rStyle w:val="Strong"/>
          <w:rFonts w:ascii="Arial" w:hAnsi="Arial" w:cs="Arial"/>
          <w:b w:val="0"/>
          <w:bCs w:val="0"/>
          <w:sz w:val="22"/>
          <w:szCs w:val="22"/>
          <w:lang w:val="en-IN"/>
        </w:rPr>
        <w:t>κB</w:t>
      </w:r>
      <w:proofErr w:type="spellEnd"/>
      <w:r>
        <w:rPr>
          <w:rStyle w:val="Strong"/>
          <w:rFonts w:ascii="Arial" w:hAnsi="Arial" w:cs="Arial"/>
          <w:b w:val="0"/>
          <w:bCs w:val="0"/>
          <w:sz w:val="22"/>
          <w:szCs w:val="22"/>
          <w:lang w:val="en-IN"/>
        </w:rPr>
        <w:t xml:space="preserve"> pathway activation (</w:t>
      </w:r>
      <w:proofErr w:type="spellStart"/>
      <w:r>
        <w:rPr>
          <w:rStyle w:val="Strong"/>
          <w:rFonts w:ascii="Arial" w:hAnsi="Arial" w:cs="Arial"/>
          <w:b w:val="0"/>
          <w:bCs w:val="0"/>
          <w:sz w:val="22"/>
          <w:szCs w:val="22"/>
          <w:lang w:val="en-IN"/>
        </w:rPr>
        <w:t>Kardian</w:t>
      </w:r>
      <w:proofErr w:type="spellEnd"/>
      <w:r>
        <w:rPr>
          <w:rStyle w:val="Strong"/>
          <w:rFonts w:ascii="Arial" w:hAnsi="Arial" w:cs="Arial"/>
          <w:b w:val="0"/>
          <w:bCs w:val="0"/>
          <w:sz w:val="22"/>
          <w:szCs w:val="22"/>
          <w:lang w:val="en-IN"/>
        </w:rPr>
        <w:t xml:space="preserve"> et al., 2024). EGFR–DYRK1A supports oncogenic EGFR </w:t>
      </w:r>
      <w:proofErr w:type="spellStart"/>
      <w:r>
        <w:rPr>
          <w:rStyle w:val="Strong"/>
          <w:rFonts w:ascii="Arial" w:hAnsi="Arial" w:cs="Arial"/>
          <w:b w:val="0"/>
          <w:bCs w:val="0"/>
          <w:sz w:val="22"/>
          <w:szCs w:val="22"/>
          <w:lang w:val="en-IN"/>
        </w:rPr>
        <w:t>signaling</w:t>
      </w:r>
      <w:proofErr w:type="spellEnd"/>
      <w:r>
        <w:rPr>
          <w:rStyle w:val="Strong"/>
          <w:rFonts w:ascii="Arial" w:hAnsi="Arial" w:cs="Arial"/>
          <w:b w:val="0"/>
          <w:bCs w:val="0"/>
          <w:sz w:val="22"/>
          <w:szCs w:val="22"/>
          <w:lang w:val="en-IN"/>
        </w:rPr>
        <w:t>, predominantly in astrocytoma (Liao et al., 2025). EML4–ALK, though rare in gliomas, is reported more often in astrocytic lineages and carries potential therapeutic relevance (</w:t>
      </w:r>
      <w:proofErr w:type="spellStart"/>
      <w:r>
        <w:rPr>
          <w:rStyle w:val="Strong"/>
          <w:rFonts w:ascii="Arial" w:hAnsi="Arial" w:cs="Arial"/>
          <w:b w:val="0"/>
          <w:bCs w:val="0"/>
          <w:sz w:val="22"/>
          <w:szCs w:val="22"/>
          <w:lang w:val="en-IN"/>
        </w:rPr>
        <w:t>Blandin</w:t>
      </w:r>
      <w:proofErr w:type="spellEnd"/>
      <w:r>
        <w:rPr>
          <w:rStyle w:val="Strong"/>
          <w:rFonts w:ascii="Arial" w:hAnsi="Arial" w:cs="Arial"/>
          <w:b w:val="0"/>
          <w:bCs w:val="0"/>
          <w:sz w:val="22"/>
          <w:szCs w:val="22"/>
          <w:lang w:val="en-IN"/>
        </w:rPr>
        <w:t xml:space="preserve"> et al., 2023).</w:t>
      </w:r>
    </w:p>
    <w:p w14:paraId="67A6E605" w14:textId="77777777" w:rsidR="00856E36" w:rsidRDefault="00856E36" w:rsidP="00B114D3">
      <w:pPr>
        <w:jc w:val="center"/>
        <w:rPr>
          <w:rStyle w:val="Strong"/>
          <w:rFonts w:ascii="Arial" w:hAnsi="Arial" w:cs="Arial"/>
          <w:sz w:val="22"/>
          <w:szCs w:val="22"/>
          <w:lang w:val="en-IN"/>
        </w:rPr>
      </w:pPr>
    </w:p>
    <w:p w14:paraId="08D337B2" w14:textId="77777777" w:rsidR="00856E36" w:rsidRDefault="00A659E2" w:rsidP="00B114D3">
      <w:pPr>
        <w:rPr>
          <w:rStyle w:val="Strong"/>
          <w:rFonts w:ascii="Arial" w:hAnsi="Arial" w:cs="Arial"/>
          <w:sz w:val="22"/>
          <w:szCs w:val="22"/>
          <w:lang w:val="en-IN"/>
        </w:rPr>
      </w:pPr>
      <w:r>
        <w:rPr>
          <w:rStyle w:val="Strong"/>
          <w:rFonts w:ascii="Arial" w:hAnsi="Arial" w:cs="Arial"/>
          <w:noProof/>
          <w:sz w:val="22"/>
          <w:szCs w:val="22"/>
          <w:lang w:val="en-IN" w:eastAsia="en-IN"/>
        </w:rPr>
        <w:lastRenderedPageBreak/>
        <w:drawing>
          <wp:anchor distT="0" distB="0" distL="114300" distR="114300" simplePos="0" relativeHeight="251662336" behindDoc="0" locked="0" layoutInCell="1" allowOverlap="1" wp14:anchorId="0AE48A63" wp14:editId="7C9DA033">
            <wp:simplePos x="0" y="0"/>
            <wp:positionH relativeFrom="column">
              <wp:posOffset>1280795</wp:posOffset>
            </wp:positionH>
            <wp:positionV relativeFrom="paragraph">
              <wp:posOffset>122555</wp:posOffset>
            </wp:positionV>
            <wp:extent cx="3857625" cy="2219325"/>
            <wp:effectExtent l="0" t="0" r="13335" b="5715"/>
            <wp:wrapTopAndBottom/>
            <wp:docPr id="5" name="Picture 5" descr="Screenshot 2025-12-30 12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2025-12-30 121844"/>
                    <pic:cNvPicPr>
                      <a:picLocks noChangeAspect="1"/>
                    </pic:cNvPicPr>
                  </pic:nvPicPr>
                  <pic:blipFill>
                    <a:blip r:embed="rId17"/>
                    <a:srcRect t="5003" b="2946"/>
                    <a:stretch>
                      <a:fillRect/>
                    </a:stretch>
                  </pic:blipFill>
                  <pic:spPr>
                    <a:xfrm>
                      <a:off x="0" y="0"/>
                      <a:ext cx="3857625" cy="2219325"/>
                    </a:xfrm>
                    <a:prstGeom prst="rect">
                      <a:avLst/>
                    </a:prstGeom>
                  </pic:spPr>
                </pic:pic>
              </a:graphicData>
            </a:graphic>
          </wp:anchor>
        </w:drawing>
      </w:r>
      <w:r>
        <w:rPr>
          <w:rStyle w:val="Strong"/>
          <w:rFonts w:ascii="Arial" w:hAnsi="Arial" w:cs="Arial"/>
          <w:sz w:val="22"/>
          <w:szCs w:val="22"/>
          <w:lang w:val="en-IN"/>
        </w:rPr>
        <w:t xml:space="preserve">Figure </w:t>
      </w:r>
      <w:proofErr w:type="gramStart"/>
      <w:r>
        <w:rPr>
          <w:rStyle w:val="Strong"/>
          <w:rFonts w:ascii="Arial" w:hAnsi="Arial" w:cs="Arial"/>
          <w:sz w:val="22"/>
          <w:szCs w:val="22"/>
          <w:lang w:val="en-IN"/>
        </w:rPr>
        <w:t>3:-</w:t>
      </w:r>
      <w:proofErr w:type="gramEnd"/>
      <w:r>
        <w:rPr>
          <w:rStyle w:val="Strong"/>
          <w:rFonts w:ascii="Arial" w:hAnsi="Arial" w:cs="Arial"/>
          <w:sz w:val="22"/>
          <w:szCs w:val="22"/>
          <w:lang w:val="en-IN"/>
        </w:rPr>
        <w:t xml:space="preserve"> Gene fusion spectrum detected by NGS across 11 patients</w:t>
      </w:r>
    </w:p>
    <w:p w14:paraId="2A0C4E07" w14:textId="77777777" w:rsidR="00856E36" w:rsidRDefault="00856E36" w:rsidP="00B114D3">
      <w:pPr>
        <w:jc w:val="both"/>
        <w:rPr>
          <w:rStyle w:val="Strong"/>
          <w:rFonts w:ascii="Arial" w:hAnsi="Arial" w:cs="Arial"/>
          <w:b w:val="0"/>
          <w:bCs w:val="0"/>
          <w:sz w:val="22"/>
          <w:szCs w:val="22"/>
          <w:lang w:val="en-IN"/>
        </w:rPr>
      </w:pPr>
    </w:p>
    <w:p w14:paraId="351A3C62" w14:textId="77777777" w:rsidR="00856E36" w:rsidRDefault="00856E36" w:rsidP="00B114D3">
      <w:pPr>
        <w:jc w:val="both"/>
        <w:rPr>
          <w:rStyle w:val="Strong"/>
          <w:rFonts w:ascii="Arial" w:hAnsi="Arial" w:cs="Arial"/>
          <w:sz w:val="22"/>
          <w:szCs w:val="22"/>
          <w:lang w:val="en-IN"/>
        </w:rPr>
      </w:pPr>
    </w:p>
    <w:p w14:paraId="4A8B4D46" w14:textId="77777777" w:rsidR="00856E36" w:rsidRDefault="00A659E2" w:rsidP="00B114D3">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Analysis Using Copy Number Variation</w:t>
      </w:r>
    </w:p>
    <w:p w14:paraId="5D204FD1" w14:textId="77777777" w:rsidR="00856E36" w:rsidRDefault="00A659E2" w:rsidP="00B114D3">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The remaining 6 genes that showed IDH mutation and ATRX retention, were analysed using another parameter- CNV, which has 12 specific genes for oligodendrogliomas; out of which 7 genes namely ARID1A, JAK1, MAGOH, MTOR, MYCL, NOTCH2 and NRAS are located on p-arm of chromosome 1 and rest 5 genes namely AKT2, AXL, CCNE1, ERCC2 and PP2RIA are located on q-arm of chromosome 19. Using Torrent Suite™ and Ion Reporter™ software, CNV analyses were classified as "definite" or "probable" based on confidence intervals of p-values, amplicon coverage, and the coefficient of variation metrics, respectively where A gene is considered DEFINITE if any P-value &lt; 0.05</w:t>
      </w:r>
      <w:proofErr w:type="gramStart"/>
      <w:r>
        <w:rPr>
          <w:rStyle w:val="Strong"/>
          <w:rFonts w:ascii="Arial" w:hAnsi="Arial" w:cs="Arial"/>
          <w:b w:val="0"/>
          <w:bCs w:val="0"/>
          <w:sz w:val="22"/>
          <w:szCs w:val="22"/>
          <w:lang w:val="en-IN"/>
        </w:rPr>
        <w:t>,  Valid</w:t>
      </w:r>
      <w:proofErr w:type="gramEnd"/>
      <w:r>
        <w:rPr>
          <w:rStyle w:val="Strong"/>
          <w:rFonts w:ascii="Arial" w:hAnsi="Arial" w:cs="Arial"/>
          <w:b w:val="0"/>
          <w:bCs w:val="0"/>
          <w:sz w:val="22"/>
          <w:szCs w:val="22"/>
          <w:lang w:val="en-IN"/>
        </w:rPr>
        <w:t xml:space="preserve"> CNV  amplicons &gt; 10 and 95% CNV confidence &lt; 2, otherwise the gene is classified as PROBABLE (Ali et al., 2020) </w:t>
      </w:r>
    </w:p>
    <w:p w14:paraId="3BA2F984" w14:textId="77777777" w:rsidR="00856E36" w:rsidRDefault="00856E36" w:rsidP="00B114D3">
      <w:pPr>
        <w:tabs>
          <w:tab w:val="left" w:pos="425"/>
        </w:tabs>
        <w:jc w:val="both"/>
        <w:rPr>
          <w:rStyle w:val="Strong"/>
          <w:rFonts w:ascii="Arial" w:hAnsi="Arial" w:cs="Arial"/>
          <w:sz w:val="22"/>
          <w:szCs w:val="22"/>
          <w:lang w:val="en-IN"/>
        </w:rPr>
      </w:pPr>
    </w:p>
    <w:p w14:paraId="764B08B4" w14:textId="77777777" w:rsidR="00856E36" w:rsidRDefault="00A659E2" w:rsidP="00B114D3">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t xml:space="preserve">Sample </w:t>
      </w:r>
      <w:proofErr w:type="gramStart"/>
      <w:r>
        <w:rPr>
          <w:rStyle w:val="Strong"/>
          <w:rFonts w:ascii="Arial" w:hAnsi="Arial" w:cs="Arial"/>
          <w:sz w:val="22"/>
          <w:szCs w:val="22"/>
          <w:lang w:val="en-IN"/>
        </w:rPr>
        <w:t>1:-</w:t>
      </w:r>
      <w:proofErr w:type="gramEnd"/>
      <w:r>
        <w:rPr>
          <w:rStyle w:val="Strong"/>
          <w:rFonts w:ascii="Arial" w:hAnsi="Arial" w:cs="Arial"/>
          <w:sz w:val="22"/>
          <w:szCs w:val="22"/>
          <w:lang w:val="en-IN"/>
        </w:rPr>
        <w:t xml:space="preserve"> </w:t>
      </w:r>
      <w:r>
        <w:rPr>
          <w:rStyle w:val="Strong"/>
          <w:rFonts w:ascii="Arial" w:hAnsi="Arial" w:cs="Arial"/>
          <w:b w:val="0"/>
          <w:bCs w:val="0"/>
          <w:sz w:val="22"/>
          <w:szCs w:val="22"/>
          <w:lang w:val="en-IN"/>
        </w:rPr>
        <w:t>Although 7 out of 12 genes on both arms, showed significant p-values, only 2 genes - specifically on 19q arm showed definite loss, eliminating the probability of sample to be classified as oligodendroglioma.</w:t>
      </w:r>
    </w:p>
    <w:tbl>
      <w:tblPr>
        <w:tblpPr w:leftFromText="180" w:rightFromText="180" w:vertAnchor="text" w:horzAnchor="page" w:tblpX="1961" w:tblpY="5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3"/>
        <w:gridCol w:w="1611"/>
        <w:gridCol w:w="903"/>
        <w:gridCol w:w="938"/>
        <w:gridCol w:w="1239"/>
        <w:gridCol w:w="1162"/>
        <w:gridCol w:w="901"/>
        <w:gridCol w:w="461"/>
      </w:tblGrid>
      <w:tr w:rsidR="00856E36" w14:paraId="0CFF39C5" w14:textId="77777777">
        <w:trPr>
          <w:trHeight w:val="320"/>
        </w:trPr>
        <w:tc>
          <w:tcPr>
            <w:tcW w:w="1013" w:type="dxa"/>
            <w:tcBorders>
              <w:top w:val="single" w:sz="4" w:space="0" w:color="auto"/>
              <w:left w:val="single" w:sz="4" w:space="0" w:color="auto"/>
              <w:bottom w:val="single" w:sz="4" w:space="0" w:color="auto"/>
              <w:right w:val="single" w:sz="4" w:space="0" w:color="auto"/>
            </w:tcBorders>
            <w:shd w:val="clear" w:color="auto" w:fill="4BACC6"/>
            <w:vAlign w:val="bottom"/>
          </w:tcPr>
          <w:p w14:paraId="3799D3B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color w:val="000000" w:themeColor="text1"/>
                <w:sz w:val="22"/>
                <w:szCs w:val="22"/>
                <w:lang w:bidi="ar"/>
              </w:rPr>
              <w:t>Variant ID</w:t>
            </w:r>
          </w:p>
        </w:tc>
        <w:tc>
          <w:tcPr>
            <w:tcW w:w="1611" w:type="dxa"/>
            <w:tcBorders>
              <w:top w:val="single" w:sz="4" w:space="0" w:color="auto"/>
              <w:left w:val="single" w:sz="4" w:space="0" w:color="auto"/>
              <w:bottom w:val="single" w:sz="4" w:space="0" w:color="auto"/>
              <w:right w:val="single" w:sz="4" w:space="0" w:color="auto"/>
            </w:tcBorders>
            <w:shd w:val="clear" w:color="auto" w:fill="4BACC6"/>
            <w:vAlign w:val="bottom"/>
          </w:tcPr>
          <w:p w14:paraId="235C8DF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color w:val="000000" w:themeColor="text1"/>
                <w:sz w:val="22"/>
                <w:szCs w:val="22"/>
                <w:lang w:bidi="ar"/>
              </w:rPr>
              <w:t>Locus</w:t>
            </w:r>
          </w:p>
        </w:tc>
        <w:tc>
          <w:tcPr>
            <w:tcW w:w="903" w:type="dxa"/>
            <w:tcBorders>
              <w:top w:val="single" w:sz="4" w:space="0" w:color="auto"/>
              <w:left w:val="single" w:sz="4" w:space="0" w:color="auto"/>
              <w:bottom w:val="single" w:sz="4" w:space="0" w:color="auto"/>
              <w:right w:val="single" w:sz="4" w:space="0" w:color="auto"/>
            </w:tcBorders>
            <w:shd w:val="clear" w:color="auto" w:fill="4BACC6"/>
            <w:vAlign w:val="bottom"/>
          </w:tcPr>
          <w:p w14:paraId="30BF1F3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color w:val="000000" w:themeColor="text1"/>
                <w:sz w:val="22"/>
                <w:szCs w:val="22"/>
                <w:lang w:bidi="ar"/>
              </w:rPr>
              <w:t>Call</w:t>
            </w:r>
          </w:p>
        </w:tc>
        <w:tc>
          <w:tcPr>
            <w:tcW w:w="938" w:type="dxa"/>
            <w:tcBorders>
              <w:top w:val="single" w:sz="4" w:space="0" w:color="auto"/>
              <w:left w:val="single" w:sz="4" w:space="0" w:color="auto"/>
              <w:bottom w:val="single" w:sz="4" w:space="0" w:color="auto"/>
              <w:right w:val="single" w:sz="4" w:space="0" w:color="auto"/>
            </w:tcBorders>
            <w:shd w:val="clear" w:color="auto" w:fill="4BACC6"/>
            <w:vAlign w:val="bottom"/>
          </w:tcPr>
          <w:p w14:paraId="2F1C41D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color w:val="000000" w:themeColor="text1"/>
                <w:sz w:val="22"/>
                <w:szCs w:val="22"/>
                <w:lang w:bidi="ar"/>
              </w:rPr>
              <w:t>P-Value</w:t>
            </w:r>
          </w:p>
        </w:tc>
        <w:tc>
          <w:tcPr>
            <w:tcW w:w="1239" w:type="dxa"/>
            <w:tcBorders>
              <w:top w:val="single" w:sz="4" w:space="0" w:color="auto"/>
              <w:left w:val="single" w:sz="4" w:space="0" w:color="auto"/>
              <w:bottom w:val="single" w:sz="4" w:space="0" w:color="auto"/>
              <w:right w:val="single" w:sz="4" w:space="0" w:color="auto"/>
            </w:tcBorders>
            <w:shd w:val="clear" w:color="auto" w:fill="4BACC6"/>
            <w:vAlign w:val="bottom"/>
          </w:tcPr>
          <w:p w14:paraId="6A16A0E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color w:val="000000" w:themeColor="text1"/>
                <w:sz w:val="22"/>
                <w:szCs w:val="22"/>
                <w:lang w:bidi="ar"/>
              </w:rPr>
              <w:t>CNV Confidence</w:t>
            </w:r>
          </w:p>
        </w:tc>
        <w:tc>
          <w:tcPr>
            <w:tcW w:w="1162" w:type="dxa"/>
            <w:tcBorders>
              <w:top w:val="single" w:sz="4" w:space="0" w:color="auto"/>
              <w:left w:val="single" w:sz="4" w:space="0" w:color="auto"/>
              <w:bottom w:val="single" w:sz="4" w:space="0" w:color="auto"/>
              <w:right w:val="single" w:sz="4" w:space="0" w:color="auto"/>
            </w:tcBorders>
            <w:shd w:val="clear" w:color="auto" w:fill="4BACC6"/>
            <w:vAlign w:val="bottom"/>
          </w:tcPr>
          <w:p w14:paraId="0128C3C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color w:val="000000" w:themeColor="text1"/>
                <w:sz w:val="22"/>
                <w:szCs w:val="22"/>
                <w:lang w:bidi="ar"/>
              </w:rPr>
              <w:t>Valid CNV Amplicons</w:t>
            </w:r>
          </w:p>
        </w:tc>
        <w:tc>
          <w:tcPr>
            <w:tcW w:w="901" w:type="dxa"/>
            <w:tcBorders>
              <w:top w:val="single" w:sz="4" w:space="0" w:color="auto"/>
              <w:left w:val="single" w:sz="4" w:space="0" w:color="auto"/>
              <w:bottom w:val="single" w:sz="4" w:space="0" w:color="auto"/>
              <w:right w:val="single" w:sz="4" w:space="0" w:color="auto"/>
            </w:tcBorders>
            <w:shd w:val="clear" w:color="auto" w:fill="4BACC6"/>
            <w:vAlign w:val="bottom"/>
          </w:tcPr>
          <w:p w14:paraId="13EB395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color w:val="000000" w:themeColor="text1"/>
                <w:sz w:val="22"/>
                <w:szCs w:val="22"/>
                <w:lang w:bidi="ar"/>
              </w:rPr>
              <w:t>Loss</w:t>
            </w:r>
          </w:p>
        </w:tc>
        <w:tc>
          <w:tcPr>
            <w:tcW w:w="461" w:type="dxa"/>
            <w:tcBorders>
              <w:top w:val="single" w:sz="4" w:space="0" w:color="auto"/>
              <w:left w:val="single" w:sz="4" w:space="0" w:color="auto"/>
              <w:bottom w:val="single" w:sz="4" w:space="0" w:color="auto"/>
              <w:right w:val="single" w:sz="4" w:space="0" w:color="auto"/>
            </w:tcBorders>
            <w:shd w:val="clear" w:color="auto" w:fill="4BACC6"/>
            <w:vAlign w:val="bottom"/>
          </w:tcPr>
          <w:p w14:paraId="42032069" w14:textId="77777777" w:rsidR="00856E36" w:rsidRDefault="00A659E2" w:rsidP="00B114D3">
            <w:pPr>
              <w:jc w:val="center"/>
              <w:rPr>
                <w:rFonts w:ascii="Arial" w:hAnsi="Arial" w:cs="Arial"/>
                <w:color w:val="000000" w:themeColor="text1"/>
                <w:sz w:val="22"/>
                <w:szCs w:val="22"/>
              </w:rPr>
            </w:pPr>
            <w:r>
              <w:rPr>
                <w:rFonts w:ascii="Arial" w:hAnsi="Arial" w:cs="Arial"/>
                <w:b/>
                <w:bCs/>
                <w:color w:val="000000" w:themeColor="text1"/>
                <w:sz w:val="22"/>
                <w:szCs w:val="22"/>
              </w:rPr>
              <w:t>Arm</w:t>
            </w:r>
          </w:p>
        </w:tc>
      </w:tr>
      <w:tr w:rsidR="00856E36" w14:paraId="46EB8B33"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3657FFA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ARID1A</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8F76F4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chr1:27022977</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7774C6D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55FC197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0</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4369C67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 95%:0.3</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4BEFB41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95</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45DC058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24CC2671"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p</w:t>
            </w:r>
          </w:p>
        </w:tc>
      </w:tr>
      <w:tr w:rsidR="00856E36" w14:paraId="4832683F"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55480EA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JAK1</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4867D2F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chr1:65310460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52146E6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74DCFD4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0.03493</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CED50A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 95%:1.53</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173CEC9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3</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174C49D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64B9D522"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p</w:t>
            </w:r>
          </w:p>
        </w:tc>
      </w:tr>
      <w:tr w:rsidR="00856E36" w14:paraId="0D375D11"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50D60C2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MAGOH</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3E9C46A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chr1:53692719</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0C4E2C8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2E0F576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0.5071</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1D98661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 95%:4.46</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7A90E36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1</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2371EED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64E3AB81"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p</w:t>
            </w:r>
          </w:p>
        </w:tc>
      </w:tr>
      <w:tr w:rsidR="00856E36" w14:paraId="6100E306"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1FFA098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MTOR</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564D3EC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chr1:11168315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6C6E99A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6A0AA14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1.10E-04</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34DAA87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 95%:0.97</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437DBE7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13</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4A01926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395A872F"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p</w:t>
            </w:r>
          </w:p>
        </w:tc>
      </w:tr>
      <w:tr w:rsidR="00856E36" w14:paraId="55FBC851"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7A124BE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MYCL</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2AF7886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chr1:40362966</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7538D85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20D17F2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2.83E-04</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20075E9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 95%:0.9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55C5CBB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9</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2025BA3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6264F444"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p</w:t>
            </w:r>
          </w:p>
        </w:tc>
      </w:tr>
      <w:tr w:rsidR="00856E36" w14:paraId="2E4C29C1" w14:textId="77777777">
        <w:trPr>
          <w:trHeight w:val="270"/>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3740AFA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lastRenderedPageBreak/>
              <w:t>NOTCH2</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47A0816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chr1:120457924</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7391021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1D09221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0</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026E879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5%:0.09, 95%:0.44</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55418D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111</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66492B3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200D0381"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p</w:t>
            </w:r>
          </w:p>
        </w:tc>
      </w:tr>
      <w:tr w:rsidR="00856E36" w14:paraId="2D3D302F"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3AEAAC4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NRAS</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57E0E1F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chr1:115252191</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694A5C7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64CAD60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0.05443</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481308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 95%:1.69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7B301D3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3</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7FDD7CD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6F0BA81C"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p</w:t>
            </w:r>
          </w:p>
        </w:tc>
      </w:tr>
      <w:tr w:rsidR="00856E36" w14:paraId="55651AB1"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1F6E583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AKT2</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73AE0F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chr19:40739755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58D62DC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2BA77D1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0.00196</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376CBF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 95%:1.23</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0F7BE98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11</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1FBA79E5"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4FE31338"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q</w:t>
            </w:r>
          </w:p>
        </w:tc>
      </w:tr>
      <w:tr w:rsidR="00856E36" w14:paraId="45A69211" w14:textId="77777777">
        <w:trPr>
          <w:trHeight w:val="320"/>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22BDDFD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AXL</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941891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chr19:41725295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1234D12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0F47CB6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0.002916</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0534E9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5%:0.03, 95%:1.29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26FBC43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11</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23A32A07"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45902349"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q</w:t>
            </w:r>
          </w:p>
        </w:tc>
      </w:tr>
      <w:tr w:rsidR="00856E36" w14:paraId="59A81C7C"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223E7B4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CCNE1</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520B47B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chr19:30303882</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15CB7F9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3AEB8A1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3.03E-06</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791D8F4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 95%:0.5</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7E0FCCA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10</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3F2BCFC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0ECFEC47"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q</w:t>
            </w:r>
          </w:p>
        </w:tc>
      </w:tr>
      <w:tr w:rsidR="00856E36" w14:paraId="1FF2F3D8"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21599FD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ERCC2</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06557F9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chr19:45855711</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190D0CE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24B4476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0.02773</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33249D6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 95%:1.55</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1EB64CF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52B4229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63A083F3"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q</w:t>
            </w:r>
          </w:p>
        </w:tc>
      </w:tr>
      <w:tr w:rsidR="00856E36" w14:paraId="395A1464" w14:textId="77777777">
        <w:trPr>
          <w:trHeight w:val="350"/>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468174E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PPP2R1A</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F6E3D5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chr19:52715952</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7334561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39D7E41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0.07519</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2A56D6B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5%:0, 95%:1.81</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07834C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2</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7E8E5BC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36641A84" w14:textId="77777777" w:rsidR="00856E36" w:rsidRDefault="00A659E2" w:rsidP="00B114D3">
            <w:pPr>
              <w:jc w:val="center"/>
              <w:rPr>
                <w:rFonts w:ascii="Arial" w:hAnsi="Arial" w:cs="Arial"/>
                <w:color w:val="000000" w:themeColor="text1"/>
                <w:sz w:val="22"/>
                <w:szCs w:val="22"/>
              </w:rPr>
            </w:pPr>
            <w:r>
              <w:rPr>
                <w:rFonts w:ascii="Arial" w:hAnsi="Arial" w:cs="Arial"/>
                <w:color w:val="000000" w:themeColor="text1"/>
                <w:sz w:val="22"/>
                <w:szCs w:val="22"/>
              </w:rPr>
              <w:t>q</w:t>
            </w:r>
          </w:p>
        </w:tc>
      </w:tr>
    </w:tbl>
    <w:p w14:paraId="4FCD2362" w14:textId="77777777" w:rsidR="00856E36" w:rsidRDefault="00856E36" w:rsidP="00B114D3">
      <w:pPr>
        <w:tabs>
          <w:tab w:val="left" w:pos="425"/>
        </w:tabs>
        <w:jc w:val="both"/>
        <w:rPr>
          <w:rStyle w:val="Strong"/>
          <w:rFonts w:ascii="Arial" w:hAnsi="Arial" w:cs="Arial"/>
          <w:sz w:val="22"/>
          <w:szCs w:val="22"/>
          <w:lang w:val="en-IN"/>
        </w:rPr>
      </w:pPr>
    </w:p>
    <w:p w14:paraId="0BD34564" w14:textId="77777777" w:rsidR="00856E36" w:rsidRDefault="00A659E2" w:rsidP="00B114D3">
      <w:pPr>
        <w:tabs>
          <w:tab w:val="left" w:pos="425"/>
        </w:tabs>
        <w:jc w:val="both"/>
        <w:rPr>
          <w:rStyle w:val="Strong"/>
          <w:rFonts w:ascii="Arial" w:hAnsi="Arial" w:cs="Arial"/>
          <w:sz w:val="22"/>
          <w:szCs w:val="22"/>
          <w:lang w:val="en-IN"/>
        </w:rPr>
      </w:pPr>
      <w:r>
        <w:rPr>
          <w:rStyle w:val="Strong"/>
          <w:rFonts w:ascii="Arial" w:hAnsi="Arial" w:cs="Arial"/>
          <w:sz w:val="22"/>
          <w:szCs w:val="22"/>
          <w:lang w:val="en-IN"/>
        </w:rPr>
        <w:t xml:space="preserve">Table </w:t>
      </w:r>
      <w:proofErr w:type="gramStart"/>
      <w:r>
        <w:rPr>
          <w:rStyle w:val="Strong"/>
          <w:rFonts w:ascii="Arial" w:hAnsi="Arial" w:cs="Arial"/>
          <w:sz w:val="22"/>
          <w:szCs w:val="22"/>
          <w:lang w:val="en-IN"/>
        </w:rPr>
        <w:t>2:-</w:t>
      </w:r>
      <w:proofErr w:type="gramEnd"/>
      <w:r>
        <w:rPr>
          <w:rStyle w:val="Strong"/>
          <w:rFonts w:ascii="Arial" w:hAnsi="Arial" w:cs="Arial"/>
          <w:sz w:val="22"/>
          <w:szCs w:val="22"/>
          <w:lang w:val="en-IN"/>
        </w:rPr>
        <w:t xml:space="preserve"> Identification of co-deletion of 1p/19q arm specific genes using CNV-NGS analysis</w:t>
      </w:r>
    </w:p>
    <w:p w14:paraId="4319B830" w14:textId="77777777" w:rsidR="00856E36" w:rsidRDefault="00856E36" w:rsidP="00B114D3">
      <w:pPr>
        <w:tabs>
          <w:tab w:val="left" w:pos="425"/>
        </w:tabs>
        <w:jc w:val="both"/>
        <w:rPr>
          <w:rStyle w:val="Strong"/>
          <w:rFonts w:ascii="Arial" w:hAnsi="Arial" w:cs="Arial"/>
          <w:sz w:val="22"/>
          <w:szCs w:val="22"/>
          <w:lang w:val="en-IN"/>
        </w:rPr>
      </w:pPr>
    </w:p>
    <w:p w14:paraId="4CBBDF61" w14:textId="77777777" w:rsidR="00856E36" w:rsidRDefault="00856E36" w:rsidP="00B114D3">
      <w:pPr>
        <w:tabs>
          <w:tab w:val="left" w:pos="425"/>
        </w:tabs>
        <w:jc w:val="both"/>
        <w:rPr>
          <w:rStyle w:val="Strong"/>
          <w:rFonts w:ascii="Arial" w:hAnsi="Arial" w:cs="Arial"/>
          <w:sz w:val="22"/>
          <w:szCs w:val="22"/>
          <w:lang w:val="en-IN"/>
        </w:rPr>
      </w:pPr>
    </w:p>
    <w:p w14:paraId="5E757330" w14:textId="77777777" w:rsidR="00856E36" w:rsidRDefault="00A659E2" w:rsidP="00B114D3">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t>Sample</w:t>
      </w:r>
      <w:proofErr w:type="gramStart"/>
      <w:r>
        <w:rPr>
          <w:rStyle w:val="Strong"/>
          <w:rFonts w:ascii="Arial" w:hAnsi="Arial" w:cs="Arial"/>
          <w:sz w:val="22"/>
          <w:szCs w:val="22"/>
          <w:lang w:val="en-IN"/>
        </w:rPr>
        <w:t>2:-</w:t>
      </w:r>
      <w:proofErr w:type="gramEnd"/>
      <w:r>
        <w:rPr>
          <w:rStyle w:val="Strong"/>
          <w:rFonts w:ascii="Arial" w:hAnsi="Arial" w:cs="Arial"/>
          <w:sz w:val="22"/>
          <w:szCs w:val="22"/>
          <w:lang w:val="en-IN"/>
        </w:rPr>
        <w:t xml:space="preserve"> </w:t>
      </w:r>
      <w:r>
        <w:rPr>
          <w:rStyle w:val="Strong"/>
          <w:rFonts w:ascii="Arial" w:hAnsi="Arial" w:cs="Arial"/>
          <w:b w:val="0"/>
          <w:bCs w:val="0"/>
          <w:sz w:val="22"/>
          <w:szCs w:val="22"/>
          <w:lang w:val="en-IN"/>
        </w:rPr>
        <w:t>Although 4 out of 12 genes on both arms, showed significant p-values, only 1 gene - specifically on 1p arm showed definite loss, ruling out the sample to be classified as oligodendroglioma.</w:t>
      </w:r>
    </w:p>
    <w:p w14:paraId="5AD0E84E" w14:textId="77777777" w:rsidR="00A659E2" w:rsidRDefault="00A659E2" w:rsidP="00B114D3">
      <w:pPr>
        <w:tabs>
          <w:tab w:val="left" w:pos="425"/>
        </w:tabs>
        <w:jc w:val="both"/>
        <w:rPr>
          <w:rStyle w:val="Strong"/>
          <w:rFonts w:ascii="Arial" w:hAnsi="Arial" w:cs="Arial"/>
          <w:b w:val="0"/>
          <w:bCs w:val="0"/>
          <w:sz w:val="22"/>
          <w:szCs w:val="22"/>
          <w:lang w:val="en-IN"/>
        </w:rPr>
      </w:pPr>
    </w:p>
    <w:p w14:paraId="1B6CD972" w14:textId="77777777" w:rsidR="00A659E2" w:rsidRDefault="00A659E2" w:rsidP="00B114D3">
      <w:pPr>
        <w:tabs>
          <w:tab w:val="left" w:pos="425"/>
        </w:tabs>
        <w:jc w:val="both"/>
        <w:rPr>
          <w:rStyle w:val="Strong"/>
          <w:rFonts w:ascii="Arial" w:hAnsi="Arial" w:cs="Arial"/>
          <w:b w:val="0"/>
          <w:bCs w:val="0"/>
          <w:sz w:val="22"/>
          <w:szCs w:val="22"/>
          <w:lang w:val="en-IN"/>
        </w:rPr>
      </w:pPr>
    </w:p>
    <w:tbl>
      <w:tblPr>
        <w:tblpPr w:leftFromText="180" w:rightFromText="180" w:vertAnchor="text" w:horzAnchor="page" w:tblpX="1961" w:tblpY="5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3"/>
        <w:gridCol w:w="1611"/>
        <w:gridCol w:w="903"/>
        <w:gridCol w:w="938"/>
        <w:gridCol w:w="1239"/>
        <w:gridCol w:w="1162"/>
        <w:gridCol w:w="901"/>
        <w:gridCol w:w="461"/>
      </w:tblGrid>
      <w:tr w:rsidR="00856E36" w14:paraId="740606B5" w14:textId="77777777">
        <w:trPr>
          <w:trHeight w:val="320"/>
        </w:trPr>
        <w:tc>
          <w:tcPr>
            <w:tcW w:w="1013" w:type="dxa"/>
            <w:tcBorders>
              <w:top w:val="single" w:sz="4" w:space="0" w:color="auto"/>
              <w:left w:val="single" w:sz="4" w:space="0" w:color="auto"/>
              <w:bottom w:val="single" w:sz="4" w:space="0" w:color="auto"/>
              <w:right w:val="single" w:sz="4" w:space="0" w:color="auto"/>
            </w:tcBorders>
            <w:shd w:val="clear" w:color="auto" w:fill="4BACC6"/>
            <w:vAlign w:val="bottom"/>
          </w:tcPr>
          <w:p w14:paraId="39DEAD7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Variant ID</w:t>
            </w:r>
          </w:p>
        </w:tc>
        <w:tc>
          <w:tcPr>
            <w:tcW w:w="1611" w:type="dxa"/>
            <w:tcBorders>
              <w:top w:val="single" w:sz="4" w:space="0" w:color="auto"/>
              <w:left w:val="single" w:sz="4" w:space="0" w:color="auto"/>
              <w:bottom w:val="single" w:sz="4" w:space="0" w:color="auto"/>
              <w:right w:val="single" w:sz="4" w:space="0" w:color="auto"/>
            </w:tcBorders>
            <w:shd w:val="clear" w:color="auto" w:fill="4BACC6"/>
            <w:vAlign w:val="bottom"/>
          </w:tcPr>
          <w:p w14:paraId="2EB1EA9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Locus</w:t>
            </w:r>
          </w:p>
        </w:tc>
        <w:tc>
          <w:tcPr>
            <w:tcW w:w="903" w:type="dxa"/>
            <w:tcBorders>
              <w:top w:val="single" w:sz="4" w:space="0" w:color="auto"/>
              <w:left w:val="single" w:sz="4" w:space="0" w:color="auto"/>
              <w:bottom w:val="single" w:sz="4" w:space="0" w:color="auto"/>
              <w:right w:val="single" w:sz="4" w:space="0" w:color="auto"/>
            </w:tcBorders>
            <w:shd w:val="clear" w:color="auto" w:fill="4BACC6"/>
            <w:vAlign w:val="bottom"/>
          </w:tcPr>
          <w:p w14:paraId="7A81E22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Call</w:t>
            </w:r>
          </w:p>
        </w:tc>
        <w:tc>
          <w:tcPr>
            <w:tcW w:w="938" w:type="dxa"/>
            <w:tcBorders>
              <w:top w:val="single" w:sz="4" w:space="0" w:color="auto"/>
              <w:left w:val="single" w:sz="4" w:space="0" w:color="auto"/>
              <w:bottom w:val="single" w:sz="4" w:space="0" w:color="auto"/>
              <w:right w:val="single" w:sz="4" w:space="0" w:color="auto"/>
            </w:tcBorders>
            <w:shd w:val="clear" w:color="auto" w:fill="4BACC6"/>
            <w:vAlign w:val="bottom"/>
          </w:tcPr>
          <w:p w14:paraId="63CD9B3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P-Value</w:t>
            </w:r>
          </w:p>
        </w:tc>
        <w:tc>
          <w:tcPr>
            <w:tcW w:w="1239" w:type="dxa"/>
            <w:tcBorders>
              <w:top w:val="single" w:sz="4" w:space="0" w:color="auto"/>
              <w:left w:val="single" w:sz="4" w:space="0" w:color="auto"/>
              <w:bottom w:val="single" w:sz="4" w:space="0" w:color="auto"/>
              <w:right w:val="single" w:sz="4" w:space="0" w:color="auto"/>
            </w:tcBorders>
            <w:shd w:val="clear" w:color="auto" w:fill="4BACC6"/>
            <w:vAlign w:val="bottom"/>
          </w:tcPr>
          <w:p w14:paraId="61C8EE9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CNV Confidence</w:t>
            </w:r>
          </w:p>
        </w:tc>
        <w:tc>
          <w:tcPr>
            <w:tcW w:w="1162" w:type="dxa"/>
            <w:tcBorders>
              <w:top w:val="single" w:sz="4" w:space="0" w:color="auto"/>
              <w:left w:val="single" w:sz="4" w:space="0" w:color="auto"/>
              <w:bottom w:val="single" w:sz="4" w:space="0" w:color="auto"/>
              <w:right w:val="single" w:sz="4" w:space="0" w:color="auto"/>
            </w:tcBorders>
            <w:shd w:val="clear" w:color="auto" w:fill="4BACC6"/>
            <w:vAlign w:val="bottom"/>
          </w:tcPr>
          <w:p w14:paraId="7475ED9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Valid CNV Amplicons</w:t>
            </w:r>
          </w:p>
        </w:tc>
        <w:tc>
          <w:tcPr>
            <w:tcW w:w="901" w:type="dxa"/>
            <w:tcBorders>
              <w:top w:val="single" w:sz="4" w:space="0" w:color="auto"/>
              <w:left w:val="single" w:sz="4" w:space="0" w:color="auto"/>
              <w:bottom w:val="single" w:sz="4" w:space="0" w:color="auto"/>
              <w:right w:val="single" w:sz="4" w:space="0" w:color="auto"/>
            </w:tcBorders>
            <w:shd w:val="clear" w:color="auto" w:fill="4BACC6"/>
            <w:vAlign w:val="bottom"/>
          </w:tcPr>
          <w:p w14:paraId="6B29D3A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Loss</w:t>
            </w:r>
          </w:p>
        </w:tc>
        <w:tc>
          <w:tcPr>
            <w:tcW w:w="461" w:type="dxa"/>
            <w:tcBorders>
              <w:top w:val="single" w:sz="4" w:space="0" w:color="auto"/>
              <w:left w:val="single" w:sz="4" w:space="0" w:color="auto"/>
              <w:bottom w:val="single" w:sz="4" w:space="0" w:color="auto"/>
              <w:right w:val="single" w:sz="4" w:space="0" w:color="auto"/>
            </w:tcBorders>
            <w:shd w:val="clear" w:color="auto" w:fill="4BACC6"/>
            <w:vAlign w:val="bottom"/>
          </w:tcPr>
          <w:p w14:paraId="3EA8FD31" w14:textId="77777777" w:rsidR="00856E36" w:rsidRDefault="00A659E2" w:rsidP="00B114D3">
            <w:pPr>
              <w:jc w:val="center"/>
              <w:rPr>
                <w:rFonts w:ascii="Arial" w:hAnsi="Arial" w:cs="Arial"/>
                <w:color w:val="000000" w:themeColor="text1"/>
                <w:sz w:val="22"/>
                <w:szCs w:val="22"/>
              </w:rPr>
            </w:pPr>
            <w:r>
              <w:rPr>
                <w:rFonts w:ascii="Arial" w:hAnsi="Arial" w:cs="Arial"/>
                <w:b/>
                <w:bCs/>
                <w:sz w:val="22"/>
                <w:szCs w:val="22"/>
              </w:rPr>
              <w:t>Arm</w:t>
            </w:r>
          </w:p>
        </w:tc>
      </w:tr>
      <w:tr w:rsidR="00856E36" w14:paraId="6DFF2641"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263C39A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ARID1A</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F7C84B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chr1:27022977</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16FC8AD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7168429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0</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47CF497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5%:0.36, 95%:0.69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76420D1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95</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5EFDAB7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44A7A203"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p</w:t>
            </w:r>
          </w:p>
        </w:tc>
      </w:tr>
      <w:tr w:rsidR="00856E36" w14:paraId="464233E3"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706B6B4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JAK1</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4001AC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chr1:65310460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7310FC5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6DAE907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0.137</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CE8274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5%:0, 95%:2.16</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51379BB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3</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5D5EB6C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159668E1"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p</w:t>
            </w:r>
          </w:p>
        </w:tc>
      </w:tr>
      <w:tr w:rsidR="00856E36" w14:paraId="5F5AAF1E"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74CD757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MAGOH</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0921171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chr1:53692719</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557F05A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050891A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0.543</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34C8F0D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5%:0, 95%:4.01</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1BCD1A6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1</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267B1CF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5C12FC02"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p</w:t>
            </w:r>
          </w:p>
        </w:tc>
      </w:tr>
      <w:tr w:rsidR="00856E36" w14:paraId="001D7113"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34FCFC4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MTOR</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867C6C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chr1:11168315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7040971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78F1BB1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3.25E-04</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6CA3BB9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5%:0.26, 95%:1.23</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061A13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13</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1C73C9A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color w:val="FF0000"/>
                <w:sz w:val="22"/>
                <w:szCs w:val="22"/>
                <w:lang w:bidi="ar"/>
              </w:rPr>
              <w:t>Definite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210CB8E2"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p</w:t>
            </w:r>
          </w:p>
        </w:tc>
      </w:tr>
      <w:tr w:rsidR="00856E36" w14:paraId="47FC94D1"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0487978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MYCL</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0CC132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chr1:40362966</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10074E2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NO CALL</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034D8AA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0CCFEC3" w14:textId="77777777" w:rsidR="00856E36" w:rsidRDefault="00856E36" w:rsidP="00B114D3">
            <w:pPr>
              <w:jc w:val="center"/>
              <w:rPr>
                <w:rFonts w:ascii="Arial" w:hAnsi="Arial" w:cs="Arial"/>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3564D5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9</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00E2E76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1BD4A64D"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p</w:t>
            </w:r>
          </w:p>
        </w:tc>
      </w:tr>
      <w:tr w:rsidR="00856E36" w14:paraId="42662E68" w14:textId="77777777">
        <w:trPr>
          <w:trHeight w:val="270"/>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3FE5E7C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NOTCH2</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71F9E1A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chr1:120457924</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1A53E45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1F6BE1D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0</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08C458E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5%:0.44, 95%:0.77</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F92DD7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110</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7048339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1CF01BC6"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p</w:t>
            </w:r>
          </w:p>
        </w:tc>
      </w:tr>
      <w:tr w:rsidR="00856E36" w14:paraId="3A08BD75"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650F1D7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NRAS</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0FE9C48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chr1:115252191</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162563A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336C099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0.101</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2B94B4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5%:0, 95%:2.02</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298A106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3</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30A413F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219DB3D5"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p</w:t>
            </w:r>
          </w:p>
        </w:tc>
      </w:tr>
      <w:tr w:rsidR="00856E36" w14:paraId="56553545"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7C590B7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AKT2</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7F1AC06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chr19:40739755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405340C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54E7D4C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0.007218</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CDB882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5%:0.38, 95%:1.53</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D03052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11</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27EA745A"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687E74D6"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q</w:t>
            </w:r>
          </w:p>
        </w:tc>
      </w:tr>
      <w:tr w:rsidR="00856E36" w14:paraId="53ED2B8F" w14:textId="77777777">
        <w:trPr>
          <w:trHeight w:val="320"/>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1DE977C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AXL</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20A3D8D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chr19:41725295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48C3878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103224F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0.007695</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6EC043E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5%:0.4, 95%:1.55</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0F92B7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11</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520633F3"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5303CD70"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q</w:t>
            </w:r>
          </w:p>
        </w:tc>
      </w:tr>
      <w:tr w:rsidR="00856E36" w14:paraId="57F402FA"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4CAD000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CCNE1</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23E7597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chr19:30303882</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7D6048A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71CF21E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2.90E-05</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3253830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5%:0, 95%:0.92</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48D6E96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10</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77C5EFC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7F8CCF27"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q</w:t>
            </w:r>
          </w:p>
        </w:tc>
      </w:tr>
      <w:tr w:rsidR="00856E36" w14:paraId="1A90BA9E"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47231BB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lastRenderedPageBreak/>
              <w:t>ERCC2</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28EC299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chr19:45855711</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0703FFA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3F72E72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0.08453</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3619D1C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5%:0.21, 95%:1.96</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1792862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6B3085F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3F9036BD"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q</w:t>
            </w:r>
          </w:p>
        </w:tc>
      </w:tr>
      <w:tr w:rsidR="00856E36" w14:paraId="6ECE4A47" w14:textId="77777777">
        <w:trPr>
          <w:trHeight w:val="350"/>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3D53FD9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PPP2R1A</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5A345A8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chr19:52715952</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2582C51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24D0C6F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0.0575</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786E055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5%:0, 95%:1.73</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2FCFAE0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2</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4D53164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078AB1A9"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q</w:t>
            </w:r>
          </w:p>
        </w:tc>
      </w:tr>
    </w:tbl>
    <w:p w14:paraId="7B04743C" w14:textId="77777777" w:rsidR="00856E36" w:rsidRDefault="00856E36" w:rsidP="00B114D3">
      <w:pPr>
        <w:tabs>
          <w:tab w:val="left" w:pos="425"/>
        </w:tabs>
        <w:jc w:val="both"/>
        <w:rPr>
          <w:rStyle w:val="Strong"/>
          <w:rFonts w:ascii="Arial" w:hAnsi="Arial" w:cs="Arial"/>
          <w:b w:val="0"/>
          <w:bCs w:val="0"/>
          <w:sz w:val="22"/>
          <w:szCs w:val="22"/>
          <w:lang w:val="en-IN"/>
        </w:rPr>
      </w:pPr>
    </w:p>
    <w:p w14:paraId="74EC181B" w14:textId="77777777" w:rsidR="00856E36" w:rsidRDefault="00A659E2" w:rsidP="00B114D3">
      <w:pPr>
        <w:tabs>
          <w:tab w:val="left" w:pos="425"/>
        </w:tabs>
        <w:jc w:val="both"/>
        <w:rPr>
          <w:rStyle w:val="Strong"/>
          <w:rFonts w:ascii="Arial" w:hAnsi="Arial" w:cs="Arial"/>
          <w:sz w:val="22"/>
          <w:szCs w:val="22"/>
          <w:lang w:val="en-IN"/>
        </w:rPr>
      </w:pPr>
      <w:r>
        <w:rPr>
          <w:rStyle w:val="Strong"/>
          <w:rFonts w:ascii="Arial" w:hAnsi="Arial" w:cs="Arial"/>
          <w:sz w:val="22"/>
          <w:szCs w:val="22"/>
          <w:lang w:val="en-IN"/>
        </w:rPr>
        <w:t xml:space="preserve">Table </w:t>
      </w:r>
      <w:proofErr w:type="gramStart"/>
      <w:r>
        <w:rPr>
          <w:rStyle w:val="Strong"/>
          <w:rFonts w:ascii="Arial" w:hAnsi="Arial" w:cs="Arial"/>
          <w:sz w:val="22"/>
          <w:szCs w:val="22"/>
          <w:lang w:val="en-IN"/>
        </w:rPr>
        <w:t>3:-</w:t>
      </w:r>
      <w:proofErr w:type="gramEnd"/>
      <w:r>
        <w:rPr>
          <w:rStyle w:val="Strong"/>
          <w:rFonts w:ascii="Arial" w:hAnsi="Arial" w:cs="Arial"/>
          <w:sz w:val="22"/>
          <w:szCs w:val="22"/>
          <w:lang w:val="en-IN"/>
        </w:rPr>
        <w:t xml:space="preserve"> Understanding co-deletion of 1p/19q arm specific genes using CNV-NGS analysis</w:t>
      </w:r>
    </w:p>
    <w:p w14:paraId="2065BCD2" w14:textId="77777777" w:rsidR="00856E36" w:rsidRDefault="00856E36" w:rsidP="00B114D3">
      <w:pPr>
        <w:tabs>
          <w:tab w:val="left" w:pos="425"/>
        </w:tabs>
        <w:jc w:val="both"/>
        <w:rPr>
          <w:rStyle w:val="Strong"/>
          <w:rFonts w:ascii="Arial" w:hAnsi="Arial" w:cs="Arial"/>
          <w:sz w:val="22"/>
          <w:szCs w:val="22"/>
          <w:lang w:val="en-IN"/>
        </w:rPr>
      </w:pPr>
    </w:p>
    <w:p w14:paraId="7A098540" w14:textId="77777777" w:rsidR="00856E36" w:rsidRDefault="00856E36" w:rsidP="00B114D3">
      <w:pPr>
        <w:tabs>
          <w:tab w:val="left" w:pos="425"/>
        </w:tabs>
        <w:jc w:val="both"/>
        <w:rPr>
          <w:rStyle w:val="Strong"/>
          <w:rFonts w:ascii="Arial" w:hAnsi="Arial" w:cs="Arial"/>
          <w:sz w:val="22"/>
          <w:szCs w:val="22"/>
          <w:lang w:val="en-IN"/>
        </w:rPr>
      </w:pPr>
    </w:p>
    <w:p w14:paraId="5A49D498" w14:textId="77777777" w:rsidR="00856E36" w:rsidRDefault="00A659E2" w:rsidP="00B114D3">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t xml:space="preserve">Sample </w:t>
      </w:r>
      <w:proofErr w:type="gramStart"/>
      <w:r>
        <w:rPr>
          <w:rStyle w:val="Strong"/>
          <w:rFonts w:ascii="Arial" w:hAnsi="Arial" w:cs="Arial"/>
          <w:sz w:val="22"/>
          <w:szCs w:val="22"/>
          <w:lang w:val="en-IN"/>
        </w:rPr>
        <w:t>4:-</w:t>
      </w:r>
      <w:proofErr w:type="gramEnd"/>
      <w:r>
        <w:rPr>
          <w:rStyle w:val="Strong"/>
          <w:rFonts w:ascii="Arial" w:hAnsi="Arial" w:cs="Arial"/>
          <w:sz w:val="22"/>
          <w:szCs w:val="22"/>
          <w:lang w:val="en-IN"/>
        </w:rPr>
        <w:t xml:space="preserve"> </w:t>
      </w:r>
      <w:r>
        <w:rPr>
          <w:rStyle w:val="Strong"/>
          <w:rFonts w:ascii="Arial" w:hAnsi="Arial" w:cs="Arial"/>
          <w:b w:val="0"/>
          <w:bCs w:val="0"/>
          <w:sz w:val="22"/>
          <w:szCs w:val="22"/>
          <w:lang w:val="en-IN"/>
        </w:rPr>
        <w:t>Out of 12 genes, only 1 gene on</w:t>
      </w:r>
      <w:r>
        <w:rPr>
          <w:rStyle w:val="Strong"/>
          <w:rFonts w:ascii="Arial" w:hAnsi="Arial" w:cs="Arial"/>
          <w:sz w:val="22"/>
          <w:szCs w:val="22"/>
          <w:lang w:val="en-IN"/>
        </w:rPr>
        <w:t xml:space="preserve"> </w:t>
      </w:r>
      <w:r>
        <w:rPr>
          <w:rStyle w:val="Strong"/>
          <w:rFonts w:ascii="Arial" w:hAnsi="Arial" w:cs="Arial"/>
          <w:b w:val="0"/>
          <w:bCs w:val="0"/>
          <w:sz w:val="22"/>
          <w:szCs w:val="22"/>
          <w:lang w:val="en-IN"/>
        </w:rPr>
        <w:t>1p arm showed definite loss and statistically significant P-value. Thus, this sample cannot be classified as oligodendroglioma.</w:t>
      </w:r>
    </w:p>
    <w:tbl>
      <w:tblPr>
        <w:tblpPr w:leftFromText="180" w:rightFromText="180" w:vertAnchor="text" w:horzAnchor="page" w:tblpX="1961" w:tblpY="5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3"/>
        <w:gridCol w:w="1611"/>
        <w:gridCol w:w="903"/>
        <w:gridCol w:w="938"/>
        <w:gridCol w:w="1239"/>
        <w:gridCol w:w="1162"/>
        <w:gridCol w:w="901"/>
        <w:gridCol w:w="461"/>
      </w:tblGrid>
      <w:tr w:rsidR="00856E36" w14:paraId="6068D6ED" w14:textId="77777777">
        <w:trPr>
          <w:trHeight w:val="320"/>
        </w:trPr>
        <w:tc>
          <w:tcPr>
            <w:tcW w:w="1013" w:type="dxa"/>
            <w:tcBorders>
              <w:top w:val="single" w:sz="4" w:space="0" w:color="auto"/>
              <w:left w:val="single" w:sz="4" w:space="0" w:color="auto"/>
              <w:bottom w:val="single" w:sz="4" w:space="0" w:color="auto"/>
              <w:right w:val="single" w:sz="4" w:space="0" w:color="auto"/>
            </w:tcBorders>
            <w:shd w:val="clear" w:color="auto" w:fill="4BACC6"/>
            <w:vAlign w:val="bottom"/>
          </w:tcPr>
          <w:p w14:paraId="5D6DBE3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Variant ID</w:t>
            </w:r>
          </w:p>
        </w:tc>
        <w:tc>
          <w:tcPr>
            <w:tcW w:w="1611" w:type="dxa"/>
            <w:tcBorders>
              <w:top w:val="single" w:sz="4" w:space="0" w:color="auto"/>
              <w:left w:val="single" w:sz="4" w:space="0" w:color="auto"/>
              <w:bottom w:val="single" w:sz="4" w:space="0" w:color="auto"/>
              <w:right w:val="single" w:sz="4" w:space="0" w:color="auto"/>
            </w:tcBorders>
            <w:shd w:val="clear" w:color="auto" w:fill="4BACC6"/>
            <w:vAlign w:val="bottom"/>
          </w:tcPr>
          <w:p w14:paraId="5627D6A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Locus</w:t>
            </w:r>
          </w:p>
        </w:tc>
        <w:tc>
          <w:tcPr>
            <w:tcW w:w="903" w:type="dxa"/>
            <w:tcBorders>
              <w:top w:val="single" w:sz="4" w:space="0" w:color="auto"/>
              <w:left w:val="single" w:sz="4" w:space="0" w:color="auto"/>
              <w:bottom w:val="single" w:sz="4" w:space="0" w:color="auto"/>
              <w:right w:val="single" w:sz="4" w:space="0" w:color="auto"/>
            </w:tcBorders>
            <w:shd w:val="clear" w:color="auto" w:fill="4BACC6"/>
            <w:vAlign w:val="bottom"/>
          </w:tcPr>
          <w:p w14:paraId="516333E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Call</w:t>
            </w:r>
          </w:p>
        </w:tc>
        <w:tc>
          <w:tcPr>
            <w:tcW w:w="938" w:type="dxa"/>
            <w:tcBorders>
              <w:top w:val="single" w:sz="4" w:space="0" w:color="auto"/>
              <w:left w:val="single" w:sz="4" w:space="0" w:color="auto"/>
              <w:bottom w:val="single" w:sz="4" w:space="0" w:color="auto"/>
              <w:right w:val="single" w:sz="4" w:space="0" w:color="auto"/>
            </w:tcBorders>
            <w:shd w:val="clear" w:color="auto" w:fill="4BACC6"/>
            <w:vAlign w:val="bottom"/>
          </w:tcPr>
          <w:p w14:paraId="65CB710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P-Value</w:t>
            </w:r>
          </w:p>
        </w:tc>
        <w:tc>
          <w:tcPr>
            <w:tcW w:w="1239" w:type="dxa"/>
            <w:tcBorders>
              <w:top w:val="single" w:sz="4" w:space="0" w:color="auto"/>
              <w:left w:val="single" w:sz="4" w:space="0" w:color="auto"/>
              <w:bottom w:val="single" w:sz="4" w:space="0" w:color="auto"/>
              <w:right w:val="single" w:sz="4" w:space="0" w:color="auto"/>
            </w:tcBorders>
            <w:shd w:val="clear" w:color="auto" w:fill="4BACC6"/>
            <w:vAlign w:val="bottom"/>
          </w:tcPr>
          <w:p w14:paraId="48BBC4E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CNV Confidence</w:t>
            </w:r>
          </w:p>
        </w:tc>
        <w:tc>
          <w:tcPr>
            <w:tcW w:w="1162" w:type="dxa"/>
            <w:tcBorders>
              <w:top w:val="single" w:sz="4" w:space="0" w:color="auto"/>
              <w:left w:val="single" w:sz="4" w:space="0" w:color="auto"/>
              <w:bottom w:val="single" w:sz="4" w:space="0" w:color="auto"/>
              <w:right w:val="single" w:sz="4" w:space="0" w:color="auto"/>
            </w:tcBorders>
            <w:shd w:val="clear" w:color="auto" w:fill="4BACC6"/>
            <w:vAlign w:val="bottom"/>
          </w:tcPr>
          <w:p w14:paraId="667E987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Valid CNV Amplicons</w:t>
            </w:r>
          </w:p>
        </w:tc>
        <w:tc>
          <w:tcPr>
            <w:tcW w:w="901" w:type="dxa"/>
            <w:tcBorders>
              <w:top w:val="single" w:sz="4" w:space="0" w:color="auto"/>
              <w:left w:val="single" w:sz="4" w:space="0" w:color="auto"/>
              <w:bottom w:val="single" w:sz="4" w:space="0" w:color="auto"/>
              <w:right w:val="single" w:sz="4" w:space="0" w:color="auto"/>
            </w:tcBorders>
            <w:shd w:val="clear" w:color="auto" w:fill="4BACC6"/>
            <w:vAlign w:val="bottom"/>
          </w:tcPr>
          <w:p w14:paraId="21AB8A9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Loss</w:t>
            </w:r>
          </w:p>
        </w:tc>
        <w:tc>
          <w:tcPr>
            <w:tcW w:w="461" w:type="dxa"/>
            <w:tcBorders>
              <w:top w:val="single" w:sz="4" w:space="0" w:color="auto"/>
              <w:left w:val="single" w:sz="4" w:space="0" w:color="auto"/>
              <w:bottom w:val="single" w:sz="4" w:space="0" w:color="auto"/>
              <w:right w:val="single" w:sz="4" w:space="0" w:color="auto"/>
            </w:tcBorders>
            <w:shd w:val="clear" w:color="auto" w:fill="4BACC6"/>
            <w:vAlign w:val="bottom"/>
          </w:tcPr>
          <w:p w14:paraId="4CF14ECC" w14:textId="77777777" w:rsidR="00856E36" w:rsidRDefault="00A659E2" w:rsidP="00B114D3">
            <w:pPr>
              <w:jc w:val="center"/>
              <w:rPr>
                <w:rFonts w:ascii="Arial" w:hAnsi="Arial" w:cs="Arial"/>
                <w:color w:val="000000" w:themeColor="text1"/>
                <w:sz w:val="22"/>
                <w:szCs w:val="22"/>
              </w:rPr>
            </w:pPr>
            <w:r>
              <w:rPr>
                <w:rFonts w:ascii="Arial" w:hAnsi="Arial" w:cs="Arial"/>
                <w:b/>
                <w:bCs/>
                <w:sz w:val="22"/>
                <w:szCs w:val="22"/>
              </w:rPr>
              <w:t>Arm</w:t>
            </w:r>
          </w:p>
        </w:tc>
      </w:tr>
      <w:tr w:rsidR="00856E36" w14:paraId="1385F572"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310A34B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ARID1A</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F960D0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chr1:27022977</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6A7F961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3BAEFA6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0.6259</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42C924C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5%:1.67, 95%:2.19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3994943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95</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140735D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73A81DA3" w14:textId="77777777" w:rsidR="00856E36" w:rsidRDefault="00A659E2" w:rsidP="00B114D3">
            <w:pPr>
              <w:jc w:val="center"/>
              <w:rPr>
                <w:rFonts w:ascii="Arial" w:hAnsi="Arial" w:cs="Arial"/>
                <w:color w:val="000000" w:themeColor="text1"/>
                <w:sz w:val="22"/>
                <w:szCs w:val="22"/>
              </w:rPr>
            </w:pPr>
            <w:r>
              <w:rPr>
                <w:rFonts w:ascii="Arial" w:hAnsi="Arial" w:cs="Arial"/>
                <w:sz w:val="22"/>
                <w:szCs w:val="22"/>
              </w:rPr>
              <w:t>p</w:t>
            </w:r>
          </w:p>
        </w:tc>
      </w:tr>
      <w:tr w:rsidR="00856E36" w14:paraId="59409856"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1525DA6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JAK1</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837650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chr1:65310460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302C64D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322539A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0.1641</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921F30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5%:1.78, 95%:5.94</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0674CC8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3</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49D6217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36CFB431"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41BBF0C2"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1E21019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MAGOH</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734702B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chr1:53692719</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063F8F1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4F61BED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0.5149</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73E4567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5%:0.72, 95%:7.8</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19D5EAD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3E9E612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5D027128"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2AE42454"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62102B8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MTOR</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2162A6D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chr1:11168315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60A78D4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16E3AA5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0.8975</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370ACBB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5%:1.4, 95%:2.85</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3436B60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13</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31F0FB8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04ED9E72"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5EAAF9E9"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0D5264B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MYCL</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2CEF5F4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chr1:40362966</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7628197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NO CALL</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7B65B3C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07AFF46E" w14:textId="77777777" w:rsidR="00856E36" w:rsidRDefault="00856E36" w:rsidP="00B114D3">
            <w:pPr>
              <w:jc w:val="center"/>
              <w:rPr>
                <w:rFonts w:ascii="Arial" w:hAnsi="Arial" w:cs="Arial"/>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0440C68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9</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440DD79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62151A9E"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6BB38C27" w14:textId="77777777">
        <w:trPr>
          <w:trHeight w:val="270"/>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604249A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NOTCH2</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A10FFC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chr1:120457924</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2931939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6DF8E6D1" w14:textId="77777777" w:rsidR="00856E36" w:rsidRDefault="00A659E2" w:rsidP="00B114D3">
            <w:pPr>
              <w:jc w:val="center"/>
              <w:textAlignment w:val="bottom"/>
              <w:rPr>
                <w:rFonts w:ascii="Arial" w:hAnsi="Arial" w:cs="Arial"/>
                <w:color w:val="000000" w:themeColor="text1"/>
                <w:sz w:val="22"/>
                <w:szCs w:val="22"/>
              </w:rPr>
            </w:pPr>
            <w:r>
              <w:rPr>
                <w:rFonts w:ascii="Arial" w:hAnsi="Arial" w:cs="Arial"/>
                <w:color w:val="000000"/>
                <w:sz w:val="22"/>
                <w:szCs w:val="22"/>
                <w:lang w:val="en-IN"/>
              </w:rPr>
              <w:t>1.76E-9</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00BBD8A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5%:2.76, 95%:3.38</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4172B0A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111</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67F0669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color w:val="FF0000"/>
                <w:sz w:val="22"/>
                <w:szCs w:val="22"/>
                <w:lang w:bidi="ar"/>
              </w:rPr>
              <w:t>Definite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0C9C8554"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2241AC92"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6214AD8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NRAS</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4E52DDF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chr1:115252191</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5C19AA6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5FAB770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0.3327</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0013AA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5%:1.44, 95%:5.21</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5A34EC7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3</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3B60877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0139D233"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549175D1"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4C861FC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AKT2</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507EDAB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chr19:40739755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2D9A965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1E85A5D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0.3666</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083767E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5%:1.66, 95%:3.39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509A7B2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11</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5173B719"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color w:val="000000"/>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5F4426CD"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q</w:t>
            </w:r>
          </w:p>
        </w:tc>
      </w:tr>
      <w:tr w:rsidR="00856E36" w14:paraId="2D24182F" w14:textId="77777777">
        <w:trPr>
          <w:trHeight w:val="320"/>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6B61A99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AXL</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1CB4F24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chr19:41725295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64C0875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491592E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0.9679</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BB1E137"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5%:1.28, 95%:2.83</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5219DC6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11</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4528A0E6"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color w:val="000000"/>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42B176B7"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q</w:t>
            </w:r>
          </w:p>
        </w:tc>
      </w:tr>
      <w:tr w:rsidR="00856E36" w14:paraId="0C435BB4"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5CC0846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CCNE1</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60A498F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chr19:30303882</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258D405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36EAA9D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0.2195</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6383761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5%:0.81, 95%:2.21</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45559B3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10</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0031089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742360BE"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q</w:t>
            </w:r>
          </w:p>
        </w:tc>
      </w:tr>
      <w:tr w:rsidR="00856E36" w14:paraId="37FB0ADE" w14:textId="77777777">
        <w:trPr>
          <w:trHeight w:val="302"/>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0F21C1D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ERCC2</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1D16FAF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chr19:45855711</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15A70B6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446E672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0.9437</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5A784E7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5%:1.03, 95%:3.38</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5466D20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0794CD4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72942276"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q</w:t>
            </w:r>
          </w:p>
        </w:tc>
      </w:tr>
      <w:tr w:rsidR="00856E36" w14:paraId="3955638B" w14:textId="77777777">
        <w:trPr>
          <w:trHeight w:val="350"/>
        </w:trPr>
        <w:tc>
          <w:tcPr>
            <w:tcW w:w="1013" w:type="dxa"/>
            <w:tcBorders>
              <w:top w:val="single" w:sz="4" w:space="0" w:color="auto"/>
              <w:left w:val="single" w:sz="4" w:space="0" w:color="auto"/>
              <w:bottom w:val="single" w:sz="4" w:space="0" w:color="auto"/>
              <w:right w:val="single" w:sz="4" w:space="0" w:color="auto"/>
            </w:tcBorders>
            <w:shd w:val="clear" w:color="auto" w:fill="FFFFFF"/>
            <w:vAlign w:val="bottom"/>
          </w:tcPr>
          <w:p w14:paraId="34DCC62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PPP2R1A</w:t>
            </w:r>
          </w:p>
        </w:tc>
        <w:tc>
          <w:tcPr>
            <w:tcW w:w="1611" w:type="dxa"/>
            <w:tcBorders>
              <w:top w:val="single" w:sz="4" w:space="0" w:color="auto"/>
              <w:left w:val="single" w:sz="4" w:space="0" w:color="auto"/>
              <w:bottom w:val="single" w:sz="4" w:space="0" w:color="auto"/>
              <w:right w:val="single" w:sz="4" w:space="0" w:color="auto"/>
            </w:tcBorders>
            <w:shd w:val="clear" w:color="auto" w:fill="FFFFFF"/>
            <w:vAlign w:val="bottom"/>
          </w:tcPr>
          <w:p w14:paraId="14ABC34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chr19:52715952</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bottom"/>
          </w:tcPr>
          <w:p w14:paraId="1C6E67B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14:paraId="528D757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0.7828</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bottom"/>
          </w:tcPr>
          <w:p w14:paraId="17DFAFC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5%:0.35, 95%:3.82</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7B67D19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2</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bottom"/>
          </w:tcPr>
          <w:p w14:paraId="58E1703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bottom"/>
          </w:tcPr>
          <w:p w14:paraId="5B99E0E4"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q</w:t>
            </w:r>
          </w:p>
        </w:tc>
      </w:tr>
    </w:tbl>
    <w:p w14:paraId="1BD8A7BC" w14:textId="77777777" w:rsidR="00856E36" w:rsidRDefault="00856E36" w:rsidP="00B114D3">
      <w:pPr>
        <w:tabs>
          <w:tab w:val="left" w:pos="425"/>
        </w:tabs>
        <w:jc w:val="both"/>
        <w:rPr>
          <w:rStyle w:val="Strong"/>
          <w:rFonts w:ascii="Arial" w:hAnsi="Arial" w:cs="Arial"/>
          <w:sz w:val="22"/>
          <w:szCs w:val="22"/>
          <w:lang w:val="en-IN"/>
        </w:rPr>
      </w:pPr>
    </w:p>
    <w:p w14:paraId="61A7A1C6" w14:textId="77777777" w:rsidR="00856E36" w:rsidRDefault="00A659E2" w:rsidP="00B114D3">
      <w:pPr>
        <w:tabs>
          <w:tab w:val="left" w:pos="425"/>
        </w:tabs>
        <w:jc w:val="both"/>
        <w:rPr>
          <w:rStyle w:val="Strong"/>
          <w:rFonts w:ascii="Arial" w:hAnsi="Arial" w:cs="Arial"/>
          <w:sz w:val="22"/>
          <w:szCs w:val="22"/>
          <w:lang w:val="en-IN"/>
        </w:rPr>
      </w:pPr>
      <w:r>
        <w:rPr>
          <w:rStyle w:val="Strong"/>
          <w:rFonts w:ascii="Arial" w:hAnsi="Arial" w:cs="Arial"/>
          <w:sz w:val="22"/>
          <w:szCs w:val="22"/>
          <w:lang w:val="en-IN"/>
        </w:rPr>
        <w:t xml:space="preserve">Table </w:t>
      </w:r>
      <w:proofErr w:type="gramStart"/>
      <w:r>
        <w:rPr>
          <w:rStyle w:val="Strong"/>
          <w:rFonts w:ascii="Arial" w:hAnsi="Arial" w:cs="Arial"/>
          <w:sz w:val="22"/>
          <w:szCs w:val="22"/>
          <w:lang w:val="en-IN"/>
        </w:rPr>
        <w:t>4:-</w:t>
      </w:r>
      <w:proofErr w:type="gramEnd"/>
      <w:r>
        <w:rPr>
          <w:rStyle w:val="Strong"/>
          <w:rFonts w:ascii="Arial" w:hAnsi="Arial" w:cs="Arial"/>
          <w:sz w:val="22"/>
          <w:szCs w:val="22"/>
          <w:lang w:val="en-IN"/>
        </w:rPr>
        <w:t xml:space="preserve"> Interpreting co-deletion of 1p/19q arm specific genes using CNV-NGS analysis</w:t>
      </w:r>
    </w:p>
    <w:p w14:paraId="76F617E5" w14:textId="77777777" w:rsidR="00856E36" w:rsidRDefault="00856E36" w:rsidP="00B114D3">
      <w:pPr>
        <w:tabs>
          <w:tab w:val="left" w:pos="425"/>
        </w:tabs>
        <w:jc w:val="both"/>
        <w:rPr>
          <w:rStyle w:val="Strong"/>
          <w:rFonts w:ascii="Arial" w:hAnsi="Arial" w:cs="Arial"/>
          <w:sz w:val="22"/>
          <w:szCs w:val="22"/>
          <w:lang w:val="en-IN"/>
        </w:rPr>
      </w:pPr>
    </w:p>
    <w:p w14:paraId="59FFACC4" w14:textId="77777777" w:rsidR="00856E36" w:rsidRDefault="00856E36" w:rsidP="00B114D3">
      <w:pPr>
        <w:tabs>
          <w:tab w:val="left" w:pos="425"/>
        </w:tabs>
        <w:jc w:val="both"/>
        <w:rPr>
          <w:rStyle w:val="Strong"/>
          <w:rFonts w:ascii="Arial" w:hAnsi="Arial" w:cs="Arial"/>
          <w:sz w:val="22"/>
          <w:szCs w:val="22"/>
          <w:lang w:val="en-IN"/>
        </w:rPr>
      </w:pPr>
    </w:p>
    <w:p w14:paraId="4093CFB8" w14:textId="77777777" w:rsidR="00856E36" w:rsidRDefault="00A659E2" w:rsidP="00B114D3">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t xml:space="preserve">Sample </w:t>
      </w:r>
      <w:proofErr w:type="gramStart"/>
      <w:r>
        <w:rPr>
          <w:rStyle w:val="Strong"/>
          <w:rFonts w:ascii="Arial" w:hAnsi="Arial" w:cs="Arial"/>
          <w:sz w:val="22"/>
          <w:szCs w:val="22"/>
          <w:lang w:val="en-IN"/>
        </w:rPr>
        <w:t>3:-</w:t>
      </w:r>
      <w:proofErr w:type="gramEnd"/>
      <w:r>
        <w:rPr>
          <w:rStyle w:val="Strong"/>
          <w:rFonts w:ascii="Arial" w:hAnsi="Arial" w:cs="Arial"/>
          <w:sz w:val="22"/>
          <w:szCs w:val="22"/>
          <w:lang w:val="en-IN"/>
        </w:rPr>
        <w:t xml:space="preserve"> </w:t>
      </w:r>
      <w:r>
        <w:rPr>
          <w:rStyle w:val="Strong"/>
          <w:rFonts w:ascii="Arial" w:hAnsi="Arial" w:cs="Arial"/>
          <w:b w:val="0"/>
          <w:bCs w:val="0"/>
          <w:sz w:val="22"/>
          <w:szCs w:val="22"/>
          <w:lang w:val="en-IN"/>
        </w:rPr>
        <w:t xml:space="preserve">Although partial molecular evidence of 1p/19q loss was observed, definitive deletion was confirmed in only three of twelve genes. As complete whole-arm 1p/19q co-deletion was not demonstrated by FISH, the </w:t>
      </w:r>
      <w:proofErr w:type="spellStart"/>
      <w:r>
        <w:rPr>
          <w:rStyle w:val="Strong"/>
          <w:rFonts w:ascii="Arial" w:hAnsi="Arial" w:cs="Arial"/>
          <w:b w:val="0"/>
          <w:bCs w:val="0"/>
          <w:sz w:val="22"/>
          <w:szCs w:val="22"/>
          <w:lang w:val="en-IN"/>
        </w:rPr>
        <w:t>tumor</w:t>
      </w:r>
      <w:proofErr w:type="spellEnd"/>
      <w:r>
        <w:rPr>
          <w:rStyle w:val="Strong"/>
          <w:rFonts w:ascii="Arial" w:hAnsi="Arial" w:cs="Arial"/>
          <w:b w:val="0"/>
          <w:bCs w:val="0"/>
          <w:sz w:val="22"/>
          <w:szCs w:val="22"/>
          <w:lang w:val="en-IN"/>
        </w:rPr>
        <w:t xml:space="preserve"> did not </w:t>
      </w:r>
      <w:proofErr w:type="spellStart"/>
      <w:r>
        <w:rPr>
          <w:rStyle w:val="Strong"/>
          <w:rFonts w:ascii="Arial" w:hAnsi="Arial" w:cs="Arial"/>
          <w:b w:val="0"/>
          <w:bCs w:val="0"/>
          <w:sz w:val="22"/>
          <w:szCs w:val="22"/>
          <w:lang w:val="en-IN"/>
        </w:rPr>
        <w:t>fulfill</w:t>
      </w:r>
      <w:proofErr w:type="spellEnd"/>
      <w:r>
        <w:rPr>
          <w:rStyle w:val="Strong"/>
          <w:rFonts w:ascii="Arial" w:hAnsi="Arial" w:cs="Arial"/>
          <w:b w:val="0"/>
          <w:bCs w:val="0"/>
          <w:sz w:val="22"/>
          <w:szCs w:val="22"/>
          <w:lang w:val="en-IN"/>
        </w:rPr>
        <w:t xml:space="preserve"> WHO 2021 diagnostic criteria for oligodendroglioma.</w:t>
      </w:r>
    </w:p>
    <w:tbl>
      <w:tblPr>
        <w:tblpPr w:leftFromText="180" w:rightFromText="180" w:vertAnchor="text" w:horzAnchor="page" w:tblpX="1961" w:tblpY="500"/>
        <w:tblOverlap w:val="never"/>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7"/>
        <w:gridCol w:w="1572"/>
        <w:gridCol w:w="879"/>
        <w:gridCol w:w="1028"/>
        <w:gridCol w:w="1315"/>
        <w:gridCol w:w="1187"/>
        <w:gridCol w:w="922"/>
        <w:gridCol w:w="530"/>
      </w:tblGrid>
      <w:tr w:rsidR="00856E36" w14:paraId="0F3B98FB" w14:textId="77777777">
        <w:trPr>
          <w:trHeight w:val="320"/>
        </w:trPr>
        <w:tc>
          <w:tcPr>
            <w:tcW w:w="987" w:type="dxa"/>
            <w:tcBorders>
              <w:top w:val="single" w:sz="4" w:space="0" w:color="auto"/>
              <w:left w:val="single" w:sz="4" w:space="0" w:color="auto"/>
              <w:bottom w:val="single" w:sz="4" w:space="0" w:color="auto"/>
              <w:right w:val="single" w:sz="4" w:space="0" w:color="auto"/>
            </w:tcBorders>
            <w:shd w:val="clear" w:color="auto" w:fill="4BACC6"/>
            <w:vAlign w:val="bottom"/>
          </w:tcPr>
          <w:p w14:paraId="01948AA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lastRenderedPageBreak/>
              <w:t>Variant ID</w:t>
            </w:r>
          </w:p>
        </w:tc>
        <w:tc>
          <w:tcPr>
            <w:tcW w:w="1572" w:type="dxa"/>
            <w:tcBorders>
              <w:top w:val="single" w:sz="4" w:space="0" w:color="auto"/>
              <w:left w:val="single" w:sz="4" w:space="0" w:color="auto"/>
              <w:bottom w:val="single" w:sz="4" w:space="0" w:color="auto"/>
              <w:right w:val="single" w:sz="4" w:space="0" w:color="auto"/>
            </w:tcBorders>
            <w:shd w:val="clear" w:color="auto" w:fill="4BACC6"/>
            <w:vAlign w:val="bottom"/>
          </w:tcPr>
          <w:p w14:paraId="3A97129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Locus</w:t>
            </w:r>
          </w:p>
        </w:tc>
        <w:tc>
          <w:tcPr>
            <w:tcW w:w="879" w:type="dxa"/>
            <w:tcBorders>
              <w:top w:val="single" w:sz="4" w:space="0" w:color="auto"/>
              <w:left w:val="single" w:sz="4" w:space="0" w:color="auto"/>
              <w:bottom w:val="single" w:sz="4" w:space="0" w:color="auto"/>
              <w:right w:val="single" w:sz="4" w:space="0" w:color="auto"/>
            </w:tcBorders>
            <w:shd w:val="clear" w:color="auto" w:fill="4BACC6"/>
            <w:vAlign w:val="bottom"/>
          </w:tcPr>
          <w:p w14:paraId="50B0E50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Call</w:t>
            </w:r>
          </w:p>
        </w:tc>
        <w:tc>
          <w:tcPr>
            <w:tcW w:w="1028" w:type="dxa"/>
            <w:tcBorders>
              <w:top w:val="single" w:sz="4" w:space="0" w:color="auto"/>
              <w:left w:val="single" w:sz="4" w:space="0" w:color="auto"/>
              <w:bottom w:val="single" w:sz="4" w:space="0" w:color="auto"/>
              <w:right w:val="single" w:sz="4" w:space="0" w:color="auto"/>
            </w:tcBorders>
            <w:shd w:val="clear" w:color="auto" w:fill="4BACC6"/>
            <w:vAlign w:val="bottom"/>
          </w:tcPr>
          <w:p w14:paraId="2D4E148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P-Value</w:t>
            </w:r>
          </w:p>
        </w:tc>
        <w:tc>
          <w:tcPr>
            <w:tcW w:w="1315" w:type="dxa"/>
            <w:tcBorders>
              <w:top w:val="single" w:sz="4" w:space="0" w:color="auto"/>
              <w:left w:val="single" w:sz="4" w:space="0" w:color="auto"/>
              <w:bottom w:val="single" w:sz="4" w:space="0" w:color="auto"/>
              <w:right w:val="single" w:sz="4" w:space="0" w:color="auto"/>
            </w:tcBorders>
            <w:shd w:val="clear" w:color="auto" w:fill="4BACC6"/>
            <w:vAlign w:val="bottom"/>
          </w:tcPr>
          <w:p w14:paraId="27757B1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CNV Confidence</w:t>
            </w:r>
          </w:p>
        </w:tc>
        <w:tc>
          <w:tcPr>
            <w:tcW w:w="1187" w:type="dxa"/>
            <w:tcBorders>
              <w:top w:val="single" w:sz="4" w:space="0" w:color="auto"/>
              <w:left w:val="single" w:sz="4" w:space="0" w:color="auto"/>
              <w:bottom w:val="single" w:sz="4" w:space="0" w:color="auto"/>
              <w:right w:val="single" w:sz="4" w:space="0" w:color="auto"/>
            </w:tcBorders>
            <w:shd w:val="clear" w:color="auto" w:fill="4BACC6"/>
            <w:vAlign w:val="bottom"/>
          </w:tcPr>
          <w:p w14:paraId="6100269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Valid CNV Amplicons</w:t>
            </w:r>
          </w:p>
        </w:tc>
        <w:tc>
          <w:tcPr>
            <w:tcW w:w="922" w:type="dxa"/>
            <w:tcBorders>
              <w:top w:val="single" w:sz="4" w:space="0" w:color="auto"/>
              <w:left w:val="single" w:sz="4" w:space="0" w:color="auto"/>
              <w:bottom w:val="single" w:sz="4" w:space="0" w:color="auto"/>
              <w:right w:val="single" w:sz="4" w:space="0" w:color="auto"/>
            </w:tcBorders>
            <w:shd w:val="clear" w:color="auto" w:fill="4BACC6"/>
            <w:vAlign w:val="bottom"/>
          </w:tcPr>
          <w:p w14:paraId="5DD4D3F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sz w:val="22"/>
                <w:szCs w:val="22"/>
                <w:lang w:bidi="ar"/>
              </w:rPr>
              <w:t>Loss</w:t>
            </w:r>
          </w:p>
        </w:tc>
        <w:tc>
          <w:tcPr>
            <w:tcW w:w="530" w:type="dxa"/>
            <w:tcBorders>
              <w:top w:val="single" w:sz="4" w:space="0" w:color="auto"/>
              <w:left w:val="single" w:sz="4" w:space="0" w:color="auto"/>
              <w:bottom w:val="single" w:sz="4" w:space="0" w:color="auto"/>
              <w:right w:val="single" w:sz="4" w:space="0" w:color="auto"/>
            </w:tcBorders>
            <w:shd w:val="clear" w:color="auto" w:fill="4BACC6"/>
            <w:vAlign w:val="bottom"/>
          </w:tcPr>
          <w:p w14:paraId="48D42FD3" w14:textId="77777777" w:rsidR="00856E36" w:rsidRDefault="00A659E2" w:rsidP="00B114D3">
            <w:pPr>
              <w:jc w:val="center"/>
              <w:rPr>
                <w:rFonts w:ascii="Arial" w:hAnsi="Arial" w:cs="Arial"/>
                <w:color w:val="000000" w:themeColor="text1"/>
                <w:sz w:val="22"/>
                <w:szCs w:val="22"/>
              </w:rPr>
            </w:pPr>
            <w:r>
              <w:rPr>
                <w:rFonts w:ascii="Arial" w:hAnsi="Arial" w:cs="Arial"/>
                <w:b/>
                <w:bCs/>
                <w:sz w:val="22"/>
                <w:szCs w:val="22"/>
              </w:rPr>
              <w:t>Arm</w:t>
            </w:r>
          </w:p>
        </w:tc>
      </w:tr>
      <w:tr w:rsidR="00856E36" w14:paraId="5591A6CC" w14:textId="77777777">
        <w:trPr>
          <w:trHeight w:val="302"/>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7C689B2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ARID1A</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54158D1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chr1:27022977</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59D3C9A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2CEB30D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55BE15B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 95%:0.19</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7853738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95</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3484EE4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6AB5A541"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6A4F94C3" w14:textId="77777777">
        <w:trPr>
          <w:trHeight w:val="302"/>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4FB8C76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JAK1</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7EC7D9A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chr1:65310460</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53F667F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2F0019E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0.09483</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31EF316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 95%:1.97</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4046040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3</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59150CF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179FD8DF"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49B788A6" w14:textId="77777777">
        <w:trPr>
          <w:trHeight w:val="302"/>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0A0AEE0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MAGOH</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605B7A88"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chr1:53692719</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30789F6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1E871C4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0.3232</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40540FE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 95%:3.31</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73F206E6"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26FF8F6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352E3BC3"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181812A3" w14:textId="77777777">
        <w:trPr>
          <w:trHeight w:val="302"/>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210215D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MTOR</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680D4C5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chr1:11168315</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6135D6D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69806D1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1.084E-07</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7EE5196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 95%:0.58</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360BE09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13</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00B454A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b/>
                <w:bCs/>
                <w:color w:val="FF0000"/>
                <w:sz w:val="22"/>
                <w:szCs w:val="22"/>
                <w:lang w:bidi="ar"/>
              </w:rPr>
              <w:t>Definite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21215DCC"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16288FCB" w14:textId="77777777">
        <w:trPr>
          <w:trHeight w:val="302"/>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6E8FA6A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MYCL</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17FA50E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chr1:40362966</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78FE1DC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47CA660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0.00000032</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3AB87CC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 95%:0.43</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529873A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9</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3D9A9E5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6FB88DE5"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7B5B4804" w14:textId="77777777">
        <w:trPr>
          <w:trHeight w:val="270"/>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2D210D2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NOTCH2</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68016F2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chr1:120457924</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1A12D01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5EC4D0E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3F8FE92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5%:0.38, 95%:0.72</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0EEFEA2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111</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24F6155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0F9C5450"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70B6B1AA" w14:textId="77777777">
        <w:trPr>
          <w:trHeight w:val="302"/>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77E6C22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NRAS</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6AB43AF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chr1:115252191</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1F4646D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661828F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0.0268</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47E7EEB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 95%:1.49</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27BE70D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3</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4FFB0FE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6D9E65DD"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p</w:t>
            </w:r>
          </w:p>
        </w:tc>
      </w:tr>
      <w:tr w:rsidR="00856E36" w14:paraId="43678A38" w14:textId="77777777">
        <w:trPr>
          <w:trHeight w:val="302"/>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2BCAB3A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AKT2</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1A59FE7C"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chr19:40739755</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09848A1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3CB2E3F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0.00002239</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35E0FA8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 95%:0.87</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12F8384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11</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5792F153"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3B40E394"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q</w:t>
            </w:r>
          </w:p>
        </w:tc>
      </w:tr>
      <w:tr w:rsidR="00856E36" w14:paraId="77CFDF5B" w14:textId="77777777">
        <w:trPr>
          <w:trHeight w:val="320"/>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762E5DE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AXL</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6BD680A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chr19:41725295</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1F115C0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78056E8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6.183E-07</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036D60E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 95%:0.6</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162A175E"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11</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67CF2825"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1143F9B9"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q</w:t>
            </w:r>
          </w:p>
        </w:tc>
      </w:tr>
      <w:tr w:rsidR="00856E36" w14:paraId="77EB199D" w14:textId="77777777">
        <w:trPr>
          <w:trHeight w:val="302"/>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7CB8AC4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CCNE1</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53B51FB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chr19:30303882</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668F85A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2B082CE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8.23E-10</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73AF080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 95%:0.18</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1CD3251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10</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6B43DB6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25458AD0"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q</w:t>
            </w:r>
          </w:p>
        </w:tc>
      </w:tr>
      <w:tr w:rsidR="00856E36" w14:paraId="476D863B" w14:textId="77777777">
        <w:trPr>
          <w:trHeight w:val="302"/>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114283E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ERCC2</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3FCA6C03"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chr19:45855711</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539E930B"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057BF2AD"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0.003783</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7F199CFA"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 95%:1.15</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14A823A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116B6DE5"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6163A994"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q</w:t>
            </w:r>
          </w:p>
        </w:tc>
      </w:tr>
      <w:tr w:rsidR="00856E36" w14:paraId="109A4EB2" w14:textId="77777777">
        <w:trPr>
          <w:trHeight w:val="350"/>
        </w:trPr>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4FC35BC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PPP2R1A</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bottom"/>
          </w:tcPr>
          <w:p w14:paraId="14A3B82F"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chr19:52715952</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bottom"/>
          </w:tcPr>
          <w:p w14:paraId="67DD97F9"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ABSENT</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14:paraId="3B1C0E70"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0.01116</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3E62B681"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5%:0, 95%:1.06</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bottom"/>
          </w:tcPr>
          <w:p w14:paraId="6C004834"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2</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61DEEED2" w14:textId="77777777" w:rsidR="00856E36" w:rsidRDefault="00A659E2" w:rsidP="00B114D3">
            <w:pPr>
              <w:jc w:val="center"/>
              <w:textAlignment w:val="bottom"/>
              <w:rPr>
                <w:rFonts w:ascii="Arial" w:hAnsi="Arial" w:cs="Arial"/>
                <w:color w:val="000000" w:themeColor="text1"/>
                <w:sz w:val="22"/>
                <w:szCs w:val="22"/>
              </w:rPr>
            </w:pPr>
            <w:r>
              <w:rPr>
                <w:rFonts w:ascii="Arial" w:eastAsia="SimSun" w:hAnsi="Arial" w:cs="Arial"/>
                <w:color w:val="000000"/>
                <w:sz w:val="22"/>
                <w:szCs w:val="22"/>
                <w:lang w:bidi="ar"/>
              </w:rPr>
              <w:t>Probable</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bottom"/>
          </w:tcPr>
          <w:p w14:paraId="407CD8EA" w14:textId="77777777" w:rsidR="00856E36" w:rsidRDefault="00A659E2" w:rsidP="00B114D3">
            <w:pPr>
              <w:jc w:val="center"/>
              <w:rPr>
                <w:rFonts w:ascii="Arial" w:hAnsi="Arial" w:cs="Arial"/>
                <w:color w:val="000000" w:themeColor="text1"/>
                <w:sz w:val="22"/>
                <w:szCs w:val="22"/>
              </w:rPr>
            </w:pPr>
            <w:r>
              <w:rPr>
                <w:rFonts w:ascii="Arial" w:hAnsi="Arial" w:cs="Arial"/>
                <w:color w:val="000000"/>
                <w:sz w:val="22"/>
                <w:szCs w:val="22"/>
              </w:rPr>
              <w:t>q</w:t>
            </w:r>
          </w:p>
        </w:tc>
      </w:tr>
    </w:tbl>
    <w:p w14:paraId="0AC9B34C" w14:textId="77777777" w:rsidR="00856E36" w:rsidRDefault="00856E36" w:rsidP="00B114D3">
      <w:pPr>
        <w:tabs>
          <w:tab w:val="left" w:pos="425"/>
        </w:tabs>
        <w:jc w:val="both"/>
        <w:rPr>
          <w:rStyle w:val="Strong"/>
          <w:rFonts w:ascii="Arial" w:hAnsi="Arial" w:cs="Arial"/>
          <w:b w:val="0"/>
          <w:bCs w:val="0"/>
          <w:sz w:val="22"/>
          <w:szCs w:val="22"/>
          <w:lang w:val="en-IN"/>
        </w:rPr>
      </w:pPr>
    </w:p>
    <w:p w14:paraId="76F019A9" w14:textId="77777777" w:rsidR="00856E36" w:rsidRDefault="00A659E2" w:rsidP="00B114D3">
      <w:pPr>
        <w:tabs>
          <w:tab w:val="left" w:pos="425"/>
        </w:tabs>
        <w:jc w:val="both"/>
        <w:rPr>
          <w:rStyle w:val="Strong"/>
          <w:rFonts w:ascii="Arial" w:hAnsi="Arial" w:cs="Arial"/>
          <w:sz w:val="22"/>
          <w:szCs w:val="22"/>
          <w:lang w:val="en-IN"/>
        </w:rPr>
      </w:pPr>
      <w:r>
        <w:rPr>
          <w:rStyle w:val="Strong"/>
          <w:rFonts w:ascii="Arial" w:hAnsi="Arial" w:cs="Arial"/>
          <w:sz w:val="22"/>
          <w:szCs w:val="22"/>
          <w:lang w:val="en-IN"/>
        </w:rPr>
        <w:t xml:space="preserve">Table </w:t>
      </w:r>
      <w:proofErr w:type="gramStart"/>
      <w:r>
        <w:rPr>
          <w:rStyle w:val="Strong"/>
          <w:rFonts w:ascii="Arial" w:hAnsi="Arial" w:cs="Arial"/>
          <w:sz w:val="22"/>
          <w:szCs w:val="22"/>
          <w:lang w:val="en-IN"/>
        </w:rPr>
        <w:t>5:-</w:t>
      </w:r>
      <w:proofErr w:type="gramEnd"/>
      <w:r>
        <w:rPr>
          <w:rStyle w:val="Strong"/>
          <w:rFonts w:ascii="Arial" w:hAnsi="Arial" w:cs="Arial"/>
          <w:sz w:val="22"/>
          <w:szCs w:val="22"/>
          <w:lang w:val="en-IN"/>
        </w:rPr>
        <w:t xml:space="preserve"> Analysing co-deletion of 1p/19q arm specific genes using CNV-NGS analysis</w:t>
      </w:r>
    </w:p>
    <w:p w14:paraId="74156B4B" w14:textId="77777777" w:rsidR="00856E36" w:rsidRDefault="00856E36" w:rsidP="00B114D3">
      <w:pPr>
        <w:tabs>
          <w:tab w:val="left" w:pos="425"/>
        </w:tabs>
        <w:jc w:val="both"/>
        <w:rPr>
          <w:rStyle w:val="Strong"/>
          <w:rFonts w:ascii="Arial" w:hAnsi="Arial" w:cs="Arial"/>
          <w:sz w:val="22"/>
          <w:szCs w:val="22"/>
          <w:lang w:val="en-IN"/>
        </w:rPr>
      </w:pPr>
    </w:p>
    <w:p w14:paraId="74C202AC" w14:textId="77777777" w:rsidR="00856E36" w:rsidRDefault="00856E36" w:rsidP="00B114D3">
      <w:pPr>
        <w:tabs>
          <w:tab w:val="left" w:pos="425"/>
        </w:tabs>
        <w:jc w:val="both"/>
        <w:rPr>
          <w:rStyle w:val="Strong"/>
          <w:rFonts w:ascii="Arial" w:hAnsi="Arial" w:cs="Arial"/>
          <w:sz w:val="22"/>
          <w:szCs w:val="22"/>
          <w:lang w:val="en-IN"/>
        </w:rPr>
      </w:pPr>
    </w:p>
    <w:p w14:paraId="51ED6603" w14:textId="77777777" w:rsidR="00856E36" w:rsidRDefault="00A659E2" w:rsidP="00B114D3">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t xml:space="preserve">Sample </w:t>
      </w:r>
      <w:proofErr w:type="gramStart"/>
      <w:r>
        <w:rPr>
          <w:rStyle w:val="Strong"/>
          <w:rFonts w:ascii="Arial" w:hAnsi="Arial" w:cs="Arial"/>
          <w:sz w:val="22"/>
          <w:szCs w:val="22"/>
          <w:lang w:val="en-IN"/>
        </w:rPr>
        <w:t>8:-</w:t>
      </w:r>
      <w:proofErr w:type="gramEnd"/>
      <w:r>
        <w:rPr>
          <w:rStyle w:val="Strong"/>
          <w:rFonts w:ascii="Arial" w:hAnsi="Arial" w:cs="Arial"/>
          <w:sz w:val="22"/>
          <w:szCs w:val="22"/>
          <w:lang w:val="en-IN"/>
        </w:rPr>
        <w:t xml:space="preserve"> </w:t>
      </w:r>
      <w:r>
        <w:rPr>
          <w:rStyle w:val="Strong"/>
          <w:rFonts w:ascii="Arial" w:hAnsi="Arial" w:cs="Arial"/>
          <w:b w:val="0"/>
          <w:bCs w:val="0"/>
          <w:sz w:val="22"/>
          <w:szCs w:val="22"/>
          <w:lang w:val="en-IN"/>
        </w:rPr>
        <w:t xml:space="preserve">Three genes out of twelve showed definite loss on 1p/19q arm, making sample partial positive for oligodendroglioma; but complete 1p/19q co-deletion was not demonstrated by FISH in the sample and thus  the </w:t>
      </w:r>
      <w:proofErr w:type="spellStart"/>
      <w:r>
        <w:rPr>
          <w:rStyle w:val="Strong"/>
          <w:rFonts w:ascii="Arial" w:hAnsi="Arial" w:cs="Arial"/>
          <w:b w:val="0"/>
          <w:bCs w:val="0"/>
          <w:sz w:val="22"/>
          <w:szCs w:val="22"/>
          <w:lang w:val="en-IN"/>
        </w:rPr>
        <w:t>tumor</w:t>
      </w:r>
      <w:proofErr w:type="spellEnd"/>
      <w:r>
        <w:rPr>
          <w:rStyle w:val="Strong"/>
          <w:rFonts w:ascii="Arial" w:hAnsi="Arial" w:cs="Arial"/>
          <w:b w:val="0"/>
          <w:bCs w:val="0"/>
          <w:sz w:val="22"/>
          <w:szCs w:val="22"/>
          <w:lang w:val="en-IN"/>
        </w:rPr>
        <w:t xml:space="preserve"> did not </w:t>
      </w:r>
      <w:proofErr w:type="spellStart"/>
      <w:r>
        <w:rPr>
          <w:rStyle w:val="Strong"/>
          <w:rFonts w:ascii="Arial" w:hAnsi="Arial" w:cs="Arial"/>
          <w:b w:val="0"/>
          <w:bCs w:val="0"/>
          <w:sz w:val="22"/>
          <w:szCs w:val="22"/>
          <w:lang w:val="en-IN"/>
        </w:rPr>
        <w:t>fulfill</w:t>
      </w:r>
      <w:proofErr w:type="spellEnd"/>
      <w:r>
        <w:rPr>
          <w:rStyle w:val="Strong"/>
          <w:rFonts w:ascii="Arial" w:hAnsi="Arial" w:cs="Arial"/>
          <w:b w:val="0"/>
          <w:bCs w:val="0"/>
          <w:sz w:val="22"/>
          <w:szCs w:val="22"/>
          <w:lang w:val="en-IN"/>
        </w:rPr>
        <w:t xml:space="preserve"> WHO 2021 diagnostic criteria for oligodendroglioma.</w:t>
      </w:r>
    </w:p>
    <w:tbl>
      <w:tblPr>
        <w:tblpPr w:leftFromText="180" w:rightFromText="180" w:vertAnchor="text" w:horzAnchor="page" w:tblpX="1387" w:tblpY="456"/>
        <w:tblOverlap w:val="neve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1"/>
        <w:gridCol w:w="1367"/>
        <w:gridCol w:w="1021"/>
        <w:gridCol w:w="898"/>
        <w:gridCol w:w="1896"/>
        <w:gridCol w:w="1235"/>
        <w:gridCol w:w="924"/>
        <w:gridCol w:w="461"/>
      </w:tblGrid>
      <w:tr w:rsidR="00856E36" w14:paraId="29C3372B" w14:textId="77777777">
        <w:trPr>
          <w:trHeight w:val="610"/>
        </w:trPr>
        <w:tc>
          <w:tcPr>
            <w:tcW w:w="1021" w:type="dxa"/>
            <w:shd w:val="clear" w:color="auto" w:fill="4BACC6"/>
            <w:vAlign w:val="bottom"/>
          </w:tcPr>
          <w:p w14:paraId="1B6F5FBA"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Variant ID</w:t>
            </w:r>
          </w:p>
        </w:tc>
        <w:tc>
          <w:tcPr>
            <w:tcW w:w="1367" w:type="dxa"/>
            <w:shd w:val="clear" w:color="auto" w:fill="4BACC6"/>
            <w:vAlign w:val="bottom"/>
          </w:tcPr>
          <w:p w14:paraId="1AB825DC"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Locus</w:t>
            </w:r>
          </w:p>
        </w:tc>
        <w:tc>
          <w:tcPr>
            <w:tcW w:w="1021" w:type="dxa"/>
            <w:shd w:val="clear" w:color="auto" w:fill="4BACC6"/>
            <w:vAlign w:val="bottom"/>
          </w:tcPr>
          <w:p w14:paraId="259120BF"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Call</w:t>
            </w:r>
          </w:p>
        </w:tc>
        <w:tc>
          <w:tcPr>
            <w:tcW w:w="898" w:type="dxa"/>
            <w:shd w:val="clear" w:color="auto" w:fill="4BACC6"/>
            <w:vAlign w:val="bottom"/>
          </w:tcPr>
          <w:p w14:paraId="4BA1FF3A"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P-Value</w:t>
            </w:r>
          </w:p>
        </w:tc>
        <w:tc>
          <w:tcPr>
            <w:tcW w:w="1896" w:type="dxa"/>
            <w:shd w:val="clear" w:color="auto" w:fill="4BACC6"/>
            <w:vAlign w:val="bottom"/>
          </w:tcPr>
          <w:p w14:paraId="20C9249F"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CNV Confidence</w:t>
            </w:r>
          </w:p>
        </w:tc>
        <w:tc>
          <w:tcPr>
            <w:tcW w:w="1235" w:type="dxa"/>
            <w:shd w:val="clear" w:color="auto" w:fill="4BACC6"/>
            <w:vAlign w:val="bottom"/>
          </w:tcPr>
          <w:p w14:paraId="5F8EA55A"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Valid CNV Amplicons</w:t>
            </w:r>
          </w:p>
        </w:tc>
        <w:tc>
          <w:tcPr>
            <w:tcW w:w="924" w:type="dxa"/>
            <w:shd w:val="clear" w:color="auto" w:fill="4BACC6"/>
            <w:vAlign w:val="bottom"/>
          </w:tcPr>
          <w:p w14:paraId="7E6A535F"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Loss</w:t>
            </w:r>
          </w:p>
        </w:tc>
        <w:tc>
          <w:tcPr>
            <w:tcW w:w="461" w:type="dxa"/>
            <w:shd w:val="clear" w:color="auto" w:fill="4BACC6"/>
            <w:vAlign w:val="bottom"/>
          </w:tcPr>
          <w:p w14:paraId="500D5002" w14:textId="77777777" w:rsidR="00856E36" w:rsidRDefault="00A659E2" w:rsidP="00B114D3">
            <w:pPr>
              <w:jc w:val="center"/>
              <w:rPr>
                <w:rFonts w:ascii="Arial" w:hAnsi="Arial" w:cs="Arial"/>
                <w:sz w:val="22"/>
                <w:szCs w:val="22"/>
              </w:rPr>
            </w:pPr>
            <w:r>
              <w:rPr>
                <w:rFonts w:ascii="Arial" w:hAnsi="Arial" w:cs="Arial"/>
                <w:b/>
                <w:bCs/>
                <w:sz w:val="22"/>
                <w:szCs w:val="22"/>
              </w:rPr>
              <w:t>Arm</w:t>
            </w:r>
          </w:p>
        </w:tc>
      </w:tr>
      <w:tr w:rsidR="00856E36" w14:paraId="27AF7548" w14:textId="77777777">
        <w:trPr>
          <w:trHeight w:val="381"/>
        </w:trPr>
        <w:tc>
          <w:tcPr>
            <w:tcW w:w="1021" w:type="dxa"/>
            <w:shd w:val="clear" w:color="auto" w:fill="FFFFFF"/>
            <w:vAlign w:val="bottom"/>
          </w:tcPr>
          <w:p w14:paraId="41282950"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ARID1A</w:t>
            </w:r>
          </w:p>
        </w:tc>
        <w:tc>
          <w:tcPr>
            <w:tcW w:w="1367" w:type="dxa"/>
            <w:shd w:val="clear" w:color="auto" w:fill="FFFFFF"/>
            <w:vAlign w:val="bottom"/>
          </w:tcPr>
          <w:p w14:paraId="3CC5C0D9"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chr1:27022977</w:t>
            </w:r>
          </w:p>
        </w:tc>
        <w:tc>
          <w:tcPr>
            <w:tcW w:w="1021" w:type="dxa"/>
            <w:shd w:val="clear" w:color="auto" w:fill="FFFFFF"/>
            <w:vAlign w:val="bottom"/>
          </w:tcPr>
          <w:p w14:paraId="0984160F"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ABSENT</w:t>
            </w:r>
          </w:p>
        </w:tc>
        <w:tc>
          <w:tcPr>
            <w:tcW w:w="898" w:type="dxa"/>
            <w:shd w:val="clear" w:color="auto" w:fill="FFFFFF"/>
            <w:vAlign w:val="bottom"/>
          </w:tcPr>
          <w:p w14:paraId="2B4EED08"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0</w:t>
            </w:r>
          </w:p>
        </w:tc>
        <w:tc>
          <w:tcPr>
            <w:tcW w:w="1896" w:type="dxa"/>
            <w:shd w:val="clear" w:color="auto" w:fill="FFFFFF"/>
            <w:vAlign w:val="bottom"/>
          </w:tcPr>
          <w:p w14:paraId="0DE80C7F"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5%:0.28, 95%:0.61</w:t>
            </w:r>
          </w:p>
        </w:tc>
        <w:tc>
          <w:tcPr>
            <w:tcW w:w="1235" w:type="dxa"/>
            <w:shd w:val="clear" w:color="auto" w:fill="FFFFFF"/>
            <w:vAlign w:val="bottom"/>
          </w:tcPr>
          <w:p w14:paraId="1A342DA5"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95</w:t>
            </w:r>
          </w:p>
        </w:tc>
        <w:tc>
          <w:tcPr>
            <w:tcW w:w="924" w:type="dxa"/>
            <w:shd w:val="clear" w:color="auto" w:fill="FFFFFF"/>
            <w:vAlign w:val="bottom"/>
          </w:tcPr>
          <w:p w14:paraId="5EC7CDAF"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Probable</w:t>
            </w:r>
          </w:p>
        </w:tc>
        <w:tc>
          <w:tcPr>
            <w:tcW w:w="461" w:type="dxa"/>
            <w:shd w:val="clear" w:color="auto" w:fill="FFFFFF"/>
            <w:vAlign w:val="bottom"/>
          </w:tcPr>
          <w:p w14:paraId="322A9C00" w14:textId="77777777" w:rsidR="00856E36" w:rsidRDefault="00A659E2" w:rsidP="00B114D3">
            <w:pPr>
              <w:jc w:val="center"/>
              <w:rPr>
                <w:rFonts w:ascii="Arial" w:hAnsi="Arial" w:cs="Arial"/>
                <w:sz w:val="22"/>
                <w:szCs w:val="22"/>
              </w:rPr>
            </w:pPr>
            <w:r>
              <w:rPr>
                <w:rFonts w:ascii="Arial" w:hAnsi="Arial" w:cs="Arial"/>
                <w:sz w:val="22"/>
                <w:szCs w:val="22"/>
              </w:rPr>
              <w:t>p</w:t>
            </w:r>
          </w:p>
        </w:tc>
      </w:tr>
      <w:tr w:rsidR="00856E36" w14:paraId="1A6E1480" w14:textId="77777777">
        <w:trPr>
          <w:trHeight w:val="381"/>
        </w:trPr>
        <w:tc>
          <w:tcPr>
            <w:tcW w:w="1021" w:type="dxa"/>
            <w:shd w:val="clear" w:color="auto" w:fill="FFFFFF"/>
            <w:vAlign w:val="bottom"/>
          </w:tcPr>
          <w:p w14:paraId="1133175D"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JAK1</w:t>
            </w:r>
          </w:p>
        </w:tc>
        <w:tc>
          <w:tcPr>
            <w:tcW w:w="1367" w:type="dxa"/>
            <w:shd w:val="clear" w:color="auto" w:fill="FFFFFF"/>
            <w:vAlign w:val="bottom"/>
          </w:tcPr>
          <w:p w14:paraId="7013F3D8"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chr1:65310460</w:t>
            </w:r>
          </w:p>
        </w:tc>
        <w:tc>
          <w:tcPr>
            <w:tcW w:w="1021" w:type="dxa"/>
            <w:shd w:val="clear" w:color="auto" w:fill="FFFFFF"/>
            <w:vAlign w:val="bottom"/>
          </w:tcPr>
          <w:p w14:paraId="487E93FD"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898" w:type="dxa"/>
            <w:shd w:val="clear" w:color="auto" w:fill="FFFFFF"/>
            <w:vAlign w:val="bottom"/>
          </w:tcPr>
          <w:p w14:paraId="3B0027C1"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0.1161</w:t>
            </w:r>
          </w:p>
        </w:tc>
        <w:tc>
          <w:tcPr>
            <w:tcW w:w="1896" w:type="dxa"/>
            <w:shd w:val="clear" w:color="auto" w:fill="FFFFFF"/>
            <w:vAlign w:val="bottom"/>
          </w:tcPr>
          <w:p w14:paraId="1001DE9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95%:2.06</w:t>
            </w:r>
          </w:p>
        </w:tc>
        <w:tc>
          <w:tcPr>
            <w:tcW w:w="1235" w:type="dxa"/>
            <w:shd w:val="clear" w:color="auto" w:fill="FFFFFF"/>
            <w:vAlign w:val="bottom"/>
          </w:tcPr>
          <w:p w14:paraId="32C55200"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3</w:t>
            </w:r>
          </w:p>
        </w:tc>
        <w:tc>
          <w:tcPr>
            <w:tcW w:w="924" w:type="dxa"/>
            <w:shd w:val="clear" w:color="auto" w:fill="FFFFFF"/>
            <w:vAlign w:val="bottom"/>
          </w:tcPr>
          <w:p w14:paraId="56E7893D"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461" w:type="dxa"/>
            <w:shd w:val="clear" w:color="auto" w:fill="FFFFFF"/>
            <w:vAlign w:val="bottom"/>
          </w:tcPr>
          <w:p w14:paraId="0B88CEB1"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21603189" w14:textId="77777777">
        <w:trPr>
          <w:trHeight w:val="381"/>
        </w:trPr>
        <w:tc>
          <w:tcPr>
            <w:tcW w:w="1021" w:type="dxa"/>
            <w:shd w:val="clear" w:color="auto" w:fill="FFFFFF"/>
            <w:vAlign w:val="bottom"/>
          </w:tcPr>
          <w:p w14:paraId="0C152ED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MAGOH</w:t>
            </w:r>
          </w:p>
        </w:tc>
        <w:tc>
          <w:tcPr>
            <w:tcW w:w="1367" w:type="dxa"/>
            <w:shd w:val="clear" w:color="auto" w:fill="FFFFFF"/>
            <w:vAlign w:val="bottom"/>
          </w:tcPr>
          <w:p w14:paraId="23B1EA3C"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chr1:53692719</w:t>
            </w:r>
          </w:p>
        </w:tc>
        <w:tc>
          <w:tcPr>
            <w:tcW w:w="1021" w:type="dxa"/>
            <w:shd w:val="clear" w:color="auto" w:fill="FFFFFF"/>
            <w:vAlign w:val="bottom"/>
          </w:tcPr>
          <w:p w14:paraId="7B73BF4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898" w:type="dxa"/>
            <w:shd w:val="clear" w:color="auto" w:fill="FFFFFF"/>
            <w:vAlign w:val="bottom"/>
          </w:tcPr>
          <w:p w14:paraId="227D416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0.5676</w:t>
            </w:r>
          </w:p>
        </w:tc>
        <w:tc>
          <w:tcPr>
            <w:tcW w:w="1896" w:type="dxa"/>
            <w:shd w:val="clear" w:color="auto" w:fill="FFFFFF"/>
            <w:vAlign w:val="bottom"/>
          </w:tcPr>
          <w:p w14:paraId="3A432B7E"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95%:4.13</w:t>
            </w:r>
          </w:p>
        </w:tc>
        <w:tc>
          <w:tcPr>
            <w:tcW w:w="1235" w:type="dxa"/>
            <w:shd w:val="clear" w:color="auto" w:fill="FFFFFF"/>
            <w:vAlign w:val="bottom"/>
          </w:tcPr>
          <w:p w14:paraId="3DE84C27"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w:t>
            </w:r>
          </w:p>
        </w:tc>
        <w:tc>
          <w:tcPr>
            <w:tcW w:w="924" w:type="dxa"/>
            <w:shd w:val="clear" w:color="auto" w:fill="FFFFFF"/>
            <w:vAlign w:val="bottom"/>
          </w:tcPr>
          <w:p w14:paraId="13BE43AB"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461" w:type="dxa"/>
            <w:shd w:val="clear" w:color="auto" w:fill="FFFFFF"/>
            <w:vAlign w:val="bottom"/>
          </w:tcPr>
          <w:p w14:paraId="0536C640"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64C85656" w14:textId="77777777">
        <w:trPr>
          <w:trHeight w:val="533"/>
        </w:trPr>
        <w:tc>
          <w:tcPr>
            <w:tcW w:w="1021" w:type="dxa"/>
            <w:shd w:val="clear" w:color="auto" w:fill="FFFFFF"/>
            <w:vAlign w:val="bottom"/>
          </w:tcPr>
          <w:p w14:paraId="025915A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lastRenderedPageBreak/>
              <w:t>MTOR</w:t>
            </w:r>
          </w:p>
        </w:tc>
        <w:tc>
          <w:tcPr>
            <w:tcW w:w="1367" w:type="dxa"/>
            <w:shd w:val="clear" w:color="auto" w:fill="FFFFFF"/>
            <w:vAlign w:val="bottom"/>
          </w:tcPr>
          <w:p w14:paraId="2EA0B36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chr1:11168315</w:t>
            </w:r>
          </w:p>
        </w:tc>
        <w:tc>
          <w:tcPr>
            <w:tcW w:w="1021" w:type="dxa"/>
            <w:shd w:val="clear" w:color="auto" w:fill="FFFFFF"/>
            <w:vAlign w:val="bottom"/>
          </w:tcPr>
          <w:p w14:paraId="660F93C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898" w:type="dxa"/>
            <w:shd w:val="clear" w:color="auto" w:fill="FFFFFF"/>
            <w:vAlign w:val="bottom"/>
          </w:tcPr>
          <w:p w14:paraId="7EA4C820" w14:textId="77777777" w:rsidR="00856E36" w:rsidRDefault="00A659E2" w:rsidP="00B114D3">
            <w:pPr>
              <w:jc w:val="both"/>
              <w:textAlignment w:val="bottom"/>
              <w:rPr>
                <w:rFonts w:ascii="Arial" w:hAnsi="Arial" w:cs="Arial"/>
                <w:color w:val="000000"/>
                <w:sz w:val="22"/>
                <w:szCs w:val="22"/>
                <w:lang w:val="en-IN"/>
              </w:rPr>
            </w:pPr>
            <w:r>
              <w:rPr>
                <w:rFonts w:ascii="Arial" w:hAnsi="Arial" w:cs="Arial"/>
                <w:color w:val="000000"/>
                <w:sz w:val="22"/>
                <w:szCs w:val="22"/>
                <w:lang w:val="en-IN"/>
              </w:rPr>
              <w:t>6.77E-07</w:t>
            </w:r>
          </w:p>
        </w:tc>
        <w:tc>
          <w:tcPr>
            <w:tcW w:w="1896" w:type="dxa"/>
            <w:shd w:val="clear" w:color="auto" w:fill="FFFFFF"/>
            <w:vAlign w:val="bottom"/>
          </w:tcPr>
          <w:p w14:paraId="129E727B"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5%:0.15, 95%:1.09</w:t>
            </w:r>
          </w:p>
        </w:tc>
        <w:tc>
          <w:tcPr>
            <w:tcW w:w="1235" w:type="dxa"/>
            <w:shd w:val="clear" w:color="auto" w:fill="FFFFFF"/>
            <w:vAlign w:val="bottom"/>
          </w:tcPr>
          <w:p w14:paraId="639AA017"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13</w:t>
            </w:r>
          </w:p>
        </w:tc>
        <w:tc>
          <w:tcPr>
            <w:tcW w:w="924" w:type="dxa"/>
            <w:shd w:val="clear" w:color="auto" w:fill="FFFFFF"/>
            <w:vAlign w:val="bottom"/>
          </w:tcPr>
          <w:p w14:paraId="3DFC702B"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b/>
                <w:bCs/>
                <w:color w:val="FF0000"/>
                <w:sz w:val="22"/>
                <w:szCs w:val="22"/>
                <w:lang w:bidi="ar"/>
              </w:rPr>
              <w:t>Definite</w:t>
            </w:r>
          </w:p>
        </w:tc>
        <w:tc>
          <w:tcPr>
            <w:tcW w:w="461" w:type="dxa"/>
            <w:shd w:val="clear" w:color="auto" w:fill="FFFFFF"/>
            <w:vAlign w:val="bottom"/>
          </w:tcPr>
          <w:p w14:paraId="1867E4FC"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018ACF32" w14:textId="77777777">
        <w:trPr>
          <w:trHeight w:val="381"/>
        </w:trPr>
        <w:tc>
          <w:tcPr>
            <w:tcW w:w="1021" w:type="dxa"/>
            <w:shd w:val="clear" w:color="auto" w:fill="FFFFFF"/>
            <w:vAlign w:val="bottom"/>
          </w:tcPr>
          <w:p w14:paraId="74A5035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MYCL</w:t>
            </w:r>
          </w:p>
        </w:tc>
        <w:tc>
          <w:tcPr>
            <w:tcW w:w="1367" w:type="dxa"/>
            <w:shd w:val="clear" w:color="auto" w:fill="FFFFFF"/>
            <w:vAlign w:val="bottom"/>
          </w:tcPr>
          <w:p w14:paraId="797D581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chr1:40362966</w:t>
            </w:r>
          </w:p>
        </w:tc>
        <w:tc>
          <w:tcPr>
            <w:tcW w:w="1021" w:type="dxa"/>
            <w:shd w:val="clear" w:color="auto" w:fill="FFFFFF"/>
            <w:vAlign w:val="bottom"/>
          </w:tcPr>
          <w:p w14:paraId="58A8B15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NO CALL</w:t>
            </w:r>
          </w:p>
        </w:tc>
        <w:tc>
          <w:tcPr>
            <w:tcW w:w="898" w:type="dxa"/>
            <w:shd w:val="clear" w:color="auto" w:fill="FFFFFF"/>
            <w:vAlign w:val="bottom"/>
          </w:tcPr>
          <w:p w14:paraId="5AA80163"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w:t>
            </w:r>
          </w:p>
        </w:tc>
        <w:tc>
          <w:tcPr>
            <w:tcW w:w="1896" w:type="dxa"/>
            <w:shd w:val="clear" w:color="auto" w:fill="FFFFFF"/>
            <w:vAlign w:val="bottom"/>
          </w:tcPr>
          <w:p w14:paraId="7A4A284D" w14:textId="77777777" w:rsidR="00856E36" w:rsidRDefault="00856E36" w:rsidP="00B114D3">
            <w:pPr>
              <w:jc w:val="center"/>
              <w:rPr>
                <w:rFonts w:ascii="Arial" w:hAnsi="Arial" w:cs="Arial"/>
                <w:color w:val="000000"/>
                <w:sz w:val="22"/>
                <w:szCs w:val="22"/>
              </w:rPr>
            </w:pPr>
          </w:p>
        </w:tc>
        <w:tc>
          <w:tcPr>
            <w:tcW w:w="1235" w:type="dxa"/>
            <w:shd w:val="clear" w:color="auto" w:fill="FFFFFF"/>
            <w:vAlign w:val="bottom"/>
          </w:tcPr>
          <w:p w14:paraId="09F8FD0C"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9</w:t>
            </w:r>
          </w:p>
        </w:tc>
        <w:tc>
          <w:tcPr>
            <w:tcW w:w="924" w:type="dxa"/>
            <w:shd w:val="clear" w:color="auto" w:fill="FFFFFF"/>
            <w:vAlign w:val="bottom"/>
          </w:tcPr>
          <w:p w14:paraId="30107E91"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461" w:type="dxa"/>
            <w:shd w:val="clear" w:color="auto" w:fill="FFFFFF"/>
            <w:vAlign w:val="bottom"/>
          </w:tcPr>
          <w:p w14:paraId="03D445EA"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6AD5A592" w14:textId="77777777">
        <w:trPr>
          <w:trHeight w:val="534"/>
        </w:trPr>
        <w:tc>
          <w:tcPr>
            <w:tcW w:w="1021" w:type="dxa"/>
            <w:shd w:val="clear" w:color="auto" w:fill="FFFFFF"/>
            <w:vAlign w:val="bottom"/>
          </w:tcPr>
          <w:p w14:paraId="453B529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NOTCH2</w:t>
            </w:r>
          </w:p>
        </w:tc>
        <w:tc>
          <w:tcPr>
            <w:tcW w:w="1367" w:type="dxa"/>
            <w:shd w:val="clear" w:color="auto" w:fill="FFFFFF"/>
            <w:vAlign w:val="bottom"/>
          </w:tcPr>
          <w:p w14:paraId="0FDBF86C"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chr1:120457924</w:t>
            </w:r>
          </w:p>
        </w:tc>
        <w:tc>
          <w:tcPr>
            <w:tcW w:w="1021" w:type="dxa"/>
            <w:shd w:val="clear" w:color="auto" w:fill="FFFFFF"/>
            <w:vAlign w:val="bottom"/>
          </w:tcPr>
          <w:p w14:paraId="04D6017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898" w:type="dxa"/>
            <w:shd w:val="clear" w:color="auto" w:fill="FFFFFF"/>
            <w:vAlign w:val="bottom"/>
          </w:tcPr>
          <w:p w14:paraId="21029E27"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w:t>
            </w:r>
          </w:p>
        </w:tc>
        <w:tc>
          <w:tcPr>
            <w:tcW w:w="1896" w:type="dxa"/>
            <w:shd w:val="clear" w:color="auto" w:fill="FFFFFF"/>
            <w:vAlign w:val="bottom"/>
          </w:tcPr>
          <w:p w14:paraId="7C79FDEE"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5%:0.46, 95%:0.79</w:t>
            </w:r>
          </w:p>
        </w:tc>
        <w:tc>
          <w:tcPr>
            <w:tcW w:w="1235" w:type="dxa"/>
            <w:shd w:val="clear" w:color="auto" w:fill="FFFFFF"/>
            <w:vAlign w:val="bottom"/>
          </w:tcPr>
          <w:p w14:paraId="6F0F8367"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110</w:t>
            </w:r>
          </w:p>
        </w:tc>
        <w:tc>
          <w:tcPr>
            <w:tcW w:w="924" w:type="dxa"/>
            <w:shd w:val="clear" w:color="auto" w:fill="FFFFFF"/>
            <w:vAlign w:val="bottom"/>
          </w:tcPr>
          <w:p w14:paraId="4130EEA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461" w:type="dxa"/>
            <w:shd w:val="clear" w:color="auto" w:fill="FFFFFF"/>
            <w:vAlign w:val="bottom"/>
          </w:tcPr>
          <w:p w14:paraId="0D3FFCE5"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508005BC" w14:textId="77777777">
        <w:trPr>
          <w:trHeight w:val="534"/>
        </w:trPr>
        <w:tc>
          <w:tcPr>
            <w:tcW w:w="1021" w:type="dxa"/>
            <w:shd w:val="clear" w:color="auto" w:fill="FFFFFF"/>
            <w:vAlign w:val="bottom"/>
          </w:tcPr>
          <w:p w14:paraId="213DBDB7"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NRAS</w:t>
            </w:r>
          </w:p>
        </w:tc>
        <w:tc>
          <w:tcPr>
            <w:tcW w:w="1367" w:type="dxa"/>
            <w:shd w:val="clear" w:color="auto" w:fill="FFFFFF"/>
            <w:vAlign w:val="bottom"/>
          </w:tcPr>
          <w:p w14:paraId="58A3C9B4"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chr1:115252191</w:t>
            </w:r>
          </w:p>
        </w:tc>
        <w:tc>
          <w:tcPr>
            <w:tcW w:w="1021" w:type="dxa"/>
            <w:shd w:val="clear" w:color="auto" w:fill="FFFFFF"/>
            <w:vAlign w:val="bottom"/>
          </w:tcPr>
          <w:p w14:paraId="1E7DEF63"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898" w:type="dxa"/>
            <w:shd w:val="clear" w:color="auto" w:fill="FFFFFF"/>
            <w:vAlign w:val="bottom"/>
          </w:tcPr>
          <w:p w14:paraId="60555924"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0.07484</w:t>
            </w:r>
          </w:p>
        </w:tc>
        <w:tc>
          <w:tcPr>
            <w:tcW w:w="1896" w:type="dxa"/>
            <w:shd w:val="clear" w:color="auto" w:fill="FFFFFF"/>
            <w:vAlign w:val="bottom"/>
          </w:tcPr>
          <w:p w14:paraId="4549B26A"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95%:1.88</w:t>
            </w:r>
          </w:p>
        </w:tc>
        <w:tc>
          <w:tcPr>
            <w:tcW w:w="1235" w:type="dxa"/>
            <w:shd w:val="clear" w:color="auto" w:fill="FFFFFF"/>
            <w:vAlign w:val="bottom"/>
          </w:tcPr>
          <w:p w14:paraId="374E5B68"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3</w:t>
            </w:r>
          </w:p>
        </w:tc>
        <w:tc>
          <w:tcPr>
            <w:tcW w:w="924" w:type="dxa"/>
            <w:shd w:val="clear" w:color="auto" w:fill="FFFFFF"/>
            <w:vAlign w:val="bottom"/>
          </w:tcPr>
          <w:p w14:paraId="541588E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461" w:type="dxa"/>
            <w:shd w:val="clear" w:color="auto" w:fill="FFFFFF"/>
            <w:vAlign w:val="bottom"/>
          </w:tcPr>
          <w:p w14:paraId="593139B7"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71150813" w14:textId="77777777">
        <w:trPr>
          <w:trHeight w:val="534"/>
        </w:trPr>
        <w:tc>
          <w:tcPr>
            <w:tcW w:w="1021" w:type="dxa"/>
            <w:shd w:val="clear" w:color="auto" w:fill="FFFFFF"/>
            <w:vAlign w:val="bottom"/>
          </w:tcPr>
          <w:p w14:paraId="5A68D87C"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AKT2</w:t>
            </w:r>
          </w:p>
        </w:tc>
        <w:tc>
          <w:tcPr>
            <w:tcW w:w="1367" w:type="dxa"/>
            <w:shd w:val="clear" w:color="auto" w:fill="FFFFFF"/>
            <w:vAlign w:val="bottom"/>
          </w:tcPr>
          <w:p w14:paraId="0345E910"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chr19:40739755</w:t>
            </w:r>
          </w:p>
        </w:tc>
        <w:tc>
          <w:tcPr>
            <w:tcW w:w="1021" w:type="dxa"/>
            <w:shd w:val="clear" w:color="auto" w:fill="FFFFFF"/>
            <w:vAlign w:val="bottom"/>
          </w:tcPr>
          <w:p w14:paraId="2C0AC063"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898" w:type="dxa"/>
            <w:shd w:val="clear" w:color="auto" w:fill="FFFFFF"/>
            <w:vAlign w:val="bottom"/>
          </w:tcPr>
          <w:p w14:paraId="33836AF0"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0.001744</w:t>
            </w:r>
          </w:p>
        </w:tc>
        <w:tc>
          <w:tcPr>
            <w:tcW w:w="1896" w:type="dxa"/>
            <w:shd w:val="clear" w:color="auto" w:fill="FFFFFF"/>
            <w:vAlign w:val="bottom"/>
          </w:tcPr>
          <w:p w14:paraId="53AA42EB"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5%:0.25, 95%:1.34</w:t>
            </w:r>
          </w:p>
        </w:tc>
        <w:tc>
          <w:tcPr>
            <w:tcW w:w="1235" w:type="dxa"/>
            <w:shd w:val="clear" w:color="auto" w:fill="FFFFFF"/>
            <w:vAlign w:val="bottom"/>
          </w:tcPr>
          <w:p w14:paraId="45D6010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11</w:t>
            </w:r>
          </w:p>
        </w:tc>
        <w:tc>
          <w:tcPr>
            <w:tcW w:w="924" w:type="dxa"/>
            <w:shd w:val="clear" w:color="auto" w:fill="FFFFFF"/>
            <w:vAlign w:val="bottom"/>
          </w:tcPr>
          <w:p w14:paraId="3DF1F9E1"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461" w:type="dxa"/>
            <w:shd w:val="clear" w:color="auto" w:fill="FFFFFF"/>
            <w:vAlign w:val="bottom"/>
          </w:tcPr>
          <w:p w14:paraId="070BF725"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q</w:t>
            </w:r>
          </w:p>
        </w:tc>
      </w:tr>
      <w:tr w:rsidR="00856E36" w14:paraId="0CB4F117" w14:textId="77777777">
        <w:trPr>
          <w:trHeight w:val="534"/>
        </w:trPr>
        <w:tc>
          <w:tcPr>
            <w:tcW w:w="1021" w:type="dxa"/>
            <w:shd w:val="clear" w:color="auto" w:fill="FFFFFF"/>
            <w:vAlign w:val="bottom"/>
          </w:tcPr>
          <w:p w14:paraId="4EE3C59A"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AXL</w:t>
            </w:r>
          </w:p>
        </w:tc>
        <w:tc>
          <w:tcPr>
            <w:tcW w:w="1367" w:type="dxa"/>
            <w:shd w:val="clear" w:color="auto" w:fill="FFFFFF"/>
            <w:vAlign w:val="bottom"/>
          </w:tcPr>
          <w:p w14:paraId="132072CD"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chr19:41725295</w:t>
            </w:r>
          </w:p>
        </w:tc>
        <w:tc>
          <w:tcPr>
            <w:tcW w:w="1021" w:type="dxa"/>
            <w:shd w:val="clear" w:color="auto" w:fill="FFFFFF"/>
            <w:vAlign w:val="bottom"/>
          </w:tcPr>
          <w:p w14:paraId="5EE0CB6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898" w:type="dxa"/>
            <w:shd w:val="clear" w:color="auto" w:fill="FFFFFF"/>
            <w:vAlign w:val="bottom"/>
          </w:tcPr>
          <w:p w14:paraId="70E74F2E"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0.001064</w:t>
            </w:r>
          </w:p>
        </w:tc>
        <w:tc>
          <w:tcPr>
            <w:tcW w:w="1896" w:type="dxa"/>
            <w:shd w:val="clear" w:color="auto" w:fill="FFFFFF"/>
            <w:vAlign w:val="bottom"/>
          </w:tcPr>
          <w:p w14:paraId="74D59D1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5%:0.22, 95%:1.29</w:t>
            </w:r>
          </w:p>
        </w:tc>
        <w:tc>
          <w:tcPr>
            <w:tcW w:w="1235" w:type="dxa"/>
            <w:shd w:val="clear" w:color="auto" w:fill="FFFFFF"/>
            <w:vAlign w:val="bottom"/>
          </w:tcPr>
          <w:p w14:paraId="41F814C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11</w:t>
            </w:r>
          </w:p>
        </w:tc>
        <w:tc>
          <w:tcPr>
            <w:tcW w:w="924" w:type="dxa"/>
            <w:shd w:val="clear" w:color="auto" w:fill="FFFFFF"/>
            <w:vAlign w:val="bottom"/>
          </w:tcPr>
          <w:p w14:paraId="65412021"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461" w:type="dxa"/>
            <w:shd w:val="clear" w:color="auto" w:fill="FFFFFF"/>
            <w:vAlign w:val="bottom"/>
          </w:tcPr>
          <w:p w14:paraId="0E7A8109"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q</w:t>
            </w:r>
          </w:p>
        </w:tc>
      </w:tr>
      <w:tr w:rsidR="00856E36" w14:paraId="68D7259A" w14:textId="77777777">
        <w:trPr>
          <w:trHeight w:val="534"/>
        </w:trPr>
        <w:tc>
          <w:tcPr>
            <w:tcW w:w="1021" w:type="dxa"/>
            <w:shd w:val="clear" w:color="auto" w:fill="FFFFFF"/>
            <w:vAlign w:val="bottom"/>
          </w:tcPr>
          <w:p w14:paraId="1491C963"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ERCC2</w:t>
            </w:r>
          </w:p>
        </w:tc>
        <w:tc>
          <w:tcPr>
            <w:tcW w:w="1367" w:type="dxa"/>
            <w:shd w:val="clear" w:color="auto" w:fill="FFFFFF"/>
            <w:vAlign w:val="bottom"/>
          </w:tcPr>
          <w:p w14:paraId="37E7A020"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chr19:45855711</w:t>
            </w:r>
          </w:p>
        </w:tc>
        <w:tc>
          <w:tcPr>
            <w:tcW w:w="1021" w:type="dxa"/>
            <w:shd w:val="clear" w:color="auto" w:fill="FFFFFF"/>
            <w:vAlign w:val="bottom"/>
          </w:tcPr>
          <w:p w14:paraId="4BF6B834"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898" w:type="dxa"/>
            <w:shd w:val="clear" w:color="auto" w:fill="FFFFFF"/>
            <w:vAlign w:val="bottom"/>
          </w:tcPr>
          <w:p w14:paraId="53056ECB"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0.02812</w:t>
            </w:r>
          </w:p>
        </w:tc>
        <w:tc>
          <w:tcPr>
            <w:tcW w:w="1896" w:type="dxa"/>
            <w:shd w:val="clear" w:color="auto" w:fill="FFFFFF"/>
            <w:vAlign w:val="bottom"/>
          </w:tcPr>
          <w:p w14:paraId="12783BAA"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5%:0.01, 95%:1.62</w:t>
            </w:r>
          </w:p>
        </w:tc>
        <w:tc>
          <w:tcPr>
            <w:tcW w:w="1235" w:type="dxa"/>
            <w:shd w:val="clear" w:color="auto" w:fill="FFFFFF"/>
            <w:vAlign w:val="bottom"/>
          </w:tcPr>
          <w:p w14:paraId="29959B0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w:t>
            </w:r>
          </w:p>
        </w:tc>
        <w:tc>
          <w:tcPr>
            <w:tcW w:w="924" w:type="dxa"/>
            <w:shd w:val="clear" w:color="auto" w:fill="FFFFFF"/>
            <w:vAlign w:val="bottom"/>
          </w:tcPr>
          <w:p w14:paraId="6B697D8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461" w:type="dxa"/>
            <w:shd w:val="clear" w:color="auto" w:fill="FFFFFF"/>
            <w:vAlign w:val="bottom"/>
          </w:tcPr>
          <w:p w14:paraId="4901E5BB"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q</w:t>
            </w:r>
          </w:p>
        </w:tc>
      </w:tr>
      <w:tr w:rsidR="00856E36" w14:paraId="64C92198" w14:textId="77777777">
        <w:trPr>
          <w:trHeight w:val="534"/>
        </w:trPr>
        <w:tc>
          <w:tcPr>
            <w:tcW w:w="1021" w:type="dxa"/>
            <w:shd w:val="clear" w:color="auto" w:fill="FFFFFF"/>
            <w:vAlign w:val="bottom"/>
          </w:tcPr>
          <w:p w14:paraId="20CA69A7"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CCNE1</w:t>
            </w:r>
          </w:p>
        </w:tc>
        <w:tc>
          <w:tcPr>
            <w:tcW w:w="1367" w:type="dxa"/>
            <w:shd w:val="clear" w:color="auto" w:fill="FFFFFF"/>
            <w:vAlign w:val="bottom"/>
          </w:tcPr>
          <w:p w14:paraId="1043E3F1"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chr19:30303882</w:t>
            </w:r>
          </w:p>
        </w:tc>
        <w:tc>
          <w:tcPr>
            <w:tcW w:w="1021" w:type="dxa"/>
            <w:shd w:val="clear" w:color="auto" w:fill="FFFFFF"/>
            <w:vAlign w:val="bottom"/>
          </w:tcPr>
          <w:p w14:paraId="178C57D7"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898" w:type="dxa"/>
            <w:shd w:val="clear" w:color="auto" w:fill="FFFFFF"/>
            <w:vAlign w:val="bottom"/>
          </w:tcPr>
          <w:p w14:paraId="7E128AEC" w14:textId="77777777" w:rsidR="00856E36" w:rsidRDefault="00A659E2" w:rsidP="00B114D3">
            <w:pPr>
              <w:jc w:val="both"/>
              <w:textAlignment w:val="bottom"/>
              <w:rPr>
                <w:rFonts w:ascii="Arial" w:hAnsi="Arial" w:cs="Arial"/>
                <w:color w:val="000000"/>
                <w:sz w:val="22"/>
                <w:szCs w:val="22"/>
                <w:lang w:val="en-IN"/>
              </w:rPr>
            </w:pPr>
            <w:r>
              <w:rPr>
                <w:rFonts w:ascii="Arial" w:hAnsi="Arial" w:cs="Arial"/>
                <w:color w:val="000000"/>
                <w:sz w:val="22"/>
                <w:szCs w:val="22"/>
                <w:lang w:val="en-IN"/>
              </w:rPr>
              <w:t>6.25E-07</w:t>
            </w:r>
          </w:p>
        </w:tc>
        <w:tc>
          <w:tcPr>
            <w:tcW w:w="1896" w:type="dxa"/>
            <w:shd w:val="clear" w:color="auto" w:fill="FFFFFF"/>
            <w:vAlign w:val="bottom"/>
          </w:tcPr>
          <w:p w14:paraId="28688C4D"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95%:0.78</w:t>
            </w:r>
          </w:p>
        </w:tc>
        <w:tc>
          <w:tcPr>
            <w:tcW w:w="1235" w:type="dxa"/>
            <w:shd w:val="clear" w:color="auto" w:fill="FFFFFF"/>
            <w:vAlign w:val="bottom"/>
          </w:tcPr>
          <w:p w14:paraId="4DDB368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10</w:t>
            </w:r>
          </w:p>
        </w:tc>
        <w:tc>
          <w:tcPr>
            <w:tcW w:w="924" w:type="dxa"/>
            <w:shd w:val="clear" w:color="auto" w:fill="FFFFFF"/>
            <w:vAlign w:val="bottom"/>
          </w:tcPr>
          <w:p w14:paraId="6DC7704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461" w:type="dxa"/>
            <w:shd w:val="clear" w:color="auto" w:fill="FFFFFF"/>
            <w:vAlign w:val="bottom"/>
          </w:tcPr>
          <w:p w14:paraId="172AECBF"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q</w:t>
            </w:r>
          </w:p>
        </w:tc>
      </w:tr>
      <w:tr w:rsidR="00856E36" w14:paraId="40A4045C" w14:textId="77777777">
        <w:trPr>
          <w:trHeight w:val="555"/>
        </w:trPr>
        <w:tc>
          <w:tcPr>
            <w:tcW w:w="1021" w:type="dxa"/>
            <w:shd w:val="clear" w:color="auto" w:fill="FFFFFF"/>
            <w:vAlign w:val="bottom"/>
          </w:tcPr>
          <w:p w14:paraId="131AA5A1"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PPP2R1A</w:t>
            </w:r>
          </w:p>
        </w:tc>
        <w:tc>
          <w:tcPr>
            <w:tcW w:w="1367" w:type="dxa"/>
            <w:shd w:val="clear" w:color="auto" w:fill="FFFFFF"/>
            <w:vAlign w:val="bottom"/>
          </w:tcPr>
          <w:p w14:paraId="0050CA10"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chr19:52715952</w:t>
            </w:r>
          </w:p>
        </w:tc>
        <w:tc>
          <w:tcPr>
            <w:tcW w:w="1021" w:type="dxa"/>
            <w:shd w:val="clear" w:color="auto" w:fill="FFFFFF"/>
            <w:vAlign w:val="bottom"/>
          </w:tcPr>
          <w:p w14:paraId="3664809C"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898" w:type="dxa"/>
            <w:shd w:val="clear" w:color="auto" w:fill="FFFFFF"/>
            <w:vAlign w:val="bottom"/>
          </w:tcPr>
          <w:p w14:paraId="48A6AE60"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0.03477</w:t>
            </w:r>
          </w:p>
        </w:tc>
        <w:tc>
          <w:tcPr>
            <w:tcW w:w="1896" w:type="dxa"/>
            <w:shd w:val="clear" w:color="auto" w:fill="FFFFFF"/>
            <w:vAlign w:val="bottom"/>
          </w:tcPr>
          <w:p w14:paraId="3D7C689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95%:1.5</w:t>
            </w:r>
          </w:p>
        </w:tc>
        <w:tc>
          <w:tcPr>
            <w:tcW w:w="1235" w:type="dxa"/>
            <w:shd w:val="clear" w:color="auto" w:fill="FFFFFF"/>
            <w:vAlign w:val="bottom"/>
          </w:tcPr>
          <w:p w14:paraId="68C5999C"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2</w:t>
            </w:r>
          </w:p>
        </w:tc>
        <w:tc>
          <w:tcPr>
            <w:tcW w:w="924" w:type="dxa"/>
            <w:shd w:val="clear" w:color="auto" w:fill="FFFFFF"/>
            <w:vAlign w:val="bottom"/>
          </w:tcPr>
          <w:p w14:paraId="7FA2E250"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461" w:type="dxa"/>
            <w:shd w:val="clear" w:color="auto" w:fill="FFFFFF"/>
            <w:vAlign w:val="bottom"/>
          </w:tcPr>
          <w:p w14:paraId="26D125CE"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q</w:t>
            </w:r>
          </w:p>
        </w:tc>
      </w:tr>
    </w:tbl>
    <w:p w14:paraId="6F4823EC" w14:textId="77777777" w:rsidR="00856E36" w:rsidRDefault="00856E36" w:rsidP="00B114D3">
      <w:pPr>
        <w:tabs>
          <w:tab w:val="left" w:pos="425"/>
        </w:tabs>
        <w:jc w:val="both"/>
        <w:rPr>
          <w:rFonts w:ascii="Arial" w:hAnsi="Arial" w:cs="Arial"/>
          <w:b/>
          <w:bCs/>
          <w:sz w:val="22"/>
          <w:szCs w:val="22"/>
          <w:lang w:val="en-IN"/>
        </w:rPr>
      </w:pPr>
    </w:p>
    <w:p w14:paraId="3D970128" w14:textId="77777777" w:rsidR="00856E36" w:rsidRDefault="00A659E2" w:rsidP="00B114D3">
      <w:pPr>
        <w:tabs>
          <w:tab w:val="left" w:pos="425"/>
        </w:tabs>
        <w:jc w:val="both"/>
        <w:rPr>
          <w:rStyle w:val="Strong"/>
          <w:rFonts w:ascii="Arial" w:hAnsi="Arial" w:cs="Arial"/>
          <w:sz w:val="22"/>
          <w:szCs w:val="22"/>
          <w:lang w:val="en-IN"/>
        </w:rPr>
      </w:pPr>
      <w:r>
        <w:rPr>
          <w:rFonts w:ascii="Arial" w:hAnsi="Arial" w:cs="Arial"/>
          <w:b/>
          <w:bCs/>
          <w:sz w:val="22"/>
          <w:szCs w:val="22"/>
          <w:lang w:val="en-IN"/>
        </w:rPr>
        <w:t xml:space="preserve">Table </w:t>
      </w:r>
      <w:proofErr w:type="gramStart"/>
      <w:r>
        <w:rPr>
          <w:rFonts w:ascii="Arial" w:hAnsi="Arial" w:cs="Arial"/>
          <w:b/>
          <w:bCs/>
          <w:sz w:val="22"/>
          <w:szCs w:val="22"/>
          <w:lang w:val="en-IN"/>
        </w:rPr>
        <w:t>6:-</w:t>
      </w:r>
      <w:proofErr w:type="gramEnd"/>
      <w:r>
        <w:rPr>
          <w:rFonts w:ascii="Arial" w:hAnsi="Arial" w:cs="Arial"/>
          <w:b/>
          <w:bCs/>
          <w:sz w:val="22"/>
          <w:szCs w:val="22"/>
          <w:lang w:val="en-IN"/>
        </w:rPr>
        <w:t xml:space="preserve"> Evaluating co-deletion of 1p/19q arm specific genes using CNV-NGS analysis</w:t>
      </w:r>
    </w:p>
    <w:p w14:paraId="65142F13" w14:textId="77777777" w:rsidR="00856E36" w:rsidRDefault="00856E36" w:rsidP="00B114D3">
      <w:pPr>
        <w:tabs>
          <w:tab w:val="left" w:pos="425"/>
        </w:tabs>
        <w:jc w:val="both"/>
        <w:rPr>
          <w:rStyle w:val="Strong"/>
          <w:rFonts w:ascii="Arial" w:hAnsi="Arial" w:cs="Arial"/>
          <w:sz w:val="22"/>
          <w:szCs w:val="22"/>
          <w:lang w:val="en-IN"/>
        </w:rPr>
      </w:pPr>
    </w:p>
    <w:p w14:paraId="525EDA0C" w14:textId="77777777" w:rsidR="00856E36" w:rsidRDefault="00856E36" w:rsidP="00B114D3">
      <w:pPr>
        <w:tabs>
          <w:tab w:val="left" w:pos="425"/>
        </w:tabs>
        <w:jc w:val="both"/>
        <w:rPr>
          <w:rStyle w:val="Strong"/>
          <w:rFonts w:ascii="Arial" w:hAnsi="Arial" w:cs="Arial"/>
          <w:sz w:val="22"/>
          <w:szCs w:val="22"/>
          <w:lang w:val="en-IN"/>
        </w:rPr>
      </w:pPr>
    </w:p>
    <w:p w14:paraId="1BDFD8A7" w14:textId="77777777" w:rsidR="00856E36" w:rsidRDefault="00A659E2" w:rsidP="00B114D3">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t xml:space="preserve">Sample </w:t>
      </w:r>
      <w:proofErr w:type="gramStart"/>
      <w:r>
        <w:rPr>
          <w:rStyle w:val="Strong"/>
          <w:rFonts w:ascii="Arial" w:hAnsi="Arial" w:cs="Arial"/>
          <w:sz w:val="22"/>
          <w:szCs w:val="22"/>
          <w:lang w:val="en-IN"/>
        </w:rPr>
        <w:t>9:-</w:t>
      </w:r>
      <w:proofErr w:type="gramEnd"/>
      <w:r>
        <w:rPr>
          <w:rStyle w:val="Strong"/>
          <w:rFonts w:ascii="Arial" w:hAnsi="Arial" w:cs="Arial"/>
          <w:sz w:val="22"/>
          <w:szCs w:val="22"/>
          <w:lang w:val="en-IN"/>
        </w:rPr>
        <w:t xml:space="preserve"> </w:t>
      </w:r>
      <w:r>
        <w:rPr>
          <w:rStyle w:val="Strong"/>
          <w:rFonts w:ascii="Arial" w:hAnsi="Arial" w:cs="Arial"/>
          <w:b w:val="0"/>
          <w:bCs w:val="0"/>
          <w:sz w:val="22"/>
          <w:szCs w:val="22"/>
          <w:lang w:val="en-IN"/>
        </w:rPr>
        <w:t xml:space="preserve">Definite loss of three out of twelve genes on the 1p/19q arms rendered the sample partially positive for oligodendroglioma; however, complete whole-arm 1p/19q co-deletion was not demonstrated by FISH. Consequently, the </w:t>
      </w:r>
      <w:proofErr w:type="spellStart"/>
      <w:r>
        <w:rPr>
          <w:rStyle w:val="Strong"/>
          <w:rFonts w:ascii="Arial" w:hAnsi="Arial" w:cs="Arial"/>
          <w:b w:val="0"/>
          <w:bCs w:val="0"/>
          <w:sz w:val="22"/>
          <w:szCs w:val="22"/>
          <w:lang w:val="en-IN"/>
        </w:rPr>
        <w:t>tumor</w:t>
      </w:r>
      <w:proofErr w:type="spellEnd"/>
      <w:r>
        <w:rPr>
          <w:rStyle w:val="Strong"/>
          <w:rFonts w:ascii="Arial" w:hAnsi="Arial" w:cs="Arial"/>
          <w:b w:val="0"/>
          <w:bCs w:val="0"/>
          <w:sz w:val="22"/>
          <w:szCs w:val="22"/>
          <w:lang w:val="en-IN"/>
        </w:rPr>
        <w:t xml:space="preserve"> did not meet the WHO 2021 diagnostic criteria for oligodendroglioma.</w:t>
      </w:r>
    </w:p>
    <w:tbl>
      <w:tblPr>
        <w:tblpPr w:leftFromText="180" w:rightFromText="180" w:vertAnchor="text" w:horzAnchor="page" w:tblpX="1312" w:tblpY="252"/>
        <w:tblOverlap w:val="neve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76"/>
        <w:gridCol w:w="1504"/>
        <w:gridCol w:w="881"/>
        <w:gridCol w:w="1179"/>
        <w:gridCol w:w="1773"/>
        <w:gridCol w:w="1450"/>
        <w:gridCol w:w="948"/>
        <w:gridCol w:w="624"/>
      </w:tblGrid>
      <w:tr w:rsidR="00856E36" w14:paraId="1C2863C2" w14:textId="77777777">
        <w:trPr>
          <w:trHeight w:val="697"/>
        </w:trPr>
        <w:tc>
          <w:tcPr>
            <w:tcW w:w="976" w:type="dxa"/>
            <w:shd w:val="clear" w:color="auto" w:fill="4BACC6"/>
            <w:vAlign w:val="bottom"/>
          </w:tcPr>
          <w:p w14:paraId="75872D6C"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Variant ID</w:t>
            </w:r>
          </w:p>
        </w:tc>
        <w:tc>
          <w:tcPr>
            <w:tcW w:w="1504" w:type="dxa"/>
            <w:shd w:val="clear" w:color="auto" w:fill="4BACC6"/>
            <w:vAlign w:val="bottom"/>
          </w:tcPr>
          <w:p w14:paraId="5DE66F42"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Locus</w:t>
            </w:r>
          </w:p>
        </w:tc>
        <w:tc>
          <w:tcPr>
            <w:tcW w:w="881" w:type="dxa"/>
            <w:shd w:val="clear" w:color="auto" w:fill="4BACC6"/>
            <w:vAlign w:val="bottom"/>
          </w:tcPr>
          <w:p w14:paraId="6C472DE3"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Call</w:t>
            </w:r>
          </w:p>
        </w:tc>
        <w:tc>
          <w:tcPr>
            <w:tcW w:w="1179" w:type="dxa"/>
            <w:shd w:val="clear" w:color="auto" w:fill="4BACC6"/>
            <w:vAlign w:val="bottom"/>
          </w:tcPr>
          <w:p w14:paraId="01B8416C"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P-Value</w:t>
            </w:r>
          </w:p>
        </w:tc>
        <w:tc>
          <w:tcPr>
            <w:tcW w:w="1773" w:type="dxa"/>
            <w:shd w:val="clear" w:color="auto" w:fill="4BACC6"/>
            <w:vAlign w:val="bottom"/>
          </w:tcPr>
          <w:p w14:paraId="14B28BB4"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CNV Confidence</w:t>
            </w:r>
          </w:p>
        </w:tc>
        <w:tc>
          <w:tcPr>
            <w:tcW w:w="1450" w:type="dxa"/>
            <w:shd w:val="clear" w:color="auto" w:fill="4BACC6"/>
            <w:vAlign w:val="bottom"/>
          </w:tcPr>
          <w:p w14:paraId="20A6261A"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Valid CNV Amplicons</w:t>
            </w:r>
          </w:p>
        </w:tc>
        <w:tc>
          <w:tcPr>
            <w:tcW w:w="948" w:type="dxa"/>
            <w:shd w:val="clear" w:color="auto" w:fill="4BACC6"/>
            <w:vAlign w:val="bottom"/>
          </w:tcPr>
          <w:p w14:paraId="21107649" w14:textId="77777777" w:rsidR="00856E36" w:rsidRDefault="00A659E2" w:rsidP="00B114D3">
            <w:pPr>
              <w:jc w:val="center"/>
              <w:textAlignment w:val="bottom"/>
              <w:rPr>
                <w:rFonts w:ascii="Arial" w:hAnsi="Arial" w:cs="Arial"/>
                <w:sz w:val="22"/>
                <w:szCs w:val="22"/>
              </w:rPr>
            </w:pPr>
            <w:r>
              <w:rPr>
                <w:rFonts w:ascii="Arial" w:eastAsia="SimSun" w:hAnsi="Arial" w:cs="Arial"/>
                <w:b/>
                <w:bCs/>
                <w:color w:val="000000"/>
                <w:sz w:val="22"/>
                <w:szCs w:val="22"/>
                <w:lang w:bidi="ar"/>
              </w:rPr>
              <w:t>Loss</w:t>
            </w:r>
          </w:p>
        </w:tc>
        <w:tc>
          <w:tcPr>
            <w:tcW w:w="624" w:type="dxa"/>
            <w:shd w:val="clear" w:color="auto" w:fill="4BACC6"/>
            <w:vAlign w:val="bottom"/>
          </w:tcPr>
          <w:p w14:paraId="0F9682E6" w14:textId="77777777" w:rsidR="00856E36" w:rsidRDefault="00A659E2" w:rsidP="00B114D3">
            <w:pPr>
              <w:jc w:val="center"/>
              <w:rPr>
                <w:rFonts w:ascii="Arial" w:hAnsi="Arial" w:cs="Arial"/>
                <w:sz w:val="22"/>
                <w:szCs w:val="22"/>
              </w:rPr>
            </w:pPr>
            <w:r>
              <w:rPr>
                <w:rFonts w:ascii="Arial" w:hAnsi="Arial" w:cs="Arial"/>
                <w:b/>
                <w:bCs/>
                <w:sz w:val="22"/>
                <w:szCs w:val="22"/>
              </w:rPr>
              <w:t>Arm</w:t>
            </w:r>
          </w:p>
        </w:tc>
      </w:tr>
      <w:tr w:rsidR="00856E36" w14:paraId="2440824D" w14:textId="77777777">
        <w:trPr>
          <w:trHeight w:val="547"/>
        </w:trPr>
        <w:tc>
          <w:tcPr>
            <w:tcW w:w="976" w:type="dxa"/>
            <w:shd w:val="clear" w:color="auto" w:fill="FFFFFF"/>
            <w:vAlign w:val="bottom"/>
          </w:tcPr>
          <w:p w14:paraId="5487D7C7"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ARID1A</w:t>
            </w:r>
          </w:p>
        </w:tc>
        <w:tc>
          <w:tcPr>
            <w:tcW w:w="1504" w:type="dxa"/>
            <w:shd w:val="clear" w:color="auto" w:fill="FFFFFF"/>
            <w:vAlign w:val="bottom"/>
          </w:tcPr>
          <w:p w14:paraId="7A6DC003"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chr1:27022977</w:t>
            </w:r>
          </w:p>
        </w:tc>
        <w:tc>
          <w:tcPr>
            <w:tcW w:w="881" w:type="dxa"/>
            <w:shd w:val="clear" w:color="auto" w:fill="FFFFFF"/>
            <w:vAlign w:val="bottom"/>
          </w:tcPr>
          <w:p w14:paraId="5F6C214F"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ABSENT</w:t>
            </w:r>
          </w:p>
        </w:tc>
        <w:tc>
          <w:tcPr>
            <w:tcW w:w="1179" w:type="dxa"/>
            <w:shd w:val="clear" w:color="auto" w:fill="FFFFFF"/>
            <w:vAlign w:val="bottom"/>
          </w:tcPr>
          <w:p w14:paraId="5246B508"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0</w:t>
            </w:r>
          </w:p>
        </w:tc>
        <w:tc>
          <w:tcPr>
            <w:tcW w:w="1773" w:type="dxa"/>
            <w:shd w:val="clear" w:color="auto" w:fill="FFFFFF"/>
            <w:vAlign w:val="bottom"/>
          </w:tcPr>
          <w:p w14:paraId="7D9BCBDE"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5%:0.04, 95%:0.37</w:t>
            </w:r>
          </w:p>
        </w:tc>
        <w:tc>
          <w:tcPr>
            <w:tcW w:w="1450" w:type="dxa"/>
            <w:shd w:val="clear" w:color="auto" w:fill="FFFFFF"/>
            <w:vAlign w:val="bottom"/>
          </w:tcPr>
          <w:p w14:paraId="5CE90D4A"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95</w:t>
            </w:r>
          </w:p>
        </w:tc>
        <w:tc>
          <w:tcPr>
            <w:tcW w:w="948" w:type="dxa"/>
            <w:shd w:val="clear" w:color="auto" w:fill="FFFFFF"/>
            <w:vAlign w:val="bottom"/>
          </w:tcPr>
          <w:p w14:paraId="73AFC3A5" w14:textId="77777777" w:rsidR="00856E36" w:rsidRDefault="00A659E2" w:rsidP="00B114D3">
            <w:pPr>
              <w:jc w:val="center"/>
              <w:textAlignment w:val="bottom"/>
              <w:rPr>
                <w:rFonts w:ascii="Arial" w:hAnsi="Arial" w:cs="Arial"/>
                <w:sz w:val="22"/>
                <w:szCs w:val="22"/>
              </w:rPr>
            </w:pPr>
            <w:r>
              <w:rPr>
                <w:rFonts w:ascii="Arial" w:eastAsia="SimSun" w:hAnsi="Arial" w:cs="Arial"/>
                <w:color w:val="000000"/>
                <w:sz w:val="22"/>
                <w:szCs w:val="22"/>
                <w:lang w:bidi="ar"/>
              </w:rPr>
              <w:t>Probable</w:t>
            </w:r>
          </w:p>
        </w:tc>
        <w:tc>
          <w:tcPr>
            <w:tcW w:w="624" w:type="dxa"/>
            <w:shd w:val="clear" w:color="auto" w:fill="FFFFFF"/>
            <w:vAlign w:val="bottom"/>
          </w:tcPr>
          <w:p w14:paraId="38F18322" w14:textId="77777777" w:rsidR="00856E36" w:rsidRDefault="00A659E2" w:rsidP="00B114D3">
            <w:pPr>
              <w:jc w:val="center"/>
              <w:rPr>
                <w:rFonts w:ascii="Arial" w:hAnsi="Arial" w:cs="Arial"/>
                <w:sz w:val="22"/>
                <w:szCs w:val="22"/>
              </w:rPr>
            </w:pPr>
            <w:r>
              <w:rPr>
                <w:rFonts w:ascii="Arial" w:hAnsi="Arial" w:cs="Arial"/>
                <w:sz w:val="22"/>
                <w:szCs w:val="22"/>
              </w:rPr>
              <w:t>p</w:t>
            </w:r>
          </w:p>
        </w:tc>
      </w:tr>
      <w:tr w:rsidR="00856E36" w14:paraId="713A57C0" w14:textId="77777777">
        <w:trPr>
          <w:trHeight w:val="438"/>
        </w:trPr>
        <w:tc>
          <w:tcPr>
            <w:tcW w:w="976" w:type="dxa"/>
            <w:shd w:val="clear" w:color="auto" w:fill="FFFFFF"/>
            <w:vAlign w:val="bottom"/>
          </w:tcPr>
          <w:p w14:paraId="59D37A5F"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JAK1</w:t>
            </w:r>
          </w:p>
        </w:tc>
        <w:tc>
          <w:tcPr>
            <w:tcW w:w="1504" w:type="dxa"/>
            <w:shd w:val="clear" w:color="auto" w:fill="FFFFFF"/>
            <w:vAlign w:val="bottom"/>
          </w:tcPr>
          <w:p w14:paraId="210A6368"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chr1:65310460</w:t>
            </w:r>
          </w:p>
        </w:tc>
        <w:tc>
          <w:tcPr>
            <w:tcW w:w="881" w:type="dxa"/>
            <w:shd w:val="clear" w:color="auto" w:fill="FFFFFF"/>
            <w:vAlign w:val="bottom"/>
          </w:tcPr>
          <w:p w14:paraId="26945EE8"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1179" w:type="dxa"/>
            <w:shd w:val="clear" w:color="auto" w:fill="FFFFFF"/>
            <w:vAlign w:val="bottom"/>
          </w:tcPr>
          <w:p w14:paraId="2509A0C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0.2353</w:t>
            </w:r>
          </w:p>
        </w:tc>
        <w:tc>
          <w:tcPr>
            <w:tcW w:w="1773" w:type="dxa"/>
            <w:shd w:val="clear" w:color="auto" w:fill="FFFFFF"/>
            <w:vAlign w:val="bottom"/>
          </w:tcPr>
          <w:p w14:paraId="7D68E7F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95%:2.5</w:t>
            </w:r>
          </w:p>
        </w:tc>
        <w:tc>
          <w:tcPr>
            <w:tcW w:w="1450" w:type="dxa"/>
            <w:shd w:val="clear" w:color="auto" w:fill="FFFFFF"/>
            <w:vAlign w:val="bottom"/>
          </w:tcPr>
          <w:p w14:paraId="3C982FD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3</w:t>
            </w:r>
          </w:p>
        </w:tc>
        <w:tc>
          <w:tcPr>
            <w:tcW w:w="948" w:type="dxa"/>
            <w:shd w:val="clear" w:color="auto" w:fill="FFFFFF"/>
            <w:vAlign w:val="bottom"/>
          </w:tcPr>
          <w:p w14:paraId="356F6893"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624" w:type="dxa"/>
            <w:shd w:val="clear" w:color="auto" w:fill="FFFFFF"/>
            <w:vAlign w:val="bottom"/>
          </w:tcPr>
          <w:p w14:paraId="0E0BAEB7"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31EBB49A" w14:textId="77777777">
        <w:trPr>
          <w:trHeight w:val="438"/>
        </w:trPr>
        <w:tc>
          <w:tcPr>
            <w:tcW w:w="976" w:type="dxa"/>
            <w:shd w:val="clear" w:color="auto" w:fill="FFFFFF"/>
            <w:vAlign w:val="bottom"/>
          </w:tcPr>
          <w:p w14:paraId="6645669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MAGOH</w:t>
            </w:r>
          </w:p>
        </w:tc>
        <w:tc>
          <w:tcPr>
            <w:tcW w:w="1504" w:type="dxa"/>
            <w:shd w:val="clear" w:color="auto" w:fill="FFFFFF"/>
            <w:vAlign w:val="bottom"/>
          </w:tcPr>
          <w:p w14:paraId="0F7CD8C4"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chr1:53692719</w:t>
            </w:r>
          </w:p>
        </w:tc>
        <w:tc>
          <w:tcPr>
            <w:tcW w:w="881" w:type="dxa"/>
            <w:shd w:val="clear" w:color="auto" w:fill="FFFFFF"/>
            <w:vAlign w:val="bottom"/>
          </w:tcPr>
          <w:p w14:paraId="439495FE"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1179" w:type="dxa"/>
            <w:shd w:val="clear" w:color="auto" w:fill="FFFFFF"/>
            <w:vAlign w:val="bottom"/>
          </w:tcPr>
          <w:p w14:paraId="364B135B"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0.7233</w:t>
            </w:r>
          </w:p>
        </w:tc>
        <w:tc>
          <w:tcPr>
            <w:tcW w:w="1773" w:type="dxa"/>
            <w:shd w:val="clear" w:color="auto" w:fill="FFFFFF"/>
            <w:vAlign w:val="bottom"/>
          </w:tcPr>
          <w:p w14:paraId="79325AFA"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95%:5.06</w:t>
            </w:r>
          </w:p>
        </w:tc>
        <w:tc>
          <w:tcPr>
            <w:tcW w:w="1450" w:type="dxa"/>
            <w:shd w:val="clear" w:color="auto" w:fill="FFFFFF"/>
            <w:vAlign w:val="bottom"/>
          </w:tcPr>
          <w:p w14:paraId="1BD92F9E"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w:t>
            </w:r>
          </w:p>
        </w:tc>
        <w:tc>
          <w:tcPr>
            <w:tcW w:w="948" w:type="dxa"/>
            <w:shd w:val="clear" w:color="auto" w:fill="FFFFFF"/>
            <w:vAlign w:val="bottom"/>
          </w:tcPr>
          <w:p w14:paraId="7604918B"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624" w:type="dxa"/>
            <w:shd w:val="clear" w:color="auto" w:fill="FFFFFF"/>
            <w:vAlign w:val="bottom"/>
          </w:tcPr>
          <w:p w14:paraId="285076D6"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624DF576" w14:textId="77777777">
        <w:trPr>
          <w:trHeight w:val="438"/>
        </w:trPr>
        <w:tc>
          <w:tcPr>
            <w:tcW w:w="976" w:type="dxa"/>
            <w:shd w:val="clear" w:color="auto" w:fill="FFFFFF"/>
            <w:vAlign w:val="bottom"/>
          </w:tcPr>
          <w:p w14:paraId="3A7C4F03"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MTOR</w:t>
            </w:r>
          </w:p>
        </w:tc>
        <w:tc>
          <w:tcPr>
            <w:tcW w:w="1504" w:type="dxa"/>
            <w:shd w:val="clear" w:color="auto" w:fill="FFFFFF"/>
            <w:vAlign w:val="bottom"/>
          </w:tcPr>
          <w:p w14:paraId="4DF0027A"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chr1:11168315</w:t>
            </w:r>
          </w:p>
        </w:tc>
        <w:tc>
          <w:tcPr>
            <w:tcW w:w="881" w:type="dxa"/>
            <w:shd w:val="clear" w:color="auto" w:fill="FFFFFF"/>
            <w:vAlign w:val="bottom"/>
          </w:tcPr>
          <w:p w14:paraId="0B9BDABD"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1179" w:type="dxa"/>
            <w:shd w:val="clear" w:color="auto" w:fill="FFFFFF"/>
            <w:vAlign w:val="bottom"/>
          </w:tcPr>
          <w:p w14:paraId="75234505" w14:textId="77777777" w:rsidR="00856E36" w:rsidRDefault="00A659E2" w:rsidP="00B114D3">
            <w:pPr>
              <w:jc w:val="center"/>
              <w:textAlignment w:val="bottom"/>
              <w:rPr>
                <w:rFonts w:ascii="Arial" w:hAnsi="Arial" w:cs="Arial"/>
                <w:color w:val="000000"/>
                <w:sz w:val="22"/>
                <w:szCs w:val="22"/>
                <w:lang w:val="en-IN"/>
              </w:rPr>
            </w:pPr>
            <w:r>
              <w:rPr>
                <w:rFonts w:ascii="Arial" w:hAnsi="Arial" w:cs="Arial"/>
                <w:color w:val="000000"/>
                <w:sz w:val="22"/>
                <w:szCs w:val="22"/>
                <w:lang w:val="en-IN"/>
              </w:rPr>
              <w:t>3.72E-07</w:t>
            </w:r>
          </w:p>
        </w:tc>
        <w:tc>
          <w:tcPr>
            <w:tcW w:w="1773" w:type="dxa"/>
            <w:shd w:val="clear" w:color="auto" w:fill="FFFFFF"/>
            <w:vAlign w:val="bottom"/>
          </w:tcPr>
          <w:p w14:paraId="651BD224"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95%:0.96</w:t>
            </w:r>
          </w:p>
        </w:tc>
        <w:tc>
          <w:tcPr>
            <w:tcW w:w="1450" w:type="dxa"/>
            <w:shd w:val="clear" w:color="auto" w:fill="FFFFFF"/>
            <w:vAlign w:val="bottom"/>
          </w:tcPr>
          <w:p w14:paraId="77599CB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13</w:t>
            </w:r>
          </w:p>
        </w:tc>
        <w:tc>
          <w:tcPr>
            <w:tcW w:w="948" w:type="dxa"/>
            <w:shd w:val="clear" w:color="auto" w:fill="FFFFFF"/>
            <w:vAlign w:val="bottom"/>
          </w:tcPr>
          <w:p w14:paraId="43DD4EE7"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b/>
                <w:bCs/>
                <w:color w:val="FF0000"/>
                <w:sz w:val="22"/>
                <w:szCs w:val="22"/>
                <w:lang w:bidi="ar"/>
              </w:rPr>
              <w:t>Definite</w:t>
            </w:r>
          </w:p>
        </w:tc>
        <w:tc>
          <w:tcPr>
            <w:tcW w:w="624" w:type="dxa"/>
            <w:shd w:val="clear" w:color="auto" w:fill="FFFFFF"/>
            <w:vAlign w:val="bottom"/>
          </w:tcPr>
          <w:p w14:paraId="1C28BFAC"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416B26FE" w14:textId="77777777">
        <w:trPr>
          <w:trHeight w:val="547"/>
        </w:trPr>
        <w:tc>
          <w:tcPr>
            <w:tcW w:w="976" w:type="dxa"/>
            <w:shd w:val="clear" w:color="auto" w:fill="FFFFFF"/>
            <w:vAlign w:val="bottom"/>
          </w:tcPr>
          <w:p w14:paraId="63CE90BF"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MYCL</w:t>
            </w:r>
          </w:p>
        </w:tc>
        <w:tc>
          <w:tcPr>
            <w:tcW w:w="1504" w:type="dxa"/>
            <w:shd w:val="clear" w:color="auto" w:fill="FFFFFF"/>
            <w:vAlign w:val="bottom"/>
          </w:tcPr>
          <w:p w14:paraId="0693EA46"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chr1:40362966</w:t>
            </w:r>
          </w:p>
        </w:tc>
        <w:tc>
          <w:tcPr>
            <w:tcW w:w="881" w:type="dxa"/>
            <w:shd w:val="clear" w:color="auto" w:fill="FFFFFF"/>
            <w:vAlign w:val="bottom"/>
          </w:tcPr>
          <w:p w14:paraId="738F2EB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NO CALL</w:t>
            </w:r>
          </w:p>
        </w:tc>
        <w:tc>
          <w:tcPr>
            <w:tcW w:w="1179" w:type="dxa"/>
            <w:shd w:val="clear" w:color="auto" w:fill="FFFFFF"/>
            <w:vAlign w:val="bottom"/>
          </w:tcPr>
          <w:p w14:paraId="56FFC73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w:t>
            </w:r>
          </w:p>
        </w:tc>
        <w:tc>
          <w:tcPr>
            <w:tcW w:w="1773" w:type="dxa"/>
            <w:shd w:val="clear" w:color="auto" w:fill="FFFFFF"/>
            <w:vAlign w:val="bottom"/>
          </w:tcPr>
          <w:p w14:paraId="2D89A34E" w14:textId="77777777" w:rsidR="00856E36" w:rsidRDefault="00856E36" w:rsidP="00B114D3">
            <w:pPr>
              <w:jc w:val="center"/>
              <w:rPr>
                <w:rFonts w:ascii="Arial" w:hAnsi="Arial" w:cs="Arial"/>
                <w:color w:val="000000"/>
                <w:sz w:val="22"/>
                <w:szCs w:val="22"/>
              </w:rPr>
            </w:pPr>
          </w:p>
        </w:tc>
        <w:tc>
          <w:tcPr>
            <w:tcW w:w="1450" w:type="dxa"/>
            <w:shd w:val="clear" w:color="auto" w:fill="FFFFFF"/>
            <w:vAlign w:val="bottom"/>
          </w:tcPr>
          <w:p w14:paraId="144AAE8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9</w:t>
            </w:r>
          </w:p>
        </w:tc>
        <w:tc>
          <w:tcPr>
            <w:tcW w:w="948" w:type="dxa"/>
            <w:shd w:val="clear" w:color="auto" w:fill="FFFFFF"/>
            <w:vAlign w:val="bottom"/>
          </w:tcPr>
          <w:p w14:paraId="1015ED3A"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624" w:type="dxa"/>
            <w:shd w:val="clear" w:color="auto" w:fill="FFFFFF"/>
            <w:vAlign w:val="bottom"/>
          </w:tcPr>
          <w:p w14:paraId="343A736F"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40D8BD6E" w14:textId="77777777">
        <w:trPr>
          <w:trHeight w:val="547"/>
        </w:trPr>
        <w:tc>
          <w:tcPr>
            <w:tcW w:w="976" w:type="dxa"/>
            <w:shd w:val="clear" w:color="auto" w:fill="FFFFFF"/>
            <w:vAlign w:val="bottom"/>
          </w:tcPr>
          <w:p w14:paraId="46C3A48E"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NOTCH2</w:t>
            </w:r>
          </w:p>
        </w:tc>
        <w:tc>
          <w:tcPr>
            <w:tcW w:w="1504" w:type="dxa"/>
            <w:shd w:val="clear" w:color="auto" w:fill="FFFFFF"/>
            <w:vAlign w:val="bottom"/>
          </w:tcPr>
          <w:p w14:paraId="5A8CC3F6"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chr1:120457924</w:t>
            </w:r>
          </w:p>
        </w:tc>
        <w:tc>
          <w:tcPr>
            <w:tcW w:w="881" w:type="dxa"/>
            <w:shd w:val="clear" w:color="auto" w:fill="FFFFFF"/>
            <w:vAlign w:val="bottom"/>
          </w:tcPr>
          <w:p w14:paraId="65468F2E"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1179" w:type="dxa"/>
            <w:shd w:val="clear" w:color="auto" w:fill="FFFFFF"/>
            <w:vAlign w:val="bottom"/>
          </w:tcPr>
          <w:p w14:paraId="5EEFB73E"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w:t>
            </w:r>
          </w:p>
        </w:tc>
        <w:tc>
          <w:tcPr>
            <w:tcW w:w="1773" w:type="dxa"/>
            <w:shd w:val="clear" w:color="auto" w:fill="FFFFFF"/>
            <w:vAlign w:val="bottom"/>
          </w:tcPr>
          <w:p w14:paraId="2D55B611"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5%:0.35, 95%:0.7</w:t>
            </w:r>
          </w:p>
        </w:tc>
        <w:tc>
          <w:tcPr>
            <w:tcW w:w="1450" w:type="dxa"/>
            <w:shd w:val="clear" w:color="auto" w:fill="FFFFFF"/>
            <w:vAlign w:val="bottom"/>
          </w:tcPr>
          <w:p w14:paraId="4C367D45"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111</w:t>
            </w:r>
          </w:p>
        </w:tc>
        <w:tc>
          <w:tcPr>
            <w:tcW w:w="948" w:type="dxa"/>
            <w:shd w:val="clear" w:color="auto" w:fill="FFFFFF"/>
            <w:vAlign w:val="bottom"/>
          </w:tcPr>
          <w:p w14:paraId="6170AAC3"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624" w:type="dxa"/>
            <w:shd w:val="clear" w:color="auto" w:fill="FFFFFF"/>
            <w:vAlign w:val="bottom"/>
          </w:tcPr>
          <w:p w14:paraId="3A53EDDB"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789B8244" w14:textId="77777777">
        <w:trPr>
          <w:trHeight w:val="547"/>
        </w:trPr>
        <w:tc>
          <w:tcPr>
            <w:tcW w:w="976" w:type="dxa"/>
            <w:shd w:val="clear" w:color="auto" w:fill="FFFFFF"/>
            <w:vAlign w:val="bottom"/>
          </w:tcPr>
          <w:p w14:paraId="55E7FAC1"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NRAS</w:t>
            </w:r>
          </w:p>
        </w:tc>
        <w:tc>
          <w:tcPr>
            <w:tcW w:w="1504" w:type="dxa"/>
            <w:shd w:val="clear" w:color="auto" w:fill="FFFFFF"/>
            <w:vAlign w:val="bottom"/>
          </w:tcPr>
          <w:p w14:paraId="3F8B9721"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chr1:115252191</w:t>
            </w:r>
          </w:p>
        </w:tc>
        <w:tc>
          <w:tcPr>
            <w:tcW w:w="881" w:type="dxa"/>
            <w:shd w:val="clear" w:color="auto" w:fill="FFFFFF"/>
            <w:vAlign w:val="bottom"/>
          </w:tcPr>
          <w:p w14:paraId="69319EBC"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1179" w:type="dxa"/>
            <w:shd w:val="clear" w:color="auto" w:fill="FFFFFF"/>
            <w:vAlign w:val="bottom"/>
          </w:tcPr>
          <w:p w14:paraId="2FA372A8"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0.03028</w:t>
            </w:r>
          </w:p>
        </w:tc>
        <w:tc>
          <w:tcPr>
            <w:tcW w:w="1773" w:type="dxa"/>
            <w:shd w:val="clear" w:color="auto" w:fill="FFFFFF"/>
            <w:vAlign w:val="bottom"/>
          </w:tcPr>
          <w:p w14:paraId="2C726123"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95%:1.5</w:t>
            </w:r>
          </w:p>
        </w:tc>
        <w:tc>
          <w:tcPr>
            <w:tcW w:w="1450" w:type="dxa"/>
            <w:shd w:val="clear" w:color="auto" w:fill="FFFFFF"/>
            <w:vAlign w:val="bottom"/>
          </w:tcPr>
          <w:p w14:paraId="3B0547D8"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3</w:t>
            </w:r>
          </w:p>
        </w:tc>
        <w:tc>
          <w:tcPr>
            <w:tcW w:w="948" w:type="dxa"/>
            <w:shd w:val="clear" w:color="auto" w:fill="FFFFFF"/>
            <w:vAlign w:val="bottom"/>
          </w:tcPr>
          <w:p w14:paraId="54A1F1EC"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624" w:type="dxa"/>
            <w:shd w:val="clear" w:color="auto" w:fill="FFFFFF"/>
            <w:vAlign w:val="bottom"/>
          </w:tcPr>
          <w:p w14:paraId="63CADD5F"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p</w:t>
            </w:r>
          </w:p>
        </w:tc>
      </w:tr>
      <w:tr w:rsidR="00856E36" w14:paraId="042F85DA" w14:textId="77777777">
        <w:trPr>
          <w:trHeight w:val="547"/>
        </w:trPr>
        <w:tc>
          <w:tcPr>
            <w:tcW w:w="976" w:type="dxa"/>
            <w:shd w:val="clear" w:color="auto" w:fill="FFFFFF"/>
            <w:vAlign w:val="bottom"/>
          </w:tcPr>
          <w:p w14:paraId="00E1551B"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lastRenderedPageBreak/>
              <w:t>AKT2</w:t>
            </w:r>
          </w:p>
        </w:tc>
        <w:tc>
          <w:tcPr>
            <w:tcW w:w="1504" w:type="dxa"/>
            <w:shd w:val="clear" w:color="auto" w:fill="FFFFFF"/>
            <w:vAlign w:val="bottom"/>
          </w:tcPr>
          <w:p w14:paraId="5F8A9D96"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chr19:40739755</w:t>
            </w:r>
          </w:p>
        </w:tc>
        <w:tc>
          <w:tcPr>
            <w:tcW w:w="881" w:type="dxa"/>
            <w:shd w:val="clear" w:color="auto" w:fill="FFFFFF"/>
            <w:vAlign w:val="bottom"/>
          </w:tcPr>
          <w:p w14:paraId="63CC66D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1179" w:type="dxa"/>
            <w:shd w:val="clear" w:color="auto" w:fill="FFFFFF"/>
            <w:vAlign w:val="bottom"/>
          </w:tcPr>
          <w:p w14:paraId="33927297" w14:textId="77777777" w:rsidR="00856E36" w:rsidRDefault="00A659E2" w:rsidP="00B114D3">
            <w:pPr>
              <w:jc w:val="both"/>
              <w:textAlignment w:val="bottom"/>
              <w:rPr>
                <w:rFonts w:ascii="Arial" w:hAnsi="Arial" w:cs="Arial"/>
                <w:color w:val="000000"/>
                <w:sz w:val="22"/>
                <w:szCs w:val="22"/>
                <w:lang w:val="en-IN"/>
              </w:rPr>
            </w:pPr>
            <w:r>
              <w:rPr>
                <w:rFonts w:ascii="Arial" w:hAnsi="Arial" w:cs="Arial"/>
                <w:color w:val="000000"/>
                <w:sz w:val="22"/>
                <w:szCs w:val="22"/>
                <w:lang w:val="en-IN"/>
              </w:rPr>
              <w:t>7.76E-08</w:t>
            </w:r>
          </w:p>
        </w:tc>
        <w:tc>
          <w:tcPr>
            <w:tcW w:w="1773" w:type="dxa"/>
            <w:shd w:val="clear" w:color="auto" w:fill="FFFFFF"/>
            <w:vAlign w:val="bottom"/>
          </w:tcPr>
          <w:p w14:paraId="1442E9F1"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95%:0.94</w:t>
            </w:r>
          </w:p>
        </w:tc>
        <w:tc>
          <w:tcPr>
            <w:tcW w:w="1450" w:type="dxa"/>
            <w:shd w:val="clear" w:color="auto" w:fill="FFFFFF"/>
            <w:vAlign w:val="bottom"/>
          </w:tcPr>
          <w:p w14:paraId="66158948"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11</w:t>
            </w:r>
          </w:p>
        </w:tc>
        <w:tc>
          <w:tcPr>
            <w:tcW w:w="948" w:type="dxa"/>
            <w:shd w:val="clear" w:color="auto" w:fill="FFFFFF"/>
            <w:vAlign w:val="bottom"/>
          </w:tcPr>
          <w:p w14:paraId="63407AFA"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624" w:type="dxa"/>
            <w:shd w:val="clear" w:color="auto" w:fill="FFFFFF"/>
            <w:vAlign w:val="bottom"/>
          </w:tcPr>
          <w:p w14:paraId="3BBAB145"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q</w:t>
            </w:r>
          </w:p>
        </w:tc>
      </w:tr>
      <w:tr w:rsidR="00856E36" w14:paraId="4410F918" w14:textId="77777777">
        <w:trPr>
          <w:trHeight w:val="547"/>
        </w:trPr>
        <w:tc>
          <w:tcPr>
            <w:tcW w:w="976" w:type="dxa"/>
            <w:shd w:val="clear" w:color="auto" w:fill="FFFFFF"/>
            <w:vAlign w:val="bottom"/>
          </w:tcPr>
          <w:p w14:paraId="2E2EB13F"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AXL</w:t>
            </w:r>
          </w:p>
        </w:tc>
        <w:tc>
          <w:tcPr>
            <w:tcW w:w="1504" w:type="dxa"/>
            <w:shd w:val="clear" w:color="auto" w:fill="FFFFFF"/>
            <w:vAlign w:val="bottom"/>
          </w:tcPr>
          <w:p w14:paraId="50528871"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chr19:41725295</w:t>
            </w:r>
          </w:p>
        </w:tc>
        <w:tc>
          <w:tcPr>
            <w:tcW w:w="881" w:type="dxa"/>
            <w:shd w:val="clear" w:color="auto" w:fill="FFFFFF"/>
            <w:vAlign w:val="bottom"/>
          </w:tcPr>
          <w:p w14:paraId="094926A1"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1179" w:type="dxa"/>
            <w:shd w:val="clear" w:color="auto" w:fill="FFFFFF"/>
            <w:vAlign w:val="bottom"/>
          </w:tcPr>
          <w:p w14:paraId="565B9E37" w14:textId="77777777" w:rsidR="00856E36" w:rsidRDefault="00A659E2" w:rsidP="00B114D3">
            <w:pPr>
              <w:jc w:val="center"/>
              <w:textAlignment w:val="bottom"/>
              <w:rPr>
                <w:rFonts w:ascii="Arial" w:hAnsi="Arial" w:cs="Arial"/>
                <w:color w:val="000000"/>
                <w:sz w:val="22"/>
                <w:szCs w:val="22"/>
                <w:lang w:val="en-IN"/>
              </w:rPr>
            </w:pPr>
            <w:r>
              <w:rPr>
                <w:rFonts w:ascii="Arial" w:eastAsia="SimSun" w:hAnsi="Arial" w:cs="Arial"/>
                <w:color w:val="000000"/>
                <w:sz w:val="22"/>
                <w:szCs w:val="22"/>
                <w:lang w:val="en-IN" w:bidi="ar"/>
              </w:rPr>
              <w:t>9.98E-08</w:t>
            </w:r>
          </w:p>
        </w:tc>
        <w:tc>
          <w:tcPr>
            <w:tcW w:w="1773" w:type="dxa"/>
            <w:shd w:val="clear" w:color="auto" w:fill="FFFFFF"/>
            <w:vAlign w:val="bottom"/>
          </w:tcPr>
          <w:p w14:paraId="13D198DF"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95%:0.96</w:t>
            </w:r>
          </w:p>
        </w:tc>
        <w:tc>
          <w:tcPr>
            <w:tcW w:w="1450" w:type="dxa"/>
            <w:shd w:val="clear" w:color="auto" w:fill="FFFFFF"/>
            <w:vAlign w:val="bottom"/>
          </w:tcPr>
          <w:p w14:paraId="6AE26446"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11</w:t>
            </w:r>
          </w:p>
        </w:tc>
        <w:tc>
          <w:tcPr>
            <w:tcW w:w="948" w:type="dxa"/>
            <w:shd w:val="clear" w:color="auto" w:fill="FFFFFF"/>
            <w:vAlign w:val="bottom"/>
          </w:tcPr>
          <w:p w14:paraId="0A2DB34A" w14:textId="77777777" w:rsidR="00856E36" w:rsidRDefault="00A659E2" w:rsidP="00B114D3">
            <w:pPr>
              <w:jc w:val="center"/>
              <w:textAlignment w:val="bottom"/>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624" w:type="dxa"/>
            <w:shd w:val="clear" w:color="auto" w:fill="FFFFFF"/>
            <w:vAlign w:val="bottom"/>
          </w:tcPr>
          <w:p w14:paraId="1643DA0E"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q</w:t>
            </w:r>
          </w:p>
        </w:tc>
      </w:tr>
      <w:tr w:rsidR="00856E36" w14:paraId="3412D249" w14:textId="77777777">
        <w:trPr>
          <w:trHeight w:val="547"/>
        </w:trPr>
        <w:tc>
          <w:tcPr>
            <w:tcW w:w="976" w:type="dxa"/>
            <w:shd w:val="clear" w:color="auto" w:fill="FFFFFF"/>
            <w:vAlign w:val="bottom"/>
          </w:tcPr>
          <w:p w14:paraId="5A30D56D"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ERCC2</w:t>
            </w:r>
          </w:p>
        </w:tc>
        <w:tc>
          <w:tcPr>
            <w:tcW w:w="1504" w:type="dxa"/>
            <w:shd w:val="clear" w:color="auto" w:fill="FFFFFF"/>
            <w:vAlign w:val="bottom"/>
          </w:tcPr>
          <w:p w14:paraId="1E7889EC"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chr19:45855711</w:t>
            </w:r>
          </w:p>
        </w:tc>
        <w:tc>
          <w:tcPr>
            <w:tcW w:w="881" w:type="dxa"/>
            <w:shd w:val="clear" w:color="auto" w:fill="FFFFFF"/>
            <w:vAlign w:val="bottom"/>
          </w:tcPr>
          <w:p w14:paraId="114FD59D"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1179" w:type="dxa"/>
            <w:shd w:val="clear" w:color="auto" w:fill="FFFFFF"/>
            <w:vAlign w:val="bottom"/>
          </w:tcPr>
          <w:p w14:paraId="3EC2A853"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0.0004424</w:t>
            </w:r>
          </w:p>
        </w:tc>
        <w:tc>
          <w:tcPr>
            <w:tcW w:w="1773" w:type="dxa"/>
            <w:shd w:val="clear" w:color="auto" w:fill="FFFFFF"/>
            <w:vAlign w:val="bottom"/>
          </w:tcPr>
          <w:p w14:paraId="4CC04C26"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95%:0.77</w:t>
            </w:r>
          </w:p>
        </w:tc>
        <w:tc>
          <w:tcPr>
            <w:tcW w:w="1450" w:type="dxa"/>
            <w:shd w:val="clear" w:color="auto" w:fill="FFFFFF"/>
            <w:vAlign w:val="bottom"/>
          </w:tcPr>
          <w:p w14:paraId="0836190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w:t>
            </w:r>
          </w:p>
        </w:tc>
        <w:tc>
          <w:tcPr>
            <w:tcW w:w="948" w:type="dxa"/>
            <w:shd w:val="clear" w:color="auto" w:fill="FFFFFF"/>
            <w:vAlign w:val="bottom"/>
          </w:tcPr>
          <w:p w14:paraId="1E6B2FD6"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624" w:type="dxa"/>
            <w:shd w:val="clear" w:color="auto" w:fill="FFFFFF"/>
            <w:vAlign w:val="bottom"/>
          </w:tcPr>
          <w:p w14:paraId="1116D5C0"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q</w:t>
            </w:r>
          </w:p>
        </w:tc>
      </w:tr>
      <w:tr w:rsidR="00856E36" w14:paraId="68F3984E" w14:textId="77777777">
        <w:trPr>
          <w:trHeight w:val="547"/>
        </w:trPr>
        <w:tc>
          <w:tcPr>
            <w:tcW w:w="976" w:type="dxa"/>
            <w:shd w:val="clear" w:color="auto" w:fill="FFFFFF"/>
            <w:vAlign w:val="bottom"/>
          </w:tcPr>
          <w:p w14:paraId="511A0273"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CCNE1</w:t>
            </w:r>
          </w:p>
        </w:tc>
        <w:tc>
          <w:tcPr>
            <w:tcW w:w="1504" w:type="dxa"/>
            <w:shd w:val="clear" w:color="auto" w:fill="FFFFFF"/>
            <w:vAlign w:val="bottom"/>
          </w:tcPr>
          <w:p w14:paraId="6DDCDE00"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chr19:30303882</w:t>
            </w:r>
          </w:p>
        </w:tc>
        <w:tc>
          <w:tcPr>
            <w:tcW w:w="881" w:type="dxa"/>
            <w:shd w:val="clear" w:color="auto" w:fill="FFFFFF"/>
            <w:vAlign w:val="bottom"/>
          </w:tcPr>
          <w:p w14:paraId="4D3D993D"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1179" w:type="dxa"/>
            <w:shd w:val="clear" w:color="auto" w:fill="FFFFFF"/>
            <w:vAlign w:val="bottom"/>
          </w:tcPr>
          <w:p w14:paraId="4F2CA116"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2.433E-07</w:t>
            </w:r>
          </w:p>
        </w:tc>
        <w:tc>
          <w:tcPr>
            <w:tcW w:w="1773" w:type="dxa"/>
            <w:shd w:val="clear" w:color="auto" w:fill="FFFFFF"/>
            <w:vAlign w:val="bottom"/>
          </w:tcPr>
          <w:p w14:paraId="7E2CA05B"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95%:0.44</w:t>
            </w:r>
          </w:p>
        </w:tc>
        <w:tc>
          <w:tcPr>
            <w:tcW w:w="1450" w:type="dxa"/>
            <w:shd w:val="clear" w:color="auto" w:fill="FFFFFF"/>
            <w:vAlign w:val="bottom"/>
          </w:tcPr>
          <w:p w14:paraId="1110BB52"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10</w:t>
            </w:r>
          </w:p>
        </w:tc>
        <w:tc>
          <w:tcPr>
            <w:tcW w:w="948" w:type="dxa"/>
            <w:shd w:val="clear" w:color="auto" w:fill="FFFFFF"/>
            <w:vAlign w:val="bottom"/>
          </w:tcPr>
          <w:p w14:paraId="49EF00CB"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624" w:type="dxa"/>
            <w:shd w:val="clear" w:color="auto" w:fill="FFFFFF"/>
            <w:vAlign w:val="bottom"/>
          </w:tcPr>
          <w:p w14:paraId="70FE5AF0"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q</w:t>
            </w:r>
          </w:p>
        </w:tc>
      </w:tr>
      <w:tr w:rsidR="00856E36" w14:paraId="589233E8" w14:textId="77777777">
        <w:trPr>
          <w:trHeight w:val="577"/>
        </w:trPr>
        <w:tc>
          <w:tcPr>
            <w:tcW w:w="976" w:type="dxa"/>
            <w:shd w:val="clear" w:color="auto" w:fill="FFFFFF"/>
            <w:vAlign w:val="bottom"/>
          </w:tcPr>
          <w:p w14:paraId="6426D08F"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PPP2R1A</w:t>
            </w:r>
          </w:p>
        </w:tc>
        <w:tc>
          <w:tcPr>
            <w:tcW w:w="1504" w:type="dxa"/>
            <w:shd w:val="clear" w:color="auto" w:fill="FFFFFF"/>
            <w:vAlign w:val="bottom"/>
          </w:tcPr>
          <w:p w14:paraId="401BF130"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chr19:52715952</w:t>
            </w:r>
          </w:p>
        </w:tc>
        <w:tc>
          <w:tcPr>
            <w:tcW w:w="881" w:type="dxa"/>
            <w:shd w:val="clear" w:color="auto" w:fill="FFFFFF"/>
            <w:vAlign w:val="bottom"/>
          </w:tcPr>
          <w:p w14:paraId="0B00A637"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ABSENT</w:t>
            </w:r>
          </w:p>
        </w:tc>
        <w:tc>
          <w:tcPr>
            <w:tcW w:w="1179" w:type="dxa"/>
            <w:shd w:val="clear" w:color="auto" w:fill="FFFFFF"/>
            <w:vAlign w:val="bottom"/>
          </w:tcPr>
          <w:p w14:paraId="32F5556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0.01855</w:t>
            </w:r>
          </w:p>
        </w:tc>
        <w:tc>
          <w:tcPr>
            <w:tcW w:w="1773" w:type="dxa"/>
            <w:shd w:val="clear" w:color="auto" w:fill="FFFFFF"/>
            <w:vAlign w:val="bottom"/>
          </w:tcPr>
          <w:p w14:paraId="08DA7749"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5%:0, 95%:1.21</w:t>
            </w:r>
          </w:p>
        </w:tc>
        <w:tc>
          <w:tcPr>
            <w:tcW w:w="1450" w:type="dxa"/>
            <w:shd w:val="clear" w:color="auto" w:fill="FFFFFF"/>
            <w:vAlign w:val="bottom"/>
          </w:tcPr>
          <w:p w14:paraId="401EF2B4"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2</w:t>
            </w:r>
          </w:p>
        </w:tc>
        <w:tc>
          <w:tcPr>
            <w:tcW w:w="948" w:type="dxa"/>
            <w:shd w:val="clear" w:color="auto" w:fill="FFFFFF"/>
            <w:vAlign w:val="bottom"/>
          </w:tcPr>
          <w:p w14:paraId="7E51AC4B" w14:textId="77777777" w:rsidR="00856E36" w:rsidRDefault="00A659E2" w:rsidP="00B114D3">
            <w:pPr>
              <w:jc w:val="center"/>
              <w:textAlignment w:val="bottom"/>
              <w:rPr>
                <w:rFonts w:ascii="Arial" w:hAnsi="Arial" w:cs="Arial"/>
                <w:color w:val="000000"/>
                <w:sz w:val="22"/>
                <w:szCs w:val="22"/>
              </w:rPr>
            </w:pPr>
            <w:r>
              <w:rPr>
                <w:rFonts w:ascii="Arial" w:eastAsia="SimSun" w:hAnsi="Arial" w:cs="Arial"/>
                <w:color w:val="000000"/>
                <w:sz w:val="22"/>
                <w:szCs w:val="22"/>
                <w:lang w:bidi="ar"/>
              </w:rPr>
              <w:t>Probable</w:t>
            </w:r>
          </w:p>
        </w:tc>
        <w:tc>
          <w:tcPr>
            <w:tcW w:w="624" w:type="dxa"/>
            <w:shd w:val="clear" w:color="auto" w:fill="FFFFFF"/>
            <w:vAlign w:val="bottom"/>
          </w:tcPr>
          <w:p w14:paraId="1E4BAF56" w14:textId="77777777" w:rsidR="00856E36" w:rsidRDefault="00A659E2" w:rsidP="00B114D3">
            <w:pPr>
              <w:jc w:val="center"/>
              <w:rPr>
                <w:rFonts w:ascii="Arial" w:hAnsi="Arial" w:cs="Arial"/>
                <w:color w:val="000000"/>
                <w:sz w:val="22"/>
                <w:szCs w:val="22"/>
              </w:rPr>
            </w:pPr>
            <w:r>
              <w:rPr>
                <w:rFonts w:ascii="Arial" w:hAnsi="Arial" w:cs="Arial"/>
                <w:color w:val="000000"/>
                <w:sz w:val="22"/>
                <w:szCs w:val="22"/>
              </w:rPr>
              <w:t>q</w:t>
            </w:r>
          </w:p>
        </w:tc>
      </w:tr>
    </w:tbl>
    <w:p w14:paraId="7BDE37ED" w14:textId="77777777" w:rsidR="00856E36" w:rsidRDefault="00A659E2" w:rsidP="00B114D3">
      <w:pPr>
        <w:tabs>
          <w:tab w:val="left" w:pos="425"/>
        </w:tabs>
        <w:jc w:val="both"/>
        <w:rPr>
          <w:rStyle w:val="Strong"/>
          <w:rFonts w:ascii="Arial" w:hAnsi="Arial" w:cs="Arial"/>
          <w:b w:val="0"/>
          <w:bCs w:val="0"/>
          <w:sz w:val="22"/>
          <w:szCs w:val="22"/>
          <w:lang w:val="en-IN"/>
        </w:rPr>
      </w:pPr>
      <w:r>
        <w:rPr>
          <w:rFonts w:ascii="Arial" w:hAnsi="Arial" w:cs="Arial"/>
          <w:b/>
          <w:bCs/>
          <w:sz w:val="22"/>
          <w:szCs w:val="22"/>
          <w:lang w:val="en-IN"/>
        </w:rPr>
        <w:t xml:space="preserve">Table </w:t>
      </w:r>
      <w:proofErr w:type="gramStart"/>
      <w:r>
        <w:rPr>
          <w:rFonts w:ascii="Arial" w:hAnsi="Arial" w:cs="Arial"/>
          <w:b/>
          <w:bCs/>
          <w:sz w:val="22"/>
          <w:szCs w:val="22"/>
          <w:lang w:val="en-IN"/>
        </w:rPr>
        <w:t>7:-</w:t>
      </w:r>
      <w:proofErr w:type="gramEnd"/>
      <w:r>
        <w:rPr>
          <w:rFonts w:ascii="Arial" w:hAnsi="Arial" w:cs="Arial"/>
          <w:b/>
          <w:bCs/>
          <w:sz w:val="22"/>
          <w:szCs w:val="22"/>
          <w:lang w:val="en-IN"/>
        </w:rPr>
        <w:t xml:space="preserve"> Assessment of 1p/19q arm–specific gene co-deletion using CNV-NGS analysis</w:t>
      </w:r>
    </w:p>
    <w:p w14:paraId="1714677A" w14:textId="77777777" w:rsidR="00856E36" w:rsidRDefault="00856E36" w:rsidP="00B114D3">
      <w:pPr>
        <w:jc w:val="both"/>
        <w:rPr>
          <w:rFonts w:ascii="Arial" w:eastAsia="SimSun" w:hAnsi="Arial" w:cs="Arial"/>
          <w:sz w:val="22"/>
          <w:szCs w:val="22"/>
        </w:rPr>
      </w:pPr>
    </w:p>
    <w:p w14:paraId="04D267D9" w14:textId="77777777" w:rsidR="00856E36" w:rsidRDefault="00856E36" w:rsidP="00B114D3">
      <w:pPr>
        <w:jc w:val="both"/>
        <w:rPr>
          <w:rFonts w:ascii="Arial" w:eastAsia="SimSun" w:hAnsi="Arial" w:cs="Arial"/>
          <w:sz w:val="22"/>
          <w:szCs w:val="22"/>
        </w:rPr>
      </w:pPr>
    </w:p>
    <w:p w14:paraId="16E6AFF9" w14:textId="77777777" w:rsidR="00856E36" w:rsidRDefault="00A659E2" w:rsidP="00B114D3">
      <w:pPr>
        <w:jc w:val="both"/>
        <w:rPr>
          <w:rFonts w:ascii="Arial" w:eastAsia="SimSun" w:hAnsi="Arial" w:cs="Arial"/>
          <w:sz w:val="22"/>
          <w:szCs w:val="22"/>
        </w:rPr>
      </w:pPr>
      <w:r>
        <w:rPr>
          <w:rFonts w:ascii="Arial" w:eastAsia="SimSun" w:hAnsi="Arial" w:cs="Arial"/>
          <w:sz w:val="22"/>
          <w:szCs w:val="22"/>
        </w:rPr>
        <w:t xml:space="preserve">In CNV analysis by NGS, a “Call: ABSENT” across all six samples indicates the absence of statistically significant CNVs (deletions or amplifications) at the assessed loci relative to a diploid reference. Although these tumors were IDH-mutant and ATRX-retained, the consistent absence of CNV calls across the 1p/19q regions precludes classification as oligodendroglioma, as WHO 2021 criteria require complete whole-arm 1p/19q co-deletion for this </w:t>
      </w:r>
      <w:proofErr w:type="gramStart"/>
      <w:r>
        <w:rPr>
          <w:rFonts w:ascii="Arial" w:eastAsia="SimSun" w:hAnsi="Arial" w:cs="Arial"/>
          <w:sz w:val="22"/>
          <w:szCs w:val="22"/>
        </w:rPr>
        <w:t>diagnosis</w:t>
      </w:r>
      <w:r>
        <w:rPr>
          <w:rFonts w:ascii="Arial" w:eastAsia="SimSun" w:hAnsi="Arial" w:cs="Arial"/>
          <w:sz w:val="22"/>
          <w:szCs w:val="22"/>
          <w:lang w:val="en-IN"/>
        </w:rPr>
        <w:t xml:space="preserve">( </w:t>
      </w:r>
      <w:proofErr w:type="spellStart"/>
      <w:r>
        <w:rPr>
          <w:rFonts w:ascii="Arial" w:eastAsia="SimSun" w:hAnsi="Arial" w:cs="Arial"/>
          <w:sz w:val="22"/>
          <w:szCs w:val="22"/>
          <w:lang w:val="en-IN"/>
        </w:rPr>
        <w:t>Sejda</w:t>
      </w:r>
      <w:proofErr w:type="spellEnd"/>
      <w:proofErr w:type="gramEnd"/>
      <w:r>
        <w:rPr>
          <w:rFonts w:ascii="Arial" w:eastAsia="SimSun" w:hAnsi="Arial" w:cs="Arial"/>
          <w:sz w:val="22"/>
          <w:szCs w:val="22"/>
          <w:lang w:val="en-IN"/>
        </w:rPr>
        <w:t xml:space="preserve"> et al., 2023)</w:t>
      </w:r>
      <w:r>
        <w:rPr>
          <w:rFonts w:ascii="Arial" w:eastAsia="SimSun" w:hAnsi="Arial" w:cs="Arial"/>
          <w:sz w:val="22"/>
          <w:szCs w:val="22"/>
        </w:rPr>
        <w:t>.</w:t>
      </w:r>
    </w:p>
    <w:p w14:paraId="2AF9A984" w14:textId="77777777" w:rsidR="00856E36" w:rsidRDefault="00856E36" w:rsidP="00B114D3">
      <w:pPr>
        <w:jc w:val="both"/>
        <w:rPr>
          <w:rFonts w:ascii="Arial" w:eastAsia="SimSun" w:hAnsi="Arial" w:cs="Arial"/>
          <w:sz w:val="22"/>
          <w:szCs w:val="22"/>
        </w:rPr>
      </w:pPr>
    </w:p>
    <w:p w14:paraId="46E9006C" w14:textId="77777777" w:rsidR="00856E36" w:rsidRDefault="00856E36" w:rsidP="00B114D3">
      <w:pPr>
        <w:jc w:val="both"/>
        <w:rPr>
          <w:rFonts w:ascii="Arial" w:eastAsia="SimSun" w:hAnsi="Arial" w:cs="Arial"/>
          <w:sz w:val="22"/>
          <w:szCs w:val="22"/>
        </w:rPr>
      </w:pPr>
    </w:p>
    <w:p w14:paraId="73C21668" w14:textId="77777777" w:rsidR="00856E36" w:rsidRDefault="00A659E2" w:rsidP="00B114D3">
      <w:pPr>
        <w:pStyle w:val="Heading2"/>
        <w:numPr>
          <w:ilvl w:val="0"/>
          <w:numId w:val="6"/>
        </w:numPr>
        <w:tabs>
          <w:tab w:val="clear" w:pos="420"/>
        </w:tabs>
        <w:spacing w:beforeAutospacing="0" w:afterAutospacing="0"/>
        <w:rPr>
          <w:rStyle w:val="Strong"/>
          <w:rFonts w:ascii="Arial" w:hAnsi="Arial" w:cs="Arial" w:hint="default"/>
          <w:b/>
          <w:bCs/>
          <w:sz w:val="22"/>
          <w:szCs w:val="22"/>
        </w:rPr>
      </w:pPr>
      <w:r>
        <w:rPr>
          <w:rStyle w:val="Strong"/>
          <w:rFonts w:ascii="Arial" w:hAnsi="Arial" w:cs="Arial" w:hint="default"/>
          <w:b/>
          <w:bCs/>
          <w:sz w:val="22"/>
          <w:szCs w:val="22"/>
        </w:rPr>
        <w:t>Discussion</w:t>
      </w:r>
    </w:p>
    <w:p w14:paraId="77E2988D" w14:textId="77777777" w:rsidR="00856E36" w:rsidRDefault="00A659E2" w:rsidP="00B114D3">
      <w:pPr>
        <w:pStyle w:val="Heading2"/>
        <w:tabs>
          <w:tab w:val="left" w:pos="420"/>
        </w:tabs>
        <w:spacing w:beforeAutospacing="0" w:afterAutospacing="0"/>
        <w:jc w:val="both"/>
        <w:rPr>
          <w:rFonts w:ascii="Arial" w:hAnsi="Arial" w:cs="Arial" w:hint="default"/>
          <w:b w:val="0"/>
          <w:bCs w:val="0"/>
          <w:sz w:val="22"/>
          <w:szCs w:val="22"/>
        </w:rPr>
      </w:pPr>
      <w:r>
        <w:rPr>
          <w:rFonts w:ascii="Arial" w:hAnsi="Arial" w:cs="Arial" w:hint="default"/>
          <w:b w:val="0"/>
          <w:bCs w:val="0"/>
          <w:sz w:val="22"/>
          <w:szCs w:val="22"/>
        </w:rPr>
        <w:t>The WHO 2021 (CNS5) classification has fundamentally reshaped the diagnosis of diffuse gliomas by prioritizing molecular features over histology alone, particularly for oligodendrogliomas, which now require the mandatory presence of IDH mutation and whole-arm 1p/19q co-deletion for diagnosis</w:t>
      </w:r>
      <w:r>
        <w:rPr>
          <w:rFonts w:ascii="Arial" w:hAnsi="Arial" w:cs="Arial" w:hint="default"/>
          <w:b w:val="0"/>
          <w:bCs w:val="0"/>
          <w:sz w:val="22"/>
          <w:szCs w:val="22"/>
          <w:lang w:val="en-IN"/>
        </w:rPr>
        <w:t xml:space="preserve"> (Reuss 2023)</w:t>
      </w:r>
      <w:r>
        <w:rPr>
          <w:rFonts w:ascii="Arial" w:hAnsi="Arial" w:cs="Arial" w:hint="default"/>
          <w:b w:val="0"/>
          <w:bCs w:val="0"/>
          <w:sz w:val="22"/>
          <w:szCs w:val="22"/>
        </w:rPr>
        <w:t xml:space="preserve">. This integrated diagnostic paradigm shifts away from the subjective variability inherent in morphological assessment, reducing inter-observer discordance rates that historically exceeded 20-30% in glioma classifications. By mandating these molecular hallmarks, the CNS5 framework enhances prognostic accuracy, as IDH-mutant, 1p/19q-codeleted oligodendrogliomas exhibit distinctly favorable outcomes compared to IDH-mutant </w:t>
      </w:r>
      <w:proofErr w:type="spellStart"/>
      <w:r>
        <w:rPr>
          <w:rFonts w:ascii="Arial" w:hAnsi="Arial" w:cs="Arial" w:hint="default"/>
          <w:b w:val="0"/>
          <w:bCs w:val="0"/>
          <w:sz w:val="22"/>
          <w:szCs w:val="22"/>
        </w:rPr>
        <w:t>astrocytomas</w:t>
      </w:r>
      <w:proofErr w:type="spellEnd"/>
      <w:r>
        <w:rPr>
          <w:rFonts w:ascii="Arial" w:hAnsi="Arial" w:cs="Arial" w:hint="default"/>
          <w:b w:val="0"/>
          <w:bCs w:val="0"/>
          <w:sz w:val="22"/>
          <w:szCs w:val="22"/>
        </w:rPr>
        <w:t xml:space="preserve"> or IDH-wild type glioblastomas</w:t>
      </w:r>
      <w:r>
        <w:rPr>
          <w:rFonts w:ascii="Arial" w:hAnsi="Arial" w:cs="Arial" w:hint="default"/>
          <w:b w:val="0"/>
          <w:bCs w:val="0"/>
          <w:sz w:val="22"/>
          <w:szCs w:val="22"/>
          <w:lang w:val="en-IN"/>
        </w:rPr>
        <w:t xml:space="preserve"> (Kessler et al., 2023). </w:t>
      </w:r>
      <w:r>
        <w:rPr>
          <w:rFonts w:ascii="Arial" w:hAnsi="Arial" w:cs="Arial" w:hint="default"/>
          <w:b w:val="0"/>
          <w:bCs w:val="0"/>
          <w:sz w:val="22"/>
          <w:szCs w:val="22"/>
        </w:rPr>
        <w:t xml:space="preserve"> </w:t>
      </w:r>
    </w:p>
    <w:p w14:paraId="4B035454" w14:textId="77777777" w:rsidR="00856E36" w:rsidRDefault="00856E36" w:rsidP="00B114D3">
      <w:pPr>
        <w:jc w:val="both"/>
        <w:rPr>
          <w:rFonts w:ascii="Arial" w:hAnsi="Arial" w:cs="Arial"/>
          <w:sz w:val="22"/>
          <w:szCs w:val="22"/>
        </w:rPr>
      </w:pPr>
    </w:p>
    <w:p w14:paraId="59C70523" w14:textId="77777777" w:rsidR="00856E36" w:rsidRDefault="00A659E2" w:rsidP="00B114D3">
      <w:pPr>
        <w:jc w:val="both"/>
        <w:rPr>
          <w:rFonts w:ascii="Arial" w:hAnsi="Arial" w:cs="Arial"/>
          <w:sz w:val="22"/>
          <w:szCs w:val="22"/>
          <w:lang w:val="en-IN"/>
        </w:rPr>
      </w:pPr>
      <w:r>
        <w:rPr>
          <w:rFonts w:ascii="Arial" w:hAnsi="Arial"/>
          <w:sz w:val="22"/>
          <w:szCs w:val="22"/>
        </w:rPr>
        <w:t xml:space="preserve">Next-generation sequencing (NGS) provided deeper molecular resolution than immunohistochemistry (IHC), revealing that several tumors initially classified as oligodendroglioma lacked defining genomic features. Some cases were IDH-wildtype or did not demonstrate whole-arm 1p/19q codeletion, supporting reclassification toward astrocytic lineage. NGS simultaneously detects point mutations, copy number variations, and large-scale chromosomal alterations, enabling more accurate tumor stratification. </w:t>
      </w:r>
      <w:r>
        <w:rPr>
          <w:rFonts w:ascii="Arial" w:hAnsi="Arial"/>
          <w:sz w:val="22"/>
          <w:szCs w:val="22"/>
          <w:lang w:val="en-IN"/>
        </w:rPr>
        <w:t>Thus,</w:t>
      </w:r>
      <w:r>
        <w:rPr>
          <w:rFonts w:ascii="Arial" w:hAnsi="Arial"/>
          <w:sz w:val="22"/>
          <w:szCs w:val="22"/>
        </w:rPr>
        <w:t xml:space="preserve"> comprehensive sequencing-based profiling improves the distinction between </w:t>
      </w:r>
      <w:proofErr w:type="spellStart"/>
      <w:r>
        <w:rPr>
          <w:rFonts w:ascii="Arial" w:hAnsi="Arial"/>
          <w:sz w:val="22"/>
          <w:szCs w:val="22"/>
        </w:rPr>
        <w:t>oligodendroglial</w:t>
      </w:r>
      <w:proofErr w:type="spellEnd"/>
      <w:r>
        <w:rPr>
          <w:rFonts w:ascii="Arial" w:hAnsi="Arial"/>
          <w:sz w:val="22"/>
          <w:szCs w:val="22"/>
        </w:rPr>
        <w:t xml:space="preserve"> and astrocytic tumors by capturing critical structural and copy number changes that may be missed by conventional methods</w:t>
      </w:r>
      <w:r>
        <w:rPr>
          <w:rFonts w:ascii="Arial" w:hAnsi="Arial"/>
          <w:sz w:val="22"/>
          <w:szCs w:val="22"/>
          <w:lang w:val="en-IN"/>
        </w:rPr>
        <w:t xml:space="preserve"> (</w:t>
      </w:r>
      <w:proofErr w:type="spellStart"/>
      <w:r>
        <w:rPr>
          <w:rFonts w:ascii="Arial" w:eastAsia="SimSun" w:hAnsi="Arial" w:cs="Arial"/>
          <w:sz w:val="22"/>
          <w:szCs w:val="22"/>
          <w:shd w:val="clear" w:color="auto" w:fill="FFFFFF"/>
        </w:rPr>
        <w:t>Guarnaccia</w:t>
      </w:r>
      <w:proofErr w:type="spellEnd"/>
      <w:r>
        <w:rPr>
          <w:rFonts w:ascii="Arial" w:eastAsia="SimSun" w:hAnsi="Arial" w:cs="Arial"/>
          <w:sz w:val="22"/>
          <w:szCs w:val="22"/>
          <w:shd w:val="clear" w:color="auto" w:fill="FFFFFF"/>
          <w:lang w:val="en-IN"/>
        </w:rPr>
        <w:t xml:space="preserve"> et al., 2022)</w:t>
      </w:r>
      <w:r>
        <w:rPr>
          <w:rFonts w:ascii="Arial" w:hAnsi="Arial"/>
          <w:sz w:val="22"/>
          <w:szCs w:val="22"/>
        </w:rPr>
        <w:t>.</w:t>
      </w:r>
      <w:r>
        <w:rPr>
          <w:rFonts w:ascii="Arial" w:hAnsi="Arial" w:cs="Arial"/>
          <w:sz w:val="22"/>
          <w:szCs w:val="22"/>
          <w:lang w:val="en-IN"/>
        </w:rPr>
        <w:t xml:space="preserve"> </w:t>
      </w:r>
    </w:p>
    <w:p w14:paraId="431CFBC3" w14:textId="77777777" w:rsidR="00856E36" w:rsidRDefault="00856E36" w:rsidP="00B114D3">
      <w:pPr>
        <w:jc w:val="both"/>
        <w:rPr>
          <w:rFonts w:ascii="Arial" w:hAnsi="Arial" w:cs="Arial"/>
          <w:sz w:val="22"/>
          <w:szCs w:val="22"/>
          <w:lang w:val="en-IN"/>
        </w:rPr>
      </w:pPr>
    </w:p>
    <w:p w14:paraId="49F33ED5" w14:textId="77777777" w:rsidR="00856E36" w:rsidRDefault="00A659E2" w:rsidP="00B114D3">
      <w:pPr>
        <w:jc w:val="both"/>
        <w:rPr>
          <w:rFonts w:ascii="Arial" w:hAnsi="Arial" w:cs="Arial"/>
          <w:sz w:val="22"/>
          <w:szCs w:val="22"/>
          <w:lang w:val="en-IN"/>
        </w:rPr>
      </w:pPr>
      <w:r>
        <w:rPr>
          <w:rFonts w:ascii="Arial" w:hAnsi="Arial"/>
          <w:sz w:val="22"/>
          <w:szCs w:val="22"/>
        </w:rPr>
        <w:lastRenderedPageBreak/>
        <w:t>NGS-based SNV analysis revealed a molecular landscape dominated by TP53 (13.3%), IDH1 and ATRX (each 10.3%), and TERT (8.6%) alterations. This mutation pattern is strongly indicative of IDH-mutant astrocytoma rather than oligodendroglioma (</w:t>
      </w:r>
      <w:proofErr w:type="spellStart"/>
      <w:r>
        <w:rPr>
          <w:rFonts w:ascii="Arial" w:hAnsi="Arial"/>
          <w:sz w:val="22"/>
          <w:szCs w:val="22"/>
        </w:rPr>
        <w:t>Houssaini</w:t>
      </w:r>
      <w:proofErr w:type="spellEnd"/>
      <w:r>
        <w:rPr>
          <w:rFonts w:ascii="Arial" w:hAnsi="Arial"/>
          <w:sz w:val="22"/>
          <w:szCs w:val="22"/>
        </w:rPr>
        <w:t xml:space="preserve"> et al., 2024). The co-occurrence of TP53 and ATRX mutations is a well-established hallmark of astrocytic tumors and supports lineage-specific classification. These findings closely mirror large-scale genomic observations from The Cancer Genome Atlas, where TP53 and ATRX co-mutations are reported in the majority of IDH-mutant </w:t>
      </w:r>
      <w:proofErr w:type="spellStart"/>
      <w:r>
        <w:rPr>
          <w:rFonts w:ascii="Arial" w:hAnsi="Arial"/>
          <w:sz w:val="22"/>
          <w:szCs w:val="22"/>
        </w:rPr>
        <w:t>astrocytomas</w:t>
      </w:r>
      <w:proofErr w:type="spellEnd"/>
      <w:r>
        <w:rPr>
          <w:rFonts w:ascii="Arial" w:hAnsi="Arial"/>
          <w:sz w:val="22"/>
          <w:szCs w:val="22"/>
        </w:rPr>
        <w:t xml:space="preserve"> but are rarely detected in oligodendrogliomas. Such concordance with reference genomic datasets reinforces the diagnostic value of NGS in refining tumor classification, enabling more accurate molecular stratification, and supporting biologically informed distinctions between astrocytic and </w:t>
      </w:r>
      <w:proofErr w:type="spellStart"/>
      <w:r>
        <w:rPr>
          <w:rFonts w:ascii="Arial" w:hAnsi="Arial"/>
          <w:sz w:val="22"/>
          <w:szCs w:val="22"/>
        </w:rPr>
        <w:t>oligodendroglial</w:t>
      </w:r>
      <w:proofErr w:type="spellEnd"/>
      <w:r>
        <w:rPr>
          <w:rFonts w:ascii="Arial" w:hAnsi="Arial"/>
          <w:sz w:val="22"/>
          <w:szCs w:val="22"/>
        </w:rPr>
        <w:t xml:space="preserve"> </w:t>
      </w:r>
      <w:proofErr w:type="spellStart"/>
      <w:r>
        <w:rPr>
          <w:rFonts w:ascii="Arial" w:hAnsi="Arial"/>
          <w:sz w:val="22"/>
          <w:szCs w:val="22"/>
          <w:lang w:val="en-IN"/>
        </w:rPr>
        <w:t>tumors</w:t>
      </w:r>
      <w:proofErr w:type="spellEnd"/>
      <w:r>
        <w:rPr>
          <w:rFonts w:ascii="Arial" w:hAnsi="Arial"/>
          <w:sz w:val="22"/>
          <w:szCs w:val="22"/>
        </w:rPr>
        <w:t>.</w:t>
      </w:r>
      <w:r>
        <w:rPr>
          <w:rFonts w:ascii="Arial" w:hAnsi="Arial" w:cs="Arial"/>
          <w:sz w:val="22"/>
          <w:szCs w:val="22"/>
        </w:rPr>
        <w:t xml:space="preserve"> </w:t>
      </w:r>
      <w:r>
        <w:rPr>
          <w:rFonts w:ascii="Arial" w:hAnsi="Arial" w:cs="Arial"/>
          <w:sz w:val="22"/>
          <w:szCs w:val="22"/>
          <w:lang w:val="en-IN"/>
        </w:rPr>
        <w:t xml:space="preserve"> </w:t>
      </w:r>
    </w:p>
    <w:p w14:paraId="13BE46CD" w14:textId="77777777" w:rsidR="00856E36" w:rsidRDefault="00856E36" w:rsidP="00B114D3">
      <w:pPr>
        <w:jc w:val="both"/>
        <w:rPr>
          <w:rFonts w:ascii="Arial" w:hAnsi="Arial" w:cs="Arial"/>
          <w:sz w:val="22"/>
          <w:szCs w:val="22"/>
          <w:lang w:val="en-IN"/>
        </w:rPr>
      </w:pPr>
    </w:p>
    <w:p w14:paraId="05AEDCA6" w14:textId="77777777" w:rsidR="00856E36" w:rsidRDefault="00A659E2" w:rsidP="00B114D3">
      <w:pPr>
        <w:jc w:val="both"/>
        <w:rPr>
          <w:rFonts w:ascii="Arial" w:hAnsi="Arial" w:cs="Arial"/>
          <w:sz w:val="22"/>
          <w:szCs w:val="22"/>
        </w:rPr>
      </w:pPr>
      <w:r>
        <w:rPr>
          <w:rFonts w:ascii="Arial" w:hAnsi="Arial" w:cs="Arial"/>
          <w:sz w:val="22"/>
          <w:szCs w:val="22"/>
          <w:lang w:val="en-IN"/>
        </w:rPr>
        <w:t>Further, l</w:t>
      </w:r>
      <w:proofErr w:type="spellStart"/>
      <w:r>
        <w:rPr>
          <w:rFonts w:ascii="Arial" w:hAnsi="Arial" w:cs="Arial"/>
          <w:sz w:val="22"/>
          <w:szCs w:val="22"/>
        </w:rPr>
        <w:t>ower</w:t>
      </w:r>
      <w:proofErr w:type="spellEnd"/>
      <w:r>
        <w:rPr>
          <w:rFonts w:ascii="Arial" w:hAnsi="Arial" w:cs="Arial"/>
          <w:sz w:val="22"/>
          <w:szCs w:val="22"/>
        </w:rPr>
        <w:t xml:space="preserve">-frequency mutations involving PIK3CA, NOTCH1, FGFR3, MTOR, PIK3R1, and PTEN further support an astrocytic molecular bias. These genes converge on the RTK/PI3K/AKT/mTOR signaling pathway, which is reported to be enriched a in </w:t>
      </w:r>
      <w:proofErr w:type="spellStart"/>
      <w:r>
        <w:rPr>
          <w:rFonts w:ascii="Arial" w:hAnsi="Arial" w:cs="Arial"/>
          <w:sz w:val="22"/>
          <w:szCs w:val="22"/>
        </w:rPr>
        <w:t>astrocytomas</w:t>
      </w:r>
      <w:proofErr w:type="spellEnd"/>
      <w:r>
        <w:rPr>
          <w:rFonts w:ascii="Arial" w:hAnsi="Arial" w:cs="Arial"/>
          <w:sz w:val="22"/>
          <w:szCs w:val="22"/>
        </w:rPr>
        <w:t xml:space="preserve"> compared with oligodendrogliomas</w:t>
      </w:r>
      <w:r>
        <w:rPr>
          <w:rFonts w:ascii="Arial" w:hAnsi="Arial" w:cs="Arial"/>
          <w:sz w:val="22"/>
          <w:szCs w:val="22"/>
          <w:lang w:val="en-IN"/>
        </w:rPr>
        <w:t xml:space="preserve"> (Mohamed et al., 2022)</w:t>
      </w:r>
      <w:r>
        <w:rPr>
          <w:rFonts w:ascii="Arial" w:hAnsi="Arial" w:cs="Arial"/>
          <w:sz w:val="22"/>
          <w:szCs w:val="22"/>
        </w:rPr>
        <w:t xml:space="preserve">. NOTCH1 and FGFR3 alterations add layers of receptor tyrosine kinase (RTK) crosstalk, amplifying </w:t>
      </w:r>
      <w:proofErr w:type="spellStart"/>
      <w:r>
        <w:rPr>
          <w:rFonts w:ascii="Arial" w:hAnsi="Arial" w:cs="Arial"/>
          <w:sz w:val="22"/>
          <w:szCs w:val="22"/>
        </w:rPr>
        <w:t>gliomagenesis</w:t>
      </w:r>
      <w:proofErr w:type="spellEnd"/>
      <w:r>
        <w:rPr>
          <w:rFonts w:ascii="Arial" w:hAnsi="Arial" w:cs="Arial"/>
          <w:sz w:val="22"/>
          <w:szCs w:val="22"/>
        </w:rPr>
        <w:t xml:space="preserve"> in an IDH-mutant context</w:t>
      </w:r>
      <w:r>
        <w:rPr>
          <w:rFonts w:ascii="Arial" w:hAnsi="Arial" w:cs="Arial"/>
          <w:sz w:val="22"/>
          <w:szCs w:val="22"/>
          <w:lang w:val="en-IN"/>
        </w:rPr>
        <w:t xml:space="preserve"> </w:t>
      </w:r>
      <w:proofErr w:type="gramStart"/>
      <w:r>
        <w:rPr>
          <w:rFonts w:ascii="Arial" w:hAnsi="Arial" w:cs="Arial"/>
          <w:sz w:val="22"/>
          <w:szCs w:val="22"/>
          <w:lang w:val="en-IN"/>
        </w:rPr>
        <w:t>( D</w:t>
      </w:r>
      <w:proofErr w:type="gramEnd"/>
      <w:r>
        <w:rPr>
          <w:rFonts w:ascii="Arial" w:hAnsi="Arial" w:cs="Arial"/>
          <w:sz w:val="22"/>
          <w:szCs w:val="22"/>
          <w:lang w:val="en-IN"/>
        </w:rPr>
        <w:t>’ Amico ., et al 2022)</w:t>
      </w:r>
      <w:r>
        <w:rPr>
          <w:rFonts w:ascii="Arial" w:hAnsi="Arial" w:cs="Arial"/>
          <w:sz w:val="22"/>
          <w:szCs w:val="22"/>
        </w:rPr>
        <w:t xml:space="preserve">. PTEN loss, a frequent event, removes negative regulation of this axis, exacerbating aggressiveness. </w:t>
      </w:r>
      <w:r>
        <w:rPr>
          <w:rFonts w:ascii="Arial" w:hAnsi="Arial" w:cs="Arial"/>
          <w:sz w:val="22"/>
          <w:szCs w:val="22"/>
          <w:lang w:val="en-IN"/>
        </w:rPr>
        <w:t xml:space="preserve"> </w:t>
      </w:r>
      <w:r>
        <w:rPr>
          <w:rFonts w:ascii="Arial" w:hAnsi="Arial" w:cs="Arial"/>
          <w:sz w:val="22"/>
          <w:szCs w:val="22"/>
        </w:rPr>
        <w:t>The presence of these alterations highlights the biological heterogeneity of gliomas and reinforces the importance of pathway-level interpretation</w:t>
      </w:r>
      <w:r>
        <w:rPr>
          <w:rFonts w:ascii="Arial" w:hAnsi="Arial" w:cs="Arial"/>
          <w:sz w:val="22"/>
          <w:szCs w:val="22"/>
          <w:lang w:val="en-IN"/>
        </w:rPr>
        <w:t xml:space="preserve"> (</w:t>
      </w:r>
      <w:proofErr w:type="spellStart"/>
      <w:r>
        <w:rPr>
          <w:rFonts w:ascii="Arial" w:hAnsi="Arial" w:cs="Arial"/>
          <w:sz w:val="22"/>
          <w:szCs w:val="22"/>
          <w:lang w:val="en-IN"/>
        </w:rPr>
        <w:t>Davalan</w:t>
      </w:r>
      <w:proofErr w:type="spellEnd"/>
      <w:r>
        <w:rPr>
          <w:rFonts w:ascii="Arial" w:hAnsi="Arial" w:cs="Arial"/>
          <w:sz w:val="22"/>
          <w:szCs w:val="22"/>
          <w:lang w:val="en-IN"/>
        </w:rPr>
        <w:t xml:space="preserve"> et al., 2025) </w:t>
      </w:r>
    </w:p>
    <w:p w14:paraId="20538C4C" w14:textId="77777777" w:rsidR="00856E36" w:rsidRDefault="00856E36" w:rsidP="00B114D3">
      <w:pPr>
        <w:jc w:val="both"/>
        <w:rPr>
          <w:rFonts w:ascii="Arial" w:hAnsi="Arial" w:cs="Arial"/>
          <w:sz w:val="22"/>
          <w:szCs w:val="22"/>
          <w:lang w:val="en-IN"/>
        </w:rPr>
      </w:pPr>
    </w:p>
    <w:p w14:paraId="4039F7BB" w14:textId="77777777" w:rsidR="00856E36" w:rsidRDefault="00A659E2" w:rsidP="00B114D3">
      <w:pPr>
        <w:jc w:val="both"/>
        <w:rPr>
          <w:rFonts w:ascii="Arial" w:hAnsi="Arial" w:cs="Arial"/>
          <w:sz w:val="22"/>
          <w:szCs w:val="22"/>
          <w:lang w:val="en-IN"/>
        </w:rPr>
      </w:pPr>
      <w:r>
        <w:rPr>
          <w:rFonts w:ascii="Arial" w:hAnsi="Arial" w:cs="Arial"/>
          <w:sz w:val="22"/>
          <w:szCs w:val="22"/>
        </w:rPr>
        <w:t>Additionally, variants detected in H3F3A and SLX4 indicate disruptions in histone regulation and DNA damage repair, respectively. H3F3A mutations, such as K27M, alter histone H3 lysine 27 trimethylation, reprogramming the epigenetic landscape toward a more proliferative state</w:t>
      </w:r>
      <w:r>
        <w:rPr>
          <w:rFonts w:ascii="Arial" w:hAnsi="Arial" w:cs="Arial"/>
          <w:sz w:val="22"/>
          <w:szCs w:val="22"/>
          <w:lang w:val="en-IN"/>
        </w:rPr>
        <w:t xml:space="preserve"> (Lowe et al., 2019)</w:t>
      </w:r>
      <w:r>
        <w:rPr>
          <w:rFonts w:ascii="Arial" w:hAnsi="Arial" w:cs="Arial"/>
          <w:sz w:val="22"/>
          <w:szCs w:val="22"/>
        </w:rPr>
        <w:t>, while SLX4 defects impair homologous recombination, fostering genomic instability</w:t>
      </w:r>
      <w:r>
        <w:rPr>
          <w:rFonts w:ascii="Arial" w:hAnsi="Arial" w:cs="Arial"/>
          <w:sz w:val="22"/>
          <w:szCs w:val="22"/>
          <w:lang w:val="en-IN"/>
        </w:rPr>
        <w:t xml:space="preserve"> (</w:t>
      </w:r>
      <w:proofErr w:type="spellStart"/>
      <w:r>
        <w:rPr>
          <w:rFonts w:ascii="Arial" w:hAnsi="Arial" w:cs="Arial"/>
          <w:sz w:val="22"/>
          <w:szCs w:val="22"/>
          <w:lang w:val="en-IN"/>
        </w:rPr>
        <w:t>Payliss</w:t>
      </w:r>
      <w:proofErr w:type="spellEnd"/>
      <w:r>
        <w:rPr>
          <w:rFonts w:ascii="Arial" w:hAnsi="Arial" w:cs="Arial"/>
          <w:sz w:val="22"/>
          <w:szCs w:val="22"/>
          <w:lang w:val="en-IN"/>
        </w:rPr>
        <w:t xml:space="preserve"> et al.,2021)</w:t>
      </w:r>
      <w:r>
        <w:rPr>
          <w:rFonts w:ascii="Arial" w:hAnsi="Arial" w:cs="Arial"/>
          <w:sz w:val="22"/>
          <w:szCs w:val="22"/>
        </w:rPr>
        <w:t xml:space="preserve">. </w:t>
      </w:r>
      <w:r>
        <w:rPr>
          <w:rFonts w:ascii="Arial" w:hAnsi="Arial" w:cs="Arial"/>
          <w:sz w:val="22"/>
          <w:szCs w:val="22"/>
          <w:lang w:val="en-IN"/>
        </w:rPr>
        <w:t xml:space="preserve"> </w:t>
      </w:r>
      <w:r>
        <w:rPr>
          <w:rFonts w:ascii="Arial" w:hAnsi="Arial" w:cs="Arial"/>
          <w:sz w:val="22"/>
          <w:szCs w:val="22"/>
        </w:rPr>
        <w:t>Such epigenetic and genomic perturbations are more frequently observed in astrocytic gliomas with co-existing IDH, TP53, and ATRX alterations, where they synergize to drive progression from lower-grade to high-grade disease. In contrast, 1p/19q-codeleted oligodendrogliomas demonstrate relative genomic stability, with fewer structural variants and a distinct mutational spectrum enriched for metabolic genes</w:t>
      </w:r>
      <w:r>
        <w:rPr>
          <w:rFonts w:ascii="Arial" w:hAnsi="Arial" w:cs="Arial"/>
          <w:sz w:val="22"/>
          <w:szCs w:val="22"/>
          <w:lang w:val="en-IN"/>
        </w:rPr>
        <w:t xml:space="preserve"> (Masui et al., 2025)</w:t>
      </w:r>
      <w:r>
        <w:rPr>
          <w:rFonts w:ascii="Arial" w:hAnsi="Arial" w:cs="Arial"/>
          <w:sz w:val="22"/>
          <w:szCs w:val="22"/>
        </w:rPr>
        <w:t>. The absence of canonical oligodendroglioma-specific alterations in this cohort further supports molecular reclassification toward astrocytoma, emphasizing the diagnostic value of broad NGS panels that interrogate thousands of genes simultaneously.</w:t>
      </w:r>
      <w:r>
        <w:rPr>
          <w:rFonts w:ascii="Arial" w:hAnsi="Arial" w:cs="Arial"/>
          <w:sz w:val="22"/>
          <w:szCs w:val="22"/>
          <w:lang w:val="en-IN"/>
        </w:rPr>
        <w:t xml:space="preserve"> </w:t>
      </w:r>
    </w:p>
    <w:p w14:paraId="0AE19CA6" w14:textId="77777777" w:rsidR="00856E36" w:rsidRDefault="00856E36" w:rsidP="00B114D3">
      <w:pPr>
        <w:jc w:val="both"/>
        <w:rPr>
          <w:rFonts w:ascii="Arial" w:hAnsi="Arial" w:cs="Arial"/>
          <w:sz w:val="22"/>
          <w:szCs w:val="22"/>
          <w:lang w:val="en-IN"/>
        </w:rPr>
      </w:pPr>
    </w:p>
    <w:p w14:paraId="0C434C5F" w14:textId="77777777" w:rsidR="00856E36" w:rsidRDefault="00A659E2" w:rsidP="00B114D3">
      <w:pPr>
        <w:jc w:val="both"/>
        <w:rPr>
          <w:rFonts w:ascii="Arial" w:hAnsi="Arial" w:cs="Arial"/>
          <w:sz w:val="22"/>
          <w:szCs w:val="22"/>
        </w:rPr>
      </w:pPr>
      <w:r>
        <w:rPr>
          <w:rFonts w:ascii="Arial" w:hAnsi="Arial" w:cs="Arial"/>
          <w:sz w:val="22"/>
          <w:szCs w:val="22"/>
        </w:rPr>
        <w:t>FISH analysis identified complete 1p/19q co-deletion in only one of eleven cases, while the remaining tumors were negative. Although FISH remains a gold standard for detecting 1p/19q co-deletion due to its high sensitivity for large structural changes, it is limited by probe coverage</w:t>
      </w:r>
      <w:r>
        <w:rPr>
          <w:rFonts w:ascii="Arial" w:hAnsi="Arial" w:cs="Arial"/>
          <w:sz w:val="22"/>
          <w:szCs w:val="22"/>
          <w:lang w:val="en-IN"/>
        </w:rPr>
        <w:t xml:space="preserve"> (Ball et al., 2020)</w:t>
      </w:r>
      <w:r>
        <w:rPr>
          <w:rFonts w:ascii="Arial" w:hAnsi="Arial" w:cs="Arial"/>
          <w:sz w:val="22"/>
          <w:szCs w:val="22"/>
        </w:rPr>
        <w:t>. Partial deletions, or segmental losses may yield equivocal or false-negative results, potentially leading to misclassification, of gliomas per validation studies. This limitation was evident in several cases here, where FISH negativity conflicted with partial CNVs detected by NGS, highlighting the need for integrative interpretation that combines orthogonal assays.</w:t>
      </w:r>
      <w:r>
        <w:rPr>
          <w:rFonts w:ascii="Arial" w:hAnsi="Arial" w:cs="Arial"/>
          <w:sz w:val="22"/>
          <w:szCs w:val="22"/>
          <w:lang w:val="en-IN"/>
        </w:rPr>
        <w:t xml:space="preserve"> </w:t>
      </w:r>
      <w:r>
        <w:rPr>
          <w:rFonts w:ascii="Arial" w:hAnsi="Arial" w:cs="Arial"/>
          <w:sz w:val="22"/>
          <w:szCs w:val="22"/>
        </w:rPr>
        <w:t xml:space="preserve">CNV analysis using NGS provided additional resolution by assessing </w:t>
      </w:r>
      <w:r>
        <w:rPr>
          <w:rFonts w:ascii="Arial" w:hAnsi="Arial" w:cs="Arial"/>
          <w:sz w:val="22"/>
          <w:szCs w:val="22"/>
        </w:rPr>
        <w:lastRenderedPageBreak/>
        <w:t xml:space="preserve">multiple genes distributed across 1p and 19q arms, leveraging read-depth algorithms like those in </w:t>
      </w:r>
      <w:proofErr w:type="spellStart"/>
      <w:r>
        <w:rPr>
          <w:rFonts w:ascii="Arial" w:hAnsi="Arial" w:cs="Arial"/>
          <w:sz w:val="22"/>
          <w:szCs w:val="22"/>
        </w:rPr>
        <w:t>Genexus</w:t>
      </w:r>
      <w:proofErr w:type="spellEnd"/>
      <w:r>
        <w:rPr>
          <w:rFonts w:ascii="Arial" w:hAnsi="Arial" w:cs="Arial"/>
          <w:sz w:val="22"/>
          <w:szCs w:val="22"/>
          <w:lang w:val="en-IN"/>
        </w:rPr>
        <w:t xml:space="preserve"> (</w:t>
      </w:r>
      <w:proofErr w:type="spellStart"/>
      <w:r>
        <w:rPr>
          <w:rFonts w:ascii="Arial" w:hAnsi="Arial" w:cs="Arial"/>
          <w:sz w:val="22"/>
          <w:szCs w:val="22"/>
          <w:lang w:val="en-IN"/>
        </w:rPr>
        <w:t>Sina</w:t>
      </w:r>
      <w:proofErr w:type="spellEnd"/>
      <w:r>
        <w:rPr>
          <w:rFonts w:ascii="Arial" w:hAnsi="Arial" w:cs="Arial"/>
          <w:sz w:val="22"/>
          <w:szCs w:val="22"/>
          <w:lang w:val="en-IN"/>
        </w:rPr>
        <w:t xml:space="preserve"> M 2023). </w:t>
      </w:r>
      <w:r>
        <w:rPr>
          <w:rFonts w:ascii="Arial" w:hAnsi="Arial" w:cs="Arial"/>
          <w:sz w:val="22"/>
          <w:szCs w:val="22"/>
        </w:rPr>
        <w:t xml:space="preserve"> Despite observing “probable” or partial losses in several samples—such as heterozygous deletions definitive whole-arm co-deletion was not demonstrated in most cases. </w:t>
      </w:r>
    </w:p>
    <w:p w14:paraId="0CD5979B" w14:textId="77777777" w:rsidR="00856E36" w:rsidRDefault="00856E36" w:rsidP="00B114D3">
      <w:pPr>
        <w:jc w:val="both"/>
        <w:rPr>
          <w:rFonts w:ascii="Arial" w:hAnsi="Arial" w:cs="Arial"/>
          <w:sz w:val="22"/>
          <w:szCs w:val="22"/>
        </w:rPr>
      </w:pPr>
    </w:p>
    <w:p w14:paraId="7925C689" w14:textId="77777777" w:rsidR="00856E36" w:rsidRDefault="00A659E2" w:rsidP="00B114D3">
      <w:pPr>
        <w:jc w:val="both"/>
        <w:rPr>
          <w:rFonts w:ascii="Arial" w:hAnsi="Arial" w:cs="Arial"/>
          <w:sz w:val="22"/>
          <w:szCs w:val="22"/>
        </w:rPr>
      </w:pPr>
      <w:r>
        <w:rPr>
          <w:rFonts w:ascii="Arial" w:hAnsi="Arial" w:cs="Arial"/>
          <w:sz w:val="22"/>
          <w:szCs w:val="22"/>
        </w:rPr>
        <w:t>According to WHO 2021 criteria, partial or segmental deletions are insufficient for oligodendroglioma diagnosis, as they do not confer the same chemo sensitivity mediated by whole-arm loss</w:t>
      </w:r>
      <w:r>
        <w:rPr>
          <w:rFonts w:ascii="Arial" w:hAnsi="Arial" w:cs="Arial"/>
          <w:sz w:val="22"/>
          <w:szCs w:val="22"/>
          <w:lang w:val="en-IN"/>
        </w:rPr>
        <w:t xml:space="preserve"> (</w:t>
      </w:r>
      <w:proofErr w:type="spellStart"/>
      <w:r>
        <w:rPr>
          <w:rFonts w:ascii="Arial" w:hAnsi="Arial" w:cs="Arial"/>
          <w:sz w:val="22"/>
          <w:szCs w:val="22"/>
          <w:lang w:val="en-IN"/>
        </w:rPr>
        <w:t>Sahm</w:t>
      </w:r>
      <w:proofErr w:type="spellEnd"/>
      <w:r>
        <w:rPr>
          <w:rFonts w:ascii="Arial" w:hAnsi="Arial" w:cs="Arial"/>
          <w:sz w:val="22"/>
          <w:szCs w:val="22"/>
          <w:lang w:val="en-IN"/>
        </w:rPr>
        <w:t xml:space="preserve"> et al., 2023)</w:t>
      </w:r>
      <w:r>
        <w:rPr>
          <w:rFonts w:ascii="Arial" w:hAnsi="Arial" w:cs="Arial"/>
          <w:sz w:val="22"/>
          <w:szCs w:val="22"/>
        </w:rPr>
        <w:t>. These findings illustrate that IDH mutation with ATRX retention alone does not confirm oligodendroglioma; instead, CNV-NGS serves as a powerful adjunct to exclude false-positive cases suggested by histology or limited molecular assays like IHC for IDH1 R132H.</w:t>
      </w:r>
      <w:r>
        <w:rPr>
          <w:rFonts w:ascii="Arial" w:hAnsi="Arial" w:cs="Arial"/>
          <w:sz w:val="22"/>
          <w:szCs w:val="22"/>
          <w:lang w:val="en-IN"/>
        </w:rPr>
        <w:t xml:space="preserve"> </w:t>
      </w:r>
      <w:r>
        <w:rPr>
          <w:rFonts w:ascii="Arial" w:hAnsi="Arial" w:cs="Arial"/>
          <w:sz w:val="22"/>
          <w:szCs w:val="22"/>
        </w:rPr>
        <w:t xml:space="preserve">Fusion analysis further reinforced astrocytic lineage assignment. Recurrent detection of PTPRZ1–MET, C11orf95–RELA, EGFR–DYRK1A, and EML4–ALK fusions is well documented in </w:t>
      </w:r>
      <w:proofErr w:type="spellStart"/>
      <w:r>
        <w:rPr>
          <w:rFonts w:ascii="Arial" w:hAnsi="Arial" w:cs="Arial"/>
          <w:sz w:val="22"/>
          <w:szCs w:val="22"/>
        </w:rPr>
        <w:t>astrocytomas</w:t>
      </w:r>
      <w:proofErr w:type="spellEnd"/>
      <w:r>
        <w:rPr>
          <w:rFonts w:ascii="Arial" w:hAnsi="Arial" w:cs="Arial"/>
          <w:sz w:val="22"/>
          <w:szCs w:val="22"/>
        </w:rPr>
        <w:t xml:space="preserve"> and rarely observed in oligodendrogliomas</w:t>
      </w:r>
      <w:r>
        <w:rPr>
          <w:rFonts w:ascii="Arial" w:hAnsi="Arial" w:cs="Arial"/>
          <w:sz w:val="22"/>
          <w:szCs w:val="22"/>
          <w:lang w:val="en-IN"/>
        </w:rPr>
        <w:t xml:space="preserve"> (</w:t>
      </w:r>
      <w:proofErr w:type="spellStart"/>
      <w:r>
        <w:rPr>
          <w:rFonts w:ascii="Arial" w:hAnsi="Arial" w:cs="Arial"/>
          <w:sz w:val="22"/>
          <w:szCs w:val="22"/>
          <w:lang w:val="en-IN"/>
        </w:rPr>
        <w:t>Polivka</w:t>
      </w:r>
      <w:proofErr w:type="spellEnd"/>
      <w:r>
        <w:rPr>
          <w:rFonts w:ascii="Arial" w:hAnsi="Arial" w:cs="Arial"/>
          <w:sz w:val="22"/>
          <w:szCs w:val="22"/>
          <w:lang w:val="en-IN"/>
        </w:rPr>
        <w:t xml:space="preserve"> et al., 2022). </w:t>
      </w:r>
      <w:r>
        <w:rPr>
          <w:rFonts w:ascii="Arial" w:hAnsi="Arial" w:cs="Arial"/>
          <w:sz w:val="22"/>
          <w:szCs w:val="22"/>
        </w:rPr>
        <w:t>PTPRZ1–MET drives MET kinase activation, promoting invasion</w:t>
      </w:r>
      <w:r>
        <w:rPr>
          <w:rFonts w:ascii="Arial" w:hAnsi="Arial" w:cs="Arial"/>
          <w:sz w:val="22"/>
          <w:szCs w:val="22"/>
          <w:lang w:val="en-IN"/>
        </w:rPr>
        <w:t xml:space="preserve"> (Yang et al., 2023)</w:t>
      </w:r>
      <w:r>
        <w:rPr>
          <w:rFonts w:ascii="Arial" w:hAnsi="Arial" w:cs="Arial"/>
          <w:sz w:val="22"/>
          <w:szCs w:val="22"/>
        </w:rPr>
        <w:t>, while C11orf95–RELA induces NF-</w:t>
      </w:r>
      <w:proofErr w:type="spellStart"/>
      <w:r>
        <w:rPr>
          <w:rFonts w:ascii="Arial" w:hAnsi="Arial" w:cs="Arial"/>
          <w:sz w:val="22"/>
          <w:szCs w:val="22"/>
        </w:rPr>
        <w:t>κB</w:t>
      </w:r>
      <w:proofErr w:type="spellEnd"/>
      <w:r>
        <w:rPr>
          <w:rFonts w:ascii="Arial" w:hAnsi="Arial" w:cs="Arial"/>
          <w:sz w:val="22"/>
          <w:szCs w:val="22"/>
        </w:rPr>
        <w:t xml:space="preserve"> signaling in pediatric high-grade gliomas</w:t>
      </w:r>
      <w:r>
        <w:rPr>
          <w:rFonts w:ascii="Arial" w:hAnsi="Arial" w:cs="Arial"/>
          <w:sz w:val="22"/>
          <w:szCs w:val="22"/>
          <w:lang w:val="en-IN"/>
        </w:rPr>
        <w:t xml:space="preserve"> (</w:t>
      </w:r>
      <w:proofErr w:type="spellStart"/>
      <w:r>
        <w:rPr>
          <w:rFonts w:ascii="Arial" w:hAnsi="Arial" w:cs="Arial"/>
          <w:sz w:val="22"/>
          <w:szCs w:val="22"/>
          <w:lang w:val="en-IN"/>
        </w:rPr>
        <w:t>Mulgulwar</w:t>
      </w:r>
      <w:proofErr w:type="spellEnd"/>
      <w:r>
        <w:rPr>
          <w:rFonts w:ascii="Arial" w:hAnsi="Arial" w:cs="Arial"/>
          <w:sz w:val="22"/>
          <w:szCs w:val="22"/>
          <w:lang w:val="en-IN"/>
        </w:rPr>
        <w:t xml:space="preserve"> et al., 2018)</w:t>
      </w:r>
      <w:r>
        <w:rPr>
          <w:rFonts w:ascii="Arial" w:hAnsi="Arial" w:cs="Arial"/>
          <w:sz w:val="22"/>
          <w:szCs w:val="22"/>
        </w:rPr>
        <w:t xml:space="preserve">. Importantly, several of these fusions have therapeutic relevance: MET fusions respond to </w:t>
      </w:r>
      <w:proofErr w:type="spellStart"/>
      <w:r>
        <w:rPr>
          <w:rFonts w:ascii="Arial" w:hAnsi="Arial" w:cs="Arial"/>
          <w:sz w:val="22"/>
          <w:szCs w:val="22"/>
        </w:rPr>
        <w:t>capmatinib</w:t>
      </w:r>
      <w:proofErr w:type="spellEnd"/>
      <w:r>
        <w:rPr>
          <w:rFonts w:ascii="Arial" w:hAnsi="Arial" w:cs="Arial"/>
          <w:sz w:val="22"/>
          <w:szCs w:val="22"/>
          <w:lang w:val="en-IN"/>
        </w:rPr>
        <w:t xml:space="preserve"> (</w:t>
      </w:r>
      <w:proofErr w:type="spellStart"/>
      <w:r>
        <w:rPr>
          <w:rFonts w:ascii="Arial" w:hAnsi="Arial" w:cs="Arial"/>
          <w:sz w:val="22"/>
          <w:szCs w:val="22"/>
          <w:lang w:val="en-IN"/>
        </w:rPr>
        <w:t>Zukermann</w:t>
      </w:r>
      <w:proofErr w:type="spellEnd"/>
      <w:r>
        <w:rPr>
          <w:rFonts w:ascii="Arial" w:hAnsi="Arial" w:cs="Arial"/>
          <w:sz w:val="22"/>
          <w:szCs w:val="22"/>
          <w:lang w:val="en-IN"/>
        </w:rPr>
        <w:t xml:space="preserve"> et al., 2024)</w:t>
      </w:r>
      <w:r>
        <w:rPr>
          <w:rFonts w:ascii="Arial" w:hAnsi="Arial" w:cs="Arial"/>
          <w:sz w:val="22"/>
          <w:szCs w:val="22"/>
        </w:rPr>
        <w:t xml:space="preserve">, and EML4–ALK to </w:t>
      </w:r>
      <w:proofErr w:type="spellStart"/>
      <w:r>
        <w:rPr>
          <w:rFonts w:ascii="Arial" w:hAnsi="Arial" w:cs="Arial"/>
          <w:sz w:val="22"/>
          <w:szCs w:val="22"/>
        </w:rPr>
        <w:t>alectinib</w:t>
      </w:r>
      <w:proofErr w:type="spellEnd"/>
      <w:r>
        <w:rPr>
          <w:rFonts w:ascii="Arial" w:hAnsi="Arial" w:cs="Arial"/>
          <w:sz w:val="22"/>
          <w:szCs w:val="22"/>
          <w:lang w:val="en-IN"/>
        </w:rPr>
        <w:t xml:space="preserve"> (Chen et al., 2024)</w:t>
      </w:r>
      <w:r>
        <w:rPr>
          <w:rFonts w:ascii="Arial" w:hAnsi="Arial" w:cs="Arial"/>
          <w:sz w:val="22"/>
          <w:szCs w:val="22"/>
        </w:rPr>
        <w:t xml:space="preserve">, both FDA-approved in other cancers and under investigation in glioma trials. </w:t>
      </w:r>
    </w:p>
    <w:p w14:paraId="393E5C92" w14:textId="77777777" w:rsidR="00856E36" w:rsidRDefault="00856E36" w:rsidP="00B114D3">
      <w:pPr>
        <w:jc w:val="both"/>
        <w:rPr>
          <w:rFonts w:ascii="Arial" w:hAnsi="Arial" w:cs="Arial"/>
          <w:sz w:val="22"/>
          <w:szCs w:val="22"/>
        </w:rPr>
      </w:pPr>
    </w:p>
    <w:p w14:paraId="28722EF9" w14:textId="77777777" w:rsidR="00856E36" w:rsidRDefault="00A659E2" w:rsidP="00B114D3">
      <w:pPr>
        <w:jc w:val="both"/>
        <w:rPr>
          <w:rFonts w:ascii="Arial" w:hAnsi="Arial" w:cs="Arial"/>
          <w:sz w:val="22"/>
          <w:szCs w:val="22"/>
        </w:rPr>
      </w:pPr>
      <w:r>
        <w:rPr>
          <w:rFonts w:ascii="Arial" w:hAnsi="Arial" w:cs="Arial"/>
          <w:sz w:val="22"/>
          <w:szCs w:val="22"/>
        </w:rPr>
        <w:t>Thus, this highlights how NGS not only refines diagnosis but also expands treatment options through actionable genomic findings</w:t>
      </w:r>
      <w:r>
        <w:rPr>
          <w:rFonts w:ascii="Arial" w:hAnsi="Arial" w:cs="Arial"/>
          <w:sz w:val="22"/>
          <w:szCs w:val="22"/>
          <w:lang w:val="en-IN"/>
        </w:rPr>
        <w:t xml:space="preserve"> (</w:t>
      </w:r>
      <w:proofErr w:type="spellStart"/>
      <w:r>
        <w:rPr>
          <w:rFonts w:ascii="Arial" w:hAnsi="Arial" w:cs="Arial"/>
          <w:sz w:val="22"/>
          <w:szCs w:val="22"/>
          <w:lang w:val="en-IN"/>
        </w:rPr>
        <w:t>Vashisht</w:t>
      </w:r>
      <w:proofErr w:type="spellEnd"/>
      <w:r>
        <w:rPr>
          <w:rFonts w:ascii="Arial" w:hAnsi="Arial" w:cs="Arial"/>
          <w:sz w:val="22"/>
          <w:szCs w:val="22"/>
          <w:lang w:val="en-IN"/>
        </w:rPr>
        <w:t xml:space="preserve"> et al., 2024)</w:t>
      </w:r>
      <w:r>
        <w:rPr>
          <w:rFonts w:ascii="Arial" w:hAnsi="Arial" w:cs="Arial"/>
          <w:sz w:val="22"/>
          <w:szCs w:val="22"/>
        </w:rPr>
        <w:t>.</w:t>
      </w:r>
      <w:r>
        <w:rPr>
          <w:rFonts w:ascii="Arial" w:hAnsi="Arial" w:cs="Arial"/>
          <w:sz w:val="22"/>
          <w:szCs w:val="22"/>
          <w:lang w:val="en-IN"/>
        </w:rPr>
        <w:t xml:space="preserve"> </w:t>
      </w:r>
      <w:r>
        <w:rPr>
          <w:rFonts w:ascii="Arial" w:hAnsi="Arial" w:cs="Arial"/>
          <w:sz w:val="22"/>
          <w:szCs w:val="22"/>
        </w:rPr>
        <w:t>Overall,</w:t>
      </w:r>
      <w:r>
        <w:rPr>
          <w:rFonts w:ascii="Arial" w:hAnsi="Arial" w:cs="Arial"/>
          <w:sz w:val="22"/>
          <w:szCs w:val="22"/>
          <w:lang w:val="en-IN"/>
        </w:rPr>
        <w:t xml:space="preserve"> the c</w:t>
      </w:r>
      <w:proofErr w:type="spellStart"/>
      <w:r>
        <w:rPr>
          <w:rFonts w:ascii="Arial" w:hAnsi="Arial"/>
          <w:sz w:val="22"/>
          <w:szCs w:val="22"/>
        </w:rPr>
        <w:t>omprehensive</w:t>
      </w:r>
      <w:proofErr w:type="spellEnd"/>
      <w:r>
        <w:rPr>
          <w:rFonts w:ascii="Arial" w:hAnsi="Arial"/>
          <w:sz w:val="22"/>
          <w:szCs w:val="22"/>
        </w:rPr>
        <w:t xml:space="preserve"> NGS profiling enables simultaneous detection of mutations, copy-number alterations, and chromosomal co</w:t>
      </w:r>
      <w:r w:rsidR="00CC0B34">
        <w:rPr>
          <w:rFonts w:ascii="Arial" w:hAnsi="Arial"/>
          <w:sz w:val="22"/>
          <w:szCs w:val="22"/>
        </w:rPr>
        <w:t>-</w:t>
      </w:r>
      <w:r>
        <w:rPr>
          <w:rFonts w:ascii="Arial" w:hAnsi="Arial"/>
          <w:sz w:val="22"/>
          <w:szCs w:val="22"/>
        </w:rPr>
        <w:t>deletions, providing an integrated genomic view that improves diagnostic precision</w:t>
      </w:r>
      <w:r>
        <w:rPr>
          <w:rFonts w:ascii="Arial" w:hAnsi="Arial"/>
          <w:sz w:val="22"/>
          <w:szCs w:val="22"/>
          <w:lang w:val="en-IN"/>
        </w:rPr>
        <w:t xml:space="preserve"> compared to </w:t>
      </w:r>
      <w:r>
        <w:rPr>
          <w:rFonts w:ascii="Arial" w:hAnsi="Arial"/>
          <w:sz w:val="22"/>
          <w:szCs w:val="22"/>
        </w:rPr>
        <w:t>IHC or FISH, which assess limited markers or loci</w:t>
      </w:r>
      <w:r>
        <w:rPr>
          <w:rFonts w:ascii="Arial" w:hAnsi="Arial"/>
          <w:sz w:val="22"/>
          <w:szCs w:val="22"/>
          <w:lang w:val="en-IN"/>
        </w:rPr>
        <w:t xml:space="preserve">. </w:t>
      </w:r>
      <w:r>
        <w:rPr>
          <w:rFonts w:ascii="Arial" w:hAnsi="Arial"/>
          <w:sz w:val="22"/>
          <w:szCs w:val="22"/>
        </w:rPr>
        <w:t>NGS captures genome-wide alterations and reduces observer variability</w:t>
      </w:r>
      <w:r>
        <w:rPr>
          <w:rFonts w:ascii="Arial" w:hAnsi="Arial"/>
          <w:sz w:val="22"/>
          <w:szCs w:val="22"/>
          <w:lang w:val="en-IN"/>
        </w:rPr>
        <w:t xml:space="preserve"> s</w:t>
      </w:r>
      <w:proofErr w:type="spellStart"/>
      <w:r>
        <w:rPr>
          <w:rFonts w:ascii="Arial" w:hAnsi="Arial"/>
          <w:sz w:val="22"/>
          <w:szCs w:val="22"/>
        </w:rPr>
        <w:t>upport</w:t>
      </w:r>
      <w:r>
        <w:rPr>
          <w:rFonts w:ascii="Arial" w:hAnsi="Arial"/>
          <w:sz w:val="22"/>
          <w:szCs w:val="22"/>
          <w:lang w:val="en-IN"/>
        </w:rPr>
        <w:t>ing</w:t>
      </w:r>
      <w:proofErr w:type="spellEnd"/>
      <w:r>
        <w:rPr>
          <w:rFonts w:ascii="Arial" w:hAnsi="Arial"/>
          <w:sz w:val="22"/>
          <w:szCs w:val="22"/>
        </w:rPr>
        <w:t xml:space="preserve"> more accurate, objective tumor classification and aligns with modern molecular diagnostic standards in glioma taxonomy</w:t>
      </w:r>
      <w:r>
        <w:rPr>
          <w:rFonts w:ascii="Arial" w:hAnsi="Arial"/>
          <w:sz w:val="22"/>
          <w:szCs w:val="22"/>
          <w:lang w:val="en-IN"/>
        </w:rPr>
        <w:t xml:space="preserve"> (Wong D, 2025). Further,</w:t>
      </w:r>
      <w:r>
        <w:rPr>
          <w:rFonts w:ascii="Arial" w:hAnsi="Arial" w:cs="Arial"/>
          <w:sz w:val="22"/>
          <w:szCs w:val="22"/>
          <w:lang w:val="en-IN"/>
        </w:rPr>
        <w:t xml:space="preserve"> the integration of</w:t>
      </w:r>
      <w:r>
        <w:rPr>
          <w:rFonts w:ascii="Arial" w:hAnsi="Arial" w:cs="Arial"/>
          <w:sz w:val="22"/>
          <w:szCs w:val="22"/>
        </w:rPr>
        <w:t xml:space="preserve"> SNVs, CNVs, and fusions in a single assay</w:t>
      </w:r>
      <w:r>
        <w:rPr>
          <w:rFonts w:ascii="Arial" w:hAnsi="Arial" w:cs="Arial"/>
          <w:sz w:val="22"/>
          <w:szCs w:val="22"/>
          <w:lang w:val="en-IN"/>
        </w:rPr>
        <w:t xml:space="preserve"> by </w:t>
      </w:r>
      <w:r>
        <w:rPr>
          <w:rFonts w:ascii="Arial" w:hAnsi="Arial" w:cs="Arial"/>
          <w:sz w:val="22"/>
          <w:szCs w:val="22"/>
        </w:rPr>
        <w:t xml:space="preserve">NGS </w:t>
      </w:r>
      <w:r>
        <w:rPr>
          <w:rFonts w:ascii="Arial" w:hAnsi="Arial" w:cs="Arial"/>
          <w:sz w:val="22"/>
          <w:szCs w:val="22"/>
          <w:lang w:val="en-IN"/>
        </w:rPr>
        <w:t xml:space="preserve">technique, </w:t>
      </w:r>
      <w:r>
        <w:rPr>
          <w:rFonts w:ascii="Arial" w:hAnsi="Arial" w:cs="Arial"/>
          <w:sz w:val="22"/>
          <w:szCs w:val="22"/>
        </w:rPr>
        <w:t>enable</w:t>
      </w:r>
      <w:r>
        <w:rPr>
          <w:rFonts w:ascii="Arial" w:hAnsi="Arial" w:cs="Arial"/>
          <w:sz w:val="22"/>
          <w:szCs w:val="22"/>
          <w:lang w:val="en-IN"/>
        </w:rPr>
        <w:t>s</w:t>
      </w:r>
      <w:r>
        <w:rPr>
          <w:rFonts w:ascii="Arial" w:hAnsi="Arial" w:cs="Arial"/>
          <w:sz w:val="22"/>
          <w:szCs w:val="22"/>
        </w:rPr>
        <w:t xml:space="preserve"> precise classification, prognostic stratification, and identification of therapeutic targets</w:t>
      </w:r>
      <w:r>
        <w:rPr>
          <w:rFonts w:ascii="Arial" w:hAnsi="Arial" w:cs="Arial"/>
          <w:sz w:val="22"/>
          <w:szCs w:val="22"/>
          <w:lang w:val="en-IN"/>
        </w:rPr>
        <w:t xml:space="preserve"> (</w:t>
      </w:r>
      <w:proofErr w:type="spellStart"/>
      <w:r>
        <w:rPr>
          <w:rFonts w:ascii="Arial" w:hAnsi="Arial" w:cs="Arial"/>
          <w:sz w:val="22"/>
          <w:szCs w:val="22"/>
          <w:lang w:val="en-IN"/>
        </w:rPr>
        <w:t>Gargallo</w:t>
      </w:r>
      <w:proofErr w:type="spellEnd"/>
      <w:r>
        <w:rPr>
          <w:rFonts w:ascii="Arial" w:hAnsi="Arial" w:cs="Arial"/>
          <w:sz w:val="22"/>
          <w:szCs w:val="22"/>
          <w:lang w:val="en-IN"/>
        </w:rPr>
        <w:t xml:space="preserve"> et al., 2022)</w:t>
      </w:r>
      <w:r>
        <w:rPr>
          <w:rFonts w:ascii="Arial" w:hAnsi="Arial" w:cs="Arial"/>
          <w:sz w:val="22"/>
          <w:szCs w:val="22"/>
        </w:rPr>
        <w:t xml:space="preserve">. </w:t>
      </w:r>
    </w:p>
    <w:p w14:paraId="3F80C971" w14:textId="77777777" w:rsidR="00856E36" w:rsidRDefault="00856E36" w:rsidP="00B114D3">
      <w:pPr>
        <w:rPr>
          <w:rFonts w:ascii="Arial" w:hAnsi="Arial" w:cs="Arial"/>
          <w:sz w:val="22"/>
          <w:szCs w:val="22"/>
        </w:rPr>
      </w:pPr>
    </w:p>
    <w:p w14:paraId="4ABCDCBA" w14:textId="77777777" w:rsidR="00856E36" w:rsidRDefault="00A659E2" w:rsidP="00B114D3">
      <w:pPr>
        <w:pStyle w:val="Heading2"/>
        <w:numPr>
          <w:ilvl w:val="0"/>
          <w:numId w:val="7"/>
        </w:numPr>
        <w:spacing w:beforeAutospacing="0" w:afterAutospacing="0"/>
        <w:rPr>
          <w:rFonts w:ascii="Arial" w:hAnsi="Arial" w:cs="Arial" w:hint="default"/>
          <w:sz w:val="22"/>
          <w:szCs w:val="22"/>
        </w:rPr>
      </w:pPr>
      <w:r>
        <w:rPr>
          <w:rStyle w:val="Strong"/>
          <w:rFonts w:ascii="Arial" w:hAnsi="Arial" w:cs="Arial" w:hint="default"/>
          <w:b/>
          <w:bCs/>
          <w:sz w:val="22"/>
          <w:szCs w:val="22"/>
        </w:rPr>
        <w:t xml:space="preserve">Conclusion </w:t>
      </w:r>
    </w:p>
    <w:p w14:paraId="4A6C9BE5" w14:textId="77777777" w:rsidR="00856E36" w:rsidRDefault="00A659E2" w:rsidP="00B114D3">
      <w:pPr>
        <w:pStyle w:val="NormalWeb"/>
        <w:spacing w:beforeAutospacing="0" w:afterAutospacing="0"/>
        <w:rPr>
          <w:rFonts w:ascii="Arial" w:hAnsi="Arial" w:cs="Arial"/>
          <w:sz w:val="22"/>
          <w:szCs w:val="22"/>
        </w:rPr>
      </w:pPr>
      <w:r>
        <w:rPr>
          <w:rFonts w:ascii="Arial" w:hAnsi="Arial" w:cs="Arial"/>
          <w:sz w:val="22"/>
          <w:szCs w:val="22"/>
        </w:rPr>
        <w:t>This study highlights the critical role of NGS in the accurate classification of diffuse gliomas under WHO 2021 guidelines. While histology, IHC, and FISH remain useful, they are insufficient when used in isolation and may lead to misclassification. NGS offers comprehensive detection of SNVs, CNVs, and gene fusions, enabling precise distinction between oligodendroglioma and astrocytoma. Importantly, NGS identifies actionable molecular alterations that support personalized therapy and improved clinical decision-making. Integrating NGS into routine glioma diagnostics is essential for accurate diagnosis, optimal treatment selection, and improved patient outcomes.</w:t>
      </w:r>
    </w:p>
    <w:p w14:paraId="04242DFB" w14:textId="77777777" w:rsidR="009F5233" w:rsidRDefault="009F5233" w:rsidP="00B114D3">
      <w:pPr>
        <w:pStyle w:val="NormalWeb"/>
        <w:spacing w:beforeAutospacing="0" w:afterAutospacing="0"/>
        <w:rPr>
          <w:rFonts w:ascii="Arial" w:hAnsi="Arial" w:cs="Arial"/>
          <w:sz w:val="22"/>
          <w:szCs w:val="22"/>
        </w:rPr>
      </w:pPr>
    </w:p>
    <w:p w14:paraId="6D5AB827" w14:textId="77777777" w:rsidR="009F5233" w:rsidRDefault="009F5233" w:rsidP="009F5233">
      <w:pPr>
        <w:pStyle w:val="ReferHead"/>
        <w:spacing w:after="0"/>
        <w:jc w:val="both"/>
        <w:rPr>
          <w:rFonts w:ascii="Arial" w:hAnsi="Arial" w:cs="Arial"/>
          <w:b w:val="0"/>
          <w:caps w:val="0"/>
          <w:sz w:val="20"/>
          <w:lang w:val="en-IN"/>
        </w:rPr>
      </w:pPr>
      <w:bookmarkStart w:id="0" w:name="_GoBack"/>
      <w:bookmarkEnd w:id="0"/>
    </w:p>
    <w:p w14:paraId="4C57A595" w14:textId="77777777" w:rsidR="009F5233" w:rsidRDefault="009F5233" w:rsidP="009F5233">
      <w:pPr>
        <w:pStyle w:val="ReferHead"/>
        <w:spacing w:after="0"/>
        <w:jc w:val="both"/>
        <w:rPr>
          <w:rFonts w:ascii="Arial" w:hAnsi="Arial" w:cs="Arial"/>
          <w:bCs/>
        </w:rPr>
      </w:pPr>
      <w:r>
        <w:rPr>
          <w:rFonts w:ascii="Arial" w:hAnsi="Arial" w:cs="Arial"/>
          <w:bCs/>
        </w:rPr>
        <w:t xml:space="preserve">Consent </w:t>
      </w:r>
    </w:p>
    <w:p w14:paraId="597810E1" w14:textId="77777777" w:rsidR="009F5233" w:rsidRDefault="009F5233" w:rsidP="009F5233">
      <w:pPr>
        <w:pStyle w:val="ReferHead"/>
        <w:spacing w:after="0"/>
        <w:jc w:val="both"/>
        <w:rPr>
          <w:rFonts w:ascii="Arial" w:hAnsi="Arial" w:cs="Arial"/>
          <w:b w:val="0"/>
          <w:caps w:val="0"/>
          <w:sz w:val="20"/>
        </w:rPr>
      </w:pPr>
      <w:r>
        <w:rPr>
          <w:rFonts w:ascii="Arial" w:hAnsi="Arial" w:cs="Arial"/>
          <w:b w:val="0"/>
          <w:caps w:val="0"/>
          <w:sz w:val="20"/>
          <w:lang w:val="en-IN"/>
        </w:rPr>
        <w:t>The consent from every patient is taken</w:t>
      </w:r>
      <w:r>
        <w:rPr>
          <w:rFonts w:ascii="Arial" w:hAnsi="Arial" w:cs="Arial"/>
          <w:b w:val="0"/>
          <w:caps w:val="0"/>
          <w:sz w:val="20"/>
        </w:rPr>
        <w:t xml:space="preserve">.  </w:t>
      </w:r>
    </w:p>
    <w:p w14:paraId="6E2C7A14" w14:textId="77777777" w:rsidR="009F5233" w:rsidRDefault="009F5233" w:rsidP="009F5233">
      <w:pPr>
        <w:pStyle w:val="ReferHead"/>
        <w:spacing w:after="0"/>
        <w:jc w:val="both"/>
        <w:rPr>
          <w:rFonts w:ascii="Arial" w:hAnsi="Arial" w:cs="Arial"/>
          <w:b w:val="0"/>
          <w:caps w:val="0"/>
          <w:sz w:val="20"/>
        </w:rPr>
      </w:pPr>
    </w:p>
    <w:p w14:paraId="3B543226" w14:textId="77777777" w:rsidR="009F5233" w:rsidRDefault="009F5233" w:rsidP="009F5233">
      <w:pPr>
        <w:pStyle w:val="ReferHead"/>
        <w:spacing w:after="0"/>
        <w:jc w:val="both"/>
        <w:rPr>
          <w:rFonts w:ascii="Arial" w:hAnsi="Arial" w:cs="Arial"/>
          <w:bCs/>
        </w:rPr>
      </w:pPr>
      <w:r>
        <w:rPr>
          <w:rFonts w:ascii="Arial" w:hAnsi="Arial" w:cs="Arial"/>
          <w:bCs/>
        </w:rPr>
        <w:t xml:space="preserve">Ethical approval </w:t>
      </w:r>
    </w:p>
    <w:p w14:paraId="2814B067" w14:textId="77777777" w:rsidR="009F5233" w:rsidRDefault="009F5233" w:rsidP="009F5233">
      <w:pPr>
        <w:pStyle w:val="ReferHead"/>
        <w:spacing w:after="0"/>
        <w:jc w:val="both"/>
        <w:rPr>
          <w:rFonts w:ascii="Arial" w:hAnsi="Arial" w:cs="Arial"/>
          <w:b w:val="0"/>
          <w:caps w:val="0"/>
          <w:sz w:val="20"/>
          <w:u w:val="single"/>
        </w:rPr>
      </w:pPr>
      <w:r>
        <w:rPr>
          <w:rFonts w:ascii="Arial" w:hAnsi="Arial" w:cs="Arial"/>
          <w:b w:val="0"/>
          <w:caps w:val="0"/>
          <w:sz w:val="20"/>
          <w:u w:val="single"/>
        </w:rPr>
        <w:t xml:space="preserve"> “All authors hereby declare that all experiments have been examined and approved by the appropriate ethics committee and have therefore been performed in accordance with the ethical standards laid down in the 1964 Declaration of Helsinki.”</w:t>
      </w:r>
    </w:p>
    <w:p w14:paraId="3CC015AB" w14:textId="77777777" w:rsidR="009F5233" w:rsidRDefault="009F5233" w:rsidP="009F5233">
      <w:pPr>
        <w:pStyle w:val="Body"/>
        <w:spacing w:after="0"/>
        <w:rPr>
          <w:rFonts w:ascii="Arial" w:hAnsi="Arial" w:cs="Arial"/>
        </w:rPr>
        <w:sectPr w:rsidR="009F5233" w:rsidSect="00B114D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C83299C" w14:textId="77777777" w:rsidR="009F5233" w:rsidRDefault="009F5233" w:rsidP="00B114D3">
      <w:pPr>
        <w:pStyle w:val="NormalWeb"/>
        <w:spacing w:beforeAutospacing="0" w:afterAutospacing="0"/>
        <w:rPr>
          <w:rFonts w:ascii="Arial" w:hAnsi="Arial" w:cs="Arial"/>
          <w:sz w:val="22"/>
          <w:szCs w:val="22"/>
        </w:rPr>
      </w:pPr>
    </w:p>
    <w:p w14:paraId="43A56F3E" w14:textId="77777777" w:rsidR="00856E36" w:rsidRDefault="00856E36" w:rsidP="00B114D3">
      <w:pPr>
        <w:jc w:val="both"/>
        <w:rPr>
          <w:rStyle w:val="Strong"/>
          <w:rFonts w:ascii="Arial" w:hAnsi="Arial" w:cs="Arial"/>
          <w:b w:val="0"/>
          <w:bCs w:val="0"/>
          <w:sz w:val="22"/>
          <w:szCs w:val="22"/>
          <w:lang w:val="en-IN"/>
        </w:rPr>
      </w:pPr>
    </w:p>
    <w:p w14:paraId="3CA96934" w14:textId="77777777" w:rsidR="00856E36" w:rsidRDefault="00856E36" w:rsidP="00B114D3">
      <w:pPr>
        <w:jc w:val="both"/>
        <w:rPr>
          <w:rStyle w:val="Strong"/>
          <w:rFonts w:ascii="Arial" w:hAnsi="Arial" w:cs="Arial"/>
          <w:sz w:val="22"/>
          <w:szCs w:val="22"/>
          <w:lang w:val="en-IN"/>
        </w:rPr>
      </w:pPr>
    </w:p>
    <w:p w14:paraId="4A35B4E6" w14:textId="77777777" w:rsidR="00856E36" w:rsidRDefault="00A659E2" w:rsidP="00B114D3">
      <w:pPr>
        <w:numPr>
          <w:ilvl w:val="0"/>
          <w:numId w:val="7"/>
        </w:numPr>
        <w:jc w:val="both"/>
        <w:rPr>
          <w:rStyle w:val="Strong"/>
          <w:rFonts w:ascii="Arial" w:hAnsi="Arial" w:cs="Arial"/>
          <w:sz w:val="22"/>
          <w:szCs w:val="22"/>
          <w:lang w:val="en-IN"/>
        </w:rPr>
      </w:pPr>
      <w:r>
        <w:rPr>
          <w:rStyle w:val="Strong"/>
          <w:rFonts w:ascii="Arial" w:hAnsi="Arial" w:cs="Arial"/>
          <w:sz w:val="22"/>
          <w:szCs w:val="22"/>
          <w:lang w:val="en-IN"/>
        </w:rPr>
        <w:t>References</w:t>
      </w:r>
    </w:p>
    <w:p w14:paraId="0969C090"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Bale, </w:t>
      </w:r>
      <w:proofErr w:type="spellStart"/>
      <w:r>
        <w:rPr>
          <w:rStyle w:val="Strong"/>
          <w:rFonts w:ascii="Arial" w:hAnsi="Arial"/>
          <w:b w:val="0"/>
          <w:bCs w:val="0"/>
          <w:sz w:val="22"/>
          <w:szCs w:val="22"/>
          <w:lang w:val="en-IN"/>
        </w:rPr>
        <w:t>Tejus</w:t>
      </w:r>
      <w:proofErr w:type="spellEnd"/>
      <w:r>
        <w:rPr>
          <w:rStyle w:val="Strong"/>
          <w:rFonts w:ascii="Arial" w:hAnsi="Arial"/>
          <w:b w:val="0"/>
          <w:bCs w:val="0"/>
          <w:sz w:val="22"/>
          <w:szCs w:val="22"/>
          <w:lang w:val="en-IN"/>
        </w:rPr>
        <w:t xml:space="preserve"> A., and Marc K. Rosenblum. "The 2021 WHO classification of </w:t>
      </w:r>
      <w:proofErr w:type="spellStart"/>
      <w:r>
        <w:rPr>
          <w:rStyle w:val="Strong"/>
          <w:rFonts w:ascii="Arial" w:hAnsi="Arial"/>
          <w:b w:val="0"/>
          <w:bCs w:val="0"/>
          <w:sz w:val="22"/>
          <w:szCs w:val="22"/>
          <w:lang w:val="en-IN"/>
        </w:rPr>
        <w:t>tumors</w:t>
      </w:r>
      <w:proofErr w:type="spellEnd"/>
      <w:r>
        <w:rPr>
          <w:rStyle w:val="Strong"/>
          <w:rFonts w:ascii="Arial" w:hAnsi="Arial"/>
          <w:b w:val="0"/>
          <w:bCs w:val="0"/>
          <w:sz w:val="22"/>
          <w:szCs w:val="22"/>
          <w:lang w:val="en-IN"/>
        </w:rPr>
        <w:t xml:space="preserve"> of the central nervous system: an update on </w:t>
      </w:r>
      <w:proofErr w:type="spellStart"/>
      <w:r>
        <w:rPr>
          <w:rStyle w:val="Strong"/>
          <w:rFonts w:ascii="Arial" w:hAnsi="Arial"/>
          <w:b w:val="0"/>
          <w:bCs w:val="0"/>
          <w:sz w:val="22"/>
          <w:szCs w:val="22"/>
          <w:lang w:val="en-IN"/>
        </w:rPr>
        <w:t>pediatric</w:t>
      </w:r>
      <w:proofErr w:type="spellEnd"/>
      <w:r>
        <w:rPr>
          <w:rStyle w:val="Strong"/>
          <w:rFonts w:ascii="Arial" w:hAnsi="Arial"/>
          <w:b w:val="0"/>
          <w:bCs w:val="0"/>
          <w:sz w:val="22"/>
          <w:szCs w:val="22"/>
          <w:lang w:val="en-IN"/>
        </w:rPr>
        <w:t xml:space="preserve"> low‐grade gliomas and glioneuronal </w:t>
      </w:r>
      <w:proofErr w:type="spellStart"/>
      <w:r>
        <w:rPr>
          <w:rStyle w:val="Strong"/>
          <w:rFonts w:ascii="Arial" w:hAnsi="Arial"/>
          <w:b w:val="0"/>
          <w:bCs w:val="0"/>
          <w:sz w:val="22"/>
          <w:szCs w:val="22"/>
          <w:lang w:val="en-IN"/>
        </w:rPr>
        <w:t>tumors</w:t>
      </w:r>
      <w:proofErr w:type="spellEnd"/>
      <w:r>
        <w:rPr>
          <w:rStyle w:val="Strong"/>
          <w:rFonts w:ascii="Arial" w:hAnsi="Arial"/>
          <w:b w:val="0"/>
          <w:bCs w:val="0"/>
          <w:sz w:val="22"/>
          <w:szCs w:val="22"/>
          <w:lang w:val="en-IN"/>
        </w:rPr>
        <w:t>." Brain Pathology 32.4 (2022): e13060.</w:t>
      </w:r>
    </w:p>
    <w:p w14:paraId="390D0218"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Jiang, K., </w:t>
      </w:r>
      <w:proofErr w:type="spellStart"/>
      <w:r>
        <w:rPr>
          <w:rStyle w:val="Strong"/>
          <w:rFonts w:ascii="Arial" w:hAnsi="Arial"/>
          <w:b w:val="0"/>
          <w:bCs w:val="0"/>
          <w:sz w:val="22"/>
          <w:szCs w:val="22"/>
          <w:lang w:val="en-IN"/>
        </w:rPr>
        <w:t>Kalluri</w:t>
      </w:r>
      <w:proofErr w:type="spellEnd"/>
      <w:r>
        <w:rPr>
          <w:rStyle w:val="Strong"/>
          <w:rFonts w:ascii="Arial" w:hAnsi="Arial"/>
          <w:b w:val="0"/>
          <w:bCs w:val="0"/>
          <w:sz w:val="22"/>
          <w:szCs w:val="22"/>
          <w:lang w:val="en-IN"/>
        </w:rPr>
        <w:t xml:space="preserve">, A., </w:t>
      </w:r>
      <w:proofErr w:type="spellStart"/>
      <w:r>
        <w:rPr>
          <w:rStyle w:val="Strong"/>
          <w:rFonts w:ascii="Arial" w:hAnsi="Arial"/>
          <w:b w:val="0"/>
          <w:bCs w:val="0"/>
          <w:sz w:val="22"/>
          <w:szCs w:val="22"/>
          <w:lang w:val="en-IN"/>
        </w:rPr>
        <w:t>Odonkor</w:t>
      </w:r>
      <w:proofErr w:type="spellEnd"/>
      <w:r>
        <w:rPr>
          <w:rStyle w:val="Strong"/>
          <w:rFonts w:ascii="Arial" w:hAnsi="Arial"/>
          <w:b w:val="0"/>
          <w:bCs w:val="0"/>
          <w:sz w:val="22"/>
          <w:szCs w:val="22"/>
          <w:lang w:val="en-IN"/>
        </w:rPr>
        <w:t>, M., Heinemann, D. M., Weber-Levine, C., Raj, D., ... &amp; Rincon-</w:t>
      </w:r>
      <w:proofErr w:type="spellStart"/>
      <w:r>
        <w:rPr>
          <w:rStyle w:val="Strong"/>
          <w:rFonts w:ascii="Arial" w:hAnsi="Arial"/>
          <w:b w:val="0"/>
          <w:bCs w:val="0"/>
          <w:sz w:val="22"/>
          <w:szCs w:val="22"/>
          <w:lang w:val="en-IN"/>
        </w:rPr>
        <w:t>Torroella</w:t>
      </w:r>
      <w:proofErr w:type="spellEnd"/>
      <w:r>
        <w:rPr>
          <w:rStyle w:val="Strong"/>
          <w:rFonts w:ascii="Arial" w:hAnsi="Arial"/>
          <w:b w:val="0"/>
          <w:bCs w:val="0"/>
          <w:sz w:val="22"/>
          <w:szCs w:val="22"/>
          <w:lang w:val="en-IN"/>
        </w:rPr>
        <w:t>, J. (2025). Trends in the Management of Oligodendrogliomas: A Multinational and Multidisciplinary Survey Study. World neurosurgery, 196, 123716.</w:t>
      </w:r>
    </w:p>
    <w:p w14:paraId="43162BE2"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Guo, X., Shi, Y., Liu, D., Li, Y., Chen, W., Wang, Y., ... &amp; Ma, W. (2023). Clinical updates on gliomas and implications of the 5th edition of the WHO classification of central nervous system </w:t>
      </w:r>
      <w:proofErr w:type="spellStart"/>
      <w:r>
        <w:rPr>
          <w:rStyle w:val="Strong"/>
          <w:rFonts w:ascii="Arial" w:hAnsi="Arial"/>
          <w:b w:val="0"/>
          <w:bCs w:val="0"/>
          <w:sz w:val="22"/>
          <w:szCs w:val="22"/>
          <w:lang w:val="en-IN"/>
        </w:rPr>
        <w:t>tumors</w:t>
      </w:r>
      <w:proofErr w:type="spellEnd"/>
      <w:r>
        <w:rPr>
          <w:rStyle w:val="Strong"/>
          <w:rFonts w:ascii="Arial" w:hAnsi="Arial"/>
          <w:b w:val="0"/>
          <w:bCs w:val="0"/>
          <w:sz w:val="22"/>
          <w:szCs w:val="22"/>
          <w:lang w:val="en-IN"/>
        </w:rPr>
        <w:t>. Frontiers in Oncology, 13, 1131642.</w:t>
      </w:r>
    </w:p>
    <w:p w14:paraId="449E5CC9"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Mandaliya</w:t>
      </w:r>
      <w:proofErr w:type="spellEnd"/>
      <w:r>
        <w:rPr>
          <w:rStyle w:val="Strong"/>
          <w:rFonts w:ascii="Arial" w:hAnsi="Arial"/>
          <w:b w:val="0"/>
          <w:bCs w:val="0"/>
          <w:sz w:val="22"/>
          <w:szCs w:val="22"/>
          <w:lang w:val="en-IN"/>
        </w:rPr>
        <w:t xml:space="preserve">, N., Trivedi, P., Patel, D. M., </w:t>
      </w:r>
      <w:proofErr w:type="spellStart"/>
      <w:r>
        <w:rPr>
          <w:rStyle w:val="Strong"/>
          <w:rFonts w:ascii="Arial" w:hAnsi="Arial"/>
          <w:b w:val="0"/>
          <w:bCs w:val="0"/>
          <w:sz w:val="22"/>
          <w:szCs w:val="22"/>
          <w:lang w:val="en-IN"/>
        </w:rPr>
        <w:t>Kazi</w:t>
      </w:r>
      <w:proofErr w:type="spellEnd"/>
      <w:r>
        <w:rPr>
          <w:rStyle w:val="Strong"/>
          <w:rFonts w:ascii="Arial" w:hAnsi="Arial"/>
          <w:b w:val="0"/>
          <w:bCs w:val="0"/>
          <w:sz w:val="22"/>
          <w:szCs w:val="22"/>
          <w:lang w:val="en-IN"/>
        </w:rPr>
        <w:t xml:space="preserve">, M., &amp; Trivedi, P. (2023). Significance </w:t>
      </w:r>
      <w:proofErr w:type="gramStart"/>
      <w:r>
        <w:rPr>
          <w:rStyle w:val="Strong"/>
          <w:rFonts w:ascii="Arial" w:hAnsi="Arial"/>
          <w:b w:val="0"/>
          <w:bCs w:val="0"/>
          <w:sz w:val="22"/>
          <w:szCs w:val="22"/>
          <w:lang w:val="en-IN"/>
        </w:rPr>
        <w:t>Of</w:t>
      </w:r>
      <w:proofErr w:type="gramEnd"/>
      <w:r>
        <w:rPr>
          <w:rStyle w:val="Strong"/>
          <w:rFonts w:ascii="Arial" w:hAnsi="Arial"/>
          <w:b w:val="0"/>
          <w:bCs w:val="0"/>
          <w:sz w:val="22"/>
          <w:szCs w:val="22"/>
          <w:lang w:val="en-IN"/>
        </w:rPr>
        <w:t xml:space="preserve"> Molecular Markers and Deletion Of 1p/19q In Oligodendroglioma Patients by Fluorescence in Situ Hybridization Technique: An Institutional Study. Clinical Reviews and Case Reports, 2(5).</w:t>
      </w:r>
    </w:p>
    <w:p w14:paraId="0A5A6324"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Higuchi, F., </w:t>
      </w:r>
      <w:proofErr w:type="spellStart"/>
      <w:r>
        <w:rPr>
          <w:rStyle w:val="Strong"/>
          <w:rFonts w:ascii="Arial" w:hAnsi="Arial"/>
          <w:b w:val="0"/>
          <w:bCs w:val="0"/>
          <w:sz w:val="22"/>
          <w:szCs w:val="22"/>
          <w:lang w:val="en-IN"/>
        </w:rPr>
        <w:t>Uzuka</w:t>
      </w:r>
      <w:proofErr w:type="spellEnd"/>
      <w:r>
        <w:rPr>
          <w:rStyle w:val="Strong"/>
          <w:rFonts w:ascii="Arial" w:hAnsi="Arial"/>
          <w:b w:val="0"/>
          <w:bCs w:val="0"/>
          <w:sz w:val="22"/>
          <w:szCs w:val="22"/>
          <w:lang w:val="en-IN"/>
        </w:rPr>
        <w:t xml:space="preserve">, T., Matsuda, H., Sumi, T., Iwata, K., </w:t>
      </w:r>
      <w:proofErr w:type="spellStart"/>
      <w:r>
        <w:rPr>
          <w:rStyle w:val="Strong"/>
          <w:rFonts w:ascii="Arial" w:hAnsi="Arial"/>
          <w:b w:val="0"/>
          <w:bCs w:val="0"/>
          <w:sz w:val="22"/>
          <w:szCs w:val="22"/>
          <w:lang w:val="en-IN"/>
        </w:rPr>
        <w:t>Namatame</w:t>
      </w:r>
      <w:proofErr w:type="spellEnd"/>
      <w:r>
        <w:rPr>
          <w:rStyle w:val="Strong"/>
          <w:rFonts w:ascii="Arial" w:hAnsi="Arial"/>
          <w:b w:val="0"/>
          <w:bCs w:val="0"/>
          <w:sz w:val="22"/>
          <w:szCs w:val="22"/>
          <w:lang w:val="en-IN"/>
        </w:rPr>
        <w:t xml:space="preserve">, T., ... &amp; Ueki, K. (2024). Rise of oligodendroglioma hypermutator phenotype from a subclone </w:t>
      </w:r>
      <w:proofErr w:type="spellStart"/>
      <w:r>
        <w:rPr>
          <w:rStyle w:val="Strong"/>
          <w:rFonts w:ascii="Arial" w:hAnsi="Arial"/>
          <w:b w:val="0"/>
          <w:bCs w:val="0"/>
          <w:sz w:val="22"/>
          <w:szCs w:val="22"/>
          <w:lang w:val="en-IN"/>
        </w:rPr>
        <w:t>harboring</w:t>
      </w:r>
      <w:proofErr w:type="spellEnd"/>
      <w:r>
        <w:rPr>
          <w:rStyle w:val="Strong"/>
          <w:rFonts w:ascii="Arial" w:hAnsi="Arial"/>
          <w:b w:val="0"/>
          <w:bCs w:val="0"/>
          <w:sz w:val="22"/>
          <w:szCs w:val="22"/>
          <w:lang w:val="en-IN"/>
        </w:rPr>
        <w:t xml:space="preserve"> TP53 mutation after TMZ treatment. Brain </w:t>
      </w:r>
      <w:proofErr w:type="spellStart"/>
      <w:r>
        <w:rPr>
          <w:rStyle w:val="Strong"/>
          <w:rFonts w:ascii="Arial" w:hAnsi="Arial"/>
          <w:b w:val="0"/>
          <w:bCs w:val="0"/>
          <w:sz w:val="22"/>
          <w:szCs w:val="22"/>
          <w:lang w:val="en-IN"/>
        </w:rPr>
        <w:t>Tumor</w:t>
      </w:r>
      <w:proofErr w:type="spellEnd"/>
      <w:r>
        <w:rPr>
          <w:rStyle w:val="Strong"/>
          <w:rFonts w:ascii="Arial" w:hAnsi="Arial"/>
          <w:b w:val="0"/>
          <w:bCs w:val="0"/>
          <w:sz w:val="22"/>
          <w:szCs w:val="22"/>
          <w:lang w:val="en-IN"/>
        </w:rPr>
        <w:t xml:space="preserve"> Pathology, 41(2), 80-84.</w:t>
      </w:r>
    </w:p>
    <w:p w14:paraId="489A0091"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Arita</w:t>
      </w:r>
      <w:proofErr w:type="spellEnd"/>
      <w:r>
        <w:rPr>
          <w:rStyle w:val="Strong"/>
          <w:rFonts w:ascii="Arial" w:hAnsi="Arial"/>
          <w:b w:val="0"/>
          <w:bCs w:val="0"/>
          <w:sz w:val="22"/>
          <w:szCs w:val="22"/>
          <w:lang w:val="en-IN"/>
        </w:rPr>
        <w:t xml:space="preserve">, H., &amp; </w:t>
      </w:r>
      <w:proofErr w:type="spellStart"/>
      <w:r>
        <w:rPr>
          <w:rStyle w:val="Strong"/>
          <w:rFonts w:ascii="Arial" w:hAnsi="Arial"/>
          <w:b w:val="0"/>
          <w:bCs w:val="0"/>
          <w:sz w:val="22"/>
          <w:szCs w:val="22"/>
          <w:lang w:val="en-IN"/>
        </w:rPr>
        <w:t>Ichimura</w:t>
      </w:r>
      <w:proofErr w:type="spellEnd"/>
      <w:r>
        <w:rPr>
          <w:rStyle w:val="Strong"/>
          <w:rFonts w:ascii="Arial" w:hAnsi="Arial"/>
          <w:b w:val="0"/>
          <w:bCs w:val="0"/>
          <w:sz w:val="22"/>
          <w:szCs w:val="22"/>
          <w:lang w:val="en-IN"/>
        </w:rPr>
        <w:t xml:space="preserve">, K. (2022). Prognostic significance of TERT promoter mutations in adult-type diffuse gliomas. Brain </w:t>
      </w:r>
      <w:proofErr w:type="spellStart"/>
      <w:r>
        <w:rPr>
          <w:rStyle w:val="Strong"/>
          <w:rFonts w:ascii="Arial" w:hAnsi="Arial"/>
          <w:b w:val="0"/>
          <w:bCs w:val="0"/>
          <w:sz w:val="22"/>
          <w:szCs w:val="22"/>
          <w:lang w:val="en-IN"/>
        </w:rPr>
        <w:t>Tumor</w:t>
      </w:r>
      <w:proofErr w:type="spellEnd"/>
      <w:r>
        <w:rPr>
          <w:rStyle w:val="Strong"/>
          <w:rFonts w:ascii="Arial" w:hAnsi="Arial"/>
          <w:b w:val="0"/>
          <w:bCs w:val="0"/>
          <w:sz w:val="22"/>
          <w:szCs w:val="22"/>
          <w:lang w:val="en-IN"/>
        </w:rPr>
        <w:t xml:space="preserve"> Pathology, 39(3), 121-129.</w:t>
      </w:r>
    </w:p>
    <w:p w14:paraId="5714A61F"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Brandner</w:t>
      </w:r>
      <w:proofErr w:type="spellEnd"/>
      <w:r>
        <w:rPr>
          <w:rStyle w:val="Strong"/>
          <w:rFonts w:ascii="Arial" w:hAnsi="Arial"/>
          <w:b w:val="0"/>
          <w:bCs w:val="0"/>
          <w:sz w:val="22"/>
          <w:szCs w:val="22"/>
          <w:lang w:val="en-IN"/>
        </w:rPr>
        <w:t xml:space="preserve">, S., </w:t>
      </w:r>
      <w:proofErr w:type="spellStart"/>
      <w:r>
        <w:rPr>
          <w:rStyle w:val="Strong"/>
          <w:rFonts w:ascii="Arial" w:hAnsi="Arial"/>
          <w:b w:val="0"/>
          <w:bCs w:val="0"/>
          <w:sz w:val="22"/>
          <w:szCs w:val="22"/>
          <w:lang w:val="en-IN"/>
        </w:rPr>
        <w:t>McAleenan</w:t>
      </w:r>
      <w:proofErr w:type="spellEnd"/>
      <w:r>
        <w:rPr>
          <w:rStyle w:val="Strong"/>
          <w:rFonts w:ascii="Arial" w:hAnsi="Arial"/>
          <w:b w:val="0"/>
          <w:bCs w:val="0"/>
          <w:sz w:val="22"/>
          <w:szCs w:val="22"/>
          <w:lang w:val="en-IN"/>
        </w:rPr>
        <w:t xml:space="preserve">, A., Jones, H. E., </w:t>
      </w:r>
      <w:proofErr w:type="spellStart"/>
      <w:r>
        <w:rPr>
          <w:rStyle w:val="Strong"/>
          <w:rFonts w:ascii="Arial" w:hAnsi="Arial"/>
          <w:b w:val="0"/>
          <w:bCs w:val="0"/>
          <w:sz w:val="22"/>
          <w:szCs w:val="22"/>
          <w:lang w:val="en-IN"/>
        </w:rPr>
        <w:t>Kernohan</w:t>
      </w:r>
      <w:proofErr w:type="spellEnd"/>
      <w:r>
        <w:rPr>
          <w:rStyle w:val="Strong"/>
          <w:rFonts w:ascii="Arial" w:hAnsi="Arial"/>
          <w:b w:val="0"/>
          <w:bCs w:val="0"/>
          <w:sz w:val="22"/>
          <w:szCs w:val="22"/>
          <w:lang w:val="en-IN"/>
        </w:rPr>
        <w:t>, A., Robinson, T., Schmidt, L., ... &amp; Kurian, K. M. (2022). Diagnostic accuracy of 1p/19q codeletion tests in oligodendroglioma: A comprehensive meta‐analysis based on a Cochrane systematic review. Neuropathology and applied neurobiology, 48(4), e12790.</w:t>
      </w:r>
    </w:p>
    <w:p w14:paraId="4E35DF3C"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Tirrò</w:t>
      </w:r>
      <w:proofErr w:type="spellEnd"/>
      <w:r>
        <w:rPr>
          <w:rStyle w:val="Strong"/>
          <w:rFonts w:ascii="Arial" w:hAnsi="Arial"/>
          <w:b w:val="0"/>
          <w:bCs w:val="0"/>
          <w:sz w:val="22"/>
          <w:szCs w:val="22"/>
          <w:lang w:val="en-IN"/>
        </w:rPr>
        <w:t xml:space="preserve">, E., Massimino, M., </w:t>
      </w:r>
      <w:proofErr w:type="spellStart"/>
      <w:r>
        <w:rPr>
          <w:rStyle w:val="Strong"/>
          <w:rFonts w:ascii="Arial" w:hAnsi="Arial"/>
          <w:b w:val="0"/>
          <w:bCs w:val="0"/>
          <w:sz w:val="22"/>
          <w:szCs w:val="22"/>
          <w:lang w:val="en-IN"/>
        </w:rPr>
        <w:t>Broggi</w:t>
      </w:r>
      <w:proofErr w:type="spellEnd"/>
      <w:r>
        <w:rPr>
          <w:rStyle w:val="Strong"/>
          <w:rFonts w:ascii="Arial" w:hAnsi="Arial"/>
          <w:b w:val="0"/>
          <w:bCs w:val="0"/>
          <w:sz w:val="22"/>
          <w:szCs w:val="22"/>
          <w:lang w:val="en-IN"/>
        </w:rPr>
        <w:t xml:space="preserve">, G., Romano, C., </w:t>
      </w:r>
      <w:proofErr w:type="spellStart"/>
      <w:r>
        <w:rPr>
          <w:rStyle w:val="Strong"/>
          <w:rFonts w:ascii="Arial" w:hAnsi="Arial"/>
          <w:b w:val="0"/>
          <w:bCs w:val="0"/>
          <w:sz w:val="22"/>
          <w:szCs w:val="22"/>
          <w:lang w:val="en-IN"/>
        </w:rPr>
        <w:t>Minasi</w:t>
      </w:r>
      <w:proofErr w:type="spellEnd"/>
      <w:r>
        <w:rPr>
          <w:rStyle w:val="Strong"/>
          <w:rFonts w:ascii="Arial" w:hAnsi="Arial"/>
          <w:b w:val="0"/>
          <w:bCs w:val="0"/>
          <w:sz w:val="22"/>
          <w:szCs w:val="22"/>
          <w:lang w:val="en-IN"/>
        </w:rPr>
        <w:t xml:space="preserve">, S., </w:t>
      </w:r>
      <w:proofErr w:type="spellStart"/>
      <w:r>
        <w:rPr>
          <w:rStyle w:val="Strong"/>
          <w:rFonts w:ascii="Arial" w:hAnsi="Arial"/>
          <w:b w:val="0"/>
          <w:bCs w:val="0"/>
          <w:sz w:val="22"/>
          <w:szCs w:val="22"/>
          <w:lang w:val="en-IN"/>
        </w:rPr>
        <w:t>Gianno</w:t>
      </w:r>
      <w:proofErr w:type="spellEnd"/>
      <w:r>
        <w:rPr>
          <w:rStyle w:val="Strong"/>
          <w:rFonts w:ascii="Arial" w:hAnsi="Arial"/>
          <w:b w:val="0"/>
          <w:bCs w:val="0"/>
          <w:sz w:val="22"/>
          <w:szCs w:val="22"/>
          <w:lang w:val="en-IN"/>
        </w:rPr>
        <w:t xml:space="preserve">, F., ... &amp; </w:t>
      </w:r>
      <w:proofErr w:type="spellStart"/>
      <w:r>
        <w:rPr>
          <w:rStyle w:val="Strong"/>
          <w:rFonts w:ascii="Arial" w:hAnsi="Arial"/>
          <w:b w:val="0"/>
          <w:bCs w:val="0"/>
          <w:sz w:val="22"/>
          <w:szCs w:val="22"/>
          <w:lang w:val="en-IN"/>
        </w:rPr>
        <w:t>Vigneri</w:t>
      </w:r>
      <w:proofErr w:type="spellEnd"/>
      <w:r>
        <w:rPr>
          <w:rStyle w:val="Strong"/>
          <w:rFonts w:ascii="Arial" w:hAnsi="Arial"/>
          <w:b w:val="0"/>
          <w:bCs w:val="0"/>
          <w:sz w:val="22"/>
          <w:szCs w:val="22"/>
          <w:lang w:val="en-IN"/>
        </w:rPr>
        <w:t>, P. (2022). A custom DNA-based NGS panel for the molecular characterization of patients with diffuse gliomas: diagnostic and therapeutic applications. Frontiers in Oncology, 12, 861078.</w:t>
      </w:r>
    </w:p>
    <w:p w14:paraId="03C1D0D3"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Dang, D. D., Rosenblum, J. S., Shah, A. H., Zhuang, Z., &amp; Doucet-O’Hare, T. T. (2023). Epigenetic regulation in primary CNS </w:t>
      </w:r>
      <w:proofErr w:type="spellStart"/>
      <w:r>
        <w:rPr>
          <w:rStyle w:val="Strong"/>
          <w:rFonts w:ascii="Arial" w:hAnsi="Arial"/>
          <w:b w:val="0"/>
          <w:bCs w:val="0"/>
          <w:sz w:val="22"/>
          <w:szCs w:val="22"/>
          <w:lang w:val="en-IN"/>
        </w:rPr>
        <w:t>tumors</w:t>
      </w:r>
      <w:proofErr w:type="spellEnd"/>
      <w:r>
        <w:rPr>
          <w:rStyle w:val="Strong"/>
          <w:rFonts w:ascii="Arial" w:hAnsi="Arial"/>
          <w:b w:val="0"/>
          <w:bCs w:val="0"/>
          <w:sz w:val="22"/>
          <w:szCs w:val="22"/>
          <w:lang w:val="en-IN"/>
        </w:rPr>
        <w:t>: an opportunity to bridge old and new WHO classifications. Cancers, 15(9), 2511.</w:t>
      </w:r>
    </w:p>
    <w:p w14:paraId="3D74E1D4"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Wu, H., Wei, M., Li, Y., Ma, Q., &amp; Zhang, H. (2022). Research progress on the regulation mechanism of key signal pathways affecting the prognosis of glioma. Frontiers in Molecular Neuroscience, 15, 910543.</w:t>
      </w:r>
    </w:p>
    <w:p w14:paraId="48085E2D"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Li, H. L., Dong, L. L., </w:t>
      </w:r>
      <w:proofErr w:type="spellStart"/>
      <w:r>
        <w:rPr>
          <w:rStyle w:val="Strong"/>
          <w:rFonts w:ascii="Arial" w:hAnsi="Arial"/>
          <w:b w:val="0"/>
          <w:bCs w:val="0"/>
          <w:sz w:val="22"/>
          <w:szCs w:val="22"/>
          <w:lang w:val="en-IN"/>
        </w:rPr>
        <w:t>Jin</w:t>
      </w:r>
      <w:proofErr w:type="spellEnd"/>
      <w:r>
        <w:rPr>
          <w:rStyle w:val="Strong"/>
          <w:rFonts w:ascii="Arial" w:hAnsi="Arial"/>
          <w:b w:val="0"/>
          <w:bCs w:val="0"/>
          <w:sz w:val="22"/>
          <w:szCs w:val="22"/>
          <w:lang w:val="en-IN"/>
        </w:rPr>
        <w:t>, M. J., Li, Q. Y., Wang, X., Jia, M. Q., ... &amp; Yuan, S. (2023). A review of the regulatory mechanisms of N-</w:t>
      </w:r>
      <w:proofErr w:type="spellStart"/>
      <w:r>
        <w:rPr>
          <w:rStyle w:val="Strong"/>
          <w:rFonts w:ascii="Arial" w:hAnsi="Arial"/>
          <w:b w:val="0"/>
          <w:bCs w:val="0"/>
          <w:sz w:val="22"/>
          <w:szCs w:val="22"/>
          <w:lang w:val="en-IN"/>
        </w:rPr>
        <w:t>myc</w:t>
      </w:r>
      <w:proofErr w:type="spellEnd"/>
      <w:r>
        <w:rPr>
          <w:rStyle w:val="Strong"/>
          <w:rFonts w:ascii="Arial" w:hAnsi="Arial"/>
          <w:b w:val="0"/>
          <w:bCs w:val="0"/>
          <w:sz w:val="22"/>
          <w:szCs w:val="22"/>
          <w:lang w:val="en-IN"/>
        </w:rPr>
        <w:t xml:space="preserve"> on cell cycle. Molecules, 28(3), 1141.</w:t>
      </w:r>
    </w:p>
    <w:p w14:paraId="0411CE3A"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Abdallah, A. S. (2023). Investigation of the Initiation, Progression and Treatment of </w:t>
      </w:r>
      <w:proofErr w:type="spellStart"/>
      <w:r>
        <w:rPr>
          <w:rStyle w:val="Strong"/>
          <w:rFonts w:ascii="Arial" w:hAnsi="Arial"/>
          <w:b w:val="0"/>
          <w:bCs w:val="0"/>
          <w:sz w:val="22"/>
          <w:szCs w:val="22"/>
          <w:lang w:val="en-IN"/>
        </w:rPr>
        <w:t>Pediatric</w:t>
      </w:r>
      <w:proofErr w:type="spellEnd"/>
      <w:r>
        <w:rPr>
          <w:rStyle w:val="Strong"/>
          <w:rFonts w:ascii="Arial" w:hAnsi="Arial"/>
          <w:b w:val="0"/>
          <w:bCs w:val="0"/>
          <w:sz w:val="22"/>
          <w:szCs w:val="22"/>
          <w:lang w:val="en-IN"/>
        </w:rPr>
        <w:t xml:space="preserve"> Gliomas (Doctoral dissertation, </w:t>
      </w:r>
      <w:proofErr w:type="spellStart"/>
      <w:r>
        <w:rPr>
          <w:rStyle w:val="Strong"/>
          <w:rFonts w:ascii="Arial" w:hAnsi="Arial"/>
          <w:b w:val="0"/>
          <w:bCs w:val="0"/>
          <w:sz w:val="22"/>
          <w:szCs w:val="22"/>
          <w:lang w:val="en-IN"/>
        </w:rPr>
        <w:t>Northwestern</w:t>
      </w:r>
      <w:proofErr w:type="spellEnd"/>
      <w:r>
        <w:rPr>
          <w:rStyle w:val="Strong"/>
          <w:rFonts w:ascii="Arial" w:hAnsi="Arial"/>
          <w:b w:val="0"/>
          <w:bCs w:val="0"/>
          <w:sz w:val="22"/>
          <w:szCs w:val="22"/>
          <w:lang w:val="en-IN"/>
        </w:rPr>
        <w:t xml:space="preserve"> University).</w:t>
      </w:r>
    </w:p>
    <w:p w14:paraId="3A212D6F"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Peris-Martínez, I., Romero-Murillo, S., Vicente, C., </w:t>
      </w:r>
      <w:proofErr w:type="spellStart"/>
      <w:r>
        <w:rPr>
          <w:rStyle w:val="Strong"/>
          <w:rFonts w:ascii="Arial" w:hAnsi="Arial"/>
          <w:b w:val="0"/>
          <w:bCs w:val="0"/>
          <w:sz w:val="22"/>
          <w:szCs w:val="22"/>
          <w:lang w:val="en-IN"/>
        </w:rPr>
        <w:t>Narla</w:t>
      </w:r>
      <w:proofErr w:type="spellEnd"/>
      <w:r>
        <w:rPr>
          <w:rStyle w:val="Strong"/>
          <w:rFonts w:ascii="Arial" w:hAnsi="Arial"/>
          <w:b w:val="0"/>
          <w:bCs w:val="0"/>
          <w:sz w:val="22"/>
          <w:szCs w:val="22"/>
          <w:lang w:val="en-IN"/>
        </w:rPr>
        <w:t xml:space="preserve">, G., &amp; </w:t>
      </w:r>
      <w:proofErr w:type="spellStart"/>
      <w:r>
        <w:rPr>
          <w:rStyle w:val="Strong"/>
          <w:rFonts w:ascii="Arial" w:hAnsi="Arial"/>
          <w:b w:val="0"/>
          <w:bCs w:val="0"/>
          <w:sz w:val="22"/>
          <w:szCs w:val="22"/>
          <w:lang w:val="en-IN"/>
        </w:rPr>
        <w:t>Odero</w:t>
      </w:r>
      <w:proofErr w:type="spellEnd"/>
      <w:r>
        <w:rPr>
          <w:rStyle w:val="Strong"/>
          <w:rFonts w:ascii="Arial" w:hAnsi="Arial"/>
          <w:b w:val="0"/>
          <w:bCs w:val="0"/>
          <w:sz w:val="22"/>
          <w:szCs w:val="22"/>
          <w:lang w:val="en-IN"/>
        </w:rPr>
        <w:t>, M. D. (2023). Regulation and role of the PP2A-B56 holoenzyme family in cancer.</w:t>
      </w:r>
    </w:p>
    <w:p w14:paraId="25D8D52A"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lastRenderedPageBreak/>
        <w:t xml:space="preserve">Rodriguez, A., Dixit, K., O’Hara Jr, R. M., &amp; </w:t>
      </w:r>
      <w:proofErr w:type="spellStart"/>
      <w:r>
        <w:rPr>
          <w:rStyle w:val="Strong"/>
          <w:rFonts w:ascii="Arial" w:hAnsi="Arial"/>
          <w:b w:val="0"/>
          <w:bCs w:val="0"/>
          <w:sz w:val="22"/>
          <w:szCs w:val="22"/>
          <w:lang w:val="en-IN"/>
        </w:rPr>
        <w:t>Vojnic</w:t>
      </w:r>
      <w:proofErr w:type="spellEnd"/>
      <w:r>
        <w:rPr>
          <w:rStyle w:val="Strong"/>
          <w:rFonts w:ascii="Arial" w:hAnsi="Arial"/>
          <w:b w:val="0"/>
          <w:bCs w:val="0"/>
          <w:sz w:val="22"/>
          <w:szCs w:val="22"/>
          <w:lang w:val="en-IN"/>
        </w:rPr>
        <w:t xml:space="preserve">, M. (2025). Efficacy of </w:t>
      </w:r>
      <w:proofErr w:type="spellStart"/>
      <w:r>
        <w:rPr>
          <w:rStyle w:val="Strong"/>
          <w:rFonts w:ascii="Arial" w:hAnsi="Arial"/>
          <w:b w:val="0"/>
          <w:bCs w:val="0"/>
          <w:sz w:val="22"/>
          <w:szCs w:val="22"/>
          <w:lang w:val="en-IN"/>
        </w:rPr>
        <w:t>tepotinib</w:t>
      </w:r>
      <w:proofErr w:type="spellEnd"/>
      <w:r>
        <w:rPr>
          <w:rStyle w:val="Strong"/>
          <w:rFonts w:ascii="Arial" w:hAnsi="Arial"/>
          <w:b w:val="0"/>
          <w:bCs w:val="0"/>
          <w:sz w:val="22"/>
          <w:szCs w:val="22"/>
          <w:lang w:val="en-IN"/>
        </w:rPr>
        <w:t xml:space="preserve"> in patients with high-grade glioma with MET alterations: A case series. Neuro-Oncology Practice, npaf130.</w:t>
      </w:r>
    </w:p>
    <w:p w14:paraId="0A767DEF"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Kardian</w:t>
      </w:r>
      <w:proofErr w:type="spellEnd"/>
      <w:r>
        <w:rPr>
          <w:rStyle w:val="Strong"/>
          <w:rFonts w:ascii="Arial" w:hAnsi="Arial"/>
          <w:b w:val="0"/>
          <w:bCs w:val="0"/>
          <w:sz w:val="22"/>
          <w:szCs w:val="22"/>
          <w:lang w:val="en-IN"/>
        </w:rPr>
        <w:t xml:space="preserve">, A. S., &amp; Mack, S. (2024). The intersection of epigenetic alterations and developmental state in </w:t>
      </w:r>
      <w:proofErr w:type="spellStart"/>
      <w:r>
        <w:rPr>
          <w:rStyle w:val="Strong"/>
          <w:rFonts w:ascii="Arial" w:hAnsi="Arial"/>
          <w:b w:val="0"/>
          <w:bCs w:val="0"/>
          <w:sz w:val="22"/>
          <w:szCs w:val="22"/>
          <w:lang w:val="en-IN"/>
        </w:rPr>
        <w:t>pediatric</w:t>
      </w:r>
      <w:proofErr w:type="spellEnd"/>
      <w:r>
        <w:rPr>
          <w:rStyle w:val="Strong"/>
          <w:rFonts w:ascii="Arial" w:hAnsi="Arial"/>
          <w:b w:val="0"/>
          <w:bCs w:val="0"/>
          <w:sz w:val="22"/>
          <w:szCs w:val="22"/>
          <w:lang w:val="en-IN"/>
        </w:rPr>
        <w:t xml:space="preserve"> ependymomas. Developmental Neuroscience, 46(6), 365-372.</w:t>
      </w:r>
    </w:p>
    <w:p w14:paraId="7EC9ECD9"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Liao, C., Wang, Q., &amp; </w:t>
      </w:r>
      <w:proofErr w:type="spellStart"/>
      <w:r>
        <w:rPr>
          <w:rStyle w:val="Strong"/>
          <w:rFonts w:ascii="Arial" w:hAnsi="Arial"/>
          <w:b w:val="0"/>
          <w:bCs w:val="0"/>
          <w:sz w:val="22"/>
          <w:szCs w:val="22"/>
          <w:lang w:val="en-IN"/>
        </w:rPr>
        <w:t>Xie</w:t>
      </w:r>
      <w:proofErr w:type="spellEnd"/>
      <w:r>
        <w:rPr>
          <w:rStyle w:val="Strong"/>
          <w:rFonts w:ascii="Arial" w:hAnsi="Arial"/>
          <w:b w:val="0"/>
          <w:bCs w:val="0"/>
          <w:sz w:val="22"/>
          <w:szCs w:val="22"/>
          <w:lang w:val="en-IN"/>
        </w:rPr>
        <w:t>, Z. (2025). Kinase Inhibitors for the Treatment of Brain Diseases. Trends in CNS Drug Discovery, 311-352.</w:t>
      </w:r>
    </w:p>
    <w:p w14:paraId="2390356C"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Blandin</w:t>
      </w:r>
      <w:proofErr w:type="spellEnd"/>
      <w:r>
        <w:rPr>
          <w:rStyle w:val="Strong"/>
          <w:rFonts w:ascii="Arial" w:hAnsi="Arial"/>
          <w:b w:val="0"/>
          <w:bCs w:val="0"/>
          <w:sz w:val="22"/>
          <w:szCs w:val="22"/>
          <w:lang w:val="en-IN"/>
        </w:rPr>
        <w:t xml:space="preserve">, A. F., Giglio, R., Graham, M. S., Garcia, G., Malinowski, S., Woods, J. K., ... &amp; </w:t>
      </w:r>
      <w:proofErr w:type="spellStart"/>
      <w:r>
        <w:rPr>
          <w:rStyle w:val="Strong"/>
          <w:rFonts w:ascii="Arial" w:hAnsi="Arial"/>
          <w:b w:val="0"/>
          <w:bCs w:val="0"/>
          <w:sz w:val="22"/>
          <w:szCs w:val="22"/>
          <w:lang w:val="en-IN"/>
        </w:rPr>
        <w:t>Ligon</w:t>
      </w:r>
      <w:proofErr w:type="spellEnd"/>
      <w:r>
        <w:rPr>
          <w:rStyle w:val="Strong"/>
          <w:rFonts w:ascii="Arial" w:hAnsi="Arial"/>
          <w:b w:val="0"/>
          <w:bCs w:val="0"/>
          <w:sz w:val="22"/>
          <w:szCs w:val="22"/>
          <w:lang w:val="en-IN"/>
        </w:rPr>
        <w:t>, K. L. (2023). ALK amplification and rearrangements are recurrent targetable events in congenital and adult glioblastoma. Clinical Cancer Research, 29(14), 2651-2667.</w:t>
      </w:r>
    </w:p>
    <w:p w14:paraId="6E5E3BFC"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Ali, R. H., </w:t>
      </w:r>
      <w:proofErr w:type="spellStart"/>
      <w:r>
        <w:rPr>
          <w:rStyle w:val="Strong"/>
          <w:rFonts w:ascii="Arial" w:hAnsi="Arial"/>
          <w:b w:val="0"/>
          <w:bCs w:val="0"/>
          <w:sz w:val="22"/>
          <w:szCs w:val="22"/>
          <w:lang w:val="en-IN"/>
        </w:rPr>
        <w:t>Alateeqi</w:t>
      </w:r>
      <w:proofErr w:type="spellEnd"/>
      <w:r>
        <w:rPr>
          <w:rStyle w:val="Strong"/>
          <w:rFonts w:ascii="Arial" w:hAnsi="Arial"/>
          <w:b w:val="0"/>
          <w:bCs w:val="0"/>
          <w:sz w:val="22"/>
          <w:szCs w:val="22"/>
          <w:lang w:val="en-IN"/>
        </w:rPr>
        <w:t xml:space="preserve">, M., Jama, H., </w:t>
      </w:r>
      <w:proofErr w:type="spellStart"/>
      <w:r>
        <w:rPr>
          <w:rStyle w:val="Strong"/>
          <w:rFonts w:ascii="Arial" w:hAnsi="Arial"/>
          <w:b w:val="0"/>
          <w:bCs w:val="0"/>
          <w:sz w:val="22"/>
          <w:szCs w:val="22"/>
          <w:lang w:val="en-IN"/>
        </w:rPr>
        <w:t>Alrumaidhi</w:t>
      </w:r>
      <w:proofErr w:type="spellEnd"/>
      <w:r>
        <w:rPr>
          <w:rStyle w:val="Strong"/>
          <w:rFonts w:ascii="Arial" w:hAnsi="Arial"/>
          <w:b w:val="0"/>
          <w:bCs w:val="0"/>
          <w:sz w:val="22"/>
          <w:szCs w:val="22"/>
          <w:lang w:val="en-IN"/>
        </w:rPr>
        <w:t xml:space="preserve">, N., </w:t>
      </w:r>
      <w:proofErr w:type="spellStart"/>
      <w:r>
        <w:rPr>
          <w:rStyle w:val="Strong"/>
          <w:rFonts w:ascii="Arial" w:hAnsi="Arial"/>
          <w:b w:val="0"/>
          <w:bCs w:val="0"/>
          <w:sz w:val="22"/>
          <w:szCs w:val="22"/>
          <w:lang w:val="en-IN"/>
        </w:rPr>
        <w:t>Alqallaf</w:t>
      </w:r>
      <w:proofErr w:type="spellEnd"/>
      <w:r>
        <w:rPr>
          <w:rStyle w:val="Strong"/>
          <w:rFonts w:ascii="Arial" w:hAnsi="Arial"/>
          <w:b w:val="0"/>
          <w:bCs w:val="0"/>
          <w:sz w:val="22"/>
          <w:szCs w:val="22"/>
          <w:lang w:val="en-IN"/>
        </w:rPr>
        <w:t xml:space="preserve">, A., Mohammed, E. M., ... &amp; </w:t>
      </w:r>
      <w:proofErr w:type="spellStart"/>
      <w:r>
        <w:rPr>
          <w:rStyle w:val="Strong"/>
          <w:rFonts w:ascii="Arial" w:hAnsi="Arial"/>
          <w:b w:val="0"/>
          <w:bCs w:val="0"/>
          <w:sz w:val="22"/>
          <w:szCs w:val="22"/>
          <w:lang w:val="en-IN"/>
        </w:rPr>
        <w:t>Bahzad</w:t>
      </w:r>
      <w:proofErr w:type="spellEnd"/>
      <w:r>
        <w:rPr>
          <w:rStyle w:val="Strong"/>
          <w:rFonts w:ascii="Arial" w:hAnsi="Arial"/>
          <w:b w:val="0"/>
          <w:bCs w:val="0"/>
          <w:sz w:val="22"/>
          <w:szCs w:val="22"/>
          <w:lang w:val="en-IN"/>
        </w:rPr>
        <w:t xml:space="preserve">, S. (2023). Evaluation of the </w:t>
      </w:r>
      <w:proofErr w:type="spellStart"/>
      <w:r>
        <w:rPr>
          <w:rStyle w:val="Strong"/>
          <w:rFonts w:ascii="Arial" w:hAnsi="Arial"/>
          <w:b w:val="0"/>
          <w:bCs w:val="0"/>
          <w:sz w:val="22"/>
          <w:szCs w:val="22"/>
          <w:lang w:val="en-IN"/>
        </w:rPr>
        <w:t>Oncomine</w:t>
      </w:r>
      <w:proofErr w:type="spellEnd"/>
      <w:r>
        <w:rPr>
          <w:rStyle w:val="Strong"/>
          <w:rFonts w:ascii="Arial" w:hAnsi="Arial"/>
          <w:b w:val="0"/>
          <w:bCs w:val="0"/>
          <w:sz w:val="22"/>
          <w:szCs w:val="22"/>
          <w:lang w:val="en-IN"/>
        </w:rPr>
        <w:t xml:space="preserve"> Comprehensive Assay v3 panel for the detection of 1p/19q codeletion in </w:t>
      </w:r>
      <w:proofErr w:type="spellStart"/>
      <w:r>
        <w:rPr>
          <w:rStyle w:val="Strong"/>
          <w:rFonts w:ascii="Arial" w:hAnsi="Arial"/>
          <w:b w:val="0"/>
          <w:bCs w:val="0"/>
          <w:sz w:val="22"/>
          <w:szCs w:val="22"/>
          <w:lang w:val="en-IN"/>
        </w:rPr>
        <w:t>oligodendroglial</w:t>
      </w:r>
      <w:proofErr w:type="spellEnd"/>
      <w:r>
        <w:rPr>
          <w:rStyle w:val="Strong"/>
          <w:rFonts w:ascii="Arial" w:hAnsi="Arial"/>
          <w:b w:val="0"/>
          <w:bCs w:val="0"/>
          <w:sz w:val="22"/>
          <w:szCs w:val="22"/>
          <w:lang w:val="en-IN"/>
        </w:rPr>
        <w:t xml:space="preserve"> tumours. Journal of Clinical Pathology, 76(2), 103-110.</w:t>
      </w:r>
    </w:p>
    <w:p w14:paraId="303024E4"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Sejda</w:t>
      </w:r>
      <w:proofErr w:type="spellEnd"/>
      <w:r>
        <w:rPr>
          <w:rStyle w:val="Strong"/>
          <w:rFonts w:ascii="Arial" w:hAnsi="Arial"/>
          <w:b w:val="0"/>
          <w:bCs w:val="0"/>
          <w:sz w:val="22"/>
          <w:szCs w:val="22"/>
          <w:lang w:val="en-IN"/>
        </w:rPr>
        <w:t xml:space="preserve">, A., </w:t>
      </w:r>
      <w:proofErr w:type="spellStart"/>
      <w:r>
        <w:rPr>
          <w:rStyle w:val="Strong"/>
          <w:rFonts w:ascii="Arial" w:hAnsi="Arial"/>
          <w:b w:val="0"/>
          <w:bCs w:val="0"/>
          <w:sz w:val="22"/>
          <w:szCs w:val="22"/>
          <w:lang w:val="en-IN"/>
        </w:rPr>
        <w:t>Grajkowska</w:t>
      </w:r>
      <w:proofErr w:type="spellEnd"/>
      <w:r>
        <w:rPr>
          <w:rStyle w:val="Strong"/>
          <w:rFonts w:ascii="Arial" w:hAnsi="Arial"/>
          <w:b w:val="0"/>
          <w:bCs w:val="0"/>
          <w:sz w:val="22"/>
          <w:szCs w:val="22"/>
          <w:lang w:val="en-IN"/>
        </w:rPr>
        <w:t xml:space="preserve">, W., </w:t>
      </w:r>
      <w:proofErr w:type="spellStart"/>
      <w:r>
        <w:rPr>
          <w:rStyle w:val="Strong"/>
          <w:rFonts w:ascii="Arial" w:hAnsi="Arial"/>
          <w:b w:val="0"/>
          <w:bCs w:val="0"/>
          <w:sz w:val="22"/>
          <w:szCs w:val="22"/>
          <w:lang w:val="en-IN"/>
        </w:rPr>
        <w:t>Trubicka</w:t>
      </w:r>
      <w:proofErr w:type="spellEnd"/>
      <w:r>
        <w:rPr>
          <w:rStyle w:val="Strong"/>
          <w:rFonts w:ascii="Arial" w:hAnsi="Arial"/>
          <w:b w:val="0"/>
          <w:bCs w:val="0"/>
          <w:sz w:val="22"/>
          <w:szCs w:val="22"/>
          <w:lang w:val="en-IN"/>
        </w:rPr>
        <w:t xml:space="preserve">, J., </w:t>
      </w:r>
      <w:proofErr w:type="spellStart"/>
      <w:r>
        <w:rPr>
          <w:rStyle w:val="Strong"/>
          <w:rFonts w:ascii="Arial" w:hAnsi="Arial"/>
          <w:b w:val="0"/>
          <w:bCs w:val="0"/>
          <w:sz w:val="22"/>
          <w:szCs w:val="22"/>
          <w:lang w:val="en-IN"/>
        </w:rPr>
        <w:t>Szutowicz</w:t>
      </w:r>
      <w:proofErr w:type="spellEnd"/>
      <w:r>
        <w:rPr>
          <w:rStyle w:val="Strong"/>
          <w:rFonts w:ascii="Arial" w:hAnsi="Arial"/>
          <w:b w:val="0"/>
          <w:bCs w:val="0"/>
          <w:sz w:val="22"/>
          <w:szCs w:val="22"/>
          <w:lang w:val="en-IN"/>
        </w:rPr>
        <w:t xml:space="preserve">, E., </w:t>
      </w:r>
      <w:proofErr w:type="spellStart"/>
      <w:r>
        <w:rPr>
          <w:rStyle w:val="Strong"/>
          <w:rFonts w:ascii="Arial" w:hAnsi="Arial"/>
          <w:b w:val="0"/>
          <w:bCs w:val="0"/>
          <w:sz w:val="22"/>
          <w:szCs w:val="22"/>
          <w:lang w:val="en-IN"/>
        </w:rPr>
        <w:t>Wojdacz</w:t>
      </w:r>
      <w:proofErr w:type="spellEnd"/>
      <w:r>
        <w:rPr>
          <w:rStyle w:val="Strong"/>
          <w:rFonts w:ascii="Arial" w:hAnsi="Arial"/>
          <w:b w:val="0"/>
          <w:bCs w:val="0"/>
          <w:sz w:val="22"/>
          <w:szCs w:val="22"/>
          <w:lang w:val="en-IN"/>
        </w:rPr>
        <w:t xml:space="preserve">, T., </w:t>
      </w:r>
      <w:proofErr w:type="spellStart"/>
      <w:r>
        <w:rPr>
          <w:rStyle w:val="Strong"/>
          <w:rFonts w:ascii="Arial" w:hAnsi="Arial"/>
          <w:b w:val="0"/>
          <w:bCs w:val="0"/>
          <w:sz w:val="22"/>
          <w:szCs w:val="22"/>
          <w:lang w:val="en-IN"/>
        </w:rPr>
        <w:t>Kloc</w:t>
      </w:r>
      <w:proofErr w:type="spellEnd"/>
      <w:r>
        <w:rPr>
          <w:rStyle w:val="Strong"/>
          <w:rFonts w:ascii="Arial" w:hAnsi="Arial"/>
          <w:b w:val="0"/>
          <w:bCs w:val="0"/>
          <w:sz w:val="22"/>
          <w:szCs w:val="22"/>
          <w:lang w:val="en-IN"/>
        </w:rPr>
        <w:t xml:space="preserve">, W., &amp; </w:t>
      </w:r>
      <w:proofErr w:type="spellStart"/>
      <w:r>
        <w:rPr>
          <w:rStyle w:val="Strong"/>
          <w:rFonts w:ascii="Arial" w:hAnsi="Arial"/>
          <w:b w:val="0"/>
          <w:bCs w:val="0"/>
          <w:sz w:val="22"/>
          <w:szCs w:val="22"/>
          <w:lang w:val="en-IN"/>
        </w:rPr>
        <w:t>Iżycka-Świeszewska</w:t>
      </w:r>
      <w:proofErr w:type="spellEnd"/>
      <w:r>
        <w:rPr>
          <w:rStyle w:val="Strong"/>
          <w:rFonts w:ascii="Arial" w:hAnsi="Arial"/>
          <w:b w:val="0"/>
          <w:bCs w:val="0"/>
          <w:sz w:val="22"/>
          <w:szCs w:val="22"/>
          <w:lang w:val="en-IN"/>
        </w:rPr>
        <w:t xml:space="preserve">, E. (2022). WHO CNS5 2021 classification of gliomas: A practical review and road signs for diagnosing pathologists and proper </w:t>
      </w:r>
      <w:proofErr w:type="spellStart"/>
      <w:r>
        <w:rPr>
          <w:rStyle w:val="Strong"/>
          <w:rFonts w:ascii="Arial" w:hAnsi="Arial"/>
          <w:b w:val="0"/>
          <w:bCs w:val="0"/>
          <w:sz w:val="22"/>
          <w:szCs w:val="22"/>
          <w:lang w:val="en-IN"/>
        </w:rPr>
        <w:t>patho</w:t>
      </w:r>
      <w:proofErr w:type="spellEnd"/>
      <w:r>
        <w:rPr>
          <w:rStyle w:val="Strong"/>
          <w:rFonts w:ascii="Arial" w:hAnsi="Arial"/>
          <w:b w:val="0"/>
          <w:bCs w:val="0"/>
          <w:sz w:val="22"/>
          <w:szCs w:val="22"/>
          <w:lang w:val="en-IN"/>
        </w:rPr>
        <w:t xml:space="preserve">-clinical and neuro-oncological cooperation. Folia </w:t>
      </w:r>
      <w:proofErr w:type="spellStart"/>
      <w:r>
        <w:rPr>
          <w:rStyle w:val="Strong"/>
          <w:rFonts w:ascii="Arial" w:hAnsi="Arial"/>
          <w:b w:val="0"/>
          <w:bCs w:val="0"/>
          <w:sz w:val="22"/>
          <w:szCs w:val="22"/>
          <w:lang w:val="en-IN"/>
        </w:rPr>
        <w:t>neuropathologica</w:t>
      </w:r>
      <w:proofErr w:type="spellEnd"/>
      <w:r>
        <w:rPr>
          <w:rStyle w:val="Strong"/>
          <w:rFonts w:ascii="Arial" w:hAnsi="Arial"/>
          <w:b w:val="0"/>
          <w:bCs w:val="0"/>
          <w:sz w:val="22"/>
          <w:szCs w:val="22"/>
          <w:lang w:val="en-IN"/>
        </w:rPr>
        <w:t>, 60(2), 137-152.</w:t>
      </w:r>
    </w:p>
    <w:p w14:paraId="4203F97F"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Reuss, D. E. (2023). Updates on the WHO diagnosis of IDH-mutant glioma. Journal of Neuro-oncology, 162(3), 461-469.</w:t>
      </w:r>
    </w:p>
    <w:p w14:paraId="2D875F98"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Kessler, T., Ito, J., Wick, W., &amp; Wick, A. (2023). Conventional and emerging treatments of </w:t>
      </w:r>
      <w:proofErr w:type="spellStart"/>
      <w:r>
        <w:rPr>
          <w:rStyle w:val="Strong"/>
          <w:rFonts w:ascii="Arial" w:hAnsi="Arial"/>
          <w:b w:val="0"/>
          <w:bCs w:val="0"/>
          <w:sz w:val="22"/>
          <w:szCs w:val="22"/>
          <w:lang w:val="en-IN"/>
        </w:rPr>
        <w:t>astrocytomas</w:t>
      </w:r>
      <w:proofErr w:type="spellEnd"/>
      <w:r>
        <w:rPr>
          <w:rStyle w:val="Strong"/>
          <w:rFonts w:ascii="Arial" w:hAnsi="Arial"/>
          <w:b w:val="0"/>
          <w:bCs w:val="0"/>
          <w:sz w:val="22"/>
          <w:szCs w:val="22"/>
          <w:lang w:val="en-IN"/>
        </w:rPr>
        <w:t xml:space="preserve"> and oligodendrogliomas. Journal of Neuro-oncology, 162(3), 471-478.</w:t>
      </w:r>
    </w:p>
    <w:p w14:paraId="3D6B179F"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Guarnaccia</w:t>
      </w:r>
      <w:proofErr w:type="spellEnd"/>
      <w:r>
        <w:rPr>
          <w:rStyle w:val="Strong"/>
          <w:rFonts w:ascii="Arial" w:hAnsi="Arial"/>
          <w:b w:val="0"/>
          <w:bCs w:val="0"/>
          <w:sz w:val="22"/>
          <w:szCs w:val="22"/>
          <w:lang w:val="en-IN"/>
        </w:rPr>
        <w:t xml:space="preserve">, M., </w:t>
      </w:r>
      <w:proofErr w:type="spellStart"/>
      <w:r>
        <w:rPr>
          <w:rStyle w:val="Strong"/>
          <w:rFonts w:ascii="Arial" w:hAnsi="Arial"/>
          <w:b w:val="0"/>
          <w:bCs w:val="0"/>
          <w:sz w:val="22"/>
          <w:szCs w:val="22"/>
          <w:lang w:val="en-IN"/>
        </w:rPr>
        <w:t>Guarnaccia</w:t>
      </w:r>
      <w:proofErr w:type="spellEnd"/>
      <w:r>
        <w:rPr>
          <w:rStyle w:val="Strong"/>
          <w:rFonts w:ascii="Arial" w:hAnsi="Arial"/>
          <w:b w:val="0"/>
          <w:bCs w:val="0"/>
          <w:sz w:val="22"/>
          <w:szCs w:val="22"/>
          <w:lang w:val="en-IN"/>
        </w:rPr>
        <w:t xml:space="preserve">, L., La </w:t>
      </w:r>
      <w:proofErr w:type="spellStart"/>
      <w:r>
        <w:rPr>
          <w:rStyle w:val="Strong"/>
          <w:rFonts w:ascii="Arial" w:hAnsi="Arial"/>
          <w:b w:val="0"/>
          <w:bCs w:val="0"/>
          <w:sz w:val="22"/>
          <w:szCs w:val="22"/>
          <w:lang w:val="en-IN"/>
        </w:rPr>
        <w:t>Cognata</w:t>
      </w:r>
      <w:proofErr w:type="spellEnd"/>
      <w:r>
        <w:rPr>
          <w:rStyle w:val="Strong"/>
          <w:rFonts w:ascii="Arial" w:hAnsi="Arial"/>
          <w:b w:val="0"/>
          <w:bCs w:val="0"/>
          <w:sz w:val="22"/>
          <w:szCs w:val="22"/>
          <w:lang w:val="en-IN"/>
        </w:rPr>
        <w:t xml:space="preserve">, V., </w:t>
      </w:r>
      <w:proofErr w:type="spellStart"/>
      <w:r>
        <w:rPr>
          <w:rStyle w:val="Strong"/>
          <w:rFonts w:ascii="Arial" w:hAnsi="Arial"/>
          <w:b w:val="0"/>
          <w:bCs w:val="0"/>
          <w:sz w:val="22"/>
          <w:szCs w:val="22"/>
          <w:lang w:val="en-IN"/>
        </w:rPr>
        <w:t>Navone</w:t>
      </w:r>
      <w:proofErr w:type="spellEnd"/>
      <w:r>
        <w:rPr>
          <w:rStyle w:val="Strong"/>
          <w:rFonts w:ascii="Arial" w:hAnsi="Arial"/>
          <w:b w:val="0"/>
          <w:bCs w:val="0"/>
          <w:sz w:val="22"/>
          <w:szCs w:val="22"/>
          <w:lang w:val="en-IN"/>
        </w:rPr>
        <w:t xml:space="preserve">, S. E., Campanella, R., </w:t>
      </w:r>
      <w:proofErr w:type="spellStart"/>
      <w:r>
        <w:rPr>
          <w:rStyle w:val="Strong"/>
          <w:rFonts w:ascii="Arial" w:hAnsi="Arial"/>
          <w:b w:val="0"/>
          <w:bCs w:val="0"/>
          <w:sz w:val="22"/>
          <w:szCs w:val="22"/>
          <w:lang w:val="en-IN"/>
        </w:rPr>
        <w:t>Ampollini</w:t>
      </w:r>
      <w:proofErr w:type="spellEnd"/>
      <w:r>
        <w:rPr>
          <w:rStyle w:val="Strong"/>
          <w:rFonts w:ascii="Arial" w:hAnsi="Arial"/>
          <w:b w:val="0"/>
          <w:bCs w:val="0"/>
          <w:sz w:val="22"/>
          <w:szCs w:val="22"/>
          <w:lang w:val="en-IN"/>
        </w:rPr>
        <w:t>, A., ... &amp; Cavallaro, S. (2022). A targeted next-generation sequencing panel to genotype gliomas. Life, 12(7), 956.</w:t>
      </w:r>
    </w:p>
    <w:p w14:paraId="5075FA97"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Houssaini</w:t>
      </w:r>
      <w:proofErr w:type="spellEnd"/>
      <w:r>
        <w:rPr>
          <w:rStyle w:val="Strong"/>
          <w:rFonts w:ascii="Arial" w:hAnsi="Arial"/>
          <w:b w:val="0"/>
          <w:bCs w:val="0"/>
          <w:sz w:val="22"/>
          <w:szCs w:val="22"/>
          <w:lang w:val="en-IN"/>
        </w:rPr>
        <w:t xml:space="preserve">, A. S., </w:t>
      </w:r>
      <w:proofErr w:type="spellStart"/>
      <w:r>
        <w:rPr>
          <w:rStyle w:val="Strong"/>
          <w:rFonts w:ascii="Arial" w:hAnsi="Arial"/>
          <w:b w:val="0"/>
          <w:bCs w:val="0"/>
          <w:sz w:val="22"/>
          <w:szCs w:val="22"/>
          <w:lang w:val="en-IN"/>
        </w:rPr>
        <w:t>Lamrabet</w:t>
      </w:r>
      <w:proofErr w:type="spellEnd"/>
      <w:r>
        <w:rPr>
          <w:rStyle w:val="Strong"/>
          <w:rFonts w:ascii="Arial" w:hAnsi="Arial"/>
          <w:b w:val="0"/>
          <w:bCs w:val="0"/>
          <w:sz w:val="22"/>
          <w:szCs w:val="22"/>
          <w:lang w:val="en-IN"/>
        </w:rPr>
        <w:t xml:space="preserve">, S., </w:t>
      </w:r>
      <w:proofErr w:type="spellStart"/>
      <w:r>
        <w:rPr>
          <w:rStyle w:val="Strong"/>
          <w:rFonts w:ascii="Arial" w:hAnsi="Arial"/>
          <w:b w:val="0"/>
          <w:bCs w:val="0"/>
          <w:sz w:val="22"/>
          <w:szCs w:val="22"/>
          <w:lang w:val="en-IN"/>
        </w:rPr>
        <w:t>Senhaji</w:t>
      </w:r>
      <w:proofErr w:type="spellEnd"/>
      <w:r>
        <w:rPr>
          <w:rStyle w:val="Strong"/>
          <w:rFonts w:ascii="Arial" w:hAnsi="Arial"/>
          <w:b w:val="0"/>
          <w:bCs w:val="0"/>
          <w:sz w:val="22"/>
          <w:szCs w:val="22"/>
          <w:lang w:val="en-IN"/>
        </w:rPr>
        <w:t xml:space="preserve">, N., </w:t>
      </w:r>
      <w:proofErr w:type="spellStart"/>
      <w:r>
        <w:rPr>
          <w:rStyle w:val="Strong"/>
          <w:rFonts w:ascii="Arial" w:hAnsi="Arial"/>
          <w:b w:val="0"/>
          <w:bCs w:val="0"/>
          <w:sz w:val="22"/>
          <w:szCs w:val="22"/>
          <w:lang w:val="en-IN"/>
        </w:rPr>
        <w:t>Sekal</w:t>
      </w:r>
      <w:proofErr w:type="spellEnd"/>
      <w:r>
        <w:rPr>
          <w:rStyle w:val="Strong"/>
          <w:rFonts w:ascii="Arial" w:hAnsi="Arial"/>
          <w:b w:val="0"/>
          <w:bCs w:val="0"/>
          <w:sz w:val="22"/>
          <w:szCs w:val="22"/>
          <w:lang w:val="en-IN"/>
        </w:rPr>
        <w:t xml:space="preserve">, M., </w:t>
      </w:r>
      <w:proofErr w:type="spellStart"/>
      <w:r>
        <w:rPr>
          <w:rStyle w:val="Strong"/>
          <w:rFonts w:ascii="Arial" w:hAnsi="Arial"/>
          <w:b w:val="0"/>
          <w:bCs w:val="0"/>
          <w:sz w:val="22"/>
          <w:szCs w:val="22"/>
          <w:lang w:val="en-IN"/>
        </w:rPr>
        <w:t>Nshizirungu</w:t>
      </w:r>
      <w:proofErr w:type="spellEnd"/>
      <w:r>
        <w:rPr>
          <w:rStyle w:val="Strong"/>
          <w:rFonts w:ascii="Arial" w:hAnsi="Arial"/>
          <w:b w:val="0"/>
          <w:bCs w:val="0"/>
          <w:sz w:val="22"/>
          <w:szCs w:val="22"/>
          <w:lang w:val="en-IN"/>
        </w:rPr>
        <w:t xml:space="preserve">, J. P., </w:t>
      </w:r>
      <w:proofErr w:type="spellStart"/>
      <w:r>
        <w:rPr>
          <w:rStyle w:val="Strong"/>
          <w:rFonts w:ascii="Arial" w:hAnsi="Arial"/>
          <w:b w:val="0"/>
          <w:bCs w:val="0"/>
          <w:sz w:val="22"/>
          <w:szCs w:val="22"/>
          <w:lang w:val="en-IN"/>
        </w:rPr>
        <w:t>Mahfoudi</w:t>
      </w:r>
      <w:proofErr w:type="spellEnd"/>
      <w:r>
        <w:rPr>
          <w:rStyle w:val="Strong"/>
          <w:rFonts w:ascii="Arial" w:hAnsi="Arial"/>
          <w:b w:val="0"/>
          <w:bCs w:val="0"/>
          <w:sz w:val="22"/>
          <w:szCs w:val="22"/>
          <w:lang w:val="en-IN"/>
        </w:rPr>
        <w:t>, H., ... &amp; Bennis, S. (2024). Prognostic value of ATRX and p53 status in high-grade glioma patients in Morocco. </w:t>
      </w:r>
      <w:proofErr w:type="spellStart"/>
      <w:r>
        <w:rPr>
          <w:rStyle w:val="Strong"/>
          <w:rFonts w:ascii="Arial" w:hAnsi="Arial"/>
          <w:b w:val="0"/>
          <w:bCs w:val="0"/>
          <w:sz w:val="22"/>
          <w:szCs w:val="22"/>
          <w:lang w:val="en-IN"/>
        </w:rPr>
        <w:t>Cureus</w:t>
      </w:r>
      <w:proofErr w:type="spellEnd"/>
      <w:r>
        <w:rPr>
          <w:rStyle w:val="Strong"/>
          <w:rFonts w:ascii="Arial" w:hAnsi="Arial"/>
          <w:b w:val="0"/>
          <w:bCs w:val="0"/>
          <w:sz w:val="22"/>
          <w:szCs w:val="22"/>
          <w:lang w:val="en-IN"/>
        </w:rPr>
        <w:t>, 16(3).</w:t>
      </w:r>
    </w:p>
    <w:p w14:paraId="591B45CD"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Mohamed, E., Kumar, A., Zhang, Y., Wang, A. S., Chen, K., Lim, Y., ... &amp; Phillips, J. J. (2022). PI3K/AKT/mTOR </w:t>
      </w:r>
      <w:proofErr w:type="spellStart"/>
      <w:r>
        <w:rPr>
          <w:rStyle w:val="Strong"/>
          <w:rFonts w:ascii="Arial" w:hAnsi="Arial"/>
          <w:b w:val="0"/>
          <w:bCs w:val="0"/>
          <w:sz w:val="22"/>
          <w:szCs w:val="22"/>
          <w:lang w:val="en-IN"/>
        </w:rPr>
        <w:t>signaling</w:t>
      </w:r>
      <w:proofErr w:type="spellEnd"/>
      <w:r>
        <w:rPr>
          <w:rStyle w:val="Strong"/>
          <w:rFonts w:ascii="Arial" w:hAnsi="Arial"/>
          <w:b w:val="0"/>
          <w:bCs w:val="0"/>
          <w:sz w:val="22"/>
          <w:szCs w:val="22"/>
          <w:lang w:val="en-IN"/>
        </w:rPr>
        <w:t xml:space="preserve"> pathway activity in IDH-mutant diffuse glioma and clinical implications. Neuro-oncology, 24(9), 1471-1481.</w:t>
      </w:r>
    </w:p>
    <w:p w14:paraId="0651A63D"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D’Amico, M., &amp; De </w:t>
      </w:r>
      <w:proofErr w:type="spellStart"/>
      <w:r>
        <w:rPr>
          <w:rStyle w:val="Strong"/>
          <w:rFonts w:ascii="Arial" w:hAnsi="Arial"/>
          <w:b w:val="0"/>
          <w:bCs w:val="0"/>
          <w:sz w:val="22"/>
          <w:szCs w:val="22"/>
          <w:lang w:val="en-IN"/>
        </w:rPr>
        <w:t>Amicis</w:t>
      </w:r>
      <w:proofErr w:type="spellEnd"/>
      <w:r>
        <w:rPr>
          <w:rStyle w:val="Strong"/>
          <w:rFonts w:ascii="Arial" w:hAnsi="Arial"/>
          <w:b w:val="0"/>
          <w:bCs w:val="0"/>
          <w:sz w:val="22"/>
          <w:szCs w:val="22"/>
          <w:lang w:val="en-IN"/>
        </w:rPr>
        <w:t xml:space="preserve">, F. (2022). Aberrant Notch </w:t>
      </w:r>
      <w:proofErr w:type="spellStart"/>
      <w:r>
        <w:rPr>
          <w:rStyle w:val="Strong"/>
          <w:rFonts w:ascii="Arial" w:hAnsi="Arial"/>
          <w:b w:val="0"/>
          <w:bCs w:val="0"/>
          <w:sz w:val="22"/>
          <w:szCs w:val="22"/>
          <w:lang w:val="en-IN"/>
        </w:rPr>
        <w:t>signaling</w:t>
      </w:r>
      <w:proofErr w:type="spellEnd"/>
      <w:r>
        <w:rPr>
          <w:rStyle w:val="Strong"/>
          <w:rFonts w:ascii="Arial" w:hAnsi="Arial"/>
          <w:b w:val="0"/>
          <w:bCs w:val="0"/>
          <w:sz w:val="22"/>
          <w:szCs w:val="22"/>
          <w:lang w:val="en-IN"/>
        </w:rPr>
        <w:t xml:space="preserve"> in gliomas: A potential landscape of actionable converging targets for combination approach in therapies resistance. Cancer Drug Resistance, 5(4), 939.</w:t>
      </w:r>
    </w:p>
    <w:p w14:paraId="056320B2"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Davalan</w:t>
      </w:r>
      <w:proofErr w:type="spellEnd"/>
      <w:r>
        <w:rPr>
          <w:rStyle w:val="Strong"/>
          <w:rFonts w:ascii="Arial" w:hAnsi="Arial"/>
          <w:b w:val="0"/>
          <w:bCs w:val="0"/>
          <w:sz w:val="22"/>
          <w:szCs w:val="22"/>
          <w:lang w:val="en-IN"/>
        </w:rPr>
        <w:t xml:space="preserve">, W., &amp; </w:t>
      </w:r>
      <w:proofErr w:type="spellStart"/>
      <w:r>
        <w:rPr>
          <w:rStyle w:val="Strong"/>
          <w:rFonts w:ascii="Arial" w:hAnsi="Arial"/>
          <w:b w:val="0"/>
          <w:bCs w:val="0"/>
          <w:sz w:val="22"/>
          <w:szCs w:val="22"/>
          <w:lang w:val="en-IN"/>
        </w:rPr>
        <w:t>Alkins</w:t>
      </w:r>
      <w:proofErr w:type="spellEnd"/>
      <w:r>
        <w:rPr>
          <w:rStyle w:val="Strong"/>
          <w:rFonts w:ascii="Arial" w:hAnsi="Arial"/>
          <w:b w:val="0"/>
          <w:bCs w:val="0"/>
          <w:sz w:val="22"/>
          <w:szCs w:val="22"/>
          <w:lang w:val="en-IN"/>
        </w:rPr>
        <w:t xml:space="preserve">, R. (2025). Prognostic and predictive determinants in high-grade gliomas: integrating </w:t>
      </w:r>
      <w:proofErr w:type="spellStart"/>
      <w:r>
        <w:rPr>
          <w:rStyle w:val="Strong"/>
          <w:rFonts w:ascii="Arial" w:hAnsi="Arial"/>
          <w:b w:val="0"/>
          <w:bCs w:val="0"/>
          <w:sz w:val="22"/>
          <w:szCs w:val="22"/>
          <w:lang w:val="en-IN"/>
        </w:rPr>
        <w:t>tumor</w:t>
      </w:r>
      <w:proofErr w:type="spellEnd"/>
      <w:r>
        <w:rPr>
          <w:rStyle w:val="Strong"/>
          <w:rFonts w:ascii="Arial" w:hAnsi="Arial"/>
          <w:b w:val="0"/>
          <w:bCs w:val="0"/>
          <w:sz w:val="22"/>
          <w:szCs w:val="22"/>
          <w:lang w:val="en-IN"/>
        </w:rPr>
        <w:t>-intrinsic biology with patient and system-level factors. Frontiers in Neurology, 16, 1664458.</w:t>
      </w:r>
    </w:p>
    <w:p w14:paraId="46E9F86C"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Lowe, B. R., </w:t>
      </w:r>
      <w:proofErr w:type="spellStart"/>
      <w:r>
        <w:rPr>
          <w:rStyle w:val="Strong"/>
          <w:rFonts w:ascii="Arial" w:hAnsi="Arial"/>
          <w:b w:val="0"/>
          <w:bCs w:val="0"/>
          <w:sz w:val="22"/>
          <w:szCs w:val="22"/>
          <w:lang w:val="en-IN"/>
        </w:rPr>
        <w:t>Maxham</w:t>
      </w:r>
      <w:proofErr w:type="spellEnd"/>
      <w:r>
        <w:rPr>
          <w:rStyle w:val="Strong"/>
          <w:rFonts w:ascii="Arial" w:hAnsi="Arial"/>
          <w:b w:val="0"/>
          <w:bCs w:val="0"/>
          <w:sz w:val="22"/>
          <w:szCs w:val="22"/>
          <w:lang w:val="en-IN"/>
        </w:rPr>
        <w:t xml:space="preserve">, L. A., </w:t>
      </w:r>
      <w:proofErr w:type="spellStart"/>
      <w:r>
        <w:rPr>
          <w:rStyle w:val="Strong"/>
          <w:rFonts w:ascii="Arial" w:hAnsi="Arial"/>
          <w:b w:val="0"/>
          <w:bCs w:val="0"/>
          <w:sz w:val="22"/>
          <w:szCs w:val="22"/>
          <w:lang w:val="en-IN"/>
        </w:rPr>
        <w:t>Hamey</w:t>
      </w:r>
      <w:proofErr w:type="spellEnd"/>
      <w:r>
        <w:rPr>
          <w:rStyle w:val="Strong"/>
          <w:rFonts w:ascii="Arial" w:hAnsi="Arial"/>
          <w:b w:val="0"/>
          <w:bCs w:val="0"/>
          <w:sz w:val="22"/>
          <w:szCs w:val="22"/>
          <w:lang w:val="en-IN"/>
        </w:rPr>
        <w:t>, J. J., Wilkins, M. R., &amp; Partridge, J. F. (2019). Histone H3 mutations: an updated view of their role in chromatin deregulation and cancer. Cancers, 11(5), 660.</w:t>
      </w:r>
    </w:p>
    <w:p w14:paraId="18EC2413"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Payliss</w:t>
      </w:r>
      <w:proofErr w:type="spellEnd"/>
      <w:r>
        <w:rPr>
          <w:rStyle w:val="Strong"/>
          <w:rFonts w:ascii="Arial" w:hAnsi="Arial"/>
          <w:b w:val="0"/>
          <w:bCs w:val="0"/>
          <w:sz w:val="22"/>
          <w:szCs w:val="22"/>
          <w:lang w:val="en-IN"/>
        </w:rPr>
        <w:t>, B. J., Patel, A., Sheppard, A. C., &amp; Wyatt, H. D. (2021). Exploring the structures and functions of macromolecular SLX4-nuclease complexes in genome stability. Frontiers in Genetics, 12, 784167.</w:t>
      </w:r>
    </w:p>
    <w:p w14:paraId="3630A267"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Masui, K., Onizuka, H., </w:t>
      </w:r>
      <w:proofErr w:type="spellStart"/>
      <w:r>
        <w:rPr>
          <w:rStyle w:val="Strong"/>
          <w:rFonts w:ascii="Arial" w:hAnsi="Arial"/>
          <w:b w:val="0"/>
          <w:bCs w:val="0"/>
          <w:sz w:val="22"/>
          <w:szCs w:val="22"/>
          <w:lang w:val="en-IN"/>
        </w:rPr>
        <w:t>Muragaki</w:t>
      </w:r>
      <w:proofErr w:type="spellEnd"/>
      <w:r>
        <w:rPr>
          <w:rStyle w:val="Strong"/>
          <w:rFonts w:ascii="Arial" w:hAnsi="Arial"/>
          <w:b w:val="0"/>
          <w:bCs w:val="0"/>
          <w:sz w:val="22"/>
          <w:szCs w:val="22"/>
          <w:lang w:val="en-IN"/>
        </w:rPr>
        <w:t xml:space="preserve">, Y., </w:t>
      </w:r>
      <w:proofErr w:type="spellStart"/>
      <w:r>
        <w:rPr>
          <w:rStyle w:val="Strong"/>
          <w:rFonts w:ascii="Arial" w:hAnsi="Arial"/>
          <w:b w:val="0"/>
          <w:bCs w:val="0"/>
          <w:sz w:val="22"/>
          <w:szCs w:val="22"/>
          <w:lang w:val="en-IN"/>
        </w:rPr>
        <w:t>Kawamata</w:t>
      </w:r>
      <w:proofErr w:type="spellEnd"/>
      <w:r>
        <w:rPr>
          <w:rStyle w:val="Strong"/>
          <w:rFonts w:ascii="Arial" w:hAnsi="Arial"/>
          <w:b w:val="0"/>
          <w:bCs w:val="0"/>
          <w:sz w:val="22"/>
          <w:szCs w:val="22"/>
          <w:lang w:val="en-IN"/>
        </w:rPr>
        <w:t xml:space="preserve">, T., </w:t>
      </w:r>
      <w:proofErr w:type="spellStart"/>
      <w:r>
        <w:rPr>
          <w:rStyle w:val="Strong"/>
          <w:rFonts w:ascii="Arial" w:hAnsi="Arial"/>
          <w:b w:val="0"/>
          <w:bCs w:val="0"/>
          <w:sz w:val="22"/>
          <w:szCs w:val="22"/>
          <w:lang w:val="en-IN"/>
        </w:rPr>
        <w:t>Kurata</w:t>
      </w:r>
      <w:proofErr w:type="spellEnd"/>
      <w:r>
        <w:rPr>
          <w:rStyle w:val="Strong"/>
          <w:rFonts w:ascii="Arial" w:hAnsi="Arial"/>
          <w:b w:val="0"/>
          <w:bCs w:val="0"/>
          <w:sz w:val="22"/>
          <w:szCs w:val="22"/>
          <w:lang w:val="en-IN"/>
        </w:rPr>
        <w:t xml:space="preserve">, A., &amp; Komori, T. (2025). Progression of long-term “untreated” oligodendroglioma cases: Possible contribution of genomic instability. Brain </w:t>
      </w:r>
      <w:proofErr w:type="spellStart"/>
      <w:r>
        <w:rPr>
          <w:rStyle w:val="Strong"/>
          <w:rFonts w:ascii="Arial" w:hAnsi="Arial"/>
          <w:b w:val="0"/>
          <w:bCs w:val="0"/>
          <w:sz w:val="22"/>
          <w:szCs w:val="22"/>
          <w:lang w:val="en-IN"/>
        </w:rPr>
        <w:t>Tumor</w:t>
      </w:r>
      <w:proofErr w:type="spellEnd"/>
      <w:r>
        <w:rPr>
          <w:rStyle w:val="Strong"/>
          <w:rFonts w:ascii="Arial" w:hAnsi="Arial"/>
          <w:b w:val="0"/>
          <w:bCs w:val="0"/>
          <w:sz w:val="22"/>
          <w:szCs w:val="22"/>
          <w:lang w:val="en-IN"/>
        </w:rPr>
        <w:t xml:space="preserve"> Pathology, 42(2), 43-47.</w:t>
      </w:r>
    </w:p>
    <w:p w14:paraId="02D3176C"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Ball, Matthew K., Thomas M. </w:t>
      </w:r>
      <w:proofErr w:type="spellStart"/>
      <w:r>
        <w:rPr>
          <w:rStyle w:val="Strong"/>
          <w:rFonts w:ascii="Arial" w:hAnsi="Arial"/>
          <w:b w:val="0"/>
          <w:bCs w:val="0"/>
          <w:sz w:val="22"/>
          <w:szCs w:val="22"/>
          <w:lang w:val="en-IN"/>
        </w:rPr>
        <w:t>Kollmeyer</w:t>
      </w:r>
      <w:proofErr w:type="spellEnd"/>
      <w:r>
        <w:rPr>
          <w:rStyle w:val="Strong"/>
          <w:rFonts w:ascii="Arial" w:hAnsi="Arial"/>
          <w:b w:val="0"/>
          <w:bCs w:val="0"/>
          <w:sz w:val="22"/>
          <w:szCs w:val="22"/>
          <w:lang w:val="en-IN"/>
        </w:rPr>
        <w:t xml:space="preserve">, Corinne E. </w:t>
      </w:r>
      <w:proofErr w:type="spellStart"/>
      <w:r>
        <w:rPr>
          <w:rStyle w:val="Strong"/>
          <w:rFonts w:ascii="Arial" w:hAnsi="Arial"/>
          <w:b w:val="0"/>
          <w:bCs w:val="0"/>
          <w:sz w:val="22"/>
          <w:szCs w:val="22"/>
          <w:lang w:val="en-IN"/>
        </w:rPr>
        <w:t>Praska</w:t>
      </w:r>
      <w:proofErr w:type="spellEnd"/>
      <w:r>
        <w:rPr>
          <w:rStyle w:val="Strong"/>
          <w:rFonts w:ascii="Arial" w:hAnsi="Arial"/>
          <w:b w:val="0"/>
          <w:bCs w:val="0"/>
          <w:sz w:val="22"/>
          <w:szCs w:val="22"/>
          <w:lang w:val="en-IN"/>
        </w:rPr>
        <w:t xml:space="preserve">, Michelle L. McKenna, Caterina Giannini, Aditya Raghunathan, Mark E. </w:t>
      </w:r>
      <w:proofErr w:type="spellStart"/>
      <w:r>
        <w:rPr>
          <w:rStyle w:val="Strong"/>
          <w:rFonts w:ascii="Arial" w:hAnsi="Arial"/>
          <w:b w:val="0"/>
          <w:bCs w:val="0"/>
          <w:sz w:val="22"/>
          <w:szCs w:val="22"/>
          <w:lang w:val="en-IN"/>
        </w:rPr>
        <w:t>Jentoft</w:t>
      </w:r>
      <w:proofErr w:type="spellEnd"/>
      <w:r>
        <w:rPr>
          <w:rStyle w:val="Strong"/>
          <w:rFonts w:ascii="Arial" w:hAnsi="Arial"/>
          <w:b w:val="0"/>
          <w:bCs w:val="0"/>
          <w:sz w:val="22"/>
          <w:szCs w:val="22"/>
          <w:lang w:val="en-IN"/>
        </w:rPr>
        <w:t xml:space="preserve"> et al. "Frequency of false-positive FISH 1p/19q codeletion in adult diffuse astrocytic gliomas." Neuro-oncology advances 2, no. 1 (2020): vdaa109.</w:t>
      </w:r>
    </w:p>
    <w:p w14:paraId="77364114"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Sina</w:t>
      </w:r>
      <w:proofErr w:type="spellEnd"/>
      <w:r>
        <w:rPr>
          <w:rStyle w:val="Strong"/>
          <w:rFonts w:ascii="Arial" w:hAnsi="Arial"/>
          <w:b w:val="0"/>
          <w:bCs w:val="0"/>
          <w:sz w:val="22"/>
          <w:szCs w:val="22"/>
          <w:lang w:val="en-IN"/>
        </w:rPr>
        <w:t>, M. (2023). Identification and interpretation of pathogenic variants following Next Generation Sequencing (NGS) analysis in human Mendelian disorders.</w:t>
      </w:r>
    </w:p>
    <w:p w14:paraId="776B9AF8"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Sahm</w:t>
      </w:r>
      <w:proofErr w:type="spellEnd"/>
      <w:r>
        <w:rPr>
          <w:rStyle w:val="Strong"/>
          <w:rFonts w:ascii="Arial" w:hAnsi="Arial"/>
          <w:b w:val="0"/>
          <w:bCs w:val="0"/>
          <w:sz w:val="22"/>
          <w:szCs w:val="22"/>
          <w:lang w:val="en-IN"/>
        </w:rPr>
        <w:t xml:space="preserve">, F., </w:t>
      </w:r>
      <w:proofErr w:type="spellStart"/>
      <w:r>
        <w:rPr>
          <w:rStyle w:val="Strong"/>
          <w:rFonts w:ascii="Arial" w:hAnsi="Arial"/>
          <w:b w:val="0"/>
          <w:bCs w:val="0"/>
          <w:sz w:val="22"/>
          <w:szCs w:val="22"/>
          <w:lang w:val="en-IN"/>
        </w:rPr>
        <w:t>Brandner</w:t>
      </w:r>
      <w:proofErr w:type="spellEnd"/>
      <w:r>
        <w:rPr>
          <w:rStyle w:val="Strong"/>
          <w:rFonts w:ascii="Arial" w:hAnsi="Arial"/>
          <w:b w:val="0"/>
          <w:bCs w:val="0"/>
          <w:sz w:val="22"/>
          <w:szCs w:val="22"/>
          <w:lang w:val="en-IN"/>
        </w:rPr>
        <w:t xml:space="preserve">, S., </w:t>
      </w:r>
      <w:proofErr w:type="spellStart"/>
      <w:r>
        <w:rPr>
          <w:rStyle w:val="Strong"/>
          <w:rFonts w:ascii="Arial" w:hAnsi="Arial"/>
          <w:b w:val="0"/>
          <w:bCs w:val="0"/>
          <w:sz w:val="22"/>
          <w:szCs w:val="22"/>
          <w:lang w:val="en-IN"/>
        </w:rPr>
        <w:t>Bertero</w:t>
      </w:r>
      <w:proofErr w:type="spellEnd"/>
      <w:r>
        <w:rPr>
          <w:rStyle w:val="Strong"/>
          <w:rFonts w:ascii="Arial" w:hAnsi="Arial"/>
          <w:b w:val="0"/>
          <w:bCs w:val="0"/>
          <w:sz w:val="22"/>
          <w:szCs w:val="22"/>
          <w:lang w:val="en-IN"/>
        </w:rPr>
        <w:t xml:space="preserve">, L., Capper, D., French, P. J., </w:t>
      </w:r>
      <w:proofErr w:type="spellStart"/>
      <w:r>
        <w:rPr>
          <w:rStyle w:val="Strong"/>
          <w:rFonts w:ascii="Arial" w:hAnsi="Arial"/>
          <w:b w:val="0"/>
          <w:bCs w:val="0"/>
          <w:sz w:val="22"/>
          <w:szCs w:val="22"/>
          <w:lang w:val="en-IN"/>
        </w:rPr>
        <w:t>Figarella-Branger</w:t>
      </w:r>
      <w:proofErr w:type="spellEnd"/>
      <w:r>
        <w:rPr>
          <w:rStyle w:val="Strong"/>
          <w:rFonts w:ascii="Arial" w:hAnsi="Arial"/>
          <w:b w:val="0"/>
          <w:bCs w:val="0"/>
          <w:sz w:val="22"/>
          <w:szCs w:val="22"/>
          <w:lang w:val="en-IN"/>
        </w:rPr>
        <w:t xml:space="preserve">, D., ... &amp; </w:t>
      </w:r>
      <w:proofErr w:type="spellStart"/>
      <w:r>
        <w:rPr>
          <w:rStyle w:val="Strong"/>
          <w:rFonts w:ascii="Arial" w:hAnsi="Arial"/>
          <w:b w:val="0"/>
          <w:bCs w:val="0"/>
          <w:sz w:val="22"/>
          <w:szCs w:val="22"/>
          <w:lang w:val="en-IN"/>
        </w:rPr>
        <w:t>Wesseling</w:t>
      </w:r>
      <w:proofErr w:type="spellEnd"/>
      <w:r>
        <w:rPr>
          <w:rStyle w:val="Strong"/>
          <w:rFonts w:ascii="Arial" w:hAnsi="Arial"/>
          <w:b w:val="0"/>
          <w:bCs w:val="0"/>
          <w:sz w:val="22"/>
          <w:szCs w:val="22"/>
          <w:lang w:val="en-IN"/>
        </w:rPr>
        <w:t xml:space="preserve">, P. (2023). Molecular diagnostic tools for the World Health Organization (WHO) 2021 classification of gliomas, glioneuronal and neuronal </w:t>
      </w:r>
      <w:proofErr w:type="spellStart"/>
      <w:r>
        <w:rPr>
          <w:rStyle w:val="Strong"/>
          <w:rFonts w:ascii="Arial" w:hAnsi="Arial"/>
          <w:b w:val="0"/>
          <w:bCs w:val="0"/>
          <w:sz w:val="22"/>
          <w:szCs w:val="22"/>
          <w:lang w:val="en-IN"/>
        </w:rPr>
        <w:t>tumors</w:t>
      </w:r>
      <w:proofErr w:type="spellEnd"/>
      <w:r>
        <w:rPr>
          <w:rStyle w:val="Strong"/>
          <w:rFonts w:ascii="Arial" w:hAnsi="Arial"/>
          <w:b w:val="0"/>
          <w:bCs w:val="0"/>
          <w:sz w:val="22"/>
          <w:szCs w:val="22"/>
          <w:lang w:val="en-IN"/>
        </w:rPr>
        <w:t>; an EANO guideline. Neuro-oncology, 25(10), 1731-1749.</w:t>
      </w:r>
    </w:p>
    <w:p w14:paraId="762512DA"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Polivka</w:t>
      </w:r>
      <w:proofErr w:type="spellEnd"/>
      <w:r>
        <w:rPr>
          <w:rStyle w:val="Strong"/>
          <w:rFonts w:ascii="Arial" w:hAnsi="Arial"/>
          <w:b w:val="0"/>
          <w:bCs w:val="0"/>
          <w:sz w:val="22"/>
          <w:szCs w:val="22"/>
          <w:lang w:val="en-IN"/>
        </w:rPr>
        <w:t xml:space="preserve">, J., </w:t>
      </w:r>
      <w:proofErr w:type="spellStart"/>
      <w:r>
        <w:rPr>
          <w:rStyle w:val="Strong"/>
          <w:rFonts w:ascii="Arial" w:hAnsi="Arial"/>
          <w:b w:val="0"/>
          <w:bCs w:val="0"/>
          <w:sz w:val="22"/>
          <w:szCs w:val="22"/>
          <w:lang w:val="en-IN"/>
        </w:rPr>
        <w:t>Svajdler</w:t>
      </w:r>
      <w:proofErr w:type="spellEnd"/>
      <w:r>
        <w:rPr>
          <w:rStyle w:val="Strong"/>
          <w:rFonts w:ascii="Arial" w:hAnsi="Arial"/>
          <w:b w:val="0"/>
          <w:bCs w:val="0"/>
          <w:sz w:val="22"/>
          <w:szCs w:val="22"/>
          <w:lang w:val="en-IN"/>
        </w:rPr>
        <w:t xml:space="preserve">, M., </w:t>
      </w:r>
      <w:proofErr w:type="spellStart"/>
      <w:r>
        <w:rPr>
          <w:rStyle w:val="Strong"/>
          <w:rFonts w:ascii="Arial" w:hAnsi="Arial"/>
          <w:b w:val="0"/>
          <w:bCs w:val="0"/>
          <w:sz w:val="22"/>
          <w:szCs w:val="22"/>
          <w:lang w:val="en-IN"/>
        </w:rPr>
        <w:t>Priban</w:t>
      </w:r>
      <w:proofErr w:type="spellEnd"/>
      <w:r>
        <w:rPr>
          <w:rStyle w:val="Strong"/>
          <w:rFonts w:ascii="Arial" w:hAnsi="Arial"/>
          <w:b w:val="0"/>
          <w:bCs w:val="0"/>
          <w:sz w:val="22"/>
          <w:szCs w:val="22"/>
          <w:lang w:val="en-IN"/>
        </w:rPr>
        <w:t xml:space="preserve">, V., </w:t>
      </w:r>
      <w:proofErr w:type="spellStart"/>
      <w:r>
        <w:rPr>
          <w:rStyle w:val="Strong"/>
          <w:rFonts w:ascii="Arial" w:hAnsi="Arial"/>
          <w:b w:val="0"/>
          <w:bCs w:val="0"/>
          <w:sz w:val="22"/>
          <w:szCs w:val="22"/>
          <w:lang w:val="en-IN"/>
        </w:rPr>
        <w:t>Mracek</w:t>
      </w:r>
      <w:proofErr w:type="spellEnd"/>
      <w:r>
        <w:rPr>
          <w:rStyle w:val="Strong"/>
          <w:rFonts w:ascii="Arial" w:hAnsi="Arial"/>
          <w:b w:val="0"/>
          <w:bCs w:val="0"/>
          <w:sz w:val="22"/>
          <w:szCs w:val="22"/>
          <w:lang w:val="en-IN"/>
        </w:rPr>
        <w:t xml:space="preserve">, J., </w:t>
      </w:r>
      <w:proofErr w:type="spellStart"/>
      <w:r>
        <w:rPr>
          <w:rStyle w:val="Strong"/>
          <w:rFonts w:ascii="Arial" w:hAnsi="Arial"/>
          <w:b w:val="0"/>
          <w:bCs w:val="0"/>
          <w:sz w:val="22"/>
          <w:szCs w:val="22"/>
          <w:lang w:val="en-IN"/>
        </w:rPr>
        <w:t>Kasik</w:t>
      </w:r>
      <w:proofErr w:type="spellEnd"/>
      <w:r>
        <w:rPr>
          <w:rStyle w:val="Strong"/>
          <w:rFonts w:ascii="Arial" w:hAnsi="Arial"/>
          <w:b w:val="0"/>
          <w:bCs w:val="0"/>
          <w:sz w:val="22"/>
          <w:szCs w:val="22"/>
          <w:lang w:val="en-IN"/>
        </w:rPr>
        <w:t xml:space="preserve">, P., </w:t>
      </w:r>
      <w:proofErr w:type="spellStart"/>
      <w:r>
        <w:rPr>
          <w:rStyle w:val="Strong"/>
          <w:rFonts w:ascii="Arial" w:hAnsi="Arial"/>
          <w:b w:val="0"/>
          <w:bCs w:val="0"/>
          <w:sz w:val="22"/>
          <w:szCs w:val="22"/>
          <w:lang w:val="en-IN"/>
        </w:rPr>
        <w:t>Martinek</w:t>
      </w:r>
      <w:proofErr w:type="spellEnd"/>
      <w:r>
        <w:rPr>
          <w:rStyle w:val="Strong"/>
          <w:rFonts w:ascii="Arial" w:hAnsi="Arial"/>
          <w:b w:val="0"/>
          <w:bCs w:val="0"/>
          <w:sz w:val="22"/>
          <w:szCs w:val="22"/>
          <w:lang w:val="en-IN"/>
        </w:rPr>
        <w:t xml:space="preserve">, P., ... &amp; </w:t>
      </w:r>
      <w:proofErr w:type="spellStart"/>
      <w:r>
        <w:rPr>
          <w:rStyle w:val="Strong"/>
          <w:rFonts w:ascii="Arial" w:hAnsi="Arial"/>
          <w:b w:val="0"/>
          <w:bCs w:val="0"/>
          <w:sz w:val="22"/>
          <w:szCs w:val="22"/>
          <w:lang w:val="en-IN"/>
        </w:rPr>
        <w:t>Topolcan</w:t>
      </w:r>
      <w:proofErr w:type="spellEnd"/>
      <w:r>
        <w:rPr>
          <w:rStyle w:val="Strong"/>
          <w:rFonts w:ascii="Arial" w:hAnsi="Arial"/>
          <w:b w:val="0"/>
          <w:bCs w:val="0"/>
          <w:sz w:val="22"/>
          <w:szCs w:val="22"/>
          <w:lang w:val="en-IN"/>
        </w:rPr>
        <w:t>, O. (2022). Oncogenic fusions in gliomas: an institutional experience. Anticancer Research, 42(4), 1933-1939.</w:t>
      </w:r>
    </w:p>
    <w:p w14:paraId="075131A8"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lastRenderedPageBreak/>
        <w:t xml:space="preserve">Yang, W., Zhao, X., Zheng, A., Liu, Z., Ma, J., Zhang, X., ... &amp; Liu, Q. (2023). Identification of MET fusions in solid </w:t>
      </w:r>
      <w:proofErr w:type="spellStart"/>
      <w:r>
        <w:rPr>
          <w:rStyle w:val="Strong"/>
          <w:rFonts w:ascii="Arial" w:hAnsi="Arial"/>
          <w:b w:val="0"/>
          <w:bCs w:val="0"/>
          <w:sz w:val="22"/>
          <w:szCs w:val="22"/>
          <w:lang w:val="en-IN"/>
        </w:rPr>
        <w:t>tumors</w:t>
      </w:r>
      <w:proofErr w:type="spellEnd"/>
      <w:r>
        <w:rPr>
          <w:rStyle w:val="Strong"/>
          <w:rFonts w:ascii="Arial" w:hAnsi="Arial"/>
          <w:b w:val="0"/>
          <w:bCs w:val="0"/>
          <w:sz w:val="22"/>
          <w:szCs w:val="22"/>
          <w:lang w:val="en-IN"/>
        </w:rPr>
        <w:t xml:space="preserve">: a </w:t>
      </w:r>
      <w:proofErr w:type="spellStart"/>
      <w:r>
        <w:rPr>
          <w:rStyle w:val="Strong"/>
          <w:rFonts w:ascii="Arial" w:hAnsi="Arial"/>
          <w:b w:val="0"/>
          <w:bCs w:val="0"/>
          <w:sz w:val="22"/>
          <w:szCs w:val="22"/>
          <w:lang w:val="en-IN"/>
        </w:rPr>
        <w:t>multicenter</w:t>
      </w:r>
      <w:proofErr w:type="spellEnd"/>
      <w:r>
        <w:rPr>
          <w:rStyle w:val="Strong"/>
          <w:rFonts w:ascii="Arial" w:hAnsi="Arial"/>
          <w:b w:val="0"/>
          <w:bCs w:val="0"/>
          <w:sz w:val="22"/>
          <w:szCs w:val="22"/>
          <w:lang w:val="en-IN"/>
        </w:rPr>
        <w:t>, large scale study in China. International journal of cancer, 152(6), 1259-1268.</w:t>
      </w:r>
    </w:p>
    <w:p w14:paraId="50EAA244"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Malgulwar</w:t>
      </w:r>
      <w:proofErr w:type="spellEnd"/>
      <w:r>
        <w:rPr>
          <w:rStyle w:val="Strong"/>
          <w:rFonts w:ascii="Arial" w:hAnsi="Arial"/>
          <w:b w:val="0"/>
          <w:bCs w:val="0"/>
          <w:sz w:val="22"/>
          <w:szCs w:val="22"/>
          <w:lang w:val="en-IN"/>
        </w:rPr>
        <w:t xml:space="preserve">, P. B., </w:t>
      </w:r>
      <w:proofErr w:type="spellStart"/>
      <w:r>
        <w:rPr>
          <w:rStyle w:val="Strong"/>
          <w:rFonts w:ascii="Arial" w:hAnsi="Arial"/>
          <w:b w:val="0"/>
          <w:bCs w:val="0"/>
          <w:sz w:val="22"/>
          <w:szCs w:val="22"/>
          <w:lang w:val="en-IN"/>
        </w:rPr>
        <w:t>Nambirajan</w:t>
      </w:r>
      <w:proofErr w:type="spellEnd"/>
      <w:r>
        <w:rPr>
          <w:rStyle w:val="Strong"/>
          <w:rFonts w:ascii="Arial" w:hAnsi="Arial"/>
          <w:b w:val="0"/>
          <w:bCs w:val="0"/>
          <w:sz w:val="22"/>
          <w:szCs w:val="22"/>
          <w:lang w:val="en-IN"/>
        </w:rPr>
        <w:t xml:space="preserve">, A., Pathak, P., Faruq, M., Rajeshwari, M., Singh, M., ... &amp; Sharma, M. C. (2018). C11orf95-RELA fusions and upregulated NF-KB signalling characterise a subset of aggressive supratentorial ependymomas that express L1CAM and </w:t>
      </w:r>
      <w:proofErr w:type="spellStart"/>
      <w:r>
        <w:rPr>
          <w:rStyle w:val="Strong"/>
          <w:rFonts w:ascii="Arial" w:hAnsi="Arial"/>
          <w:b w:val="0"/>
          <w:bCs w:val="0"/>
          <w:sz w:val="22"/>
          <w:szCs w:val="22"/>
          <w:lang w:val="en-IN"/>
        </w:rPr>
        <w:t>nestin</w:t>
      </w:r>
      <w:proofErr w:type="spellEnd"/>
      <w:r>
        <w:rPr>
          <w:rStyle w:val="Strong"/>
          <w:rFonts w:ascii="Arial" w:hAnsi="Arial"/>
          <w:b w:val="0"/>
          <w:bCs w:val="0"/>
          <w:sz w:val="22"/>
          <w:szCs w:val="22"/>
          <w:lang w:val="en-IN"/>
        </w:rPr>
        <w:t>. Journal of neuro-oncology, 138(1), 29-39.</w:t>
      </w:r>
    </w:p>
    <w:p w14:paraId="545FF94C"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Zuckermann</w:t>
      </w:r>
      <w:proofErr w:type="spellEnd"/>
      <w:r>
        <w:rPr>
          <w:rStyle w:val="Strong"/>
          <w:rFonts w:ascii="Arial" w:hAnsi="Arial"/>
          <w:b w:val="0"/>
          <w:bCs w:val="0"/>
          <w:sz w:val="22"/>
          <w:szCs w:val="22"/>
          <w:lang w:val="en-IN"/>
        </w:rPr>
        <w:t xml:space="preserve">, M., He, C., Andrews, J., </w:t>
      </w:r>
      <w:proofErr w:type="spellStart"/>
      <w:r>
        <w:rPr>
          <w:rStyle w:val="Strong"/>
          <w:rFonts w:ascii="Arial" w:hAnsi="Arial"/>
          <w:b w:val="0"/>
          <w:bCs w:val="0"/>
          <w:sz w:val="22"/>
          <w:szCs w:val="22"/>
          <w:lang w:val="en-IN"/>
        </w:rPr>
        <w:t>Bagchi</w:t>
      </w:r>
      <w:proofErr w:type="spellEnd"/>
      <w:r>
        <w:rPr>
          <w:rStyle w:val="Strong"/>
          <w:rFonts w:ascii="Arial" w:hAnsi="Arial"/>
          <w:b w:val="0"/>
          <w:bCs w:val="0"/>
          <w:sz w:val="22"/>
          <w:szCs w:val="22"/>
          <w:lang w:val="en-IN"/>
        </w:rPr>
        <w:t xml:space="preserve">, A., Sloan-Henry, R., </w:t>
      </w:r>
      <w:proofErr w:type="spellStart"/>
      <w:r>
        <w:rPr>
          <w:rStyle w:val="Strong"/>
          <w:rFonts w:ascii="Arial" w:hAnsi="Arial"/>
          <w:b w:val="0"/>
          <w:bCs w:val="0"/>
          <w:sz w:val="22"/>
          <w:szCs w:val="22"/>
          <w:lang w:val="en-IN"/>
        </w:rPr>
        <w:t>Bianski</w:t>
      </w:r>
      <w:proofErr w:type="spellEnd"/>
      <w:r>
        <w:rPr>
          <w:rStyle w:val="Strong"/>
          <w:rFonts w:ascii="Arial" w:hAnsi="Arial"/>
          <w:b w:val="0"/>
          <w:bCs w:val="0"/>
          <w:sz w:val="22"/>
          <w:szCs w:val="22"/>
          <w:lang w:val="en-IN"/>
        </w:rPr>
        <w:t xml:space="preserve">, B., ... &amp; Baker, S. J. (2024). </w:t>
      </w:r>
      <w:proofErr w:type="spellStart"/>
      <w:r>
        <w:rPr>
          <w:rStyle w:val="Strong"/>
          <w:rFonts w:ascii="Arial" w:hAnsi="Arial"/>
          <w:b w:val="0"/>
          <w:bCs w:val="0"/>
          <w:sz w:val="22"/>
          <w:szCs w:val="22"/>
          <w:lang w:val="en-IN"/>
        </w:rPr>
        <w:t>Capmatinib</w:t>
      </w:r>
      <w:proofErr w:type="spellEnd"/>
      <w:r>
        <w:rPr>
          <w:rStyle w:val="Strong"/>
          <w:rFonts w:ascii="Arial" w:hAnsi="Arial"/>
          <w:b w:val="0"/>
          <w:bCs w:val="0"/>
          <w:sz w:val="22"/>
          <w:szCs w:val="22"/>
          <w:lang w:val="en-IN"/>
        </w:rPr>
        <w:t xml:space="preserve"> is an effective treatment for MET-fusion driven </w:t>
      </w:r>
      <w:proofErr w:type="spellStart"/>
      <w:r>
        <w:rPr>
          <w:rStyle w:val="Strong"/>
          <w:rFonts w:ascii="Arial" w:hAnsi="Arial"/>
          <w:b w:val="0"/>
          <w:bCs w:val="0"/>
          <w:sz w:val="22"/>
          <w:szCs w:val="22"/>
          <w:lang w:val="en-IN"/>
        </w:rPr>
        <w:t>pediatric</w:t>
      </w:r>
      <w:proofErr w:type="spellEnd"/>
      <w:r>
        <w:rPr>
          <w:rStyle w:val="Strong"/>
          <w:rFonts w:ascii="Arial" w:hAnsi="Arial"/>
          <w:b w:val="0"/>
          <w:bCs w:val="0"/>
          <w:sz w:val="22"/>
          <w:szCs w:val="22"/>
          <w:lang w:val="en-IN"/>
        </w:rPr>
        <w:t xml:space="preserve"> high-grade glioma and synergizes with radiotherapy. Molecular cancer, 23(1), 123.</w:t>
      </w:r>
    </w:p>
    <w:p w14:paraId="00EBB659"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Chen, H., Zhang, M., Bai, L., </w:t>
      </w:r>
      <w:proofErr w:type="spellStart"/>
      <w:r>
        <w:rPr>
          <w:rStyle w:val="Strong"/>
          <w:rFonts w:ascii="Arial" w:hAnsi="Arial"/>
          <w:b w:val="0"/>
          <w:bCs w:val="0"/>
          <w:sz w:val="22"/>
          <w:szCs w:val="22"/>
          <w:lang w:val="en-IN"/>
        </w:rPr>
        <w:t>Niu</w:t>
      </w:r>
      <w:proofErr w:type="spellEnd"/>
      <w:r>
        <w:rPr>
          <w:rStyle w:val="Strong"/>
          <w:rFonts w:ascii="Arial" w:hAnsi="Arial"/>
          <w:b w:val="0"/>
          <w:bCs w:val="0"/>
          <w:sz w:val="22"/>
          <w:szCs w:val="22"/>
          <w:lang w:val="en-IN"/>
        </w:rPr>
        <w:t xml:space="preserve">, Y., Wang, X., Jiang, R., ... &amp; Zhong, D. (2024). Coexistence of a novel SV2B-ALK, EML4-ALK double-fusion in a lung poorly differentiated adenocarcinoma patient and response to </w:t>
      </w:r>
      <w:proofErr w:type="spellStart"/>
      <w:r>
        <w:rPr>
          <w:rStyle w:val="Strong"/>
          <w:rFonts w:ascii="Arial" w:hAnsi="Arial"/>
          <w:b w:val="0"/>
          <w:bCs w:val="0"/>
          <w:sz w:val="22"/>
          <w:szCs w:val="22"/>
          <w:lang w:val="en-IN"/>
        </w:rPr>
        <w:t>alectinib</w:t>
      </w:r>
      <w:proofErr w:type="spellEnd"/>
      <w:r>
        <w:rPr>
          <w:rStyle w:val="Strong"/>
          <w:rFonts w:ascii="Arial" w:hAnsi="Arial"/>
          <w:b w:val="0"/>
          <w:bCs w:val="0"/>
          <w:sz w:val="22"/>
          <w:szCs w:val="22"/>
          <w:lang w:val="en-IN"/>
        </w:rPr>
        <w:t>: a case report and literature review. Frontiers in Oncology, 14, 1453259.</w:t>
      </w:r>
    </w:p>
    <w:p w14:paraId="6DBF30B9" w14:textId="77777777" w:rsidR="00856E36" w:rsidRDefault="00A659E2" w:rsidP="00B114D3">
      <w:pPr>
        <w:numPr>
          <w:ilvl w:val="0"/>
          <w:numId w:val="8"/>
        </w:numPr>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Vashisht</w:t>
      </w:r>
      <w:proofErr w:type="spellEnd"/>
      <w:r>
        <w:rPr>
          <w:rStyle w:val="Strong"/>
          <w:rFonts w:ascii="Arial" w:hAnsi="Arial"/>
          <w:b w:val="0"/>
          <w:bCs w:val="0"/>
          <w:sz w:val="22"/>
          <w:szCs w:val="22"/>
          <w:lang w:val="en-IN"/>
        </w:rPr>
        <w:t xml:space="preserve">, V., </w:t>
      </w:r>
      <w:proofErr w:type="spellStart"/>
      <w:r>
        <w:rPr>
          <w:rStyle w:val="Strong"/>
          <w:rFonts w:ascii="Arial" w:hAnsi="Arial"/>
          <w:b w:val="0"/>
          <w:bCs w:val="0"/>
          <w:sz w:val="22"/>
          <w:szCs w:val="22"/>
          <w:lang w:val="en-IN"/>
        </w:rPr>
        <w:t>Vashisht</w:t>
      </w:r>
      <w:proofErr w:type="spellEnd"/>
      <w:r>
        <w:rPr>
          <w:rStyle w:val="Strong"/>
          <w:rFonts w:ascii="Arial" w:hAnsi="Arial"/>
          <w:b w:val="0"/>
          <w:bCs w:val="0"/>
          <w:sz w:val="22"/>
          <w:szCs w:val="22"/>
          <w:lang w:val="en-IN"/>
        </w:rPr>
        <w:t xml:space="preserve">, A., Mondal, A. K., Woodall, J., &amp; </w:t>
      </w:r>
      <w:proofErr w:type="spellStart"/>
      <w:r>
        <w:rPr>
          <w:rStyle w:val="Strong"/>
          <w:rFonts w:ascii="Arial" w:hAnsi="Arial"/>
          <w:b w:val="0"/>
          <w:bCs w:val="0"/>
          <w:sz w:val="22"/>
          <w:szCs w:val="22"/>
          <w:lang w:val="en-IN"/>
        </w:rPr>
        <w:t>Kolhe</w:t>
      </w:r>
      <w:proofErr w:type="spellEnd"/>
      <w:r>
        <w:rPr>
          <w:rStyle w:val="Strong"/>
          <w:rFonts w:ascii="Arial" w:hAnsi="Arial"/>
          <w:b w:val="0"/>
          <w:bCs w:val="0"/>
          <w:sz w:val="22"/>
          <w:szCs w:val="22"/>
          <w:lang w:val="en-IN"/>
        </w:rPr>
        <w:t>, R. (2024). From genomic exploration to personalized treatment: next-generation sequencing in oncology. Current Issues in Molecular Biology, 46(11), 12527-12549.</w:t>
      </w:r>
    </w:p>
    <w:p w14:paraId="5ABD127B" w14:textId="77777777" w:rsidR="00856E36" w:rsidRDefault="00A659E2" w:rsidP="00B114D3">
      <w:pPr>
        <w:numPr>
          <w:ilvl w:val="0"/>
          <w:numId w:val="8"/>
        </w:numPr>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Wong, D. (2025). A Review of Molecular Techniques and Biomarkers for the Diagnosis of </w:t>
      </w:r>
      <w:proofErr w:type="spellStart"/>
      <w:r>
        <w:rPr>
          <w:rStyle w:val="Strong"/>
          <w:rFonts w:ascii="Arial" w:hAnsi="Arial"/>
          <w:b w:val="0"/>
          <w:bCs w:val="0"/>
          <w:sz w:val="22"/>
          <w:szCs w:val="22"/>
          <w:lang w:val="en-IN"/>
        </w:rPr>
        <w:t>Tumors</w:t>
      </w:r>
      <w:proofErr w:type="spellEnd"/>
      <w:r>
        <w:rPr>
          <w:rStyle w:val="Strong"/>
          <w:rFonts w:ascii="Arial" w:hAnsi="Arial"/>
          <w:b w:val="0"/>
          <w:bCs w:val="0"/>
          <w:sz w:val="22"/>
          <w:szCs w:val="22"/>
          <w:lang w:val="en-IN"/>
        </w:rPr>
        <w:t xml:space="preserve"> of the Central Nervous System. Advances in Molecular Pathology.</w:t>
      </w:r>
    </w:p>
    <w:p w14:paraId="227AE602" w14:textId="77777777" w:rsidR="00856E36" w:rsidRDefault="00A659E2" w:rsidP="00B114D3">
      <w:pPr>
        <w:numPr>
          <w:ilvl w:val="0"/>
          <w:numId w:val="8"/>
        </w:numPr>
        <w:jc w:val="both"/>
        <w:rPr>
          <w:rStyle w:val="Strong"/>
          <w:rFonts w:ascii="Arial" w:hAnsi="Arial" w:cs="Arial"/>
          <w:b w:val="0"/>
          <w:bCs w:val="0"/>
          <w:sz w:val="22"/>
          <w:szCs w:val="22"/>
          <w:lang w:val="en-IN"/>
        </w:rPr>
      </w:pPr>
      <w:proofErr w:type="spellStart"/>
      <w:r>
        <w:rPr>
          <w:rStyle w:val="Strong"/>
          <w:rFonts w:ascii="Arial" w:hAnsi="Arial"/>
          <w:b w:val="0"/>
          <w:bCs w:val="0"/>
          <w:sz w:val="22"/>
          <w:szCs w:val="22"/>
          <w:lang w:val="en-IN"/>
        </w:rPr>
        <w:t>Gargallo</w:t>
      </w:r>
      <w:proofErr w:type="spellEnd"/>
      <w:r>
        <w:rPr>
          <w:rStyle w:val="Strong"/>
          <w:rFonts w:ascii="Arial" w:hAnsi="Arial"/>
          <w:b w:val="0"/>
          <w:bCs w:val="0"/>
          <w:sz w:val="22"/>
          <w:szCs w:val="22"/>
          <w:lang w:val="en-IN"/>
        </w:rPr>
        <w:t xml:space="preserve">, P., </w:t>
      </w:r>
      <w:proofErr w:type="spellStart"/>
      <w:r>
        <w:rPr>
          <w:rStyle w:val="Strong"/>
          <w:rFonts w:ascii="Arial" w:hAnsi="Arial"/>
          <w:b w:val="0"/>
          <w:bCs w:val="0"/>
          <w:sz w:val="22"/>
          <w:szCs w:val="22"/>
          <w:lang w:val="en-IN"/>
        </w:rPr>
        <w:t>Molero</w:t>
      </w:r>
      <w:proofErr w:type="spellEnd"/>
      <w:r>
        <w:rPr>
          <w:rStyle w:val="Strong"/>
          <w:rFonts w:ascii="Arial" w:hAnsi="Arial"/>
          <w:b w:val="0"/>
          <w:bCs w:val="0"/>
          <w:sz w:val="22"/>
          <w:szCs w:val="22"/>
          <w:lang w:val="en-IN"/>
        </w:rPr>
        <w:t xml:space="preserve">, M., Bilbao, C., Stuckey, R., Carrillo-Cruz, E., </w:t>
      </w:r>
      <w:proofErr w:type="spellStart"/>
      <w:r>
        <w:rPr>
          <w:rStyle w:val="Strong"/>
          <w:rFonts w:ascii="Arial" w:hAnsi="Arial"/>
          <w:b w:val="0"/>
          <w:bCs w:val="0"/>
          <w:sz w:val="22"/>
          <w:szCs w:val="22"/>
          <w:lang w:val="en-IN"/>
        </w:rPr>
        <w:t>Hermosín</w:t>
      </w:r>
      <w:proofErr w:type="spellEnd"/>
      <w:r>
        <w:rPr>
          <w:rStyle w:val="Strong"/>
          <w:rFonts w:ascii="Arial" w:hAnsi="Arial"/>
          <w:b w:val="0"/>
          <w:bCs w:val="0"/>
          <w:sz w:val="22"/>
          <w:szCs w:val="22"/>
          <w:lang w:val="en-IN"/>
        </w:rPr>
        <w:t>, L., ... &amp; Calabria, I. (2022). Next-generation DNA sequencing-based gene panel for diagnosis and genetic risk stratification in onco-</w:t>
      </w:r>
      <w:proofErr w:type="spellStart"/>
      <w:r>
        <w:rPr>
          <w:rStyle w:val="Strong"/>
          <w:rFonts w:ascii="Arial" w:hAnsi="Arial"/>
          <w:b w:val="0"/>
          <w:bCs w:val="0"/>
          <w:sz w:val="22"/>
          <w:szCs w:val="22"/>
          <w:lang w:val="en-IN"/>
        </w:rPr>
        <w:t>hematology</w:t>
      </w:r>
      <w:proofErr w:type="spellEnd"/>
      <w:r>
        <w:rPr>
          <w:rStyle w:val="Strong"/>
          <w:rFonts w:ascii="Arial" w:hAnsi="Arial"/>
          <w:b w:val="0"/>
          <w:bCs w:val="0"/>
          <w:sz w:val="22"/>
          <w:szCs w:val="22"/>
          <w:lang w:val="en-IN"/>
        </w:rPr>
        <w:t>. Cancers, 14(8), 1986.</w:t>
      </w:r>
    </w:p>
    <w:p w14:paraId="5FD68EBA" w14:textId="77777777" w:rsidR="00856E36" w:rsidRDefault="00856E36" w:rsidP="00B114D3">
      <w:pPr>
        <w:jc w:val="both"/>
        <w:rPr>
          <w:rStyle w:val="Strong"/>
          <w:rFonts w:ascii="Arial" w:hAnsi="Arial"/>
          <w:b w:val="0"/>
          <w:bCs w:val="0"/>
          <w:sz w:val="22"/>
          <w:szCs w:val="22"/>
          <w:lang w:val="en-IN"/>
        </w:rPr>
      </w:pPr>
    </w:p>
    <w:p w14:paraId="452E51A8" w14:textId="77777777" w:rsidR="00856E36" w:rsidRDefault="00856E36" w:rsidP="00B114D3">
      <w:pPr>
        <w:pStyle w:val="Body"/>
        <w:spacing w:after="0"/>
        <w:rPr>
          <w:rFonts w:ascii="Arial" w:hAnsi="Arial" w:cs="Arial"/>
        </w:rPr>
      </w:pPr>
    </w:p>
    <w:p w14:paraId="7D35DEB0" w14:textId="77777777" w:rsidR="00856E36" w:rsidRDefault="00856E36" w:rsidP="00B114D3">
      <w:pPr>
        <w:pStyle w:val="Appendix"/>
        <w:spacing w:after="0"/>
        <w:jc w:val="both"/>
        <w:rPr>
          <w:rFonts w:ascii="Arial" w:hAnsi="Arial" w:cs="Arial"/>
          <w:b w:val="0"/>
        </w:rPr>
      </w:pPr>
    </w:p>
    <w:sectPr w:rsidR="00856E36" w:rsidSect="00B114D8">
      <w:headerReference w:type="even" r:id="rId22"/>
      <w:headerReference w:type="default" r:id="rId23"/>
      <w:footerReference w:type="default" r:id="rId24"/>
      <w:headerReference w:type="first" r:id="rId25"/>
      <w:type w:val="continuous"/>
      <w:pgSz w:w="12240" w:h="15840"/>
      <w:pgMar w:top="720" w:right="720" w:bottom="720"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BD71D" w14:textId="77777777" w:rsidR="0057603C" w:rsidRDefault="0057603C">
      <w:r>
        <w:separator/>
      </w:r>
    </w:p>
  </w:endnote>
  <w:endnote w:type="continuationSeparator" w:id="0">
    <w:p w14:paraId="57F2D255" w14:textId="77777777" w:rsidR="0057603C" w:rsidRDefault="0057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C08C" w14:textId="77777777" w:rsidR="00B114D8" w:rsidRDefault="00B11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F88D5" w14:textId="77777777" w:rsidR="00B114D8" w:rsidRDefault="00B11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D558" w14:textId="77777777" w:rsidR="00A659E2" w:rsidRDefault="00A659E2">
    <w:pPr>
      <w:pStyle w:val="Footer"/>
      <w:rPr>
        <w:rFonts w:ascii="Arial" w:hAnsi="Arial" w:cs="Arial"/>
        <w:sz w:val="16"/>
      </w:rPr>
    </w:pPr>
  </w:p>
  <w:p w14:paraId="12C39F1C" w14:textId="77777777" w:rsidR="00A659E2" w:rsidRDefault="00A659E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5BBBEAC" w14:textId="77777777" w:rsidR="00A659E2" w:rsidRDefault="00A659E2">
    <w:pPr>
      <w:pStyle w:val="Footer"/>
      <w:rPr>
        <w:rFonts w:ascii="Arial" w:hAnsi="Arial" w:cs="Arial"/>
        <w:sz w:val="16"/>
      </w:rPr>
    </w:pPr>
  </w:p>
  <w:p w14:paraId="3E8ED3F5" w14:textId="77777777" w:rsidR="00A659E2" w:rsidRDefault="00A659E2">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C0814" w14:textId="77777777" w:rsidR="009F5233" w:rsidRDefault="009F52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5274" w14:textId="77777777" w:rsidR="00A659E2" w:rsidRDefault="00A65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39BC2" w14:textId="77777777" w:rsidR="0057603C" w:rsidRDefault="0057603C">
      <w:r>
        <w:separator/>
      </w:r>
    </w:p>
  </w:footnote>
  <w:footnote w:type="continuationSeparator" w:id="0">
    <w:p w14:paraId="55378754" w14:textId="77777777" w:rsidR="0057603C" w:rsidRDefault="0057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A4B6" w14:textId="29430509" w:rsidR="00B114D8" w:rsidRDefault="00B114D8">
    <w:pPr>
      <w:pStyle w:val="Header"/>
    </w:pPr>
    <w:r>
      <w:rPr>
        <w:noProof/>
      </w:rPr>
      <w:pict w14:anchorId="76760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4156C" w14:textId="46F9DDDA" w:rsidR="00B114D8" w:rsidRDefault="00B114D8">
    <w:pPr>
      <w:pStyle w:val="Header"/>
    </w:pPr>
    <w:r>
      <w:rPr>
        <w:noProof/>
      </w:rPr>
      <w:pict w14:anchorId="51691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968E" w14:textId="17FFBBCF" w:rsidR="00A659E2" w:rsidRDefault="00B114D8">
    <w:pPr>
      <w:ind w:left="2160"/>
      <w:jc w:val="center"/>
      <w:rPr>
        <w:rFonts w:ascii="Times New Roman" w:eastAsia="Calibri" w:hAnsi="Times New Roman"/>
        <w:i/>
        <w:sz w:val="18"/>
        <w:szCs w:val="22"/>
      </w:rPr>
    </w:pPr>
    <w:r>
      <w:rPr>
        <w:noProof/>
      </w:rPr>
      <w:pict w14:anchorId="78D4D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688B9C" w14:textId="77777777" w:rsidR="00A659E2" w:rsidRDefault="00A659E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5C09C7A" w14:textId="77777777" w:rsidR="00A659E2" w:rsidRDefault="00A659E2">
    <w:pPr>
      <w:jc w:val="center"/>
      <w:rPr>
        <w:rFonts w:ascii="Times New Roman" w:eastAsia="Calibri" w:hAnsi="Times New Roman"/>
        <w:i/>
        <w:sz w:val="18"/>
        <w:szCs w:val="22"/>
      </w:rPr>
    </w:pPr>
    <w:r>
      <w:rPr>
        <w:rFonts w:ascii="Times New Roman" w:eastAsia="Calibri" w:hAnsi="Times New Roman"/>
        <w:i/>
        <w:sz w:val="18"/>
        <w:szCs w:val="22"/>
      </w:rPr>
      <w:t>.</w:t>
    </w:r>
  </w:p>
  <w:p w14:paraId="093FCA61" w14:textId="77777777" w:rsidR="00A659E2" w:rsidRDefault="00A659E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F43B172" w14:textId="77777777" w:rsidR="00A659E2" w:rsidRDefault="00A659E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2FB43D3" w14:textId="77777777" w:rsidR="00A659E2" w:rsidRDefault="00A659E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C65AE39" w14:textId="77777777" w:rsidR="00A659E2" w:rsidRDefault="00A659E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520C" w14:textId="17E2538E" w:rsidR="00B114D8" w:rsidRDefault="00B114D8">
    <w:pPr>
      <w:pStyle w:val="Header"/>
    </w:pPr>
    <w:r>
      <w:rPr>
        <w:noProof/>
      </w:rPr>
      <w:pict w14:anchorId="05047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B50C" w14:textId="0183774F" w:rsidR="00B114D8" w:rsidRDefault="00B114D8">
    <w:pPr>
      <w:pStyle w:val="Header"/>
    </w:pPr>
    <w:r>
      <w:rPr>
        <w:noProof/>
      </w:rPr>
      <w:pict w14:anchorId="22932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FEDF" w14:textId="3CDDD26A" w:rsidR="00B114D8" w:rsidRDefault="00B114D8">
    <w:pPr>
      <w:pStyle w:val="Header"/>
    </w:pPr>
    <w:r>
      <w:rPr>
        <w:noProof/>
      </w:rPr>
      <w:pict w14:anchorId="033FA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3DE1" w14:textId="34653141" w:rsidR="00B114D8" w:rsidRDefault="00B114D8">
    <w:pPr>
      <w:pStyle w:val="Header"/>
    </w:pPr>
    <w:r>
      <w:rPr>
        <w:noProof/>
      </w:rPr>
      <w:pict w14:anchorId="7AE16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F2E9D" w14:textId="5C7FA2B1" w:rsidR="00B114D8" w:rsidRDefault="00B114D8">
    <w:pPr>
      <w:pStyle w:val="Header"/>
    </w:pPr>
    <w:r>
      <w:rPr>
        <w:noProof/>
      </w:rPr>
      <w:pict w14:anchorId="33018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6148" w14:textId="54061F57" w:rsidR="00B114D8" w:rsidRDefault="00B114D8">
    <w:pPr>
      <w:pStyle w:val="Header"/>
    </w:pPr>
    <w:r>
      <w:rPr>
        <w:noProof/>
      </w:rPr>
      <w:pict w14:anchorId="6EC69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990951"/>
    <w:multiLevelType w:val="singleLevel"/>
    <w:tmpl w:val="8399095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B9D71D5"/>
    <w:multiLevelType w:val="singleLevel"/>
    <w:tmpl w:val="EB9D71D5"/>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986525"/>
    <w:multiLevelType w:val="singleLevel"/>
    <w:tmpl w:val="FF98652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341F3121"/>
    <w:multiLevelType w:val="singleLevel"/>
    <w:tmpl w:val="341F312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49764A88"/>
    <w:multiLevelType w:val="singleLevel"/>
    <w:tmpl w:val="49764A88"/>
    <w:lvl w:ilvl="0">
      <w:start w:val="1"/>
      <w:numFmt w:val="decimal"/>
      <w:lvlText w:val="%1."/>
      <w:lvlJc w:val="left"/>
      <w:pPr>
        <w:tabs>
          <w:tab w:val="left" w:pos="425"/>
        </w:tabs>
        <w:ind w:left="425" w:hanging="425"/>
      </w:pPr>
      <w:rPr>
        <w:rFonts w:hint="default"/>
      </w:rPr>
    </w:lvl>
  </w:abstractNum>
  <w:abstractNum w:abstractNumId="5" w15:restartNumberingAfterBreak="0">
    <w:nsid w:val="63981F16"/>
    <w:multiLevelType w:val="singleLevel"/>
    <w:tmpl w:val="63981F16"/>
    <w:lvl w:ilvl="0">
      <w:start w:val="1"/>
      <w:numFmt w:val="lowerLetter"/>
      <w:lvlText w:val="%1)"/>
      <w:lvlJc w:val="left"/>
      <w:pPr>
        <w:tabs>
          <w:tab w:val="left" w:pos="425"/>
        </w:tabs>
        <w:ind w:left="425" w:hanging="425"/>
      </w:pPr>
      <w:rPr>
        <w:rFonts w:hint="default"/>
        <w:b/>
        <w:bCs/>
      </w:rPr>
    </w:lvl>
  </w:abstractNum>
  <w:abstractNum w:abstractNumId="6" w15:restartNumberingAfterBreak="0">
    <w:nsid w:val="6D6D01D3"/>
    <w:multiLevelType w:val="singleLevel"/>
    <w:tmpl w:val="6D6D01D3"/>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7"/>
  </w:num>
  <w:num w:numId="2">
    <w:abstractNumId w:val="0"/>
  </w:num>
  <w:num w:numId="3">
    <w:abstractNumId w:val="2"/>
  </w:num>
  <w:num w:numId="4">
    <w:abstractNumId w:val="1"/>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34FA"/>
    <w:rsid w:val="004D305E"/>
    <w:rsid w:val="004D3C1B"/>
    <w:rsid w:val="004D4277"/>
    <w:rsid w:val="00502516"/>
    <w:rsid w:val="00505F06"/>
    <w:rsid w:val="00506828"/>
    <w:rsid w:val="0053056E"/>
    <w:rsid w:val="00554FDA"/>
    <w:rsid w:val="0057603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6E36"/>
    <w:rsid w:val="00857AAB"/>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52B"/>
    <w:rsid w:val="009F0EDA"/>
    <w:rsid w:val="009F5233"/>
    <w:rsid w:val="00A03B96"/>
    <w:rsid w:val="00A05B19"/>
    <w:rsid w:val="00A1134E"/>
    <w:rsid w:val="00A2098B"/>
    <w:rsid w:val="00A24E7E"/>
    <w:rsid w:val="00A258C3"/>
    <w:rsid w:val="00A347C0"/>
    <w:rsid w:val="00A51431"/>
    <w:rsid w:val="00A539AD"/>
    <w:rsid w:val="00A659E2"/>
    <w:rsid w:val="00A94063"/>
    <w:rsid w:val="00AA6219"/>
    <w:rsid w:val="00AA74E0"/>
    <w:rsid w:val="00AB5673"/>
    <w:rsid w:val="00AB703F"/>
    <w:rsid w:val="00AC6BB8"/>
    <w:rsid w:val="00AE008F"/>
    <w:rsid w:val="00B01FCD"/>
    <w:rsid w:val="00B114D3"/>
    <w:rsid w:val="00B114D8"/>
    <w:rsid w:val="00B1776C"/>
    <w:rsid w:val="00B52583"/>
    <w:rsid w:val="00B52896"/>
    <w:rsid w:val="00B77BC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0B34"/>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67B80"/>
    <w:rsid w:val="00E769F6"/>
    <w:rsid w:val="00E825D8"/>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C357658"/>
    <w:rsid w:val="350A419F"/>
    <w:rsid w:val="79FE06C1"/>
    <w:rsid w:val="7EEF0F1D"/>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1"/>
    </o:shapelayout>
  </w:shapeDefaults>
  <w:decimalSymbol w:val="."/>
  <w:listSeparator w:val=","/>
  <w14:docId w14:val="0860D46B"/>
  <w15:docId w15:val="{5300BBDC-5EA3-49C6-8790-E79F0F1E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eastAsia="SimSun" w:hAnsi="SimSun" w:cs="Shruti" w:hint="eastAsia"/>
      <w:b/>
      <w:bCs/>
      <w:sz w:val="36"/>
      <w:szCs w:val="36"/>
      <w:lang w:val="en-US" w:eastAsia="zh-C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rFonts w:eastAsia="SimSun" w:cs="Shruti"/>
      <w:sz w:val="24"/>
      <w:szCs w:val="24"/>
      <w:lang w:val="en-US" w:eastAsia="zh-CN" w:bidi="gu-I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77BCD"/>
    <w:rPr>
      <w:color w:val="605E5C"/>
      <w:shd w:val="clear" w:color="auto" w:fill="E1DFDD"/>
    </w:rPr>
  </w:style>
  <w:style w:type="character" w:customStyle="1" w:styleId="FooterChar">
    <w:name w:val="Footer Char"/>
    <w:basedOn w:val="DefaultParagraphFont"/>
    <w:link w:val="Footer"/>
    <w:rsid w:val="009F5233"/>
    <w:rPr>
      <w:rFonts w:ascii="Helvetica"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473723-BA19-4FE3-80F3-20169E6F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16</Pages>
  <Words>5497</Words>
  <Characters>31334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2026-02-24T09:45:00Z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1E38BF4CE5E944CC8CBCC053F2B53CFE_13</vt:lpwstr>
  </property>
</Properties>
</file>