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5EDF5" w14:textId="04CEAAB2" w:rsidR="00AE34C3" w:rsidRPr="008D2244" w:rsidRDefault="008D2244">
      <w:pPr>
        <w:widowControl w:val="0"/>
        <w:pBdr>
          <w:top w:val="nil"/>
          <w:left w:val="nil"/>
          <w:bottom w:val="nil"/>
          <w:right w:val="nil"/>
          <w:between w:val="nil"/>
        </w:pBdr>
        <w:spacing w:line="276" w:lineRule="auto"/>
        <w:rPr>
          <w:u w:val="single"/>
        </w:rPr>
      </w:pPr>
      <w:r w:rsidRPr="008D2244">
        <w:rPr>
          <w:u w:val="single"/>
        </w:rPr>
        <w:t>Short Research Article</w:t>
      </w:r>
    </w:p>
    <w:p w14:paraId="7F269190" w14:textId="77777777" w:rsidR="00AE34C3" w:rsidRDefault="00AE34C3">
      <w:pPr>
        <w:pStyle w:val="Title"/>
        <w:spacing w:after="0"/>
        <w:jc w:val="both"/>
        <w:rPr>
          <w:rFonts w:ascii="Arial" w:eastAsia="Arial" w:hAnsi="Arial" w:cs="Arial"/>
        </w:rPr>
      </w:pPr>
    </w:p>
    <w:p w14:paraId="05AB3F0C" w14:textId="77777777" w:rsidR="00AE34C3" w:rsidRDefault="00EB685E">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 xml:space="preserve">Assessment of Physicochemical and Microbial Quality of Selected Wells in </w:t>
      </w:r>
      <w:proofErr w:type="spellStart"/>
      <w:r>
        <w:rPr>
          <w:rFonts w:ascii="Arial" w:eastAsia="Arial" w:hAnsi="Arial" w:cs="Arial"/>
          <w:b/>
          <w:bCs/>
          <w:sz w:val="36"/>
          <w:szCs w:val="36"/>
        </w:rPr>
        <w:t>Macabalan</w:t>
      </w:r>
      <w:proofErr w:type="spellEnd"/>
      <w:r>
        <w:rPr>
          <w:rFonts w:ascii="Arial" w:eastAsia="Arial" w:hAnsi="Arial" w:cs="Arial"/>
          <w:b/>
          <w:bCs/>
          <w:sz w:val="36"/>
          <w:szCs w:val="36"/>
        </w:rPr>
        <w:t>, Cagayan de Oro City</w:t>
      </w:r>
    </w:p>
    <w:p w14:paraId="3170D679" w14:textId="77777777" w:rsidR="008D2244" w:rsidRPr="008D2244" w:rsidRDefault="008D2244" w:rsidP="008D2244">
      <w:pPr>
        <w:spacing w:before="240" w:after="240"/>
        <w:jc w:val="right"/>
        <w:rPr>
          <w:rFonts w:ascii="Arial" w:eastAsia="Arial" w:hAnsi="Arial" w:cs="Arial"/>
          <w:i/>
          <w:iCs/>
          <w:sz w:val="16"/>
          <w:szCs w:val="16"/>
        </w:rPr>
      </w:pPr>
    </w:p>
    <w:p w14:paraId="5219D040" w14:textId="0A967D15" w:rsidR="008D2244" w:rsidRDefault="008D2244" w:rsidP="008D2244">
      <w:pPr>
        <w:spacing w:before="240" w:after="240"/>
        <w:jc w:val="right"/>
        <w:rPr>
          <w:rFonts w:ascii="Arial" w:eastAsia="Arial" w:hAnsi="Arial" w:cs="Arial"/>
          <w:i/>
          <w:iCs/>
          <w:sz w:val="16"/>
          <w:szCs w:val="16"/>
        </w:rPr>
      </w:pPr>
    </w:p>
    <w:p w14:paraId="00B460E4" w14:textId="77777777" w:rsidR="008D2244" w:rsidRDefault="008D2244">
      <w:pPr>
        <w:spacing w:before="240" w:after="240"/>
        <w:jc w:val="right"/>
        <w:rPr>
          <w:rFonts w:ascii="Arial" w:eastAsia="Arial" w:hAnsi="Arial" w:cs="Arial"/>
          <w:i/>
          <w:iCs/>
          <w:sz w:val="16"/>
          <w:szCs w:val="16"/>
        </w:rPr>
      </w:pPr>
    </w:p>
    <w:p w14:paraId="5D372044" w14:textId="77777777" w:rsidR="00AE34C3" w:rsidRDefault="00AE34C3">
      <w:pPr>
        <w:pBdr>
          <w:top w:val="nil"/>
          <w:left w:val="nil"/>
          <w:bottom w:val="nil"/>
          <w:right w:val="nil"/>
          <w:between w:val="nil"/>
        </w:pBdr>
        <w:jc w:val="both"/>
        <w:rPr>
          <w:rFonts w:ascii="Arial" w:eastAsia="Arial" w:hAnsi="Arial" w:cs="Arial"/>
          <w:color w:val="000000"/>
        </w:rPr>
      </w:pPr>
    </w:p>
    <w:p w14:paraId="26DDC4C5" w14:textId="77777777" w:rsidR="00AE34C3" w:rsidRDefault="00EB685E">
      <w:pPr>
        <w:pBdr>
          <w:top w:val="nil"/>
          <w:left w:val="nil"/>
          <w:bottom w:val="nil"/>
          <w:right w:val="nil"/>
          <w:between w:val="nil"/>
        </w:pBdr>
        <w:jc w:val="both"/>
        <w:rPr>
          <w:rFonts w:ascii="Arial" w:eastAsia="Arial" w:hAnsi="Arial" w:cs="Arial"/>
          <w:color w:val="000000"/>
          <w:sz w:val="16"/>
          <w:szCs w:val="16"/>
        </w:rPr>
        <w:sectPr w:rsidR="00AE34C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lnNumType w:countBy="1" w:restart="continuous"/>
          <w:pgNumType w:start="1"/>
          <w:cols w:space="720"/>
        </w:sectPr>
      </w:pPr>
      <w:r>
        <w:rPr>
          <w:rFonts w:ascii="Arial" w:eastAsia="Arial" w:hAnsi="Arial" w:cs="Arial"/>
          <w:noProof/>
          <w:color w:val="000000"/>
          <w:sz w:val="16"/>
          <w:szCs w:val="16"/>
        </w:rPr>
        <mc:AlternateContent>
          <mc:Choice Requires="wps">
            <w:drawing>
              <wp:inline distT="0" distB="0" distL="114300" distR="114300" wp14:anchorId="3E9CC04A" wp14:editId="1E89A842">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33"/>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24D27AE8" w14:textId="77777777" w:rsidR="00AE34C3" w:rsidRDefault="00EB685E">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ABSTRACT</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E34C3" w14:paraId="5CA4CF48" w14:textId="77777777">
        <w:tc>
          <w:tcPr>
            <w:tcW w:w="8424" w:type="dxa"/>
            <w:shd w:val="clear" w:color="auto" w:fill="F2F2F2"/>
          </w:tcPr>
          <w:p w14:paraId="39C1D8BE" w14:textId="77777777" w:rsidR="00AE34C3" w:rsidRDefault="00552937">
            <w:pPr>
              <w:spacing w:before="240" w:after="240"/>
              <w:jc w:val="both"/>
              <w:rPr>
                <w:rFonts w:ascii="Arial" w:eastAsia="Arial" w:hAnsi="Arial" w:cs="Arial"/>
              </w:rPr>
            </w:pPr>
            <w:sdt>
              <w:sdtPr>
                <w:tag w:val="goog_rdk_0"/>
                <w:id w:val="-1257743803"/>
              </w:sdtPr>
              <w:sdtEndPr/>
              <w:sdtContent>
                <w:r w:rsidR="00EB685E">
                  <w:rPr>
                    <w:rFonts w:ascii="Arial Unicode MS" w:eastAsia="Arial Unicode MS" w:hAnsi="Arial Unicode MS" w:cs="Arial Unicode MS"/>
                  </w:rPr>
                  <w:t xml:space="preserve">This study employed a descriptive–comparative quantitative research design to assess the physicochemical and microbial quality of water from three selected community wells in Barangay </w:t>
                </w:r>
                <w:proofErr w:type="spellStart"/>
                <w:r w:rsidR="00EB685E">
                  <w:rPr>
                    <w:rFonts w:ascii="Arial Unicode MS" w:eastAsia="Arial Unicode MS" w:hAnsi="Arial Unicode MS" w:cs="Arial Unicode MS"/>
                  </w:rPr>
                  <w:t>Macabalan</w:t>
                </w:r>
                <w:proofErr w:type="spellEnd"/>
                <w:r w:rsidR="00EB685E">
                  <w:rPr>
                    <w:rFonts w:ascii="Arial Unicode MS" w:eastAsia="Arial Unicode MS" w:hAnsi="Arial Unicode MS" w:cs="Arial Unicode MS"/>
                  </w:rPr>
                  <w:t xml:space="preserve">, Cagayan de Oro City, Philippines, and determine its suitability for domestic non-drinking uses such as bathing and laundry. The physicochemical parameters examined included pH, temperature, turbidity, and total dissolved solids (TDS), while microbial quality was evaluated through total coliform counts. The results were compared with the World Health Organization (WHO) guidelines for physicochemical parameters and the Department of Environment and Natural Resources (DENR) Class B standards for microbial content. Water samples were collected from three wells under sunny conditions during 2025–2026, with three sampling trials conducted per site. Samples were obtained using sterilized PET bottles after purging stagnant water, preserved in ice-filled coolers, and immediately transported to F.A.S.T. Laboratory for analysis. Physicochemical parameters were measured following standard laboratory protocols, while total coliform levels were determined using the Multiple Tube Fermentation Technique. Mean values were computed and compared with the established standards. Results showed that Site A (pH 6.75, temperature 20.03 °C, turbidity 2.57 NTU, TDS 665.33 mg/L) and Site B (pH 7.05, temperature 20.17 °C, turbidity 0.38 NTU, TDS 679 mg/L) complied with WHO recommended limits (pH 6.5–8.5, temperature ≤25 °C, turbidity ≤5 NTU, TDS ≤1000 mg/L). In contrast, Site C exceeded acceptable limits for turbidity (14.90 NTU) and TDS (1111.33 mg/L), although its pH (7.12) and temperature (21.13 °C) remained within the recommended range. Microbial analysis revealed extremely high total coliform counts in all wells: Site A (6,583 MPN/100 mL), Site B (35,667 MPN/100 mL), and Site C (27,667 MPN/100 mL), which significantly exceed the DENR limit of 200 MPN/100 </w:t>
                </w:r>
                <w:proofErr w:type="spellStart"/>
                <w:r w:rsidR="00EB685E">
                  <w:rPr>
                    <w:rFonts w:ascii="Arial Unicode MS" w:eastAsia="Arial Unicode MS" w:hAnsi="Arial Unicode MS" w:cs="Arial Unicode MS"/>
                  </w:rPr>
                  <w:t>mL.</w:t>
                </w:r>
                <w:proofErr w:type="spellEnd"/>
                <w:r w:rsidR="00EB685E">
                  <w:rPr>
                    <w:rFonts w:ascii="Arial Unicode MS" w:eastAsia="Arial Unicode MS" w:hAnsi="Arial Unicode MS" w:cs="Arial Unicode MS"/>
                  </w:rPr>
                  <w:t xml:space="preserve"> </w:t>
                </w:r>
                <w:r w:rsidR="00EB685E">
                  <w:rPr>
                    <w:rFonts w:ascii="Arial Unicode MS" w:eastAsia="Arial Unicode MS" w:hAnsi="Arial Unicode MS" w:cs="Arial Unicode MS"/>
                  </w:rPr>
                  <w:lastRenderedPageBreak/>
                  <w:t>Despite generally acceptable physicochemical parameters in two wells, the severe bacterial contamination indicates that the water from all sites is unsafe for domestic use without treatment, highlighting the need for immediate remediation and continuous water quality monitoring.</w:t>
                </w:r>
              </w:sdtContent>
            </w:sdt>
          </w:p>
        </w:tc>
      </w:tr>
    </w:tbl>
    <w:p w14:paraId="39B0EA54" w14:textId="77777777" w:rsidR="00AE34C3" w:rsidRDefault="00EB685E">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lastRenderedPageBreak/>
        <w:t xml:space="preserve">Keywords: </w:t>
      </w:r>
      <w:r>
        <w:rPr>
          <w:rFonts w:ascii="Arial" w:eastAsia="Arial" w:hAnsi="Arial" w:cs="Arial"/>
          <w:i/>
          <w:iCs/>
        </w:rPr>
        <w:t xml:space="preserve">physicochemical parameters; microbial quality; well water quality assessment; public health </w:t>
      </w:r>
    </w:p>
    <w:p w14:paraId="531A64F1" w14:textId="77777777" w:rsidR="00AE34C3" w:rsidRDefault="00AE34C3">
      <w:pPr>
        <w:pBdr>
          <w:top w:val="nil"/>
          <w:left w:val="nil"/>
          <w:bottom w:val="nil"/>
          <w:right w:val="nil"/>
          <w:between w:val="nil"/>
        </w:pBdr>
        <w:jc w:val="both"/>
        <w:rPr>
          <w:rFonts w:ascii="Arial" w:eastAsia="Arial" w:hAnsi="Arial" w:cs="Arial"/>
          <w:i/>
          <w:iCs/>
          <w:sz w:val="18"/>
          <w:szCs w:val="18"/>
        </w:rPr>
      </w:pPr>
    </w:p>
    <w:p w14:paraId="369F55E1" w14:textId="77777777" w:rsidR="00AE34C3" w:rsidRDefault="00AE34C3">
      <w:pPr>
        <w:pBdr>
          <w:top w:val="nil"/>
          <w:left w:val="nil"/>
          <w:bottom w:val="nil"/>
          <w:right w:val="nil"/>
          <w:between w:val="nil"/>
        </w:pBdr>
        <w:jc w:val="both"/>
        <w:rPr>
          <w:rFonts w:ascii="Arial" w:eastAsia="Arial" w:hAnsi="Arial" w:cs="Arial"/>
          <w:i/>
          <w:iCs/>
          <w:sz w:val="18"/>
          <w:szCs w:val="18"/>
        </w:rPr>
      </w:pPr>
    </w:p>
    <w:p w14:paraId="19AE7AE6" w14:textId="77777777" w:rsidR="00AE34C3" w:rsidRDefault="00AE34C3">
      <w:pPr>
        <w:pBdr>
          <w:top w:val="nil"/>
          <w:left w:val="nil"/>
          <w:bottom w:val="nil"/>
          <w:right w:val="nil"/>
          <w:between w:val="nil"/>
        </w:pBdr>
        <w:jc w:val="both"/>
        <w:rPr>
          <w:rFonts w:ascii="Arial" w:eastAsia="Arial" w:hAnsi="Arial" w:cs="Arial"/>
          <w:i/>
          <w:iCs/>
          <w:sz w:val="18"/>
          <w:szCs w:val="18"/>
        </w:rPr>
      </w:pPr>
    </w:p>
    <w:p w14:paraId="55AD7B15" w14:textId="77777777" w:rsidR="00AE34C3" w:rsidRDefault="00EB685E">
      <w:pPr>
        <w:keepNext/>
        <w:pBdr>
          <w:top w:val="nil"/>
          <w:left w:val="nil"/>
          <w:bottom w:val="nil"/>
          <w:right w:val="nil"/>
          <w:between w:val="nil"/>
        </w:pBdr>
        <w:jc w:val="both"/>
        <w:rPr>
          <w:rFonts w:ascii="Arial" w:eastAsia="Arial" w:hAnsi="Arial" w:cs="Arial"/>
          <w:b/>
          <w:bCs/>
        </w:rPr>
      </w:pPr>
      <w:r>
        <w:rPr>
          <w:rFonts w:ascii="Arial" w:eastAsia="Arial" w:hAnsi="Arial" w:cs="Arial"/>
          <w:b/>
          <w:bCs/>
          <w:smallCaps/>
          <w:color w:val="000000"/>
          <w:sz w:val="22"/>
          <w:szCs w:val="22"/>
        </w:rPr>
        <w:t xml:space="preserve">1. INTRODUCTION </w:t>
      </w:r>
    </w:p>
    <w:p w14:paraId="7B57B0F0" w14:textId="77777777" w:rsidR="00AE34C3" w:rsidRDefault="00EB685E">
      <w:pPr>
        <w:spacing w:before="240" w:after="240"/>
        <w:jc w:val="both"/>
        <w:rPr>
          <w:rFonts w:ascii="Arial" w:eastAsia="Arial" w:hAnsi="Arial" w:cs="Arial"/>
        </w:rPr>
      </w:pPr>
      <w:r>
        <w:rPr>
          <w:rFonts w:ascii="Arial" w:eastAsia="Arial" w:hAnsi="Arial" w:cs="Arial"/>
        </w:rPr>
        <w:t>Access to safe and clean water is fundamental to public health and the prevention of waterborne diseases. In many developing communities, groundwater sources such as wells are commonly used as alternative water supplies for domestic activities. Although groundwater is often perceived as naturally protected due to filtration through soil layers, it remains vulnerable to contamination from environmental and human activities. Poor sanitation, improper waste disposal, septic system leakage, and proximity to polluted water bodies may introduce harmful microorganisms and chemical contaminants into aquifers. Consequently, water that appears clear and odorless may still contain microbial pathogens or excessive dissolved substances that pose risks to human health. These conditions underscore the importance of evaluating both physicochemical and microbiological parameters to determine water safety for household use.</w:t>
      </w:r>
    </w:p>
    <w:p w14:paraId="6E2BDEFF" w14:textId="77777777" w:rsidR="00AE34C3" w:rsidRDefault="00EB685E">
      <w:pPr>
        <w:spacing w:before="240" w:after="240"/>
        <w:jc w:val="both"/>
        <w:rPr>
          <w:rFonts w:ascii="Arial" w:eastAsia="Arial" w:hAnsi="Arial" w:cs="Arial"/>
        </w:rPr>
      </w:pPr>
      <w:r>
        <w:rPr>
          <w:rFonts w:ascii="Arial" w:eastAsia="Arial" w:hAnsi="Arial" w:cs="Arial"/>
        </w:rPr>
        <w:t xml:space="preserve">In Barangay </w:t>
      </w:r>
      <w:proofErr w:type="spellStart"/>
      <w:r>
        <w:rPr>
          <w:rFonts w:ascii="Arial" w:eastAsia="Arial" w:hAnsi="Arial" w:cs="Arial"/>
        </w:rPr>
        <w:t>Macabalan</w:t>
      </w:r>
      <w:proofErr w:type="spellEnd"/>
      <w:r>
        <w:rPr>
          <w:rFonts w:ascii="Arial" w:eastAsia="Arial" w:hAnsi="Arial" w:cs="Arial"/>
        </w:rPr>
        <w:t>, Cagayan de Oro City, several households rely on well water due to periodic shortages and inconsistent distribution of the municipal water supply. The article “</w:t>
      </w:r>
      <w:proofErr w:type="spellStart"/>
      <w:r>
        <w:rPr>
          <w:rFonts w:ascii="Arial" w:eastAsia="Arial" w:hAnsi="Arial" w:cs="Arial"/>
        </w:rPr>
        <w:t>Nacaya</w:t>
      </w:r>
      <w:proofErr w:type="spellEnd"/>
      <w:r>
        <w:rPr>
          <w:rFonts w:ascii="Arial" w:eastAsia="Arial" w:hAnsi="Arial" w:cs="Arial"/>
        </w:rPr>
        <w:t xml:space="preserve"> wants solution to persisting water woes” (Cagayan de Oro City Council, 2021) highlights ongoing concerns regarding water supply in the city and emphasizes the need for solutions to continuing water distribution issues affecting residents. Many communities in the Philippines experience challenges in water sufficiency and distribution, which often lead residents to depend on alternative sources such as groundwater wells (</w:t>
      </w:r>
      <w:proofErr w:type="spellStart"/>
      <w:r>
        <w:rPr>
          <w:rFonts w:ascii="Arial" w:eastAsia="Arial" w:hAnsi="Arial" w:cs="Arial"/>
        </w:rPr>
        <w:t>Cimene</w:t>
      </w:r>
      <w:proofErr w:type="spellEnd"/>
      <w:r>
        <w:rPr>
          <w:rFonts w:ascii="Arial" w:eastAsia="Arial" w:hAnsi="Arial" w:cs="Arial"/>
        </w:rPr>
        <w:t xml:space="preserve"> et al., 2022). Many of these wells are located in coastal and densely populated residential areas, which increases the likelihood of groundwater exposure to environmental pollutants and anthropogenic activities. Water sources in urban and coastal communities may be vulnerable to contamination from human activities, waste disposal, and runoff, which can affect water quality and safety (Koons, 2024). Despite the community’s reliance on these sources for bathing, washing, and other domestic purposes, there is limited scientific information regarding the quality and safety of well water in the area. According to the World Health Organization (2023), access to safe and clean drinking water is essential for protecting public health, and contaminated water can contribute to various health risks. </w:t>
      </w:r>
    </w:p>
    <w:p w14:paraId="2416C790" w14:textId="77777777" w:rsidR="00AE34C3" w:rsidRDefault="00EB685E">
      <w:pPr>
        <w:spacing w:before="240" w:after="240"/>
        <w:jc w:val="both"/>
        <w:rPr>
          <w:rFonts w:ascii="Arial" w:eastAsia="Arial" w:hAnsi="Arial" w:cs="Arial"/>
        </w:rPr>
      </w:pPr>
      <w:r>
        <w:rPr>
          <w:rFonts w:ascii="Arial" w:eastAsia="Arial" w:hAnsi="Arial" w:cs="Arial"/>
        </w:rPr>
        <w:t xml:space="preserve">Previous studies emphasize the importance of monitoring physicochemical and microbiological indicators to evaluate water quality. </w:t>
      </w:r>
      <w:proofErr w:type="spellStart"/>
      <w:r>
        <w:rPr>
          <w:rFonts w:ascii="Arial" w:eastAsia="Arial" w:hAnsi="Arial" w:cs="Arial"/>
        </w:rPr>
        <w:t>Yazawa</w:t>
      </w:r>
      <w:proofErr w:type="spellEnd"/>
      <w:r>
        <w:rPr>
          <w:rFonts w:ascii="Arial" w:eastAsia="Arial" w:hAnsi="Arial" w:cs="Arial"/>
        </w:rPr>
        <w:t xml:space="preserve"> et al. (2024) highlighted that systematic assessment of community water sources is essential for detecting microbial contamination and mitigating associated health risks. </w:t>
      </w:r>
      <w:proofErr w:type="spellStart"/>
      <w:r>
        <w:rPr>
          <w:rFonts w:ascii="Arial" w:eastAsia="Arial" w:hAnsi="Arial" w:cs="Arial"/>
        </w:rPr>
        <w:t>Caneos</w:t>
      </w:r>
      <w:proofErr w:type="spellEnd"/>
      <w:r>
        <w:rPr>
          <w:rFonts w:ascii="Arial" w:eastAsia="Arial" w:hAnsi="Arial" w:cs="Arial"/>
        </w:rPr>
        <w:t xml:space="preserve"> et al. (2024) identified key indicators of water quality, including pH, temperature, turbidity, total dissolved solids, dissolved oxygen, and microbial indicators such as total coliform. Similarly, </w:t>
      </w:r>
      <w:proofErr w:type="spellStart"/>
      <w:r>
        <w:rPr>
          <w:rFonts w:ascii="Arial" w:eastAsia="Arial" w:hAnsi="Arial" w:cs="Arial"/>
        </w:rPr>
        <w:t>Magwilang</w:t>
      </w:r>
      <w:proofErr w:type="spellEnd"/>
      <w:r>
        <w:rPr>
          <w:rFonts w:ascii="Arial" w:eastAsia="Arial" w:hAnsi="Arial" w:cs="Arial"/>
        </w:rPr>
        <w:t xml:space="preserve"> et al. (2023) reported that some water sources meeting physicochemical standards still contained </w:t>
      </w:r>
      <w:r>
        <w:rPr>
          <w:rFonts w:ascii="Arial" w:eastAsia="Arial" w:hAnsi="Arial" w:cs="Arial"/>
          <w:i/>
          <w:iCs/>
        </w:rPr>
        <w:t>Escherichia coli</w:t>
      </w:r>
      <w:r>
        <w:rPr>
          <w:rFonts w:ascii="Arial" w:eastAsia="Arial" w:hAnsi="Arial" w:cs="Arial"/>
        </w:rPr>
        <w:t xml:space="preserve"> and total coliform, indicating that physical clarity alone does not guarantee microbiological safety. The World Health Organization (WHO, 2022) also emphasizes the need for regular monitoring of chemical and microbial parameters to ensure safe water </w:t>
      </w:r>
      <w:r>
        <w:rPr>
          <w:rFonts w:ascii="Arial" w:eastAsia="Arial" w:hAnsi="Arial" w:cs="Arial"/>
        </w:rPr>
        <w:lastRenderedPageBreak/>
        <w:t xml:space="preserve">supplies and prevent waterborne diseases, particularly in communities dependent on untreated groundwater. Environmental contamination may further increase risks, as </w:t>
      </w:r>
      <w:proofErr w:type="spellStart"/>
      <w:r>
        <w:rPr>
          <w:rFonts w:ascii="Arial" w:eastAsia="Arial" w:hAnsi="Arial" w:cs="Arial"/>
        </w:rPr>
        <w:t>Bansilay</w:t>
      </w:r>
      <w:proofErr w:type="spellEnd"/>
      <w:r>
        <w:rPr>
          <w:rFonts w:ascii="Arial" w:eastAsia="Arial" w:hAnsi="Arial" w:cs="Arial"/>
        </w:rPr>
        <w:t xml:space="preserve"> et al. (2017), cited in </w:t>
      </w:r>
      <w:proofErr w:type="spellStart"/>
      <w:r>
        <w:rPr>
          <w:rFonts w:ascii="Arial" w:eastAsia="Arial" w:hAnsi="Arial" w:cs="Arial"/>
        </w:rPr>
        <w:t>Gunjal</w:t>
      </w:r>
      <w:proofErr w:type="spellEnd"/>
      <w:r>
        <w:rPr>
          <w:rFonts w:ascii="Arial" w:eastAsia="Arial" w:hAnsi="Arial" w:cs="Arial"/>
        </w:rPr>
        <w:t xml:space="preserve"> et al. (2023), reported the presence of heavy metals and microbial contaminants in surface water systems that may potentially affect nearby groundwater resources.</w:t>
      </w:r>
    </w:p>
    <w:p w14:paraId="18F29A95" w14:textId="77777777" w:rsidR="00AE34C3" w:rsidRDefault="00EB685E">
      <w:pPr>
        <w:spacing w:before="240" w:after="240"/>
        <w:jc w:val="both"/>
        <w:rPr>
          <w:rFonts w:ascii="Arial" w:eastAsia="Arial" w:hAnsi="Arial" w:cs="Arial"/>
        </w:rPr>
      </w:pPr>
      <w:r>
        <w:rPr>
          <w:rFonts w:ascii="Arial" w:eastAsia="Arial" w:hAnsi="Arial" w:cs="Arial"/>
        </w:rPr>
        <w:t xml:space="preserve">Given these concerns, this study evaluates the physicochemical and microbial properties of selected community wells in Barangay </w:t>
      </w:r>
      <w:proofErr w:type="spellStart"/>
      <w:r>
        <w:rPr>
          <w:rFonts w:ascii="Arial" w:eastAsia="Arial" w:hAnsi="Arial" w:cs="Arial"/>
        </w:rPr>
        <w:t>Macabalan</w:t>
      </w:r>
      <w:proofErr w:type="spellEnd"/>
      <w:r>
        <w:rPr>
          <w:rFonts w:ascii="Arial" w:eastAsia="Arial" w:hAnsi="Arial" w:cs="Arial"/>
        </w:rPr>
        <w:t>, Cagayan de Oro City. Specifically, it measures pH, temperature, turbidity, and total dissolved solids, and determines microbial contamination through total coliform analysis. The physicochemical parameters are compared with the standards established by the World Health Organization (WHO), while microbial results are evaluated based on the Department of Environment and Natural Resources (DENR) standards. By providing localized scientific evidence on well water quality, the study aims to contribute to improved water monitoring, support public health protection, and inform water management practices in communities relying on groundwater sources</w:t>
      </w:r>
    </w:p>
    <w:p w14:paraId="2E21139B" w14:textId="77777777" w:rsidR="00AE34C3" w:rsidRDefault="00AE34C3">
      <w:pPr>
        <w:pBdr>
          <w:top w:val="nil"/>
          <w:left w:val="nil"/>
          <w:bottom w:val="nil"/>
          <w:right w:val="nil"/>
          <w:between w:val="nil"/>
        </w:pBdr>
        <w:jc w:val="both"/>
        <w:rPr>
          <w:rFonts w:ascii="Arial" w:eastAsia="Arial" w:hAnsi="Arial" w:cs="Arial"/>
          <w:color w:val="000000"/>
        </w:rPr>
      </w:pPr>
    </w:p>
    <w:p w14:paraId="45F9F41B" w14:textId="77777777" w:rsidR="00AE34C3" w:rsidRDefault="00EB685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material and methods </w:t>
      </w:r>
    </w:p>
    <w:p w14:paraId="21167EA3" w14:textId="77777777" w:rsidR="00AE34C3" w:rsidRDefault="00AE34C3">
      <w:pPr>
        <w:keepNext/>
        <w:pBdr>
          <w:top w:val="nil"/>
          <w:left w:val="nil"/>
          <w:bottom w:val="nil"/>
          <w:right w:val="nil"/>
          <w:between w:val="nil"/>
        </w:pBdr>
        <w:jc w:val="both"/>
        <w:rPr>
          <w:rFonts w:ascii="Arial" w:eastAsia="Arial" w:hAnsi="Arial" w:cs="Arial"/>
          <w:b/>
          <w:bCs/>
          <w:smallCaps/>
          <w:sz w:val="22"/>
          <w:szCs w:val="22"/>
        </w:rPr>
      </w:pPr>
    </w:p>
    <w:p w14:paraId="7704E9FC" w14:textId="77777777" w:rsidR="00AE34C3" w:rsidRDefault="00EB685E">
      <w:pPr>
        <w:keepNext/>
        <w:pBdr>
          <w:top w:val="nil"/>
          <w:left w:val="nil"/>
          <w:bottom w:val="nil"/>
          <w:right w:val="nil"/>
          <w:between w:val="nil"/>
        </w:pBdr>
        <w:jc w:val="both"/>
        <w:rPr>
          <w:rFonts w:ascii="Arial" w:eastAsia="Arial" w:hAnsi="Arial" w:cs="Arial"/>
        </w:rPr>
      </w:pPr>
      <w:r>
        <w:rPr>
          <w:rFonts w:ascii="Arial" w:eastAsia="Arial" w:hAnsi="Arial" w:cs="Arial"/>
          <w:b/>
          <w:bCs/>
          <w:smallCaps/>
          <w:sz w:val="22"/>
          <w:szCs w:val="22"/>
        </w:rPr>
        <w:t>2.1 Research Design</w:t>
      </w:r>
    </w:p>
    <w:p w14:paraId="12916049" w14:textId="77777777" w:rsidR="00AE34C3" w:rsidRDefault="00EB685E">
      <w:pPr>
        <w:spacing w:before="240" w:after="240"/>
        <w:jc w:val="both"/>
        <w:rPr>
          <w:rFonts w:ascii="Arial" w:eastAsia="Arial" w:hAnsi="Arial" w:cs="Arial"/>
        </w:rPr>
      </w:pPr>
      <w:r>
        <w:rPr>
          <w:rFonts w:ascii="Arial" w:eastAsia="Arial" w:hAnsi="Arial" w:cs="Arial"/>
        </w:rPr>
        <w:t xml:space="preserve">This study employed a quantitative research approach, involving the systematic collection and analysis of numerical data to evaluate the physicochemical and microbial characteristics of selected water wells in Barangay </w:t>
      </w:r>
      <w:proofErr w:type="spellStart"/>
      <w:r>
        <w:rPr>
          <w:rFonts w:ascii="Arial" w:eastAsia="Arial" w:hAnsi="Arial" w:cs="Arial"/>
        </w:rPr>
        <w:t>Macabalan</w:t>
      </w:r>
      <w:proofErr w:type="spellEnd"/>
      <w:r>
        <w:rPr>
          <w:rFonts w:ascii="Arial" w:eastAsia="Arial" w:hAnsi="Arial" w:cs="Arial"/>
        </w:rPr>
        <w:t>, Cagayan de Oro City. The analysis focused on measurable physicochemical parameters, including pH, turbidity, temperature, and total dissolved solids (TDS), as well as microbial indicators such as total coliforms. These parameters were determined using standard laboratory procedures and analytical methods. The obtained results were then compared with established water quality standards, specifically the World Health Organization (WHO) guidelines for physicochemical parameters and the Department of Environment and Natural Resources (DENR) standards for microbial content, to assess the suitability of the well water for domestic use.</w:t>
      </w:r>
    </w:p>
    <w:p w14:paraId="6E278E2F" w14:textId="77777777" w:rsidR="00AE34C3" w:rsidRDefault="00AE34C3">
      <w:pPr>
        <w:jc w:val="both"/>
        <w:rPr>
          <w:rFonts w:ascii="Arial" w:eastAsia="Arial" w:hAnsi="Arial" w:cs="Arial"/>
        </w:rPr>
      </w:pPr>
    </w:p>
    <w:p w14:paraId="7E868DB7" w14:textId="77777777" w:rsidR="00AE34C3" w:rsidRDefault="00EB685E">
      <w:pPr>
        <w:jc w:val="both"/>
        <w:rPr>
          <w:rFonts w:ascii="Arial" w:eastAsia="Arial" w:hAnsi="Arial" w:cs="Arial"/>
          <w:b/>
          <w:bCs/>
          <w:smallCaps/>
          <w:sz w:val="22"/>
          <w:szCs w:val="22"/>
        </w:rPr>
      </w:pPr>
      <w:r>
        <w:rPr>
          <w:rFonts w:ascii="Arial" w:eastAsia="Arial" w:hAnsi="Arial" w:cs="Arial"/>
          <w:b/>
          <w:bCs/>
          <w:smallCaps/>
          <w:sz w:val="22"/>
          <w:szCs w:val="22"/>
        </w:rPr>
        <w:t>2.2 Study Area</w:t>
      </w:r>
    </w:p>
    <w:p w14:paraId="0AF7B45F" w14:textId="77777777" w:rsidR="00AE34C3" w:rsidRDefault="00AE34C3">
      <w:pPr>
        <w:jc w:val="both"/>
        <w:rPr>
          <w:rFonts w:ascii="Arial" w:eastAsia="Arial" w:hAnsi="Arial" w:cs="Arial"/>
          <w:b/>
          <w:bCs/>
          <w:smallCaps/>
          <w:sz w:val="22"/>
          <w:szCs w:val="22"/>
        </w:rPr>
      </w:pPr>
    </w:p>
    <w:p w14:paraId="5BCF62F9" w14:textId="77777777" w:rsidR="00AE34C3" w:rsidRDefault="00EB685E">
      <w:pPr>
        <w:jc w:val="both"/>
        <w:rPr>
          <w:rFonts w:ascii="Arial" w:eastAsia="Arial" w:hAnsi="Arial" w:cs="Arial"/>
        </w:rPr>
      </w:pPr>
      <w:r>
        <w:rPr>
          <w:rFonts w:ascii="Arial" w:eastAsia="Arial" w:hAnsi="Arial" w:cs="Arial"/>
        </w:rPr>
        <w:t xml:space="preserve">The present study was carried out in Barangay </w:t>
      </w:r>
      <w:proofErr w:type="spellStart"/>
      <w:r>
        <w:rPr>
          <w:rFonts w:ascii="Arial" w:eastAsia="Arial" w:hAnsi="Arial" w:cs="Arial"/>
        </w:rPr>
        <w:t>Macabalan</w:t>
      </w:r>
      <w:proofErr w:type="spellEnd"/>
      <w:r>
        <w:rPr>
          <w:rFonts w:ascii="Arial" w:eastAsia="Arial" w:hAnsi="Arial" w:cs="Arial"/>
        </w:rPr>
        <w:t xml:space="preserve">, Cagayan de Oro City, Philippines (8.50° N, 124.66° E) to assess the spatial variation in groundwater quality across three water wells used for the research. </w:t>
      </w:r>
      <w:proofErr w:type="spellStart"/>
      <w:r>
        <w:rPr>
          <w:rFonts w:ascii="Arial" w:eastAsia="Arial" w:hAnsi="Arial" w:cs="Arial"/>
        </w:rPr>
        <w:t>Macabalan</w:t>
      </w:r>
      <w:proofErr w:type="spellEnd"/>
      <w:r>
        <w:rPr>
          <w:rFonts w:ascii="Arial" w:eastAsia="Arial" w:hAnsi="Arial" w:cs="Arial"/>
        </w:rPr>
        <w:t xml:space="preserve"> is a coastal barangay located in northern Cagayan de Oro City with an estimated elevation of about 3 m above sea level.</w:t>
      </w:r>
    </w:p>
    <w:p w14:paraId="3E14C8B8" w14:textId="77777777" w:rsidR="00AE34C3" w:rsidRDefault="00AE34C3">
      <w:pPr>
        <w:jc w:val="both"/>
        <w:rPr>
          <w:rFonts w:ascii="Arial" w:eastAsia="Arial" w:hAnsi="Arial" w:cs="Arial"/>
        </w:rPr>
      </w:pPr>
    </w:p>
    <w:p w14:paraId="3E6501A7" w14:textId="77777777" w:rsidR="00AE34C3" w:rsidRDefault="00EB685E">
      <w:pPr>
        <w:jc w:val="both"/>
        <w:rPr>
          <w:rFonts w:ascii="Arial" w:eastAsia="Arial" w:hAnsi="Arial" w:cs="Arial"/>
        </w:rPr>
      </w:pPr>
      <w:r>
        <w:rPr>
          <w:rFonts w:ascii="Arial" w:eastAsia="Arial" w:hAnsi="Arial" w:cs="Arial"/>
        </w:rPr>
        <w:t>Three distinct sampling wells were identified within the defined area and were precisely georeferenced using a Global Positioning System (GPS): Site A, designated as the presumed reference point at 8.50506° N, 124.66180° E: Site B located at 8.50509° N, 124.66291° E: and Site C positioned at 8.50508° N, 124.66300° E, to monitor and reference the point of sampling sites.</w:t>
      </w:r>
    </w:p>
    <w:p w14:paraId="43FD3018" w14:textId="77777777" w:rsidR="00AE34C3" w:rsidRDefault="00AE34C3">
      <w:pPr>
        <w:jc w:val="both"/>
        <w:rPr>
          <w:rFonts w:ascii="Arial" w:eastAsia="Arial" w:hAnsi="Arial" w:cs="Arial"/>
        </w:rPr>
      </w:pPr>
    </w:p>
    <w:p w14:paraId="632AED0C" w14:textId="682D5289" w:rsidR="00AE34C3" w:rsidRDefault="00EB685E">
      <w:pPr>
        <w:jc w:val="center"/>
        <w:rPr>
          <w:rFonts w:ascii="Arial" w:eastAsia="Arial" w:hAnsi="Arial" w:cs="Arial"/>
        </w:rPr>
      </w:pPr>
      <w:r>
        <w:rPr>
          <w:rFonts w:ascii="Arial" w:eastAsia="Arial" w:hAnsi="Arial" w:cs="Arial"/>
          <w:noProof/>
        </w:rPr>
        <w:lastRenderedPageBreak/>
        <w:drawing>
          <wp:inline distT="114300" distB="114300" distL="114300" distR="114300" wp14:anchorId="2208A97F" wp14:editId="415B257C">
            <wp:extent cx="3850983" cy="284049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a:stretch>
                      <a:fillRect/>
                    </a:stretch>
                  </pic:blipFill>
                  <pic:spPr>
                    <a:xfrm>
                      <a:off x="0" y="0"/>
                      <a:ext cx="3850983" cy="2840497"/>
                    </a:xfrm>
                    <a:prstGeom prst="rect">
                      <a:avLst/>
                    </a:prstGeom>
                    <a:ln/>
                  </pic:spPr>
                </pic:pic>
              </a:graphicData>
            </a:graphic>
          </wp:inline>
        </w:drawing>
      </w:r>
    </w:p>
    <w:p w14:paraId="2DC434E7" w14:textId="77777777" w:rsidR="0017239D" w:rsidRDefault="0017239D">
      <w:pPr>
        <w:jc w:val="center"/>
        <w:rPr>
          <w:rFonts w:ascii="Arial" w:eastAsia="Arial" w:hAnsi="Arial" w:cs="Arial"/>
        </w:rPr>
      </w:pPr>
    </w:p>
    <w:p w14:paraId="00D4C785" w14:textId="77777777" w:rsidR="00AE34C3" w:rsidRDefault="00EB685E">
      <w:pPr>
        <w:keepNext/>
        <w:jc w:val="both"/>
        <w:rPr>
          <w:rFonts w:ascii="Arial" w:eastAsia="Arial" w:hAnsi="Arial" w:cs="Arial"/>
          <w:sz w:val="26"/>
          <w:szCs w:val="26"/>
        </w:rPr>
      </w:pPr>
      <w:r>
        <w:rPr>
          <w:rFonts w:ascii="Arial" w:eastAsia="Arial" w:hAnsi="Arial" w:cs="Arial"/>
          <w:b/>
          <w:bCs/>
          <w:smallCaps/>
          <w:sz w:val="22"/>
          <w:szCs w:val="22"/>
        </w:rPr>
        <w:t>2.3 Collection and Analysis of the Physicochemical and Microbial Parameters</w:t>
      </w:r>
    </w:p>
    <w:p w14:paraId="7DF6EAD7" w14:textId="77777777" w:rsidR="00AE34C3" w:rsidRDefault="00EB685E">
      <w:pPr>
        <w:spacing w:before="240" w:after="240"/>
        <w:jc w:val="both"/>
        <w:rPr>
          <w:rFonts w:ascii="Arial" w:eastAsia="Arial" w:hAnsi="Arial" w:cs="Arial"/>
        </w:rPr>
      </w:pPr>
      <w:r>
        <w:rPr>
          <w:rFonts w:ascii="Arial" w:eastAsia="Arial" w:hAnsi="Arial" w:cs="Arial"/>
        </w:rPr>
        <w:t>Preliminary site visits were conducted at the three selected wells to assess their location, structural condition, accessibility, and possible sources of contamination. Field observations were documented through photographs and field notes, while brief interviews with well owners or caretakers were conducted to obtain information regarding well usage, maintenance practices, and frequency of water extraction. The sampling activities were carried out in December 2025.</w:t>
      </w:r>
    </w:p>
    <w:p w14:paraId="049C3CC9" w14:textId="77777777" w:rsidR="00AE34C3" w:rsidRDefault="00EB685E">
      <w:pPr>
        <w:spacing w:before="240" w:after="240"/>
        <w:jc w:val="both"/>
        <w:rPr>
          <w:rFonts w:ascii="Arial" w:eastAsia="Arial" w:hAnsi="Arial" w:cs="Arial"/>
        </w:rPr>
      </w:pPr>
      <w:r>
        <w:rPr>
          <w:rFonts w:ascii="Arial" w:eastAsia="Arial" w:hAnsi="Arial" w:cs="Arial"/>
        </w:rPr>
        <w:t>Water samples were collected using polyethylene terephthalate (PET) bottles, selected for their chemical stability and suitability for water quality testing. Prior to sampling, water was drawn from each well to purge stagnant water and obtain representative samples. Sampling bottles were either pre-sterilized or rinsed with distilled water and air-dried before use. Each bottle was labeled with waterproof tags indicating the date, time, sampling site, and sample identification number. Immediately after collection, the samples were placed in an insulated cooler with ice packs and maintained at approximately 4 °C to preserve sample integrity during transport. The samples were then delivered to F.A.S.T. Laboratory for analysis. Laboratory testing included physicochemical parameters—pH, temperature, turbidity, and total dissolved solids (TDS)—as well as microbial analysis through total coliform determination. Analytical results were provided to the researchers within one to two weeks.</w:t>
      </w:r>
    </w:p>
    <w:p w14:paraId="78D4A1A4" w14:textId="77777777" w:rsidR="00AE34C3" w:rsidRDefault="00EB685E">
      <w:pPr>
        <w:spacing w:before="240" w:after="240"/>
        <w:jc w:val="both"/>
        <w:rPr>
          <w:rFonts w:ascii="Arial" w:eastAsia="Arial" w:hAnsi="Arial" w:cs="Arial"/>
        </w:rPr>
      </w:pPr>
      <w:r>
        <w:rPr>
          <w:rFonts w:ascii="Arial" w:eastAsia="Arial" w:hAnsi="Arial" w:cs="Arial"/>
        </w:rPr>
        <w:t>The obtained data were analyzed by comparing the measured values with established water quality standards. Microbial parameters were evaluated using the Department of Environment and Natural Resources (DENR) Class B water quality standards under DENR Administrative Order (DAO) No. 2016-08, which provides regulatory limits for water bodies intended for beneficial uses and serves as a basis for assessing microbiological safety and potential public health risks. Meanwhile, physicochemical parameters were compared with the World Health Organization (WHO) guidelines, which provide internationally recognized reference values for pH, temperature, turbidity, and total dissolved solids (TDS) in water used for domestic purposes. These comparisons were used to determine the compliance of the sampled wells with accepted water quality standards.</w:t>
      </w:r>
    </w:p>
    <w:p w14:paraId="1049FA61" w14:textId="77777777" w:rsidR="00AE34C3" w:rsidRDefault="00EB685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3. results and discussion</w:t>
      </w:r>
    </w:p>
    <w:p w14:paraId="01172100" w14:textId="77777777" w:rsidR="00AE34C3" w:rsidRDefault="00EB685E">
      <w:pPr>
        <w:spacing w:before="240" w:after="240"/>
        <w:jc w:val="both"/>
        <w:rPr>
          <w:rFonts w:ascii="Arial" w:eastAsia="Arial" w:hAnsi="Arial" w:cs="Arial"/>
        </w:rPr>
      </w:pPr>
      <w:r>
        <w:rPr>
          <w:rFonts w:ascii="Arial" w:eastAsia="Arial" w:hAnsi="Arial" w:cs="Arial"/>
        </w:rPr>
        <w:t xml:space="preserve">Water wells serve as a primary source of water in many barangays, particularly in areas without reliable access to municipal water systems. This situation is evident among residents in the coastal community of </w:t>
      </w:r>
      <w:proofErr w:type="spellStart"/>
      <w:r>
        <w:rPr>
          <w:rFonts w:ascii="Arial" w:eastAsia="Arial" w:hAnsi="Arial" w:cs="Arial"/>
        </w:rPr>
        <w:t>Macabalan</w:t>
      </w:r>
      <w:proofErr w:type="spellEnd"/>
      <w:r>
        <w:rPr>
          <w:rFonts w:ascii="Arial" w:eastAsia="Arial" w:hAnsi="Arial" w:cs="Arial"/>
        </w:rPr>
        <w:t>, Cagayan de Oro City, where groundwater from wells is commonly used for daily domestic activities. However, these water sources are increasingly exposed to anthropogenic pressures, including residential development, improper waste disposal, and other environmental contaminants. Such conditions may compromise groundwater quality and pose potential health risks to residents who depend on these wells for their water supply.</w:t>
      </w:r>
    </w:p>
    <w:p w14:paraId="6F59B498" w14:textId="77777777" w:rsidR="00AE34C3" w:rsidRDefault="00EB685E">
      <w:pPr>
        <w:spacing w:before="240" w:after="240"/>
        <w:jc w:val="both"/>
        <w:rPr>
          <w:rFonts w:ascii="Arial" w:eastAsia="Arial" w:hAnsi="Arial" w:cs="Arial"/>
        </w:rPr>
      </w:pPr>
      <w:r>
        <w:rPr>
          <w:rFonts w:ascii="Arial" w:eastAsia="Arial" w:hAnsi="Arial" w:cs="Arial"/>
        </w:rPr>
        <w:t>In the Philippines, regulatory institutions such as the Department of Environment and Natural Resources (DENR), together with international organizations like the World Health Organization (WHO), establish standards to safeguard water quality and protect public health. Assessing groundwater quality requires the evaluation of both microbiological and physicochemical parameters, as these indicators collectively reflect the overall condition and safety of water sources.</w:t>
      </w:r>
    </w:p>
    <w:p w14:paraId="5F7222E1" w14:textId="77777777" w:rsidR="00AE34C3" w:rsidRDefault="00EB685E">
      <w:pPr>
        <w:spacing w:before="240" w:after="240"/>
        <w:jc w:val="both"/>
        <w:rPr>
          <w:rFonts w:ascii="Arial" w:eastAsia="Arial" w:hAnsi="Arial" w:cs="Arial"/>
        </w:rPr>
      </w:pPr>
      <w:r>
        <w:rPr>
          <w:rFonts w:ascii="Arial" w:eastAsia="Arial" w:hAnsi="Arial" w:cs="Arial"/>
        </w:rPr>
        <w:t xml:space="preserve">Among microbial indicators, total coliform bacteria are widely used as a primary indicator of microbial contamination and potential fecal pollution, providing insight into the sanitary conditions surrounding water wells. In addition, several physicochemical parameters are essential for determining water quality. These include total dissolved solids (TDS), turbidity, pH, and temperature, which provide important information about the chemical composition, clarity, acidity or alkalinity, and thermal condition of the water. Elevated TDS levels may indicate excessive dissolved minerals, high turbidity may reflect the presence of suspended particles and possible contamination, abnormal pH levels may lead to skin irritation and corrosion of plumbing systems, and temperature variations can influence microbial growth and chemical reactions within the water. </w:t>
      </w:r>
    </w:p>
    <w:p w14:paraId="38B0FA44" w14:textId="77777777" w:rsidR="00AE34C3" w:rsidRDefault="00EB685E">
      <w:pPr>
        <w:keepNext/>
        <w:jc w:val="both"/>
        <w:rPr>
          <w:rFonts w:ascii="Arial" w:eastAsia="Arial" w:hAnsi="Arial" w:cs="Arial"/>
          <w:b/>
          <w:bCs/>
          <w:smallCaps/>
          <w:sz w:val="22"/>
          <w:szCs w:val="22"/>
        </w:rPr>
      </w:pPr>
      <w:r>
        <w:rPr>
          <w:rFonts w:ascii="Arial" w:eastAsia="Arial" w:hAnsi="Arial" w:cs="Arial"/>
          <w:b/>
          <w:bCs/>
          <w:smallCaps/>
          <w:sz w:val="22"/>
          <w:szCs w:val="22"/>
        </w:rPr>
        <w:t xml:space="preserve">3.1 Descriptive Analysis of Physicochemical Parameters of </w:t>
      </w:r>
      <w:proofErr w:type="spellStart"/>
      <w:r>
        <w:rPr>
          <w:rFonts w:ascii="Arial" w:eastAsia="Arial" w:hAnsi="Arial" w:cs="Arial"/>
          <w:b/>
          <w:bCs/>
          <w:smallCaps/>
          <w:sz w:val="22"/>
          <w:szCs w:val="22"/>
        </w:rPr>
        <w:t>Macabalan</w:t>
      </w:r>
      <w:proofErr w:type="spellEnd"/>
      <w:r>
        <w:rPr>
          <w:rFonts w:ascii="Arial" w:eastAsia="Arial" w:hAnsi="Arial" w:cs="Arial"/>
          <w:b/>
          <w:bCs/>
          <w:smallCaps/>
          <w:sz w:val="22"/>
          <w:szCs w:val="22"/>
        </w:rPr>
        <w:t xml:space="preserve"> Well Water</w:t>
      </w:r>
    </w:p>
    <w:p w14:paraId="787DC516" w14:textId="77777777" w:rsidR="00AE34C3" w:rsidRDefault="00EB685E">
      <w:pPr>
        <w:spacing w:before="240" w:after="240"/>
        <w:jc w:val="both"/>
        <w:rPr>
          <w:rFonts w:ascii="Arial" w:eastAsia="Arial" w:hAnsi="Arial" w:cs="Arial"/>
        </w:rPr>
      </w:pPr>
      <w:r>
        <w:rPr>
          <w:rFonts w:ascii="Arial" w:eastAsia="Arial" w:hAnsi="Arial" w:cs="Arial"/>
        </w:rPr>
        <w:t>Table 1 presents the measured physicochemical characteristics of water from the three sampling locations—</w:t>
      </w:r>
      <w:r>
        <w:rPr>
          <w:rFonts w:ascii="Arial" w:eastAsia="Arial" w:hAnsi="Arial" w:cs="Arial"/>
          <w:i/>
          <w:iCs/>
        </w:rPr>
        <w:t>Site A, Site B,</w:t>
      </w:r>
      <w:r>
        <w:rPr>
          <w:rFonts w:ascii="Arial" w:eastAsia="Arial" w:hAnsi="Arial" w:cs="Arial"/>
        </w:rPr>
        <w:t xml:space="preserve"> and </w:t>
      </w:r>
      <w:r>
        <w:rPr>
          <w:rFonts w:ascii="Arial" w:eastAsia="Arial" w:hAnsi="Arial" w:cs="Arial"/>
          <w:i/>
          <w:iCs/>
        </w:rPr>
        <w:t>Site C.</w:t>
      </w:r>
      <w:r>
        <w:rPr>
          <w:rFonts w:ascii="Arial" w:eastAsia="Arial" w:hAnsi="Arial" w:cs="Arial"/>
        </w:rPr>
        <w:t xml:space="preserve"> The parameters evaluated include pH, temperature, turbidity, and total dissolved solids (TDS). The values shown represent the mean of three sampling trials (n = 3) collected under sunny conditions. The measured values were compared with the World Health Organization (WHO) guideline limits to assess compliance with recommended water quality standards. The results revealed that most parameters from Sites A and B comply with WHO standards, while Site C exceeded the acceptable limits for turbidity and TDS, indicating partial non-compliance with recommended guidelines.</w:t>
      </w:r>
    </w:p>
    <w:p w14:paraId="0BFEDAA7" w14:textId="77777777" w:rsidR="00AE34C3" w:rsidRDefault="00EB685E">
      <w:pPr>
        <w:tabs>
          <w:tab w:val="left" w:pos="804"/>
        </w:tabs>
        <w:jc w:val="both"/>
        <w:rPr>
          <w:rFonts w:ascii="Arial" w:eastAsia="Arial" w:hAnsi="Arial" w:cs="Arial"/>
          <w:b/>
          <w:bCs/>
        </w:rPr>
      </w:pPr>
      <w:r>
        <w:rPr>
          <w:rFonts w:ascii="Arial" w:eastAsia="Arial" w:hAnsi="Arial" w:cs="Arial"/>
          <w:b/>
          <w:bCs/>
        </w:rPr>
        <w:t>Table 1.</w:t>
      </w:r>
      <w:r>
        <w:rPr>
          <w:rFonts w:ascii="Arial" w:eastAsia="Arial" w:hAnsi="Arial" w:cs="Arial"/>
          <w:b/>
          <w:bCs/>
        </w:rPr>
        <w:tab/>
        <w:t>Results for physicochemical parameters</w:t>
      </w:r>
    </w:p>
    <w:tbl>
      <w:tblPr>
        <w:tblStyle w:val="a0"/>
        <w:tblW w:w="8370"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640"/>
        <w:gridCol w:w="720"/>
        <w:gridCol w:w="915"/>
        <w:gridCol w:w="915"/>
        <w:gridCol w:w="840"/>
        <w:gridCol w:w="855"/>
        <w:gridCol w:w="1485"/>
      </w:tblGrid>
      <w:tr w:rsidR="00AE34C3" w14:paraId="36DC749D" w14:textId="77777777">
        <w:trPr>
          <w:trHeight w:val="200"/>
          <w:jc w:val="center"/>
        </w:trPr>
        <w:tc>
          <w:tcPr>
            <w:tcW w:w="2640" w:type="dxa"/>
            <w:shd w:val="clear" w:color="auto" w:fill="FFFFFF"/>
          </w:tcPr>
          <w:p w14:paraId="4B16DD4F" w14:textId="77777777" w:rsidR="00AE34C3" w:rsidRDefault="00AE34C3">
            <w:pPr>
              <w:jc w:val="center"/>
              <w:rPr>
                <w:rFonts w:ascii="Arial" w:eastAsia="Arial" w:hAnsi="Arial" w:cs="Arial"/>
                <w:b/>
                <w:bCs/>
              </w:rPr>
            </w:pPr>
          </w:p>
          <w:p w14:paraId="4734F2B8" w14:textId="77777777" w:rsidR="00AE34C3" w:rsidRDefault="00EB685E">
            <w:pPr>
              <w:jc w:val="center"/>
              <w:rPr>
                <w:rFonts w:ascii="Arial" w:eastAsia="Arial" w:hAnsi="Arial" w:cs="Arial"/>
                <w:b/>
                <w:bCs/>
              </w:rPr>
            </w:pPr>
            <w:r>
              <w:rPr>
                <w:rFonts w:ascii="Arial" w:eastAsia="Arial" w:hAnsi="Arial" w:cs="Arial"/>
                <w:b/>
                <w:bCs/>
              </w:rPr>
              <w:t>Parameters</w:t>
            </w:r>
          </w:p>
        </w:tc>
        <w:tc>
          <w:tcPr>
            <w:tcW w:w="720" w:type="dxa"/>
            <w:shd w:val="clear" w:color="auto" w:fill="FFFFFF"/>
          </w:tcPr>
          <w:p w14:paraId="55506093" w14:textId="77777777" w:rsidR="00AE34C3" w:rsidRDefault="00AE34C3">
            <w:pPr>
              <w:jc w:val="center"/>
              <w:rPr>
                <w:rFonts w:ascii="Arial" w:eastAsia="Arial" w:hAnsi="Arial" w:cs="Arial"/>
                <w:b/>
                <w:bCs/>
              </w:rPr>
            </w:pPr>
          </w:p>
          <w:p w14:paraId="0795B82E" w14:textId="77777777" w:rsidR="00AE34C3" w:rsidRDefault="00EB685E">
            <w:pPr>
              <w:jc w:val="center"/>
              <w:rPr>
                <w:rFonts w:ascii="Arial" w:eastAsia="Arial" w:hAnsi="Arial" w:cs="Arial"/>
                <w:b/>
                <w:bCs/>
              </w:rPr>
            </w:pPr>
            <w:r>
              <w:rPr>
                <w:rFonts w:ascii="Arial" w:eastAsia="Arial" w:hAnsi="Arial" w:cs="Arial"/>
                <w:b/>
                <w:bCs/>
              </w:rPr>
              <w:t xml:space="preserve">Unit </w:t>
            </w:r>
          </w:p>
        </w:tc>
        <w:tc>
          <w:tcPr>
            <w:tcW w:w="2670" w:type="dxa"/>
            <w:gridSpan w:val="3"/>
            <w:tcBorders>
              <w:bottom w:val="single" w:sz="4" w:space="0" w:color="000000"/>
            </w:tcBorders>
          </w:tcPr>
          <w:p w14:paraId="15C768D9" w14:textId="77777777" w:rsidR="00AE34C3" w:rsidRDefault="00AE34C3">
            <w:pPr>
              <w:jc w:val="center"/>
              <w:rPr>
                <w:rFonts w:ascii="Arial" w:eastAsia="Arial" w:hAnsi="Arial" w:cs="Arial"/>
                <w:b/>
                <w:bCs/>
              </w:rPr>
            </w:pPr>
          </w:p>
          <w:p w14:paraId="1E0DFFC9" w14:textId="77777777" w:rsidR="00AE34C3" w:rsidRDefault="00EB685E">
            <w:pPr>
              <w:jc w:val="center"/>
              <w:rPr>
                <w:rFonts w:ascii="Arial" w:eastAsia="Arial" w:hAnsi="Arial" w:cs="Arial"/>
                <w:b/>
                <w:bCs/>
              </w:rPr>
            </w:pPr>
            <w:r>
              <w:rPr>
                <w:rFonts w:ascii="Arial" w:eastAsia="Arial" w:hAnsi="Arial" w:cs="Arial"/>
                <w:b/>
                <w:bCs/>
              </w:rPr>
              <w:t>Sampling Site</w:t>
            </w:r>
          </w:p>
        </w:tc>
        <w:tc>
          <w:tcPr>
            <w:tcW w:w="855" w:type="dxa"/>
          </w:tcPr>
          <w:p w14:paraId="1A1A8947" w14:textId="77777777" w:rsidR="00AE34C3" w:rsidRDefault="00EB685E">
            <w:pPr>
              <w:jc w:val="center"/>
              <w:rPr>
                <w:rFonts w:ascii="Arial" w:eastAsia="Arial" w:hAnsi="Arial" w:cs="Arial"/>
                <w:b/>
                <w:bCs/>
                <w:sz w:val="16"/>
                <w:szCs w:val="16"/>
              </w:rPr>
            </w:pPr>
            <w:r>
              <w:rPr>
                <w:rFonts w:ascii="Arial" w:eastAsia="Arial" w:hAnsi="Arial" w:cs="Arial"/>
                <w:b/>
                <w:bCs/>
                <w:sz w:val="16"/>
                <w:szCs w:val="16"/>
              </w:rPr>
              <w:t>Standard Limit (WHO)</w:t>
            </w:r>
          </w:p>
        </w:tc>
        <w:tc>
          <w:tcPr>
            <w:tcW w:w="1485" w:type="dxa"/>
          </w:tcPr>
          <w:p w14:paraId="071138AC" w14:textId="77777777" w:rsidR="00AE34C3" w:rsidRDefault="00AE34C3">
            <w:pPr>
              <w:jc w:val="center"/>
              <w:rPr>
                <w:rFonts w:ascii="Arial" w:eastAsia="Arial" w:hAnsi="Arial" w:cs="Arial"/>
                <w:b/>
                <w:bCs/>
                <w:sz w:val="16"/>
                <w:szCs w:val="16"/>
              </w:rPr>
            </w:pPr>
          </w:p>
          <w:p w14:paraId="3AB7C3B9" w14:textId="77777777" w:rsidR="00AE34C3" w:rsidRDefault="00EB685E">
            <w:pPr>
              <w:jc w:val="center"/>
              <w:rPr>
                <w:rFonts w:ascii="Arial" w:eastAsia="Arial" w:hAnsi="Arial" w:cs="Arial"/>
                <w:b/>
                <w:bCs/>
              </w:rPr>
            </w:pPr>
            <w:r>
              <w:rPr>
                <w:rFonts w:ascii="Arial" w:eastAsia="Arial" w:hAnsi="Arial" w:cs="Arial"/>
                <w:b/>
                <w:bCs/>
              </w:rPr>
              <w:t>Remarks</w:t>
            </w:r>
          </w:p>
        </w:tc>
      </w:tr>
      <w:tr w:rsidR="00AE34C3" w14:paraId="257A2778" w14:textId="77777777">
        <w:trPr>
          <w:jc w:val="center"/>
        </w:trPr>
        <w:tc>
          <w:tcPr>
            <w:tcW w:w="2640" w:type="dxa"/>
            <w:tcBorders>
              <w:left w:val="nil"/>
              <w:bottom w:val="single" w:sz="4" w:space="0" w:color="FFFFFF"/>
              <w:right w:val="nil"/>
            </w:tcBorders>
          </w:tcPr>
          <w:p w14:paraId="42726DCC" w14:textId="77777777" w:rsidR="00AE34C3" w:rsidRDefault="00AE34C3">
            <w:pPr>
              <w:jc w:val="both"/>
              <w:rPr>
                <w:rFonts w:ascii="Arial" w:eastAsia="Arial" w:hAnsi="Arial" w:cs="Arial"/>
                <w:b/>
                <w:bCs/>
                <w:sz w:val="18"/>
                <w:szCs w:val="18"/>
              </w:rPr>
            </w:pPr>
          </w:p>
        </w:tc>
        <w:tc>
          <w:tcPr>
            <w:tcW w:w="720" w:type="dxa"/>
            <w:tcBorders>
              <w:left w:val="nil"/>
              <w:bottom w:val="single" w:sz="4" w:space="0" w:color="FFFFFF"/>
              <w:right w:val="nil"/>
            </w:tcBorders>
          </w:tcPr>
          <w:p w14:paraId="3AEAFEE1" w14:textId="77777777" w:rsidR="00AE34C3" w:rsidRDefault="00AE34C3">
            <w:pPr>
              <w:jc w:val="both"/>
              <w:rPr>
                <w:rFonts w:ascii="Arial" w:eastAsia="Arial" w:hAnsi="Arial" w:cs="Arial"/>
                <w:b/>
                <w:bCs/>
                <w:sz w:val="18"/>
                <w:szCs w:val="18"/>
              </w:rPr>
            </w:pPr>
          </w:p>
        </w:tc>
        <w:tc>
          <w:tcPr>
            <w:tcW w:w="915" w:type="dxa"/>
            <w:tcBorders>
              <w:left w:val="nil"/>
              <w:bottom w:val="single" w:sz="4" w:space="0" w:color="000000"/>
            </w:tcBorders>
          </w:tcPr>
          <w:p w14:paraId="6440DA6C" w14:textId="77777777" w:rsidR="00AE34C3" w:rsidRDefault="00EB685E">
            <w:pPr>
              <w:jc w:val="center"/>
              <w:rPr>
                <w:rFonts w:ascii="Arial" w:eastAsia="Arial" w:hAnsi="Arial" w:cs="Arial"/>
                <w:b/>
                <w:bCs/>
                <w:sz w:val="18"/>
                <w:szCs w:val="18"/>
              </w:rPr>
            </w:pPr>
            <w:r>
              <w:rPr>
                <w:rFonts w:ascii="Arial" w:eastAsia="Arial" w:hAnsi="Arial" w:cs="Arial"/>
                <w:b/>
                <w:bCs/>
                <w:sz w:val="18"/>
                <w:szCs w:val="18"/>
              </w:rPr>
              <w:t>Site A</w:t>
            </w:r>
          </w:p>
        </w:tc>
        <w:tc>
          <w:tcPr>
            <w:tcW w:w="915" w:type="dxa"/>
            <w:tcBorders>
              <w:bottom w:val="single" w:sz="4" w:space="0" w:color="000000"/>
            </w:tcBorders>
          </w:tcPr>
          <w:p w14:paraId="27085586" w14:textId="77777777" w:rsidR="00AE34C3" w:rsidRDefault="00EB685E">
            <w:pPr>
              <w:jc w:val="center"/>
              <w:rPr>
                <w:rFonts w:ascii="Arial" w:eastAsia="Arial" w:hAnsi="Arial" w:cs="Arial"/>
                <w:b/>
                <w:bCs/>
                <w:sz w:val="18"/>
                <w:szCs w:val="18"/>
              </w:rPr>
            </w:pPr>
            <w:r>
              <w:rPr>
                <w:rFonts w:ascii="Arial" w:eastAsia="Arial" w:hAnsi="Arial" w:cs="Arial"/>
                <w:b/>
                <w:bCs/>
                <w:sz w:val="18"/>
                <w:szCs w:val="18"/>
              </w:rPr>
              <w:t>Site B</w:t>
            </w:r>
          </w:p>
        </w:tc>
        <w:tc>
          <w:tcPr>
            <w:tcW w:w="840" w:type="dxa"/>
            <w:tcBorders>
              <w:bottom w:val="single" w:sz="4" w:space="0" w:color="000000"/>
              <w:right w:val="nil"/>
            </w:tcBorders>
          </w:tcPr>
          <w:p w14:paraId="05C5CBED" w14:textId="77777777" w:rsidR="00AE34C3" w:rsidRDefault="00EB685E">
            <w:pPr>
              <w:jc w:val="center"/>
              <w:rPr>
                <w:rFonts w:ascii="Arial" w:eastAsia="Arial" w:hAnsi="Arial" w:cs="Arial"/>
                <w:b/>
                <w:bCs/>
                <w:sz w:val="18"/>
                <w:szCs w:val="18"/>
              </w:rPr>
            </w:pPr>
            <w:r>
              <w:rPr>
                <w:rFonts w:ascii="Arial" w:eastAsia="Arial" w:hAnsi="Arial" w:cs="Arial"/>
                <w:b/>
                <w:bCs/>
                <w:sz w:val="18"/>
                <w:szCs w:val="18"/>
              </w:rPr>
              <w:t>Site C</w:t>
            </w:r>
          </w:p>
        </w:tc>
        <w:tc>
          <w:tcPr>
            <w:tcW w:w="855" w:type="dxa"/>
            <w:tcBorders>
              <w:left w:val="nil"/>
              <w:bottom w:val="single" w:sz="4" w:space="0" w:color="FFFFFF"/>
              <w:right w:val="nil"/>
            </w:tcBorders>
          </w:tcPr>
          <w:p w14:paraId="102CF933" w14:textId="77777777" w:rsidR="00AE34C3" w:rsidRDefault="00AE34C3">
            <w:pPr>
              <w:jc w:val="both"/>
              <w:rPr>
                <w:rFonts w:ascii="Arial" w:eastAsia="Arial" w:hAnsi="Arial" w:cs="Arial"/>
                <w:b/>
                <w:bCs/>
                <w:sz w:val="18"/>
                <w:szCs w:val="18"/>
              </w:rPr>
            </w:pPr>
          </w:p>
        </w:tc>
        <w:tc>
          <w:tcPr>
            <w:tcW w:w="1485" w:type="dxa"/>
            <w:tcBorders>
              <w:left w:val="nil"/>
              <w:bottom w:val="single" w:sz="4" w:space="0" w:color="FFFFFF"/>
              <w:right w:val="nil"/>
            </w:tcBorders>
          </w:tcPr>
          <w:p w14:paraId="2860D28D" w14:textId="77777777" w:rsidR="00AE34C3" w:rsidRDefault="00AE34C3">
            <w:pPr>
              <w:jc w:val="both"/>
              <w:rPr>
                <w:rFonts w:ascii="Arial" w:eastAsia="Arial" w:hAnsi="Arial" w:cs="Arial"/>
                <w:b/>
                <w:bCs/>
                <w:sz w:val="18"/>
                <w:szCs w:val="18"/>
              </w:rPr>
            </w:pPr>
          </w:p>
        </w:tc>
      </w:tr>
      <w:tr w:rsidR="00AE34C3" w14:paraId="1F484E40" w14:textId="77777777">
        <w:trPr>
          <w:trHeight w:val="1163"/>
          <w:jc w:val="center"/>
        </w:trPr>
        <w:tc>
          <w:tcPr>
            <w:tcW w:w="2640" w:type="dxa"/>
            <w:tcBorders>
              <w:top w:val="single" w:sz="4" w:space="0" w:color="FFFFFF"/>
            </w:tcBorders>
          </w:tcPr>
          <w:p w14:paraId="5A48DB91" w14:textId="77777777" w:rsidR="00AE34C3" w:rsidRDefault="00EB685E">
            <w:pPr>
              <w:jc w:val="both"/>
              <w:rPr>
                <w:rFonts w:ascii="Arial" w:eastAsia="Arial" w:hAnsi="Arial" w:cs="Arial"/>
                <w:sz w:val="18"/>
                <w:szCs w:val="18"/>
              </w:rPr>
            </w:pPr>
            <w:proofErr w:type="spellStart"/>
            <w:r>
              <w:rPr>
                <w:rFonts w:ascii="Arial" w:eastAsia="Arial" w:hAnsi="Arial" w:cs="Arial"/>
                <w:sz w:val="18"/>
                <w:szCs w:val="18"/>
              </w:rPr>
              <w:t>ph</w:t>
            </w:r>
            <w:proofErr w:type="spellEnd"/>
          </w:p>
          <w:p w14:paraId="381C33A0" w14:textId="77777777" w:rsidR="00AE34C3" w:rsidRDefault="00EB685E">
            <w:pPr>
              <w:jc w:val="both"/>
              <w:rPr>
                <w:rFonts w:ascii="Arial" w:eastAsia="Arial" w:hAnsi="Arial" w:cs="Arial"/>
                <w:sz w:val="18"/>
                <w:szCs w:val="18"/>
              </w:rPr>
            </w:pPr>
            <w:r>
              <w:rPr>
                <w:rFonts w:ascii="Arial" w:eastAsia="Arial" w:hAnsi="Arial" w:cs="Arial"/>
                <w:sz w:val="18"/>
                <w:szCs w:val="18"/>
              </w:rPr>
              <w:t>Temperature</w:t>
            </w:r>
          </w:p>
          <w:p w14:paraId="2CF554D2" w14:textId="77777777" w:rsidR="00AE34C3" w:rsidRDefault="00EB685E">
            <w:pPr>
              <w:jc w:val="both"/>
              <w:rPr>
                <w:rFonts w:ascii="Arial" w:eastAsia="Arial" w:hAnsi="Arial" w:cs="Arial"/>
                <w:sz w:val="18"/>
                <w:szCs w:val="18"/>
              </w:rPr>
            </w:pPr>
            <w:r>
              <w:rPr>
                <w:rFonts w:ascii="Arial" w:eastAsia="Arial" w:hAnsi="Arial" w:cs="Arial"/>
                <w:sz w:val="18"/>
                <w:szCs w:val="18"/>
              </w:rPr>
              <w:t>Turbidity</w:t>
            </w:r>
          </w:p>
          <w:p w14:paraId="5AC3D201" w14:textId="77777777" w:rsidR="00AE34C3" w:rsidRDefault="00AE34C3">
            <w:pPr>
              <w:jc w:val="both"/>
              <w:rPr>
                <w:rFonts w:ascii="Arial" w:eastAsia="Arial" w:hAnsi="Arial" w:cs="Arial"/>
                <w:sz w:val="18"/>
                <w:szCs w:val="18"/>
              </w:rPr>
            </w:pPr>
          </w:p>
          <w:p w14:paraId="255C68C6" w14:textId="77777777" w:rsidR="00AE34C3" w:rsidRDefault="00EB685E">
            <w:pPr>
              <w:jc w:val="both"/>
              <w:rPr>
                <w:rFonts w:ascii="Arial" w:eastAsia="Arial" w:hAnsi="Arial" w:cs="Arial"/>
                <w:sz w:val="18"/>
                <w:szCs w:val="18"/>
              </w:rPr>
            </w:pPr>
            <w:r>
              <w:rPr>
                <w:rFonts w:ascii="Arial" w:eastAsia="Arial" w:hAnsi="Arial" w:cs="Arial"/>
                <w:sz w:val="18"/>
                <w:szCs w:val="18"/>
              </w:rPr>
              <w:t xml:space="preserve">Total Dissolved Solids (TDS) </w:t>
            </w:r>
          </w:p>
        </w:tc>
        <w:tc>
          <w:tcPr>
            <w:tcW w:w="720" w:type="dxa"/>
            <w:tcBorders>
              <w:top w:val="single" w:sz="4" w:space="0" w:color="FFFFFF"/>
            </w:tcBorders>
          </w:tcPr>
          <w:p w14:paraId="652C49CC" w14:textId="77777777" w:rsidR="00AE34C3" w:rsidRDefault="00EB685E">
            <w:pPr>
              <w:jc w:val="center"/>
              <w:rPr>
                <w:rFonts w:ascii="Arial" w:eastAsia="Arial" w:hAnsi="Arial" w:cs="Arial"/>
                <w:sz w:val="18"/>
                <w:szCs w:val="18"/>
              </w:rPr>
            </w:pPr>
            <w:r>
              <w:rPr>
                <w:rFonts w:ascii="Arial" w:eastAsia="Arial" w:hAnsi="Arial" w:cs="Arial"/>
                <w:sz w:val="18"/>
                <w:szCs w:val="18"/>
              </w:rPr>
              <w:t>–</w:t>
            </w:r>
          </w:p>
          <w:p w14:paraId="6F17F717" w14:textId="77777777" w:rsidR="00AE34C3" w:rsidRDefault="00EB685E">
            <w:pPr>
              <w:jc w:val="center"/>
              <w:rPr>
                <w:rFonts w:ascii="Arial" w:eastAsia="Arial" w:hAnsi="Arial" w:cs="Arial"/>
                <w:sz w:val="18"/>
                <w:szCs w:val="18"/>
              </w:rPr>
            </w:pPr>
            <w:r>
              <w:rPr>
                <w:rFonts w:ascii="Arial" w:eastAsia="Arial" w:hAnsi="Arial" w:cs="Arial"/>
                <w:sz w:val="18"/>
                <w:szCs w:val="18"/>
              </w:rPr>
              <w:t>°C</w:t>
            </w:r>
          </w:p>
          <w:p w14:paraId="056F2159" w14:textId="77777777" w:rsidR="00AE34C3" w:rsidRDefault="00EB685E">
            <w:pPr>
              <w:jc w:val="center"/>
              <w:rPr>
                <w:rFonts w:ascii="Arial" w:eastAsia="Arial" w:hAnsi="Arial" w:cs="Arial"/>
                <w:sz w:val="18"/>
                <w:szCs w:val="18"/>
              </w:rPr>
            </w:pPr>
            <w:r>
              <w:rPr>
                <w:rFonts w:ascii="Arial" w:eastAsia="Arial" w:hAnsi="Arial" w:cs="Arial"/>
                <w:sz w:val="18"/>
                <w:szCs w:val="18"/>
              </w:rPr>
              <w:t>NTU</w:t>
            </w:r>
          </w:p>
          <w:p w14:paraId="135F0DB4" w14:textId="77777777" w:rsidR="00AE34C3" w:rsidRDefault="00AE34C3">
            <w:pPr>
              <w:jc w:val="center"/>
              <w:rPr>
                <w:rFonts w:ascii="Arial" w:eastAsia="Arial" w:hAnsi="Arial" w:cs="Arial"/>
                <w:sz w:val="18"/>
                <w:szCs w:val="18"/>
              </w:rPr>
            </w:pPr>
          </w:p>
          <w:p w14:paraId="409D78F9" w14:textId="77777777" w:rsidR="00AE34C3" w:rsidRDefault="00EB685E">
            <w:pPr>
              <w:jc w:val="center"/>
              <w:rPr>
                <w:rFonts w:ascii="Arial" w:eastAsia="Arial" w:hAnsi="Arial" w:cs="Arial"/>
                <w:sz w:val="18"/>
                <w:szCs w:val="18"/>
              </w:rPr>
            </w:pPr>
            <w:r>
              <w:rPr>
                <w:rFonts w:ascii="Arial" w:eastAsia="Arial" w:hAnsi="Arial" w:cs="Arial"/>
                <w:sz w:val="18"/>
                <w:szCs w:val="18"/>
              </w:rPr>
              <w:t>mg/L</w:t>
            </w:r>
          </w:p>
          <w:p w14:paraId="7436C657" w14:textId="77777777" w:rsidR="00AE34C3" w:rsidRDefault="00AE34C3">
            <w:pPr>
              <w:jc w:val="both"/>
              <w:rPr>
                <w:rFonts w:ascii="Arial" w:eastAsia="Arial" w:hAnsi="Arial" w:cs="Arial"/>
                <w:sz w:val="18"/>
                <w:szCs w:val="18"/>
              </w:rPr>
            </w:pPr>
          </w:p>
        </w:tc>
        <w:tc>
          <w:tcPr>
            <w:tcW w:w="915" w:type="dxa"/>
          </w:tcPr>
          <w:p w14:paraId="7463E84B" w14:textId="77777777" w:rsidR="00AE34C3" w:rsidRDefault="00EB685E">
            <w:pPr>
              <w:jc w:val="center"/>
              <w:rPr>
                <w:rFonts w:ascii="Arial" w:eastAsia="Arial" w:hAnsi="Arial" w:cs="Arial"/>
                <w:sz w:val="18"/>
                <w:szCs w:val="18"/>
              </w:rPr>
            </w:pPr>
            <w:r>
              <w:rPr>
                <w:rFonts w:ascii="Arial" w:eastAsia="Arial" w:hAnsi="Arial" w:cs="Arial"/>
                <w:sz w:val="18"/>
                <w:szCs w:val="18"/>
              </w:rPr>
              <w:t>6.75</w:t>
            </w:r>
          </w:p>
          <w:p w14:paraId="37D38CA4" w14:textId="77777777" w:rsidR="00AE34C3" w:rsidRDefault="00EB685E">
            <w:pPr>
              <w:jc w:val="center"/>
              <w:rPr>
                <w:rFonts w:ascii="Arial" w:eastAsia="Arial" w:hAnsi="Arial" w:cs="Arial"/>
                <w:sz w:val="18"/>
                <w:szCs w:val="18"/>
              </w:rPr>
            </w:pPr>
            <w:r>
              <w:rPr>
                <w:rFonts w:ascii="Arial" w:eastAsia="Arial" w:hAnsi="Arial" w:cs="Arial"/>
                <w:sz w:val="18"/>
                <w:szCs w:val="18"/>
              </w:rPr>
              <w:t>20.03</w:t>
            </w:r>
          </w:p>
          <w:p w14:paraId="49C7521C" w14:textId="77777777" w:rsidR="00AE34C3" w:rsidRDefault="00EB685E">
            <w:pPr>
              <w:jc w:val="center"/>
              <w:rPr>
                <w:rFonts w:ascii="Arial" w:eastAsia="Arial" w:hAnsi="Arial" w:cs="Arial"/>
                <w:sz w:val="18"/>
                <w:szCs w:val="18"/>
              </w:rPr>
            </w:pPr>
            <w:r>
              <w:rPr>
                <w:rFonts w:ascii="Arial" w:eastAsia="Arial" w:hAnsi="Arial" w:cs="Arial"/>
                <w:sz w:val="18"/>
                <w:szCs w:val="18"/>
              </w:rPr>
              <w:t>2.57</w:t>
            </w:r>
          </w:p>
          <w:p w14:paraId="7EA5D08A" w14:textId="77777777" w:rsidR="00AE34C3" w:rsidRDefault="00AE34C3">
            <w:pPr>
              <w:jc w:val="center"/>
              <w:rPr>
                <w:rFonts w:ascii="Arial" w:eastAsia="Arial" w:hAnsi="Arial" w:cs="Arial"/>
                <w:sz w:val="18"/>
                <w:szCs w:val="18"/>
              </w:rPr>
            </w:pPr>
          </w:p>
          <w:p w14:paraId="3A3E2C34" w14:textId="77777777" w:rsidR="00AE34C3" w:rsidRDefault="00EB685E">
            <w:pPr>
              <w:jc w:val="center"/>
              <w:rPr>
                <w:rFonts w:ascii="Arial" w:eastAsia="Arial" w:hAnsi="Arial" w:cs="Arial"/>
                <w:sz w:val="18"/>
                <w:szCs w:val="18"/>
              </w:rPr>
            </w:pPr>
            <w:r>
              <w:rPr>
                <w:rFonts w:ascii="Arial" w:eastAsia="Arial" w:hAnsi="Arial" w:cs="Arial"/>
                <w:sz w:val="18"/>
                <w:szCs w:val="18"/>
              </w:rPr>
              <w:t xml:space="preserve">665.33 </w:t>
            </w:r>
          </w:p>
        </w:tc>
        <w:tc>
          <w:tcPr>
            <w:tcW w:w="915" w:type="dxa"/>
          </w:tcPr>
          <w:p w14:paraId="7E329A48" w14:textId="77777777" w:rsidR="00AE34C3" w:rsidRDefault="00EB685E">
            <w:pPr>
              <w:jc w:val="center"/>
              <w:rPr>
                <w:rFonts w:ascii="Arial" w:eastAsia="Arial" w:hAnsi="Arial" w:cs="Arial"/>
                <w:sz w:val="18"/>
                <w:szCs w:val="18"/>
              </w:rPr>
            </w:pPr>
            <w:r>
              <w:rPr>
                <w:rFonts w:ascii="Arial" w:eastAsia="Arial" w:hAnsi="Arial" w:cs="Arial"/>
                <w:sz w:val="18"/>
                <w:szCs w:val="18"/>
              </w:rPr>
              <w:t>7.05</w:t>
            </w:r>
          </w:p>
          <w:p w14:paraId="7655C2B9" w14:textId="77777777" w:rsidR="00AE34C3" w:rsidRDefault="00EB685E">
            <w:pPr>
              <w:jc w:val="center"/>
              <w:rPr>
                <w:rFonts w:ascii="Arial" w:eastAsia="Arial" w:hAnsi="Arial" w:cs="Arial"/>
                <w:sz w:val="18"/>
                <w:szCs w:val="18"/>
              </w:rPr>
            </w:pPr>
            <w:r>
              <w:rPr>
                <w:rFonts w:ascii="Arial" w:eastAsia="Arial" w:hAnsi="Arial" w:cs="Arial"/>
                <w:sz w:val="18"/>
                <w:szCs w:val="18"/>
              </w:rPr>
              <w:t>20.17</w:t>
            </w:r>
          </w:p>
          <w:p w14:paraId="531C3C1A" w14:textId="77777777" w:rsidR="00AE34C3" w:rsidRDefault="00EB685E">
            <w:pPr>
              <w:jc w:val="center"/>
              <w:rPr>
                <w:rFonts w:ascii="Arial" w:eastAsia="Arial" w:hAnsi="Arial" w:cs="Arial"/>
                <w:sz w:val="18"/>
                <w:szCs w:val="18"/>
              </w:rPr>
            </w:pPr>
            <w:r>
              <w:rPr>
                <w:rFonts w:ascii="Arial" w:eastAsia="Arial" w:hAnsi="Arial" w:cs="Arial"/>
                <w:sz w:val="18"/>
                <w:szCs w:val="18"/>
              </w:rPr>
              <w:t>0.38</w:t>
            </w:r>
          </w:p>
          <w:p w14:paraId="7D3A85E3" w14:textId="77777777" w:rsidR="00AE34C3" w:rsidRDefault="00AE34C3">
            <w:pPr>
              <w:jc w:val="center"/>
              <w:rPr>
                <w:rFonts w:ascii="Arial" w:eastAsia="Arial" w:hAnsi="Arial" w:cs="Arial"/>
                <w:sz w:val="18"/>
                <w:szCs w:val="18"/>
              </w:rPr>
            </w:pPr>
          </w:p>
          <w:p w14:paraId="492F4A81" w14:textId="77777777" w:rsidR="00AE34C3" w:rsidRDefault="00EB685E">
            <w:pPr>
              <w:jc w:val="center"/>
              <w:rPr>
                <w:rFonts w:ascii="Arial" w:eastAsia="Arial" w:hAnsi="Arial" w:cs="Arial"/>
                <w:sz w:val="18"/>
                <w:szCs w:val="18"/>
              </w:rPr>
            </w:pPr>
            <w:r>
              <w:rPr>
                <w:rFonts w:ascii="Arial" w:eastAsia="Arial" w:hAnsi="Arial" w:cs="Arial"/>
                <w:sz w:val="18"/>
                <w:szCs w:val="18"/>
              </w:rPr>
              <w:t>679</w:t>
            </w:r>
          </w:p>
        </w:tc>
        <w:tc>
          <w:tcPr>
            <w:tcW w:w="840" w:type="dxa"/>
          </w:tcPr>
          <w:p w14:paraId="364A0637" w14:textId="77777777" w:rsidR="00AE34C3" w:rsidRDefault="00EB685E">
            <w:pPr>
              <w:jc w:val="center"/>
              <w:rPr>
                <w:rFonts w:ascii="Arial" w:eastAsia="Arial" w:hAnsi="Arial" w:cs="Arial"/>
                <w:sz w:val="18"/>
                <w:szCs w:val="18"/>
              </w:rPr>
            </w:pPr>
            <w:r>
              <w:rPr>
                <w:rFonts w:ascii="Arial" w:eastAsia="Arial" w:hAnsi="Arial" w:cs="Arial"/>
                <w:sz w:val="18"/>
                <w:szCs w:val="18"/>
              </w:rPr>
              <w:t>7.12</w:t>
            </w:r>
          </w:p>
          <w:p w14:paraId="50DD2D2B" w14:textId="77777777" w:rsidR="00AE34C3" w:rsidRDefault="00EB685E">
            <w:pPr>
              <w:jc w:val="center"/>
              <w:rPr>
                <w:rFonts w:ascii="Arial" w:eastAsia="Arial" w:hAnsi="Arial" w:cs="Arial"/>
                <w:sz w:val="18"/>
                <w:szCs w:val="18"/>
              </w:rPr>
            </w:pPr>
            <w:r>
              <w:rPr>
                <w:rFonts w:ascii="Arial" w:eastAsia="Arial" w:hAnsi="Arial" w:cs="Arial"/>
                <w:sz w:val="18"/>
                <w:szCs w:val="18"/>
              </w:rPr>
              <w:t>22.00</w:t>
            </w:r>
          </w:p>
          <w:p w14:paraId="501AA582" w14:textId="77777777" w:rsidR="00AE34C3" w:rsidRDefault="00EB685E">
            <w:pPr>
              <w:jc w:val="center"/>
              <w:rPr>
                <w:rFonts w:ascii="Arial" w:eastAsia="Arial" w:hAnsi="Arial" w:cs="Arial"/>
                <w:sz w:val="18"/>
                <w:szCs w:val="18"/>
              </w:rPr>
            </w:pPr>
            <w:r>
              <w:rPr>
                <w:rFonts w:ascii="Arial" w:eastAsia="Arial" w:hAnsi="Arial" w:cs="Arial"/>
                <w:sz w:val="18"/>
                <w:szCs w:val="18"/>
              </w:rPr>
              <w:t>14.40</w:t>
            </w:r>
          </w:p>
          <w:p w14:paraId="294C52BB" w14:textId="77777777" w:rsidR="00AE34C3" w:rsidRDefault="00AE34C3">
            <w:pPr>
              <w:jc w:val="center"/>
              <w:rPr>
                <w:rFonts w:ascii="Arial" w:eastAsia="Arial" w:hAnsi="Arial" w:cs="Arial"/>
                <w:sz w:val="18"/>
                <w:szCs w:val="18"/>
              </w:rPr>
            </w:pPr>
          </w:p>
          <w:p w14:paraId="700E95FD" w14:textId="77777777" w:rsidR="00AE34C3" w:rsidRDefault="00EB685E">
            <w:pPr>
              <w:jc w:val="center"/>
              <w:rPr>
                <w:rFonts w:ascii="Arial" w:eastAsia="Arial" w:hAnsi="Arial" w:cs="Arial"/>
                <w:sz w:val="18"/>
                <w:szCs w:val="18"/>
              </w:rPr>
            </w:pPr>
            <w:r>
              <w:rPr>
                <w:rFonts w:ascii="Arial" w:eastAsia="Arial" w:hAnsi="Arial" w:cs="Arial"/>
                <w:sz w:val="18"/>
                <w:szCs w:val="18"/>
              </w:rPr>
              <w:t>1138.5</w:t>
            </w:r>
          </w:p>
        </w:tc>
        <w:tc>
          <w:tcPr>
            <w:tcW w:w="855" w:type="dxa"/>
            <w:tcBorders>
              <w:top w:val="single" w:sz="4" w:space="0" w:color="FFFFFF"/>
            </w:tcBorders>
          </w:tcPr>
          <w:p w14:paraId="7A9D04BE" w14:textId="77777777" w:rsidR="00AE34C3" w:rsidRDefault="00EB685E">
            <w:pPr>
              <w:jc w:val="center"/>
              <w:rPr>
                <w:rFonts w:ascii="Arial" w:eastAsia="Arial" w:hAnsi="Arial" w:cs="Arial"/>
                <w:sz w:val="18"/>
                <w:szCs w:val="18"/>
              </w:rPr>
            </w:pPr>
            <w:r>
              <w:rPr>
                <w:rFonts w:ascii="Arial" w:eastAsia="Arial" w:hAnsi="Arial" w:cs="Arial"/>
                <w:sz w:val="18"/>
                <w:szCs w:val="18"/>
              </w:rPr>
              <w:t>6.5-8.5</w:t>
            </w:r>
          </w:p>
          <w:p w14:paraId="74CBD459" w14:textId="77777777" w:rsidR="00AE34C3" w:rsidRDefault="00552937">
            <w:pPr>
              <w:jc w:val="center"/>
              <w:rPr>
                <w:rFonts w:ascii="Arial" w:eastAsia="Arial" w:hAnsi="Arial" w:cs="Arial"/>
                <w:sz w:val="18"/>
                <w:szCs w:val="18"/>
              </w:rPr>
            </w:pPr>
            <w:sdt>
              <w:sdtPr>
                <w:tag w:val="goog_rdk_1"/>
                <w:id w:val="1330352736"/>
              </w:sdtPr>
              <w:sdtEndPr/>
              <w:sdtContent>
                <w:r w:rsidR="00EB685E">
                  <w:rPr>
                    <w:rFonts w:ascii="Arial Unicode MS" w:eastAsia="Arial Unicode MS" w:hAnsi="Arial Unicode MS" w:cs="Arial Unicode MS"/>
                    <w:sz w:val="18"/>
                    <w:szCs w:val="18"/>
                  </w:rPr>
                  <w:t>≤ 25</w:t>
                </w:r>
              </w:sdtContent>
            </w:sdt>
          </w:p>
          <w:p w14:paraId="4A9E46C1" w14:textId="77777777" w:rsidR="00AE34C3" w:rsidRDefault="00552937">
            <w:pPr>
              <w:jc w:val="center"/>
              <w:rPr>
                <w:rFonts w:ascii="Arial" w:eastAsia="Arial" w:hAnsi="Arial" w:cs="Arial"/>
                <w:sz w:val="18"/>
                <w:szCs w:val="18"/>
              </w:rPr>
            </w:pPr>
            <w:sdt>
              <w:sdtPr>
                <w:tag w:val="goog_rdk_2"/>
                <w:id w:val="-2064973016"/>
              </w:sdtPr>
              <w:sdtEndPr/>
              <w:sdtContent>
                <w:r w:rsidR="00EB685E">
                  <w:rPr>
                    <w:rFonts w:ascii="Arial Unicode MS" w:eastAsia="Arial Unicode MS" w:hAnsi="Arial Unicode MS" w:cs="Arial Unicode MS"/>
                    <w:sz w:val="18"/>
                    <w:szCs w:val="18"/>
                  </w:rPr>
                  <w:t>≤ 5</w:t>
                </w:r>
              </w:sdtContent>
            </w:sdt>
          </w:p>
          <w:p w14:paraId="350D2DA9" w14:textId="77777777" w:rsidR="00AE34C3" w:rsidRDefault="00AE34C3">
            <w:pPr>
              <w:jc w:val="center"/>
              <w:rPr>
                <w:rFonts w:ascii="Arial" w:eastAsia="Arial" w:hAnsi="Arial" w:cs="Arial"/>
                <w:sz w:val="18"/>
                <w:szCs w:val="18"/>
              </w:rPr>
            </w:pPr>
          </w:p>
          <w:p w14:paraId="559D742D" w14:textId="77777777" w:rsidR="00AE34C3" w:rsidRDefault="00552937">
            <w:pPr>
              <w:jc w:val="center"/>
              <w:rPr>
                <w:rFonts w:ascii="Arial" w:eastAsia="Arial" w:hAnsi="Arial" w:cs="Arial"/>
                <w:sz w:val="18"/>
                <w:szCs w:val="18"/>
              </w:rPr>
            </w:pPr>
            <w:sdt>
              <w:sdtPr>
                <w:tag w:val="goog_rdk_3"/>
                <w:id w:val="-1667259796"/>
              </w:sdtPr>
              <w:sdtEndPr/>
              <w:sdtContent>
                <w:r w:rsidR="00EB685E">
                  <w:rPr>
                    <w:rFonts w:ascii="Arial Unicode MS" w:eastAsia="Arial Unicode MS" w:hAnsi="Arial Unicode MS" w:cs="Arial Unicode MS"/>
                    <w:sz w:val="18"/>
                    <w:szCs w:val="18"/>
                  </w:rPr>
                  <w:t>≤ 1000</w:t>
                </w:r>
              </w:sdtContent>
            </w:sdt>
          </w:p>
        </w:tc>
        <w:tc>
          <w:tcPr>
            <w:tcW w:w="1485" w:type="dxa"/>
            <w:tcBorders>
              <w:top w:val="single" w:sz="4" w:space="0" w:color="FFFFFF"/>
            </w:tcBorders>
          </w:tcPr>
          <w:p w14:paraId="147EBCA4" w14:textId="77777777" w:rsidR="00AE34C3" w:rsidRDefault="00EB685E">
            <w:pPr>
              <w:jc w:val="both"/>
              <w:rPr>
                <w:rFonts w:ascii="Arial" w:eastAsia="Arial" w:hAnsi="Arial" w:cs="Arial"/>
                <w:sz w:val="18"/>
                <w:szCs w:val="18"/>
              </w:rPr>
            </w:pPr>
            <w:r>
              <w:rPr>
                <w:rFonts w:ascii="Arial" w:eastAsia="Arial" w:hAnsi="Arial" w:cs="Arial"/>
                <w:sz w:val="18"/>
                <w:szCs w:val="18"/>
              </w:rPr>
              <w:t>Compliant</w:t>
            </w:r>
          </w:p>
          <w:p w14:paraId="5D178E55" w14:textId="77777777" w:rsidR="00AE34C3" w:rsidRDefault="00EB685E">
            <w:pPr>
              <w:jc w:val="both"/>
              <w:rPr>
                <w:rFonts w:ascii="Arial" w:eastAsia="Arial" w:hAnsi="Arial" w:cs="Arial"/>
                <w:sz w:val="18"/>
                <w:szCs w:val="18"/>
              </w:rPr>
            </w:pPr>
            <w:r>
              <w:rPr>
                <w:rFonts w:ascii="Arial" w:eastAsia="Arial" w:hAnsi="Arial" w:cs="Arial"/>
                <w:sz w:val="18"/>
                <w:szCs w:val="18"/>
              </w:rPr>
              <w:t>Compliant</w:t>
            </w:r>
          </w:p>
          <w:p w14:paraId="6BBC39E7" w14:textId="77777777" w:rsidR="00AE34C3" w:rsidRDefault="00EB685E">
            <w:pPr>
              <w:jc w:val="both"/>
              <w:rPr>
                <w:rFonts w:ascii="Arial" w:eastAsia="Arial" w:hAnsi="Arial" w:cs="Arial"/>
                <w:sz w:val="18"/>
                <w:szCs w:val="18"/>
              </w:rPr>
            </w:pPr>
            <w:r>
              <w:rPr>
                <w:rFonts w:ascii="Arial" w:eastAsia="Arial" w:hAnsi="Arial" w:cs="Arial"/>
                <w:sz w:val="18"/>
                <w:szCs w:val="18"/>
              </w:rPr>
              <w:t>Partially Compliant</w:t>
            </w:r>
          </w:p>
          <w:p w14:paraId="2F0649C1" w14:textId="77777777" w:rsidR="00AE34C3" w:rsidRDefault="00EB685E">
            <w:pPr>
              <w:jc w:val="both"/>
              <w:rPr>
                <w:rFonts w:ascii="Arial" w:eastAsia="Arial" w:hAnsi="Arial" w:cs="Arial"/>
                <w:sz w:val="18"/>
                <w:szCs w:val="18"/>
              </w:rPr>
            </w:pPr>
            <w:r>
              <w:rPr>
                <w:rFonts w:ascii="Arial" w:eastAsia="Arial" w:hAnsi="Arial" w:cs="Arial"/>
                <w:sz w:val="18"/>
                <w:szCs w:val="18"/>
              </w:rPr>
              <w:t>Partially Compliant</w:t>
            </w:r>
          </w:p>
        </w:tc>
      </w:tr>
    </w:tbl>
    <w:p w14:paraId="33EEBEA0" w14:textId="77777777" w:rsidR="00AE34C3" w:rsidRDefault="00EB685E">
      <w:pPr>
        <w:pBdr>
          <w:top w:val="nil"/>
          <w:left w:val="nil"/>
          <w:bottom w:val="nil"/>
          <w:right w:val="nil"/>
          <w:between w:val="nil"/>
        </w:pBdr>
        <w:tabs>
          <w:tab w:val="left" w:pos="1080"/>
        </w:tabs>
        <w:ind w:left="1080" w:hanging="1080"/>
        <w:jc w:val="both"/>
        <w:rPr>
          <w:rFonts w:ascii="Arial" w:eastAsia="Arial" w:hAnsi="Arial" w:cs="Arial"/>
          <w:b/>
          <w:bCs/>
          <w:color w:val="000000"/>
        </w:rPr>
      </w:pPr>
      <w:r>
        <w:rPr>
          <w:rFonts w:ascii="Arial" w:eastAsia="Arial" w:hAnsi="Arial" w:cs="Arial"/>
          <w:i/>
          <w:iCs/>
          <w:color w:val="000000"/>
          <w:sz w:val="18"/>
          <w:szCs w:val="18"/>
        </w:rPr>
        <w:t xml:space="preserve">*Collected under sunny conditions with </w:t>
      </w:r>
      <w:r>
        <w:rPr>
          <w:rFonts w:ascii="Arial" w:eastAsia="Arial" w:hAnsi="Arial" w:cs="Arial"/>
          <w:i/>
          <w:iCs/>
          <w:sz w:val="18"/>
          <w:szCs w:val="18"/>
        </w:rPr>
        <w:t>n=3 replicates</w:t>
      </w:r>
    </w:p>
    <w:p w14:paraId="6913BDA4" w14:textId="77777777" w:rsidR="00AE34C3" w:rsidRDefault="00EB685E">
      <w:pPr>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355F1B4A" w14:textId="77777777" w:rsidR="00AE34C3" w:rsidRDefault="00EB685E">
      <w:pPr>
        <w:tabs>
          <w:tab w:val="left" w:pos="1080"/>
        </w:tabs>
        <w:jc w:val="both"/>
        <w:rPr>
          <w:rFonts w:ascii="Arial" w:eastAsia="Arial" w:hAnsi="Arial" w:cs="Arial"/>
          <w:b/>
          <w:bCs/>
        </w:rPr>
      </w:pPr>
      <w:r>
        <w:rPr>
          <w:rFonts w:ascii="Arial" w:eastAsia="Arial" w:hAnsi="Arial" w:cs="Arial"/>
          <w:b/>
          <w:bCs/>
        </w:rPr>
        <w:lastRenderedPageBreak/>
        <w:t>3.1.1 pH</w:t>
      </w:r>
    </w:p>
    <w:p w14:paraId="1CA6B024" w14:textId="77777777" w:rsidR="00AE34C3" w:rsidRDefault="00EB685E">
      <w:pPr>
        <w:spacing w:before="240" w:after="240"/>
        <w:jc w:val="both"/>
        <w:rPr>
          <w:rFonts w:ascii="Arial" w:eastAsia="Arial" w:hAnsi="Arial" w:cs="Arial"/>
        </w:rPr>
      </w:pPr>
      <w:r>
        <w:rPr>
          <w:rFonts w:ascii="Arial" w:eastAsia="Arial" w:hAnsi="Arial" w:cs="Arial"/>
        </w:rPr>
        <w:t xml:space="preserve">As shown in Table 1, the mean pH values recorded were 6.75 for Site A, 7.05 for Site B, and 7.12 for Site C, all of which fall within the WHO recommended range of 6.5–8.5. This indicates that the water from all sampling sites complies with the acceptable pH guideline. The values are close to neutral, suggesting that the groundwater is neither strongly acidic nor strongly alkaline. Such conditions are generally favorable for domestic water use because they help maintain chemical stability and reduce the likelihood of corrosion or scaling in plumbing systems. Maintaining pH within this range also minimizes the potential toxicity of dissolved substances and supports overall water quality stability (Massachusetts Department of Environmental Protection, 2019; </w:t>
      </w:r>
      <w:proofErr w:type="spellStart"/>
      <w:r>
        <w:rPr>
          <w:rFonts w:ascii="Arial" w:eastAsia="Arial" w:hAnsi="Arial" w:cs="Arial"/>
        </w:rPr>
        <w:t>Rathored</w:t>
      </w:r>
      <w:proofErr w:type="spellEnd"/>
      <w:r>
        <w:rPr>
          <w:rFonts w:ascii="Arial" w:eastAsia="Arial" w:hAnsi="Arial" w:cs="Arial"/>
        </w:rPr>
        <w:t xml:space="preserve"> et al., 2025).</w:t>
      </w:r>
    </w:p>
    <w:p w14:paraId="41C008C7" w14:textId="77777777" w:rsidR="00AE34C3" w:rsidRDefault="00EB685E">
      <w:pPr>
        <w:tabs>
          <w:tab w:val="left" w:pos="1080"/>
        </w:tabs>
        <w:jc w:val="both"/>
        <w:rPr>
          <w:rFonts w:ascii="Arial" w:eastAsia="Arial" w:hAnsi="Arial" w:cs="Arial"/>
          <w:b/>
          <w:bCs/>
        </w:rPr>
      </w:pPr>
      <w:r>
        <w:rPr>
          <w:rFonts w:ascii="Arial" w:eastAsia="Arial" w:hAnsi="Arial" w:cs="Arial"/>
          <w:b/>
          <w:bCs/>
        </w:rPr>
        <w:t>3.1.2 Temperature</w:t>
      </w:r>
    </w:p>
    <w:p w14:paraId="7F1DA0DE" w14:textId="77777777" w:rsidR="00AE34C3" w:rsidRDefault="00552937">
      <w:pPr>
        <w:spacing w:before="240" w:after="240"/>
        <w:jc w:val="both"/>
        <w:rPr>
          <w:rFonts w:ascii="Arial" w:eastAsia="Arial" w:hAnsi="Arial" w:cs="Arial"/>
        </w:rPr>
      </w:pPr>
      <w:sdt>
        <w:sdtPr>
          <w:tag w:val="goog_rdk_4"/>
          <w:id w:val="-1454941575"/>
        </w:sdtPr>
        <w:sdtEndPr/>
        <w:sdtContent>
          <w:r w:rsidR="00EB685E">
            <w:rPr>
              <w:rFonts w:ascii="Arial Unicode MS" w:eastAsia="Arial Unicode MS" w:hAnsi="Arial Unicode MS" w:cs="Arial Unicode MS"/>
            </w:rPr>
            <w:t>The recorded mean temperatures were 20.03 °C for Site A, 20.17 °C for Site B, and 22.00 °C for Site C, all of which are within the WHO recommended limit of ≤25 °C. These findings indicate that the water temperature in all wells complies with the acceptable standard. The relatively consistent temperatures across the sampling sites suggest stable groundwater conditions and minimal exposure to extreme environmental fluctuations. Maintaining appropriate temperature levels is important because temperature can influence chemical reactions and microbial activity in water. S</w:t>
          </w:r>
        </w:sdtContent>
      </w:sdt>
      <w:r w:rsidR="00EB685E">
        <w:rPr>
          <w:rFonts w:ascii="Arial" w:eastAsia="Arial" w:hAnsi="Arial" w:cs="Arial"/>
        </w:rPr>
        <w:t xml:space="preserve">table temperature conditions therefore help preserve the physicochemical balance of groundwater and reduce the likelihood of rapid microbial growth (van der Hoek et al., 2021). </w:t>
      </w:r>
    </w:p>
    <w:p w14:paraId="2EB1580A" w14:textId="77777777" w:rsidR="00AE34C3" w:rsidRDefault="00EB685E">
      <w:pPr>
        <w:tabs>
          <w:tab w:val="left" w:pos="1080"/>
        </w:tabs>
        <w:jc w:val="both"/>
        <w:rPr>
          <w:rFonts w:ascii="Arial" w:eastAsia="Arial" w:hAnsi="Arial" w:cs="Arial"/>
        </w:rPr>
      </w:pPr>
      <w:r>
        <w:rPr>
          <w:rFonts w:ascii="Arial" w:eastAsia="Arial" w:hAnsi="Arial" w:cs="Arial"/>
          <w:b/>
          <w:bCs/>
        </w:rPr>
        <w:t>3.1.3 Turbidity</w:t>
      </w:r>
    </w:p>
    <w:p w14:paraId="648B46FB" w14:textId="77777777" w:rsidR="00AE34C3" w:rsidRDefault="00552937">
      <w:pPr>
        <w:spacing w:before="240" w:after="240"/>
        <w:jc w:val="both"/>
        <w:rPr>
          <w:rFonts w:ascii="Arial" w:eastAsia="Arial" w:hAnsi="Arial" w:cs="Arial"/>
        </w:rPr>
      </w:pPr>
      <w:sdt>
        <w:sdtPr>
          <w:tag w:val="goog_rdk_5"/>
          <w:id w:val="1600972343"/>
        </w:sdtPr>
        <w:sdtEndPr/>
        <w:sdtContent>
          <w:r w:rsidR="00EB685E">
            <w:rPr>
              <w:rFonts w:ascii="Arial Unicode MS" w:eastAsia="Arial Unicode MS" w:hAnsi="Arial Unicode MS" w:cs="Arial Unicode MS"/>
            </w:rPr>
            <w:t>The mean turbidity values were 2.57 NTU for Site A, 0.38 NTU for Site B, and 14.40 NTU for Site C, compared with the WHO recommended limit of ≤5 NTU. Sites A and B comply with the guideline, indicating relatively clear water with low concentrations of suspended particles (World Health Organization, 2017). In contrast, Site C significantly exceeds the recommended limit, suggesting the presence of a high concentration of suspended solids.</w:t>
          </w:r>
        </w:sdtContent>
      </w:sdt>
      <w:r w:rsidR="00EB685E">
        <w:rPr>
          <w:rFonts w:ascii="Arial" w:eastAsia="Arial" w:hAnsi="Arial" w:cs="Arial"/>
        </w:rPr>
        <w:t xml:space="preserve"> Elevated turbidity may result from inorganic particles such as silt or clay, as well as organic matter or other contaminants entering the well. High turbidity is a concern because suspended particles can protect microorganisms from disinfection processes such as chlorination and may also affect the quality of water, including its appearance and taste (U.S. Environmental Protection Agency, 2021).</w:t>
      </w:r>
    </w:p>
    <w:p w14:paraId="4E2EF2BC" w14:textId="77777777" w:rsidR="00AE34C3" w:rsidRDefault="00EB685E">
      <w:pPr>
        <w:tabs>
          <w:tab w:val="left" w:pos="1080"/>
        </w:tabs>
        <w:jc w:val="both"/>
        <w:rPr>
          <w:rFonts w:ascii="Arial" w:eastAsia="Arial" w:hAnsi="Arial" w:cs="Arial"/>
          <w:b/>
          <w:bCs/>
        </w:rPr>
      </w:pPr>
      <w:r>
        <w:rPr>
          <w:rFonts w:ascii="Arial" w:eastAsia="Arial" w:hAnsi="Arial" w:cs="Arial"/>
          <w:b/>
          <w:bCs/>
        </w:rPr>
        <w:t>3.1.2 Total Dissolved Solids</w:t>
      </w:r>
    </w:p>
    <w:p w14:paraId="7A22F12F" w14:textId="77777777" w:rsidR="00AE34C3" w:rsidRDefault="00552937">
      <w:pPr>
        <w:spacing w:before="240" w:after="240"/>
        <w:jc w:val="both"/>
        <w:rPr>
          <w:rFonts w:ascii="Arial" w:eastAsia="Arial" w:hAnsi="Arial" w:cs="Arial"/>
        </w:rPr>
      </w:pPr>
      <w:sdt>
        <w:sdtPr>
          <w:tag w:val="goog_rdk_6"/>
          <w:id w:val="1372484552"/>
        </w:sdtPr>
        <w:sdtEndPr/>
        <w:sdtContent>
          <w:r w:rsidR="00EB685E">
            <w:rPr>
              <w:rFonts w:ascii="Arial Unicode MS" w:eastAsia="Arial Unicode MS" w:hAnsi="Arial Unicode MS" w:cs="Arial Unicode MS"/>
            </w:rPr>
            <w:t xml:space="preserve">The mean TDS values recorded were 665.33 mg/L for Site A, 679 mg/L for Site B, and 1138.5 mg/L for Site C, compared with the WHO recommended limit of ≤1000 mg/L. Sites A and B fall within the acceptable range, indicating moderate levels of dissolved minerals typically found in groundwater. In contrast, Site C exceeds the recommended threshold, suggesting a higher concentration of dissolved inorganic salts and small amounts of organic matter. </w:t>
          </w:r>
          <w:r w:rsidR="00EB685E">
            <w:rPr>
              <w:rFonts w:ascii="Arial Unicode MS" w:eastAsia="Arial Unicode MS" w:hAnsi="Arial Unicode MS" w:cs="Arial Unicode MS"/>
            </w:rPr>
            <w:lastRenderedPageBreak/>
            <w:t>Although elevated TDS levels do not usually pose direct health risks</w:t>
          </w:r>
        </w:sdtContent>
      </w:sdt>
      <w:r w:rsidR="00EB685E">
        <w:rPr>
          <w:rFonts w:ascii="Arial" w:eastAsia="Arial" w:hAnsi="Arial" w:cs="Arial"/>
        </w:rPr>
        <w:t>, concentrations above 1000 mg/L may produce an unpleasant bitter or salty taste and contribute to water hardness (Virginia Tech, n.d.; World Health Organization, 2022</w:t>
      </w:r>
      <w:proofErr w:type="gramStart"/>
      <w:r w:rsidR="00EB685E">
        <w:rPr>
          <w:rFonts w:ascii="Arial" w:eastAsia="Arial" w:hAnsi="Arial" w:cs="Arial"/>
        </w:rPr>
        <w:t>).High</w:t>
      </w:r>
      <w:proofErr w:type="gramEnd"/>
      <w:r w:rsidR="00EB685E">
        <w:rPr>
          <w:rFonts w:ascii="Arial" w:eastAsia="Arial" w:hAnsi="Arial" w:cs="Arial"/>
        </w:rPr>
        <w:t xml:space="preserve"> TDS levels can also lead to scale buildup in pipes and household appliances and may indicate the infiltration of mineral-rich runoff, seawater intrusion, or wastewater contamination into the groundwater source (El‑Fadel, 2017).</w:t>
      </w:r>
    </w:p>
    <w:p w14:paraId="298B7E94" w14:textId="77777777" w:rsidR="00AE34C3" w:rsidRDefault="00EB685E">
      <w:pPr>
        <w:keepNext/>
        <w:jc w:val="both"/>
        <w:rPr>
          <w:rFonts w:ascii="Arial" w:eastAsia="Arial" w:hAnsi="Arial" w:cs="Arial"/>
          <w:b/>
          <w:bCs/>
          <w:smallCaps/>
          <w:sz w:val="22"/>
          <w:szCs w:val="22"/>
        </w:rPr>
      </w:pPr>
      <w:r>
        <w:rPr>
          <w:rFonts w:ascii="Arial" w:eastAsia="Arial" w:hAnsi="Arial" w:cs="Arial"/>
          <w:b/>
          <w:bCs/>
          <w:smallCaps/>
          <w:sz w:val="22"/>
          <w:szCs w:val="22"/>
        </w:rPr>
        <w:t xml:space="preserve">3.1 Descriptive Analysis of Microbial Parameters of </w:t>
      </w:r>
      <w:proofErr w:type="spellStart"/>
      <w:r>
        <w:rPr>
          <w:rFonts w:ascii="Arial" w:eastAsia="Arial" w:hAnsi="Arial" w:cs="Arial"/>
          <w:b/>
          <w:bCs/>
          <w:smallCaps/>
          <w:sz w:val="22"/>
          <w:szCs w:val="22"/>
        </w:rPr>
        <w:t>Macabalan</w:t>
      </w:r>
      <w:proofErr w:type="spellEnd"/>
      <w:r>
        <w:rPr>
          <w:rFonts w:ascii="Arial" w:eastAsia="Arial" w:hAnsi="Arial" w:cs="Arial"/>
          <w:b/>
          <w:bCs/>
          <w:smallCaps/>
          <w:sz w:val="22"/>
          <w:szCs w:val="22"/>
        </w:rPr>
        <w:t xml:space="preserve"> Well Water</w:t>
      </w:r>
    </w:p>
    <w:p w14:paraId="6783B9D2" w14:textId="77777777" w:rsidR="00AE34C3" w:rsidRDefault="00AE34C3">
      <w:pPr>
        <w:keepNext/>
        <w:jc w:val="both"/>
        <w:rPr>
          <w:rFonts w:ascii="Arial" w:eastAsia="Arial" w:hAnsi="Arial" w:cs="Arial"/>
          <w:b/>
          <w:bCs/>
          <w:smallCaps/>
          <w:sz w:val="22"/>
          <w:szCs w:val="22"/>
        </w:rPr>
      </w:pPr>
    </w:p>
    <w:p w14:paraId="437CA71F" w14:textId="77777777" w:rsidR="00AE34C3" w:rsidRDefault="00EB685E">
      <w:pPr>
        <w:tabs>
          <w:tab w:val="left" w:pos="1080"/>
        </w:tabs>
        <w:jc w:val="both"/>
        <w:rPr>
          <w:rFonts w:ascii="Arial" w:eastAsia="Arial" w:hAnsi="Arial" w:cs="Arial"/>
          <w:b/>
          <w:bCs/>
        </w:rPr>
      </w:pPr>
      <w:r>
        <w:rPr>
          <w:rFonts w:ascii="Arial" w:eastAsia="Arial" w:hAnsi="Arial" w:cs="Arial"/>
          <w:b/>
          <w:bCs/>
        </w:rPr>
        <w:t>Table 2. Results for microbial parameters</w:t>
      </w:r>
    </w:p>
    <w:p w14:paraId="20243771" w14:textId="77777777" w:rsidR="00AE34C3" w:rsidRDefault="00AE34C3">
      <w:pPr>
        <w:tabs>
          <w:tab w:val="left" w:pos="1080"/>
        </w:tabs>
        <w:jc w:val="both"/>
        <w:rPr>
          <w:rFonts w:ascii="Arial" w:eastAsia="Arial" w:hAnsi="Arial" w:cs="Arial"/>
          <w:b/>
          <w:bCs/>
        </w:rPr>
      </w:pPr>
    </w:p>
    <w:sdt>
      <w:sdtPr>
        <w:tag w:val="goog_rdk_8"/>
        <w:id w:val="1212481850"/>
        <w:lock w:val="contentLocked"/>
      </w:sdtPr>
      <w:sdtEndPr/>
      <w:sdtContent>
        <w:tbl>
          <w:tblPr>
            <w:tblStyle w:val="a1"/>
            <w:tblW w:w="8220"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530"/>
            <w:gridCol w:w="870"/>
            <w:gridCol w:w="1095"/>
            <w:gridCol w:w="990"/>
            <w:gridCol w:w="1065"/>
            <w:gridCol w:w="1140"/>
            <w:gridCol w:w="1530"/>
          </w:tblGrid>
          <w:tr w:rsidR="00AE34C3" w14:paraId="7EFF233D" w14:textId="77777777">
            <w:trPr>
              <w:trHeight w:val="200"/>
              <w:jc w:val="center"/>
            </w:trPr>
            <w:tc>
              <w:tcPr>
                <w:tcW w:w="1530" w:type="dxa"/>
              </w:tcPr>
              <w:p w14:paraId="286FA219" w14:textId="77777777" w:rsidR="00AE34C3" w:rsidRDefault="00AE34C3">
                <w:pPr>
                  <w:jc w:val="center"/>
                  <w:rPr>
                    <w:rFonts w:ascii="Arial" w:eastAsia="Arial" w:hAnsi="Arial" w:cs="Arial"/>
                    <w:b/>
                    <w:bCs/>
                  </w:rPr>
                </w:pPr>
              </w:p>
              <w:p w14:paraId="5DAA6DD3" w14:textId="77777777" w:rsidR="00AE34C3" w:rsidRDefault="00EB685E">
                <w:pPr>
                  <w:jc w:val="center"/>
                  <w:rPr>
                    <w:rFonts w:ascii="Arial" w:eastAsia="Arial" w:hAnsi="Arial" w:cs="Arial"/>
                    <w:b/>
                    <w:bCs/>
                  </w:rPr>
                </w:pPr>
                <w:r>
                  <w:rPr>
                    <w:rFonts w:ascii="Arial" w:eastAsia="Arial" w:hAnsi="Arial" w:cs="Arial"/>
                    <w:b/>
                    <w:bCs/>
                  </w:rPr>
                  <w:t>Parameters</w:t>
                </w:r>
              </w:p>
            </w:tc>
            <w:tc>
              <w:tcPr>
                <w:tcW w:w="870" w:type="dxa"/>
              </w:tcPr>
              <w:p w14:paraId="6E442233" w14:textId="77777777" w:rsidR="00AE34C3" w:rsidRDefault="00AE34C3">
                <w:pPr>
                  <w:jc w:val="center"/>
                  <w:rPr>
                    <w:rFonts w:ascii="Arial" w:eastAsia="Arial" w:hAnsi="Arial" w:cs="Arial"/>
                    <w:b/>
                    <w:bCs/>
                  </w:rPr>
                </w:pPr>
              </w:p>
              <w:p w14:paraId="46E0E39B" w14:textId="77777777" w:rsidR="00AE34C3" w:rsidRDefault="00EB685E">
                <w:pPr>
                  <w:jc w:val="center"/>
                  <w:rPr>
                    <w:rFonts w:ascii="Arial" w:eastAsia="Arial" w:hAnsi="Arial" w:cs="Arial"/>
                    <w:b/>
                    <w:bCs/>
                  </w:rPr>
                </w:pPr>
                <w:r>
                  <w:rPr>
                    <w:rFonts w:ascii="Arial" w:eastAsia="Arial" w:hAnsi="Arial" w:cs="Arial"/>
                    <w:b/>
                    <w:bCs/>
                  </w:rPr>
                  <w:t xml:space="preserve">Unit </w:t>
                </w:r>
              </w:p>
            </w:tc>
            <w:tc>
              <w:tcPr>
                <w:tcW w:w="3150" w:type="dxa"/>
                <w:gridSpan w:val="3"/>
                <w:tcBorders>
                  <w:bottom w:val="single" w:sz="4" w:space="0" w:color="000000"/>
                </w:tcBorders>
              </w:tcPr>
              <w:p w14:paraId="3C888C7F" w14:textId="77777777" w:rsidR="00AE34C3" w:rsidRDefault="00AE34C3">
                <w:pPr>
                  <w:jc w:val="center"/>
                  <w:rPr>
                    <w:rFonts w:ascii="Arial" w:eastAsia="Arial" w:hAnsi="Arial" w:cs="Arial"/>
                    <w:b/>
                    <w:bCs/>
                  </w:rPr>
                </w:pPr>
              </w:p>
              <w:p w14:paraId="5D82C026" w14:textId="77777777" w:rsidR="00AE34C3" w:rsidRDefault="00EB685E">
                <w:pPr>
                  <w:jc w:val="center"/>
                  <w:rPr>
                    <w:rFonts w:ascii="Arial" w:eastAsia="Arial" w:hAnsi="Arial" w:cs="Arial"/>
                    <w:b/>
                    <w:bCs/>
                  </w:rPr>
                </w:pPr>
                <w:r>
                  <w:rPr>
                    <w:rFonts w:ascii="Arial" w:eastAsia="Arial" w:hAnsi="Arial" w:cs="Arial"/>
                    <w:b/>
                    <w:bCs/>
                  </w:rPr>
                  <w:t>Sampling Site</w:t>
                </w:r>
              </w:p>
            </w:tc>
            <w:tc>
              <w:tcPr>
                <w:tcW w:w="1140" w:type="dxa"/>
              </w:tcPr>
              <w:p w14:paraId="7C124DBD" w14:textId="77777777" w:rsidR="00AE34C3" w:rsidRDefault="00EB685E">
                <w:pPr>
                  <w:jc w:val="center"/>
                  <w:rPr>
                    <w:rFonts w:ascii="Arial" w:eastAsia="Arial" w:hAnsi="Arial" w:cs="Arial"/>
                    <w:b/>
                    <w:bCs/>
                  </w:rPr>
                </w:pPr>
                <w:r>
                  <w:rPr>
                    <w:rFonts w:ascii="Arial" w:eastAsia="Arial" w:hAnsi="Arial" w:cs="Arial"/>
                    <w:b/>
                    <w:bCs/>
                  </w:rPr>
                  <w:t>Standard Limit (DENR Class B)</w:t>
                </w:r>
              </w:p>
            </w:tc>
            <w:tc>
              <w:tcPr>
                <w:tcW w:w="1530" w:type="dxa"/>
              </w:tcPr>
              <w:p w14:paraId="653D46FD" w14:textId="77777777" w:rsidR="00AE34C3" w:rsidRDefault="00AE34C3">
                <w:pPr>
                  <w:jc w:val="center"/>
                  <w:rPr>
                    <w:rFonts w:ascii="Arial" w:eastAsia="Arial" w:hAnsi="Arial" w:cs="Arial"/>
                    <w:b/>
                    <w:bCs/>
                  </w:rPr>
                </w:pPr>
              </w:p>
              <w:p w14:paraId="7AD95783" w14:textId="77777777" w:rsidR="00AE34C3" w:rsidRDefault="00EB685E">
                <w:pPr>
                  <w:jc w:val="center"/>
                  <w:rPr>
                    <w:rFonts w:ascii="Arial" w:eastAsia="Arial" w:hAnsi="Arial" w:cs="Arial"/>
                    <w:b/>
                    <w:bCs/>
                  </w:rPr>
                </w:pPr>
                <w:r>
                  <w:rPr>
                    <w:rFonts w:ascii="Arial" w:eastAsia="Arial" w:hAnsi="Arial" w:cs="Arial"/>
                    <w:b/>
                    <w:bCs/>
                  </w:rPr>
                  <w:t>Remarks</w:t>
                </w:r>
              </w:p>
            </w:tc>
          </w:tr>
          <w:tr w:rsidR="00AE34C3" w14:paraId="0A25F7C6" w14:textId="77777777">
            <w:trPr>
              <w:jc w:val="center"/>
            </w:trPr>
            <w:tc>
              <w:tcPr>
                <w:tcW w:w="1530" w:type="dxa"/>
                <w:tcBorders>
                  <w:left w:val="nil"/>
                  <w:bottom w:val="single" w:sz="4" w:space="0" w:color="FFFFFF"/>
                  <w:right w:val="nil"/>
                </w:tcBorders>
              </w:tcPr>
              <w:p w14:paraId="1CF7D5AC" w14:textId="77777777" w:rsidR="00AE34C3" w:rsidRDefault="00AE34C3">
                <w:pPr>
                  <w:jc w:val="both"/>
                  <w:rPr>
                    <w:rFonts w:ascii="Arial" w:eastAsia="Arial" w:hAnsi="Arial" w:cs="Arial"/>
                    <w:b/>
                    <w:bCs/>
                  </w:rPr>
                </w:pPr>
              </w:p>
            </w:tc>
            <w:tc>
              <w:tcPr>
                <w:tcW w:w="870" w:type="dxa"/>
                <w:tcBorders>
                  <w:left w:val="nil"/>
                  <w:bottom w:val="single" w:sz="4" w:space="0" w:color="FFFFFF"/>
                  <w:right w:val="nil"/>
                </w:tcBorders>
              </w:tcPr>
              <w:p w14:paraId="6ACCDA5C" w14:textId="77777777" w:rsidR="00AE34C3" w:rsidRDefault="00AE34C3">
                <w:pPr>
                  <w:jc w:val="both"/>
                  <w:rPr>
                    <w:rFonts w:ascii="Arial" w:eastAsia="Arial" w:hAnsi="Arial" w:cs="Arial"/>
                    <w:b/>
                    <w:bCs/>
                  </w:rPr>
                </w:pPr>
              </w:p>
            </w:tc>
            <w:tc>
              <w:tcPr>
                <w:tcW w:w="1095" w:type="dxa"/>
                <w:tcBorders>
                  <w:left w:val="nil"/>
                  <w:bottom w:val="single" w:sz="4" w:space="0" w:color="000000"/>
                </w:tcBorders>
              </w:tcPr>
              <w:p w14:paraId="4FE1E213" w14:textId="77777777" w:rsidR="00AE34C3" w:rsidRDefault="00EB685E">
                <w:pPr>
                  <w:jc w:val="center"/>
                  <w:rPr>
                    <w:rFonts w:ascii="Arial" w:eastAsia="Arial" w:hAnsi="Arial" w:cs="Arial"/>
                    <w:b/>
                    <w:bCs/>
                  </w:rPr>
                </w:pPr>
                <w:r>
                  <w:rPr>
                    <w:rFonts w:ascii="Arial" w:eastAsia="Arial" w:hAnsi="Arial" w:cs="Arial"/>
                    <w:b/>
                    <w:bCs/>
                  </w:rPr>
                  <w:t>Site A</w:t>
                </w:r>
              </w:p>
            </w:tc>
            <w:tc>
              <w:tcPr>
                <w:tcW w:w="990" w:type="dxa"/>
                <w:tcBorders>
                  <w:bottom w:val="single" w:sz="4" w:space="0" w:color="000000"/>
                </w:tcBorders>
              </w:tcPr>
              <w:p w14:paraId="27AAC70C" w14:textId="77777777" w:rsidR="00AE34C3" w:rsidRDefault="00EB685E">
                <w:pPr>
                  <w:jc w:val="center"/>
                  <w:rPr>
                    <w:rFonts w:ascii="Arial" w:eastAsia="Arial" w:hAnsi="Arial" w:cs="Arial"/>
                    <w:b/>
                    <w:bCs/>
                  </w:rPr>
                </w:pPr>
                <w:r>
                  <w:rPr>
                    <w:rFonts w:ascii="Arial" w:eastAsia="Arial" w:hAnsi="Arial" w:cs="Arial"/>
                    <w:b/>
                    <w:bCs/>
                  </w:rPr>
                  <w:t>Site B</w:t>
                </w:r>
              </w:p>
            </w:tc>
            <w:tc>
              <w:tcPr>
                <w:tcW w:w="1065" w:type="dxa"/>
                <w:tcBorders>
                  <w:bottom w:val="single" w:sz="4" w:space="0" w:color="000000"/>
                  <w:right w:val="nil"/>
                </w:tcBorders>
              </w:tcPr>
              <w:p w14:paraId="5DA2F086" w14:textId="77777777" w:rsidR="00AE34C3" w:rsidRDefault="00EB685E">
                <w:pPr>
                  <w:jc w:val="center"/>
                  <w:rPr>
                    <w:rFonts w:ascii="Arial" w:eastAsia="Arial" w:hAnsi="Arial" w:cs="Arial"/>
                    <w:b/>
                    <w:bCs/>
                  </w:rPr>
                </w:pPr>
                <w:r>
                  <w:rPr>
                    <w:rFonts w:ascii="Arial" w:eastAsia="Arial" w:hAnsi="Arial" w:cs="Arial"/>
                    <w:b/>
                    <w:bCs/>
                  </w:rPr>
                  <w:t>Site C</w:t>
                </w:r>
              </w:p>
            </w:tc>
            <w:tc>
              <w:tcPr>
                <w:tcW w:w="1140" w:type="dxa"/>
                <w:tcBorders>
                  <w:left w:val="nil"/>
                  <w:bottom w:val="single" w:sz="4" w:space="0" w:color="FFFFFF"/>
                  <w:right w:val="nil"/>
                </w:tcBorders>
              </w:tcPr>
              <w:p w14:paraId="4EF2245D" w14:textId="77777777" w:rsidR="00AE34C3" w:rsidRDefault="00AE34C3">
                <w:pPr>
                  <w:jc w:val="both"/>
                  <w:rPr>
                    <w:rFonts w:ascii="Arial" w:eastAsia="Arial" w:hAnsi="Arial" w:cs="Arial"/>
                    <w:b/>
                    <w:bCs/>
                  </w:rPr>
                </w:pPr>
              </w:p>
            </w:tc>
            <w:tc>
              <w:tcPr>
                <w:tcW w:w="1530" w:type="dxa"/>
                <w:tcBorders>
                  <w:left w:val="nil"/>
                  <w:bottom w:val="single" w:sz="4" w:space="0" w:color="FFFFFF"/>
                  <w:right w:val="nil"/>
                </w:tcBorders>
              </w:tcPr>
              <w:p w14:paraId="3A69DBE7" w14:textId="77777777" w:rsidR="00AE34C3" w:rsidRDefault="00AE34C3">
                <w:pPr>
                  <w:jc w:val="both"/>
                  <w:rPr>
                    <w:rFonts w:ascii="Arial" w:eastAsia="Arial" w:hAnsi="Arial" w:cs="Arial"/>
                    <w:b/>
                    <w:bCs/>
                  </w:rPr>
                </w:pPr>
              </w:p>
            </w:tc>
          </w:tr>
          <w:tr w:rsidR="00AE34C3" w14:paraId="4FC30D41" w14:textId="77777777">
            <w:trPr>
              <w:trHeight w:val="630"/>
              <w:jc w:val="center"/>
            </w:trPr>
            <w:tc>
              <w:tcPr>
                <w:tcW w:w="1530" w:type="dxa"/>
                <w:tcBorders>
                  <w:top w:val="single" w:sz="4" w:space="0" w:color="FFFFFF"/>
                </w:tcBorders>
              </w:tcPr>
              <w:p w14:paraId="6D9F2C03" w14:textId="77777777" w:rsidR="00AE34C3" w:rsidRDefault="00EB685E">
                <w:pPr>
                  <w:jc w:val="both"/>
                  <w:rPr>
                    <w:rFonts w:ascii="Arial" w:eastAsia="Arial" w:hAnsi="Arial" w:cs="Arial"/>
                  </w:rPr>
                </w:pPr>
                <w:r>
                  <w:rPr>
                    <w:rFonts w:ascii="Arial" w:eastAsia="Arial" w:hAnsi="Arial" w:cs="Arial"/>
                  </w:rPr>
                  <w:t>Total Coliforms</w:t>
                </w:r>
              </w:p>
            </w:tc>
            <w:tc>
              <w:tcPr>
                <w:tcW w:w="870" w:type="dxa"/>
                <w:tcBorders>
                  <w:top w:val="single" w:sz="4" w:space="0" w:color="FFFFFF"/>
                </w:tcBorders>
              </w:tcPr>
              <w:p w14:paraId="0E685B11" w14:textId="77777777" w:rsidR="00AE34C3" w:rsidRDefault="00AE34C3">
                <w:pPr>
                  <w:jc w:val="center"/>
                  <w:rPr>
                    <w:rFonts w:ascii="Arial" w:eastAsia="Arial" w:hAnsi="Arial" w:cs="Arial"/>
                  </w:rPr>
                </w:pPr>
              </w:p>
              <w:p w14:paraId="547A44E9" w14:textId="77777777" w:rsidR="00AE34C3" w:rsidRDefault="00EB685E">
                <w:pPr>
                  <w:jc w:val="center"/>
                  <w:rPr>
                    <w:rFonts w:ascii="Arial" w:eastAsia="Arial" w:hAnsi="Arial" w:cs="Arial"/>
                  </w:rPr>
                </w:pPr>
                <w:r>
                  <w:rPr>
                    <w:rFonts w:ascii="Arial" w:eastAsia="Arial" w:hAnsi="Arial" w:cs="Arial"/>
                  </w:rPr>
                  <w:t>MPN</w:t>
                </w:r>
              </w:p>
            </w:tc>
            <w:tc>
              <w:tcPr>
                <w:tcW w:w="1095" w:type="dxa"/>
              </w:tcPr>
              <w:p w14:paraId="71B27F26" w14:textId="77777777" w:rsidR="00AE34C3" w:rsidRDefault="00AE34C3">
                <w:pPr>
                  <w:jc w:val="center"/>
                  <w:rPr>
                    <w:rFonts w:ascii="Arial" w:eastAsia="Arial" w:hAnsi="Arial" w:cs="Arial"/>
                  </w:rPr>
                </w:pPr>
              </w:p>
              <w:p w14:paraId="67C4D335" w14:textId="77777777" w:rsidR="00AE34C3" w:rsidRDefault="00EB685E">
                <w:pPr>
                  <w:jc w:val="center"/>
                  <w:rPr>
                    <w:rFonts w:ascii="Arial" w:eastAsia="Arial" w:hAnsi="Arial" w:cs="Arial"/>
                  </w:rPr>
                </w:pPr>
                <w:r>
                  <w:rPr>
                    <w:rFonts w:ascii="Arial" w:eastAsia="Arial" w:hAnsi="Arial" w:cs="Arial"/>
                  </w:rPr>
                  <w:t xml:space="preserve">6,583 </w:t>
                </w:r>
              </w:p>
            </w:tc>
            <w:tc>
              <w:tcPr>
                <w:tcW w:w="990" w:type="dxa"/>
              </w:tcPr>
              <w:p w14:paraId="04E78295" w14:textId="77777777" w:rsidR="00AE34C3" w:rsidRDefault="00AE34C3">
                <w:pPr>
                  <w:jc w:val="center"/>
                  <w:rPr>
                    <w:rFonts w:ascii="Arial" w:eastAsia="Arial" w:hAnsi="Arial" w:cs="Arial"/>
                  </w:rPr>
                </w:pPr>
              </w:p>
              <w:p w14:paraId="408937F0" w14:textId="77777777" w:rsidR="00AE34C3" w:rsidRDefault="00EB685E">
                <w:pPr>
                  <w:jc w:val="center"/>
                  <w:rPr>
                    <w:rFonts w:ascii="Arial" w:eastAsia="Arial" w:hAnsi="Arial" w:cs="Arial"/>
                  </w:rPr>
                </w:pPr>
                <w:r>
                  <w:rPr>
                    <w:rFonts w:ascii="Arial" w:eastAsia="Arial" w:hAnsi="Arial" w:cs="Arial"/>
                  </w:rPr>
                  <w:t>35,667</w:t>
                </w:r>
              </w:p>
            </w:tc>
            <w:tc>
              <w:tcPr>
                <w:tcW w:w="1065" w:type="dxa"/>
              </w:tcPr>
              <w:p w14:paraId="6B33D9A9" w14:textId="77777777" w:rsidR="00AE34C3" w:rsidRDefault="00AE34C3">
                <w:pPr>
                  <w:jc w:val="center"/>
                  <w:rPr>
                    <w:rFonts w:ascii="Arial" w:eastAsia="Arial" w:hAnsi="Arial" w:cs="Arial"/>
                  </w:rPr>
                </w:pPr>
              </w:p>
              <w:p w14:paraId="3F3222AE" w14:textId="77777777" w:rsidR="00AE34C3" w:rsidRDefault="00EB685E">
                <w:pPr>
                  <w:jc w:val="center"/>
                  <w:rPr>
                    <w:rFonts w:ascii="Arial" w:eastAsia="Arial" w:hAnsi="Arial" w:cs="Arial"/>
                  </w:rPr>
                </w:pPr>
                <w:r>
                  <w:rPr>
                    <w:rFonts w:ascii="Arial" w:eastAsia="Arial" w:hAnsi="Arial" w:cs="Arial"/>
                  </w:rPr>
                  <w:t xml:space="preserve">27,667 </w:t>
                </w:r>
              </w:p>
            </w:tc>
            <w:tc>
              <w:tcPr>
                <w:tcW w:w="1140" w:type="dxa"/>
                <w:tcBorders>
                  <w:top w:val="single" w:sz="4" w:space="0" w:color="FFFFFF"/>
                </w:tcBorders>
              </w:tcPr>
              <w:p w14:paraId="0169317A" w14:textId="77777777" w:rsidR="00AE34C3" w:rsidRDefault="00AE34C3">
                <w:pPr>
                  <w:jc w:val="both"/>
                  <w:rPr>
                    <w:rFonts w:ascii="Arial" w:eastAsia="Arial" w:hAnsi="Arial" w:cs="Arial"/>
                  </w:rPr>
                </w:pPr>
              </w:p>
              <w:p w14:paraId="3B9BB4A4" w14:textId="77777777" w:rsidR="00AE34C3" w:rsidRDefault="00552937">
                <w:pPr>
                  <w:jc w:val="center"/>
                  <w:rPr>
                    <w:rFonts w:ascii="Arial" w:eastAsia="Arial" w:hAnsi="Arial" w:cs="Arial"/>
                  </w:rPr>
                </w:pPr>
                <w:sdt>
                  <w:sdtPr>
                    <w:tag w:val="goog_rdk_7"/>
                    <w:id w:val="1375114500"/>
                  </w:sdtPr>
                  <w:sdtEndPr/>
                  <w:sdtContent>
                    <w:r w:rsidR="00EB685E">
                      <w:rPr>
                        <w:rFonts w:ascii="Arial Unicode MS" w:eastAsia="Arial Unicode MS" w:hAnsi="Arial Unicode MS" w:cs="Arial Unicode MS"/>
                      </w:rPr>
                      <w:t xml:space="preserve">≤ 200 </w:t>
                    </w:r>
                  </w:sdtContent>
                </w:sdt>
              </w:p>
            </w:tc>
            <w:tc>
              <w:tcPr>
                <w:tcW w:w="1530" w:type="dxa"/>
                <w:tcBorders>
                  <w:top w:val="single" w:sz="4" w:space="0" w:color="FFFFFF"/>
                </w:tcBorders>
              </w:tcPr>
              <w:p w14:paraId="5F6DCE92" w14:textId="77777777" w:rsidR="00AE34C3" w:rsidRDefault="00AE34C3">
                <w:pPr>
                  <w:jc w:val="center"/>
                  <w:rPr>
                    <w:rFonts w:ascii="Arial" w:eastAsia="Arial" w:hAnsi="Arial" w:cs="Arial"/>
                  </w:rPr>
                </w:pPr>
              </w:p>
              <w:p w14:paraId="129A97ED" w14:textId="77777777" w:rsidR="00AE34C3" w:rsidRDefault="00EB685E">
                <w:pPr>
                  <w:jc w:val="center"/>
                  <w:rPr>
                    <w:rFonts w:ascii="Arial" w:eastAsia="Arial" w:hAnsi="Arial" w:cs="Arial"/>
                  </w:rPr>
                </w:pPr>
                <w:r>
                  <w:rPr>
                    <w:rFonts w:ascii="Arial" w:eastAsia="Arial" w:hAnsi="Arial" w:cs="Arial"/>
                  </w:rPr>
                  <w:t>Noncompliant</w:t>
                </w:r>
              </w:p>
            </w:tc>
          </w:tr>
        </w:tbl>
      </w:sdtContent>
    </w:sdt>
    <w:p w14:paraId="08E04C43" w14:textId="77777777" w:rsidR="00AE34C3" w:rsidRDefault="00EB685E">
      <w:pPr>
        <w:tabs>
          <w:tab w:val="left" w:pos="1080"/>
        </w:tabs>
        <w:ind w:left="1080"/>
        <w:jc w:val="both"/>
        <w:rPr>
          <w:rFonts w:ascii="Arial" w:eastAsia="Arial" w:hAnsi="Arial" w:cs="Arial"/>
          <w:b/>
          <w:bCs/>
          <w:smallCaps/>
          <w:sz w:val="22"/>
          <w:szCs w:val="22"/>
        </w:rPr>
      </w:pPr>
      <w:r>
        <w:rPr>
          <w:rFonts w:ascii="Arial" w:eastAsia="Arial" w:hAnsi="Arial" w:cs="Arial"/>
          <w:i/>
          <w:iCs/>
          <w:sz w:val="18"/>
          <w:szCs w:val="18"/>
        </w:rPr>
        <w:t>*Collected under sunny conditions with n=3 replicates</w:t>
      </w:r>
    </w:p>
    <w:p w14:paraId="1FDA4B0F" w14:textId="77777777" w:rsidR="00AE34C3" w:rsidRDefault="00AE34C3">
      <w:pPr>
        <w:jc w:val="both"/>
        <w:rPr>
          <w:rFonts w:ascii="Arial" w:eastAsia="Arial" w:hAnsi="Arial" w:cs="Arial"/>
        </w:rPr>
      </w:pPr>
    </w:p>
    <w:p w14:paraId="147E3214" w14:textId="77777777" w:rsidR="00AE34C3" w:rsidRDefault="00552937">
      <w:pPr>
        <w:jc w:val="both"/>
        <w:rPr>
          <w:rFonts w:ascii="Arial" w:eastAsia="Arial" w:hAnsi="Arial" w:cs="Arial"/>
        </w:rPr>
      </w:pPr>
      <w:sdt>
        <w:sdtPr>
          <w:tag w:val="goog_rdk_9"/>
          <w:id w:val="-1762837409"/>
        </w:sdtPr>
        <w:sdtEndPr/>
        <w:sdtContent>
          <w:r w:rsidR="00EB685E">
            <w:rPr>
              <w:rFonts w:ascii="Arial Unicode MS" w:eastAsia="Arial Unicode MS" w:hAnsi="Arial Unicode MS" w:cs="Arial Unicode MS"/>
            </w:rPr>
            <w:t xml:space="preserve">The microbiological quality of the sampled water wells in </w:t>
          </w:r>
          <w:proofErr w:type="spellStart"/>
          <w:r w:rsidR="00EB685E">
            <w:rPr>
              <w:rFonts w:ascii="Arial Unicode MS" w:eastAsia="Arial Unicode MS" w:hAnsi="Arial Unicode MS" w:cs="Arial Unicode MS"/>
            </w:rPr>
            <w:t>Macabalan</w:t>
          </w:r>
          <w:proofErr w:type="spellEnd"/>
          <w:r w:rsidR="00EB685E">
            <w:rPr>
              <w:rFonts w:ascii="Arial Unicode MS" w:eastAsia="Arial Unicode MS" w:hAnsi="Arial Unicode MS" w:cs="Arial Unicode MS"/>
            </w:rPr>
            <w:t>, as presented in Table 2, indicates variation in water safety across the three sampling sites, with several wells showing signs of contamination that may affect their suitability for domestic use. The analysis of Total Coliform levels revealed differences in microbial load among the wells, likely influenced by surrounding residential activities, sanitation conditions, and environmental exposure. When compared with the Department of Environment and Natural Resources (DENR) Class B water quality standards, which set a limit of ≤200 MPN/100 mL for recreational and domestic non-drinking water, all sampled sites exceeded the acceptable threshold. Specifically, Site A recorded 6,583 MPN/100 mL, Site B 35,667 MPN/100 mL, and Site C 27,667 MPN/100 mL, indicating that the water samples fail to meet the required microbial safety standards. These elevated coliform counts suggest possible contamination from waste sources or unsanitary environmental conditions, which significantly reduces the suitability of the water for household activities such as washing and cleaning and highlights potential public health concerns (Jalil et al., 2022; Khan et al., 2020).</w:t>
          </w:r>
        </w:sdtContent>
      </w:sdt>
    </w:p>
    <w:p w14:paraId="4853E283" w14:textId="77777777" w:rsidR="00AE34C3" w:rsidRDefault="00AE34C3">
      <w:pPr>
        <w:jc w:val="both"/>
        <w:rPr>
          <w:rFonts w:ascii="Arial" w:eastAsia="Arial" w:hAnsi="Arial" w:cs="Arial"/>
        </w:rPr>
      </w:pPr>
    </w:p>
    <w:p w14:paraId="55258CBC" w14:textId="77777777" w:rsidR="00AE34C3" w:rsidRDefault="00AE34C3">
      <w:pPr>
        <w:pBdr>
          <w:top w:val="nil"/>
          <w:left w:val="nil"/>
          <w:bottom w:val="nil"/>
          <w:right w:val="nil"/>
          <w:between w:val="nil"/>
        </w:pBdr>
        <w:jc w:val="both"/>
        <w:rPr>
          <w:rFonts w:ascii="Arial" w:eastAsia="Arial" w:hAnsi="Arial" w:cs="Arial"/>
        </w:rPr>
      </w:pPr>
    </w:p>
    <w:p w14:paraId="1C94FDA3" w14:textId="77777777" w:rsidR="00AE34C3" w:rsidRDefault="00EB685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AD31AED" w14:textId="77777777" w:rsidR="00AE34C3" w:rsidRDefault="00552937">
      <w:pPr>
        <w:pBdr>
          <w:top w:val="nil"/>
          <w:left w:val="nil"/>
          <w:bottom w:val="nil"/>
          <w:right w:val="nil"/>
          <w:between w:val="nil"/>
        </w:pBdr>
        <w:jc w:val="both"/>
        <w:rPr>
          <w:rFonts w:ascii="Arial" w:eastAsia="Arial" w:hAnsi="Arial" w:cs="Arial"/>
        </w:rPr>
      </w:pPr>
      <w:sdt>
        <w:sdtPr>
          <w:tag w:val="goog_rdk_10"/>
          <w:id w:val="2039980722"/>
        </w:sdtPr>
        <w:sdtEndPr/>
        <w:sdtContent>
          <w:r w:rsidR="00EB685E">
            <w:rPr>
              <w:rFonts w:ascii="Arial Unicode MS" w:eastAsia="Arial Unicode MS" w:hAnsi="Arial Unicode MS" w:cs="Arial Unicode MS"/>
            </w:rPr>
            <w:t xml:space="preserve">This study evaluated the physicochemical and microbial properties of selected community wells in Barangay </w:t>
          </w:r>
          <w:proofErr w:type="spellStart"/>
          <w:r w:rsidR="00EB685E">
            <w:rPr>
              <w:rFonts w:ascii="Arial Unicode MS" w:eastAsia="Arial Unicode MS" w:hAnsi="Arial Unicode MS" w:cs="Arial Unicode MS"/>
            </w:rPr>
            <w:t>Macabalan</w:t>
          </w:r>
          <w:proofErr w:type="spellEnd"/>
          <w:r w:rsidR="00EB685E">
            <w:rPr>
              <w:rFonts w:ascii="Arial Unicode MS" w:eastAsia="Arial Unicode MS" w:hAnsi="Arial Unicode MS" w:cs="Arial Unicode MS"/>
            </w:rPr>
            <w:t xml:space="preserve">, Cagayan de Oro City by measuring pH, temperature, turbidity, total dissolved solids (TDS), and total coliform levels. Results showed that pH and temperature in all sampling sites were within the World Health Organization (WHO) standards, while turbidity and TDS in Site A and Site B were also within acceptable limits. However, Site C </w:t>
          </w:r>
          <w:r w:rsidR="00EB685E">
            <w:rPr>
              <w:rFonts w:ascii="Arial Unicode MS" w:eastAsia="Arial Unicode MS" w:hAnsi="Arial Unicode MS" w:cs="Arial Unicode MS"/>
            </w:rPr>
            <w:lastRenderedPageBreak/>
            <w:t>exceeded the recommended standards for turbidity and TDS. In contrast, microbial analysis revealed that total coliform levels in all three wells greatly exceeded the Department of Environment and Natural Resources (DENR) Class B standard of ≤200 MPN/100 mL, indicating significant contamination likely caused by poor sanitation or environmental exposure. These findings suggest that although most physicochemical parameters met regulatory standards, the high microbial contamination makes the well water unsafe for domestic or recreational use without proper treatment, highlighting the need for improved sanitation practices and regular water quality monitoring to protect community health.</w:t>
          </w:r>
        </w:sdtContent>
      </w:sdt>
    </w:p>
    <w:p w14:paraId="4C46F806" w14:textId="77777777" w:rsidR="00280CD6" w:rsidRDefault="00280CD6">
      <w:pPr>
        <w:keepNext/>
        <w:pBdr>
          <w:top w:val="nil"/>
          <w:left w:val="nil"/>
          <w:bottom w:val="nil"/>
          <w:right w:val="nil"/>
          <w:between w:val="nil"/>
        </w:pBdr>
        <w:jc w:val="both"/>
        <w:rPr>
          <w:rFonts w:ascii="Arial" w:eastAsia="Arial" w:hAnsi="Arial" w:cs="Arial"/>
          <w:color w:val="000000"/>
        </w:rPr>
      </w:pPr>
    </w:p>
    <w:p w14:paraId="1C6EF60F" w14:textId="77777777" w:rsidR="00AE34C3" w:rsidRDefault="00AE34C3">
      <w:pPr>
        <w:keepNext/>
        <w:pBdr>
          <w:top w:val="nil"/>
          <w:left w:val="nil"/>
          <w:bottom w:val="nil"/>
          <w:right w:val="nil"/>
          <w:between w:val="nil"/>
        </w:pBdr>
        <w:jc w:val="both"/>
        <w:rPr>
          <w:rFonts w:ascii="Arial" w:eastAsia="Arial" w:hAnsi="Arial" w:cs="Arial"/>
        </w:rPr>
      </w:pPr>
    </w:p>
    <w:p w14:paraId="67E2539F" w14:textId="77777777" w:rsidR="00AE34C3" w:rsidRDefault="00EB685E">
      <w:pPr>
        <w:keepNext/>
        <w:pBdr>
          <w:top w:val="nil"/>
          <w:left w:val="nil"/>
          <w:bottom w:val="nil"/>
          <w:right w:val="nil"/>
          <w:between w:val="nil"/>
        </w:pBdr>
        <w:jc w:val="both"/>
        <w:rPr>
          <w:rFonts w:ascii="Arial" w:eastAsia="Arial" w:hAnsi="Arial" w:cs="Arial"/>
        </w:rPr>
      </w:pPr>
      <w:r>
        <w:rPr>
          <w:rFonts w:ascii="Arial" w:eastAsia="Arial" w:hAnsi="Arial" w:cs="Arial"/>
          <w:b/>
          <w:bCs/>
          <w:smallCaps/>
          <w:color w:val="000000"/>
          <w:sz w:val="22"/>
          <w:szCs w:val="22"/>
        </w:rPr>
        <w:t>References</w:t>
      </w:r>
    </w:p>
    <w:p w14:paraId="70AEE11C" w14:textId="77777777" w:rsidR="00AE34C3" w:rsidRDefault="00EB685E">
      <w:pPr>
        <w:spacing w:before="240" w:after="240"/>
        <w:jc w:val="both"/>
        <w:rPr>
          <w:rFonts w:ascii="Arial" w:eastAsia="Arial" w:hAnsi="Arial" w:cs="Arial"/>
        </w:rPr>
      </w:pPr>
      <w:proofErr w:type="spellStart"/>
      <w:r>
        <w:rPr>
          <w:rFonts w:ascii="Arial" w:eastAsia="Arial" w:hAnsi="Arial" w:cs="Arial"/>
        </w:rPr>
        <w:t>Adjovu</w:t>
      </w:r>
      <w:proofErr w:type="spellEnd"/>
      <w:r>
        <w:rPr>
          <w:rFonts w:ascii="Arial" w:eastAsia="Arial" w:hAnsi="Arial" w:cs="Arial"/>
        </w:rPr>
        <w:t>, G. E., Stephen, H., James, D., &amp; Ahmad, S. (2023). Measurement of Total Dissolved Solids and Total Suspended Solids in Water Systems: A Review of the Issues, Conventional, and Remote Sensing Techniques. Remote Sensing, 15(14), 3534.</w:t>
      </w:r>
      <w:hyperlink r:id="rId35">
        <w:r w:rsidR="00AE34C3">
          <w:rPr>
            <w:rFonts w:ascii="Arial" w:eastAsia="Arial" w:hAnsi="Arial" w:cs="Arial"/>
          </w:rPr>
          <w:t xml:space="preserve"> </w:t>
        </w:r>
      </w:hyperlink>
      <w:hyperlink r:id="rId36">
        <w:r w:rsidR="00AE34C3">
          <w:rPr>
            <w:rFonts w:ascii="Arial" w:eastAsia="Arial" w:hAnsi="Arial" w:cs="Arial"/>
          </w:rPr>
          <w:t>https://doi.org/10.3390/rs15143534</w:t>
        </w:r>
      </w:hyperlink>
    </w:p>
    <w:p w14:paraId="7FFEF404" w14:textId="77777777" w:rsidR="00AE34C3" w:rsidRDefault="00EB685E">
      <w:pPr>
        <w:spacing w:before="240" w:after="240"/>
        <w:jc w:val="both"/>
        <w:rPr>
          <w:rFonts w:ascii="Arial" w:eastAsia="Arial" w:hAnsi="Arial" w:cs="Arial"/>
        </w:rPr>
      </w:pPr>
      <w:proofErr w:type="spellStart"/>
      <w:r>
        <w:rPr>
          <w:rFonts w:ascii="Arial" w:eastAsia="Arial" w:hAnsi="Arial" w:cs="Arial"/>
        </w:rPr>
        <w:t>Aparece</w:t>
      </w:r>
      <w:proofErr w:type="spellEnd"/>
      <w:r>
        <w:rPr>
          <w:rFonts w:ascii="Arial" w:eastAsia="Arial" w:hAnsi="Arial" w:cs="Arial"/>
        </w:rPr>
        <w:t>, T. A. N., Bela-</w:t>
      </w:r>
      <w:proofErr w:type="spellStart"/>
      <w:r>
        <w:rPr>
          <w:rFonts w:ascii="Arial" w:eastAsia="Arial" w:hAnsi="Arial" w:cs="Arial"/>
        </w:rPr>
        <w:t>ong</w:t>
      </w:r>
      <w:proofErr w:type="spellEnd"/>
      <w:r>
        <w:rPr>
          <w:rFonts w:ascii="Arial" w:eastAsia="Arial" w:hAnsi="Arial" w:cs="Arial"/>
        </w:rPr>
        <w:t xml:space="preserve">, J. C., Lago, J. M. V., </w:t>
      </w:r>
      <w:proofErr w:type="spellStart"/>
      <w:r>
        <w:rPr>
          <w:rFonts w:ascii="Arial" w:eastAsia="Arial" w:hAnsi="Arial" w:cs="Arial"/>
        </w:rPr>
        <w:t>Montecillo</w:t>
      </w:r>
      <w:proofErr w:type="spellEnd"/>
      <w:r>
        <w:rPr>
          <w:rFonts w:ascii="Arial" w:eastAsia="Arial" w:hAnsi="Arial" w:cs="Arial"/>
        </w:rPr>
        <w:t xml:space="preserve">, J. M. V., </w:t>
      </w:r>
      <w:proofErr w:type="spellStart"/>
      <w:r>
        <w:rPr>
          <w:rFonts w:ascii="Arial" w:eastAsia="Arial" w:hAnsi="Arial" w:cs="Arial"/>
        </w:rPr>
        <w:t>Motol</w:t>
      </w:r>
      <w:proofErr w:type="spellEnd"/>
      <w:r>
        <w:rPr>
          <w:rFonts w:ascii="Arial" w:eastAsia="Arial" w:hAnsi="Arial" w:cs="Arial"/>
        </w:rPr>
        <w:t xml:space="preserve">, L. C. R., Porras, M. E., </w:t>
      </w:r>
      <w:proofErr w:type="spellStart"/>
      <w:r>
        <w:rPr>
          <w:rFonts w:ascii="Arial" w:eastAsia="Arial" w:hAnsi="Arial" w:cs="Arial"/>
        </w:rPr>
        <w:t>Sanglitan</w:t>
      </w:r>
      <w:proofErr w:type="spellEnd"/>
      <w:r>
        <w:rPr>
          <w:rFonts w:ascii="Arial" w:eastAsia="Arial" w:hAnsi="Arial" w:cs="Arial"/>
        </w:rPr>
        <w:t xml:space="preserve">, A. M. B., &amp; </w:t>
      </w:r>
      <w:proofErr w:type="spellStart"/>
      <w:r>
        <w:rPr>
          <w:rFonts w:ascii="Arial" w:eastAsia="Arial" w:hAnsi="Arial" w:cs="Arial"/>
        </w:rPr>
        <w:t>Talag</w:t>
      </w:r>
      <w:proofErr w:type="spellEnd"/>
      <w:r>
        <w:rPr>
          <w:rFonts w:ascii="Arial" w:eastAsia="Arial" w:hAnsi="Arial" w:cs="Arial"/>
        </w:rPr>
        <w:t xml:space="preserve">, C. E. B. (2019). Water Quality Assessment on the Spring of Barangay </w:t>
      </w:r>
      <w:proofErr w:type="spellStart"/>
      <w:r>
        <w:rPr>
          <w:rFonts w:ascii="Arial" w:eastAsia="Arial" w:hAnsi="Arial" w:cs="Arial"/>
        </w:rPr>
        <w:t>Agusan</w:t>
      </w:r>
      <w:proofErr w:type="spellEnd"/>
      <w:r>
        <w:rPr>
          <w:rFonts w:ascii="Arial" w:eastAsia="Arial" w:hAnsi="Arial" w:cs="Arial"/>
        </w:rPr>
        <w:t xml:space="preserve">, Cagayan de Oro. https://l1nq.com/wB8xi </w:t>
      </w:r>
    </w:p>
    <w:p w14:paraId="72E43F9A" w14:textId="77777777" w:rsidR="00AE34C3" w:rsidRDefault="00EB685E">
      <w:pPr>
        <w:spacing w:before="240" w:after="240"/>
        <w:jc w:val="both"/>
        <w:rPr>
          <w:rFonts w:ascii="Arial" w:eastAsia="Arial" w:hAnsi="Arial" w:cs="Arial"/>
        </w:rPr>
      </w:pPr>
      <w:proofErr w:type="spellStart"/>
      <w:r>
        <w:rPr>
          <w:rFonts w:ascii="Arial" w:eastAsia="Arial" w:hAnsi="Arial" w:cs="Arial"/>
        </w:rPr>
        <w:t>Bansilay</w:t>
      </w:r>
      <w:proofErr w:type="spellEnd"/>
      <w:r>
        <w:rPr>
          <w:rFonts w:ascii="Arial" w:eastAsia="Arial" w:hAnsi="Arial" w:cs="Arial"/>
        </w:rPr>
        <w:t xml:space="preserve">, J., </w:t>
      </w:r>
      <w:proofErr w:type="spellStart"/>
      <w:r>
        <w:rPr>
          <w:rFonts w:ascii="Arial" w:eastAsia="Arial" w:hAnsi="Arial" w:cs="Arial"/>
        </w:rPr>
        <w:t>Felisilda</w:t>
      </w:r>
      <w:proofErr w:type="spellEnd"/>
      <w:r>
        <w:rPr>
          <w:rFonts w:ascii="Arial" w:eastAsia="Arial" w:hAnsi="Arial" w:cs="Arial"/>
        </w:rPr>
        <w:t xml:space="preserve">, J. M., Ibrahim, M., </w:t>
      </w:r>
      <w:proofErr w:type="spellStart"/>
      <w:r>
        <w:rPr>
          <w:rFonts w:ascii="Arial" w:eastAsia="Arial" w:hAnsi="Arial" w:cs="Arial"/>
        </w:rPr>
        <w:t>Maraviles</w:t>
      </w:r>
      <w:proofErr w:type="spellEnd"/>
      <w:r>
        <w:rPr>
          <w:rFonts w:ascii="Arial" w:eastAsia="Arial" w:hAnsi="Arial" w:cs="Arial"/>
        </w:rPr>
        <w:t xml:space="preserve">, K. J., Villanueva, R. L., &amp; </w:t>
      </w:r>
      <w:proofErr w:type="spellStart"/>
      <w:r>
        <w:rPr>
          <w:rFonts w:ascii="Arial" w:eastAsia="Arial" w:hAnsi="Arial" w:cs="Arial"/>
        </w:rPr>
        <w:t>Galarpe</w:t>
      </w:r>
      <w:proofErr w:type="spellEnd"/>
      <w:r>
        <w:rPr>
          <w:rFonts w:ascii="Arial" w:eastAsia="Arial" w:hAnsi="Arial" w:cs="Arial"/>
        </w:rPr>
        <w:t xml:space="preserve">, V. R. K. R. (2017). Environmental Risk Assessment of </w:t>
      </w:r>
      <w:proofErr w:type="spellStart"/>
      <w:r>
        <w:rPr>
          <w:rFonts w:ascii="Arial" w:eastAsia="Arial" w:hAnsi="Arial" w:cs="Arial"/>
        </w:rPr>
        <w:t>Macabalan</w:t>
      </w:r>
      <w:proofErr w:type="spellEnd"/>
      <w:r>
        <w:rPr>
          <w:rFonts w:ascii="Arial" w:eastAsia="Arial" w:hAnsi="Arial" w:cs="Arial"/>
        </w:rPr>
        <w:t xml:space="preserve"> Creek Water in Cagayan de Oro, Philippines.</w:t>
      </w:r>
      <w:hyperlink r:id="rId37">
        <w:r w:rsidR="00AE34C3">
          <w:rPr>
            <w:rFonts w:ascii="Arial" w:eastAsia="Arial" w:hAnsi="Arial" w:cs="Arial"/>
          </w:rPr>
          <w:t xml:space="preserve"> </w:t>
        </w:r>
      </w:hyperlink>
      <w:hyperlink r:id="rId38">
        <w:r w:rsidR="00AE34C3">
          <w:rPr>
            <w:rFonts w:ascii="Arial" w:eastAsia="Arial" w:hAnsi="Arial" w:cs="Arial"/>
          </w:rPr>
          <w:t>https://encr.pw/Q42qs</w:t>
        </w:r>
      </w:hyperlink>
    </w:p>
    <w:p w14:paraId="3968E46B" w14:textId="77777777" w:rsidR="00AE34C3" w:rsidRDefault="00EB685E">
      <w:pPr>
        <w:spacing w:before="240" w:after="240"/>
        <w:jc w:val="both"/>
        <w:rPr>
          <w:rFonts w:ascii="Arial" w:eastAsia="Arial" w:hAnsi="Arial" w:cs="Arial"/>
        </w:rPr>
      </w:pPr>
      <w:proofErr w:type="spellStart"/>
      <w:r>
        <w:rPr>
          <w:rFonts w:ascii="Arial" w:eastAsia="Arial" w:hAnsi="Arial" w:cs="Arial"/>
        </w:rPr>
        <w:t>Caneos</w:t>
      </w:r>
      <w:proofErr w:type="spellEnd"/>
      <w:r>
        <w:rPr>
          <w:rFonts w:ascii="Arial" w:eastAsia="Arial" w:hAnsi="Arial" w:cs="Arial"/>
        </w:rPr>
        <w:t xml:space="preserve">, W. G., </w:t>
      </w:r>
      <w:proofErr w:type="spellStart"/>
      <w:r>
        <w:rPr>
          <w:rFonts w:ascii="Arial" w:eastAsia="Arial" w:hAnsi="Arial" w:cs="Arial"/>
        </w:rPr>
        <w:t>Macapando</w:t>
      </w:r>
      <w:proofErr w:type="spellEnd"/>
      <w:r>
        <w:rPr>
          <w:rFonts w:ascii="Arial" w:eastAsia="Arial" w:hAnsi="Arial" w:cs="Arial"/>
        </w:rPr>
        <w:t xml:space="preserve">, S., </w:t>
      </w:r>
      <w:proofErr w:type="spellStart"/>
      <w:r>
        <w:rPr>
          <w:rFonts w:ascii="Arial" w:eastAsia="Arial" w:hAnsi="Arial" w:cs="Arial"/>
        </w:rPr>
        <w:t>Clavano</w:t>
      </w:r>
      <w:proofErr w:type="spellEnd"/>
      <w:r>
        <w:rPr>
          <w:rFonts w:ascii="Arial" w:eastAsia="Arial" w:hAnsi="Arial" w:cs="Arial"/>
        </w:rPr>
        <w:t xml:space="preserve">, C. J., &amp; </w:t>
      </w:r>
      <w:proofErr w:type="spellStart"/>
      <w:r>
        <w:rPr>
          <w:rFonts w:ascii="Arial" w:eastAsia="Arial" w:hAnsi="Arial" w:cs="Arial"/>
        </w:rPr>
        <w:t>Abragan</w:t>
      </w:r>
      <w:proofErr w:type="spellEnd"/>
      <w:r>
        <w:rPr>
          <w:rFonts w:ascii="Arial" w:eastAsia="Arial" w:hAnsi="Arial" w:cs="Arial"/>
        </w:rPr>
        <w:t xml:space="preserve">, D. F. (2024, February). Assessment of </w:t>
      </w:r>
      <w:proofErr w:type="spellStart"/>
      <w:r>
        <w:rPr>
          <w:rFonts w:ascii="Arial" w:eastAsia="Arial" w:hAnsi="Arial" w:cs="Arial"/>
        </w:rPr>
        <w:t>physico</w:t>
      </w:r>
      <w:proofErr w:type="spellEnd"/>
      <w:r>
        <w:rPr>
          <w:rFonts w:ascii="Arial" w:eastAsia="Arial" w:hAnsi="Arial" w:cs="Arial"/>
        </w:rPr>
        <w:t xml:space="preserve">-chemical and microbiological characteristics of water from Lake </w:t>
      </w:r>
      <w:proofErr w:type="spellStart"/>
      <w:r>
        <w:rPr>
          <w:rFonts w:ascii="Arial" w:eastAsia="Arial" w:hAnsi="Arial" w:cs="Arial"/>
        </w:rPr>
        <w:t>Dapao</w:t>
      </w:r>
      <w:proofErr w:type="spellEnd"/>
      <w:r>
        <w:rPr>
          <w:rFonts w:ascii="Arial" w:eastAsia="Arial" w:hAnsi="Arial" w:cs="Arial"/>
        </w:rPr>
        <w:t xml:space="preserve">, Lanao del Sur, Philippines [Preprint]. Research </w:t>
      </w:r>
      <w:proofErr w:type="gramStart"/>
      <w:r>
        <w:rPr>
          <w:rFonts w:ascii="Arial" w:eastAsia="Arial" w:hAnsi="Arial" w:cs="Arial"/>
        </w:rPr>
        <w:t>Square .</w:t>
      </w:r>
      <w:proofErr w:type="gramEnd"/>
      <w:r>
        <w:rPr>
          <w:rFonts w:ascii="Arial" w:eastAsia="Arial" w:hAnsi="Arial" w:cs="Arial"/>
        </w:rPr>
        <w:t>https://doi.org/10.21203/rs.3.rs-3994511/v1</w:t>
      </w:r>
    </w:p>
    <w:p w14:paraId="080F9EE3" w14:textId="77777777" w:rsidR="00AE34C3" w:rsidRDefault="00EB685E">
      <w:pPr>
        <w:spacing w:before="240" w:after="240"/>
        <w:jc w:val="both"/>
        <w:rPr>
          <w:rFonts w:ascii="Arial" w:eastAsia="Arial" w:hAnsi="Arial" w:cs="Arial"/>
        </w:rPr>
      </w:pPr>
      <w:proofErr w:type="spellStart"/>
      <w:r>
        <w:rPr>
          <w:rFonts w:ascii="Arial" w:eastAsia="Arial" w:hAnsi="Arial" w:cs="Arial"/>
        </w:rPr>
        <w:t>Cimene</w:t>
      </w:r>
      <w:proofErr w:type="spellEnd"/>
      <w:r>
        <w:rPr>
          <w:rFonts w:ascii="Arial" w:eastAsia="Arial" w:hAnsi="Arial" w:cs="Arial"/>
        </w:rPr>
        <w:t xml:space="preserve">, F.T., </w:t>
      </w:r>
      <w:proofErr w:type="spellStart"/>
      <w:r>
        <w:rPr>
          <w:rFonts w:ascii="Arial" w:eastAsia="Arial" w:hAnsi="Arial" w:cs="Arial"/>
        </w:rPr>
        <w:t>Cimene</w:t>
      </w:r>
      <w:proofErr w:type="spellEnd"/>
      <w:r>
        <w:rPr>
          <w:rFonts w:ascii="Arial" w:eastAsia="Arial" w:hAnsi="Arial" w:cs="Arial"/>
        </w:rPr>
        <w:t xml:space="preserve"> A., </w:t>
      </w:r>
      <w:proofErr w:type="spellStart"/>
      <w:r>
        <w:rPr>
          <w:rFonts w:ascii="Arial" w:eastAsia="Arial" w:hAnsi="Arial" w:cs="Arial"/>
        </w:rPr>
        <w:t>Eupena</w:t>
      </w:r>
      <w:proofErr w:type="spellEnd"/>
      <w:r>
        <w:rPr>
          <w:rFonts w:ascii="Arial" w:eastAsia="Arial" w:hAnsi="Arial" w:cs="Arial"/>
        </w:rPr>
        <w:t xml:space="preserve">, R.G., </w:t>
      </w:r>
      <w:proofErr w:type="spellStart"/>
      <w:r>
        <w:rPr>
          <w:rFonts w:ascii="Arial" w:eastAsia="Arial" w:hAnsi="Arial" w:cs="Arial"/>
        </w:rPr>
        <w:t>Elayan</w:t>
      </w:r>
      <w:proofErr w:type="spellEnd"/>
      <w:r>
        <w:rPr>
          <w:rFonts w:ascii="Arial" w:eastAsia="Arial" w:hAnsi="Arial" w:cs="Arial"/>
        </w:rPr>
        <w:t xml:space="preserve">, J. M., Mae, H. </w:t>
      </w:r>
      <w:proofErr w:type="spellStart"/>
      <w:r>
        <w:rPr>
          <w:rFonts w:ascii="Arial" w:eastAsia="Arial" w:hAnsi="Arial" w:cs="Arial"/>
        </w:rPr>
        <w:t>Napitan</w:t>
      </w:r>
      <w:proofErr w:type="spellEnd"/>
      <w:r>
        <w:rPr>
          <w:rFonts w:ascii="Arial" w:eastAsia="Arial" w:hAnsi="Arial" w:cs="Arial"/>
        </w:rPr>
        <w:t xml:space="preserve">, C. B., </w:t>
      </w:r>
      <w:proofErr w:type="spellStart"/>
      <w:r>
        <w:rPr>
          <w:rFonts w:ascii="Arial" w:eastAsia="Arial" w:hAnsi="Arial" w:cs="Arial"/>
        </w:rPr>
        <w:t>Nacaya</w:t>
      </w:r>
      <w:proofErr w:type="spellEnd"/>
      <w:r>
        <w:rPr>
          <w:rFonts w:ascii="Arial" w:eastAsia="Arial" w:hAnsi="Arial" w:cs="Arial"/>
        </w:rPr>
        <w:t xml:space="preserve">, I. M. Q., &amp; </w:t>
      </w:r>
      <w:proofErr w:type="spellStart"/>
      <w:r>
        <w:rPr>
          <w:rFonts w:ascii="Arial" w:eastAsia="Arial" w:hAnsi="Arial" w:cs="Arial"/>
        </w:rPr>
        <w:t>Nacaya</w:t>
      </w:r>
      <w:proofErr w:type="spellEnd"/>
      <w:r>
        <w:rPr>
          <w:rFonts w:ascii="Arial" w:eastAsia="Arial" w:hAnsi="Arial" w:cs="Arial"/>
        </w:rPr>
        <w:t>, Q. (2022). Analysis on Water Sufficiency and Its Policy Implications: The Case of Cagayan de Oro City.</w:t>
      </w:r>
      <w:hyperlink r:id="rId39">
        <w:r w:rsidR="00AE34C3">
          <w:rPr>
            <w:rFonts w:ascii="Arial" w:eastAsia="Arial" w:hAnsi="Arial" w:cs="Arial"/>
          </w:rPr>
          <w:t xml:space="preserve"> </w:t>
        </w:r>
      </w:hyperlink>
      <w:hyperlink r:id="rId40">
        <w:r w:rsidR="00AE34C3">
          <w:rPr>
            <w:rFonts w:ascii="Arial" w:eastAsia="Arial" w:hAnsi="Arial" w:cs="Arial"/>
          </w:rPr>
          <w:t>https://l1nq.com/IYlKW</w:t>
        </w:r>
      </w:hyperlink>
    </w:p>
    <w:p w14:paraId="5A4F1EEA" w14:textId="77777777" w:rsidR="00AE34C3" w:rsidRDefault="00EB685E">
      <w:pPr>
        <w:spacing w:before="240" w:after="240"/>
        <w:jc w:val="both"/>
        <w:rPr>
          <w:rFonts w:ascii="Arial" w:eastAsia="Arial" w:hAnsi="Arial" w:cs="Arial"/>
        </w:rPr>
      </w:pPr>
      <w:r>
        <w:rPr>
          <w:rFonts w:ascii="Arial" w:eastAsia="Arial" w:hAnsi="Arial" w:cs="Arial"/>
        </w:rPr>
        <w:t xml:space="preserve">DENR Administrative Order No. 2016‑08. (2016). Water Quality Guidelines and General </w:t>
      </w:r>
      <w:bookmarkStart w:id="0" w:name="_GoBack"/>
      <w:r>
        <w:rPr>
          <w:rFonts w:ascii="Arial" w:eastAsia="Arial" w:hAnsi="Arial" w:cs="Arial"/>
        </w:rPr>
        <w:t xml:space="preserve">Effluent Standards of 2016. Department of Environment and Natural Resources (DENR). </w:t>
      </w:r>
      <w:bookmarkEnd w:id="0"/>
      <w:r w:rsidR="00552937">
        <w:fldChar w:fldCharType="begin"/>
      </w:r>
      <w:r w:rsidR="00552937">
        <w:instrText xml:space="preserve"> HYPERLINK "https://www.scribd.com/document/740872491/DAO%E2%80%912016%E2%80%9108%E2%80%91WATER%E2%80%91QUALITY%E2%80%91GUIDELINES%E2%80%91AND%E2%80%91GENERAL%E2%80%91EFFLUENT%E2%80%91S</w:instrText>
      </w:r>
      <w:r w:rsidR="00552937">
        <w:instrText xml:space="preserve">TANDARDS" \h </w:instrText>
      </w:r>
      <w:r w:rsidR="00552937">
        <w:fldChar w:fldCharType="separate"/>
      </w:r>
      <w:r w:rsidR="00AE34C3">
        <w:rPr>
          <w:rFonts w:ascii="Arial" w:eastAsia="Arial" w:hAnsi="Arial" w:cs="Arial"/>
        </w:rPr>
        <w:t>https://www.scribd.com/document/740872491/DAO‑2016‑08‑WATER‑QUALITY‑GUIDELINES‑AND‑GENERAL‑EFFLUENT‑STANDARDS</w:t>
      </w:r>
      <w:r w:rsidR="00552937">
        <w:rPr>
          <w:rFonts w:ascii="Arial" w:eastAsia="Arial" w:hAnsi="Arial" w:cs="Arial"/>
        </w:rPr>
        <w:fldChar w:fldCharType="end"/>
      </w:r>
    </w:p>
    <w:p w14:paraId="2861D68B" w14:textId="77777777" w:rsidR="00AE34C3" w:rsidRDefault="00EB685E">
      <w:pPr>
        <w:spacing w:before="240" w:after="240"/>
        <w:jc w:val="both"/>
        <w:rPr>
          <w:rFonts w:ascii="Arial" w:eastAsia="Arial" w:hAnsi="Arial" w:cs="Arial"/>
        </w:rPr>
      </w:pPr>
      <w:r>
        <w:rPr>
          <w:rFonts w:ascii="Arial" w:eastAsia="Arial" w:hAnsi="Arial" w:cs="Arial"/>
        </w:rPr>
        <w:t xml:space="preserve">El‑Fadel, M. (2017). Deterioration of groundwater in Beirut: Seawater intrusion. </w:t>
      </w:r>
      <w:r>
        <w:rPr>
          <w:rFonts w:ascii="Arial" w:eastAsia="Arial" w:hAnsi="Arial" w:cs="Arial"/>
          <w:i/>
          <w:iCs/>
        </w:rPr>
        <w:t>Journal of Water Resource and Protection, 9</w:t>
      </w:r>
      <w:r>
        <w:rPr>
          <w:rFonts w:ascii="Arial" w:eastAsia="Arial" w:hAnsi="Arial" w:cs="Arial"/>
        </w:rPr>
        <w:t>(11), 1321–1340.</w:t>
      </w:r>
    </w:p>
    <w:p w14:paraId="4C705CAD" w14:textId="77777777" w:rsidR="00AE34C3" w:rsidRDefault="00EB685E">
      <w:pPr>
        <w:spacing w:before="240" w:after="240"/>
        <w:jc w:val="both"/>
        <w:rPr>
          <w:rFonts w:ascii="Arial" w:eastAsia="Arial" w:hAnsi="Arial" w:cs="Arial"/>
        </w:rPr>
      </w:pPr>
      <w:proofErr w:type="spellStart"/>
      <w:r>
        <w:rPr>
          <w:rFonts w:ascii="Arial" w:eastAsia="Arial" w:hAnsi="Arial" w:cs="Arial"/>
        </w:rPr>
        <w:t>Hidayana</w:t>
      </w:r>
      <w:proofErr w:type="spellEnd"/>
      <w:r>
        <w:rPr>
          <w:rFonts w:ascii="Arial" w:eastAsia="Arial" w:hAnsi="Arial" w:cs="Arial"/>
        </w:rPr>
        <w:t xml:space="preserve">, E., </w:t>
      </w:r>
      <w:proofErr w:type="spellStart"/>
      <w:r>
        <w:rPr>
          <w:rFonts w:ascii="Arial" w:eastAsia="Arial" w:hAnsi="Arial" w:cs="Arial"/>
        </w:rPr>
        <w:t>Setiawan</w:t>
      </w:r>
      <w:proofErr w:type="spellEnd"/>
      <w:r>
        <w:rPr>
          <w:rFonts w:ascii="Arial" w:eastAsia="Arial" w:hAnsi="Arial" w:cs="Arial"/>
        </w:rPr>
        <w:t xml:space="preserve">, E., &amp; </w:t>
      </w:r>
      <w:proofErr w:type="spellStart"/>
      <w:r>
        <w:rPr>
          <w:rFonts w:ascii="Arial" w:eastAsia="Arial" w:hAnsi="Arial" w:cs="Arial"/>
        </w:rPr>
        <w:t>Juniani</w:t>
      </w:r>
      <w:proofErr w:type="spellEnd"/>
      <w:r>
        <w:rPr>
          <w:rFonts w:ascii="Arial" w:eastAsia="Arial" w:hAnsi="Arial" w:cs="Arial"/>
        </w:rPr>
        <w:t>, A. I. (2024). Classification of water quality based on dissolved solids and turbidity parameters with the utilization of total dissolved solids sensor and turbidity sensor. Journal of Soft Computing Exploration, 5(3), 231–239.</w:t>
      </w:r>
      <w:hyperlink r:id="rId41">
        <w:r w:rsidR="00AE34C3">
          <w:rPr>
            <w:rFonts w:ascii="Arial" w:eastAsia="Arial" w:hAnsi="Arial" w:cs="Arial"/>
          </w:rPr>
          <w:t>https://www.researchgate.net/publication/382902117_Classification_of_water_quality_based_on_dissolved_solids_and_turbidity_parameters_with_the_utilization_of_total_dissolved_solids_sensor_and_turbidity_sensor</w:t>
        </w:r>
      </w:hyperlink>
    </w:p>
    <w:p w14:paraId="0DA02BF2" w14:textId="77777777" w:rsidR="00AE34C3" w:rsidRDefault="00EB685E">
      <w:pPr>
        <w:spacing w:before="240" w:after="240"/>
        <w:jc w:val="both"/>
        <w:rPr>
          <w:rFonts w:ascii="Arial" w:eastAsia="Arial" w:hAnsi="Arial" w:cs="Arial"/>
        </w:rPr>
      </w:pPr>
      <w:r>
        <w:rPr>
          <w:rFonts w:ascii="Arial" w:eastAsia="Arial" w:hAnsi="Arial" w:cs="Arial"/>
        </w:rPr>
        <w:lastRenderedPageBreak/>
        <w:t xml:space="preserve">Jalil, A. A., </w:t>
      </w:r>
      <w:proofErr w:type="spellStart"/>
      <w:r>
        <w:rPr>
          <w:rFonts w:ascii="Arial" w:eastAsia="Arial" w:hAnsi="Arial" w:cs="Arial"/>
        </w:rPr>
        <w:t>Luyun</w:t>
      </w:r>
      <w:proofErr w:type="spellEnd"/>
      <w:r>
        <w:rPr>
          <w:rFonts w:ascii="Arial" w:eastAsia="Arial" w:hAnsi="Arial" w:cs="Arial"/>
        </w:rPr>
        <w:t xml:space="preserve">, R. A. Jr., Delos Reyes, A. A. Jr., &amp; </w:t>
      </w:r>
      <w:proofErr w:type="spellStart"/>
      <w:r>
        <w:rPr>
          <w:rFonts w:ascii="Arial" w:eastAsia="Arial" w:hAnsi="Arial" w:cs="Arial"/>
        </w:rPr>
        <w:t>Bato</w:t>
      </w:r>
      <w:proofErr w:type="spellEnd"/>
      <w:r>
        <w:rPr>
          <w:rFonts w:ascii="Arial" w:eastAsia="Arial" w:hAnsi="Arial" w:cs="Arial"/>
        </w:rPr>
        <w:t xml:space="preserve">, V. A. (2022). Evaluation of groundwater quality for domestic purposes of </w:t>
      </w:r>
      <w:proofErr w:type="spellStart"/>
      <w:r>
        <w:rPr>
          <w:rFonts w:ascii="Arial" w:eastAsia="Arial" w:hAnsi="Arial" w:cs="Arial"/>
        </w:rPr>
        <w:t>Malamawi</w:t>
      </w:r>
      <w:proofErr w:type="spellEnd"/>
      <w:r>
        <w:rPr>
          <w:rFonts w:ascii="Arial" w:eastAsia="Arial" w:hAnsi="Arial" w:cs="Arial"/>
        </w:rPr>
        <w:t xml:space="preserve"> Island, Isabela City, Basilan, Philippines. International Journal of Agricultural Technology https://li04.tci-thaijo.org/index.php/IJAT/article/view/7251</w:t>
      </w:r>
    </w:p>
    <w:p w14:paraId="54C2A73F" w14:textId="77777777" w:rsidR="00AE34C3" w:rsidRDefault="00EB685E">
      <w:pPr>
        <w:spacing w:before="240" w:after="240"/>
        <w:jc w:val="both"/>
        <w:rPr>
          <w:rFonts w:ascii="Arial" w:eastAsia="Arial" w:hAnsi="Arial" w:cs="Arial"/>
        </w:rPr>
      </w:pPr>
      <w:r>
        <w:rPr>
          <w:rFonts w:ascii="Arial" w:eastAsia="Arial" w:hAnsi="Arial" w:cs="Arial"/>
        </w:rPr>
        <w:t>Kareem, H. A., Riaz, S., Sadia, H., &amp; Mehmood, R. (2022). Industrial waste: Types, sources, pollution potential, country-wise comparisons. In U. Riaz, S. Iqbal, &amp; M. Jamil (Eds.), Waste Problems and Management in Developing Countries (Chapter 6). CRC Press.</w:t>
      </w:r>
      <w:hyperlink r:id="rId42">
        <w:r w:rsidR="00AE34C3">
          <w:rPr>
            <w:rFonts w:ascii="Arial" w:eastAsia="Arial" w:hAnsi="Arial" w:cs="Arial"/>
            <w:color w:val="1155CC"/>
            <w:u w:val="single"/>
          </w:rPr>
          <w:t xml:space="preserve"> </w:t>
        </w:r>
      </w:hyperlink>
      <w:hyperlink r:id="rId43">
        <w:r w:rsidR="00AE34C3">
          <w:rPr>
            <w:rFonts w:ascii="Arial" w:eastAsia="Arial" w:hAnsi="Arial" w:cs="Arial"/>
          </w:rPr>
          <w:t>https://doi.org/10.1201/9781003283621-8</w:t>
        </w:r>
      </w:hyperlink>
    </w:p>
    <w:p w14:paraId="4A970EE7" w14:textId="77777777" w:rsidR="00AE34C3" w:rsidRDefault="00EB685E">
      <w:pPr>
        <w:spacing w:before="240" w:after="240"/>
        <w:jc w:val="both"/>
        <w:rPr>
          <w:rFonts w:ascii="Arial" w:eastAsia="Arial" w:hAnsi="Arial" w:cs="Arial"/>
        </w:rPr>
      </w:pPr>
      <w:r>
        <w:rPr>
          <w:rFonts w:ascii="Arial" w:eastAsia="Arial" w:hAnsi="Arial" w:cs="Arial"/>
        </w:rPr>
        <w:t>Khan, R., Saxena, A., &amp; Shukla, S. (2020). Assessment of groundwater quality for household and sanitation purposes using microbial indicators. Environmental Challenges, 1, 100005.https://www.sciencedirect.com/science/article/pii/S2667010020300056</w:t>
      </w:r>
    </w:p>
    <w:p w14:paraId="202386CA" w14:textId="77777777" w:rsidR="00AE34C3" w:rsidRDefault="00EB685E">
      <w:pPr>
        <w:spacing w:before="240" w:after="240"/>
        <w:jc w:val="both"/>
        <w:rPr>
          <w:rFonts w:ascii="Arial" w:eastAsia="Arial" w:hAnsi="Arial" w:cs="Arial"/>
        </w:rPr>
      </w:pPr>
      <w:proofErr w:type="spellStart"/>
      <w:r>
        <w:rPr>
          <w:rFonts w:ascii="Arial" w:eastAsia="Arial" w:hAnsi="Arial" w:cs="Arial"/>
        </w:rPr>
        <w:t>Leocadio</w:t>
      </w:r>
      <w:proofErr w:type="spellEnd"/>
      <w:r>
        <w:rPr>
          <w:rFonts w:ascii="Arial" w:eastAsia="Arial" w:hAnsi="Arial" w:cs="Arial"/>
        </w:rPr>
        <w:t xml:space="preserve">, R. K. R. Y., &amp; </w:t>
      </w:r>
      <w:proofErr w:type="spellStart"/>
      <w:r>
        <w:rPr>
          <w:rFonts w:ascii="Arial" w:eastAsia="Arial" w:hAnsi="Arial" w:cs="Arial"/>
        </w:rPr>
        <w:t>Quizon</w:t>
      </w:r>
      <w:proofErr w:type="spellEnd"/>
      <w:r>
        <w:rPr>
          <w:rFonts w:ascii="Arial" w:eastAsia="Arial" w:hAnsi="Arial" w:cs="Arial"/>
        </w:rPr>
        <w:t>, R. R. (2016) Effect of Distance from the Cagayan de Oro, Philippines, Dumpsite on the Groundwater Quality of Shallow Dug Wells.</w:t>
      </w:r>
      <w:hyperlink r:id="rId44">
        <w:r w:rsidR="00AE34C3">
          <w:rPr>
            <w:rFonts w:ascii="Arial" w:eastAsia="Arial" w:hAnsi="Arial" w:cs="Arial"/>
          </w:rPr>
          <w:t xml:space="preserve"> </w:t>
        </w:r>
      </w:hyperlink>
      <w:hyperlink r:id="rId45">
        <w:r w:rsidR="00AE34C3">
          <w:rPr>
            <w:rFonts w:ascii="Arial" w:eastAsia="Arial" w:hAnsi="Arial" w:cs="Arial"/>
          </w:rPr>
          <w:t>https://encr.pw/KWvbJ</w:t>
        </w:r>
      </w:hyperlink>
    </w:p>
    <w:p w14:paraId="0DF6C92E" w14:textId="77777777" w:rsidR="00AE34C3" w:rsidRDefault="00EB685E">
      <w:pPr>
        <w:spacing w:before="240" w:after="240"/>
        <w:jc w:val="both"/>
        <w:rPr>
          <w:rFonts w:ascii="Arial" w:eastAsia="Arial" w:hAnsi="Arial" w:cs="Arial"/>
        </w:rPr>
      </w:pPr>
      <w:proofErr w:type="spellStart"/>
      <w:r>
        <w:rPr>
          <w:rFonts w:ascii="Arial" w:eastAsia="Arial" w:hAnsi="Arial" w:cs="Arial"/>
        </w:rPr>
        <w:t>Magwilang</w:t>
      </w:r>
      <w:proofErr w:type="spellEnd"/>
      <w:r>
        <w:rPr>
          <w:rFonts w:ascii="Arial" w:eastAsia="Arial" w:hAnsi="Arial" w:cs="Arial"/>
        </w:rPr>
        <w:t xml:space="preserve">, E. B., Paredes, A. L. Y., </w:t>
      </w:r>
      <w:proofErr w:type="spellStart"/>
      <w:r>
        <w:rPr>
          <w:rFonts w:ascii="Arial" w:eastAsia="Arial" w:hAnsi="Arial" w:cs="Arial"/>
        </w:rPr>
        <w:t>Armas</w:t>
      </w:r>
      <w:proofErr w:type="spellEnd"/>
      <w:r>
        <w:rPr>
          <w:rFonts w:ascii="Arial" w:eastAsia="Arial" w:hAnsi="Arial" w:cs="Arial"/>
        </w:rPr>
        <w:t xml:space="preserve">, F. C., </w:t>
      </w:r>
      <w:proofErr w:type="spellStart"/>
      <w:r>
        <w:rPr>
          <w:rFonts w:ascii="Arial" w:eastAsia="Arial" w:hAnsi="Arial" w:cs="Arial"/>
        </w:rPr>
        <w:t>Bugnay</w:t>
      </w:r>
      <w:proofErr w:type="spellEnd"/>
      <w:r>
        <w:rPr>
          <w:rFonts w:ascii="Arial" w:eastAsia="Arial" w:hAnsi="Arial" w:cs="Arial"/>
        </w:rPr>
        <w:t xml:space="preserve">, H. G. P., &amp; </w:t>
      </w:r>
      <w:proofErr w:type="spellStart"/>
      <w:r>
        <w:rPr>
          <w:rFonts w:ascii="Arial" w:eastAsia="Arial" w:hAnsi="Arial" w:cs="Arial"/>
        </w:rPr>
        <w:t>Dagupen</w:t>
      </w:r>
      <w:proofErr w:type="spellEnd"/>
      <w:r>
        <w:rPr>
          <w:rFonts w:ascii="Arial" w:eastAsia="Arial" w:hAnsi="Arial" w:cs="Arial"/>
        </w:rPr>
        <w:t xml:space="preserve">, R. D. (2023). </w:t>
      </w:r>
      <w:proofErr w:type="spellStart"/>
      <w:r>
        <w:rPr>
          <w:rFonts w:ascii="Arial" w:eastAsia="Arial" w:hAnsi="Arial" w:cs="Arial"/>
        </w:rPr>
        <w:t>Physico</w:t>
      </w:r>
      <w:proofErr w:type="spellEnd"/>
      <w:r>
        <w:rPr>
          <w:rFonts w:ascii="Arial" w:eastAsia="Arial" w:hAnsi="Arial" w:cs="Arial"/>
        </w:rPr>
        <w:t xml:space="preserve">-chemical and microbiological assessment of domestic water supply in </w:t>
      </w:r>
      <w:proofErr w:type="spellStart"/>
      <w:r>
        <w:rPr>
          <w:rFonts w:ascii="Arial" w:eastAsia="Arial" w:hAnsi="Arial" w:cs="Arial"/>
        </w:rPr>
        <w:t>Bontoc</w:t>
      </w:r>
      <w:proofErr w:type="spellEnd"/>
      <w:r>
        <w:rPr>
          <w:rFonts w:ascii="Arial" w:eastAsia="Arial" w:hAnsi="Arial" w:cs="Arial"/>
        </w:rPr>
        <w:t xml:space="preserve">, Mountain Province, Philippines. H2Open Journal, 6(2). </w:t>
      </w:r>
      <w:hyperlink r:id="rId46">
        <w:r w:rsidR="00AE34C3">
          <w:rPr>
            <w:rFonts w:ascii="Arial" w:eastAsia="Arial" w:hAnsi="Arial" w:cs="Arial"/>
          </w:rPr>
          <w:t>https://doi.org/10.2166/h2oj.2023.019researchgate.net</w:t>
        </w:r>
      </w:hyperlink>
    </w:p>
    <w:p w14:paraId="4F909C5D" w14:textId="77777777" w:rsidR="00AE34C3" w:rsidRDefault="00EB685E">
      <w:pPr>
        <w:spacing w:before="240" w:after="240"/>
        <w:jc w:val="both"/>
        <w:rPr>
          <w:rFonts w:ascii="Arial" w:eastAsia="Arial" w:hAnsi="Arial" w:cs="Arial"/>
        </w:rPr>
      </w:pPr>
      <w:r>
        <w:rPr>
          <w:rFonts w:ascii="Arial" w:eastAsia="Arial" w:hAnsi="Arial" w:cs="Arial"/>
        </w:rPr>
        <w:t xml:space="preserve">Massachusetts Department of Environmental Protection. (2019). </w:t>
      </w:r>
      <w:r>
        <w:rPr>
          <w:rFonts w:ascii="Arial" w:eastAsia="Arial" w:hAnsi="Arial" w:cs="Arial"/>
          <w:i/>
          <w:iCs/>
        </w:rPr>
        <w:t>Recommended pH guidelines</w:t>
      </w:r>
      <w:r>
        <w:rPr>
          <w:rFonts w:ascii="Arial" w:eastAsia="Arial" w:hAnsi="Arial" w:cs="Arial"/>
        </w:rPr>
        <w:t>.</w:t>
      </w:r>
    </w:p>
    <w:p w14:paraId="79CB6D87" w14:textId="77777777" w:rsidR="00AE34C3" w:rsidRDefault="00EB685E">
      <w:pPr>
        <w:spacing w:before="240" w:after="240"/>
        <w:jc w:val="both"/>
        <w:rPr>
          <w:rFonts w:ascii="Arial" w:eastAsia="Arial" w:hAnsi="Arial" w:cs="Arial"/>
        </w:rPr>
      </w:pPr>
      <w:r>
        <w:rPr>
          <w:rFonts w:ascii="Arial" w:eastAsia="Arial" w:hAnsi="Arial" w:cs="Arial"/>
        </w:rPr>
        <w:t>Microbes in groundwater. (n.d.). Water Encyclopedia. Retrieved March 28, 2025, from</w:t>
      </w:r>
      <w:hyperlink r:id="rId47">
        <w:r w:rsidR="00AE34C3">
          <w:rPr>
            <w:rFonts w:ascii="Arial" w:eastAsia="Arial" w:hAnsi="Arial" w:cs="Arial"/>
          </w:rPr>
          <w:t xml:space="preserve"> </w:t>
        </w:r>
      </w:hyperlink>
      <w:hyperlink r:id="rId48">
        <w:r w:rsidR="00AE34C3">
          <w:rPr>
            <w:rFonts w:ascii="Arial" w:eastAsia="Arial" w:hAnsi="Arial" w:cs="Arial"/>
          </w:rPr>
          <w:t>http://www.waterencyclopedia.com/La-Mi/Microbes-in-Groundwater.html</w:t>
        </w:r>
      </w:hyperlink>
    </w:p>
    <w:p w14:paraId="0C35DAC4" w14:textId="77777777" w:rsidR="00AE34C3" w:rsidRDefault="00EB685E">
      <w:pPr>
        <w:spacing w:before="240" w:after="240"/>
        <w:jc w:val="both"/>
        <w:rPr>
          <w:rFonts w:ascii="Arial" w:eastAsia="Arial" w:hAnsi="Arial" w:cs="Arial"/>
        </w:rPr>
      </w:pPr>
      <w:r>
        <w:rPr>
          <w:rFonts w:ascii="Arial" w:eastAsia="Arial" w:hAnsi="Arial" w:cs="Arial"/>
        </w:rPr>
        <w:t>Miller, V. (2025, January 15). What is microbial contamination? CPD Online College.</w:t>
      </w:r>
      <w:hyperlink r:id="rId49">
        <w:r w:rsidR="00AE34C3">
          <w:rPr>
            <w:rFonts w:ascii="Arial" w:eastAsia="Arial" w:hAnsi="Arial" w:cs="Arial"/>
          </w:rPr>
          <w:t xml:space="preserve"> </w:t>
        </w:r>
      </w:hyperlink>
      <w:hyperlink r:id="rId50">
        <w:r w:rsidR="00AE34C3">
          <w:rPr>
            <w:rFonts w:ascii="Arial" w:eastAsia="Arial" w:hAnsi="Arial" w:cs="Arial"/>
          </w:rPr>
          <w:t>https://cpdonline.co.uk/knowledge-base/food-hygiene/microbial-contamination</w:t>
        </w:r>
      </w:hyperlink>
    </w:p>
    <w:p w14:paraId="09165B76" w14:textId="77777777" w:rsidR="00AE34C3" w:rsidRDefault="00EB685E">
      <w:pPr>
        <w:spacing w:before="240" w:after="240"/>
        <w:jc w:val="both"/>
        <w:rPr>
          <w:rFonts w:ascii="Arial" w:eastAsia="Arial" w:hAnsi="Arial" w:cs="Arial"/>
        </w:rPr>
      </w:pPr>
      <w:proofErr w:type="spellStart"/>
      <w:r>
        <w:rPr>
          <w:rFonts w:ascii="Arial" w:eastAsia="Arial" w:hAnsi="Arial" w:cs="Arial"/>
        </w:rPr>
        <w:t>Rathored</w:t>
      </w:r>
      <w:proofErr w:type="spellEnd"/>
      <w:r>
        <w:rPr>
          <w:rFonts w:ascii="Arial" w:eastAsia="Arial" w:hAnsi="Arial" w:cs="Arial"/>
        </w:rPr>
        <w:t>, J., et al. (2025). Toxic effect of heavy metal poisoning on living organisms in water and health risk: A Central India study. Toxicology and Environmental Chemistry</w:t>
      </w:r>
    </w:p>
    <w:p w14:paraId="39BF7192" w14:textId="77777777" w:rsidR="00AE34C3" w:rsidRDefault="00EB685E">
      <w:pPr>
        <w:spacing w:before="240" w:after="240"/>
        <w:jc w:val="both"/>
        <w:rPr>
          <w:rFonts w:ascii="Arial" w:eastAsia="Arial" w:hAnsi="Arial" w:cs="Arial"/>
        </w:rPr>
      </w:pPr>
      <w:r>
        <w:rPr>
          <w:rFonts w:ascii="Arial" w:eastAsia="Arial" w:hAnsi="Arial" w:cs="Arial"/>
        </w:rPr>
        <w:t xml:space="preserve">Safe Drinking Water Foundation. (2017, January 23). TDS and </w:t>
      </w:r>
      <w:proofErr w:type="spellStart"/>
      <w:r>
        <w:rPr>
          <w:rFonts w:ascii="Arial" w:eastAsia="Arial" w:hAnsi="Arial" w:cs="Arial"/>
        </w:rPr>
        <w:t>pH.</w:t>
      </w:r>
      <w:proofErr w:type="spellEnd"/>
      <w:r>
        <w:rPr>
          <w:rFonts w:ascii="Arial" w:eastAsia="Arial" w:hAnsi="Arial" w:cs="Arial"/>
        </w:rPr>
        <w:t xml:space="preserve"> </w:t>
      </w:r>
      <w:hyperlink r:id="rId51">
        <w:r w:rsidR="00AE34C3">
          <w:rPr>
            <w:rFonts w:ascii="Arial" w:eastAsia="Arial" w:hAnsi="Arial" w:cs="Arial"/>
          </w:rPr>
          <w:t>https://www.safewater.org/fact-sheets-1/2017/1/23/tds-and-ph</w:t>
        </w:r>
      </w:hyperlink>
    </w:p>
    <w:p w14:paraId="0074AE42" w14:textId="77777777" w:rsidR="00AE34C3" w:rsidRDefault="00EB685E">
      <w:pPr>
        <w:spacing w:before="240" w:after="240"/>
        <w:jc w:val="both"/>
        <w:rPr>
          <w:rFonts w:ascii="Arial" w:eastAsia="Arial" w:hAnsi="Arial" w:cs="Arial"/>
        </w:rPr>
      </w:pPr>
      <w:r>
        <w:rPr>
          <w:rFonts w:ascii="Arial" w:eastAsia="Arial" w:hAnsi="Arial" w:cs="Arial"/>
        </w:rPr>
        <w:t>World Health Organization. (2017). Water quality and health – Review of turbidity: Information for regulators and water suppliers. World Health Organization.</w:t>
      </w:r>
    </w:p>
    <w:p w14:paraId="174DC0A4" w14:textId="77777777" w:rsidR="00AE34C3" w:rsidRDefault="00EB685E">
      <w:pPr>
        <w:spacing w:before="240" w:after="240"/>
        <w:jc w:val="both"/>
        <w:rPr>
          <w:rFonts w:ascii="Arial" w:eastAsia="Arial" w:hAnsi="Arial" w:cs="Arial"/>
        </w:rPr>
      </w:pPr>
      <w:r>
        <w:rPr>
          <w:rFonts w:ascii="Arial" w:eastAsia="Arial" w:hAnsi="Arial" w:cs="Arial"/>
        </w:rPr>
        <w:t>U.S. Environmental Protection Agency. (2021). Turbidity: Drinking water parameter fact sheet. U.S. Environmental Protection Agency.</w:t>
      </w:r>
    </w:p>
    <w:p w14:paraId="1CE422EE" w14:textId="77777777" w:rsidR="00AE34C3" w:rsidRDefault="00EB685E">
      <w:pPr>
        <w:spacing w:before="240" w:after="240"/>
        <w:jc w:val="both"/>
        <w:rPr>
          <w:rFonts w:ascii="Arial" w:eastAsia="Arial" w:hAnsi="Arial" w:cs="Arial"/>
        </w:rPr>
      </w:pPr>
      <w:r>
        <w:rPr>
          <w:rFonts w:ascii="Arial" w:eastAsia="Arial" w:hAnsi="Arial" w:cs="Arial"/>
        </w:rPr>
        <w:t xml:space="preserve">van der Hoek, J. P., </w:t>
      </w:r>
      <w:proofErr w:type="spellStart"/>
      <w:r>
        <w:rPr>
          <w:rFonts w:ascii="Arial" w:eastAsia="Arial" w:hAnsi="Arial" w:cs="Arial"/>
        </w:rPr>
        <w:t>Vreeburg</w:t>
      </w:r>
      <w:proofErr w:type="spellEnd"/>
      <w:r>
        <w:rPr>
          <w:rFonts w:ascii="Arial" w:eastAsia="Arial" w:hAnsi="Arial" w:cs="Arial"/>
        </w:rPr>
        <w:t xml:space="preserve">, J. H. G., van de </w:t>
      </w:r>
      <w:proofErr w:type="spellStart"/>
      <w:r>
        <w:rPr>
          <w:rFonts w:ascii="Arial" w:eastAsia="Arial" w:hAnsi="Arial" w:cs="Arial"/>
        </w:rPr>
        <w:t>Wetering</w:t>
      </w:r>
      <w:proofErr w:type="spellEnd"/>
      <w:r>
        <w:rPr>
          <w:rFonts w:ascii="Arial" w:eastAsia="Arial" w:hAnsi="Arial" w:cs="Arial"/>
        </w:rPr>
        <w:t xml:space="preserve">, S., </w:t>
      </w:r>
      <w:proofErr w:type="spellStart"/>
      <w:r>
        <w:rPr>
          <w:rFonts w:ascii="Arial" w:eastAsia="Arial" w:hAnsi="Arial" w:cs="Arial"/>
        </w:rPr>
        <w:t>Blokker</w:t>
      </w:r>
      <w:proofErr w:type="spellEnd"/>
      <w:r>
        <w:rPr>
          <w:rFonts w:ascii="Arial" w:eastAsia="Arial" w:hAnsi="Arial" w:cs="Arial"/>
        </w:rPr>
        <w:t>, E. J. M., Boxall, J. B., &amp; Husband, P. S. (2021). Implications of climate change: How does increased water temperature influence biofilm and water quality of chlorinated drinking water distribution systems? Frontiers in Microbiology, 12, 658927.</w:t>
      </w:r>
    </w:p>
    <w:p w14:paraId="771CD126" w14:textId="77777777" w:rsidR="00AE34C3" w:rsidRDefault="00EB685E">
      <w:pPr>
        <w:spacing w:before="240" w:after="240"/>
        <w:jc w:val="both"/>
        <w:rPr>
          <w:rFonts w:ascii="Arial" w:eastAsia="Arial" w:hAnsi="Arial" w:cs="Arial"/>
        </w:rPr>
      </w:pPr>
      <w:r>
        <w:rPr>
          <w:rFonts w:ascii="Arial" w:eastAsia="Arial" w:hAnsi="Arial" w:cs="Arial"/>
        </w:rPr>
        <w:t xml:space="preserve">Virginia Tech. (n.d.). </w:t>
      </w:r>
      <w:r>
        <w:rPr>
          <w:rFonts w:ascii="Arial" w:eastAsia="Arial" w:hAnsi="Arial" w:cs="Arial"/>
          <w:i/>
          <w:iCs/>
        </w:rPr>
        <w:t>Total dissolved solids (TDS) in household water</w:t>
      </w:r>
      <w:r>
        <w:rPr>
          <w:rFonts w:ascii="Arial" w:eastAsia="Arial" w:hAnsi="Arial" w:cs="Arial"/>
        </w:rPr>
        <w:t xml:space="preserve"> (Publication BSE‑260). Biological Systems Engineering, Virginia Tech.</w:t>
      </w:r>
    </w:p>
    <w:p w14:paraId="27908858" w14:textId="77777777" w:rsidR="00AE34C3" w:rsidRDefault="00EB685E">
      <w:pPr>
        <w:spacing w:before="240" w:after="240"/>
        <w:jc w:val="both"/>
        <w:rPr>
          <w:rFonts w:ascii="Arial" w:eastAsia="Arial" w:hAnsi="Arial" w:cs="Arial"/>
        </w:rPr>
      </w:pPr>
      <w:r>
        <w:rPr>
          <w:rFonts w:ascii="Arial" w:eastAsia="Arial" w:hAnsi="Arial" w:cs="Arial"/>
        </w:rPr>
        <w:lastRenderedPageBreak/>
        <w:t xml:space="preserve">World Health Organization. (2022, March 21). Water quality and health - review of turbidity: Information retrieval and analysis. </w:t>
      </w:r>
      <w:hyperlink r:id="rId52">
        <w:r w:rsidR="00AE34C3">
          <w:rPr>
            <w:rFonts w:ascii="Arial" w:eastAsia="Arial" w:hAnsi="Arial" w:cs="Arial"/>
          </w:rPr>
          <w:t>https://www.who.int/publications/i/item/WHO-HEP-ECH-WSH-2022.1</w:t>
        </w:r>
      </w:hyperlink>
      <w:r>
        <w:rPr>
          <w:rFonts w:ascii="Arial" w:eastAsia="Arial" w:hAnsi="Arial" w:cs="Arial"/>
        </w:rPr>
        <w:t>)</w:t>
      </w:r>
    </w:p>
    <w:p w14:paraId="6ECB58A1" w14:textId="77777777" w:rsidR="00AE34C3" w:rsidRDefault="00EB685E">
      <w:pPr>
        <w:spacing w:before="240" w:after="240"/>
        <w:jc w:val="both"/>
        <w:rPr>
          <w:rFonts w:ascii="Arial" w:eastAsia="Arial" w:hAnsi="Arial" w:cs="Arial"/>
          <w:b/>
          <w:bCs/>
          <w:smallCaps/>
          <w:sz w:val="22"/>
          <w:szCs w:val="22"/>
        </w:rPr>
        <w:sectPr w:rsidR="00AE34C3">
          <w:headerReference w:type="even" r:id="rId53"/>
          <w:headerReference w:type="default" r:id="rId54"/>
          <w:footerReference w:type="default" r:id="rId55"/>
          <w:headerReference w:type="first" r:id="rId56"/>
          <w:type w:val="continuous"/>
          <w:pgSz w:w="12240" w:h="15840"/>
          <w:pgMar w:top="1440" w:right="2016" w:bottom="2016" w:left="2016" w:header="720" w:footer="1123" w:gutter="0"/>
          <w:lnNumType w:countBy="1" w:restart="continuous"/>
          <w:cols w:space="720"/>
        </w:sectPr>
      </w:pPr>
      <w:r>
        <w:rPr>
          <w:rFonts w:ascii="Arial" w:eastAsia="Arial" w:hAnsi="Arial" w:cs="Arial"/>
        </w:rPr>
        <w:t xml:space="preserve">World Health Organization. (2022). </w:t>
      </w:r>
      <w:r>
        <w:rPr>
          <w:rFonts w:ascii="Arial" w:eastAsia="Arial" w:hAnsi="Arial" w:cs="Arial"/>
          <w:i/>
          <w:iCs/>
        </w:rPr>
        <w:t>Total dissolved solids in drinking‑water: Background document for development of WHO guidelines for drinking‑water quality</w:t>
      </w:r>
      <w:r>
        <w:rPr>
          <w:rFonts w:ascii="Arial" w:eastAsia="Arial" w:hAnsi="Arial" w:cs="Arial"/>
        </w:rPr>
        <w:t>.</w:t>
      </w:r>
    </w:p>
    <w:p w14:paraId="0A140F54" w14:textId="77777777" w:rsidR="00AE34C3" w:rsidRDefault="00AE34C3">
      <w:pPr>
        <w:keepNext/>
        <w:pBdr>
          <w:top w:val="nil"/>
          <w:left w:val="nil"/>
          <w:bottom w:val="nil"/>
          <w:right w:val="nil"/>
          <w:between w:val="nil"/>
        </w:pBdr>
        <w:jc w:val="both"/>
        <w:rPr>
          <w:rFonts w:ascii="Arial" w:eastAsia="Arial" w:hAnsi="Arial" w:cs="Arial"/>
          <w:smallCaps/>
          <w:color w:val="000000"/>
          <w:sz w:val="22"/>
          <w:szCs w:val="22"/>
        </w:rPr>
      </w:pPr>
    </w:p>
    <w:sectPr w:rsidR="00AE34C3">
      <w:type w:val="continuous"/>
      <w:pgSz w:w="12240" w:h="15840"/>
      <w:pgMar w:top="720" w:right="720" w:bottom="720" w:left="72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C75CB" w14:textId="77777777" w:rsidR="00552937" w:rsidRDefault="00552937">
      <w:r>
        <w:separator/>
      </w:r>
    </w:p>
  </w:endnote>
  <w:endnote w:type="continuationSeparator" w:id="0">
    <w:p w14:paraId="5EE048A6" w14:textId="77777777" w:rsidR="00552937" w:rsidRDefault="00552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10A315C1-576E-41EB-B29A-92F4297CD06F}"/>
    <w:embedBold r:id="rId2" w:fontKey="{E1AA9F3F-C519-439D-B63B-5D585C28400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5225DBEE-5C48-4F10-B771-9C80B37E7622}"/>
  </w:font>
  <w:font w:name="Helvetica">
    <w:panose1 w:val="020B0604020202020204"/>
    <w:charset w:val="00"/>
    <w:family w:val="swiss"/>
    <w:pitch w:val="variable"/>
    <w:sig w:usb0="E0002EFF" w:usb1="C000785B" w:usb2="00000009" w:usb3="00000000" w:csb0="000001FF" w:csb1="00000000"/>
    <w:embedRegular r:id="rId4" w:fontKey="{88F05F5B-C89F-4826-BC44-E9BF64FAEAC8}"/>
  </w:font>
  <w:font w:name="Tahoma">
    <w:panose1 w:val="020B0604030504040204"/>
    <w:charset w:val="00"/>
    <w:family w:val="swiss"/>
    <w:pitch w:val="variable"/>
    <w:sig w:usb0="E1002EFF" w:usb1="C000605B" w:usb2="00000029" w:usb3="00000000" w:csb0="000101FF" w:csb1="00000000"/>
    <w:embedRegular r:id="rId5" w:fontKey="{9A80D350-7163-4A59-8291-BA3AAB131436}"/>
  </w:font>
  <w:font w:name="Georgia">
    <w:panose1 w:val="02040502050405020303"/>
    <w:charset w:val="00"/>
    <w:family w:val="roman"/>
    <w:pitch w:val="variable"/>
    <w:sig w:usb0="00000287" w:usb1="00000000" w:usb2="00000000" w:usb3="00000000" w:csb0="0000009F" w:csb1="00000000"/>
    <w:embedItalic r:id="rId6" w:fontKey="{2700080F-6DB0-4D99-9348-43BA6A641B24}"/>
  </w:font>
  <w:font w:name="Arial Unicode MS">
    <w:panose1 w:val="020B0604020202020204"/>
    <w:charset w:val="80"/>
    <w:family w:val="swiss"/>
    <w:pitch w:val="variable"/>
    <w:sig w:usb0="F7FFAFFF" w:usb1="E9DFFFFF" w:usb2="0000003F" w:usb3="00000000" w:csb0="003F01FF" w:csb1="00000000"/>
    <w:embedRegular r:id="rId7" w:subsetted="1" w:fontKey="{869A1127-C153-4A76-A96D-1EA630DE6A20}"/>
  </w:font>
  <w:font w:name="Cambria">
    <w:panose1 w:val="02040503050406030204"/>
    <w:charset w:val="00"/>
    <w:family w:val="roman"/>
    <w:pitch w:val="variable"/>
    <w:sig w:usb0="E00006FF" w:usb1="420024FF" w:usb2="02000000" w:usb3="00000000" w:csb0="0000019F" w:csb1="00000000"/>
    <w:embedRegular r:id="rId8" w:fontKey="{23E9E1B5-3561-4218-862A-1474911B59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A421" w14:textId="77777777" w:rsidR="00AE34C3" w:rsidRDefault="00AE34C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00E42" w14:textId="6F69050F" w:rsidR="00AE34C3" w:rsidRPr="00A916EC" w:rsidRDefault="00EB685E" w:rsidP="00A916EC">
    <w:pPr>
      <w:pStyle w:val="Footer"/>
    </w:pPr>
    <w:r w:rsidRPr="00A916E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D0CC" w14:textId="77777777" w:rsidR="00AE34C3" w:rsidRDefault="00AE34C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B7503F7" w14:textId="77777777" w:rsidR="00AE34C3" w:rsidRDefault="00EB685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36C07F8" w14:textId="53AD761B" w:rsidR="00AE34C3" w:rsidRDefault="00AE34C3">
    <w:pPr>
      <w:pBdr>
        <w:top w:val="nil"/>
        <w:left w:val="nil"/>
        <w:bottom w:val="nil"/>
        <w:right w:val="nil"/>
        <w:between w:val="nil"/>
      </w:pBdr>
      <w:tabs>
        <w:tab w:val="center" w:pos="4320"/>
        <w:tab w:val="right" w:pos="8640"/>
      </w:tabs>
      <w:rPr>
        <w:rFonts w:ascii="Arial" w:eastAsia="Arial" w:hAnsi="Arial" w:cs="Arial"/>
        <w:i/>
        <w:iCs/>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EC991" w14:textId="77777777" w:rsidR="00AE34C3" w:rsidRDefault="00AE34C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4584E" w14:textId="77777777" w:rsidR="00552937" w:rsidRDefault="00552937">
      <w:r>
        <w:separator/>
      </w:r>
    </w:p>
  </w:footnote>
  <w:footnote w:type="continuationSeparator" w:id="0">
    <w:p w14:paraId="6AE50E9A" w14:textId="77777777" w:rsidR="00552937" w:rsidRDefault="00552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B2300" w14:textId="51E320FC" w:rsidR="00AE34C3" w:rsidRDefault="00552937">
    <w:pPr>
      <w:pBdr>
        <w:top w:val="nil"/>
        <w:left w:val="nil"/>
        <w:bottom w:val="nil"/>
        <w:right w:val="nil"/>
        <w:between w:val="nil"/>
      </w:pBdr>
      <w:tabs>
        <w:tab w:val="center" w:pos="4320"/>
        <w:tab w:val="right" w:pos="8640"/>
      </w:tabs>
      <w:rPr>
        <w:color w:val="000000"/>
      </w:rPr>
    </w:pPr>
    <w:r>
      <w:rPr>
        <w:noProof/>
      </w:rPr>
      <w:pict w14:anchorId="4E8B5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78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C8652" w14:textId="0A243560" w:rsidR="00AE34C3" w:rsidRDefault="00552937">
    <w:pPr>
      <w:pBdr>
        <w:top w:val="nil"/>
        <w:left w:val="nil"/>
        <w:bottom w:val="nil"/>
        <w:right w:val="nil"/>
        <w:between w:val="nil"/>
      </w:pBdr>
      <w:tabs>
        <w:tab w:val="center" w:pos="4320"/>
        <w:tab w:val="right" w:pos="8640"/>
      </w:tabs>
      <w:rPr>
        <w:color w:val="000000"/>
      </w:rPr>
    </w:pPr>
    <w:r>
      <w:rPr>
        <w:noProof/>
      </w:rPr>
      <w:pict w14:anchorId="207A2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78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1313F" w14:textId="1D0F9DDA" w:rsidR="00AE34C3" w:rsidRDefault="00552937">
    <w:pPr>
      <w:ind w:left="2160"/>
      <w:jc w:val="center"/>
      <w:rPr>
        <w:rFonts w:ascii="Times New Roman" w:eastAsia="Times New Roman" w:hAnsi="Times New Roman" w:cs="Times New Roman"/>
        <w:i/>
        <w:iCs/>
        <w:sz w:val="18"/>
        <w:szCs w:val="18"/>
      </w:rPr>
    </w:pPr>
    <w:r>
      <w:rPr>
        <w:noProof/>
      </w:rPr>
      <w:pict w14:anchorId="0E3B8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78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340B3B8B" w14:textId="77777777" w:rsidR="00AE34C3" w:rsidRDefault="00EB685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DF80E6D" w14:textId="77777777" w:rsidR="00AE34C3" w:rsidRDefault="00EB685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04E37A7" w14:textId="77777777" w:rsidR="00AE34C3" w:rsidRDefault="00EB685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73B9C327" w14:textId="77777777" w:rsidR="00AE34C3" w:rsidRDefault="00EB685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880A5EE" w14:textId="77777777" w:rsidR="00AE34C3" w:rsidRDefault="00EB685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3A6A718E" w14:textId="77777777" w:rsidR="00AE34C3" w:rsidRDefault="00EB685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EDB8E" w14:textId="21B67D1A" w:rsidR="00FA5736" w:rsidRDefault="00552937">
    <w:pPr>
      <w:pStyle w:val="Header"/>
    </w:pPr>
    <w:r>
      <w:rPr>
        <w:noProof/>
      </w:rPr>
      <w:pict w14:anchorId="027D7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78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C7C09" w14:textId="23C1B129" w:rsidR="00FA5736" w:rsidRDefault="00552937">
    <w:pPr>
      <w:pStyle w:val="Header"/>
    </w:pPr>
    <w:r>
      <w:rPr>
        <w:noProof/>
      </w:rPr>
      <w:pict w14:anchorId="0BD274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78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F761A" w14:textId="3555B86C" w:rsidR="00FA5736" w:rsidRDefault="00552937">
    <w:pPr>
      <w:pStyle w:val="Header"/>
    </w:pPr>
    <w:r>
      <w:rPr>
        <w:noProof/>
      </w:rPr>
      <w:pict w14:anchorId="3984C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378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94A2A"/>
    <w:multiLevelType w:val="multilevel"/>
    <w:tmpl w:val="03C2A9A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4C3"/>
    <w:rsid w:val="00136939"/>
    <w:rsid w:val="0017239D"/>
    <w:rsid w:val="00280CD6"/>
    <w:rsid w:val="002D4C8B"/>
    <w:rsid w:val="00377FFD"/>
    <w:rsid w:val="00552937"/>
    <w:rsid w:val="006C49C9"/>
    <w:rsid w:val="00805383"/>
    <w:rsid w:val="0084605D"/>
    <w:rsid w:val="00863DA1"/>
    <w:rsid w:val="008D2244"/>
    <w:rsid w:val="00A916EC"/>
    <w:rsid w:val="00AE34C3"/>
    <w:rsid w:val="00CA37A6"/>
    <w:rsid w:val="00E77AF6"/>
    <w:rsid w:val="00EB685E"/>
    <w:rsid w:val="00FA5736"/>
    <w:rsid w:val="00FF5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A814C9E"/>
  <w15:docId w15:val="{7DE77DAE-3B66-4BCD-B6FC-7DA17CBD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80C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39" Type="http://schemas.openxmlformats.org/officeDocument/2006/relationships/hyperlink" Target="https://l1nq.com/IYlKW" TargetMode="External"/><Relationship Id="rId34" Type="http://schemas.openxmlformats.org/officeDocument/2006/relationships/image" Target="media/image1.jpg"/><Relationship Id="rId42" Type="http://schemas.openxmlformats.org/officeDocument/2006/relationships/hyperlink" Target="https://doi.org/10.1201/9781003283621-8" TargetMode="External"/><Relationship Id="rId47" Type="http://schemas.openxmlformats.org/officeDocument/2006/relationships/hyperlink" Target="http://www.waterencyclopedia.com/La-Mi/Microbes-in-Groundwater.html" TargetMode="External"/><Relationship Id="rId50" Type="http://schemas.openxmlformats.org/officeDocument/2006/relationships/hyperlink" Target="https://cpdonline.co.uk/knowledge-base/food-hygiene/microbial-contamination"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33" Type="http://schemas.openxmlformats.org/officeDocument/2006/relationships/image" Target="media/image1.png"/><Relationship Id="rId38" Type="http://schemas.openxmlformats.org/officeDocument/2006/relationships/hyperlink" Target="https://encr.pw/Q42qs" TargetMode="External"/><Relationship Id="rId46" Type="http://schemas.openxmlformats.org/officeDocument/2006/relationships/hyperlink" Target="https://doi.org/10.2166/h2oj.2023.019researchgate.net" TargetMode="External"/><Relationship Id="rId2" Type="http://schemas.openxmlformats.org/officeDocument/2006/relationships/numbering" Target="numbering.xml"/><Relationship Id="rId41" Type="http://schemas.openxmlformats.org/officeDocument/2006/relationships/hyperlink" Target="https://www.researchgate.net/publication/382902117_Classification_of_water_quality_based_on_dissolved_solids_and_turbidity_parameters_with_the_utilization_of_total_dissolved_solids_sensor_and_turbidity_sensor"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7" Type="http://schemas.openxmlformats.org/officeDocument/2006/relationships/hyperlink" Target="https://encr.pw/Q42qs" TargetMode="External"/><Relationship Id="rId40" Type="http://schemas.openxmlformats.org/officeDocument/2006/relationships/hyperlink" Target="https://l1nq.com/IYlKW" TargetMode="External"/><Relationship Id="rId45" Type="http://schemas.openxmlformats.org/officeDocument/2006/relationships/hyperlink" Target="https://encr.pw/KWvbJ"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36" Type="http://schemas.openxmlformats.org/officeDocument/2006/relationships/hyperlink" Target="https://doi.org/10.3390/rs15143534" TargetMode="External"/><Relationship Id="rId49" Type="http://schemas.openxmlformats.org/officeDocument/2006/relationships/hyperlink" Target="https://cpdonline.co.uk/knowledge-base/food-hygiene/microbial-contamination" TargetMode="External"/><Relationship Id="rId57" Type="http://schemas.openxmlformats.org/officeDocument/2006/relationships/fontTable" Target="fontTable.xml"/><Relationship Id="rId10" Type="http://schemas.openxmlformats.org/officeDocument/2006/relationships/footer" Target="footer1.xml"/><Relationship Id="rId44" Type="http://schemas.openxmlformats.org/officeDocument/2006/relationships/hyperlink" Target="https://encr.pw/KWvbJ" TargetMode="External"/><Relationship Id="rId52" Type="http://schemas.openxmlformats.org/officeDocument/2006/relationships/hyperlink" Target="https://www.who.int/publications/i/item/WHO-HEP-ECH-WSH-2022.1" TargetMode="External"/><Relationship Id="rId4" Type="http://schemas.openxmlformats.org/officeDocument/2006/relationships/settings" Target="settings.xml"/><Relationship Id="rId9" Type="http://schemas.openxmlformats.org/officeDocument/2006/relationships/header" Target="header2.xml"/><Relationship Id="rId35" Type="http://schemas.openxmlformats.org/officeDocument/2006/relationships/hyperlink" Target="https://doi.org/10.3390/rs15143534" TargetMode="External"/><Relationship Id="rId43" Type="http://schemas.openxmlformats.org/officeDocument/2006/relationships/hyperlink" Target="https://doi.org/10.1201/9781003283621-8" TargetMode="External"/><Relationship Id="rId48" Type="http://schemas.openxmlformats.org/officeDocument/2006/relationships/hyperlink" Target="http://www.waterencyclopedia.com/La-Mi/Microbes-in-Groundwater.html" TargetMode="Externa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www.safewater.org/fact-sheets-1/2017/1/23/tds-and-ph"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pudWzhyaVOEqU+6Y04Ogq7bA==">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h8KATgSGgoYCAlSFAoSdGFibGUuazVpd2o2YXA0aWRiGiQKATkSHwodCAdCGQoFQXJpYWwSEEFyaWFsIFVuaWNvZGUgTVMaJQoCMTASHwodCAdCGQoFQXJpYWwSEEFyaWFsIFVuaWNvZGUgTVM4AHIhMXNtbVpFTFA2MkVRWjNrM244YkRoaWM3T2ZqQl9LT3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4037</Words>
  <Characters>23011</Characters>
  <Application>Microsoft Office Word</Application>
  <DocSecurity>0</DocSecurity>
  <Lines>191</Lines>
  <Paragraphs>53</Paragraphs>
  <ScaleCrop>false</ScaleCrop>
  <Company/>
  <LinksUpToDate>false</LinksUpToDate>
  <CharactersWithSpaces>26995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PC 1170</cp:lastModifiedBy>
  <cp:revision>31</cp:revision>
  <dcterms:created xsi:type="dcterms:W3CDTF">2014-10-25T14:34:00Z</dcterms:created>
  <dcterms:modified xsi:type="dcterms:W3CDTF">2026-03-13T09:57:00Z</dcterms:modified>
</cp:coreProperties>
</file>