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D9A77" w14:textId="77777777" w:rsidR="00691800" w:rsidRPr="00801FFF" w:rsidRDefault="00E27080" w:rsidP="00801FFF">
      <w:pPr>
        <w:spacing w:before="0" w:beforeAutospacing="0" w:after="0" w:afterAutospacing="0" w:line="276" w:lineRule="auto"/>
        <w:jc w:val="center"/>
        <w:rPr>
          <w:b/>
          <w:szCs w:val="24"/>
        </w:rPr>
      </w:pPr>
      <w:r w:rsidRPr="000B3FE5">
        <w:rPr>
          <w:b/>
          <w:szCs w:val="24"/>
        </w:rPr>
        <w:t>Phytochemical Analysis</w:t>
      </w:r>
      <w:r w:rsidR="00691800" w:rsidRPr="000B3FE5">
        <w:rPr>
          <w:b/>
          <w:szCs w:val="24"/>
        </w:rPr>
        <w:t xml:space="preserve"> and Antimicrobial Activities of Successive Extracts of </w:t>
      </w:r>
      <w:proofErr w:type="spellStart"/>
      <w:r w:rsidR="00691800" w:rsidRPr="000B3FE5">
        <w:rPr>
          <w:rStyle w:val="Emphasis"/>
          <w:b/>
          <w:szCs w:val="24"/>
        </w:rPr>
        <w:t>Diodia</w:t>
      </w:r>
      <w:proofErr w:type="spellEnd"/>
      <w:r w:rsidR="00691800" w:rsidRPr="000B3FE5">
        <w:rPr>
          <w:rStyle w:val="Emphasis"/>
          <w:b/>
          <w:szCs w:val="24"/>
        </w:rPr>
        <w:t xml:space="preserve"> scandens</w:t>
      </w:r>
      <w:r w:rsidR="00691800" w:rsidRPr="000B3FE5">
        <w:rPr>
          <w:b/>
          <w:szCs w:val="24"/>
        </w:rPr>
        <w:t xml:space="preserve"> Aerial Parts</w:t>
      </w:r>
    </w:p>
    <w:p w14:paraId="620B8F89" w14:textId="77777777" w:rsidR="00801FFF" w:rsidRPr="00801FFF" w:rsidRDefault="00801FFF" w:rsidP="00801FFF">
      <w:pPr>
        <w:autoSpaceDE w:val="0"/>
        <w:autoSpaceDN w:val="0"/>
        <w:adjustRightInd w:val="0"/>
        <w:spacing w:before="0" w:beforeAutospacing="0" w:after="0" w:afterAutospacing="0" w:line="240" w:lineRule="auto"/>
        <w:jc w:val="left"/>
        <w:rPr>
          <w:color w:val="000000"/>
          <w:szCs w:val="24"/>
        </w:rPr>
      </w:pPr>
    </w:p>
    <w:p w14:paraId="2D728D2E" w14:textId="7BF9D17D" w:rsidR="00227DC8" w:rsidRDefault="00227DC8" w:rsidP="00691800">
      <w:pPr>
        <w:spacing w:before="0" w:beforeAutospacing="0" w:after="0" w:afterAutospacing="0" w:line="276" w:lineRule="auto"/>
        <w:jc w:val="center"/>
        <w:rPr>
          <w:szCs w:val="24"/>
        </w:rPr>
      </w:pPr>
    </w:p>
    <w:p w14:paraId="39E69CA0" w14:textId="77777777" w:rsidR="0033511B" w:rsidRDefault="0033511B" w:rsidP="00691800">
      <w:pPr>
        <w:spacing w:before="0" w:beforeAutospacing="0" w:after="0" w:afterAutospacing="0" w:line="276" w:lineRule="auto"/>
        <w:jc w:val="center"/>
        <w:rPr>
          <w:szCs w:val="24"/>
        </w:rPr>
      </w:pPr>
      <w:bookmarkStart w:id="0" w:name="_GoBack"/>
      <w:bookmarkEnd w:id="0"/>
    </w:p>
    <w:p w14:paraId="1E9ED71C" w14:textId="77777777" w:rsidR="00227DC8" w:rsidRPr="00227DC8" w:rsidRDefault="00227DC8" w:rsidP="00691800">
      <w:pPr>
        <w:spacing w:before="0" w:beforeAutospacing="0" w:after="0" w:afterAutospacing="0" w:line="276" w:lineRule="auto"/>
        <w:jc w:val="center"/>
        <w:rPr>
          <w:b/>
          <w:szCs w:val="24"/>
        </w:rPr>
      </w:pPr>
      <w:r w:rsidRPr="00227DC8">
        <w:rPr>
          <w:b/>
          <w:szCs w:val="24"/>
        </w:rPr>
        <w:t>ABSTRACT</w:t>
      </w:r>
    </w:p>
    <w:p w14:paraId="4EAF05E4" w14:textId="77777777" w:rsidR="00691800" w:rsidRPr="00B4090A" w:rsidRDefault="00691800" w:rsidP="00691800">
      <w:pPr>
        <w:spacing w:before="0" w:beforeAutospacing="0" w:after="0" w:afterAutospacing="0" w:line="276" w:lineRule="auto"/>
        <w:rPr>
          <w:szCs w:val="24"/>
        </w:rPr>
      </w:pPr>
    </w:p>
    <w:p w14:paraId="2B81E8ED" w14:textId="77777777" w:rsidR="00C22662" w:rsidRPr="00516674" w:rsidRDefault="00E27080" w:rsidP="00516674">
      <w:pPr>
        <w:spacing w:before="0" w:beforeAutospacing="0" w:after="0" w:afterAutospacing="0"/>
        <w:rPr>
          <w:rFonts w:eastAsia="Times New Roman"/>
          <w:iCs/>
          <w:szCs w:val="24"/>
        </w:rPr>
      </w:pPr>
      <w:proofErr w:type="spellStart"/>
      <w:r w:rsidRPr="00516674">
        <w:rPr>
          <w:rFonts w:eastAsia="Times New Roman"/>
          <w:i/>
          <w:iCs/>
          <w:szCs w:val="24"/>
        </w:rPr>
        <w:t>Diodia</w:t>
      </w:r>
      <w:proofErr w:type="spellEnd"/>
      <w:r w:rsidRPr="00516674">
        <w:rPr>
          <w:rFonts w:eastAsia="Times New Roman"/>
          <w:i/>
          <w:iCs/>
          <w:szCs w:val="24"/>
        </w:rPr>
        <w:t xml:space="preserve"> scandens</w:t>
      </w:r>
      <w:r w:rsidRPr="00516674">
        <w:rPr>
          <w:rFonts w:eastAsia="Times New Roman"/>
          <w:iCs/>
          <w:szCs w:val="24"/>
        </w:rPr>
        <w:t xml:space="preserve"> is known to be used in traditional medicine; however, the antimicrobial activity is not well researched. The present study aimed to evaluate the phytoconstituents and antimicrobial activity of the successive solvent extracts from the aerial parts of </w:t>
      </w:r>
      <w:r w:rsidRPr="00516674">
        <w:rPr>
          <w:rFonts w:eastAsia="Times New Roman"/>
          <w:i/>
          <w:iCs/>
          <w:szCs w:val="24"/>
        </w:rPr>
        <w:t>D. scandens</w:t>
      </w:r>
      <w:r w:rsidRPr="00516674">
        <w:rPr>
          <w:rFonts w:eastAsia="Times New Roman"/>
          <w:iCs/>
          <w:szCs w:val="24"/>
        </w:rPr>
        <w:t xml:space="preserve">. Dried and powdered aerial parts were used for successive maceration with n-hexane, ethyl acetate, and ethanol solvents. Phytoconstituents were analyzed both qualitatively and quantitatively, while the antimicrobial activity was tested against the pathogens </w:t>
      </w:r>
      <w:r w:rsidRPr="00516674">
        <w:rPr>
          <w:rFonts w:eastAsia="Times New Roman"/>
          <w:i/>
          <w:iCs/>
          <w:szCs w:val="24"/>
        </w:rPr>
        <w:t>Staphylococcus aureus</w:t>
      </w:r>
      <w:r w:rsidRPr="00516674">
        <w:rPr>
          <w:rFonts w:eastAsia="Times New Roman"/>
          <w:iCs/>
          <w:szCs w:val="24"/>
        </w:rPr>
        <w:t xml:space="preserve">, </w:t>
      </w:r>
      <w:r w:rsidRPr="00516674">
        <w:rPr>
          <w:rFonts w:eastAsia="Times New Roman"/>
          <w:i/>
          <w:iCs/>
          <w:szCs w:val="24"/>
        </w:rPr>
        <w:t>Escherichia coli</w:t>
      </w:r>
      <w:r w:rsidRPr="00516674">
        <w:rPr>
          <w:rFonts w:eastAsia="Times New Roman"/>
          <w:iCs/>
          <w:szCs w:val="24"/>
        </w:rPr>
        <w:t xml:space="preserve">, </w:t>
      </w:r>
      <w:r w:rsidRPr="00516674">
        <w:rPr>
          <w:rFonts w:eastAsia="Times New Roman"/>
          <w:i/>
          <w:iCs/>
          <w:szCs w:val="24"/>
        </w:rPr>
        <w:t>Candida albicans</w:t>
      </w:r>
      <w:r w:rsidRPr="00516674">
        <w:rPr>
          <w:rFonts w:eastAsia="Times New Roman"/>
          <w:iCs/>
          <w:szCs w:val="24"/>
        </w:rPr>
        <w:t xml:space="preserve">, and </w:t>
      </w:r>
      <w:r w:rsidRPr="00516674">
        <w:rPr>
          <w:rFonts w:eastAsia="Times New Roman"/>
          <w:i/>
          <w:iCs/>
          <w:szCs w:val="24"/>
        </w:rPr>
        <w:t xml:space="preserve">Aspergillus </w:t>
      </w:r>
      <w:proofErr w:type="spellStart"/>
      <w:r w:rsidRPr="00516674">
        <w:rPr>
          <w:rFonts w:eastAsia="Times New Roman"/>
          <w:i/>
          <w:iCs/>
          <w:szCs w:val="24"/>
        </w:rPr>
        <w:t>niger</w:t>
      </w:r>
      <w:proofErr w:type="spellEnd"/>
      <w:r w:rsidRPr="00516674">
        <w:rPr>
          <w:rFonts w:eastAsia="Times New Roman"/>
          <w:iCs/>
          <w:szCs w:val="24"/>
        </w:rPr>
        <w:t>. The minimum inhibitory concentration (MIC) and MMC were also tested for the extracts. The phytoconstituents were identified as alkaloids, tannins, flavonoids, and coumarins in the extracts.</w:t>
      </w:r>
      <w:r w:rsidR="00516674">
        <w:rPr>
          <w:rFonts w:eastAsia="Times New Roman"/>
          <w:iCs/>
          <w:szCs w:val="24"/>
        </w:rPr>
        <w:t xml:space="preserve"> </w:t>
      </w:r>
      <w:r w:rsidR="00516674" w:rsidRPr="00516674">
        <w:rPr>
          <w:rFonts w:eastAsia="Times New Roman"/>
          <w:szCs w:val="24"/>
        </w:rPr>
        <w:t xml:space="preserve">The quantitative analysis revealed that the ethyl acetate extract had a higher amount of phenolic content (77.345 ± 0.58 mg GAE/g) than that of ethanol extract (62.054 ± 0.58 mg GAE/g). The ethanol extract had a higher </w:t>
      </w:r>
      <w:proofErr w:type="gramStart"/>
      <w:r w:rsidR="00516674" w:rsidRPr="00516674">
        <w:rPr>
          <w:rFonts w:eastAsia="Times New Roman"/>
          <w:szCs w:val="24"/>
        </w:rPr>
        <w:t>amount</w:t>
      </w:r>
      <w:proofErr w:type="gramEnd"/>
      <w:r w:rsidR="00516674" w:rsidRPr="00516674">
        <w:rPr>
          <w:rFonts w:eastAsia="Times New Roman"/>
          <w:szCs w:val="24"/>
        </w:rPr>
        <w:t xml:space="preserve"> of alkaloids (13.63%), flavonoids (65.387 mg QE/g), tannins (31.963 mg GAE/g), and saponins (3.70%) than that of ethyl acetate extract, whereas the latter had appreciable amounts of alkaloids (3.87%), flavonoids (55.292 mg QE/g), tannins (12.331 mg GAE/g), and saponins (1.48%). The antimicrobial screening of both extracts revealed that the ethyl acetate extract had the best antimicrobial activity, with a minimum inhibitory concentration (MIC) of 3.125 mg/mL and 1.5625 mg/mL against S. aureus and C. albicans, respectively, and a minimum microbicidal concentration (MMC) of 12.5 mg/mL and 6.25 mg/mL, respectively, whereas ethanol extract had low antimicrobial activity (MIC &gt; 50 mg/mL). The results of this study suggest that </w:t>
      </w:r>
      <w:r w:rsidR="00516674" w:rsidRPr="00516674">
        <w:rPr>
          <w:rFonts w:eastAsia="Times New Roman"/>
          <w:i/>
          <w:szCs w:val="24"/>
        </w:rPr>
        <w:t>D. scandens</w:t>
      </w:r>
      <w:r w:rsidR="00516674" w:rsidRPr="00516674">
        <w:rPr>
          <w:rFonts w:eastAsia="Times New Roman"/>
          <w:szCs w:val="24"/>
        </w:rPr>
        <w:t xml:space="preserve"> ethyl acetate extract has appreciable broad-spectrum antimicrobial activity and could be a promising source of bioactive compound for drug discovery and development.</w:t>
      </w:r>
    </w:p>
    <w:p w14:paraId="31D1918F" w14:textId="77777777" w:rsidR="00801FFF" w:rsidRDefault="00B073D4" w:rsidP="00691800">
      <w:pPr>
        <w:autoSpaceDE w:val="0"/>
        <w:autoSpaceDN w:val="0"/>
        <w:adjustRightInd w:val="0"/>
        <w:spacing w:before="0" w:beforeAutospacing="0" w:after="0" w:afterAutospacing="0"/>
        <w:jc w:val="left"/>
        <w:rPr>
          <w:b/>
          <w:bCs/>
          <w:szCs w:val="24"/>
        </w:rPr>
      </w:pPr>
      <w:r>
        <w:rPr>
          <w:b/>
          <w:bCs/>
          <w:szCs w:val="24"/>
        </w:rPr>
        <w:t xml:space="preserve">Keywords: </w:t>
      </w:r>
      <w:proofErr w:type="spellStart"/>
      <w:r>
        <w:rPr>
          <w:rStyle w:val="Emphasis"/>
        </w:rPr>
        <w:t>Diodia</w:t>
      </w:r>
      <w:proofErr w:type="spellEnd"/>
      <w:r>
        <w:rPr>
          <w:rStyle w:val="Emphasis"/>
        </w:rPr>
        <w:t xml:space="preserve"> scandens</w:t>
      </w:r>
      <w:r>
        <w:t>; phytochemical screening; solvent extraction; antimicrobial activity</w:t>
      </w:r>
    </w:p>
    <w:p w14:paraId="4FC9DD09" w14:textId="77777777" w:rsidR="00691800" w:rsidRPr="00B4090A" w:rsidRDefault="00D862C2" w:rsidP="00691800">
      <w:pPr>
        <w:autoSpaceDE w:val="0"/>
        <w:autoSpaceDN w:val="0"/>
        <w:adjustRightInd w:val="0"/>
        <w:spacing w:before="0" w:beforeAutospacing="0" w:after="0" w:afterAutospacing="0"/>
        <w:jc w:val="left"/>
        <w:rPr>
          <w:b/>
          <w:bCs/>
          <w:szCs w:val="24"/>
        </w:rPr>
      </w:pPr>
      <w:r w:rsidRPr="00B4090A">
        <w:rPr>
          <w:b/>
          <w:bCs/>
          <w:szCs w:val="24"/>
        </w:rPr>
        <w:t xml:space="preserve">1. </w:t>
      </w:r>
      <w:r w:rsidR="00691800" w:rsidRPr="00B4090A">
        <w:rPr>
          <w:b/>
          <w:bCs/>
          <w:szCs w:val="24"/>
        </w:rPr>
        <w:t xml:space="preserve">Introduction </w:t>
      </w:r>
    </w:p>
    <w:p w14:paraId="0E31840E" w14:textId="77777777" w:rsidR="00691800" w:rsidRPr="00B4090A" w:rsidRDefault="00691800" w:rsidP="00691800">
      <w:pPr>
        <w:spacing w:before="0" w:beforeAutospacing="0" w:after="0" w:afterAutospacing="0"/>
        <w:rPr>
          <w:rFonts w:eastAsia="Times New Roman"/>
          <w:szCs w:val="24"/>
        </w:rPr>
      </w:pPr>
      <w:r w:rsidRPr="00B4090A">
        <w:rPr>
          <w:rFonts w:eastAsia="Times New Roman"/>
          <w:szCs w:val="24"/>
        </w:rPr>
        <w:t xml:space="preserve">Infectious diseases continue to pose a significant public health challenge, their therapeutic management is increasingly jeopardized by the swift emergence of antibiotic resistance (Podolsky, 2023). Drug-resistant pathogens are now appearing more quickly than new antibiotics can be found and used, which </w:t>
      </w:r>
      <w:r w:rsidRPr="00B4090A">
        <w:rPr>
          <w:rFonts w:eastAsia="Times New Roman"/>
          <w:szCs w:val="24"/>
        </w:rPr>
        <w:lastRenderedPageBreak/>
        <w:t>is making the treatment gap bigger. This is especially important in low- and middle-income countries where access, affordability, and drug safety monitoring may not be as good (</w:t>
      </w:r>
      <w:proofErr w:type="spellStart"/>
      <w:r w:rsidRPr="00B4090A">
        <w:rPr>
          <w:rFonts w:eastAsia="Times New Roman"/>
          <w:szCs w:val="24"/>
        </w:rPr>
        <w:t>Muteeb</w:t>
      </w:r>
      <w:proofErr w:type="spellEnd"/>
      <w:r w:rsidRPr="00B4090A">
        <w:rPr>
          <w:rFonts w:eastAsia="Times New Roman"/>
          <w:szCs w:val="24"/>
        </w:rPr>
        <w:t xml:space="preserve"> </w:t>
      </w:r>
      <w:r w:rsidR="00B4090A" w:rsidRPr="00B4090A">
        <w:rPr>
          <w:rFonts w:eastAsia="Times New Roman"/>
          <w:i/>
          <w:szCs w:val="24"/>
        </w:rPr>
        <w:t>et al</w:t>
      </w:r>
      <w:r w:rsidRPr="00B4090A">
        <w:rPr>
          <w:rFonts w:eastAsia="Times New Roman"/>
          <w:szCs w:val="24"/>
        </w:rPr>
        <w:t xml:space="preserve">., 2023). Recent research continues to show that the global antibiotic pipeline is getting smaller while resistance mechanisms are getting bigger. This makes it even more important to find new and better ways to get antimicrobial medicines, such as bioactive natural compounds (Ahmed </w:t>
      </w:r>
      <w:r w:rsidR="00B4090A" w:rsidRPr="00B4090A">
        <w:rPr>
          <w:rFonts w:eastAsia="Times New Roman"/>
          <w:i/>
          <w:szCs w:val="24"/>
        </w:rPr>
        <w:t>et al</w:t>
      </w:r>
      <w:r w:rsidRPr="00B4090A">
        <w:rPr>
          <w:rFonts w:eastAsia="Times New Roman"/>
          <w:szCs w:val="24"/>
        </w:rPr>
        <w:t xml:space="preserve">., 2024). Medicinal plants are still very important, not only because they have been used in traditional medicine for a long time, but also because they are a chemically varied source of secondary metabolites that can work through many different antimicrobial mechanisms (Angelini, 2024). Recent studies demonstrate that plant extracts can impede bacteria growth by disrupting membranes, inhibiting enzymes, interfering with nucleic acid activities, and facilitating resistance-modifying interactions that may augment the efficiency of current antibiotics (Abdallah </w:t>
      </w:r>
      <w:r w:rsidR="00B4090A" w:rsidRPr="00B4090A">
        <w:rPr>
          <w:rFonts w:eastAsia="Times New Roman"/>
          <w:i/>
          <w:szCs w:val="24"/>
        </w:rPr>
        <w:t>et al</w:t>
      </w:r>
      <w:r w:rsidRPr="00B4090A">
        <w:rPr>
          <w:rFonts w:eastAsia="Times New Roman"/>
          <w:szCs w:val="24"/>
        </w:rPr>
        <w:t xml:space="preserve">., 2023; Angelini, 2024; Podolsky, 2023).  It is crucial to note that extraction conditions and solvent polarity consistently affect the phytochemical profile obtained, and consequently, the observed antimicrobial efficacy. This necessitates comparative solvent-based studies for evidence-based validation and subsequent drug development significance. </w:t>
      </w:r>
    </w:p>
    <w:p w14:paraId="1CA3C223" w14:textId="77777777" w:rsidR="00AD4ADF" w:rsidRPr="00B4090A" w:rsidRDefault="00691800" w:rsidP="00691800">
      <w:pPr>
        <w:spacing w:before="0" w:beforeAutospacing="0" w:after="0" w:afterAutospacing="0"/>
        <w:rPr>
          <w:rFonts w:eastAsia="Times New Roman"/>
          <w:szCs w:val="24"/>
        </w:rPr>
      </w:pPr>
      <w:r w:rsidRPr="00B4090A">
        <w:rPr>
          <w:rFonts w:eastAsia="Times New Roman"/>
          <w:szCs w:val="24"/>
        </w:rPr>
        <w:t xml:space="preserve">Phytochemicals such as alkaloids, phenolics, flavonoids, tannins, terpenoids, and coumarins are significantly associated with antimicrobial action and have recently garnered fresh interest as potential agents against resistant diseases (Schultz </w:t>
      </w:r>
      <w:r w:rsidR="00B4090A" w:rsidRPr="00B4090A">
        <w:rPr>
          <w:rFonts w:eastAsia="Times New Roman"/>
          <w:i/>
          <w:szCs w:val="24"/>
        </w:rPr>
        <w:t>et al</w:t>
      </w:r>
      <w:r w:rsidRPr="00B4090A">
        <w:rPr>
          <w:rFonts w:eastAsia="Times New Roman"/>
          <w:szCs w:val="24"/>
        </w:rPr>
        <w:t xml:space="preserve">., 2020a). Plant-derived drugs are increasingly regarded as “resistance-aware” options due to their multitarget mechanisms and potential synergy with conventional therapies (Schultz </w:t>
      </w:r>
      <w:r w:rsidR="00B4090A" w:rsidRPr="00B4090A">
        <w:rPr>
          <w:rFonts w:eastAsia="Times New Roman"/>
          <w:i/>
          <w:szCs w:val="24"/>
        </w:rPr>
        <w:t>et al</w:t>
      </w:r>
      <w:r w:rsidRPr="00B4090A">
        <w:rPr>
          <w:rFonts w:eastAsia="Times New Roman"/>
          <w:szCs w:val="24"/>
        </w:rPr>
        <w:t xml:space="preserve">., 2020b). Consequently, comprehensive antimicrobial screening of medicinal plants, in conjunction with phytochemical profiling, provides an effective methodology to discover extracts with consistent action, validate traditional assertions, and prioritize extracts for subsequent purification and mechanistic investigations. In this context, the genus </w:t>
      </w:r>
      <w:proofErr w:type="spellStart"/>
      <w:r w:rsidRPr="00B4090A">
        <w:rPr>
          <w:rFonts w:eastAsia="Times New Roman"/>
          <w:szCs w:val="24"/>
        </w:rPr>
        <w:t>Diodia</w:t>
      </w:r>
      <w:proofErr w:type="spellEnd"/>
      <w:r w:rsidRPr="00B4090A">
        <w:rPr>
          <w:rFonts w:eastAsia="Times New Roman"/>
          <w:szCs w:val="24"/>
        </w:rPr>
        <w:t xml:space="preserve"> (family </w:t>
      </w:r>
      <w:proofErr w:type="spellStart"/>
      <w:r w:rsidRPr="00B4090A">
        <w:rPr>
          <w:rFonts w:eastAsia="Times New Roman"/>
          <w:szCs w:val="24"/>
        </w:rPr>
        <w:t>Rubiaceae</w:t>
      </w:r>
      <w:proofErr w:type="spellEnd"/>
      <w:r w:rsidRPr="00B4090A">
        <w:rPr>
          <w:rFonts w:eastAsia="Times New Roman"/>
          <w:szCs w:val="24"/>
        </w:rPr>
        <w:t xml:space="preserve">) is particularly noteworthy due to its ethnomedicinal significance and insufficiently investigated phytochemical diversity (Ojo </w:t>
      </w:r>
      <w:r w:rsidR="00B4090A" w:rsidRPr="00B4090A">
        <w:rPr>
          <w:rFonts w:eastAsia="Times New Roman"/>
          <w:i/>
          <w:szCs w:val="24"/>
        </w:rPr>
        <w:t>et al</w:t>
      </w:r>
      <w:r w:rsidRPr="00B4090A">
        <w:rPr>
          <w:rFonts w:eastAsia="Times New Roman"/>
          <w:szCs w:val="24"/>
        </w:rPr>
        <w:t xml:space="preserve">., 2024). </w:t>
      </w:r>
      <w:proofErr w:type="spellStart"/>
      <w:r w:rsidR="00F47CE3" w:rsidRPr="00F47CE3">
        <w:rPr>
          <w:rFonts w:eastAsia="Times New Roman"/>
          <w:i/>
          <w:szCs w:val="24"/>
        </w:rPr>
        <w:t>Diodia</w:t>
      </w:r>
      <w:proofErr w:type="spellEnd"/>
      <w:r w:rsidR="00F47CE3" w:rsidRPr="00F47CE3">
        <w:rPr>
          <w:rFonts w:eastAsia="Times New Roman"/>
          <w:i/>
          <w:szCs w:val="24"/>
        </w:rPr>
        <w:t xml:space="preserve"> scandens</w:t>
      </w:r>
      <w:r w:rsidRPr="00B4090A">
        <w:rPr>
          <w:rFonts w:eastAsia="Times New Roman"/>
          <w:szCs w:val="24"/>
        </w:rPr>
        <w:t xml:space="preserve"> is utilized in West African traditional medicine for ailments frequently associated with infectious or inflammatory processes, such as </w:t>
      </w:r>
      <w:proofErr w:type="spellStart"/>
      <w:r w:rsidRPr="00B4090A">
        <w:rPr>
          <w:rFonts w:eastAsia="Times New Roman"/>
          <w:szCs w:val="24"/>
        </w:rPr>
        <w:t>diarrhoea</w:t>
      </w:r>
      <w:proofErr w:type="spellEnd"/>
      <w:r w:rsidRPr="00B4090A">
        <w:rPr>
          <w:rFonts w:eastAsia="Times New Roman"/>
          <w:szCs w:val="24"/>
        </w:rPr>
        <w:t xml:space="preserve">/dysentery, dermatological and soft-tissue disorders, wound management, and various other conditions addressed with </w:t>
      </w:r>
      <w:proofErr w:type="spellStart"/>
      <w:r w:rsidRPr="00B4090A">
        <w:rPr>
          <w:rFonts w:eastAsia="Times New Roman"/>
          <w:szCs w:val="24"/>
        </w:rPr>
        <w:t>phytotherapeutic</w:t>
      </w:r>
      <w:proofErr w:type="spellEnd"/>
      <w:r w:rsidRPr="00B4090A">
        <w:rPr>
          <w:rFonts w:eastAsia="Times New Roman"/>
          <w:szCs w:val="24"/>
        </w:rPr>
        <w:t xml:space="preserve"> interventions (Wada </w:t>
      </w:r>
      <w:r w:rsidR="00B4090A" w:rsidRPr="00B4090A">
        <w:rPr>
          <w:rFonts w:eastAsia="Times New Roman"/>
          <w:i/>
          <w:szCs w:val="24"/>
        </w:rPr>
        <w:t>et al</w:t>
      </w:r>
      <w:r w:rsidR="00291B25">
        <w:rPr>
          <w:rFonts w:eastAsia="Times New Roman"/>
          <w:szCs w:val="24"/>
        </w:rPr>
        <w:t xml:space="preserve">., 2022). </w:t>
      </w:r>
      <w:r w:rsidRPr="00B4090A">
        <w:rPr>
          <w:rFonts w:eastAsia="Times New Roman"/>
          <w:szCs w:val="24"/>
        </w:rPr>
        <w:t xml:space="preserve">These customary applications reinforce the justification for scientific assessment of its antibacterial properties and for correlating observed efficacy with phytochemical composition across various solvent extracts. Consequently, this study employs a comparative methodology to assess </w:t>
      </w:r>
      <w:proofErr w:type="spellStart"/>
      <w:r w:rsidRPr="00B4090A">
        <w:rPr>
          <w:rFonts w:eastAsia="Times New Roman"/>
          <w:i/>
          <w:szCs w:val="24"/>
        </w:rPr>
        <w:t>Diodia</w:t>
      </w:r>
      <w:proofErr w:type="spellEnd"/>
      <w:r w:rsidRPr="00B4090A">
        <w:rPr>
          <w:rFonts w:eastAsia="Times New Roman"/>
          <w:i/>
          <w:szCs w:val="24"/>
        </w:rPr>
        <w:t xml:space="preserve"> scandens</w:t>
      </w:r>
      <w:r w:rsidRPr="00B4090A">
        <w:rPr>
          <w:rFonts w:eastAsia="Times New Roman"/>
          <w:szCs w:val="24"/>
        </w:rPr>
        <w:t xml:space="preserve"> through (</w:t>
      </w:r>
      <w:proofErr w:type="spellStart"/>
      <w:r w:rsidRPr="00B4090A">
        <w:rPr>
          <w:rFonts w:eastAsia="Times New Roman"/>
          <w:szCs w:val="24"/>
        </w:rPr>
        <w:t>i</w:t>
      </w:r>
      <w:proofErr w:type="spellEnd"/>
      <w:r w:rsidRPr="00B4090A">
        <w:rPr>
          <w:rFonts w:eastAsia="Times New Roman"/>
          <w:szCs w:val="24"/>
        </w:rPr>
        <w:t xml:space="preserve">) </w:t>
      </w:r>
      <w:r w:rsidRPr="00B4090A">
        <w:rPr>
          <w:rFonts w:eastAsia="Times New Roman"/>
          <w:szCs w:val="24"/>
        </w:rPr>
        <w:lastRenderedPageBreak/>
        <w:t xml:space="preserve">phytochemical screening across solvents of differing polarity and (ii) antimicrobial evaluation. The study also </w:t>
      </w:r>
      <w:proofErr w:type="gramStart"/>
      <w:r w:rsidRPr="00B4090A">
        <w:rPr>
          <w:rFonts w:eastAsia="Times New Roman"/>
          <w:szCs w:val="24"/>
        </w:rPr>
        <w:t>seek</w:t>
      </w:r>
      <w:proofErr w:type="gramEnd"/>
      <w:r w:rsidRPr="00B4090A">
        <w:rPr>
          <w:rFonts w:eastAsia="Times New Roman"/>
          <w:szCs w:val="24"/>
        </w:rPr>
        <w:t xml:space="preserve"> to identify the most bioactive extract systems and substantiate the ethnomedicinal significance of the plant, while aiding ongoing initiatives to discover plant-derived antimicrobial candidates in an era constrained by antimicrobial resistance.</w:t>
      </w:r>
      <w:r w:rsidR="004A291A">
        <w:rPr>
          <w:rFonts w:eastAsia="Times New Roman"/>
          <w:szCs w:val="24"/>
        </w:rPr>
        <w:t xml:space="preserve">  </w:t>
      </w:r>
    </w:p>
    <w:p w14:paraId="515B8345" w14:textId="77777777" w:rsidR="00691800" w:rsidRPr="00B4090A" w:rsidRDefault="00D862C2" w:rsidP="00691800">
      <w:pPr>
        <w:autoSpaceDE w:val="0"/>
        <w:autoSpaceDN w:val="0"/>
        <w:adjustRightInd w:val="0"/>
        <w:spacing w:before="0" w:beforeAutospacing="0" w:after="0" w:afterAutospacing="0"/>
        <w:jc w:val="left"/>
        <w:rPr>
          <w:b/>
          <w:bCs/>
          <w:szCs w:val="24"/>
        </w:rPr>
      </w:pPr>
      <w:r w:rsidRPr="00B4090A">
        <w:rPr>
          <w:b/>
          <w:bCs/>
          <w:szCs w:val="24"/>
        </w:rPr>
        <w:t xml:space="preserve">2. </w:t>
      </w:r>
      <w:r w:rsidR="00691800" w:rsidRPr="00B4090A">
        <w:rPr>
          <w:b/>
          <w:bCs/>
          <w:szCs w:val="24"/>
        </w:rPr>
        <w:t>M</w:t>
      </w:r>
      <w:r w:rsidRPr="00B4090A">
        <w:rPr>
          <w:b/>
          <w:bCs/>
          <w:szCs w:val="24"/>
        </w:rPr>
        <w:t>aterials and Methods</w:t>
      </w:r>
    </w:p>
    <w:p w14:paraId="3EC7BDA4" w14:textId="77777777" w:rsidR="00691800" w:rsidRPr="00B4090A" w:rsidRDefault="00D862C2" w:rsidP="00691800">
      <w:pPr>
        <w:autoSpaceDE w:val="0"/>
        <w:autoSpaceDN w:val="0"/>
        <w:adjustRightInd w:val="0"/>
        <w:spacing w:before="0" w:beforeAutospacing="0" w:after="0" w:afterAutospacing="0"/>
        <w:jc w:val="left"/>
        <w:rPr>
          <w:b/>
          <w:iCs/>
          <w:szCs w:val="24"/>
        </w:rPr>
      </w:pPr>
      <w:r w:rsidRPr="00B4090A">
        <w:rPr>
          <w:b/>
          <w:iCs/>
          <w:szCs w:val="24"/>
        </w:rPr>
        <w:t xml:space="preserve">2.1 </w:t>
      </w:r>
      <w:r w:rsidR="00691800" w:rsidRPr="00B4090A">
        <w:rPr>
          <w:b/>
          <w:iCs/>
          <w:szCs w:val="24"/>
        </w:rPr>
        <w:t>Plant collection and identification</w:t>
      </w:r>
    </w:p>
    <w:p w14:paraId="0FC312AD" w14:textId="77777777" w:rsidR="004A291A" w:rsidRPr="00B4090A" w:rsidRDefault="00691800" w:rsidP="00691800">
      <w:pPr>
        <w:autoSpaceDE w:val="0"/>
        <w:autoSpaceDN w:val="0"/>
        <w:adjustRightInd w:val="0"/>
        <w:spacing w:before="0" w:beforeAutospacing="0" w:after="0" w:afterAutospacing="0"/>
        <w:rPr>
          <w:rFonts w:eastAsia="Times New Roman"/>
          <w:szCs w:val="24"/>
        </w:rPr>
      </w:pPr>
      <w:r w:rsidRPr="00B4090A">
        <w:rPr>
          <w:rFonts w:eastAsia="Times New Roman"/>
          <w:szCs w:val="24"/>
        </w:rPr>
        <w:t xml:space="preserve">The aerial parts of </w:t>
      </w:r>
      <w:proofErr w:type="spellStart"/>
      <w:r w:rsidR="00F47CE3" w:rsidRPr="00F47CE3">
        <w:rPr>
          <w:rFonts w:eastAsia="Times New Roman"/>
          <w:i/>
          <w:szCs w:val="24"/>
        </w:rPr>
        <w:t>Diodia</w:t>
      </w:r>
      <w:proofErr w:type="spellEnd"/>
      <w:r w:rsidR="00F47CE3" w:rsidRPr="00F47CE3">
        <w:rPr>
          <w:rFonts w:eastAsia="Times New Roman"/>
          <w:i/>
          <w:szCs w:val="24"/>
        </w:rPr>
        <w:t xml:space="preserve"> scandens</w:t>
      </w:r>
      <w:r w:rsidRPr="00B4090A">
        <w:rPr>
          <w:rFonts w:eastAsia="Times New Roman"/>
          <w:szCs w:val="24"/>
        </w:rPr>
        <w:t xml:space="preserve"> were collected from cultivated land in </w:t>
      </w:r>
      <w:r w:rsidR="00D862C2" w:rsidRPr="00B4090A">
        <w:rPr>
          <w:rFonts w:eastAsia="Times New Roman"/>
          <w:szCs w:val="24"/>
        </w:rPr>
        <w:t>Ladoke Akintola University of Technology (</w:t>
      </w:r>
      <w:r w:rsidRPr="00B4090A">
        <w:rPr>
          <w:rFonts w:eastAsia="Times New Roman"/>
          <w:szCs w:val="24"/>
        </w:rPr>
        <w:t>LAUTECH</w:t>
      </w:r>
      <w:r w:rsidR="00D862C2" w:rsidRPr="00B4090A">
        <w:rPr>
          <w:rFonts w:eastAsia="Times New Roman"/>
          <w:szCs w:val="24"/>
        </w:rPr>
        <w:t>)</w:t>
      </w:r>
      <w:r w:rsidRPr="00B4090A">
        <w:rPr>
          <w:rFonts w:eastAsia="Times New Roman"/>
          <w:szCs w:val="24"/>
        </w:rPr>
        <w:t xml:space="preserve">, Ogbomoso, Oyo State, Nigeria (about </w:t>
      </w:r>
      <w:r w:rsidRPr="00B4090A">
        <w:rPr>
          <w:szCs w:val="24"/>
        </w:rPr>
        <w:t>8.1800°N</w:t>
      </w:r>
      <w:r w:rsidRPr="00B4090A">
        <w:rPr>
          <w:rFonts w:eastAsia="Times New Roman"/>
          <w:szCs w:val="24"/>
        </w:rPr>
        <w:t xml:space="preserve"> °N, </w:t>
      </w:r>
      <w:r w:rsidRPr="00B4090A">
        <w:rPr>
          <w:szCs w:val="24"/>
        </w:rPr>
        <w:t>4.2636</w:t>
      </w:r>
      <w:r w:rsidRPr="00B4090A">
        <w:rPr>
          <w:rFonts w:eastAsia="Times New Roman"/>
          <w:szCs w:val="24"/>
        </w:rPr>
        <w:t xml:space="preserve">°E). Prof. A. T. J. </w:t>
      </w:r>
      <w:proofErr w:type="spellStart"/>
      <w:r w:rsidRPr="00B4090A">
        <w:rPr>
          <w:rFonts w:eastAsia="Times New Roman"/>
          <w:szCs w:val="24"/>
        </w:rPr>
        <w:t>Ogunkunle</w:t>
      </w:r>
      <w:proofErr w:type="spellEnd"/>
      <w:r w:rsidRPr="00B4090A">
        <w:rPr>
          <w:rFonts w:eastAsia="Times New Roman"/>
          <w:szCs w:val="24"/>
        </w:rPr>
        <w:t xml:space="preserve"> of the Department of Pure and Applied Biology at </w:t>
      </w:r>
      <w:r w:rsidR="00D862C2" w:rsidRPr="00B4090A">
        <w:rPr>
          <w:rFonts w:eastAsia="Times New Roman"/>
          <w:szCs w:val="24"/>
        </w:rPr>
        <w:t xml:space="preserve">LAUTECH </w:t>
      </w:r>
      <w:r w:rsidRPr="00B4090A">
        <w:rPr>
          <w:rFonts w:eastAsia="Times New Roman"/>
          <w:szCs w:val="24"/>
        </w:rPr>
        <w:t>did the botanical authentication. A voucher specimen was deposited in the institution herbarium with the number LHO 964.</w:t>
      </w:r>
    </w:p>
    <w:p w14:paraId="49B01F02" w14:textId="77777777" w:rsidR="00371205" w:rsidRPr="00B4090A" w:rsidRDefault="00371205" w:rsidP="00371205">
      <w:pPr>
        <w:autoSpaceDE w:val="0"/>
        <w:autoSpaceDN w:val="0"/>
        <w:adjustRightInd w:val="0"/>
        <w:spacing w:before="0" w:beforeAutospacing="0" w:after="0" w:afterAutospacing="0"/>
        <w:jc w:val="left"/>
        <w:rPr>
          <w:rFonts w:eastAsia="Times New Roman"/>
          <w:szCs w:val="24"/>
        </w:rPr>
      </w:pPr>
      <w:r w:rsidRPr="00B4090A">
        <w:rPr>
          <w:b/>
          <w:iCs/>
          <w:szCs w:val="24"/>
        </w:rPr>
        <w:t xml:space="preserve">2.2 </w:t>
      </w:r>
      <w:r w:rsidR="00691800" w:rsidRPr="00B4090A">
        <w:rPr>
          <w:b/>
          <w:iCs/>
          <w:szCs w:val="24"/>
        </w:rPr>
        <w:t>Extraction of plant material</w:t>
      </w:r>
    </w:p>
    <w:p w14:paraId="04A2775B" w14:textId="77777777" w:rsidR="00371205" w:rsidRPr="00B4090A" w:rsidRDefault="00D862C2" w:rsidP="00371205">
      <w:pPr>
        <w:autoSpaceDE w:val="0"/>
        <w:autoSpaceDN w:val="0"/>
        <w:adjustRightInd w:val="0"/>
        <w:spacing w:before="0" w:beforeAutospacing="0" w:after="0" w:afterAutospacing="0"/>
        <w:rPr>
          <w:rFonts w:eastAsia="Times New Roman"/>
          <w:szCs w:val="24"/>
        </w:rPr>
      </w:pPr>
      <w:r w:rsidRPr="00B4090A">
        <w:rPr>
          <w:szCs w:val="24"/>
        </w:rPr>
        <w:t xml:space="preserve">The freshly collected plant sample was washed with distilled water, </w:t>
      </w:r>
      <w:r w:rsidR="00371205" w:rsidRPr="00B4090A">
        <w:rPr>
          <w:szCs w:val="24"/>
        </w:rPr>
        <w:t xml:space="preserve">air dried for 35 days and pulverized using Electric blender. </w:t>
      </w:r>
      <w:r w:rsidR="00691800" w:rsidRPr="00B4090A">
        <w:rPr>
          <w:szCs w:val="24"/>
        </w:rPr>
        <w:t>Following the</w:t>
      </w:r>
      <w:r w:rsidR="00371205" w:rsidRPr="00B4090A">
        <w:rPr>
          <w:szCs w:val="24"/>
        </w:rPr>
        <w:t xml:space="preserve"> extraction</w:t>
      </w:r>
      <w:r w:rsidR="00A11A6F" w:rsidRPr="00B4090A">
        <w:rPr>
          <w:szCs w:val="24"/>
        </w:rPr>
        <w:t xml:space="preserve"> procedures</w:t>
      </w:r>
      <w:r w:rsidR="00691800" w:rsidRPr="00B4090A">
        <w:rPr>
          <w:szCs w:val="24"/>
        </w:rPr>
        <w:t xml:space="preserve"> </w:t>
      </w:r>
      <w:r w:rsidR="00371205" w:rsidRPr="00B4090A">
        <w:rPr>
          <w:szCs w:val="24"/>
        </w:rPr>
        <w:t>described by</w:t>
      </w:r>
      <w:r w:rsidR="00691800" w:rsidRPr="00B4090A">
        <w:rPr>
          <w:szCs w:val="24"/>
        </w:rPr>
        <w:t xml:space="preserve"> Ojo </w:t>
      </w:r>
      <w:r w:rsidR="00691800" w:rsidRPr="00B4090A">
        <w:rPr>
          <w:i/>
          <w:szCs w:val="24"/>
        </w:rPr>
        <w:t>et al</w:t>
      </w:r>
      <w:r w:rsidR="00691800" w:rsidRPr="00B4090A">
        <w:rPr>
          <w:szCs w:val="24"/>
        </w:rPr>
        <w:t>. (2</w:t>
      </w:r>
      <w:r w:rsidRPr="00B4090A">
        <w:rPr>
          <w:szCs w:val="24"/>
        </w:rPr>
        <w:t>017) with</w:t>
      </w:r>
      <w:r w:rsidR="00691800" w:rsidRPr="00B4090A">
        <w:rPr>
          <w:szCs w:val="24"/>
        </w:rPr>
        <w:t xml:space="preserve"> modifications. Successive maceration was performed using n-hexane, ethyl acetate and ethanol. 200 g of the powdered sample was soaked in 2.5 L of each solvent for 72 hours with intermittent shaking, followed by filtration with Whatman</w:t>
      </w:r>
      <w:r w:rsidR="00F07975">
        <w:rPr>
          <w:szCs w:val="24"/>
        </w:rPr>
        <w:t xml:space="preserve"> No. 1 paper. Each filtrate was</w:t>
      </w:r>
      <w:r w:rsidR="00691800" w:rsidRPr="00B4090A">
        <w:rPr>
          <w:szCs w:val="24"/>
        </w:rPr>
        <w:t xml:space="preserve"> collected as its respective extract, and the residue was rewashed before proceeding to the next solvent. All extracts were concentrated using a rotary evaporator at 40–50 °C and stored at 4 °C until analysis. The percentage yield of extracts </w:t>
      </w:r>
      <w:proofErr w:type="gramStart"/>
      <w:r w:rsidR="00691800" w:rsidRPr="00B4090A">
        <w:rPr>
          <w:szCs w:val="24"/>
        </w:rPr>
        <w:t>were</w:t>
      </w:r>
      <w:proofErr w:type="gramEnd"/>
      <w:r w:rsidR="00691800" w:rsidRPr="00B4090A">
        <w:rPr>
          <w:szCs w:val="24"/>
        </w:rPr>
        <w:t xml:space="preserve"> calculated by dividing the weight of the dried crude extract obtained after solvent removal by the initial weight of the dry plant material used for extraction and multiplying the result by 100 (</w:t>
      </w:r>
      <w:r w:rsidR="00691800" w:rsidRPr="00B4090A">
        <w:rPr>
          <w:szCs w:val="24"/>
          <w:shd w:val="clear" w:color="auto" w:fill="FFFFFF"/>
        </w:rPr>
        <w:t xml:space="preserve">El </w:t>
      </w:r>
      <w:proofErr w:type="spellStart"/>
      <w:r w:rsidR="00691800" w:rsidRPr="00B4090A">
        <w:rPr>
          <w:szCs w:val="24"/>
          <w:shd w:val="clear" w:color="auto" w:fill="FFFFFF"/>
        </w:rPr>
        <w:t>Mannoubi</w:t>
      </w:r>
      <w:proofErr w:type="spellEnd"/>
      <w:r w:rsidR="00691800" w:rsidRPr="00B4090A">
        <w:rPr>
          <w:szCs w:val="24"/>
          <w:shd w:val="clear" w:color="auto" w:fill="FFFFFF"/>
        </w:rPr>
        <w:t>, 2023</w:t>
      </w:r>
      <w:r w:rsidR="00691800" w:rsidRPr="00B4090A">
        <w:rPr>
          <w:szCs w:val="24"/>
        </w:rPr>
        <w:t xml:space="preserve">). </w:t>
      </w:r>
    </w:p>
    <w:p w14:paraId="67C9998D" w14:textId="77777777" w:rsidR="00371205" w:rsidRPr="00B4090A" w:rsidRDefault="00371205" w:rsidP="00691800">
      <w:pPr>
        <w:spacing w:after="0"/>
        <w:rPr>
          <w:rFonts w:eastAsia="Times New Roman"/>
          <w:szCs w:val="24"/>
        </w:rPr>
      </w:pPr>
      <w:r w:rsidRPr="00B4090A">
        <w:rPr>
          <w:rFonts w:eastAsia="Times New Roman"/>
          <w:b/>
          <w:szCs w:val="24"/>
        </w:rPr>
        <w:t>2.3 Phytochemicals screening</w:t>
      </w:r>
      <w:r w:rsidRPr="00B4090A">
        <w:rPr>
          <w:rFonts w:eastAsia="Times New Roman"/>
          <w:b/>
          <w:szCs w:val="24"/>
        </w:rPr>
        <w:br/>
        <w:t>2.3.1 </w:t>
      </w:r>
      <w:r w:rsidR="00691800" w:rsidRPr="00B4090A">
        <w:rPr>
          <w:rFonts w:eastAsia="Times New Roman"/>
          <w:b/>
          <w:szCs w:val="24"/>
        </w:rPr>
        <w:t>Qualitative phytochemicals screening</w:t>
      </w:r>
      <w:r w:rsidR="00691800" w:rsidRPr="00B4090A">
        <w:rPr>
          <w:rFonts w:eastAsia="Times New Roman"/>
          <w:szCs w:val="24"/>
        </w:rPr>
        <w:t xml:space="preserve"> </w:t>
      </w:r>
      <w:r w:rsidR="00691800" w:rsidRPr="00B4090A">
        <w:rPr>
          <w:rFonts w:eastAsia="Times New Roman"/>
          <w:szCs w:val="24"/>
        </w:rPr>
        <w:br/>
        <w:t>Standard qualitative test methods were used to check the crude extracts for the presence</w:t>
      </w:r>
      <w:r w:rsidRPr="00B4090A">
        <w:rPr>
          <w:rFonts w:eastAsia="Times New Roman"/>
          <w:szCs w:val="24"/>
        </w:rPr>
        <w:t xml:space="preserve"> or absence</w:t>
      </w:r>
      <w:r w:rsidR="00691800" w:rsidRPr="00B4090A">
        <w:rPr>
          <w:rFonts w:eastAsia="Times New Roman"/>
          <w:szCs w:val="24"/>
        </w:rPr>
        <w:t xml:space="preserve"> of major phytochemical groups</w:t>
      </w:r>
      <w:r w:rsidRPr="00B4090A">
        <w:rPr>
          <w:rFonts w:eastAsia="Times New Roman"/>
          <w:szCs w:val="24"/>
        </w:rPr>
        <w:t xml:space="preserve"> (Adepoju </w:t>
      </w:r>
      <w:r w:rsidRPr="00B4090A">
        <w:rPr>
          <w:rFonts w:eastAsia="Times New Roman"/>
          <w:i/>
          <w:szCs w:val="24"/>
        </w:rPr>
        <w:t>et al</w:t>
      </w:r>
      <w:r w:rsidR="00583723" w:rsidRPr="00B4090A">
        <w:rPr>
          <w:rFonts w:eastAsia="Times New Roman"/>
          <w:szCs w:val="24"/>
        </w:rPr>
        <w:t>., 2024</w:t>
      </w:r>
      <w:r w:rsidRPr="00B4090A">
        <w:rPr>
          <w:rFonts w:eastAsia="Times New Roman"/>
          <w:szCs w:val="24"/>
        </w:rPr>
        <w:t>)</w:t>
      </w:r>
      <w:r w:rsidR="00691800" w:rsidRPr="00B4090A">
        <w:rPr>
          <w:rFonts w:eastAsia="Times New Roman"/>
          <w:szCs w:val="24"/>
        </w:rPr>
        <w:t>. Screening encompassed terpenoi</w:t>
      </w:r>
      <w:r w:rsidRPr="00B4090A">
        <w:rPr>
          <w:rFonts w:eastAsia="Times New Roman"/>
          <w:szCs w:val="24"/>
        </w:rPr>
        <w:t>ds, saponins, phenols</w:t>
      </w:r>
      <w:r w:rsidR="00691800" w:rsidRPr="00B4090A">
        <w:rPr>
          <w:rFonts w:eastAsia="Times New Roman"/>
          <w:szCs w:val="24"/>
        </w:rPr>
        <w:t xml:space="preserve">, coumarins, steroids, cardiac glycosides, alkaloids, tannins, flavonoids, quinones, glycosides, anthocyanins, and anthraquinones, adhering to established protocols </w:t>
      </w:r>
    </w:p>
    <w:p w14:paraId="3C14989B" w14:textId="77777777" w:rsidR="00691800" w:rsidRPr="00B4090A" w:rsidRDefault="00371205" w:rsidP="00691800">
      <w:pPr>
        <w:spacing w:after="0"/>
        <w:rPr>
          <w:szCs w:val="24"/>
        </w:rPr>
      </w:pPr>
      <w:r w:rsidRPr="00B4090A">
        <w:rPr>
          <w:rFonts w:eastAsia="Times New Roman"/>
          <w:b/>
          <w:szCs w:val="24"/>
        </w:rPr>
        <w:t>2.3.2</w:t>
      </w:r>
      <w:r w:rsidRPr="00B4090A">
        <w:rPr>
          <w:rFonts w:eastAsia="Times New Roman"/>
          <w:szCs w:val="24"/>
        </w:rPr>
        <w:t xml:space="preserve"> </w:t>
      </w:r>
      <w:r w:rsidR="00691800" w:rsidRPr="00B4090A">
        <w:rPr>
          <w:b/>
          <w:iCs/>
          <w:szCs w:val="24"/>
        </w:rPr>
        <w:t>Quantitative Phytochemical Screening</w:t>
      </w:r>
    </w:p>
    <w:p w14:paraId="7D2F38BD" w14:textId="77777777" w:rsidR="00691800" w:rsidRPr="00B4090A" w:rsidRDefault="00371205" w:rsidP="00691800">
      <w:pPr>
        <w:autoSpaceDE w:val="0"/>
        <w:autoSpaceDN w:val="0"/>
        <w:adjustRightInd w:val="0"/>
        <w:spacing w:before="0" w:beforeAutospacing="0" w:after="0" w:afterAutospacing="0"/>
        <w:jc w:val="left"/>
        <w:rPr>
          <w:b/>
          <w:iCs/>
          <w:szCs w:val="24"/>
        </w:rPr>
      </w:pPr>
      <w:r w:rsidRPr="00B4090A">
        <w:rPr>
          <w:rFonts w:eastAsia="Times New Roman"/>
          <w:b/>
          <w:szCs w:val="24"/>
        </w:rPr>
        <w:lastRenderedPageBreak/>
        <w:t xml:space="preserve">2.3.2.1 </w:t>
      </w:r>
      <w:r w:rsidR="00691800" w:rsidRPr="00B4090A">
        <w:rPr>
          <w:b/>
          <w:iCs/>
          <w:szCs w:val="24"/>
        </w:rPr>
        <w:t>Determination of Total Alkaloid Content</w:t>
      </w:r>
    </w:p>
    <w:p w14:paraId="17A0A0FA" w14:textId="77777777" w:rsidR="00691800" w:rsidRPr="00B4090A" w:rsidRDefault="00691800" w:rsidP="00A11A6F">
      <w:pPr>
        <w:pStyle w:val="NormalWeb"/>
        <w:spacing w:before="0" w:beforeAutospacing="0" w:after="0" w:afterAutospacing="0" w:line="360" w:lineRule="auto"/>
        <w:rPr>
          <w:szCs w:val="24"/>
        </w:rPr>
      </w:pPr>
      <w:r w:rsidRPr="00B4090A">
        <w:rPr>
          <w:szCs w:val="24"/>
        </w:rPr>
        <w:t xml:space="preserve">A standard precipitation-based method was used to measure the total alkaloid content. The sample was soaked in 200 mL of 10% acetic acid made with ethanol and left to sit for 4 hours. A water bath (Bio Techno Lab Serological Water Bath, Model BTL-10, India) was used to concentrate the filtrate until it was about one-fourth of the original volume. Then, concentrated ammonium hydroxide was added slowly to help the alkaloids come out of solution. The precipitate was washed with diluted ammonium hydroxide, filtered, dried, and weighed it with an analytical balance (Mettler Toledo XPR205, Switzerland). The final mass was used to determine </w:t>
      </w:r>
      <w:proofErr w:type="gramStart"/>
      <w:r w:rsidRPr="00B4090A">
        <w:rPr>
          <w:szCs w:val="24"/>
        </w:rPr>
        <w:t>the  quantity</w:t>
      </w:r>
      <w:proofErr w:type="gramEnd"/>
      <w:r w:rsidRPr="00B4090A">
        <w:rPr>
          <w:szCs w:val="24"/>
        </w:rPr>
        <w:t xml:space="preserve"> of alkaloid</w:t>
      </w:r>
      <w:r w:rsidR="00A11A6F" w:rsidRPr="00B4090A">
        <w:rPr>
          <w:szCs w:val="24"/>
        </w:rPr>
        <w:t xml:space="preserve"> in it (Van Tan, 2018).</w:t>
      </w:r>
    </w:p>
    <w:p w14:paraId="084C431B" w14:textId="77777777" w:rsidR="00691800" w:rsidRPr="00B4090A" w:rsidRDefault="00691800" w:rsidP="00691800">
      <w:pPr>
        <w:autoSpaceDE w:val="0"/>
        <w:autoSpaceDN w:val="0"/>
        <w:adjustRightInd w:val="0"/>
        <w:spacing w:before="0" w:beforeAutospacing="0" w:after="0" w:afterAutospacing="0"/>
        <w:rPr>
          <w:rFonts w:eastAsia="Times New Roman"/>
          <w:szCs w:val="24"/>
        </w:rPr>
      </w:pPr>
      <w:r w:rsidRPr="00B4090A">
        <w:rPr>
          <w:rFonts w:eastAsia="Times New Roman"/>
          <w:szCs w:val="24"/>
        </w:rPr>
        <w:br/>
      </w:r>
      <w:r w:rsidR="00A11A6F" w:rsidRPr="00B4090A">
        <w:rPr>
          <w:rFonts w:eastAsia="Times New Roman"/>
          <w:b/>
          <w:szCs w:val="24"/>
        </w:rPr>
        <w:t xml:space="preserve">2.3.2.2 </w:t>
      </w:r>
      <w:r w:rsidRPr="00B4090A">
        <w:rPr>
          <w:b/>
          <w:iCs/>
          <w:szCs w:val="24"/>
        </w:rPr>
        <w:t>Determination of Total Saponin Content</w:t>
      </w:r>
    </w:p>
    <w:p w14:paraId="70B723B2" w14:textId="77777777" w:rsidR="00691800" w:rsidRPr="00B4090A" w:rsidRDefault="00691800" w:rsidP="00691800">
      <w:pPr>
        <w:autoSpaceDE w:val="0"/>
        <w:autoSpaceDN w:val="0"/>
        <w:adjustRightInd w:val="0"/>
        <w:spacing w:before="0" w:beforeAutospacing="0" w:after="0" w:afterAutospacing="0"/>
        <w:rPr>
          <w:rFonts w:eastAsia="Times New Roman"/>
          <w:szCs w:val="24"/>
        </w:rPr>
      </w:pPr>
      <w:r w:rsidRPr="00B4090A">
        <w:rPr>
          <w:rFonts w:eastAsia="Times New Roman"/>
          <w:szCs w:val="24"/>
        </w:rPr>
        <w:t xml:space="preserve">An ethanol extraction and partitioning method was used to measure the amount of saponin. 20 g of the sample was mixed it with 100 cm³ of 20% aqueous ethanol. It was then kept it in a water bath (Bio Techno Lab Serological Water Bath, Model BTL-10, India) at 55°C for 4 hours. After filtering, the residue was re-extracted with 200 mL of the same solvent. The two filtrates were then heated to 90°C and reduced to 40 </w:t>
      </w:r>
      <w:proofErr w:type="spellStart"/>
      <w:r w:rsidRPr="00B4090A">
        <w:rPr>
          <w:rFonts w:eastAsia="Times New Roman"/>
          <w:szCs w:val="24"/>
        </w:rPr>
        <w:t>mL.</w:t>
      </w:r>
      <w:proofErr w:type="spellEnd"/>
      <w:r w:rsidRPr="00B4090A">
        <w:rPr>
          <w:rFonts w:eastAsia="Times New Roman"/>
          <w:szCs w:val="24"/>
        </w:rPr>
        <w:t xml:space="preserve"> To get rid of impurities, 20 mL of diethyl ether was added, and the water phase was kept. The water layer was rinsed twice with 10 mL of a 5% sodium chloride solution. The rest of the solution was heated until it reached a constant mass, then it was weighed using an analytical balance (Mettler Toledo XPR205, Switzerland) to determine </w:t>
      </w:r>
      <w:proofErr w:type="gramStart"/>
      <w:r w:rsidRPr="00B4090A">
        <w:rPr>
          <w:rFonts w:eastAsia="Times New Roman"/>
          <w:szCs w:val="24"/>
        </w:rPr>
        <w:t>the  saponin</w:t>
      </w:r>
      <w:proofErr w:type="gramEnd"/>
      <w:r w:rsidRPr="00B4090A">
        <w:rPr>
          <w:rFonts w:eastAsia="Times New Roman"/>
          <w:szCs w:val="24"/>
        </w:rPr>
        <w:t xml:space="preserve"> content </w:t>
      </w:r>
      <w:r w:rsidR="00A11A6F" w:rsidRPr="00B4090A">
        <w:rPr>
          <w:rFonts w:eastAsia="Times New Roman"/>
          <w:szCs w:val="24"/>
        </w:rPr>
        <w:t xml:space="preserve">in it </w:t>
      </w:r>
      <w:r w:rsidR="00A11A6F" w:rsidRPr="00B4090A">
        <w:rPr>
          <w:szCs w:val="24"/>
        </w:rPr>
        <w:t xml:space="preserve">(Adepoju </w:t>
      </w:r>
      <w:r w:rsidR="00A11A6F" w:rsidRPr="00B4090A">
        <w:rPr>
          <w:i/>
          <w:szCs w:val="24"/>
        </w:rPr>
        <w:t>et al</w:t>
      </w:r>
      <w:r w:rsidR="00A11A6F" w:rsidRPr="00B4090A">
        <w:rPr>
          <w:szCs w:val="24"/>
        </w:rPr>
        <w:t>. 2024).</w:t>
      </w:r>
    </w:p>
    <w:p w14:paraId="3CE1490B" w14:textId="77777777" w:rsidR="00691800" w:rsidRPr="00B4090A" w:rsidRDefault="00691800" w:rsidP="00691800">
      <w:pPr>
        <w:autoSpaceDE w:val="0"/>
        <w:autoSpaceDN w:val="0"/>
        <w:adjustRightInd w:val="0"/>
        <w:spacing w:before="0" w:beforeAutospacing="0" w:after="0" w:afterAutospacing="0"/>
        <w:rPr>
          <w:b/>
          <w:iCs/>
          <w:szCs w:val="24"/>
        </w:rPr>
      </w:pPr>
      <w:r w:rsidRPr="00B4090A">
        <w:rPr>
          <w:rFonts w:eastAsia="Times New Roman"/>
          <w:szCs w:val="24"/>
        </w:rPr>
        <w:br/>
      </w:r>
      <w:r w:rsidR="00A11A6F" w:rsidRPr="00B4090A">
        <w:rPr>
          <w:rFonts w:eastAsia="Times New Roman"/>
          <w:b/>
          <w:szCs w:val="24"/>
        </w:rPr>
        <w:t xml:space="preserve">2.3.2.3 </w:t>
      </w:r>
      <w:r w:rsidRPr="00B4090A">
        <w:rPr>
          <w:b/>
          <w:iCs/>
          <w:szCs w:val="24"/>
        </w:rPr>
        <w:t>Determination of Total Phenolic Content</w:t>
      </w:r>
    </w:p>
    <w:p w14:paraId="29BBFBB2" w14:textId="77777777" w:rsidR="00691800" w:rsidRPr="00B4090A" w:rsidRDefault="00691800" w:rsidP="00691800">
      <w:pPr>
        <w:autoSpaceDE w:val="0"/>
        <w:autoSpaceDN w:val="0"/>
        <w:adjustRightInd w:val="0"/>
        <w:spacing w:before="0" w:beforeAutospacing="0" w:after="0" w:afterAutospacing="0"/>
        <w:rPr>
          <w:szCs w:val="24"/>
        </w:rPr>
      </w:pPr>
      <w:r w:rsidRPr="00B4090A">
        <w:rPr>
          <w:rFonts w:eastAsia="Times New Roman"/>
          <w:szCs w:val="24"/>
        </w:rPr>
        <w:t xml:space="preserve">The </w:t>
      </w: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 colorimetric technique was used to find out how much total phenolic content. 1 mL of extract was combined with 1 mL of </w:t>
      </w: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 reagent and 9 mL of distilled water in a 25 mL volumetric flask. After five minutes, 10 mL of 7% sodium carbonate was added to make the </w:t>
      </w:r>
      <w:proofErr w:type="spellStart"/>
      <w:r w:rsidRPr="00B4090A">
        <w:rPr>
          <w:rFonts w:eastAsia="Times New Roman"/>
          <w:szCs w:val="24"/>
        </w:rPr>
        <w:t>colour</w:t>
      </w:r>
      <w:proofErr w:type="spellEnd"/>
      <w:r w:rsidRPr="00B4090A">
        <w:rPr>
          <w:rFonts w:eastAsia="Times New Roman"/>
          <w:szCs w:val="24"/>
        </w:rPr>
        <w:t xml:space="preserve"> stronger. </w:t>
      </w:r>
      <w:proofErr w:type="spellStart"/>
      <w:r w:rsidRPr="00B4090A">
        <w:rPr>
          <w:rFonts w:eastAsia="Times New Roman"/>
          <w:szCs w:val="24"/>
        </w:rPr>
        <w:t>Thesame</w:t>
      </w:r>
      <w:proofErr w:type="spellEnd"/>
      <w:r w:rsidRPr="00B4090A">
        <w:rPr>
          <w:rFonts w:eastAsia="Times New Roman"/>
          <w:szCs w:val="24"/>
        </w:rPr>
        <w:t xml:space="preserve"> procedure was repeated for gallic acid standard solutions (20–100 </w:t>
      </w:r>
      <w:proofErr w:type="spellStart"/>
      <w:r w:rsidRPr="00B4090A">
        <w:rPr>
          <w:rFonts w:eastAsia="Times New Roman"/>
          <w:szCs w:val="24"/>
        </w:rPr>
        <w:t>μg</w:t>
      </w:r>
      <w:proofErr w:type="spellEnd"/>
      <w:r w:rsidRPr="00B4090A">
        <w:rPr>
          <w:rFonts w:eastAsia="Times New Roman"/>
          <w:szCs w:val="24"/>
        </w:rPr>
        <w:t>/mL). After sitting at room temperature for 90 minutes, a UV/Visible spectrophotometer (LAMBDA 1050+; PerkinElmer, USA) was used to measure measured the absorbance at 550 nm. The results were given as mg gallic acid eq</w:t>
      </w:r>
      <w:r w:rsidR="00A11A6F" w:rsidRPr="00B4090A">
        <w:rPr>
          <w:rFonts w:eastAsia="Times New Roman"/>
          <w:szCs w:val="24"/>
        </w:rPr>
        <w:t xml:space="preserve">uivalent (GAE) per g of extract </w:t>
      </w:r>
      <w:r w:rsidR="00A11A6F" w:rsidRPr="00B4090A">
        <w:rPr>
          <w:szCs w:val="24"/>
        </w:rPr>
        <w:t xml:space="preserve">(Siddiqui </w:t>
      </w:r>
      <w:r w:rsidR="00A11A6F" w:rsidRPr="00B4090A">
        <w:rPr>
          <w:i/>
          <w:szCs w:val="24"/>
        </w:rPr>
        <w:t>et al</w:t>
      </w:r>
      <w:r w:rsidR="00A11A6F" w:rsidRPr="00B4090A">
        <w:rPr>
          <w:szCs w:val="24"/>
        </w:rPr>
        <w:t>. 2017).</w:t>
      </w:r>
    </w:p>
    <w:p w14:paraId="2BB3A731" w14:textId="77777777" w:rsidR="00A11A6F" w:rsidRPr="00B4090A" w:rsidRDefault="00A11A6F" w:rsidP="00691800">
      <w:pPr>
        <w:autoSpaceDE w:val="0"/>
        <w:autoSpaceDN w:val="0"/>
        <w:adjustRightInd w:val="0"/>
        <w:spacing w:before="0" w:beforeAutospacing="0" w:after="0" w:afterAutospacing="0"/>
        <w:rPr>
          <w:rFonts w:eastAsia="Times New Roman"/>
          <w:szCs w:val="24"/>
        </w:rPr>
      </w:pPr>
    </w:p>
    <w:p w14:paraId="2621E03D" w14:textId="77777777" w:rsidR="00691800" w:rsidRPr="00B4090A" w:rsidRDefault="00A11A6F" w:rsidP="00691800">
      <w:pPr>
        <w:autoSpaceDE w:val="0"/>
        <w:autoSpaceDN w:val="0"/>
        <w:adjustRightInd w:val="0"/>
        <w:spacing w:before="0" w:beforeAutospacing="0" w:after="0" w:afterAutospacing="0"/>
        <w:rPr>
          <w:rFonts w:eastAsia="Times New Roman"/>
          <w:szCs w:val="24"/>
        </w:rPr>
      </w:pPr>
      <w:r w:rsidRPr="00B4090A">
        <w:rPr>
          <w:rFonts w:eastAsia="Times New Roman"/>
          <w:b/>
          <w:szCs w:val="24"/>
        </w:rPr>
        <w:t xml:space="preserve">2.3.2.4 </w:t>
      </w:r>
      <w:r w:rsidR="00691800" w:rsidRPr="00B4090A">
        <w:rPr>
          <w:b/>
          <w:iCs/>
          <w:szCs w:val="24"/>
        </w:rPr>
        <w:t>Determination of Total Tannin Content</w:t>
      </w:r>
    </w:p>
    <w:p w14:paraId="7CA44B0A" w14:textId="77777777" w:rsidR="00691800" w:rsidRPr="00B4090A" w:rsidRDefault="00691800" w:rsidP="00691800">
      <w:pPr>
        <w:autoSpaceDE w:val="0"/>
        <w:autoSpaceDN w:val="0"/>
        <w:adjustRightInd w:val="0"/>
        <w:spacing w:before="0" w:beforeAutospacing="0" w:after="0" w:afterAutospacing="0"/>
        <w:rPr>
          <w:rFonts w:eastAsia="Times New Roman"/>
          <w:szCs w:val="24"/>
        </w:rPr>
      </w:pPr>
      <w:proofErr w:type="spellStart"/>
      <w:r w:rsidRPr="00B4090A">
        <w:rPr>
          <w:rFonts w:eastAsia="Times New Roman"/>
          <w:szCs w:val="24"/>
        </w:rPr>
        <w:lastRenderedPageBreak/>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-based method was used to find out how much tannin was in the sample. In a 10 mL volumetric flask, 0.1 mL of extract, 7.5 mL of distilled water, 0.5 mL of </w:t>
      </w:r>
      <w:proofErr w:type="spellStart"/>
      <w:r w:rsidRPr="00B4090A">
        <w:rPr>
          <w:rFonts w:eastAsia="Times New Roman"/>
          <w:szCs w:val="24"/>
        </w:rPr>
        <w:t>Folin</w:t>
      </w:r>
      <w:proofErr w:type="spellEnd"/>
      <w:r w:rsidRPr="00B4090A">
        <w:rPr>
          <w:rFonts w:eastAsia="Times New Roman"/>
          <w:szCs w:val="24"/>
        </w:rPr>
        <w:t>–</w:t>
      </w:r>
      <w:proofErr w:type="spellStart"/>
      <w:r w:rsidRPr="00B4090A">
        <w:rPr>
          <w:rFonts w:eastAsia="Times New Roman"/>
          <w:szCs w:val="24"/>
        </w:rPr>
        <w:t>Ciocalteu</w:t>
      </w:r>
      <w:proofErr w:type="spellEnd"/>
      <w:r w:rsidRPr="00B4090A">
        <w:rPr>
          <w:rFonts w:eastAsia="Times New Roman"/>
          <w:szCs w:val="24"/>
        </w:rPr>
        <w:t xml:space="preserve"> reagent, and 1 mL of 35% sodium carbonate were mixed together. The mixture was shaken and then left for 30 minutes to let the color fully develop. Gallic acid standards (20–100 </w:t>
      </w:r>
      <w:proofErr w:type="spellStart"/>
      <w:r w:rsidRPr="00B4090A">
        <w:rPr>
          <w:rFonts w:eastAsia="Times New Roman"/>
          <w:szCs w:val="24"/>
        </w:rPr>
        <w:t>μg</w:t>
      </w:r>
      <w:proofErr w:type="spellEnd"/>
      <w:r w:rsidRPr="00B4090A">
        <w:rPr>
          <w:rFonts w:eastAsia="Times New Roman"/>
          <w:szCs w:val="24"/>
        </w:rPr>
        <w:t>/mL) was made the same way. UV/Visible spectrophotometer (LAMBDA 1050+; PerkinElmer, USA) was used to measure absorbance at 725 nm. The results were g</w:t>
      </w:r>
      <w:r w:rsidR="00A11A6F" w:rsidRPr="00B4090A">
        <w:rPr>
          <w:rFonts w:eastAsia="Times New Roman"/>
          <w:szCs w:val="24"/>
        </w:rPr>
        <w:t xml:space="preserve">iven in mg GAE per g of extract </w:t>
      </w:r>
      <w:r w:rsidR="00A11A6F" w:rsidRPr="00B4090A">
        <w:rPr>
          <w:szCs w:val="24"/>
        </w:rPr>
        <w:t xml:space="preserve">(Adepoju </w:t>
      </w:r>
      <w:r w:rsidR="00A11A6F" w:rsidRPr="00B4090A">
        <w:rPr>
          <w:i/>
          <w:szCs w:val="24"/>
        </w:rPr>
        <w:t>et al</w:t>
      </w:r>
      <w:r w:rsidR="00A11A6F" w:rsidRPr="00B4090A">
        <w:rPr>
          <w:szCs w:val="24"/>
        </w:rPr>
        <w:t>. 2024).</w:t>
      </w:r>
    </w:p>
    <w:p w14:paraId="45DFB864" w14:textId="77777777" w:rsidR="00691800" w:rsidRPr="00B4090A" w:rsidRDefault="00691800" w:rsidP="00691800">
      <w:pPr>
        <w:autoSpaceDE w:val="0"/>
        <w:autoSpaceDN w:val="0"/>
        <w:adjustRightInd w:val="0"/>
        <w:spacing w:before="0" w:beforeAutospacing="0" w:after="0" w:afterAutospacing="0"/>
        <w:rPr>
          <w:b/>
          <w:iCs/>
          <w:szCs w:val="24"/>
        </w:rPr>
      </w:pPr>
      <w:r w:rsidRPr="00B4090A">
        <w:rPr>
          <w:rFonts w:eastAsia="Times New Roman"/>
          <w:szCs w:val="24"/>
        </w:rPr>
        <w:br/>
      </w:r>
      <w:r w:rsidR="00A11A6F" w:rsidRPr="00B4090A">
        <w:rPr>
          <w:rFonts w:eastAsia="Times New Roman"/>
          <w:b/>
          <w:szCs w:val="24"/>
        </w:rPr>
        <w:t xml:space="preserve">2.3.2.5 </w:t>
      </w:r>
      <w:r w:rsidRPr="00B4090A">
        <w:rPr>
          <w:b/>
          <w:iCs/>
          <w:szCs w:val="24"/>
        </w:rPr>
        <w:t>Determination of Total Flavonoid Content</w:t>
      </w:r>
    </w:p>
    <w:p w14:paraId="32B1B49D" w14:textId="77777777" w:rsidR="00691800" w:rsidRPr="00B4090A" w:rsidRDefault="00691800" w:rsidP="00691800">
      <w:pPr>
        <w:autoSpaceDE w:val="0"/>
        <w:autoSpaceDN w:val="0"/>
        <w:adjustRightInd w:val="0"/>
        <w:spacing w:before="0" w:beforeAutospacing="0" w:after="0" w:afterAutospacing="0"/>
        <w:rPr>
          <w:szCs w:val="24"/>
        </w:rPr>
      </w:pPr>
      <w:r w:rsidRPr="00B4090A">
        <w:rPr>
          <w:rFonts w:eastAsia="Times New Roman"/>
          <w:szCs w:val="24"/>
        </w:rPr>
        <w:t xml:space="preserve">Aluminum chloride colorimetric method was used to determine how much flavonoid was in the sample. One milliliter of the extract was mixed with four milliliters of distilled water in a 10 mL volumetric flask. After five minutes, 0.3 mL of 5% sodium nitrite and 0.3 mL of 10% aluminum chloride were added. After 5 more minutes, 2 mL of 1 M sodium hydroxide was added, and distilled water was used to fill the mixture to the right level. Quercetin standards (20–100 </w:t>
      </w:r>
      <w:proofErr w:type="spellStart"/>
      <w:r w:rsidRPr="00B4090A">
        <w:rPr>
          <w:rFonts w:eastAsia="Times New Roman"/>
          <w:szCs w:val="24"/>
        </w:rPr>
        <w:t>μg</w:t>
      </w:r>
      <w:proofErr w:type="spellEnd"/>
      <w:r w:rsidRPr="00B4090A">
        <w:rPr>
          <w:rFonts w:eastAsia="Times New Roman"/>
          <w:szCs w:val="24"/>
        </w:rPr>
        <w:t xml:space="preserve">/mL) was made and processed in the same way. A UV/Visible spectrophotometer (LAMBDA 1050+; PerkinElmer, USA) was used to read the absorbance at 510 nm against a reagent blank. The </w:t>
      </w:r>
      <w:proofErr w:type="gramStart"/>
      <w:r w:rsidRPr="00B4090A">
        <w:rPr>
          <w:rFonts w:eastAsia="Times New Roman"/>
          <w:szCs w:val="24"/>
        </w:rPr>
        <w:t>amount</w:t>
      </w:r>
      <w:proofErr w:type="gramEnd"/>
      <w:r w:rsidRPr="00B4090A">
        <w:rPr>
          <w:rFonts w:eastAsia="Times New Roman"/>
          <w:szCs w:val="24"/>
        </w:rPr>
        <w:t xml:space="preserve"> of flavonoids was given in mg quercetin equivalen</w:t>
      </w:r>
      <w:r w:rsidR="00A11A6F" w:rsidRPr="00B4090A">
        <w:rPr>
          <w:rFonts w:eastAsia="Times New Roman"/>
          <w:szCs w:val="24"/>
        </w:rPr>
        <w:t xml:space="preserve">t (QE) per g of extract </w:t>
      </w:r>
      <w:r w:rsidR="00A11A6F" w:rsidRPr="00B4090A">
        <w:rPr>
          <w:szCs w:val="24"/>
        </w:rPr>
        <w:t xml:space="preserve">(Shraim </w:t>
      </w:r>
      <w:r w:rsidR="00A11A6F" w:rsidRPr="00B4090A">
        <w:rPr>
          <w:i/>
          <w:szCs w:val="24"/>
        </w:rPr>
        <w:t>et al</w:t>
      </w:r>
      <w:r w:rsidR="00A11A6F" w:rsidRPr="00B4090A">
        <w:rPr>
          <w:szCs w:val="24"/>
        </w:rPr>
        <w:t>. 2021).</w:t>
      </w:r>
    </w:p>
    <w:p w14:paraId="666AAE2B" w14:textId="77777777" w:rsidR="00A11A6F" w:rsidRPr="00B4090A" w:rsidRDefault="00A11A6F" w:rsidP="00691800">
      <w:pPr>
        <w:autoSpaceDE w:val="0"/>
        <w:autoSpaceDN w:val="0"/>
        <w:adjustRightInd w:val="0"/>
        <w:spacing w:before="0" w:beforeAutospacing="0" w:after="0" w:afterAutospacing="0"/>
        <w:rPr>
          <w:rFonts w:eastAsia="Times New Roman"/>
          <w:szCs w:val="24"/>
        </w:rPr>
      </w:pPr>
    </w:p>
    <w:p w14:paraId="25A89E3C" w14:textId="77777777" w:rsidR="00A11A6F" w:rsidRPr="00B4090A" w:rsidRDefault="00A11A6F" w:rsidP="00A11A6F">
      <w:pPr>
        <w:spacing w:before="0" w:beforeAutospacing="0" w:after="0" w:afterAutospacing="0"/>
        <w:rPr>
          <w:b/>
          <w:szCs w:val="24"/>
        </w:rPr>
      </w:pPr>
      <w:r w:rsidRPr="00B4090A">
        <w:rPr>
          <w:b/>
          <w:szCs w:val="24"/>
        </w:rPr>
        <w:t xml:space="preserve">2.4 Antimicrobial Susceptibility Test  </w:t>
      </w:r>
    </w:p>
    <w:p w14:paraId="50CB2BE1" w14:textId="77777777" w:rsidR="00897796" w:rsidRPr="00F07975" w:rsidRDefault="00897796" w:rsidP="00F07975">
      <w:pPr>
        <w:pStyle w:val="Default"/>
        <w:spacing w:line="360" w:lineRule="auto"/>
        <w:rPr>
          <w:szCs w:val="24"/>
          <w14:ligatures w14:val="none"/>
        </w:rPr>
      </w:pPr>
      <w:r>
        <w:t xml:space="preserve">Agar diffusion and broth dilution methods were used to test the antimicrobial activity of the extracts of </w:t>
      </w:r>
      <w:proofErr w:type="spellStart"/>
      <w:r>
        <w:rPr>
          <w:rStyle w:val="Emphasis"/>
        </w:rPr>
        <w:t>Diodia</w:t>
      </w:r>
      <w:proofErr w:type="spellEnd"/>
      <w:r>
        <w:rPr>
          <w:rStyle w:val="Emphasis"/>
        </w:rPr>
        <w:t xml:space="preserve"> scandens</w:t>
      </w:r>
      <w:r>
        <w:t xml:space="preserve"> against selected pathogenic bacteria and fungi: </w:t>
      </w:r>
      <w:r>
        <w:rPr>
          <w:rStyle w:val="Emphasis"/>
        </w:rPr>
        <w:t>Staphylococcus aureus</w:t>
      </w:r>
      <w:r>
        <w:t xml:space="preserve">, </w:t>
      </w:r>
      <w:r>
        <w:rPr>
          <w:rStyle w:val="Emphasis"/>
        </w:rPr>
        <w:t>Escherichia coli</w:t>
      </w:r>
      <w:r>
        <w:t xml:space="preserve">, </w:t>
      </w:r>
      <w:r>
        <w:rPr>
          <w:rStyle w:val="Emphasis"/>
        </w:rPr>
        <w:t>Candida albicans</w:t>
      </w:r>
      <w:r>
        <w:t xml:space="preserve">, and </w:t>
      </w:r>
      <w:r>
        <w:rPr>
          <w:rStyle w:val="Emphasis"/>
        </w:rPr>
        <w:t xml:space="preserve">Aspergillus </w:t>
      </w:r>
      <w:proofErr w:type="spellStart"/>
      <w:r>
        <w:rPr>
          <w:rStyle w:val="Emphasis"/>
        </w:rPr>
        <w:t>niger</w:t>
      </w:r>
      <w:proofErr w:type="spellEnd"/>
      <w:r>
        <w:t xml:space="preserve">. All antimicrobial tests were done in a laminar airflow cabinet under sterile conditions to prevent contamination. Before use, the cabinet was cleaned and ultraviolet light was turned on for 30 minutes. </w:t>
      </w:r>
      <w:r w:rsidR="00582A0E">
        <w:t xml:space="preserve">The microbial strains used in this study were </w:t>
      </w:r>
      <w:r w:rsidR="00582A0E" w:rsidRPr="00582A0E">
        <w:rPr>
          <w:rStyle w:val="Strong"/>
          <w:b w:val="0"/>
        </w:rPr>
        <w:t>ATCC 25923 (</w:t>
      </w:r>
      <w:r w:rsidR="00582A0E" w:rsidRPr="00582A0E">
        <w:rPr>
          <w:rStyle w:val="Strong"/>
          <w:b w:val="0"/>
          <w:i/>
        </w:rPr>
        <w:t>Staphylococcus aureus</w:t>
      </w:r>
      <w:r w:rsidR="00582A0E" w:rsidRPr="00582A0E">
        <w:rPr>
          <w:rStyle w:val="Strong"/>
          <w:b w:val="0"/>
        </w:rPr>
        <w:t>),</w:t>
      </w:r>
      <w:r w:rsidR="00582A0E">
        <w:rPr>
          <w:rStyle w:val="Strong"/>
        </w:rPr>
        <w:t xml:space="preserve"> </w:t>
      </w:r>
      <w:r w:rsidR="00582A0E" w:rsidRPr="00582A0E">
        <w:rPr>
          <w:rStyle w:val="Strong"/>
          <w:b w:val="0"/>
        </w:rPr>
        <w:t>ATCC 25922 (</w:t>
      </w:r>
      <w:r w:rsidR="00582A0E" w:rsidRPr="00582A0E">
        <w:rPr>
          <w:rStyle w:val="Strong"/>
          <w:b w:val="0"/>
          <w:i/>
        </w:rPr>
        <w:t>Escherichia coli</w:t>
      </w:r>
      <w:r w:rsidR="00582A0E" w:rsidRPr="00582A0E">
        <w:rPr>
          <w:rStyle w:val="Strong"/>
          <w:b w:val="0"/>
        </w:rPr>
        <w:t xml:space="preserve">), ATCC 10231 (Candida albicans), and ATCC 16404 (Aspergillus </w:t>
      </w:r>
      <w:proofErr w:type="spellStart"/>
      <w:r w:rsidR="00582A0E" w:rsidRPr="00582A0E">
        <w:rPr>
          <w:rStyle w:val="Strong"/>
          <w:b w:val="0"/>
        </w:rPr>
        <w:t>niger</w:t>
      </w:r>
      <w:proofErr w:type="spellEnd"/>
      <w:r w:rsidR="00582A0E">
        <w:rPr>
          <w:rStyle w:val="Strong"/>
          <w:b w:val="0"/>
        </w:rPr>
        <w:t>)</w:t>
      </w:r>
      <w:r w:rsidR="00582A0E">
        <w:t xml:space="preserve">. </w:t>
      </w:r>
      <w:r>
        <w:t xml:space="preserve">Mueller–Hinton agar was prepared according to the manufacturer's instructions, sterilized at 121 °C for 15 minutes, and cooled before being poured into sterile Petri dishes. </w:t>
      </w:r>
      <w:r w:rsidRPr="007A7320">
        <w:rPr>
          <w:rStyle w:val="Strong"/>
          <w:b w:val="0"/>
        </w:rPr>
        <w:t>0.1 mL of standardized microbial inoculum was added to the solidified agar plates</w:t>
      </w:r>
      <w:r>
        <w:rPr>
          <w:rStyle w:val="Strong"/>
        </w:rPr>
        <w:t>,</w:t>
      </w:r>
      <w:r>
        <w:t xml:space="preserve"> using a sterile swab to spread the inoculum evenly over the agar surface. Then, using a sterile </w:t>
      </w:r>
      <w:proofErr w:type="spellStart"/>
      <w:r>
        <w:t>cork</w:t>
      </w:r>
      <w:proofErr w:type="spellEnd"/>
      <w:r>
        <w:t xml:space="preserve"> borer, wells with a diameter of 6 mm were bored aseptically. To make each crude extract solution, 10 mg of the extract was dissolved in 1 mL of dimethyl sulfoxide (DMSO) to create a solution with a concentration of 10 mg/</w:t>
      </w:r>
      <w:proofErr w:type="spellStart"/>
      <w:r>
        <w:t>mL.</w:t>
      </w:r>
      <w:proofErr w:type="spellEnd"/>
      <w:r>
        <w:t xml:space="preserve"> </w:t>
      </w:r>
      <w:r w:rsidRPr="007A7320">
        <w:rPr>
          <w:rStyle w:val="Strong"/>
          <w:b w:val="0"/>
        </w:rPr>
        <w:lastRenderedPageBreak/>
        <w:t>A pure DMSO control was added to separate wells on the same plate to prove the solvent itself was not responsible for the inhibition</w:t>
      </w:r>
      <w:r>
        <w:rPr>
          <w:rStyle w:val="Strong"/>
        </w:rPr>
        <w:t>.</w:t>
      </w:r>
      <w:r w:rsidR="00F07975" w:rsidRPr="00F07975">
        <w:t xml:space="preserve"> </w:t>
      </w:r>
      <w:r w:rsidR="00F07975">
        <w:t xml:space="preserve"> </w:t>
      </w:r>
      <w:r w:rsidR="00F07975" w:rsidRPr="00F07975">
        <w:rPr>
          <w:sz w:val="23"/>
          <w:szCs w:val="23"/>
        </w:rPr>
        <w:t xml:space="preserve">Ciprofloxacin </w:t>
      </w:r>
      <w:r w:rsidR="00F07975">
        <w:rPr>
          <w:sz w:val="23"/>
          <w:szCs w:val="23"/>
        </w:rPr>
        <w:t xml:space="preserve">was used </w:t>
      </w:r>
      <w:r w:rsidR="00F07975" w:rsidRPr="00F07975">
        <w:rPr>
          <w:sz w:val="23"/>
          <w:szCs w:val="23"/>
        </w:rPr>
        <w:t xml:space="preserve">as a control for </w:t>
      </w:r>
      <w:r w:rsidR="00F07975" w:rsidRPr="00F07975">
        <w:rPr>
          <w:i/>
          <w:iCs/>
          <w:sz w:val="23"/>
          <w:szCs w:val="23"/>
        </w:rPr>
        <w:t xml:space="preserve">S. aureus </w:t>
      </w:r>
      <w:r w:rsidR="00F07975" w:rsidRPr="00F07975">
        <w:rPr>
          <w:sz w:val="23"/>
          <w:szCs w:val="23"/>
        </w:rPr>
        <w:t xml:space="preserve">and </w:t>
      </w:r>
      <w:r w:rsidR="00F07975" w:rsidRPr="00F07975">
        <w:rPr>
          <w:i/>
          <w:iCs/>
          <w:sz w:val="23"/>
          <w:szCs w:val="23"/>
        </w:rPr>
        <w:t>E. coli</w:t>
      </w:r>
      <w:r w:rsidR="00F07975" w:rsidRPr="00F07975">
        <w:rPr>
          <w:sz w:val="23"/>
          <w:szCs w:val="23"/>
        </w:rPr>
        <w:t xml:space="preserve">, and Ketoconazole for </w:t>
      </w:r>
      <w:r w:rsidR="00F07975" w:rsidRPr="00F07975">
        <w:rPr>
          <w:i/>
          <w:iCs/>
          <w:sz w:val="23"/>
          <w:szCs w:val="23"/>
        </w:rPr>
        <w:t xml:space="preserve">C. albicans </w:t>
      </w:r>
      <w:r w:rsidR="00F07975" w:rsidRPr="00F07975">
        <w:rPr>
          <w:sz w:val="23"/>
          <w:szCs w:val="23"/>
        </w:rPr>
        <w:t xml:space="preserve">and </w:t>
      </w:r>
      <w:r w:rsidR="00F07975" w:rsidRPr="00F07975">
        <w:rPr>
          <w:i/>
          <w:iCs/>
          <w:sz w:val="23"/>
          <w:szCs w:val="23"/>
        </w:rPr>
        <w:t xml:space="preserve">A. </w:t>
      </w:r>
      <w:proofErr w:type="spellStart"/>
      <w:r w:rsidR="00F07975" w:rsidRPr="00F07975">
        <w:rPr>
          <w:i/>
          <w:iCs/>
          <w:sz w:val="23"/>
          <w:szCs w:val="23"/>
        </w:rPr>
        <w:t>niger</w:t>
      </w:r>
      <w:proofErr w:type="spellEnd"/>
      <w:r w:rsidR="00F07975">
        <w:rPr>
          <w:sz w:val="23"/>
          <w:szCs w:val="23"/>
        </w:rPr>
        <w:t xml:space="preserve">. </w:t>
      </w:r>
      <w:r w:rsidR="00F07975" w:rsidRPr="00F07975">
        <w:rPr>
          <w:sz w:val="23"/>
          <w:szCs w:val="23"/>
        </w:rPr>
        <w:t>They are the gold standard</w:t>
      </w:r>
      <w:r w:rsidR="00F07975">
        <w:rPr>
          <w:sz w:val="23"/>
          <w:szCs w:val="23"/>
        </w:rPr>
        <w:t xml:space="preserve">s for these specific pathogens. </w:t>
      </w:r>
      <w:r>
        <w:t xml:space="preserve">The agar well diffusion method was used by adding 0.1 mL of the extract solution to the wells of the agar plates that had already been inoculated. The plates were left at room temperature to pre-diffuse, and then placed in an incubator at 37 °C for 24 hours for bacterial isolates and at </w:t>
      </w:r>
      <w:r w:rsidRPr="007A7320">
        <w:rPr>
          <w:rStyle w:val="Strong"/>
          <w:b w:val="0"/>
        </w:rPr>
        <w:t>28°C for 48–72 hours for fungal isolates</w:t>
      </w:r>
      <w:r>
        <w:t>. A clear ruler was used to measure the zones of inhibition around the wells in millimeters after the incubation period (Gajic et al., 2022).</w:t>
      </w:r>
    </w:p>
    <w:p w14:paraId="1D5F268A" w14:textId="77777777" w:rsidR="00691800" w:rsidRPr="00687C80" w:rsidRDefault="005731D8" w:rsidP="00687C80">
      <w:pPr>
        <w:rPr>
          <w:rFonts w:eastAsia="Times New Roman"/>
          <w:szCs w:val="24"/>
        </w:rPr>
      </w:pPr>
      <w:r w:rsidRPr="00B4090A">
        <w:rPr>
          <w:rFonts w:eastAsia="Times New Roman"/>
          <w:b/>
          <w:szCs w:val="24"/>
        </w:rPr>
        <w:t xml:space="preserve">2.4.1 </w:t>
      </w:r>
      <w:r w:rsidR="00691800" w:rsidRPr="00B4090A">
        <w:rPr>
          <w:rFonts w:eastAsia="Times New Roman"/>
          <w:b/>
          <w:szCs w:val="24"/>
        </w:rPr>
        <w:t xml:space="preserve">Determination of </w:t>
      </w:r>
      <w:r w:rsidR="00A11A6F" w:rsidRPr="00B4090A">
        <w:rPr>
          <w:rFonts w:eastAsia="Times New Roman"/>
          <w:b/>
          <w:szCs w:val="24"/>
        </w:rPr>
        <w:t xml:space="preserve">Minimum Microbicidal Concentration </w:t>
      </w:r>
      <w:r w:rsidR="00691800" w:rsidRPr="00B4090A">
        <w:rPr>
          <w:rFonts w:eastAsia="Times New Roman"/>
          <w:b/>
          <w:szCs w:val="24"/>
        </w:rPr>
        <w:t xml:space="preserve">(MMC) and </w:t>
      </w:r>
      <w:r w:rsidR="00A11A6F" w:rsidRPr="00B4090A">
        <w:rPr>
          <w:rFonts w:eastAsia="Times New Roman"/>
          <w:b/>
          <w:szCs w:val="24"/>
        </w:rPr>
        <w:t>Minimum Inhibitory Concentration </w:t>
      </w:r>
      <w:r w:rsidR="00691800" w:rsidRPr="00B4090A">
        <w:rPr>
          <w:rFonts w:eastAsia="Times New Roman"/>
          <w:b/>
          <w:szCs w:val="24"/>
        </w:rPr>
        <w:t>(MIC)</w:t>
      </w:r>
      <w:r w:rsidR="00691800" w:rsidRPr="00B4090A">
        <w:rPr>
          <w:rFonts w:eastAsia="Times New Roman"/>
          <w:szCs w:val="24"/>
        </w:rPr>
        <w:t xml:space="preserve"> </w:t>
      </w:r>
      <w:r w:rsidR="00691800" w:rsidRPr="00B4090A">
        <w:rPr>
          <w:rFonts w:eastAsia="Times New Roman"/>
          <w:szCs w:val="24"/>
        </w:rPr>
        <w:br/>
        <w:t>Following the Clinical and Laboratory Standards Institute (CLSI) guidelines, the broth dilution method was used to determine the Minimum Inhibitory Concentration (MIC) of the extracts. Mueller–Hinton broth was made, sterilized, and then kept in sterile test tubes. The mic</w:t>
      </w:r>
      <w:r w:rsidR="00F07975">
        <w:rPr>
          <w:rFonts w:eastAsia="Times New Roman"/>
          <w:szCs w:val="24"/>
        </w:rPr>
        <w:t>robial suspensions were</w:t>
      </w:r>
      <w:r w:rsidR="00691800" w:rsidRPr="00B4090A">
        <w:rPr>
          <w:rFonts w:eastAsia="Times New Roman"/>
          <w:szCs w:val="24"/>
        </w:rPr>
        <w:t xml:space="preserve"> changed </w:t>
      </w:r>
      <w:proofErr w:type="gramStart"/>
      <w:r w:rsidR="00691800" w:rsidRPr="00B4090A">
        <w:rPr>
          <w:rFonts w:eastAsia="Times New Roman"/>
          <w:szCs w:val="24"/>
        </w:rPr>
        <w:t>to  0.5</w:t>
      </w:r>
      <w:proofErr w:type="gramEnd"/>
      <w:r w:rsidR="00691800" w:rsidRPr="00B4090A">
        <w:rPr>
          <w:rFonts w:eastAsia="Times New Roman"/>
          <w:szCs w:val="24"/>
        </w:rPr>
        <w:t xml:space="preserve"> McFarland standard, which is about 1.5 × 10⁸ CFU/</w:t>
      </w:r>
      <w:proofErr w:type="spellStart"/>
      <w:r w:rsidR="00691800" w:rsidRPr="00B4090A">
        <w:rPr>
          <w:rFonts w:eastAsia="Times New Roman"/>
          <w:szCs w:val="24"/>
        </w:rPr>
        <w:t>mL.</w:t>
      </w:r>
      <w:proofErr w:type="spellEnd"/>
      <w:r w:rsidR="00691800" w:rsidRPr="00B4090A">
        <w:rPr>
          <w:rFonts w:eastAsia="Times New Roman"/>
          <w:szCs w:val="24"/>
        </w:rPr>
        <w:t xml:space="preserve"> To get concentrations of 5 mg/mL, 2.5 mg/mL, 1.25 mg/mL, and 0.62 mg/mL, the extract stock solution was diluted in a series. 0.1 mL of the standardized microbial suspension was added in each tube and allowed to grow at 37 °C for 24 hours. The MIC was noted as the lowest amount of extracts that doesn't make the solution cloudy. </w:t>
      </w:r>
      <w:r w:rsidR="00691800" w:rsidRPr="00B4090A">
        <w:rPr>
          <w:rFonts w:eastAsia="Times New Roman"/>
          <w:szCs w:val="24"/>
        </w:rPr>
        <w:br/>
        <w:t xml:space="preserve">The Minimum Microbicidal Concentration (MMC) was measured by taking samples from MIC tubes that did not show any visible growth, putting them on freshly made Mueller–Hinton agar plates. The plates </w:t>
      </w:r>
      <w:proofErr w:type="gramStart"/>
      <w:r w:rsidR="00691800" w:rsidRPr="00B4090A">
        <w:rPr>
          <w:rFonts w:eastAsia="Times New Roman"/>
          <w:szCs w:val="24"/>
        </w:rPr>
        <w:t>was</w:t>
      </w:r>
      <w:proofErr w:type="gramEnd"/>
      <w:r w:rsidR="00691800" w:rsidRPr="00B4090A">
        <w:rPr>
          <w:rFonts w:eastAsia="Times New Roman"/>
          <w:szCs w:val="24"/>
        </w:rPr>
        <w:t xml:space="preserve"> kept at 37 °C for 24 hours. The MMC was the lowest concentration of extract that doesn't cause any visible micro</w:t>
      </w:r>
      <w:r w:rsidRPr="00B4090A">
        <w:rPr>
          <w:rFonts w:eastAsia="Times New Roman"/>
          <w:szCs w:val="24"/>
        </w:rPr>
        <w:t>bial growth on the agar plates (</w:t>
      </w:r>
      <w:r w:rsidRPr="00B4090A">
        <w:rPr>
          <w:color w:val="222222"/>
          <w:szCs w:val="24"/>
          <w:shd w:val="clear" w:color="auto" w:fill="FFFFFF"/>
        </w:rPr>
        <w:t xml:space="preserve">Gajic </w:t>
      </w:r>
      <w:r w:rsidR="00B4090A" w:rsidRPr="00B4090A">
        <w:rPr>
          <w:i/>
          <w:color w:val="222222"/>
          <w:szCs w:val="24"/>
          <w:shd w:val="clear" w:color="auto" w:fill="FFFFFF"/>
        </w:rPr>
        <w:t>et al</w:t>
      </w:r>
      <w:r w:rsidRPr="00B4090A">
        <w:rPr>
          <w:color w:val="222222"/>
          <w:szCs w:val="24"/>
          <w:shd w:val="clear" w:color="auto" w:fill="FFFFFF"/>
        </w:rPr>
        <w:t>., 2022).</w:t>
      </w:r>
    </w:p>
    <w:p w14:paraId="665640C4" w14:textId="77777777" w:rsidR="00691800" w:rsidRPr="00B4090A" w:rsidRDefault="005731D8" w:rsidP="00691800">
      <w:pPr>
        <w:spacing w:before="0" w:beforeAutospacing="0" w:after="0" w:afterAutospacing="0"/>
        <w:jc w:val="left"/>
        <w:rPr>
          <w:b/>
          <w:szCs w:val="24"/>
        </w:rPr>
      </w:pPr>
      <w:r w:rsidRPr="00B4090A">
        <w:rPr>
          <w:b/>
          <w:szCs w:val="24"/>
        </w:rPr>
        <w:t xml:space="preserve">3. </w:t>
      </w:r>
      <w:r w:rsidR="00691800" w:rsidRPr="00B4090A">
        <w:rPr>
          <w:b/>
          <w:szCs w:val="24"/>
        </w:rPr>
        <w:t>Results and discussion</w:t>
      </w:r>
    </w:p>
    <w:p w14:paraId="15FF87BB" w14:textId="77777777" w:rsidR="00691800" w:rsidRPr="00B4090A" w:rsidRDefault="005731D8" w:rsidP="00691800">
      <w:pPr>
        <w:autoSpaceDE w:val="0"/>
        <w:autoSpaceDN w:val="0"/>
        <w:adjustRightInd w:val="0"/>
        <w:spacing w:before="0" w:beforeAutospacing="0" w:after="0" w:afterAutospacing="0"/>
        <w:rPr>
          <w:rStyle w:val="Emphasis"/>
          <w:b/>
          <w:i w:val="0"/>
          <w:szCs w:val="24"/>
        </w:rPr>
      </w:pPr>
      <w:r w:rsidRPr="00B4090A">
        <w:rPr>
          <w:rStyle w:val="Emphasis"/>
          <w:b/>
          <w:i w:val="0"/>
          <w:szCs w:val="24"/>
        </w:rPr>
        <w:t>3.1 The extraction yield</w:t>
      </w:r>
    </w:p>
    <w:p w14:paraId="0706D353" w14:textId="77777777" w:rsidR="00691800" w:rsidRPr="00B4090A" w:rsidRDefault="00691800" w:rsidP="00422730">
      <w:pPr>
        <w:pStyle w:val="NormalWeb"/>
        <w:spacing w:line="360" w:lineRule="auto"/>
        <w:rPr>
          <w:iCs/>
          <w:szCs w:val="24"/>
        </w:rPr>
      </w:pPr>
      <w:r w:rsidRPr="00B4090A">
        <w:rPr>
          <w:rStyle w:val="Emphasis"/>
          <w:i w:val="0"/>
          <w:szCs w:val="24"/>
        </w:rPr>
        <w:t xml:space="preserve">The extraction yield (%) of the successive extracts of the aerial parts of </w:t>
      </w:r>
      <w:proofErr w:type="spellStart"/>
      <w:r w:rsidR="00F47CE3" w:rsidRPr="00F47CE3">
        <w:rPr>
          <w:rStyle w:val="Emphasis"/>
          <w:szCs w:val="24"/>
        </w:rPr>
        <w:t>Diodia</w:t>
      </w:r>
      <w:proofErr w:type="spellEnd"/>
      <w:r w:rsidR="00F47CE3" w:rsidRPr="00F47CE3">
        <w:rPr>
          <w:rStyle w:val="Emphasis"/>
          <w:szCs w:val="24"/>
        </w:rPr>
        <w:t xml:space="preserve"> scandens</w:t>
      </w:r>
      <w:r w:rsidRPr="00B4090A">
        <w:rPr>
          <w:rStyle w:val="Emphasis"/>
          <w:i w:val="0"/>
          <w:szCs w:val="24"/>
        </w:rPr>
        <w:t xml:space="preserve"> is presented in Figure 1. The yields for n-hexane, ethyl acetate, and ethanol were 2.95%, 4.04%, and 4.06%, respectively. The yield generally increased from the non-polar (n-hexane) extract to the more polar ethyl acetate and ethanol extracts. This pattern suggests that a larger part of the plant's extractable parts </w:t>
      </w:r>
      <w:proofErr w:type="gramStart"/>
      <w:r w:rsidRPr="00B4090A">
        <w:rPr>
          <w:rStyle w:val="Emphasis"/>
          <w:i w:val="0"/>
          <w:szCs w:val="24"/>
        </w:rPr>
        <w:t>are</w:t>
      </w:r>
      <w:proofErr w:type="gramEnd"/>
      <w:r w:rsidRPr="00B4090A">
        <w:rPr>
          <w:rStyle w:val="Emphasis"/>
          <w:i w:val="0"/>
          <w:szCs w:val="24"/>
        </w:rPr>
        <w:t xml:space="preserve"> semi-polar to polar. This fits with the knowledge that more polar solvents often get a wider range of </w:t>
      </w:r>
      <w:r w:rsidRPr="00B4090A">
        <w:rPr>
          <w:rStyle w:val="Emphasis"/>
          <w:i w:val="0"/>
          <w:szCs w:val="24"/>
        </w:rPr>
        <w:lastRenderedPageBreak/>
        <w:t xml:space="preserve">secondary metabolites. The ethyl acetate and ethanol extracts yields are relatively close, which imply that semi-polar to polar solvents can get higher secondary metabolites out of </w:t>
      </w:r>
      <w:proofErr w:type="spellStart"/>
      <w:r w:rsidRPr="00B4090A">
        <w:rPr>
          <w:rStyle w:val="Emphasis"/>
          <w:szCs w:val="24"/>
        </w:rPr>
        <w:t>Diodia</w:t>
      </w:r>
      <w:proofErr w:type="spellEnd"/>
      <w:r w:rsidRPr="00B4090A">
        <w:rPr>
          <w:rStyle w:val="Emphasis"/>
          <w:szCs w:val="24"/>
        </w:rPr>
        <w:t xml:space="preserve"> scandens</w:t>
      </w:r>
      <w:r w:rsidRPr="00B4090A">
        <w:rPr>
          <w:rStyle w:val="Emphasis"/>
          <w:i w:val="0"/>
          <w:szCs w:val="24"/>
        </w:rPr>
        <w:t xml:space="preserve">. The lower yield of n-hexane (2.95%) indicates that the aerial parts of </w:t>
      </w:r>
      <w:proofErr w:type="spellStart"/>
      <w:r w:rsidRPr="00B4090A">
        <w:rPr>
          <w:rStyle w:val="Emphasis"/>
          <w:szCs w:val="24"/>
        </w:rPr>
        <w:t>Diodia</w:t>
      </w:r>
      <w:proofErr w:type="spellEnd"/>
      <w:r w:rsidRPr="00B4090A">
        <w:rPr>
          <w:rStyle w:val="Emphasis"/>
          <w:szCs w:val="24"/>
        </w:rPr>
        <w:t xml:space="preserve"> scandens </w:t>
      </w:r>
      <w:r w:rsidRPr="00B4090A">
        <w:rPr>
          <w:rStyle w:val="Emphasis"/>
          <w:i w:val="0"/>
          <w:szCs w:val="24"/>
        </w:rPr>
        <w:t xml:space="preserve">contain fewer non-polar extractives, such as waxes and non-polar terpenes. </w:t>
      </w:r>
      <w:r w:rsidR="00422730" w:rsidRPr="00B4090A">
        <w:rPr>
          <w:rStyle w:val="Emphasis"/>
          <w:i w:val="0"/>
          <w:szCs w:val="24"/>
        </w:rPr>
        <w:t xml:space="preserve">The yield obtained in this study is similar to that of </w:t>
      </w:r>
      <w:proofErr w:type="spellStart"/>
      <w:r w:rsidR="00422730" w:rsidRPr="00B4090A">
        <w:rPr>
          <w:rStyle w:val="Emphasis"/>
          <w:i w:val="0"/>
          <w:szCs w:val="24"/>
        </w:rPr>
        <w:t>Akpuaka</w:t>
      </w:r>
      <w:proofErr w:type="spellEnd"/>
      <w:r w:rsidR="00422730" w:rsidRPr="00B4090A">
        <w:rPr>
          <w:rStyle w:val="Emphasis"/>
          <w:i w:val="0"/>
          <w:szCs w:val="24"/>
        </w:rPr>
        <w:t xml:space="preserve"> </w:t>
      </w:r>
      <w:r w:rsidR="00B4090A" w:rsidRPr="00B4090A">
        <w:rPr>
          <w:rStyle w:val="Emphasis"/>
          <w:szCs w:val="24"/>
        </w:rPr>
        <w:t>et al</w:t>
      </w:r>
      <w:r w:rsidR="00422730" w:rsidRPr="00B4090A">
        <w:rPr>
          <w:rStyle w:val="Emphasis"/>
          <w:i w:val="0"/>
          <w:szCs w:val="24"/>
        </w:rPr>
        <w:t xml:space="preserve">., (2018) who reported 3.58% (ethyl acetate) and 1.59% (n-hexane) as the extraction yield D. </w:t>
      </w:r>
      <w:r w:rsidR="00422730" w:rsidRPr="00B4090A">
        <w:rPr>
          <w:rStyle w:val="Emphasis"/>
          <w:szCs w:val="24"/>
        </w:rPr>
        <w:t>scandens</w:t>
      </w:r>
      <w:r w:rsidR="00422730" w:rsidRPr="00B4090A">
        <w:rPr>
          <w:rStyle w:val="Emphasis"/>
          <w:i w:val="0"/>
          <w:szCs w:val="24"/>
        </w:rPr>
        <w:t xml:space="preserve"> extracts.  </w:t>
      </w:r>
    </w:p>
    <w:p w14:paraId="2BE5C815" w14:textId="77777777" w:rsidR="00691800" w:rsidRPr="00B4090A" w:rsidRDefault="00691800" w:rsidP="00691800">
      <w:pPr>
        <w:autoSpaceDE w:val="0"/>
        <w:autoSpaceDN w:val="0"/>
        <w:adjustRightInd w:val="0"/>
        <w:spacing w:before="0" w:beforeAutospacing="0" w:after="0" w:afterAutospacing="0"/>
        <w:rPr>
          <w:szCs w:val="24"/>
        </w:rPr>
      </w:pPr>
    </w:p>
    <w:p w14:paraId="2939988F" w14:textId="77777777" w:rsidR="00691800" w:rsidRPr="00B4090A" w:rsidRDefault="00691800" w:rsidP="00691800">
      <w:pPr>
        <w:spacing w:before="0" w:beforeAutospacing="0" w:after="0" w:afterAutospacing="0"/>
        <w:jc w:val="center"/>
        <w:rPr>
          <w:b/>
          <w:szCs w:val="24"/>
        </w:rPr>
      </w:pPr>
      <w:r w:rsidRPr="00B4090A">
        <w:rPr>
          <w:noProof/>
          <w:szCs w:val="24"/>
        </w:rPr>
        <w:drawing>
          <wp:inline distT="0" distB="0" distL="0" distR="0" wp14:anchorId="294AC008" wp14:editId="7A0E7841">
            <wp:extent cx="5280163" cy="3362960"/>
            <wp:effectExtent l="0" t="0" r="1587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9E7201" w14:textId="77777777" w:rsidR="00691800" w:rsidRPr="00B4090A" w:rsidRDefault="00691800" w:rsidP="00691800">
      <w:pPr>
        <w:spacing w:before="0" w:beforeAutospacing="0" w:after="0" w:afterAutospacing="0"/>
        <w:jc w:val="center"/>
        <w:rPr>
          <w:szCs w:val="24"/>
        </w:rPr>
      </w:pPr>
      <w:r w:rsidRPr="00B4090A">
        <w:rPr>
          <w:szCs w:val="24"/>
        </w:rPr>
        <w:t xml:space="preserve">Figure 1: Percentage yield of </w:t>
      </w:r>
      <w:proofErr w:type="spellStart"/>
      <w:r w:rsidRPr="00B4090A">
        <w:rPr>
          <w:i/>
          <w:szCs w:val="24"/>
        </w:rPr>
        <w:t>Diodia</w:t>
      </w:r>
      <w:proofErr w:type="spellEnd"/>
      <w:r w:rsidRPr="00B4090A">
        <w:rPr>
          <w:i/>
          <w:szCs w:val="24"/>
        </w:rPr>
        <w:t xml:space="preserve"> </w:t>
      </w:r>
      <w:proofErr w:type="spellStart"/>
      <w:r w:rsidRPr="00B4090A">
        <w:rPr>
          <w:i/>
          <w:szCs w:val="24"/>
        </w:rPr>
        <w:t>scendens</w:t>
      </w:r>
      <w:proofErr w:type="spellEnd"/>
      <w:r w:rsidRPr="00B4090A">
        <w:rPr>
          <w:szCs w:val="24"/>
        </w:rPr>
        <w:t xml:space="preserve"> extracts</w:t>
      </w:r>
    </w:p>
    <w:p w14:paraId="568851D9" w14:textId="77777777" w:rsidR="0003747D" w:rsidRDefault="0003747D" w:rsidP="00691800">
      <w:pPr>
        <w:autoSpaceDE w:val="0"/>
        <w:autoSpaceDN w:val="0"/>
        <w:adjustRightInd w:val="0"/>
        <w:spacing w:before="0" w:beforeAutospacing="0" w:after="0" w:afterAutospacing="0"/>
        <w:rPr>
          <w:rFonts w:eastAsia="Times New Roman"/>
          <w:b/>
          <w:szCs w:val="24"/>
        </w:rPr>
      </w:pPr>
    </w:p>
    <w:p w14:paraId="46B8E898" w14:textId="77777777" w:rsidR="00B073D4" w:rsidRDefault="00B073D4" w:rsidP="00691800">
      <w:pPr>
        <w:autoSpaceDE w:val="0"/>
        <w:autoSpaceDN w:val="0"/>
        <w:adjustRightInd w:val="0"/>
        <w:spacing w:before="0" w:beforeAutospacing="0" w:after="0" w:afterAutospacing="0"/>
        <w:rPr>
          <w:rFonts w:eastAsia="Times New Roman"/>
          <w:b/>
          <w:szCs w:val="24"/>
        </w:rPr>
      </w:pPr>
    </w:p>
    <w:p w14:paraId="3EBFE53D" w14:textId="77777777" w:rsidR="00B073D4" w:rsidRPr="00B4090A" w:rsidRDefault="00B073D4" w:rsidP="00691800">
      <w:pPr>
        <w:autoSpaceDE w:val="0"/>
        <w:autoSpaceDN w:val="0"/>
        <w:adjustRightInd w:val="0"/>
        <w:spacing w:before="0" w:beforeAutospacing="0" w:after="0" w:afterAutospacing="0"/>
        <w:rPr>
          <w:rFonts w:eastAsia="Times New Roman"/>
          <w:b/>
          <w:szCs w:val="24"/>
        </w:rPr>
      </w:pPr>
    </w:p>
    <w:p w14:paraId="62CA1CB7" w14:textId="77777777" w:rsidR="00422730" w:rsidRPr="00B4090A" w:rsidRDefault="00422730" w:rsidP="00691800">
      <w:pPr>
        <w:autoSpaceDE w:val="0"/>
        <w:autoSpaceDN w:val="0"/>
        <w:adjustRightInd w:val="0"/>
        <w:spacing w:before="0" w:beforeAutospacing="0" w:after="0" w:afterAutospacing="0"/>
        <w:rPr>
          <w:rFonts w:eastAsia="Times New Roman"/>
          <w:b/>
          <w:szCs w:val="24"/>
        </w:rPr>
      </w:pPr>
      <w:r w:rsidRPr="00B4090A">
        <w:rPr>
          <w:rFonts w:eastAsia="Times New Roman"/>
          <w:b/>
          <w:szCs w:val="24"/>
        </w:rPr>
        <w:t xml:space="preserve">3.2 Phytochemical Composition of the Successive Extracts of </w:t>
      </w:r>
      <w:proofErr w:type="spellStart"/>
      <w:r w:rsidRPr="00B4090A">
        <w:rPr>
          <w:rFonts w:eastAsia="Times New Roman"/>
          <w:b/>
          <w:i/>
          <w:szCs w:val="24"/>
        </w:rPr>
        <w:t>Diodia</w:t>
      </w:r>
      <w:proofErr w:type="spellEnd"/>
      <w:r w:rsidRPr="00B4090A">
        <w:rPr>
          <w:rFonts w:eastAsia="Times New Roman"/>
          <w:b/>
          <w:i/>
          <w:szCs w:val="24"/>
        </w:rPr>
        <w:t xml:space="preserve"> scandens</w:t>
      </w:r>
      <w:r w:rsidRPr="00B4090A">
        <w:rPr>
          <w:rFonts w:eastAsia="Times New Roman"/>
          <w:b/>
          <w:szCs w:val="24"/>
        </w:rPr>
        <w:t xml:space="preserve"> </w:t>
      </w:r>
    </w:p>
    <w:p w14:paraId="7EBC8439" w14:textId="77777777" w:rsidR="00691800" w:rsidRPr="00B4090A" w:rsidRDefault="00422730" w:rsidP="00691800">
      <w:pPr>
        <w:autoSpaceDE w:val="0"/>
        <w:autoSpaceDN w:val="0"/>
        <w:adjustRightInd w:val="0"/>
        <w:spacing w:before="0" w:beforeAutospacing="0" w:after="0" w:afterAutospacing="0"/>
        <w:rPr>
          <w:rFonts w:eastAsia="Times New Roman"/>
          <w:b/>
          <w:szCs w:val="24"/>
        </w:rPr>
      </w:pPr>
      <w:r w:rsidRPr="00B4090A">
        <w:rPr>
          <w:rFonts w:eastAsia="Times New Roman"/>
          <w:b/>
          <w:szCs w:val="24"/>
        </w:rPr>
        <w:t xml:space="preserve">3.2.1 </w:t>
      </w:r>
      <w:r w:rsidR="00691800" w:rsidRPr="00B4090A">
        <w:rPr>
          <w:rFonts w:eastAsia="Times New Roman"/>
          <w:b/>
          <w:szCs w:val="24"/>
        </w:rPr>
        <w:t xml:space="preserve">Qualitative phytochemical </w:t>
      </w:r>
      <w:r w:rsidRPr="00B4090A">
        <w:rPr>
          <w:rFonts w:eastAsia="Times New Roman"/>
          <w:b/>
          <w:szCs w:val="24"/>
        </w:rPr>
        <w:t xml:space="preserve">composition </w:t>
      </w:r>
    </w:p>
    <w:p w14:paraId="2129868E" w14:textId="77777777" w:rsidR="00691800" w:rsidRPr="00B4090A" w:rsidRDefault="0003747D" w:rsidP="00E31A51">
      <w:pPr>
        <w:rPr>
          <w:rFonts w:eastAsia="Times New Roman"/>
          <w:szCs w:val="24"/>
        </w:rPr>
      </w:pPr>
      <w:r w:rsidRPr="0003747D">
        <w:rPr>
          <w:rFonts w:eastAsia="Times New Roman"/>
          <w:szCs w:val="24"/>
        </w:rPr>
        <w:t xml:space="preserve">Preliminary phytochemical screening of the </w:t>
      </w:r>
      <w:proofErr w:type="spellStart"/>
      <w:r w:rsidRPr="00B4090A">
        <w:rPr>
          <w:rFonts w:eastAsia="Times New Roman"/>
          <w:i/>
          <w:iCs/>
          <w:szCs w:val="24"/>
        </w:rPr>
        <w:t>Diodia</w:t>
      </w:r>
      <w:proofErr w:type="spellEnd"/>
      <w:r w:rsidRPr="00B4090A">
        <w:rPr>
          <w:rFonts w:eastAsia="Times New Roman"/>
          <w:i/>
          <w:iCs/>
          <w:szCs w:val="24"/>
        </w:rPr>
        <w:t xml:space="preserve"> scandens</w:t>
      </w:r>
      <w:r w:rsidRPr="0003747D">
        <w:rPr>
          <w:rFonts w:eastAsia="Times New Roman"/>
          <w:szCs w:val="24"/>
        </w:rPr>
        <w:t xml:space="preserve"> aerial part showed the presence of alkaloids, tannins, flavonoids, and coumarins across all extracts (Figure 2). The solvent-dependence obs</w:t>
      </w:r>
      <w:r w:rsidRPr="00B4090A">
        <w:rPr>
          <w:rFonts w:eastAsia="Times New Roman"/>
          <w:szCs w:val="24"/>
        </w:rPr>
        <w:t xml:space="preserve">erved for phenolic constituents </w:t>
      </w:r>
      <w:r w:rsidRPr="0003747D">
        <w:rPr>
          <w:rFonts w:eastAsia="Times New Roman"/>
          <w:szCs w:val="24"/>
        </w:rPr>
        <w:t xml:space="preserve">detected only in the ethyl acetate and ethanol extracts but not in the </w:t>
      </w:r>
      <w:r w:rsidRPr="0003747D">
        <w:rPr>
          <w:rFonts w:eastAsia="Times New Roman"/>
          <w:szCs w:val="24"/>
        </w:rPr>
        <w:lastRenderedPageBreak/>
        <w:t>n-hexane extra</w:t>
      </w:r>
      <w:r w:rsidRPr="00B4090A">
        <w:rPr>
          <w:rFonts w:eastAsia="Times New Roman"/>
          <w:szCs w:val="24"/>
        </w:rPr>
        <w:t xml:space="preserve">ct </w:t>
      </w:r>
      <w:r w:rsidRPr="0003747D">
        <w:rPr>
          <w:rFonts w:eastAsia="Times New Roman"/>
          <w:szCs w:val="24"/>
        </w:rPr>
        <w:t>is consistent with the general principle that extraction efficiency is strongly governed by solvent polarity and “like dissolves like,” with less-polar solvents typically recovering fewer phenolic compounds than</w:t>
      </w:r>
      <w:r w:rsidR="00E31A51" w:rsidRPr="00B4090A">
        <w:rPr>
          <w:rFonts w:eastAsia="Times New Roman"/>
          <w:szCs w:val="24"/>
        </w:rPr>
        <w:t xml:space="preserve"> more polar/semi-polar systems (</w:t>
      </w:r>
      <w:proofErr w:type="spellStart"/>
      <w:r w:rsidR="00E31A51" w:rsidRPr="00B4090A">
        <w:rPr>
          <w:color w:val="222222"/>
          <w:szCs w:val="24"/>
          <w:shd w:val="clear" w:color="auto" w:fill="FFFFFF"/>
        </w:rPr>
        <w:t>Altemimi</w:t>
      </w:r>
      <w:proofErr w:type="spellEnd"/>
      <w:r w:rsidR="00E31A51" w:rsidRPr="00B4090A">
        <w:rPr>
          <w:color w:val="222222"/>
          <w:szCs w:val="24"/>
          <w:shd w:val="clear" w:color="auto" w:fill="FFFFFF"/>
        </w:rPr>
        <w:t xml:space="preserve"> </w:t>
      </w:r>
      <w:r w:rsidR="00B4090A" w:rsidRPr="00B4090A">
        <w:rPr>
          <w:i/>
          <w:color w:val="222222"/>
          <w:szCs w:val="24"/>
          <w:shd w:val="clear" w:color="auto" w:fill="FFFFFF"/>
        </w:rPr>
        <w:t>et al</w:t>
      </w:r>
      <w:r w:rsidR="00E31A51" w:rsidRPr="00B4090A">
        <w:rPr>
          <w:color w:val="222222"/>
          <w:szCs w:val="24"/>
          <w:shd w:val="clear" w:color="auto" w:fill="FFFFFF"/>
        </w:rPr>
        <w:t>., 2017).</w:t>
      </w:r>
      <w:r w:rsidR="00E31A51" w:rsidRPr="00B4090A">
        <w:rPr>
          <w:rFonts w:eastAsia="Times New Roman"/>
          <w:szCs w:val="24"/>
        </w:rPr>
        <w:t xml:space="preserve"> </w:t>
      </w:r>
      <w:r w:rsidRPr="0003747D">
        <w:rPr>
          <w:rFonts w:eastAsia="Times New Roman"/>
          <w:szCs w:val="24"/>
        </w:rPr>
        <w:t xml:space="preserve">In line with this polarity effect, terpenoids were </w:t>
      </w:r>
      <w:r w:rsidR="00E31A51" w:rsidRPr="00B4090A">
        <w:rPr>
          <w:rFonts w:eastAsia="Times New Roman"/>
          <w:szCs w:val="24"/>
        </w:rPr>
        <w:t>observed</w:t>
      </w:r>
      <w:r w:rsidRPr="0003747D">
        <w:rPr>
          <w:rFonts w:eastAsia="Times New Roman"/>
          <w:szCs w:val="24"/>
        </w:rPr>
        <w:t xml:space="preserve"> only in the ethyl acetate extract, suggesting that a semi-polar extraction system is better suited for concentrating intermediate-polarity metabolites in </w:t>
      </w:r>
      <w:r w:rsidRPr="00B4090A">
        <w:rPr>
          <w:rFonts w:eastAsia="Times New Roman"/>
          <w:i/>
          <w:iCs/>
          <w:szCs w:val="24"/>
        </w:rPr>
        <w:t>D. scandens</w:t>
      </w:r>
      <w:r w:rsidRPr="0003747D">
        <w:rPr>
          <w:rFonts w:eastAsia="Times New Roman"/>
          <w:szCs w:val="24"/>
        </w:rPr>
        <w:t xml:space="preserve">. Comparable solvent-dependent selectivity has been reported in the literature: </w:t>
      </w:r>
      <w:proofErr w:type="spellStart"/>
      <w:r w:rsidRPr="00B4090A">
        <w:rPr>
          <w:rFonts w:eastAsia="Times New Roman"/>
          <w:bCs/>
          <w:szCs w:val="24"/>
        </w:rPr>
        <w:t>Akpuaka</w:t>
      </w:r>
      <w:proofErr w:type="spellEnd"/>
      <w:r w:rsidRPr="00B4090A">
        <w:rPr>
          <w:rFonts w:eastAsia="Times New Roman"/>
          <w:bCs/>
          <w:szCs w:val="24"/>
        </w:rPr>
        <w:t xml:space="preserve"> </w:t>
      </w:r>
      <w:r w:rsidR="00B4090A" w:rsidRPr="00B4090A">
        <w:rPr>
          <w:rFonts w:eastAsia="Times New Roman"/>
          <w:bCs/>
          <w:i/>
          <w:szCs w:val="24"/>
        </w:rPr>
        <w:t>et al</w:t>
      </w:r>
      <w:r w:rsidRPr="00B4090A">
        <w:rPr>
          <w:rFonts w:eastAsia="Times New Roman"/>
          <w:bCs/>
          <w:szCs w:val="24"/>
        </w:rPr>
        <w:t>. (2018)</w:t>
      </w:r>
      <w:r w:rsidRPr="0003747D">
        <w:rPr>
          <w:rFonts w:eastAsia="Times New Roman"/>
          <w:szCs w:val="24"/>
        </w:rPr>
        <w:t xml:space="preserve"> found that </w:t>
      </w:r>
      <w:r w:rsidRPr="00B4090A">
        <w:rPr>
          <w:rFonts w:eastAsia="Times New Roman"/>
          <w:i/>
          <w:iCs/>
          <w:szCs w:val="24"/>
        </w:rPr>
        <w:t>D. scandens</w:t>
      </w:r>
      <w:r w:rsidRPr="0003747D">
        <w:rPr>
          <w:rFonts w:eastAsia="Times New Roman"/>
          <w:szCs w:val="24"/>
        </w:rPr>
        <w:t xml:space="preserve"> extract</w:t>
      </w:r>
      <w:r w:rsidRPr="00B4090A">
        <w:rPr>
          <w:rFonts w:eastAsia="Times New Roman"/>
          <w:szCs w:val="24"/>
        </w:rPr>
        <w:t>s contains</w:t>
      </w:r>
      <w:r w:rsidRPr="0003747D">
        <w:rPr>
          <w:rFonts w:eastAsia="Times New Roman"/>
          <w:szCs w:val="24"/>
        </w:rPr>
        <w:t xml:space="preserve"> glycosides, steroids, saponins, and alkaloids in the n-hexane extract while the ethyl acetate extract containe</w:t>
      </w:r>
      <w:r w:rsidRPr="00B4090A">
        <w:rPr>
          <w:rFonts w:eastAsia="Times New Roman"/>
          <w:szCs w:val="24"/>
        </w:rPr>
        <w:t>d mainly steroids and saponins.</w:t>
      </w:r>
      <w:r w:rsidR="00E31A51" w:rsidRPr="00B4090A">
        <w:rPr>
          <w:rFonts w:eastAsia="Times New Roman"/>
          <w:szCs w:val="24"/>
        </w:rPr>
        <w:t xml:space="preserve"> </w:t>
      </w:r>
      <w:r w:rsidRPr="0003747D">
        <w:rPr>
          <w:rFonts w:eastAsia="Times New Roman"/>
          <w:szCs w:val="24"/>
        </w:rPr>
        <w:t xml:space="preserve">Quinones, glycosides, cardiac glycosides, steroids, anthraquinones, and anthocyanins were not detected in any of the present extracts. The consistent non-detection of anthraquinones aligns with earlier </w:t>
      </w:r>
      <w:proofErr w:type="spellStart"/>
      <w:r w:rsidRPr="0003747D">
        <w:rPr>
          <w:rFonts w:eastAsia="Times New Roman"/>
          <w:szCs w:val="24"/>
        </w:rPr>
        <w:t>pharmacognostic</w:t>
      </w:r>
      <w:proofErr w:type="spellEnd"/>
      <w:r w:rsidRPr="0003747D">
        <w:rPr>
          <w:rFonts w:eastAsia="Times New Roman"/>
          <w:szCs w:val="24"/>
        </w:rPr>
        <w:t xml:space="preserve"> work on </w:t>
      </w:r>
      <w:r w:rsidRPr="00B4090A">
        <w:rPr>
          <w:rFonts w:eastAsia="Times New Roman"/>
          <w:i/>
          <w:iCs/>
          <w:szCs w:val="24"/>
        </w:rPr>
        <w:t>D. scandens</w:t>
      </w:r>
      <w:r w:rsidRPr="0003747D">
        <w:rPr>
          <w:rFonts w:eastAsia="Times New Roman"/>
          <w:szCs w:val="24"/>
        </w:rPr>
        <w:t xml:space="preserve"> leaf material that similarly reported anthraquinones as absent in the screened extract</w:t>
      </w:r>
      <w:r w:rsidR="00E31A51" w:rsidRPr="00B4090A">
        <w:rPr>
          <w:rFonts w:eastAsia="Times New Roman"/>
          <w:szCs w:val="24"/>
        </w:rPr>
        <w:t xml:space="preserve"> (</w:t>
      </w:r>
      <w:proofErr w:type="spellStart"/>
      <w:r w:rsidR="00E31A51" w:rsidRPr="00B4090A">
        <w:rPr>
          <w:szCs w:val="24"/>
        </w:rPr>
        <w:t>Essiett</w:t>
      </w:r>
      <w:proofErr w:type="spellEnd"/>
      <w:r w:rsidR="00E31A51" w:rsidRPr="00B4090A">
        <w:rPr>
          <w:szCs w:val="24"/>
        </w:rPr>
        <w:t xml:space="preserve"> </w:t>
      </w:r>
      <w:r w:rsidR="00B4090A" w:rsidRPr="00B4090A">
        <w:rPr>
          <w:i/>
          <w:szCs w:val="24"/>
        </w:rPr>
        <w:t>et al</w:t>
      </w:r>
      <w:r w:rsidR="00E31A51" w:rsidRPr="00B4090A">
        <w:rPr>
          <w:szCs w:val="24"/>
        </w:rPr>
        <w:t>., 2010)</w:t>
      </w:r>
      <w:r w:rsidRPr="0003747D">
        <w:rPr>
          <w:rFonts w:eastAsia="Times New Roman"/>
          <w:szCs w:val="24"/>
        </w:rPr>
        <w:t>. Overall, the ethyl acetate extract exhibited the widest qualitative phytochemical range in the present study, including terpenoids and phenolic constituents in addition to the core metabolite groups detected across extracts. These classes are widely associated with antimicrobial and antioxidant bioactivity</w:t>
      </w:r>
      <w:r w:rsidR="00E31A51" w:rsidRPr="00B4090A">
        <w:rPr>
          <w:rFonts w:eastAsia="Times New Roman"/>
          <w:szCs w:val="24"/>
        </w:rPr>
        <w:t>.</w:t>
      </w:r>
    </w:p>
    <w:p w14:paraId="511BB533" w14:textId="77777777" w:rsidR="00F47CE3" w:rsidRDefault="00F47CE3" w:rsidP="00E31A51">
      <w:pPr>
        <w:autoSpaceDE w:val="0"/>
        <w:autoSpaceDN w:val="0"/>
        <w:adjustRightInd w:val="0"/>
        <w:spacing w:before="0" w:beforeAutospacing="0" w:after="0" w:afterAutospacing="0" w:line="240" w:lineRule="auto"/>
        <w:jc w:val="center"/>
        <w:rPr>
          <w:i/>
          <w:iCs/>
          <w:noProof/>
          <w:szCs w:val="24"/>
        </w:rPr>
      </w:pPr>
    </w:p>
    <w:p w14:paraId="2F034789" w14:textId="77777777" w:rsidR="00691800" w:rsidRPr="00B4090A" w:rsidRDefault="00691800" w:rsidP="00E31A51">
      <w:pPr>
        <w:autoSpaceDE w:val="0"/>
        <w:autoSpaceDN w:val="0"/>
        <w:adjustRightInd w:val="0"/>
        <w:spacing w:before="0" w:beforeAutospacing="0" w:after="0" w:afterAutospacing="0" w:line="240" w:lineRule="auto"/>
        <w:jc w:val="center"/>
        <w:rPr>
          <w:i/>
          <w:iCs/>
          <w:szCs w:val="24"/>
        </w:rPr>
      </w:pPr>
      <w:r w:rsidRPr="00B4090A">
        <w:rPr>
          <w:i/>
          <w:iCs/>
          <w:noProof/>
          <w:szCs w:val="24"/>
        </w:rPr>
        <w:lastRenderedPageBreak/>
        <w:drawing>
          <wp:inline distT="0" distB="0" distL="0" distR="0" wp14:anchorId="74F9CBF1" wp14:editId="220A4E1B">
            <wp:extent cx="6245817" cy="386778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56"/>
                    <a:stretch/>
                  </pic:blipFill>
                  <pic:spPr bwMode="auto">
                    <a:xfrm>
                      <a:off x="0" y="0"/>
                      <a:ext cx="6325490" cy="3917123"/>
                    </a:xfrm>
                    <a:prstGeom prst="rect">
                      <a:avLst/>
                    </a:prstGeom>
                    <a:ln>
                      <a:noFill/>
                    </a:ln>
                    <a:extLst>
                      <a:ext uri="{53640926-AAD7-44D8-BBD7-CCE9431645EC}">
                        <a14:shadowObscured xmlns:a14="http://schemas.microsoft.com/office/drawing/2010/main"/>
                      </a:ext>
                    </a:extLst>
                  </pic:spPr>
                </pic:pic>
              </a:graphicData>
            </a:graphic>
          </wp:inline>
        </w:drawing>
      </w:r>
    </w:p>
    <w:p w14:paraId="2BDC1CBA" w14:textId="77777777" w:rsidR="00691800" w:rsidRPr="00B4090A" w:rsidRDefault="00691800" w:rsidP="00F47CE3">
      <w:pPr>
        <w:autoSpaceDE w:val="0"/>
        <w:autoSpaceDN w:val="0"/>
        <w:adjustRightInd w:val="0"/>
        <w:spacing w:before="0" w:beforeAutospacing="0" w:after="0" w:afterAutospacing="0" w:line="240" w:lineRule="auto"/>
        <w:jc w:val="center"/>
        <w:rPr>
          <w:i/>
          <w:iCs/>
          <w:szCs w:val="24"/>
        </w:rPr>
      </w:pPr>
      <w:r w:rsidRPr="00B4090A">
        <w:rPr>
          <w:bCs/>
          <w:szCs w:val="24"/>
        </w:rPr>
        <w:t xml:space="preserve">Figure 2: </w:t>
      </w:r>
      <w:r w:rsidRPr="00B4090A">
        <w:rPr>
          <w:szCs w:val="24"/>
        </w:rPr>
        <w:t xml:space="preserve">Preliminary phytochemical composition of successive extracts </w:t>
      </w:r>
      <w:r w:rsidRPr="00B4090A">
        <w:rPr>
          <w:i/>
          <w:iCs/>
          <w:szCs w:val="24"/>
        </w:rPr>
        <w:t xml:space="preserve">of </w:t>
      </w:r>
      <w:proofErr w:type="spellStart"/>
      <w:r w:rsidRPr="00B4090A">
        <w:rPr>
          <w:i/>
          <w:iCs/>
          <w:szCs w:val="24"/>
        </w:rPr>
        <w:t>Diodia</w:t>
      </w:r>
      <w:proofErr w:type="spellEnd"/>
      <w:r w:rsidRPr="00B4090A">
        <w:rPr>
          <w:i/>
          <w:iCs/>
          <w:szCs w:val="24"/>
        </w:rPr>
        <w:t xml:space="preserve"> scandens</w:t>
      </w:r>
    </w:p>
    <w:p w14:paraId="3646C9C3" w14:textId="77777777" w:rsidR="00691800" w:rsidRPr="00B4090A" w:rsidRDefault="00691800" w:rsidP="00691800">
      <w:pPr>
        <w:autoSpaceDE w:val="0"/>
        <w:autoSpaceDN w:val="0"/>
        <w:adjustRightInd w:val="0"/>
        <w:spacing w:before="0" w:beforeAutospacing="0" w:after="0" w:afterAutospacing="0" w:line="240" w:lineRule="auto"/>
        <w:jc w:val="left"/>
        <w:rPr>
          <w:iCs/>
          <w:szCs w:val="24"/>
        </w:rPr>
      </w:pPr>
    </w:p>
    <w:p w14:paraId="54B70E89"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p w14:paraId="0DB58FAA" w14:textId="77777777" w:rsidR="00691800" w:rsidRPr="00B4090A" w:rsidRDefault="00E31A51" w:rsidP="00691800">
      <w:pPr>
        <w:autoSpaceDE w:val="0"/>
        <w:autoSpaceDN w:val="0"/>
        <w:adjustRightInd w:val="0"/>
        <w:spacing w:before="0" w:beforeAutospacing="0" w:after="0" w:afterAutospacing="0" w:line="240" w:lineRule="auto"/>
        <w:jc w:val="left"/>
        <w:rPr>
          <w:b/>
          <w:szCs w:val="24"/>
        </w:rPr>
      </w:pPr>
      <w:r w:rsidRPr="00B4090A">
        <w:rPr>
          <w:b/>
          <w:szCs w:val="24"/>
        </w:rPr>
        <w:t xml:space="preserve">3.2.2 </w:t>
      </w:r>
      <w:r w:rsidR="00691800" w:rsidRPr="00B4090A">
        <w:rPr>
          <w:b/>
          <w:szCs w:val="24"/>
        </w:rPr>
        <w:t>Quantitative phytochemical analysis</w:t>
      </w:r>
    </w:p>
    <w:p w14:paraId="095523D5" w14:textId="77777777" w:rsidR="00133F34" w:rsidRPr="00133F34" w:rsidRDefault="00133F34" w:rsidP="00133F34">
      <w:pPr>
        <w:rPr>
          <w:rFonts w:eastAsia="Times New Roman"/>
          <w:szCs w:val="24"/>
        </w:rPr>
      </w:pPr>
      <w:r w:rsidRPr="00133F34">
        <w:rPr>
          <w:rFonts w:eastAsia="Times New Roman"/>
          <w:szCs w:val="24"/>
        </w:rPr>
        <w:t xml:space="preserve">Quantitative phytochemical analysis revealed clear solvent-driven differences in metabolite abundance between the ethyl acetate and ethanol extracts (Figure 3). Overall, the ethanol extract contained higher levels of saponins, alkaloids, flavonoids, and tannins, whereas the ethyl acetate extract showed higher total phenolic content. This pattern is consistent with established solvent–solute relationships in phytochemical extraction, where </w:t>
      </w:r>
      <w:r w:rsidRPr="00B4090A">
        <w:rPr>
          <w:rFonts w:eastAsia="Times New Roman"/>
          <w:bCs/>
          <w:szCs w:val="24"/>
        </w:rPr>
        <w:t>polar solvents (ethanol)</w:t>
      </w:r>
      <w:r w:rsidRPr="00133F34">
        <w:rPr>
          <w:rFonts w:eastAsia="Times New Roman"/>
          <w:szCs w:val="24"/>
        </w:rPr>
        <w:t xml:space="preserve"> typically recover a broader range of </w:t>
      </w:r>
      <w:r w:rsidRPr="00B4090A">
        <w:rPr>
          <w:rFonts w:eastAsia="Times New Roman"/>
          <w:bCs/>
          <w:szCs w:val="24"/>
        </w:rPr>
        <w:t>polar and glycosylated constituents</w:t>
      </w:r>
      <w:r w:rsidRPr="00133F34">
        <w:rPr>
          <w:rFonts w:eastAsia="Times New Roman"/>
          <w:szCs w:val="24"/>
        </w:rPr>
        <w:t xml:space="preserve">, while </w:t>
      </w:r>
      <w:r w:rsidRPr="00B4090A">
        <w:rPr>
          <w:rFonts w:eastAsia="Times New Roman"/>
          <w:bCs/>
          <w:szCs w:val="24"/>
        </w:rPr>
        <w:t>semi-polar solvents</w:t>
      </w:r>
      <w:r w:rsidRPr="00B4090A">
        <w:rPr>
          <w:rFonts w:eastAsia="Times New Roman"/>
          <w:b/>
          <w:bCs/>
          <w:szCs w:val="24"/>
        </w:rPr>
        <w:t xml:space="preserve"> </w:t>
      </w:r>
      <w:r w:rsidRPr="00B4090A">
        <w:rPr>
          <w:rFonts w:eastAsia="Times New Roman"/>
          <w:bCs/>
          <w:szCs w:val="24"/>
        </w:rPr>
        <w:t>(ethyl acetate)</w:t>
      </w:r>
      <w:r w:rsidRPr="00133F34">
        <w:rPr>
          <w:rFonts w:eastAsia="Times New Roman"/>
          <w:szCs w:val="24"/>
        </w:rPr>
        <w:t xml:space="preserve"> can preferentially concentrate moderately polar fractions depending on</w:t>
      </w:r>
      <w:r w:rsidRPr="00B4090A">
        <w:rPr>
          <w:rFonts w:eastAsia="Times New Roman"/>
          <w:szCs w:val="24"/>
        </w:rPr>
        <w:t xml:space="preserve"> the phenolic subtypes present (</w:t>
      </w:r>
      <w:r w:rsidRPr="00B4090A">
        <w:rPr>
          <w:color w:val="222222"/>
          <w:szCs w:val="24"/>
          <w:shd w:val="clear" w:color="auto" w:fill="FFFFFF"/>
        </w:rPr>
        <w:t>Abubakar and Haque, 2020).</w:t>
      </w:r>
      <w:r w:rsidRPr="00B4090A">
        <w:rPr>
          <w:rFonts w:eastAsia="Times New Roman"/>
          <w:szCs w:val="24"/>
        </w:rPr>
        <w:t xml:space="preserve"> </w:t>
      </w:r>
      <w:r w:rsidRPr="00133F34">
        <w:rPr>
          <w:rFonts w:eastAsia="Times New Roman"/>
          <w:szCs w:val="24"/>
        </w:rPr>
        <w:t xml:space="preserve">Saponins were significantly higher in the ethanol extract (3.74 ± 0.10%) than in ethyl acetate (1.48 ± 0.17%), supporting improved recovery of amphiphilic glycosides in the more polar fraction. This direction agrees with prior </w:t>
      </w:r>
      <w:r w:rsidRPr="00B4090A">
        <w:rPr>
          <w:rFonts w:eastAsia="Times New Roman"/>
          <w:i/>
          <w:iCs/>
          <w:szCs w:val="24"/>
        </w:rPr>
        <w:t>D. scandens</w:t>
      </w:r>
      <w:r w:rsidRPr="00133F34">
        <w:rPr>
          <w:rFonts w:eastAsia="Times New Roman"/>
          <w:szCs w:val="24"/>
        </w:rPr>
        <w:t xml:space="preserve"> quantitative profiling using ethanol extraction: </w:t>
      </w:r>
      <w:r w:rsidRPr="00B4090A">
        <w:rPr>
          <w:rFonts w:eastAsia="Times New Roman"/>
          <w:bCs/>
          <w:szCs w:val="24"/>
        </w:rPr>
        <w:t>Ojo (2017)</w:t>
      </w:r>
      <w:r w:rsidRPr="00133F34">
        <w:rPr>
          <w:rFonts w:eastAsia="Times New Roman"/>
          <w:szCs w:val="24"/>
        </w:rPr>
        <w:t xml:space="preserve"> reported measurable saponin content in </w:t>
      </w:r>
      <w:r w:rsidRPr="00B4090A">
        <w:rPr>
          <w:rFonts w:eastAsia="Times New Roman"/>
          <w:i/>
          <w:iCs/>
          <w:szCs w:val="24"/>
        </w:rPr>
        <w:t>D. scandens</w:t>
      </w:r>
      <w:r w:rsidRPr="00133F34">
        <w:rPr>
          <w:rFonts w:eastAsia="Times New Roman"/>
          <w:szCs w:val="24"/>
        </w:rPr>
        <w:t xml:space="preserve"> (6.58%), alongside other phytonutrients linked to antibacterial activity. Biologically, the elevated saponin content is relevant to antimicrobial outcomes </w:t>
      </w:r>
      <w:r w:rsidRPr="00133F34">
        <w:rPr>
          <w:rFonts w:eastAsia="Times New Roman"/>
          <w:szCs w:val="24"/>
        </w:rPr>
        <w:lastRenderedPageBreak/>
        <w:t xml:space="preserve">because saponins are widely reported to exert </w:t>
      </w:r>
      <w:r w:rsidRPr="00B4090A">
        <w:rPr>
          <w:rFonts w:eastAsia="Times New Roman"/>
          <w:bCs/>
          <w:szCs w:val="24"/>
        </w:rPr>
        <w:t>membrane-active effects</w:t>
      </w:r>
      <w:r w:rsidRPr="00133F34">
        <w:rPr>
          <w:rFonts w:eastAsia="Times New Roman"/>
          <w:szCs w:val="24"/>
        </w:rPr>
        <w:t>, including disruption of lipid organization and permeability changes that can compromise microbial viability and enh</w:t>
      </w:r>
      <w:r w:rsidRPr="00B4090A">
        <w:rPr>
          <w:rFonts w:eastAsia="Times New Roman"/>
          <w:szCs w:val="24"/>
        </w:rPr>
        <w:t xml:space="preserve">ance entry of other </w:t>
      </w:r>
      <w:proofErr w:type="spellStart"/>
      <w:r w:rsidRPr="00B4090A">
        <w:rPr>
          <w:rFonts w:eastAsia="Times New Roman"/>
          <w:szCs w:val="24"/>
        </w:rPr>
        <w:t>bioactives</w:t>
      </w:r>
      <w:proofErr w:type="spellEnd"/>
      <w:r w:rsidRPr="00B4090A">
        <w:rPr>
          <w:rFonts w:eastAsia="Times New Roman"/>
          <w:szCs w:val="24"/>
        </w:rPr>
        <w:t xml:space="preserve"> (</w:t>
      </w:r>
      <w:r w:rsidRPr="00B4090A">
        <w:rPr>
          <w:color w:val="222222"/>
          <w:szCs w:val="24"/>
          <w:shd w:val="clear" w:color="auto" w:fill="FFFFFF"/>
        </w:rPr>
        <w:t xml:space="preserve">Li and </w:t>
      </w:r>
      <w:proofErr w:type="spellStart"/>
      <w:r w:rsidRPr="00B4090A">
        <w:rPr>
          <w:color w:val="222222"/>
          <w:szCs w:val="24"/>
          <w:shd w:val="clear" w:color="auto" w:fill="FFFFFF"/>
        </w:rPr>
        <w:t>Monje</w:t>
      </w:r>
      <w:proofErr w:type="spellEnd"/>
      <w:r w:rsidRPr="00B4090A">
        <w:rPr>
          <w:color w:val="222222"/>
          <w:szCs w:val="24"/>
          <w:shd w:val="clear" w:color="auto" w:fill="FFFFFF"/>
        </w:rPr>
        <w:t>-Galvan, 2023).</w:t>
      </w:r>
    </w:p>
    <w:p w14:paraId="224C6943" w14:textId="77777777" w:rsidR="00133F34" w:rsidRPr="00133F34" w:rsidRDefault="00133F34" w:rsidP="00133F34">
      <w:pPr>
        <w:rPr>
          <w:rFonts w:eastAsia="Times New Roman"/>
          <w:szCs w:val="24"/>
        </w:rPr>
      </w:pPr>
      <w:r w:rsidRPr="00133F34">
        <w:rPr>
          <w:rFonts w:eastAsia="Times New Roman"/>
          <w:szCs w:val="24"/>
        </w:rPr>
        <w:t xml:space="preserve">Alkaloids </w:t>
      </w:r>
      <w:r w:rsidR="00BB55B4">
        <w:rPr>
          <w:rFonts w:eastAsia="Times New Roman"/>
          <w:szCs w:val="24"/>
        </w:rPr>
        <w:t>quantity were</w:t>
      </w:r>
      <w:r w:rsidRPr="00133F34">
        <w:rPr>
          <w:rFonts w:eastAsia="Times New Roman"/>
          <w:szCs w:val="24"/>
        </w:rPr>
        <w:t xml:space="preserve"> higher in ethanol (13.63 ± 0.14%) than in ethyl acetate (3.87 ± 0.</w:t>
      </w:r>
      <w:r w:rsidR="00BB55B4">
        <w:rPr>
          <w:rFonts w:eastAsia="Times New Roman"/>
          <w:szCs w:val="24"/>
        </w:rPr>
        <w:t xml:space="preserve">23%), indicating that </w:t>
      </w:r>
      <w:r w:rsidRPr="00133F34">
        <w:rPr>
          <w:rFonts w:eastAsia="Times New Roman"/>
          <w:szCs w:val="24"/>
        </w:rPr>
        <w:t xml:space="preserve">alkaloid constituents of </w:t>
      </w:r>
      <w:r w:rsidRPr="00B4090A">
        <w:rPr>
          <w:rFonts w:eastAsia="Times New Roman"/>
          <w:i/>
          <w:iCs/>
          <w:szCs w:val="24"/>
        </w:rPr>
        <w:t>D. scandens</w:t>
      </w:r>
      <w:r w:rsidRPr="00133F34">
        <w:rPr>
          <w:rFonts w:eastAsia="Times New Roman"/>
          <w:szCs w:val="24"/>
        </w:rPr>
        <w:t xml:space="preserve"> concentrated more strongly in the polar fraction. This aligns with earlier </w:t>
      </w:r>
      <w:r w:rsidRPr="00B4090A">
        <w:rPr>
          <w:rFonts w:eastAsia="Times New Roman"/>
          <w:i/>
          <w:iCs/>
          <w:szCs w:val="24"/>
        </w:rPr>
        <w:t>D. scandens</w:t>
      </w:r>
      <w:r w:rsidRPr="00133F34">
        <w:rPr>
          <w:rFonts w:eastAsia="Times New Roman"/>
          <w:szCs w:val="24"/>
        </w:rPr>
        <w:t xml:space="preserve"> quantitative data showing substantial alkaloid abundance in ethanol extracts (10.53%)</w:t>
      </w:r>
      <w:r w:rsidRPr="00B4090A">
        <w:rPr>
          <w:rFonts w:eastAsia="Times New Roman"/>
          <w:szCs w:val="24"/>
        </w:rPr>
        <w:t xml:space="preserve"> (Ojo </w:t>
      </w:r>
      <w:r w:rsidR="00B4090A" w:rsidRPr="00B4090A">
        <w:rPr>
          <w:rFonts w:eastAsia="Times New Roman"/>
          <w:i/>
          <w:szCs w:val="24"/>
        </w:rPr>
        <w:t>et al</w:t>
      </w:r>
      <w:r w:rsidRPr="00B4090A">
        <w:rPr>
          <w:rFonts w:eastAsia="Times New Roman"/>
          <w:szCs w:val="24"/>
        </w:rPr>
        <w:t>., 2017)</w:t>
      </w:r>
      <w:r w:rsidRPr="00133F34">
        <w:rPr>
          <w:rFonts w:eastAsia="Times New Roman"/>
          <w:szCs w:val="24"/>
        </w:rPr>
        <w:t>. Since alkaloids are frequently implicated in antimicrobial activity through interference with essential cellular processes (including enzyme-linked pathways), their enrichment in ethanol provides a mechanistic basis for expecting measurable inhibition in downstream antimicrobial assays.</w:t>
      </w:r>
      <w:r w:rsidR="004261E3" w:rsidRPr="00B4090A">
        <w:rPr>
          <w:rFonts w:eastAsia="Times New Roman"/>
          <w:szCs w:val="24"/>
        </w:rPr>
        <w:t xml:space="preserve"> </w:t>
      </w:r>
      <w:r w:rsidRPr="00133F34">
        <w:rPr>
          <w:rFonts w:eastAsia="Times New Roman"/>
          <w:szCs w:val="24"/>
        </w:rPr>
        <w:t>Both extracts were flavonoid-rich, with ethanol (65.387 ± 0.14 QE mg/g) exceeding ethyl acetate (55.292 ± 0.19 QE mg/g), indicating strong representation of flavonoids across both polar and semi-polar fractions. Because flavonoids are repeatedly associ</w:t>
      </w:r>
      <w:r w:rsidR="004261E3" w:rsidRPr="00B4090A">
        <w:rPr>
          <w:rFonts w:eastAsia="Times New Roman"/>
          <w:szCs w:val="24"/>
        </w:rPr>
        <w:t xml:space="preserve">ated with antimicrobial effects </w:t>
      </w:r>
      <w:r w:rsidRPr="00133F34">
        <w:rPr>
          <w:rFonts w:eastAsia="Times New Roman"/>
          <w:szCs w:val="24"/>
        </w:rPr>
        <w:t xml:space="preserve">reported mechanisms include </w:t>
      </w:r>
      <w:r w:rsidRPr="00B4090A">
        <w:rPr>
          <w:rFonts w:eastAsia="Times New Roman"/>
          <w:bCs/>
          <w:szCs w:val="24"/>
        </w:rPr>
        <w:t>alteration of membrane permeability</w:t>
      </w:r>
      <w:r w:rsidRPr="00133F34">
        <w:rPr>
          <w:rFonts w:eastAsia="Times New Roman"/>
          <w:szCs w:val="24"/>
        </w:rPr>
        <w:t xml:space="preserve">, </w:t>
      </w:r>
      <w:r w:rsidRPr="00B4090A">
        <w:rPr>
          <w:rFonts w:eastAsia="Times New Roman"/>
          <w:bCs/>
          <w:szCs w:val="24"/>
        </w:rPr>
        <w:t>enzyme interactions</w:t>
      </w:r>
      <w:r w:rsidRPr="00133F34">
        <w:rPr>
          <w:rFonts w:eastAsia="Times New Roman"/>
          <w:szCs w:val="24"/>
        </w:rPr>
        <w:t>, and broader disruption of bacterial physiology, incl</w:t>
      </w:r>
      <w:r w:rsidR="004261E3" w:rsidRPr="00B4090A">
        <w:rPr>
          <w:rFonts w:eastAsia="Times New Roman"/>
          <w:szCs w:val="24"/>
        </w:rPr>
        <w:t xml:space="preserve">uding biofilm-related processes </w:t>
      </w:r>
      <w:r w:rsidRPr="00133F34">
        <w:rPr>
          <w:rFonts w:eastAsia="Times New Roman"/>
          <w:szCs w:val="24"/>
        </w:rPr>
        <w:t>these high values support the likelihood of obse</w:t>
      </w:r>
      <w:r w:rsidRPr="00B4090A">
        <w:rPr>
          <w:rFonts w:eastAsia="Times New Roman"/>
          <w:szCs w:val="24"/>
        </w:rPr>
        <w:t xml:space="preserve">rvable antimicrobial responses </w:t>
      </w:r>
      <w:r w:rsidR="004261E3" w:rsidRPr="00B4090A">
        <w:rPr>
          <w:rFonts w:eastAsia="Times New Roman"/>
          <w:szCs w:val="24"/>
        </w:rPr>
        <w:t>(</w:t>
      </w:r>
      <w:r w:rsidRPr="00B4090A">
        <w:rPr>
          <w:color w:val="222222"/>
          <w:szCs w:val="24"/>
          <w:shd w:val="clear" w:color="auto" w:fill="FFFFFF"/>
        </w:rPr>
        <w:t>do Nascimento</w:t>
      </w:r>
      <w:r w:rsidR="004261E3" w:rsidRPr="00B4090A">
        <w:rPr>
          <w:color w:val="222222"/>
          <w:szCs w:val="24"/>
          <w:shd w:val="clear" w:color="auto" w:fill="FFFFFF"/>
        </w:rPr>
        <w:t xml:space="preserve"> and</w:t>
      </w:r>
      <w:r w:rsidRPr="00B4090A">
        <w:rPr>
          <w:color w:val="222222"/>
          <w:szCs w:val="24"/>
          <w:shd w:val="clear" w:color="auto" w:fill="FFFFFF"/>
        </w:rPr>
        <w:t xml:space="preserve"> da Costa</w:t>
      </w:r>
      <w:r w:rsidR="004261E3" w:rsidRPr="00B4090A">
        <w:rPr>
          <w:color w:val="222222"/>
          <w:szCs w:val="24"/>
          <w:shd w:val="clear" w:color="auto" w:fill="FFFFFF"/>
        </w:rPr>
        <w:t xml:space="preserve">, </w:t>
      </w:r>
      <w:r w:rsidRPr="00B4090A">
        <w:rPr>
          <w:color w:val="222222"/>
          <w:szCs w:val="24"/>
          <w:shd w:val="clear" w:color="auto" w:fill="FFFFFF"/>
        </w:rPr>
        <w:t>2025).</w:t>
      </w:r>
      <w:r w:rsidR="004261E3" w:rsidRPr="00B4090A">
        <w:rPr>
          <w:rFonts w:eastAsia="Times New Roman"/>
          <w:szCs w:val="24"/>
        </w:rPr>
        <w:t xml:space="preserve"> </w:t>
      </w:r>
      <w:r w:rsidRPr="00133F34">
        <w:rPr>
          <w:rFonts w:eastAsia="Times New Roman"/>
          <w:szCs w:val="24"/>
        </w:rPr>
        <w:t>Total phenolics were higher in ethyl acetate (77.345 ± 0.58 GAE mg/g) than in ethanol (62.054 ± 0.58 GAE mg/g), suggesting that a sizeable portion of phenolic constituents in the aerial parts may be moderately polar and therefore concentrate more effectively in a semi-polar extraction system. From a biological standpoint, phenolics are widely linked with antimicrobial potential through interactions such as protein binding and enzyme-related inhibition, so the phenolic enrichment of the ethyl acetate fraction supports the possibility that this extract contributes meaningful</w:t>
      </w:r>
      <w:r w:rsidR="004261E3" w:rsidRPr="00B4090A">
        <w:rPr>
          <w:rFonts w:eastAsia="Times New Roman"/>
          <w:szCs w:val="24"/>
        </w:rPr>
        <w:t>ly to antimicrobial performance (</w:t>
      </w:r>
      <w:r w:rsidR="0068101E" w:rsidRPr="0068101E">
        <w:rPr>
          <w:color w:val="05103E"/>
          <w:szCs w:val="27"/>
        </w:rPr>
        <w:t>Nguyen</w:t>
      </w:r>
      <w:r w:rsidR="0068101E" w:rsidRPr="00B4090A">
        <w:rPr>
          <w:i/>
          <w:color w:val="222222"/>
          <w:szCs w:val="24"/>
          <w:shd w:val="clear" w:color="auto" w:fill="FFFFFF"/>
        </w:rPr>
        <w:t xml:space="preserve"> </w:t>
      </w:r>
      <w:r w:rsidR="00B4090A" w:rsidRPr="00B4090A">
        <w:rPr>
          <w:i/>
          <w:color w:val="222222"/>
          <w:szCs w:val="24"/>
          <w:shd w:val="clear" w:color="auto" w:fill="FFFFFF"/>
        </w:rPr>
        <w:t>et al</w:t>
      </w:r>
      <w:r w:rsidR="004261E3" w:rsidRPr="00B4090A">
        <w:rPr>
          <w:color w:val="222222"/>
          <w:szCs w:val="24"/>
          <w:shd w:val="clear" w:color="auto" w:fill="FFFFFF"/>
        </w:rPr>
        <w:t>., 2021).</w:t>
      </w:r>
      <w:r w:rsidR="004261E3" w:rsidRPr="00B4090A">
        <w:rPr>
          <w:rFonts w:eastAsia="Times New Roman"/>
          <w:szCs w:val="24"/>
        </w:rPr>
        <w:t xml:space="preserve"> </w:t>
      </w:r>
      <w:r w:rsidRPr="00133F34">
        <w:rPr>
          <w:rFonts w:eastAsia="Times New Roman"/>
          <w:szCs w:val="24"/>
        </w:rPr>
        <w:t>Tannins were substantially higher in ethanol (31.963 ± 0.31 GAE mg/g) than ethyl acetate (12.331 ± 0.31 GAE mg/g). Given that many tannins are strongly polar, high-molecular-weight polyphenols, preferential recovery in polar solvents is expected, and this polarity-matching rationale is consistently emphasized in extraction literature</w:t>
      </w:r>
      <w:r w:rsidR="004261E3" w:rsidRPr="00B4090A">
        <w:rPr>
          <w:rFonts w:eastAsia="Times New Roman"/>
          <w:szCs w:val="24"/>
        </w:rPr>
        <w:t xml:space="preserve"> (</w:t>
      </w:r>
      <w:r w:rsidR="004261E3" w:rsidRPr="00B4090A">
        <w:rPr>
          <w:color w:val="222222"/>
          <w:szCs w:val="24"/>
          <w:shd w:val="clear" w:color="auto" w:fill="FFFFFF"/>
        </w:rPr>
        <w:t xml:space="preserve">Kamarudin </w:t>
      </w:r>
      <w:r w:rsidR="00B4090A" w:rsidRPr="00B4090A">
        <w:rPr>
          <w:i/>
          <w:color w:val="222222"/>
          <w:szCs w:val="24"/>
          <w:shd w:val="clear" w:color="auto" w:fill="FFFFFF"/>
        </w:rPr>
        <w:t>et al</w:t>
      </w:r>
      <w:r w:rsidR="004261E3" w:rsidRPr="00B4090A">
        <w:rPr>
          <w:color w:val="222222"/>
          <w:szCs w:val="24"/>
          <w:shd w:val="clear" w:color="auto" w:fill="FFFFFF"/>
        </w:rPr>
        <w:t>., 2021)</w:t>
      </w:r>
      <w:r w:rsidRPr="00133F34">
        <w:rPr>
          <w:rFonts w:eastAsia="Times New Roman"/>
          <w:szCs w:val="24"/>
        </w:rPr>
        <w:t xml:space="preserve">. </w:t>
      </w:r>
    </w:p>
    <w:p w14:paraId="686F02BC"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p w14:paraId="05C8C682" w14:textId="77777777" w:rsidR="00691800" w:rsidRPr="00B4090A" w:rsidRDefault="00691800" w:rsidP="00691800">
      <w:pPr>
        <w:autoSpaceDE w:val="0"/>
        <w:autoSpaceDN w:val="0"/>
        <w:adjustRightInd w:val="0"/>
        <w:spacing w:before="0" w:beforeAutospacing="0" w:after="0" w:afterAutospacing="0"/>
        <w:jc w:val="left"/>
        <w:rPr>
          <w:szCs w:val="24"/>
        </w:rPr>
      </w:pPr>
    </w:p>
    <w:p w14:paraId="02742566"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r w:rsidRPr="00B4090A">
        <w:rPr>
          <w:noProof/>
          <w:szCs w:val="24"/>
        </w:rPr>
        <w:lastRenderedPageBreak/>
        <w:drawing>
          <wp:inline distT="0" distB="0" distL="0" distR="0" wp14:anchorId="398DB20B" wp14:editId="3B2BBBEA">
            <wp:extent cx="6286500" cy="3998794"/>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CB6810" w14:textId="77777777" w:rsidR="00691800" w:rsidRPr="00B4090A" w:rsidRDefault="00691800" w:rsidP="00691800">
      <w:pPr>
        <w:autoSpaceDE w:val="0"/>
        <w:autoSpaceDN w:val="0"/>
        <w:adjustRightInd w:val="0"/>
        <w:spacing w:before="0" w:beforeAutospacing="0" w:after="0" w:afterAutospacing="0" w:line="240" w:lineRule="auto"/>
        <w:jc w:val="center"/>
        <w:rPr>
          <w:szCs w:val="24"/>
        </w:rPr>
      </w:pPr>
      <w:r w:rsidRPr="00B4090A">
        <w:rPr>
          <w:szCs w:val="24"/>
        </w:rPr>
        <w:t xml:space="preserve">Figure 3: </w:t>
      </w:r>
      <w:r w:rsidR="007A7320">
        <w:rPr>
          <w:szCs w:val="24"/>
        </w:rPr>
        <w:t>Quantitative phytochemical constituents</w:t>
      </w:r>
      <w:r w:rsidRPr="00B4090A">
        <w:rPr>
          <w:szCs w:val="24"/>
        </w:rPr>
        <w:t xml:space="preserve"> of the polar extracts of </w:t>
      </w:r>
      <w:proofErr w:type="spellStart"/>
      <w:r w:rsidR="00F47CE3" w:rsidRPr="00F47CE3">
        <w:rPr>
          <w:i/>
          <w:szCs w:val="24"/>
        </w:rPr>
        <w:t>Diodia</w:t>
      </w:r>
      <w:proofErr w:type="spellEnd"/>
      <w:r w:rsidR="00F47CE3" w:rsidRPr="00F47CE3">
        <w:rPr>
          <w:i/>
          <w:szCs w:val="24"/>
        </w:rPr>
        <w:t xml:space="preserve"> scandens</w:t>
      </w:r>
    </w:p>
    <w:p w14:paraId="6263F585"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p w14:paraId="2FCED9A4" w14:textId="77777777" w:rsidR="00F01C77" w:rsidRPr="00B4090A" w:rsidRDefault="00F01C77" w:rsidP="00C22662">
      <w:pPr>
        <w:spacing w:before="0" w:beforeAutospacing="0" w:after="0" w:afterAutospacing="0"/>
        <w:jc w:val="left"/>
        <w:rPr>
          <w:rStyle w:val="SubtleEmphasis"/>
          <w:i w:val="0"/>
          <w:szCs w:val="24"/>
        </w:rPr>
      </w:pPr>
      <w:r w:rsidRPr="00B4090A">
        <w:rPr>
          <w:rStyle w:val="SubtleEmphasis"/>
          <w:b/>
          <w:i w:val="0"/>
          <w:szCs w:val="24"/>
        </w:rPr>
        <w:t>3</w:t>
      </w:r>
      <w:r w:rsidRPr="00B4090A">
        <w:rPr>
          <w:rStyle w:val="SubtleEmphasis"/>
          <w:b/>
          <w:i w:val="0"/>
          <w:color w:val="auto"/>
          <w:szCs w:val="24"/>
        </w:rPr>
        <w:t xml:space="preserve">.3 </w:t>
      </w:r>
      <w:r w:rsidRPr="00B4090A">
        <w:rPr>
          <w:b/>
          <w:szCs w:val="24"/>
        </w:rPr>
        <w:t>Antimicrobial activity of the polar extract</w:t>
      </w:r>
      <w:r w:rsidR="000B3FE5">
        <w:rPr>
          <w:b/>
          <w:szCs w:val="24"/>
        </w:rPr>
        <w:t>s</w:t>
      </w:r>
      <w:r w:rsidRPr="00B4090A">
        <w:rPr>
          <w:szCs w:val="24"/>
        </w:rPr>
        <w:t xml:space="preserve"> </w:t>
      </w:r>
    </w:p>
    <w:p w14:paraId="2D8038C1" w14:textId="77777777" w:rsidR="00C22662" w:rsidRPr="00F07975" w:rsidRDefault="004261E3" w:rsidP="00F07975">
      <w:pPr>
        <w:pStyle w:val="Default"/>
        <w:spacing w:line="360" w:lineRule="auto"/>
        <w:rPr>
          <w:rStyle w:val="SubtleEmphasis"/>
          <w:i w:val="0"/>
          <w:iCs w:val="0"/>
          <w:color w:val="000000"/>
          <w:szCs w:val="24"/>
          <w14:ligatures w14:val="none"/>
        </w:rPr>
      </w:pPr>
      <w:r w:rsidRPr="00B4090A">
        <w:rPr>
          <w:rStyle w:val="SubtleEmphasis"/>
          <w:i w:val="0"/>
          <w:szCs w:val="24"/>
        </w:rPr>
        <w:t xml:space="preserve">The antimicrobial activity of the ethanol and ethyl acetate extracts was evaluated against </w:t>
      </w:r>
      <w:r w:rsidRPr="00B4090A">
        <w:rPr>
          <w:rStyle w:val="SubtleEmphasis"/>
          <w:szCs w:val="24"/>
        </w:rPr>
        <w:t>Staphylococcus aureus</w:t>
      </w:r>
      <w:r w:rsidRPr="00B4090A">
        <w:rPr>
          <w:rStyle w:val="SubtleEmphasis"/>
          <w:i w:val="0"/>
          <w:szCs w:val="24"/>
        </w:rPr>
        <w:t xml:space="preserve">, </w:t>
      </w:r>
      <w:r w:rsidRPr="00B4090A">
        <w:rPr>
          <w:rStyle w:val="SubtleEmphasis"/>
          <w:szCs w:val="24"/>
        </w:rPr>
        <w:t>Escherichia coli</w:t>
      </w:r>
      <w:r w:rsidRPr="00B4090A">
        <w:rPr>
          <w:rStyle w:val="SubtleEmphasis"/>
          <w:i w:val="0"/>
          <w:szCs w:val="24"/>
        </w:rPr>
        <w:t xml:space="preserve">, </w:t>
      </w:r>
      <w:r w:rsidRPr="00B4090A">
        <w:rPr>
          <w:rStyle w:val="SubtleEmphasis"/>
          <w:szCs w:val="24"/>
        </w:rPr>
        <w:t>Candida albicans</w:t>
      </w:r>
      <w:r w:rsidRPr="00B4090A">
        <w:rPr>
          <w:rStyle w:val="SubtleEmphasis"/>
          <w:i w:val="0"/>
          <w:szCs w:val="24"/>
        </w:rPr>
        <w:t xml:space="preserve">, and </w:t>
      </w:r>
      <w:r w:rsidRPr="00B4090A">
        <w:rPr>
          <w:rStyle w:val="SubtleEmphasis"/>
          <w:szCs w:val="24"/>
        </w:rPr>
        <w:t xml:space="preserve">Aspergillus </w:t>
      </w:r>
      <w:proofErr w:type="spellStart"/>
      <w:r w:rsidRPr="00B4090A">
        <w:rPr>
          <w:rStyle w:val="SubtleEmphasis"/>
          <w:szCs w:val="24"/>
        </w:rPr>
        <w:t>niger</w:t>
      </w:r>
      <w:proofErr w:type="spellEnd"/>
      <w:r w:rsidRPr="00B4090A">
        <w:rPr>
          <w:rStyle w:val="SubtleEmphasis"/>
          <w:i w:val="0"/>
          <w:szCs w:val="24"/>
        </w:rPr>
        <w:t xml:space="preserve"> using agar well diffusion (</w:t>
      </w:r>
      <w:r w:rsidR="003A5F46" w:rsidRPr="00B4090A">
        <w:rPr>
          <w:rStyle w:val="SubtleEmphasis"/>
          <w:i w:val="0"/>
          <w:szCs w:val="24"/>
        </w:rPr>
        <w:t xml:space="preserve">25–100 mg/mL), with MIC and </w:t>
      </w:r>
      <w:r w:rsidRPr="00B4090A">
        <w:rPr>
          <w:rStyle w:val="SubtleEmphasis"/>
          <w:i w:val="0"/>
          <w:szCs w:val="24"/>
        </w:rPr>
        <w:t xml:space="preserve">MMC also determined (Table 1; Figure 4). </w:t>
      </w:r>
      <w:r w:rsidR="003A5F46" w:rsidRPr="00B4090A">
        <w:rPr>
          <w:rStyle w:val="SubtleEmphasis"/>
          <w:i w:val="0"/>
          <w:szCs w:val="24"/>
        </w:rPr>
        <w:t xml:space="preserve">The </w:t>
      </w:r>
      <w:r w:rsidRPr="00B4090A">
        <w:rPr>
          <w:rStyle w:val="SubtleEmphasis"/>
          <w:i w:val="0"/>
          <w:szCs w:val="24"/>
        </w:rPr>
        <w:t xml:space="preserve">ethyl acetate </w:t>
      </w:r>
      <w:proofErr w:type="gramStart"/>
      <w:r w:rsidRPr="00B4090A">
        <w:rPr>
          <w:rStyle w:val="SubtleEmphasis"/>
          <w:i w:val="0"/>
          <w:szCs w:val="24"/>
        </w:rPr>
        <w:t>extract</w:t>
      </w:r>
      <w:proofErr w:type="gramEnd"/>
      <w:r w:rsidRPr="00B4090A">
        <w:rPr>
          <w:rStyle w:val="SubtleEmphasis"/>
          <w:i w:val="0"/>
          <w:szCs w:val="24"/>
        </w:rPr>
        <w:t xml:space="preserve"> consistently exhibited superior activity relative to ethanol, as shown by larger inhibition zones at equivalent doses and </w:t>
      </w:r>
      <w:r w:rsidR="003A5F46" w:rsidRPr="00B4090A">
        <w:rPr>
          <w:rStyle w:val="SubtleEmphasis"/>
          <w:i w:val="0"/>
          <w:szCs w:val="24"/>
        </w:rPr>
        <w:t xml:space="preserve">lower </w:t>
      </w:r>
      <w:r w:rsidR="00981B57">
        <w:rPr>
          <w:rStyle w:val="SubtleEmphasis"/>
          <w:i w:val="0"/>
          <w:szCs w:val="24"/>
        </w:rPr>
        <w:t>MM</w:t>
      </w:r>
      <w:r w:rsidRPr="00B4090A">
        <w:rPr>
          <w:rStyle w:val="SubtleEmphasis"/>
          <w:i w:val="0"/>
          <w:szCs w:val="24"/>
        </w:rPr>
        <w:t xml:space="preserve">C values, indicating that the most active antimicrobial constituents were more effectively concentrated in the semi-polar fraction under the extraction conditions used. This solvent-linked variation in antimicrobial performance is consistent with earlier D. </w:t>
      </w:r>
      <w:r w:rsidRPr="00B4090A">
        <w:rPr>
          <w:rStyle w:val="SubtleEmphasis"/>
          <w:szCs w:val="24"/>
        </w:rPr>
        <w:t>scandens</w:t>
      </w:r>
      <w:r w:rsidRPr="00B4090A">
        <w:rPr>
          <w:rStyle w:val="SubtleEmphasis"/>
          <w:i w:val="0"/>
          <w:szCs w:val="24"/>
        </w:rPr>
        <w:t xml:space="preserve"> reports showing that activity differs meaningfully with extraction solvent and assay format</w:t>
      </w:r>
      <w:r w:rsidR="00416A0F" w:rsidRPr="00B4090A">
        <w:rPr>
          <w:rStyle w:val="SubtleEmphasis"/>
          <w:i w:val="0"/>
          <w:szCs w:val="24"/>
        </w:rPr>
        <w:t xml:space="preserve"> (</w:t>
      </w:r>
      <w:r w:rsidR="00416A0F" w:rsidRPr="00B4090A">
        <w:rPr>
          <w:iCs/>
          <w:color w:val="404040" w:themeColor="text1" w:themeTint="BF"/>
          <w:szCs w:val="24"/>
        </w:rPr>
        <w:t xml:space="preserve">Ojo </w:t>
      </w:r>
      <w:r w:rsidR="00416A0F" w:rsidRPr="00B4090A">
        <w:rPr>
          <w:i/>
          <w:iCs/>
          <w:color w:val="404040" w:themeColor="text1" w:themeTint="BF"/>
          <w:szCs w:val="24"/>
        </w:rPr>
        <w:t>et al</w:t>
      </w:r>
      <w:r w:rsidR="00416A0F" w:rsidRPr="00B4090A">
        <w:rPr>
          <w:iCs/>
          <w:color w:val="404040" w:themeColor="text1" w:themeTint="BF"/>
          <w:szCs w:val="24"/>
        </w:rPr>
        <w:t>., 2024)</w:t>
      </w:r>
      <w:r w:rsidRPr="00B4090A">
        <w:rPr>
          <w:rStyle w:val="SubtleEmphasis"/>
          <w:i w:val="0"/>
          <w:szCs w:val="24"/>
        </w:rPr>
        <w:t xml:space="preserve">. Against S. </w:t>
      </w:r>
      <w:r w:rsidRPr="00B4090A">
        <w:rPr>
          <w:rStyle w:val="SubtleEmphasis"/>
          <w:szCs w:val="24"/>
        </w:rPr>
        <w:t>aureus</w:t>
      </w:r>
      <w:r w:rsidRPr="00B4090A">
        <w:rPr>
          <w:rStyle w:val="SubtleEmphasis"/>
          <w:i w:val="0"/>
          <w:szCs w:val="24"/>
        </w:rPr>
        <w:t xml:space="preserve">, the ethyl acetate extract produced strong, concentration-dependent inhibition (13 mm at 25 mg/mL; 18 mm at 50 mg/mL; 22 mm at 100 mg/mL), exceeding the ciprofloxacin control zone (19 mm). This diffusion-based performance aligned with the comparatively low MIC (3.125 mg/mL) and </w:t>
      </w:r>
      <w:r w:rsidR="00981B57">
        <w:rPr>
          <w:rStyle w:val="SubtleEmphasis"/>
          <w:i w:val="0"/>
          <w:szCs w:val="24"/>
        </w:rPr>
        <w:t>MMC</w:t>
      </w:r>
      <w:r w:rsidRPr="00B4090A">
        <w:rPr>
          <w:rStyle w:val="SubtleEmphasis"/>
          <w:i w:val="0"/>
          <w:szCs w:val="24"/>
        </w:rPr>
        <w:t xml:space="preserve"> (12.5 mg/mL), supporting robust growth suppression and bactericidal activity at higher concentrations.</w:t>
      </w:r>
      <w:r w:rsidR="00F07975">
        <w:rPr>
          <w:rStyle w:val="SubtleEmphasis"/>
          <w:i w:val="0"/>
          <w:szCs w:val="24"/>
        </w:rPr>
        <w:t xml:space="preserve"> </w:t>
      </w:r>
      <w:r w:rsidR="00F07975" w:rsidRPr="00F07975">
        <w:rPr>
          <w:sz w:val="23"/>
          <w:szCs w:val="23"/>
        </w:rPr>
        <w:t xml:space="preserve">The high activity of the ethyl acetate extract against </w:t>
      </w:r>
      <w:r w:rsidR="00F07975" w:rsidRPr="00F07975">
        <w:rPr>
          <w:i/>
          <w:iCs/>
          <w:sz w:val="23"/>
          <w:szCs w:val="23"/>
        </w:rPr>
        <w:t xml:space="preserve">S. aureus </w:t>
      </w:r>
      <w:r w:rsidR="00F07975" w:rsidRPr="00F07975">
        <w:rPr>
          <w:sz w:val="23"/>
          <w:szCs w:val="23"/>
        </w:rPr>
        <w:t xml:space="preserve">(22 mm zone) and </w:t>
      </w:r>
      <w:r w:rsidR="00F07975" w:rsidRPr="00F07975">
        <w:rPr>
          <w:i/>
          <w:iCs/>
          <w:sz w:val="23"/>
          <w:szCs w:val="23"/>
        </w:rPr>
        <w:t xml:space="preserve">C. albicans </w:t>
      </w:r>
      <w:r w:rsidR="00F07975" w:rsidRPr="00F07975">
        <w:rPr>
          <w:sz w:val="23"/>
          <w:szCs w:val="23"/>
        </w:rPr>
        <w:t xml:space="preserve">(23 mm zone) </w:t>
      </w:r>
      <w:r w:rsidR="00F07975" w:rsidRPr="00F07975">
        <w:rPr>
          <w:sz w:val="23"/>
          <w:szCs w:val="23"/>
        </w:rPr>
        <w:lastRenderedPageBreak/>
        <w:t xml:space="preserve">provides a scientific basis for its traditional use in treating </w:t>
      </w:r>
      <w:r w:rsidR="00F07975" w:rsidRPr="00F07975">
        <w:rPr>
          <w:bCs/>
          <w:sz w:val="23"/>
          <w:szCs w:val="23"/>
        </w:rPr>
        <w:t xml:space="preserve">infected wounds and skin conditions </w:t>
      </w:r>
      <w:r w:rsidRPr="00B4090A">
        <w:rPr>
          <w:rStyle w:val="SubtleEmphasis"/>
          <w:i w:val="0"/>
          <w:szCs w:val="24"/>
        </w:rPr>
        <w:t xml:space="preserve"> Comparable inhibition magnitudes for D. </w:t>
      </w:r>
      <w:r w:rsidRPr="00B4090A">
        <w:rPr>
          <w:rStyle w:val="SubtleEmphasis"/>
          <w:szCs w:val="24"/>
        </w:rPr>
        <w:t xml:space="preserve">scandens </w:t>
      </w:r>
      <w:r w:rsidRPr="00B4090A">
        <w:rPr>
          <w:rStyle w:val="SubtleEmphasis"/>
          <w:i w:val="0"/>
          <w:szCs w:val="24"/>
        </w:rPr>
        <w:t xml:space="preserve">have been reported in the literature: Ojo </w:t>
      </w:r>
      <w:r w:rsidR="00B4090A" w:rsidRPr="00B4090A">
        <w:rPr>
          <w:rStyle w:val="SubtleEmphasis"/>
          <w:szCs w:val="24"/>
        </w:rPr>
        <w:t>et al</w:t>
      </w:r>
      <w:r w:rsidRPr="00B4090A">
        <w:rPr>
          <w:rStyle w:val="SubtleEmphasis"/>
          <w:i w:val="0"/>
          <w:szCs w:val="24"/>
        </w:rPr>
        <w:t xml:space="preserve">. (2013) observed measurable zones for </w:t>
      </w:r>
      <w:r w:rsidR="00F47CE3" w:rsidRPr="00F47CE3">
        <w:rPr>
          <w:rStyle w:val="SubtleEmphasis"/>
          <w:szCs w:val="24"/>
        </w:rPr>
        <w:t>D. scandens</w:t>
      </w:r>
      <w:r w:rsidRPr="00B4090A">
        <w:rPr>
          <w:rStyle w:val="SubtleEmphasis"/>
          <w:i w:val="0"/>
          <w:szCs w:val="24"/>
        </w:rPr>
        <w:t xml:space="preserve"> ethanol extracts against multidrug-resistant staphylococci (reported range 6–20 mm, depending on concentration and isolate), confirming that D. </w:t>
      </w:r>
      <w:r w:rsidRPr="00B4090A">
        <w:rPr>
          <w:rStyle w:val="SubtleEmphasis"/>
          <w:szCs w:val="24"/>
        </w:rPr>
        <w:t>scandens</w:t>
      </w:r>
      <w:r w:rsidRPr="00B4090A">
        <w:rPr>
          <w:rStyle w:val="SubtleEmphasis"/>
          <w:i w:val="0"/>
          <w:szCs w:val="24"/>
        </w:rPr>
        <w:t xml:space="preserve"> can generate clinically relevant diffusion-assay inhibition against </w:t>
      </w:r>
      <w:r w:rsidRPr="00B4090A">
        <w:rPr>
          <w:rStyle w:val="SubtleEmphasis"/>
          <w:szCs w:val="24"/>
        </w:rPr>
        <w:t>staphylococci</w:t>
      </w:r>
      <w:r w:rsidRPr="00B4090A">
        <w:rPr>
          <w:rStyle w:val="SubtleEmphasis"/>
          <w:i w:val="0"/>
          <w:szCs w:val="24"/>
        </w:rPr>
        <w:t xml:space="preserve">. </w:t>
      </w:r>
    </w:p>
    <w:p w14:paraId="2B0E053A" w14:textId="77777777" w:rsidR="00F07975" w:rsidRPr="00F07975" w:rsidRDefault="004261E3" w:rsidP="00F07975">
      <w:pPr>
        <w:pStyle w:val="Default"/>
        <w:spacing w:line="360" w:lineRule="auto"/>
        <w:rPr>
          <w:szCs w:val="24"/>
          <w14:ligatures w14:val="none"/>
        </w:rPr>
      </w:pPr>
      <w:r w:rsidRPr="00B4090A">
        <w:rPr>
          <w:rStyle w:val="SubtleEmphasis"/>
          <w:i w:val="0"/>
          <w:szCs w:val="24"/>
        </w:rPr>
        <w:t xml:space="preserve">For E. </w:t>
      </w:r>
      <w:r w:rsidRPr="00B4090A">
        <w:rPr>
          <w:rStyle w:val="SubtleEmphasis"/>
          <w:szCs w:val="24"/>
        </w:rPr>
        <w:t>coli</w:t>
      </w:r>
      <w:r w:rsidRPr="00B4090A">
        <w:rPr>
          <w:rStyle w:val="SubtleEmphasis"/>
          <w:i w:val="0"/>
          <w:szCs w:val="24"/>
        </w:rPr>
        <w:t>, the ethanol extract showed weak inhibition (10 mm only at 100 mg/mL; none at 25–50 mg/mL), consistent with MIC/</w:t>
      </w:r>
      <w:r w:rsidR="00981B57">
        <w:rPr>
          <w:rStyle w:val="SubtleEmphasis"/>
          <w:i w:val="0"/>
          <w:szCs w:val="24"/>
        </w:rPr>
        <w:t>MMC</w:t>
      </w:r>
      <w:r w:rsidRPr="00B4090A">
        <w:rPr>
          <w:rStyle w:val="SubtleEmphasis"/>
          <w:i w:val="0"/>
          <w:szCs w:val="24"/>
        </w:rPr>
        <w:t xml:space="preserve"> values &gt;100 mg/mL, suggesting limited Gram-negative efficacy for that fraction under the current assay conditions. In contrast, ethyl acetate inhibited E. </w:t>
      </w:r>
      <w:r w:rsidRPr="00B4090A">
        <w:rPr>
          <w:rStyle w:val="SubtleEmphasis"/>
          <w:szCs w:val="24"/>
        </w:rPr>
        <w:t>coli</w:t>
      </w:r>
      <w:r w:rsidRPr="00B4090A">
        <w:rPr>
          <w:rStyle w:val="SubtleEmphasis"/>
          <w:i w:val="0"/>
          <w:szCs w:val="24"/>
        </w:rPr>
        <w:t xml:space="preserve"> across all concentrations tested (8–16 m</w:t>
      </w:r>
      <w:r w:rsidR="00981B57">
        <w:rPr>
          <w:rStyle w:val="SubtleEmphasis"/>
          <w:i w:val="0"/>
          <w:szCs w:val="24"/>
        </w:rPr>
        <w:t>m from 25–100 mg/mL) with MIC/MM</w:t>
      </w:r>
      <w:r w:rsidRPr="00B4090A">
        <w:rPr>
          <w:rStyle w:val="SubtleEmphasis"/>
          <w:i w:val="0"/>
          <w:szCs w:val="24"/>
        </w:rPr>
        <w:t>C = 25/25 mg/mL, indicating bactericidal activity occurring</w:t>
      </w:r>
      <w:r w:rsidR="00416A0F" w:rsidRPr="00B4090A">
        <w:rPr>
          <w:rStyle w:val="SubtleEmphasis"/>
          <w:i w:val="0"/>
          <w:szCs w:val="24"/>
        </w:rPr>
        <w:t xml:space="preserve"> at the inhibitory threshold (MM</w:t>
      </w:r>
      <w:r w:rsidRPr="00B4090A">
        <w:rPr>
          <w:rStyle w:val="SubtleEmphasis"/>
          <w:i w:val="0"/>
          <w:szCs w:val="24"/>
        </w:rPr>
        <w:t xml:space="preserve">C/MIC = 1). Prior work evaluating D. </w:t>
      </w:r>
      <w:r w:rsidRPr="00B4090A">
        <w:rPr>
          <w:rStyle w:val="SubtleEmphasis"/>
          <w:szCs w:val="24"/>
        </w:rPr>
        <w:t>scandens</w:t>
      </w:r>
      <w:r w:rsidRPr="00B4090A">
        <w:rPr>
          <w:rStyle w:val="SubtleEmphasis"/>
          <w:i w:val="0"/>
          <w:szCs w:val="24"/>
        </w:rPr>
        <w:t xml:space="preserve"> against mixed clinical isolates (including E. </w:t>
      </w:r>
      <w:r w:rsidRPr="00B4090A">
        <w:rPr>
          <w:rStyle w:val="SubtleEmphasis"/>
          <w:szCs w:val="24"/>
        </w:rPr>
        <w:t>coli</w:t>
      </w:r>
      <w:r w:rsidRPr="00B4090A">
        <w:rPr>
          <w:rStyle w:val="SubtleEmphasis"/>
          <w:i w:val="0"/>
          <w:szCs w:val="24"/>
        </w:rPr>
        <w:t xml:space="preserve"> and S. </w:t>
      </w:r>
      <w:r w:rsidRPr="00B4090A">
        <w:rPr>
          <w:rStyle w:val="SubtleEmphasis"/>
          <w:szCs w:val="24"/>
        </w:rPr>
        <w:t>aureus</w:t>
      </w:r>
      <w:r w:rsidRPr="00B4090A">
        <w:rPr>
          <w:rStyle w:val="SubtleEmphasis"/>
          <w:i w:val="0"/>
          <w:szCs w:val="24"/>
        </w:rPr>
        <w:t xml:space="preserve">) similarly supports susceptibility differences by concentration and methodology: Ojo </w:t>
      </w:r>
      <w:r w:rsidR="00B4090A" w:rsidRPr="00B4090A">
        <w:rPr>
          <w:rStyle w:val="SubtleEmphasis"/>
          <w:szCs w:val="24"/>
        </w:rPr>
        <w:t>et al</w:t>
      </w:r>
      <w:r w:rsidRPr="00B4090A">
        <w:rPr>
          <w:rStyle w:val="SubtleEmphasis"/>
          <w:i w:val="0"/>
          <w:szCs w:val="24"/>
        </w:rPr>
        <w:t>.</w:t>
      </w:r>
      <w:r w:rsidR="00416A0F" w:rsidRPr="00B4090A">
        <w:rPr>
          <w:rStyle w:val="SubtleEmphasis"/>
          <w:i w:val="0"/>
          <w:szCs w:val="24"/>
        </w:rPr>
        <w:t>,</w:t>
      </w:r>
      <w:r w:rsidRPr="00B4090A">
        <w:rPr>
          <w:rStyle w:val="SubtleEmphasis"/>
          <w:i w:val="0"/>
          <w:szCs w:val="24"/>
        </w:rPr>
        <w:t xml:space="preserve"> (2010) reported that </w:t>
      </w:r>
      <w:r w:rsidR="00F47CE3" w:rsidRPr="00F47CE3">
        <w:rPr>
          <w:rStyle w:val="SubtleEmphasis"/>
          <w:szCs w:val="24"/>
        </w:rPr>
        <w:t>D. scandens</w:t>
      </w:r>
      <w:r w:rsidRPr="00B4090A">
        <w:rPr>
          <w:rStyle w:val="SubtleEmphasis"/>
          <w:i w:val="0"/>
          <w:szCs w:val="24"/>
        </w:rPr>
        <w:t xml:space="preserve"> extracts inhibited at least one test organism, with the largest inhibition zone observed at 200 mg/mL (26.7 ± 2.89 mm) and reported MIC ≈ 50 mg/mL and </w:t>
      </w:r>
      <w:r w:rsidR="00981B57">
        <w:rPr>
          <w:rStyle w:val="SubtleEmphasis"/>
          <w:i w:val="0"/>
          <w:szCs w:val="24"/>
        </w:rPr>
        <w:t>MMC</w:t>
      </w:r>
      <w:r w:rsidRPr="00B4090A">
        <w:rPr>
          <w:rStyle w:val="SubtleEmphasis"/>
          <w:i w:val="0"/>
          <w:szCs w:val="24"/>
        </w:rPr>
        <w:t xml:space="preserve"> ≈ 200 mg/mL (across their extracts and</w:t>
      </w:r>
      <w:r w:rsidR="00981B57">
        <w:rPr>
          <w:rStyle w:val="SubtleEmphasis"/>
          <w:i w:val="0"/>
          <w:szCs w:val="24"/>
        </w:rPr>
        <w:t xml:space="preserve"> organisms). Although the MIC/MM</w:t>
      </w:r>
      <w:r w:rsidRPr="00B4090A">
        <w:rPr>
          <w:rStyle w:val="SubtleEmphasis"/>
          <w:i w:val="0"/>
          <w:szCs w:val="24"/>
        </w:rPr>
        <w:t xml:space="preserve">C values in that study are </w:t>
      </w:r>
      <w:r w:rsidR="00F07975">
        <w:rPr>
          <w:rStyle w:val="SubtleEmphasis"/>
          <w:i w:val="0"/>
          <w:szCs w:val="24"/>
        </w:rPr>
        <w:t xml:space="preserve">higher than those observed in this study, </w:t>
      </w:r>
      <w:proofErr w:type="gramStart"/>
      <w:r w:rsidR="00F07975" w:rsidRPr="00F07975">
        <w:rPr>
          <w:iCs/>
          <w:sz w:val="23"/>
          <w:szCs w:val="23"/>
        </w:rPr>
        <w:t>This</w:t>
      </w:r>
      <w:proofErr w:type="gramEnd"/>
      <w:r w:rsidR="00F07975" w:rsidRPr="00F07975">
        <w:rPr>
          <w:iCs/>
          <w:sz w:val="23"/>
          <w:szCs w:val="23"/>
        </w:rPr>
        <w:t xml:space="preserve"> </w:t>
      </w:r>
      <w:r w:rsidR="00F07975">
        <w:rPr>
          <w:sz w:val="23"/>
          <w:szCs w:val="23"/>
        </w:rPr>
        <w:t>can be as a result of</w:t>
      </w:r>
      <w:r w:rsidR="00F07975" w:rsidRPr="00F07975">
        <w:rPr>
          <w:sz w:val="23"/>
          <w:szCs w:val="23"/>
        </w:rPr>
        <w:t xml:space="preserve"> differences in </w:t>
      </w:r>
      <w:r w:rsidR="00F07975" w:rsidRPr="00F07975">
        <w:rPr>
          <w:bCs/>
          <w:sz w:val="23"/>
          <w:szCs w:val="23"/>
        </w:rPr>
        <w:t>geographic location of the plant.</w:t>
      </w:r>
      <w:r w:rsidR="00F07975" w:rsidRPr="00F07975">
        <w:rPr>
          <w:sz w:val="23"/>
          <w:szCs w:val="23"/>
        </w:rPr>
        <w:t xml:space="preserve"> </w:t>
      </w:r>
    </w:p>
    <w:p w14:paraId="53EB55FD" w14:textId="77777777" w:rsidR="004261E3" w:rsidRPr="00712EAD" w:rsidRDefault="004261E3" w:rsidP="00712EAD">
      <w:pPr>
        <w:pStyle w:val="Default"/>
        <w:spacing w:line="360" w:lineRule="auto"/>
        <w:rPr>
          <w:rStyle w:val="SubtleEmphasis"/>
          <w:i w:val="0"/>
          <w:iCs w:val="0"/>
          <w:color w:val="000000"/>
          <w:szCs w:val="24"/>
          <w14:ligatures w14:val="none"/>
        </w:rPr>
      </w:pPr>
      <w:r w:rsidRPr="00B4090A">
        <w:rPr>
          <w:rStyle w:val="SubtleEmphasis"/>
          <w:i w:val="0"/>
          <w:szCs w:val="24"/>
        </w:rPr>
        <w:t xml:space="preserve">Ethyl acetate again outperformed ethanol against the fungal isolates. C. </w:t>
      </w:r>
      <w:r w:rsidRPr="00B4090A">
        <w:rPr>
          <w:rStyle w:val="SubtleEmphasis"/>
          <w:szCs w:val="24"/>
        </w:rPr>
        <w:t>albicans</w:t>
      </w:r>
      <w:r w:rsidRPr="00B4090A">
        <w:rPr>
          <w:rStyle w:val="SubtleEmphasis"/>
          <w:i w:val="0"/>
          <w:szCs w:val="24"/>
        </w:rPr>
        <w:t xml:space="preserve"> showed large, dose-responsive inhibition zones with ethyl acetate (18, 20, and 23 mm at 25, 50, and 100 mg/mL, respectively), comparable to ketoconazole (20 mm), and supported by a very low MIC (1.5625 mg/mL) and </w:t>
      </w:r>
      <w:r w:rsidR="00981B57">
        <w:rPr>
          <w:rStyle w:val="SubtleEmphasis"/>
          <w:i w:val="0"/>
          <w:szCs w:val="24"/>
        </w:rPr>
        <w:t>MMC</w:t>
      </w:r>
      <w:r w:rsidRPr="00B4090A">
        <w:rPr>
          <w:rStyle w:val="SubtleEmphasis"/>
          <w:i w:val="0"/>
          <w:szCs w:val="24"/>
        </w:rPr>
        <w:t>/MMC (6.25 mg/mL)</w:t>
      </w:r>
      <w:r w:rsidR="00416A0F" w:rsidRPr="00B4090A">
        <w:rPr>
          <w:rStyle w:val="SubtleEmphasis"/>
          <w:i w:val="0"/>
          <w:szCs w:val="24"/>
        </w:rPr>
        <w:t xml:space="preserve"> </w:t>
      </w:r>
      <w:r w:rsidRPr="00B4090A">
        <w:rPr>
          <w:rStyle w:val="SubtleEmphasis"/>
          <w:i w:val="0"/>
          <w:szCs w:val="24"/>
        </w:rPr>
        <w:t>suggesting strong inhibitory activity with fungicidal action at higher concentrations. Ethanol exhibited minimal anti-Candida activity (0–10 mm) with much higher MIC/</w:t>
      </w:r>
      <w:r w:rsidR="00981B57">
        <w:rPr>
          <w:rStyle w:val="SubtleEmphasis"/>
          <w:i w:val="0"/>
          <w:szCs w:val="24"/>
        </w:rPr>
        <w:t>MMC</w:t>
      </w:r>
      <w:r w:rsidRPr="00B4090A">
        <w:rPr>
          <w:rStyle w:val="SubtleEmphasis"/>
          <w:i w:val="0"/>
          <w:szCs w:val="24"/>
        </w:rPr>
        <w:t xml:space="preserve"> (&gt;50 mg/mL). For A. </w:t>
      </w:r>
      <w:proofErr w:type="spellStart"/>
      <w:r w:rsidRPr="00B4090A">
        <w:rPr>
          <w:rStyle w:val="SubtleEmphasis"/>
          <w:szCs w:val="24"/>
        </w:rPr>
        <w:t>niger</w:t>
      </w:r>
      <w:proofErr w:type="spellEnd"/>
      <w:r w:rsidRPr="00B4090A">
        <w:rPr>
          <w:rStyle w:val="SubtleEmphasis"/>
          <w:i w:val="0"/>
          <w:szCs w:val="24"/>
        </w:rPr>
        <w:t>, ethyl acetate produced moderate inhibition (12 mm at 25–50 mg/mL; 16 mm at 100 mg/mL) with MIC/</w:t>
      </w:r>
      <w:r w:rsidR="00981B57">
        <w:rPr>
          <w:rStyle w:val="SubtleEmphasis"/>
          <w:i w:val="0"/>
          <w:szCs w:val="24"/>
        </w:rPr>
        <w:t>MMC</w:t>
      </w:r>
      <w:r w:rsidRPr="00B4090A">
        <w:rPr>
          <w:rStyle w:val="SubtleEmphasis"/>
          <w:i w:val="0"/>
          <w:szCs w:val="24"/>
        </w:rPr>
        <w:t xml:space="preserve"> = 6.25/12.5 mg/mL, whereas ethanol was negligible (10 mm only at 100 mg/mL; </w:t>
      </w:r>
      <w:r w:rsidR="00981B57">
        <w:rPr>
          <w:rStyle w:val="SubtleEmphasis"/>
          <w:i w:val="0"/>
          <w:szCs w:val="24"/>
        </w:rPr>
        <w:t>MIC/MM</w:t>
      </w:r>
      <w:r w:rsidRPr="00B4090A">
        <w:rPr>
          <w:rStyle w:val="SubtleEmphasis"/>
          <w:i w:val="0"/>
          <w:szCs w:val="24"/>
        </w:rPr>
        <w:t>C &gt;100 mg/mL). Taken together</w:t>
      </w:r>
      <w:r w:rsidR="00981B57">
        <w:rPr>
          <w:rStyle w:val="SubtleEmphasis"/>
          <w:i w:val="0"/>
          <w:szCs w:val="24"/>
        </w:rPr>
        <w:t>, the diffusion assay and MIC/MM</w:t>
      </w:r>
      <w:r w:rsidRPr="00B4090A">
        <w:rPr>
          <w:rStyle w:val="SubtleEmphasis"/>
          <w:i w:val="0"/>
          <w:szCs w:val="24"/>
        </w:rPr>
        <w:t>C indices indicate that the ethyl acetate extract has broader and consistently stronger antimicrobial activity than the ethanol extract acros</w:t>
      </w:r>
      <w:r w:rsidR="00416A0F" w:rsidRPr="00B4090A">
        <w:rPr>
          <w:rStyle w:val="SubtleEmphasis"/>
          <w:i w:val="0"/>
          <w:szCs w:val="24"/>
        </w:rPr>
        <w:t>s the bacteria and fungi tested</w:t>
      </w:r>
      <w:r w:rsidR="00173790" w:rsidRPr="00B4090A">
        <w:rPr>
          <w:rStyle w:val="SubtleEmphasis"/>
          <w:i w:val="0"/>
          <w:szCs w:val="24"/>
        </w:rPr>
        <w:t>,</w:t>
      </w:r>
      <w:r w:rsidR="00416A0F" w:rsidRPr="00B4090A">
        <w:rPr>
          <w:rStyle w:val="SubtleEmphasis"/>
          <w:i w:val="0"/>
          <w:szCs w:val="24"/>
        </w:rPr>
        <w:t xml:space="preserve"> </w:t>
      </w:r>
      <w:r w:rsidRPr="00B4090A">
        <w:rPr>
          <w:rStyle w:val="SubtleEmphasis"/>
          <w:i w:val="0"/>
          <w:szCs w:val="24"/>
        </w:rPr>
        <w:t xml:space="preserve">most notably against C. </w:t>
      </w:r>
      <w:r w:rsidRPr="00B4090A">
        <w:rPr>
          <w:rStyle w:val="SubtleEmphasis"/>
          <w:szCs w:val="24"/>
        </w:rPr>
        <w:t xml:space="preserve">albicans </w:t>
      </w:r>
      <w:r w:rsidRPr="00B4090A">
        <w:rPr>
          <w:rStyle w:val="SubtleEmphasis"/>
          <w:i w:val="0"/>
          <w:szCs w:val="24"/>
        </w:rPr>
        <w:t xml:space="preserve">(MIC 1.5625 mg/mL) and S. </w:t>
      </w:r>
      <w:r w:rsidRPr="00B4090A">
        <w:rPr>
          <w:rStyle w:val="SubtleEmphasis"/>
          <w:szCs w:val="24"/>
        </w:rPr>
        <w:t>aureus</w:t>
      </w:r>
      <w:r w:rsidRPr="00B4090A">
        <w:rPr>
          <w:rStyle w:val="SubtleEmphasis"/>
          <w:i w:val="0"/>
          <w:szCs w:val="24"/>
        </w:rPr>
        <w:t xml:space="preserve"> (MIC 3.125 mg/mL). This pattern is consistent with evidence that bioactive antimicrobial constituents of D.</w:t>
      </w:r>
      <w:r w:rsidR="00F07975">
        <w:rPr>
          <w:rStyle w:val="SubtleEmphasis"/>
          <w:i w:val="0"/>
          <w:szCs w:val="24"/>
        </w:rPr>
        <w:t xml:space="preserve"> </w:t>
      </w:r>
      <w:r w:rsidRPr="00B4090A">
        <w:rPr>
          <w:rStyle w:val="SubtleEmphasis"/>
          <w:szCs w:val="24"/>
        </w:rPr>
        <w:t>scandens</w:t>
      </w:r>
      <w:r w:rsidRPr="00B4090A">
        <w:rPr>
          <w:rStyle w:val="SubtleEmphasis"/>
          <w:i w:val="0"/>
          <w:szCs w:val="24"/>
        </w:rPr>
        <w:t xml:space="preserve"> can be preferentially captured in specific solvent fractions: for example, Ojo </w:t>
      </w:r>
      <w:r w:rsidR="00B4090A" w:rsidRPr="00B4090A">
        <w:rPr>
          <w:rStyle w:val="SubtleEmphasis"/>
          <w:szCs w:val="24"/>
        </w:rPr>
        <w:t>et al</w:t>
      </w:r>
      <w:r w:rsidRPr="00B4090A">
        <w:rPr>
          <w:rStyle w:val="SubtleEmphasis"/>
          <w:i w:val="0"/>
          <w:szCs w:val="24"/>
        </w:rPr>
        <w:t xml:space="preserve">. (2024) demonstrated antibacterial activity on direct bioautographic plates using D. </w:t>
      </w:r>
      <w:r w:rsidRPr="00B4090A">
        <w:rPr>
          <w:rStyle w:val="SubtleEmphasis"/>
          <w:szCs w:val="24"/>
        </w:rPr>
        <w:t>scandens</w:t>
      </w:r>
      <w:r w:rsidRPr="00B4090A">
        <w:rPr>
          <w:rStyle w:val="SubtleEmphasis"/>
          <w:i w:val="0"/>
          <w:szCs w:val="24"/>
        </w:rPr>
        <w:t xml:space="preserve"> ethyl acetate and n-hexane extracts, with ethyl acetate </w:t>
      </w:r>
      <w:r w:rsidR="00173790" w:rsidRPr="00B4090A">
        <w:rPr>
          <w:rStyle w:val="SubtleEmphasis"/>
          <w:i w:val="0"/>
          <w:szCs w:val="24"/>
        </w:rPr>
        <w:t xml:space="preserve">extract </w:t>
      </w:r>
      <w:r w:rsidRPr="00B4090A">
        <w:rPr>
          <w:rStyle w:val="SubtleEmphasis"/>
          <w:i w:val="0"/>
          <w:szCs w:val="24"/>
        </w:rPr>
        <w:lastRenderedPageBreak/>
        <w:t xml:space="preserve">producing inhibition zones in the ~14–21 mm range against S. </w:t>
      </w:r>
      <w:r w:rsidRPr="00B4090A">
        <w:rPr>
          <w:rStyle w:val="SubtleEmphasis"/>
          <w:szCs w:val="24"/>
        </w:rPr>
        <w:t>aureus</w:t>
      </w:r>
      <w:r w:rsidRPr="00B4090A">
        <w:rPr>
          <w:rStyle w:val="SubtleEmphasis"/>
          <w:i w:val="0"/>
          <w:szCs w:val="24"/>
        </w:rPr>
        <w:t xml:space="preserve"> and coagulase-negative </w:t>
      </w:r>
      <w:r w:rsidRPr="00B4090A">
        <w:rPr>
          <w:rStyle w:val="SubtleEmphasis"/>
          <w:szCs w:val="24"/>
        </w:rPr>
        <w:t>staphylococci</w:t>
      </w:r>
      <w:r w:rsidR="00173790" w:rsidRPr="00B4090A">
        <w:rPr>
          <w:rStyle w:val="SubtleEmphasis"/>
          <w:i w:val="0"/>
          <w:szCs w:val="24"/>
        </w:rPr>
        <w:t xml:space="preserve">, underscoring that different solvent </w:t>
      </w:r>
      <w:r w:rsidRPr="00B4090A">
        <w:rPr>
          <w:rStyle w:val="SubtleEmphasis"/>
          <w:i w:val="0"/>
          <w:szCs w:val="24"/>
        </w:rPr>
        <w:t>can concentrate antibacterial principles into distinct extract pools</w:t>
      </w:r>
      <w:r w:rsidR="00F07975">
        <w:rPr>
          <w:rStyle w:val="SubtleEmphasis"/>
          <w:i w:val="0"/>
          <w:szCs w:val="24"/>
        </w:rPr>
        <w:t xml:space="preserve">. </w:t>
      </w:r>
    </w:p>
    <w:p w14:paraId="064EB589"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p w14:paraId="14970E75" w14:textId="77777777" w:rsidR="00691800" w:rsidRPr="00B4090A" w:rsidRDefault="00691800" w:rsidP="00691800">
      <w:pPr>
        <w:autoSpaceDE w:val="0"/>
        <w:autoSpaceDN w:val="0"/>
        <w:adjustRightInd w:val="0"/>
        <w:spacing w:before="0" w:beforeAutospacing="0" w:after="0" w:afterAutospacing="0" w:line="240" w:lineRule="auto"/>
        <w:jc w:val="left"/>
        <w:rPr>
          <w:i/>
          <w:szCs w:val="24"/>
        </w:rPr>
      </w:pPr>
      <w:r w:rsidRPr="00B4090A">
        <w:rPr>
          <w:szCs w:val="24"/>
        </w:rPr>
        <w:t xml:space="preserve">Table 1: Antimicrobial activity of the successive extracts of </w:t>
      </w:r>
      <w:proofErr w:type="spellStart"/>
      <w:r w:rsidRPr="00B4090A">
        <w:rPr>
          <w:i/>
          <w:szCs w:val="24"/>
        </w:rPr>
        <w:t>Diodia</w:t>
      </w:r>
      <w:proofErr w:type="spellEnd"/>
      <w:r w:rsidRPr="00B4090A">
        <w:rPr>
          <w:i/>
          <w:szCs w:val="24"/>
        </w:rPr>
        <w:t xml:space="preserve"> scandens </w:t>
      </w:r>
    </w:p>
    <w:p w14:paraId="02124F23"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878"/>
        <w:gridCol w:w="827"/>
        <w:gridCol w:w="828"/>
        <w:gridCol w:w="878"/>
        <w:gridCol w:w="828"/>
        <w:gridCol w:w="828"/>
        <w:gridCol w:w="1550"/>
        <w:gridCol w:w="1549"/>
      </w:tblGrid>
      <w:tr w:rsidR="00691800" w:rsidRPr="00B4090A" w14:paraId="2F8E821B" w14:textId="77777777" w:rsidTr="00691800">
        <w:tc>
          <w:tcPr>
            <w:tcW w:w="9890" w:type="dxa"/>
            <w:gridSpan w:val="9"/>
            <w:tcBorders>
              <w:top w:val="single" w:sz="4" w:space="0" w:color="auto"/>
              <w:bottom w:val="single" w:sz="4" w:space="0" w:color="auto"/>
            </w:tcBorders>
          </w:tcPr>
          <w:p w14:paraId="1372A0C6" w14:textId="77777777" w:rsidR="00691800" w:rsidRPr="00B4090A" w:rsidRDefault="00691800" w:rsidP="00691800">
            <w:pPr>
              <w:autoSpaceDE w:val="0"/>
              <w:autoSpaceDN w:val="0"/>
              <w:adjustRightInd w:val="0"/>
              <w:jc w:val="center"/>
              <w:rPr>
                <w:b/>
                <w:szCs w:val="24"/>
              </w:rPr>
            </w:pPr>
            <w:r w:rsidRPr="00B4090A">
              <w:rPr>
                <w:b/>
                <w:bCs/>
                <w:szCs w:val="24"/>
              </w:rPr>
              <w:t>Concentration (mg/mL)</w:t>
            </w:r>
          </w:p>
        </w:tc>
      </w:tr>
      <w:tr w:rsidR="00691800" w:rsidRPr="00B4090A" w14:paraId="391DA522" w14:textId="77777777" w:rsidTr="00691800">
        <w:tc>
          <w:tcPr>
            <w:tcW w:w="1724" w:type="dxa"/>
            <w:tcBorders>
              <w:top w:val="single" w:sz="4" w:space="0" w:color="auto"/>
            </w:tcBorders>
          </w:tcPr>
          <w:p w14:paraId="09221CCE" w14:textId="77777777" w:rsidR="00691800" w:rsidRPr="00B4090A" w:rsidRDefault="00691800" w:rsidP="00691800">
            <w:pPr>
              <w:autoSpaceDE w:val="0"/>
              <w:autoSpaceDN w:val="0"/>
              <w:adjustRightInd w:val="0"/>
              <w:rPr>
                <w:b/>
                <w:szCs w:val="24"/>
              </w:rPr>
            </w:pPr>
            <w:r w:rsidRPr="00B4090A">
              <w:rPr>
                <w:b/>
                <w:bCs/>
                <w:szCs w:val="24"/>
              </w:rPr>
              <w:t>Organisms</w:t>
            </w:r>
          </w:p>
        </w:tc>
        <w:tc>
          <w:tcPr>
            <w:tcW w:w="2533" w:type="dxa"/>
            <w:gridSpan w:val="3"/>
            <w:tcBorders>
              <w:top w:val="single" w:sz="4" w:space="0" w:color="auto"/>
            </w:tcBorders>
          </w:tcPr>
          <w:p w14:paraId="7CB7B9E3" w14:textId="77777777" w:rsidR="00691800" w:rsidRPr="00B4090A" w:rsidRDefault="00691800" w:rsidP="00691800">
            <w:pPr>
              <w:autoSpaceDE w:val="0"/>
              <w:autoSpaceDN w:val="0"/>
              <w:adjustRightInd w:val="0"/>
              <w:rPr>
                <w:b/>
                <w:szCs w:val="24"/>
              </w:rPr>
            </w:pPr>
            <w:r w:rsidRPr="00B4090A">
              <w:rPr>
                <w:b/>
                <w:bCs/>
                <w:szCs w:val="24"/>
              </w:rPr>
              <w:t>Ethanol</w:t>
            </w:r>
          </w:p>
        </w:tc>
        <w:tc>
          <w:tcPr>
            <w:tcW w:w="2534" w:type="dxa"/>
            <w:gridSpan w:val="3"/>
            <w:tcBorders>
              <w:top w:val="single" w:sz="4" w:space="0" w:color="auto"/>
            </w:tcBorders>
          </w:tcPr>
          <w:p w14:paraId="2F633C5E" w14:textId="77777777" w:rsidR="00691800" w:rsidRPr="00B4090A" w:rsidRDefault="00691800" w:rsidP="00691800">
            <w:pPr>
              <w:autoSpaceDE w:val="0"/>
              <w:autoSpaceDN w:val="0"/>
              <w:adjustRightInd w:val="0"/>
              <w:rPr>
                <w:b/>
                <w:szCs w:val="24"/>
              </w:rPr>
            </w:pPr>
            <w:r w:rsidRPr="00B4090A">
              <w:rPr>
                <w:b/>
                <w:bCs/>
                <w:szCs w:val="24"/>
              </w:rPr>
              <w:t>Ethyl acetate</w:t>
            </w:r>
          </w:p>
        </w:tc>
        <w:tc>
          <w:tcPr>
            <w:tcW w:w="3099" w:type="dxa"/>
            <w:gridSpan w:val="2"/>
            <w:tcBorders>
              <w:top w:val="single" w:sz="4" w:space="0" w:color="auto"/>
            </w:tcBorders>
          </w:tcPr>
          <w:p w14:paraId="0D0FA237" w14:textId="77777777" w:rsidR="00691800" w:rsidRPr="00B4090A" w:rsidRDefault="00691800" w:rsidP="00691800">
            <w:pPr>
              <w:autoSpaceDE w:val="0"/>
              <w:autoSpaceDN w:val="0"/>
              <w:adjustRightInd w:val="0"/>
              <w:jc w:val="center"/>
              <w:rPr>
                <w:b/>
                <w:bCs/>
                <w:szCs w:val="24"/>
              </w:rPr>
            </w:pPr>
            <w:r w:rsidRPr="00B4090A">
              <w:rPr>
                <w:b/>
                <w:bCs/>
                <w:szCs w:val="24"/>
              </w:rPr>
              <w:t>Control</w:t>
            </w:r>
          </w:p>
          <w:p w14:paraId="2BCED712" w14:textId="77777777" w:rsidR="00691800" w:rsidRPr="00B4090A" w:rsidRDefault="00691800" w:rsidP="00691800">
            <w:pPr>
              <w:autoSpaceDE w:val="0"/>
              <w:autoSpaceDN w:val="0"/>
              <w:adjustRightInd w:val="0"/>
              <w:jc w:val="center"/>
              <w:rPr>
                <w:b/>
                <w:szCs w:val="24"/>
              </w:rPr>
            </w:pPr>
          </w:p>
        </w:tc>
      </w:tr>
      <w:tr w:rsidR="00691800" w:rsidRPr="00B4090A" w14:paraId="09B766F4" w14:textId="77777777" w:rsidTr="00691800">
        <w:tc>
          <w:tcPr>
            <w:tcW w:w="1724" w:type="dxa"/>
          </w:tcPr>
          <w:p w14:paraId="4154C9CA" w14:textId="77777777" w:rsidR="00691800" w:rsidRPr="00B4090A" w:rsidRDefault="00691800" w:rsidP="00691800">
            <w:pPr>
              <w:tabs>
                <w:tab w:val="left" w:pos="5103"/>
              </w:tabs>
              <w:rPr>
                <w:bCs/>
                <w:szCs w:val="24"/>
              </w:rPr>
            </w:pPr>
          </w:p>
        </w:tc>
        <w:tc>
          <w:tcPr>
            <w:tcW w:w="878" w:type="dxa"/>
          </w:tcPr>
          <w:p w14:paraId="6CCE2C50" w14:textId="77777777" w:rsidR="00691800" w:rsidRPr="00B4090A" w:rsidRDefault="00691800" w:rsidP="00691800">
            <w:pPr>
              <w:tabs>
                <w:tab w:val="left" w:pos="5103"/>
              </w:tabs>
              <w:jc w:val="both"/>
              <w:rPr>
                <w:bCs/>
                <w:szCs w:val="24"/>
              </w:rPr>
            </w:pPr>
            <w:r w:rsidRPr="00B4090A">
              <w:rPr>
                <w:bCs/>
                <w:szCs w:val="24"/>
              </w:rPr>
              <w:t>100</w:t>
            </w:r>
          </w:p>
        </w:tc>
        <w:tc>
          <w:tcPr>
            <w:tcW w:w="827" w:type="dxa"/>
          </w:tcPr>
          <w:p w14:paraId="3C86E26A" w14:textId="77777777" w:rsidR="00691800" w:rsidRPr="00B4090A" w:rsidRDefault="00691800" w:rsidP="00691800">
            <w:pPr>
              <w:tabs>
                <w:tab w:val="left" w:pos="5103"/>
              </w:tabs>
              <w:rPr>
                <w:bCs/>
                <w:szCs w:val="24"/>
              </w:rPr>
            </w:pPr>
            <w:r w:rsidRPr="00B4090A">
              <w:rPr>
                <w:bCs/>
                <w:szCs w:val="24"/>
              </w:rPr>
              <w:t>50</w:t>
            </w:r>
          </w:p>
        </w:tc>
        <w:tc>
          <w:tcPr>
            <w:tcW w:w="828" w:type="dxa"/>
          </w:tcPr>
          <w:p w14:paraId="1DA8BEF9" w14:textId="77777777" w:rsidR="00691800" w:rsidRPr="00B4090A" w:rsidRDefault="00691800" w:rsidP="00691800">
            <w:pPr>
              <w:tabs>
                <w:tab w:val="left" w:pos="5103"/>
              </w:tabs>
              <w:rPr>
                <w:bCs/>
                <w:szCs w:val="24"/>
              </w:rPr>
            </w:pPr>
            <w:r w:rsidRPr="00B4090A">
              <w:rPr>
                <w:bCs/>
                <w:szCs w:val="24"/>
              </w:rPr>
              <w:t>25</w:t>
            </w:r>
          </w:p>
        </w:tc>
        <w:tc>
          <w:tcPr>
            <w:tcW w:w="878" w:type="dxa"/>
          </w:tcPr>
          <w:p w14:paraId="6DB30E5A" w14:textId="77777777" w:rsidR="00691800" w:rsidRPr="00B4090A" w:rsidRDefault="00691800" w:rsidP="00691800">
            <w:pPr>
              <w:tabs>
                <w:tab w:val="left" w:pos="5103"/>
              </w:tabs>
              <w:rPr>
                <w:bCs/>
                <w:szCs w:val="24"/>
              </w:rPr>
            </w:pPr>
            <w:r w:rsidRPr="00B4090A">
              <w:rPr>
                <w:bCs/>
                <w:szCs w:val="24"/>
              </w:rPr>
              <w:t>100</w:t>
            </w:r>
          </w:p>
        </w:tc>
        <w:tc>
          <w:tcPr>
            <w:tcW w:w="828" w:type="dxa"/>
          </w:tcPr>
          <w:p w14:paraId="093A7FDF" w14:textId="77777777" w:rsidR="00691800" w:rsidRPr="00B4090A" w:rsidRDefault="00691800" w:rsidP="00691800">
            <w:pPr>
              <w:tabs>
                <w:tab w:val="left" w:pos="5103"/>
              </w:tabs>
              <w:rPr>
                <w:bCs/>
                <w:szCs w:val="24"/>
              </w:rPr>
            </w:pPr>
            <w:r w:rsidRPr="00B4090A">
              <w:rPr>
                <w:bCs/>
                <w:szCs w:val="24"/>
              </w:rPr>
              <w:t>50</w:t>
            </w:r>
          </w:p>
        </w:tc>
        <w:tc>
          <w:tcPr>
            <w:tcW w:w="828" w:type="dxa"/>
          </w:tcPr>
          <w:p w14:paraId="24483427" w14:textId="77777777" w:rsidR="00691800" w:rsidRPr="00B4090A" w:rsidRDefault="00691800" w:rsidP="00691800">
            <w:pPr>
              <w:tabs>
                <w:tab w:val="left" w:pos="5103"/>
              </w:tabs>
              <w:rPr>
                <w:bCs/>
                <w:szCs w:val="24"/>
              </w:rPr>
            </w:pPr>
            <w:r w:rsidRPr="00B4090A">
              <w:rPr>
                <w:bCs/>
                <w:szCs w:val="24"/>
              </w:rPr>
              <w:t>25</w:t>
            </w:r>
          </w:p>
        </w:tc>
        <w:tc>
          <w:tcPr>
            <w:tcW w:w="1550" w:type="dxa"/>
          </w:tcPr>
          <w:p w14:paraId="0105811B" w14:textId="77777777" w:rsidR="00691800" w:rsidRPr="00B4090A" w:rsidRDefault="00691800" w:rsidP="00691800">
            <w:pPr>
              <w:tabs>
                <w:tab w:val="left" w:pos="5103"/>
              </w:tabs>
              <w:jc w:val="center"/>
              <w:rPr>
                <w:bCs/>
                <w:szCs w:val="24"/>
              </w:rPr>
            </w:pPr>
            <w:r w:rsidRPr="00B4090A">
              <w:rPr>
                <w:szCs w:val="24"/>
              </w:rPr>
              <w:t>Ciprofloxacin</w:t>
            </w:r>
          </w:p>
        </w:tc>
        <w:tc>
          <w:tcPr>
            <w:tcW w:w="1549" w:type="dxa"/>
          </w:tcPr>
          <w:p w14:paraId="4B36A07B" w14:textId="77777777" w:rsidR="00691800" w:rsidRPr="00B4090A" w:rsidRDefault="00691800" w:rsidP="00691800">
            <w:pPr>
              <w:tabs>
                <w:tab w:val="left" w:pos="5103"/>
              </w:tabs>
              <w:jc w:val="center"/>
              <w:rPr>
                <w:bCs/>
                <w:szCs w:val="24"/>
              </w:rPr>
            </w:pPr>
            <w:proofErr w:type="spellStart"/>
            <w:r w:rsidRPr="00B4090A">
              <w:rPr>
                <w:szCs w:val="24"/>
              </w:rPr>
              <w:t>Ketokonazole</w:t>
            </w:r>
            <w:proofErr w:type="spellEnd"/>
          </w:p>
        </w:tc>
      </w:tr>
      <w:tr w:rsidR="00691800" w:rsidRPr="00B4090A" w14:paraId="01CB4369" w14:textId="77777777" w:rsidTr="00691800">
        <w:tc>
          <w:tcPr>
            <w:tcW w:w="1724" w:type="dxa"/>
          </w:tcPr>
          <w:p w14:paraId="5BF55C88" w14:textId="77777777" w:rsidR="00691800" w:rsidRPr="00B4090A" w:rsidRDefault="00691800" w:rsidP="00691800">
            <w:pPr>
              <w:tabs>
                <w:tab w:val="left" w:pos="5103"/>
              </w:tabs>
              <w:rPr>
                <w:bCs/>
                <w:szCs w:val="24"/>
              </w:rPr>
            </w:pPr>
            <w:r w:rsidRPr="00B4090A">
              <w:rPr>
                <w:i/>
                <w:szCs w:val="24"/>
              </w:rPr>
              <w:t xml:space="preserve">Staphylococcus </w:t>
            </w:r>
            <w:proofErr w:type="gramStart"/>
            <w:r w:rsidRPr="00B4090A">
              <w:rPr>
                <w:i/>
                <w:szCs w:val="24"/>
              </w:rPr>
              <w:t>aureus</w:t>
            </w:r>
            <w:r w:rsidRPr="00B4090A">
              <w:rPr>
                <w:szCs w:val="24"/>
              </w:rPr>
              <w:t xml:space="preserve">  (</w:t>
            </w:r>
            <w:proofErr w:type="gramEnd"/>
            <w:r w:rsidRPr="00B4090A">
              <w:rPr>
                <w:szCs w:val="24"/>
              </w:rPr>
              <w:t>mm)</w:t>
            </w:r>
          </w:p>
        </w:tc>
        <w:tc>
          <w:tcPr>
            <w:tcW w:w="878" w:type="dxa"/>
          </w:tcPr>
          <w:p w14:paraId="6EEBA897" w14:textId="77777777" w:rsidR="00691800" w:rsidRPr="00B4090A" w:rsidRDefault="00691800" w:rsidP="00691800">
            <w:pPr>
              <w:tabs>
                <w:tab w:val="left" w:pos="5103"/>
              </w:tabs>
              <w:rPr>
                <w:bCs/>
                <w:szCs w:val="24"/>
              </w:rPr>
            </w:pPr>
            <w:r w:rsidRPr="00B4090A">
              <w:rPr>
                <w:bCs/>
                <w:szCs w:val="24"/>
              </w:rPr>
              <w:t>12</w:t>
            </w:r>
          </w:p>
        </w:tc>
        <w:tc>
          <w:tcPr>
            <w:tcW w:w="827" w:type="dxa"/>
          </w:tcPr>
          <w:p w14:paraId="61AFAB3B" w14:textId="77777777" w:rsidR="00691800" w:rsidRPr="00B4090A" w:rsidRDefault="00691800" w:rsidP="00691800">
            <w:pPr>
              <w:tabs>
                <w:tab w:val="left" w:pos="5103"/>
              </w:tabs>
              <w:rPr>
                <w:bCs/>
                <w:szCs w:val="24"/>
              </w:rPr>
            </w:pPr>
            <w:r w:rsidRPr="00B4090A">
              <w:rPr>
                <w:bCs/>
                <w:szCs w:val="24"/>
              </w:rPr>
              <w:t>10</w:t>
            </w:r>
          </w:p>
        </w:tc>
        <w:tc>
          <w:tcPr>
            <w:tcW w:w="828" w:type="dxa"/>
          </w:tcPr>
          <w:p w14:paraId="2B48D25F" w14:textId="77777777" w:rsidR="00691800" w:rsidRPr="00B4090A" w:rsidRDefault="00691800" w:rsidP="00691800">
            <w:pPr>
              <w:tabs>
                <w:tab w:val="left" w:pos="5103"/>
              </w:tabs>
              <w:rPr>
                <w:bCs/>
                <w:szCs w:val="24"/>
              </w:rPr>
            </w:pPr>
            <w:r w:rsidRPr="00B4090A">
              <w:rPr>
                <w:bCs/>
                <w:szCs w:val="24"/>
              </w:rPr>
              <w:t>0</w:t>
            </w:r>
          </w:p>
        </w:tc>
        <w:tc>
          <w:tcPr>
            <w:tcW w:w="878" w:type="dxa"/>
          </w:tcPr>
          <w:p w14:paraId="23BB5B7C" w14:textId="77777777" w:rsidR="00691800" w:rsidRPr="00B4090A" w:rsidRDefault="00691800" w:rsidP="00691800">
            <w:pPr>
              <w:tabs>
                <w:tab w:val="left" w:pos="5103"/>
              </w:tabs>
              <w:rPr>
                <w:bCs/>
                <w:szCs w:val="24"/>
              </w:rPr>
            </w:pPr>
            <w:r w:rsidRPr="00B4090A">
              <w:rPr>
                <w:bCs/>
                <w:szCs w:val="24"/>
              </w:rPr>
              <w:t>22</w:t>
            </w:r>
          </w:p>
        </w:tc>
        <w:tc>
          <w:tcPr>
            <w:tcW w:w="828" w:type="dxa"/>
          </w:tcPr>
          <w:p w14:paraId="65B156C5" w14:textId="77777777" w:rsidR="00691800" w:rsidRPr="00B4090A" w:rsidRDefault="00691800" w:rsidP="00691800">
            <w:pPr>
              <w:tabs>
                <w:tab w:val="left" w:pos="5103"/>
              </w:tabs>
              <w:rPr>
                <w:bCs/>
                <w:szCs w:val="24"/>
              </w:rPr>
            </w:pPr>
            <w:r w:rsidRPr="00B4090A">
              <w:rPr>
                <w:bCs/>
                <w:szCs w:val="24"/>
              </w:rPr>
              <w:t>18</w:t>
            </w:r>
          </w:p>
        </w:tc>
        <w:tc>
          <w:tcPr>
            <w:tcW w:w="828" w:type="dxa"/>
          </w:tcPr>
          <w:p w14:paraId="5F5AC2A5" w14:textId="77777777" w:rsidR="00691800" w:rsidRPr="00B4090A" w:rsidRDefault="00691800" w:rsidP="00691800">
            <w:pPr>
              <w:tabs>
                <w:tab w:val="left" w:pos="5103"/>
              </w:tabs>
              <w:rPr>
                <w:bCs/>
                <w:szCs w:val="24"/>
              </w:rPr>
            </w:pPr>
            <w:r w:rsidRPr="00B4090A">
              <w:rPr>
                <w:bCs/>
                <w:szCs w:val="24"/>
              </w:rPr>
              <w:t>13</w:t>
            </w:r>
          </w:p>
        </w:tc>
        <w:tc>
          <w:tcPr>
            <w:tcW w:w="1550" w:type="dxa"/>
          </w:tcPr>
          <w:p w14:paraId="37EA102E" w14:textId="77777777" w:rsidR="00691800" w:rsidRPr="00B4090A" w:rsidRDefault="00691800" w:rsidP="00691800">
            <w:pPr>
              <w:tabs>
                <w:tab w:val="left" w:pos="5103"/>
              </w:tabs>
              <w:rPr>
                <w:bCs/>
                <w:szCs w:val="24"/>
              </w:rPr>
            </w:pPr>
            <w:r w:rsidRPr="00B4090A">
              <w:rPr>
                <w:bCs/>
                <w:szCs w:val="24"/>
              </w:rPr>
              <w:t>19</w:t>
            </w:r>
          </w:p>
        </w:tc>
        <w:tc>
          <w:tcPr>
            <w:tcW w:w="1549" w:type="dxa"/>
          </w:tcPr>
          <w:p w14:paraId="297B7F31" w14:textId="77777777" w:rsidR="00691800" w:rsidRPr="00B4090A" w:rsidRDefault="00691800" w:rsidP="00691800">
            <w:pPr>
              <w:tabs>
                <w:tab w:val="left" w:pos="5103"/>
              </w:tabs>
              <w:rPr>
                <w:bCs/>
                <w:szCs w:val="24"/>
              </w:rPr>
            </w:pPr>
            <w:r w:rsidRPr="00B4090A">
              <w:rPr>
                <w:bCs/>
                <w:szCs w:val="24"/>
              </w:rPr>
              <w:t xml:space="preserve">NA </w:t>
            </w:r>
          </w:p>
        </w:tc>
      </w:tr>
      <w:tr w:rsidR="00691800" w:rsidRPr="00B4090A" w14:paraId="636B1615" w14:textId="77777777" w:rsidTr="00691800">
        <w:tc>
          <w:tcPr>
            <w:tcW w:w="1724" w:type="dxa"/>
          </w:tcPr>
          <w:p w14:paraId="6DE5C6FE" w14:textId="77777777" w:rsidR="00691800" w:rsidRPr="00B4090A" w:rsidRDefault="00691800" w:rsidP="00691800">
            <w:pPr>
              <w:tabs>
                <w:tab w:val="left" w:pos="5103"/>
              </w:tabs>
              <w:rPr>
                <w:bCs/>
                <w:szCs w:val="24"/>
              </w:rPr>
            </w:pPr>
            <w:r w:rsidRPr="00B4090A">
              <w:rPr>
                <w:i/>
                <w:szCs w:val="24"/>
              </w:rPr>
              <w:t>Escherichia coli</w:t>
            </w:r>
            <w:r w:rsidRPr="00B4090A">
              <w:rPr>
                <w:szCs w:val="24"/>
              </w:rPr>
              <w:t xml:space="preserve"> (mm)</w:t>
            </w:r>
          </w:p>
        </w:tc>
        <w:tc>
          <w:tcPr>
            <w:tcW w:w="878" w:type="dxa"/>
          </w:tcPr>
          <w:p w14:paraId="230FF2CB" w14:textId="77777777" w:rsidR="00691800" w:rsidRPr="00B4090A" w:rsidRDefault="00691800" w:rsidP="00691800">
            <w:pPr>
              <w:tabs>
                <w:tab w:val="left" w:pos="5103"/>
              </w:tabs>
              <w:rPr>
                <w:bCs/>
                <w:szCs w:val="24"/>
              </w:rPr>
            </w:pPr>
            <w:r w:rsidRPr="00B4090A">
              <w:rPr>
                <w:bCs/>
                <w:szCs w:val="24"/>
              </w:rPr>
              <w:t>10</w:t>
            </w:r>
          </w:p>
        </w:tc>
        <w:tc>
          <w:tcPr>
            <w:tcW w:w="827" w:type="dxa"/>
          </w:tcPr>
          <w:p w14:paraId="35E20B2C" w14:textId="77777777" w:rsidR="00691800" w:rsidRPr="00B4090A" w:rsidRDefault="00691800" w:rsidP="00691800">
            <w:pPr>
              <w:tabs>
                <w:tab w:val="left" w:pos="5103"/>
              </w:tabs>
              <w:rPr>
                <w:bCs/>
                <w:szCs w:val="24"/>
              </w:rPr>
            </w:pPr>
            <w:r w:rsidRPr="00B4090A">
              <w:rPr>
                <w:bCs/>
                <w:szCs w:val="24"/>
              </w:rPr>
              <w:t>0</w:t>
            </w:r>
          </w:p>
        </w:tc>
        <w:tc>
          <w:tcPr>
            <w:tcW w:w="828" w:type="dxa"/>
          </w:tcPr>
          <w:p w14:paraId="3BD35E04" w14:textId="77777777" w:rsidR="00691800" w:rsidRPr="00B4090A" w:rsidRDefault="00691800" w:rsidP="00691800">
            <w:pPr>
              <w:tabs>
                <w:tab w:val="left" w:pos="5103"/>
              </w:tabs>
              <w:rPr>
                <w:bCs/>
                <w:szCs w:val="24"/>
              </w:rPr>
            </w:pPr>
            <w:r w:rsidRPr="00B4090A">
              <w:rPr>
                <w:bCs/>
                <w:szCs w:val="24"/>
              </w:rPr>
              <w:t>0</w:t>
            </w:r>
          </w:p>
        </w:tc>
        <w:tc>
          <w:tcPr>
            <w:tcW w:w="878" w:type="dxa"/>
          </w:tcPr>
          <w:p w14:paraId="36CAA0C9" w14:textId="77777777" w:rsidR="00691800" w:rsidRPr="00B4090A" w:rsidRDefault="00691800" w:rsidP="00691800">
            <w:pPr>
              <w:tabs>
                <w:tab w:val="left" w:pos="5103"/>
              </w:tabs>
              <w:rPr>
                <w:bCs/>
                <w:szCs w:val="24"/>
              </w:rPr>
            </w:pPr>
            <w:r w:rsidRPr="00B4090A">
              <w:rPr>
                <w:bCs/>
                <w:szCs w:val="24"/>
              </w:rPr>
              <w:t>16</w:t>
            </w:r>
          </w:p>
        </w:tc>
        <w:tc>
          <w:tcPr>
            <w:tcW w:w="828" w:type="dxa"/>
          </w:tcPr>
          <w:p w14:paraId="168716FD" w14:textId="77777777" w:rsidR="00691800" w:rsidRPr="00B4090A" w:rsidRDefault="00691800" w:rsidP="00691800">
            <w:pPr>
              <w:tabs>
                <w:tab w:val="left" w:pos="5103"/>
              </w:tabs>
              <w:rPr>
                <w:bCs/>
                <w:szCs w:val="24"/>
              </w:rPr>
            </w:pPr>
            <w:r w:rsidRPr="00B4090A">
              <w:rPr>
                <w:bCs/>
                <w:szCs w:val="24"/>
              </w:rPr>
              <w:t>14</w:t>
            </w:r>
          </w:p>
        </w:tc>
        <w:tc>
          <w:tcPr>
            <w:tcW w:w="828" w:type="dxa"/>
          </w:tcPr>
          <w:p w14:paraId="5789A4D3" w14:textId="77777777" w:rsidR="00691800" w:rsidRPr="00B4090A" w:rsidRDefault="00691800" w:rsidP="00691800">
            <w:pPr>
              <w:tabs>
                <w:tab w:val="left" w:pos="5103"/>
              </w:tabs>
              <w:rPr>
                <w:bCs/>
                <w:szCs w:val="24"/>
              </w:rPr>
            </w:pPr>
            <w:r w:rsidRPr="00B4090A">
              <w:rPr>
                <w:bCs/>
                <w:szCs w:val="24"/>
              </w:rPr>
              <w:t>8</w:t>
            </w:r>
          </w:p>
        </w:tc>
        <w:tc>
          <w:tcPr>
            <w:tcW w:w="1550" w:type="dxa"/>
          </w:tcPr>
          <w:p w14:paraId="56852657" w14:textId="77777777" w:rsidR="00691800" w:rsidRPr="00B4090A" w:rsidRDefault="00691800" w:rsidP="00691800">
            <w:pPr>
              <w:tabs>
                <w:tab w:val="left" w:pos="5103"/>
              </w:tabs>
              <w:rPr>
                <w:bCs/>
                <w:szCs w:val="24"/>
              </w:rPr>
            </w:pPr>
            <w:r w:rsidRPr="00B4090A">
              <w:rPr>
                <w:bCs/>
                <w:szCs w:val="24"/>
              </w:rPr>
              <w:t>12</w:t>
            </w:r>
          </w:p>
        </w:tc>
        <w:tc>
          <w:tcPr>
            <w:tcW w:w="1549" w:type="dxa"/>
          </w:tcPr>
          <w:p w14:paraId="4D1CC2D4" w14:textId="77777777" w:rsidR="00691800" w:rsidRPr="00B4090A" w:rsidRDefault="00691800" w:rsidP="00691800">
            <w:pPr>
              <w:tabs>
                <w:tab w:val="left" w:pos="5103"/>
              </w:tabs>
              <w:rPr>
                <w:bCs/>
                <w:szCs w:val="24"/>
              </w:rPr>
            </w:pPr>
            <w:r w:rsidRPr="00B4090A">
              <w:rPr>
                <w:bCs/>
                <w:szCs w:val="24"/>
              </w:rPr>
              <w:t xml:space="preserve">NA </w:t>
            </w:r>
          </w:p>
        </w:tc>
      </w:tr>
      <w:tr w:rsidR="00691800" w:rsidRPr="00B4090A" w14:paraId="776557CD" w14:textId="77777777" w:rsidTr="00691800">
        <w:tc>
          <w:tcPr>
            <w:tcW w:w="1724" w:type="dxa"/>
          </w:tcPr>
          <w:p w14:paraId="1E3B0005" w14:textId="77777777" w:rsidR="00691800" w:rsidRPr="00B4090A" w:rsidRDefault="00691800" w:rsidP="00691800">
            <w:pPr>
              <w:tabs>
                <w:tab w:val="left" w:pos="5103"/>
              </w:tabs>
              <w:rPr>
                <w:bCs/>
                <w:szCs w:val="24"/>
              </w:rPr>
            </w:pPr>
            <w:r w:rsidRPr="00B4090A">
              <w:rPr>
                <w:i/>
                <w:szCs w:val="24"/>
              </w:rPr>
              <w:t>Candida albicans</w:t>
            </w:r>
            <w:r w:rsidRPr="00B4090A">
              <w:rPr>
                <w:szCs w:val="24"/>
              </w:rPr>
              <w:t xml:space="preserve"> (mm)</w:t>
            </w:r>
          </w:p>
        </w:tc>
        <w:tc>
          <w:tcPr>
            <w:tcW w:w="878" w:type="dxa"/>
          </w:tcPr>
          <w:p w14:paraId="587C71DE" w14:textId="77777777" w:rsidR="00691800" w:rsidRPr="00B4090A" w:rsidRDefault="00691800" w:rsidP="00691800">
            <w:pPr>
              <w:tabs>
                <w:tab w:val="left" w:pos="5103"/>
              </w:tabs>
              <w:rPr>
                <w:bCs/>
                <w:szCs w:val="24"/>
              </w:rPr>
            </w:pPr>
            <w:r w:rsidRPr="00B4090A">
              <w:rPr>
                <w:bCs/>
                <w:szCs w:val="24"/>
              </w:rPr>
              <w:t>10</w:t>
            </w:r>
          </w:p>
        </w:tc>
        <w:tc>
          <w:tcPr>
            <w:tcW w:w="827" w:type="dxa"/>
          </w:tcPr>
          <w:p w14:paraId="39293860" w14:textId="77777777" w:rsidR="00691800" w:rsidRPr="00B4090A" w:rsidRDefault="00691800" w:rsidP="00691800">
            <w:pPr>
              <w:tabs>
                <w:tab w:val="left" w:pos="5103"/>
              </w:tabs>
              <w:rPr>
                <w:bCs/>
                <w:szCs w:val="24"/>
              </w:rPr>
            </w:pPr>
            <w:r w:rsidRPr="00B4090A">
              <w:rPr>
                <w:bCs/>
                <w:szCs w:val="24"/>
              </w:rPr>
              <w:t>8</w:t>
            </w:r>
          </w:p>
        </w:tc>
        <w:tc>
          <w:tcPr>
            <w:tcW w:w="828" w:type="dxa"/>
          </w:tcPr>
          <w:p w14:paraId="7D6495D6" w14:textId="77777777" w:rsidR="00691800" w:rsidRPr="00B4090A" w:rsidRDefault="00691800" w:rsidP="00691800">
            <w:pPr>
              <w:tabs>
                <w:tab w:val="left" w:pos="5103"/>
              </w:tabs>
              <w:rPr>
                <w:bCs/>
                <w:szCs w:val="24"/>
              </w:rPr>
            </w:pPr>
            <w:r w:rsidRPr="00B4090A">
              <w:rPr>
                <w:bCs/>
                <w:szCs w:val="24"/>
              </w:rPr>
              <w:t>0</w:t>
            </w:r>
          </w:p>
        </w:tc>
        <w:tc>
          <w:tcPr>
            <w:tcW w:w="878" w:type="dxa"/>
          </w:tcPr>
          <w:p w14:paraId="16D52037" w14:textId="77777777" w:rsidR="00691800" w:rsidRPr="00B4090A" w:rsidRDefault="00691800" w:rsidP="00691800">
            <w:pPr>
              <w:tabs>
                <w:tab w:val="left" w:pos="5103"/>
              </w:tabs>
              <w:rPr>
                <w:bCs/>
                <w:szCs w:val="24"/>
              </w:rPr>
            </w:pPr>
            <w:r w:rsidRPr="00B4090A">
              <w:rPr>
                <w:bCs/>
                <w:szCs w:val="24"/>
              </w:rPr>
              <w:t>23</w:t>
            </w:r>
          </w:p>
        </w:tc>
        <w:tc>
          <w:tcPr>
            <w:tcW w:w="828" w:type="dxa"/>
          </w:tcPr>
          <w:p w14:paraId="09419FFF" w14:textId="77777777" w:rsidR="00691800" w:rsidRPr="00B4090A" w:rsidRDefault="00691800" w:rsidP="00691800">
            <w:pPr>
              <w:tabs>
                <w:tab w:val="left" w:pos="5103"/>
              </w:tabs>
              <w:rPr>
                <w:bCs/>
                <w:szCs w:val="24"/>
              </w:rPr>
            </w:pPr>
            <w:r w:rsidRPr="00B4090A">
              <w:rPr>
                <w:bCs/>
                <w:szCs w:val="24"/>
              </w:rPr>
              <w:t>20</w:t>
            </w:r>
          </w:p>
        </w:tc>
        <w:tc>
          <w:tcPr>
            <w:tcW w:w="828" w:type="dxa"/>
          </w:tcPr>
          <w:p w14:paraId="35A3AE16" w14:textId="77777777" w:rsidR="00691800" w:rsidRPr="00B4090A" w:rsidRDefault="00691800" w:rsidP="00691800">
            <w:pPr>
              <w:tabs>
                <w:tab w:val="left" w:pos="5103"/>
              </w:tabs>
              <w:rPr>
                <w:bCs/>
                <w:szCs w:val="24"/>
              </w:rPr>
            </w:pPr>
            <w:r w:rsidRPr="00B4090A">
              <w:rPr>
                <w:bCs/>
                <w:szCs w:val="24"/>
              </w:rPr>
              <w:t>18</w:t>
            </w:r>
          </w:p>
        </w:tc>
        <w:tc>
          <w:tcPr>
            <w:tcW w:w="1550" w:type="dxa"/>
          </w:tcPr>
          <w:p w14:paraId="635A6186" w14:textId="77777777" w:rsidR="00691800" w:rsidRPr="00B4090A" w:rsidRDefault="00691800" w:rsidP="00691800">
            <w:pPr>
              <w:tabs>
                <w:tab w:val="left" w:pos="5103"/>
              </w:tabs>
              <w:rPr>
                <w:bCs/>
                <w:szCs w:val="24"/>
              </w:rPr>
            </w:pPr>
            <w:r w:rsidRPr="00B4090A">
              <w:rPr>
                <w:bCs/>
                <w:szCs w:val="24"/>
              </w:rPr>
              <w:t>NA</w:t>
            </w:r>
          </w:p>
        </w:tc>
        <w:tc>
          <w:tcPr>
            <w:tcW w:w="1549" w:type="dxa"/>
          </w:tcPr>
          <w:p w14:paraId="1D5C4239" w14:textId="77777777" w:rsidR="00691800" w:rsidRPr="00B4090A" w:rsidRDefault="00691800" w:rsidP="00691800">
            <w:pPr>
              <w:tabs>
                <w:tab w:val="left" w:pos="5103"/>
              </w:tabs>
              <w:rPr>
                <w:bCs/>
                <w:szCs w:val="24"/>
              </w:rPr>
            </w:pPr>
            <w:r w:rsidRPr="00B4090A">
              <w:rPr>
                <w:bCs/>
                <w:szCs w:val="24"/>
              </w:rPr>
              <w:t>20</w:t>
            </w:r>
          </w:p>
        </w:tc>
      </w:tr>
      <w:tr w:rsidR="00691800" w:rsidRPr="00B4090A" w14:paraId="73322C03" w14:textId="77777777" w:rsidTr="00691800">
        <w:tc>
          <w:tcPr>
            <w:tcW w:w="1724" w:type="dxa"/>
            <w:tcBorders>
              <w:bottom w:val="single" w:sz="4" w:space="0" w:color="auto"/>
            </w:tcBorders>
          </w:tcPr>
          <w:p w14:paraId="05E63E2D" w14:textId="77777777" w:rsidR="00691800" w:rsidRPr="00B4090A" w:rsidRDefault="00691800" w:rsidP="00691800">
            <w:pPr>
              <w:tabs>
                <w:tab w:val="left" w:pos="5103"/>
              </w:tabs>
              <w:rPr>
                <w:bCs/>
                <w:szCs w:val="24"/>
              </w:rPr>
            </w:pPr>
            <w:r w:rsidRPr="00B4090A">
              <w:rPr>
                <w:i/>
                <w:szCs w:val="24"/>
              </w:rPr>
              <w:t xml:space="preserve">Aspergillus </w:t>
            </w:r>
            <w:proofErr w:type="spellStart"/>
            <w:r w:rsidRPr="00B4090A">
              <w:rPr>
                <w:i/>
                <w:szCs w:val="24"/>
              </w:rPr>
              <w:t>niger</w:t>
            </w:r>
            <w:proofErr w:type="spellEnd"/>
            <w:r w:rsidRPr="00B4090A">
              <w:rPr>
                <w:szCs w:val="24"/>
              </w:rPr>
              <w:t xml:space="preserve"> (mm)</w:t>
            </w:r>
          </w:p>
        </w:tc>
        <w:tc>
          <w:tcPr>
            <w:tcW w:w="878" w:type="dxa"/>
            <w:tcBorders>
              <w:bottom w:val="single" w:sz="4" w:space="0" w:color="auto"/>
            </w:tcBorders>
          </w:tcPr>
          <w:p w14:paraId="6CEBEAA2" w14:textId="77777777" w:rsidR="00691800" w:rsidRPr="00B4090A" w:rsidRDefault="00691800" w:rsidP="00691800">
            <w:pPr>
              <w:tabs>
                <w:tab w:val="left" w:pos="5103"/>
              </w:tabs>
              <w:rPr>
                <w:bCs/>
                <w:szCs w:val="24"/>
              </w:rPr>
            </w:pPr>
            <w:r w:rsidRPr="00B4090A">
              <w:rPr>
                <w:bCs/>
                <w:szCs w:val="24"/>
              </w:rPr>
              <w:t>10</w:t>
            </w:r>
          </w:p>
        </w:tc>
        <w:tc>
          <w:tcPr>
            <w:tcW w:w="827" w:type="dxa"/>
            <w:tcBorders>
              <w:bottom w:val="single" w:sz="4" w:space="0" w:color="auto"/>
            </w:tcBorders>
          </w:tcPr>
          <w:p w14:paraId="31954216" w14:textId="77777777" w:rsidR="00691800" w:rsidRPr="00B4090A" w:rsidRDefault="00691800" w:rsidP="00691800">
            <w:pPr>
              <w:tabs>
                <w:tab w:val="left" w:pos="5103"/>
              </w:tabs>
              <w:rPr>
                <w:bCs/>
                <w:szCs w:val="24"/>
              </w:rPr>
            </w:pPr>
            <w:r w:rsidRPr="00B4090A">
              <w:rPr>
                <w:bCs/>
                <w:szCs w:val="24"/>
              </w:rPr>
              <w:t>0</w:t>
            </w:r>
          </w:p>
        </w:tc>
        <w:tc>
          <w:tcPr>
            <w:tcW w:w="828" w:type="dxa"/>
            <w:tcBorders>
              <w:bottom w:val="single" w:sz="4" w:space="0" w:color="auto"/>
            </w:tcBorders>
          </w:tcPr>
          <w:p w14:paraId="46151BEF" w14:textId="77777777" w:rsidR="00691800" w:rsidRPr="00B4090A" w:rsidRDefault="00691800" w:rsidP="00691800">
            <w:pPr>
              <w:tabs>
                <w:tab w:val="left" w:pos="5103"/>
              </w:tabs>
              <w:rPr>
                <w:bCs/>
                <w:szCs w:val="24"/>
              </w:rPr>
            </w:pPr>
            <w:r w:rsidRPr="00B4090A">
              <w:rPr>
                <w:bCs/>
                <w:szCs w:val="24"/>
              </w:rPr>
              <w:t>0</w:t>
            </w:r>
          </w:p>
        </w:tc>
        <w:tc>
          <w:tcPr>
            <w:tcW w:w="878" w:type="dxa"/>
            <w:tcBorders>
              <w:bottom w:val="single" w:sz="4" w:space="0" w:color="auto"/>
            </w:tcBorders>
          </w:tcPr>
          <w:p w14:paraId="32DD86C7" w14:textId="77777777" w:rsidR="00691800" w:rsidRPr="00B4090A" w:rsidRDefault="00691800" w:rsidP="00691800">
            <w:pPr>
              <w:tabs>
                <w:tab w:val="left" w:pos="5103"/>
              </w:tabs>
              <w:rPr>
                <w:bCs/>
                <w:szCs w:val="24"/>
              </w:rPr>
            </w:pPr>
            <w:r w:rsidRPr="00B4090A">
              <w:rPr>
                <w:bCs/>
                <w:szCs w:val="24"/>
              </w:rPr>
              <w:t>16</w:t>
            </w:r>
          </w:p>
        </w:tc>
        <w:tc>
          <w:tcPr>
            <w:tcW w:w="828" w:type="dxa"/>
            <w:tcBorders>
              <w:bottom w:val="single" w:sz="4" w:space="0" w:color="auto"/>
            </w:tcBorders>
          </w:tcPr>
          <w:p w14:paraId="778849CB" w14:textId="77777777" w:rsidR="00691800" w:rsidRPr="00B4090A" w:rsidRDefault="00691800" w:rsidP="00691800">
            <w:pPr>
              <w:tabs>
                <w:tab w:val="left" w:pos="5103"/>
              </w:tabs>
              <w:rPr>
                <w:bCs/>
                <w:szCs w:val="24"/>
              </w:rPr>
            </w:pPr>
            <w:r w:rsidRPr="00B4090A">
              <w:rPr>
                <w:bCs/>
                <w:szCs w:val="24"/>
              </w:rPr>
              <w:t>12</w:t>
            </w:r>
          </w:p>
        </w:tc>
        <w:tc>
          <w:tcPr>
            <w:tcW w:w="828" w:type="dxa"/>
            <w:tcBorders>
              <w:bottom w:val="single" w:sz="4" w:space="0" w:color="auto"/>
            </w:tcBorders>
          </w:tcPr>
          <w:p w14:paraId="4283F837" w14:textId="77777777" w:rsidR="00691800" w:rsidRPr="00B4090A" w:rsidRDefault="00691800" w:rsidP="00691800">
            <w:pPr>
              <w:tabs>
                <w:tab w:val="left" w:pos="5103"/>
              </w:tabs>
              <w:rPr>
                <w:bCs/>
                <w:szCs w:val="24"/>
              </w:rPr>
            </w:pPr>
            <w:r w:rsidRPr="00B4090A">
              <w:rPr>
                <w:bCs/>
                <w:szCs w:val="24"/>
              </w:rPr>
              <w:t>12</w:t>
            </w:r>
          </w:p>
        </w:tc>
        <w:tc>
          <w:tcPr>
            <w:tcW w:w="1550" w:type="dxa"/>
            <w:tcBorders>
              <w:bottom w:val="single" w:sz="4" w:space="0" w:color="auto"/>
            </w:tcBorders>
          </w:tcPr>
          <w:p w14:paraId="5BD63F67" w14:textId="77777777" w:rsidR="00691800" w:rsidRPr="00B4090A" w:rsidRDefault="00691800" w:rsidP="00691800">
            <w:pPr>
              <w:tabs>
                <w:tab w:val="left" w:pos="5103"/>
              </w:tabs>
              <w:rPr>
                <w:bCs/>
                <w:szCs w:val="24"/>
              </w:rPr>
            </w:pPr>
            <w:r w:rsidRPr="00B4090A">
              <w:rPr>
                <w:bCs/>
                <w:szCs w:val="24"/>
              </w:rPr>
              <w:t>NA</w:t>
            </w:r>
          </w:p>
        </w:tc>
        <w:tc>
          <w:tcPr>
            <w:tcW w:w="1549" w:type="dxa"/>
            <w:tcBorders>
              <w:bottom w:val="single" w:sz="4" w:space="0" w:color="auto"/>
            </w:tcBorders>
          </w:tcPr>
          <w:p w14:paraId="454B4210" w14:textId="77777777" w:rsidR="00691800" w:rsidRPr="00B4090A" w:rsidRDefault="00691800" w:rsidP="00691800">
            <w:pPr>
              <w:tabs>
                <w:tab w:val="left" w:pos="5103"/>
              </w:tabs>
              <w:rPr>
                <w:bCs/>
                <w:szCs w:val="24"/>
              </w:rPr>
            </w:pPr>
            <w:r w:rsidRPr="00B4090A">
              <w:rPr>
                <w:bCs/>
                <w:szCs w:val="24"/>
              </w:rPr>
              <w:t>14</w:t>
            </w:r>
          </w:p>
        </w:tc>
      </w:tr>
    </w:tbl>
    <w:p w14:paraId="66CF64E0"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p w14:paraId="3D5DD3E5" w14:textId="77777777" w:rsidR="00691800" w:rsidRPr="00B4090A" w:rsidRDefault="00691800" w:rsidP="00691800">
      <w:pPr>
        <w:autoSpaceDE w:val="0"/>
        <w:autoSpaceDN w:val="0"/>
        <w:adjustRightInd w:val="0"/>
        <w:spacing w:before="0" w:beforeAutospacing="0" w:after="0" w:afterAutospacing="0" w:line="240" w:lineRule="auto"/>
        <w:jc w:val="left"/>
        <w:rPr>
          <w:szCs w:val="24"/>
        </w:rPr>
      </w:pPr>
    </w:p>
    <w:p w14:paraId="5396CEF5" w14:textId="77777777" w:rsidR="00691800" w:rsidRPr="00B4090A" w:rsidRDefault="001477C1" w:rsidP="001477C1">
      <w:pPr>
        <w:autoSpaceDE w:val="0"/>
        <w:autoSpaceDN w:val="0"/>
        <w:adjustRightInd w:val="0"/>
        <w:spacing w:before="0" w:beforeAutospacing="0" w:after="0" w:afterAutospacing="0" w:line="240" w:lineRule="auto"/>
        <w:ind w:left="-900"/>
        <w:jc w:val="left"/>
        <w:rPr>
          <w:szCs w:val="24"/>
        </w:rPr>
      </w:pPr>
      <w:r w:rsidRPr="001477C1">
        <w:rPr>
          <w:noProof/>
          <w:szCs w:val="24"/>
        </w:rPr>
        <w:drawing>
          <wp:inline distT="0" distB="0" distL="0" distR="0" wp14:anchorId="0EFE3692" wp14:editId="49802E65">
            <wp:extent cx="7353945" cy="3678068"/>
            <wp:effectExtent l="0" t="0" r="0" b="0"/>
            <wp:docPr id="3" name="Picture 3" descr="C:\Users\USER\Desktop\Diodia scandens\mic and m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Diodia scandens\mic and mm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0428" cy="3711319"/>
                    </a:xfrm>
                    <a:prstGeom prst="rect">
                      <a:avLst/>
                    </a:prstGeom>
                    <a:noFill/>
                    <a:ln>
                      <a:noFill/>
                    </a:ln>
                  </pic:spPr>
                </pic:pic>
              </a:graphicData>
            </a:graphic>
          </wp:inline>
        </w:drawing>
      </w:r>
    </w:p>
    <w:p w14:paraId="5B8E73E1" w14:textId="77777777" w:rsidR="001477C1" w:rsidRDefault="001477C1" w:rsidP="00691800">
      <w:pPr>
        <w:autoSpaceDE w:val="0"/>
        <w:autoSpaceDN w:val="0"/>
        <w:adjustRightInd w:val="0"/>
        <w:spacing w:before="0" w:beforeAutospacing="0" w:after="0" w:afterAutospacing="0" w:line="240" w:lineRule="auto"/>
        <w:jc w:val="center"/>
        <w:rPr>
          <w:szCs w:val="24"/>
        </w:rPr>
      </w:pPr>
    </w:p>
    <w:p w14:paraId="030067A4" w14:textId="77777777" w:rsidR="005966EE" w:rsidRPr="00BF6A31" w:rsidRDefault="00981B57" w:rsidP="00BF6A31">
      <w:pPr>
        <w:autoSpaceDE w:val="0"/>
        <w:autoSpaceDN w:val="0"/>
        <w:adjustRightInd w:val="0"/>
        <w:spacing w:before="0" w:beforeAutospacing="0" w:after="0" w:afterAutospacing="0" w:line="240" w:lineRule="auto"/>
        <w:jc w:val="center"/>
        <w:rPr>
          <w:szCs w:val="24"/>
        </w:rPr>
      </w:pPr>
      <w:r>
        <w:rPr>
          <w:szCs w:val="24"/>
        </w:rPr>
        <w:t>Figure 4: MIC and MM</w:t>
      </w:r>
      <w:r w:rsidR="00691800" w:rsidRPr="00B4090A">
        <w:rPr>
          <w:szCs w:val="24"/>
        </w:rPr>
        <w:t xml:space="preserve">C of the polar extracts of </w:t>
      </w:r>
      <w:proofErr w:type="spellStart"/>
      <w:r w:rsidR="00BF6A31">
        <w:rPr>
          <w:i/>
          <w:szCs w:val="24"/>
        </w:rPr>
        <w:t>Diodia</w:t>
      </w:r>
      <w:proofErr w:type="spellEnd"/>
      <w:r w:rsidR="00BF6A31">
        <w:rPr>
          <w:i/>
          <w:szCs w:val="24"/>
        </w:rPr>
        <w:t xml:space="preserve"> </w:t>
      </w:r>
      <w:proofErr w:type="spellStart"/>
      <w:r w:rsidR="00BF6A31">
        <w:rPr>
          <w:i/>
          <w:szCs w:val="24"/>
        </w:rPr>
        <w:t>scanden</w:t>
      </w:r>
      <w:proofErr w:type="spellEnd"/>
    </w:p>
    <w:p w14:paraId="4194BD71" w14:textId="77777777" w:rsidR="001477C1" w:rsidRDefault="001477C1" w:rsidP="00691800">
      <w:pPr>
        <w:autoSpaceDE w:val="0"/>
        <w:autoSpaceDN w:val="0"/>
        <w:adjustRightInd w:val="0"/>
        <w:spacing w:before="0" w:beforeAutospacing="0" w:after="0" w:afterAutospacing="0" w:line="240" w:lineRule="auto"/>
        <w:jc w:val="left"/>
        <w:rPr>
          <w:b/>
          <w:szCs w:val="24"/>
        </w:rPr>
      </w:pPr>
    </w:p>
    <w:p w14:paraId="0234811B" w14:textId="77777777" w:rsidR="001C0B96" w:rsidRPr="00B4090A" w:rsidRDefault="00691800" w:rsidP="00691800">
      <w:pPr>
        <w:autoSpaceDE w:val="0"/>
        <w:autoSpaceDN w:val="0"/>
        <w:adjustRightInd w:val="0"/>
        <w:spacing w:before="0" w:beforeAutospacing="0" w:after="0" w:afterAutospacing="0" w:line="240" w:lineRule="auto"/>
        <w:jc w:val="left"/>
        <w:rPr>
          <w:b/>
          <w:szCs w:val="24"/>
        </w:rPr>
      </w:pPr>
      <w:r w:rsidRPr="00B4090A">
        <w:rPr>
          <w:b/>
          <w:szCs w:val="24"/>
        </w:rPr>
        <w:t xml:space="preserve">Conclusion </w:t>
      </w:r>
    </w:p>
    <w:p w14:paraId="3349A640" w14:textId="77777777" w:rsidR="00BB55B4" w:rsidRPr="00BB55B4" w:rsidRDefault="00BB55B4" w:rsidP="00BB55B4">
      <w:pPr>
        <w:rPr>
          <w:rFonts w:eastAsia="Times New Roman"/>
          <w:szCs w:val="24"/>
        </w:rPr>
      </w:pPr>
      <w:r w:rsidRPr="00BB55B4">
        <w:rPr>
          <w:rFonts w:eastAsia="Times New Roman"/>
          <w:szCs w:val="24"/>
        </w:rPr>
        <w:t xml:space="preserve">This study evaluated the aerial parts of </w:t>
      </w:r>
      <w:proofErr w:type="spellStart"/>
      <w:r w:rsidRPr="00BB55B4">
        <w:rPr>
          <w:rFonts w:eastAsia="Times New Roman"/>
          <w:i/>
          <w:iCs/>
          <w:szCs w:val="24"/>
        </w:rPr>
        <w:t>Diodia</w:t>
      </w:r>
      <w:proofErr w:type="spellEnd"/>
      <w:r w:rsidRPr="00BB55B4">
        <w:rPr>
          <w:rFonts w:eastAsia="Times New Roman"/>
          <w:i/>
          <w:iCs/>
          <w:szCs w:val="24"/>
        </w:rPr>
        <w:t xml:space="preserve"> scandens</w:t>
      </w:r>
      <w:r w:rsidRPr="00BB55B4">
        <w:rPr>
          <w:rFonts w:eastAsia="Times New Roman"/>
          <w:szCs w:val="24"/>
        </w:rPr>
        <w:t xml:space="preserve"> using successive solvent extraction, phytochemical screening, and in vitro antimicrobial assays. Qualitative screening confirmed a broad repertoire of secondary metabolites, with alkaloids, tannins, flavonoids, and coumarins consistently detected across extracts, while the distribution of phenolics and terpenoids showed clear solvent dependence. Quantitative findings further demonstrated differential enrichment: the ethanol extract concentrated relatively higher levels of saponins, alkaloids, flavonoids, and tannins, whereas the ethyl acetate fraction exhibited the greatest total phenolic content, indicating preferential partitioning of moderately polar phenolic constituents into a semi-polar solvent system.</w:t>
      </w:r>
      <w:r>
        <w:rPr>
          <w:rFonts w:eastAsia="Times New Roman"/>
          <w:szCs w:val="24"/>
        </w:rPr>
        <w:t xml:space="preserve"> </w:t>
      </w:r>
      <w:r w:rsidRPr="00BB55B4">
        <w:rPr>
          <w:rFonts w:eastAsia="Times New Roman"/>
          <w:szCs w:val="24"/>
        </w:rPr>
        <w:t xml:space="preserve">Biological evaluation against </w:t>
      </w:r>
      <w:r w:rsidRPr="00BB55B4">
        <w:rPr>
          <w:rFonts w:eastAsia="Times New Roman"/>
          <w:i/>
          <w:iCs/>
          <w:szCs w:val="24"/>
        </w:rPr>
        <w:t>Staphylococcus aureus</w:t>
      </w:r>
      <w:r w:rsidRPr="00BB55B4">
        <w:rPr>
          <w:rFonts w:eastAsia="Times New Roman"/>
          <w:szCs w:val="24"/>
        </w:rPr>
        <w:t xml:space="preserve">, </w:t>
      </w:r>
      <w:r w:rsidRPr="00BB55B4">
        <w:rPr>
          <w:rFonts w:eastAsia="Times New Roman"/>
          <w:i/>
          <w:iCs/>
          <w:szCs w:val="24"/>
        </w:rPr>
        <w:t>Escherichia coli</w:t>
      </w:r>
      <w:r w:rsidRPr="00BB55B4">
        <w:rPr>
          <w:rFonts w:eastAsia="Times New Roman"/>
          <w:szCs w:val="24"/>
        </w:rPr>
        <w:t xml:space="preserve">, </w:t>
      </w:r>
      <w:r w:rsidRPr="00BB55B4">
        <w:rPr>
          <w:rFonts w:eastAsia="Times New Roman"/>
          <w:i/>
          <w:iCs/>
          <w:szCs w:val="24"/>
        </w:rPr>
        <w:t>Candida albicans</w:t>
      </w:r>
      <w:r w:rsidRPr="00BB55B4">
        <w:rPr>
          <w:rFonts w:eastAsia="Times New Roman"/>
          <w:szCs w:val="24"/>
        </w:rPr>
        <w:t xml:space="preserve">, and </w:t>
      </w:r>
      <w:r w:rsidRPr="00BB55B4">
        <w:rPr>
          <w:rFonts w:eastAsia="Times New Roman"/>
          <w:i/>
          <w:iCs/>
          <w:szCs w:val="24"/>
        </w:rPr>
        <w:t xml:space="preserve">Aspergillus </w:t>
      </w:r>
      <w:proofErr w:type="spellStart"/>
      <w:r w:rsidRPr="00BB55B4">
        <w:rPr>
          <w:rFonts w:eastAsia="Times New Roman"/>
          <w:i/>
          <w:iCs/>
          <w:szCs w:val="24"/>
        </w:rPr>
        <w:t>niger</w:t>
      </w:r>
      <w:proofErr w:type="spellEnd"/>
      <w:r w:rsidRPr="00BB55B4">
        <w:rPr>
          <w:rFonts w:eastAsia="Times New Roman"/>
          <w:szCs w:val="24"/>
        </w:rPr>
        <w:t xml:space="preserve"> showed that the ethyl acetate </w:t>
      </w:r>
      <w:proofErr w:type="gramStart"/>
      <w:r w:rsidRPr="00BB55B4">
        <w:rPr>
          <w:rFonts w:eastAsia="Times New Roman"/>
          <w:szCs w:val="24"/>
        </w:rPr>
        <w:t>extract</w:t>
      </w:r>
      <w:proofErr w:type="gramEnd"/>
      <w:r w:rsidRPr="00BB55B4">
        <w:rPr>
          <w:rFonts w:eastAsia="Times New Roman"/>
          <w:szCs w:val="24"/>
        </w:rPr>
        <w:t xml:space="preserve"> consistently outperformed the ethanol extract at comparable concentrations, producing larger inhibition zon</w:t>
      </w:r>
      <w:r w:rsidR="00981B57">
        <w:rPr>
          <w:rFonts w:eastAsia="Times New Roman"/>
          <w:szCs w:val="24"/>
        </w:rPr>
        <w:t>es and markedly lower MIC and MM</w:t>
      </w:r>
      <w:r w:rsidRPr="00BB55B4">
        <w:rPr>
          <w:rFonts w:eastAsia="Times New Roman"/>
          <w:szCs w:val="24"/>
        </w:rPr>
        <w:t xml:space="preserve">C values. In contrast, the ethanol extract displayed weaker and less reproducible activity, particularly against </w:t>
      </w:r>
      <w:r w:rsidRPr="00BB55B4">
        <w:rPr>
          <w:rFonts w:eastAsia="Times New Roman"/>
          <w:i/>
          <w:iCs/>
          <w:szCs w:val="24"/>
        </w:rPr>
        <w:t>E. coli</w:t>
      </w:r>
      <w:r w:rsidRPr="00BB55B4">
        <w:rPr>
          <w:rFonts w:eastAsia="Times New Roman"/>
          <w:szCs w:val="24"/>
        </w:rPr>
        <w:t xml:space="preserve"> and </w:t>
      </w:r>
      <w:r w:rsidRPr="00BB55B4">
        <w:rPr>
          <w:rFonts w:eastAsia="Times New Roman"/>
          <w:i/>
          <w:iCs/>
          <w:szCs w:val="24"/>
        </w:rPr>
        <w:t xml:space="preserve">A. </w:t>
      </w:r>
      <w:proofErr w:type="spellStart"/>
      <w:r w:rsidRPr="00BB55B4">
        <w:rPr>
          <w:rFonts w:eastAsia="Times New Roman"/>
          <w:i/>
          <w:iCs/>
          <w:szCs w:val="24"/>
        </w:rPr>
        <w:t>niger</w:t>
      </w:r>
      <w:proofErr w:type="spellEnd"/>
      <w:r w:rsidRPr="00BB55B4">
        <w:rPr>
          <w:rFonts w:eastAsia="Times New Roman"/>
          <w:szCs w:val="24"/>
        </w:rPr>
        <w:t>, consistent with its comparatively higher MIC/</w:t>
      </w:r>
      <w:r w:rsidR="00981B57">
        <w:rPr>
          <w:rFonts w:eastAsia="Times New Roman"/>
          <w:szCs w:val="24"/>
        </w:rPr>
        <w:t>MMC</w:t>
      </w:r>
      <w:r w:rsidRPr="00BB55B4">
        <w:rPr>
          <w:rFonts w:eastAsia="Times New Roman"/>
          <w:szCs w:val="24"/>
        </w:rPr>
        <w:t xml:space="preserve"> thresholds. Collectively, these results indicate that the dominant antimicrobial principles of </w:t>
      </w:r>
      <w:r w:rsidRPr="00BB55B4">
        <w:rPr>
          <w:rFonts w:eastAsia="Times New Roman"/>
          <w:i/>
          <w:iCs/>
          <w:szCs w:val="24"/>
        </w:rPr>
        <w:t>D. scandens</w:t>
      </w:r>
      <w:r w:rsidRPr="00BB55B4">
        <w:rPr>
          <w:rFonts w:eastAsia="Times New Roman"/>
          <w:szCs w:val="24"/>
        </w:rPr>
        <w:t xml:space="preserve"> are selectively enriched in the ethyl acetate fraction under the conditions employed.</w:t>
      </w:r>
      <w:r>
        <w:rPr>
          <w:rFonts w:eastAsia="Times New Roman"/>
          <w:szCs w:val="24"/>
        </w:rPr>
        <w:t xml:space="preserve"> </w:t>
      </w:r>
      <w:r w:rsidRPr="00BB55B4">
        <w:rPr>
          <w:rFonts w:eastAsia="Times New Roman"/>
          <w:szCs w:val="24"/>
        </w:rPr>
        <w:t xml:space="preserve">The findings reinforce the ethnomedicinal relevance of </w:t>
      </w:r>
      <w:r w:rsidRPr="00BB55B4">
        <w:rPr>
          <w:rFonts w:eastAsia="Times New Roman"/>
          <w:i/>
          <w:iCs/>
          <w:szCs w:val="24"/>
        </w:rPr>
        <w:t>D. scandens</w:t>
      </w:r>
      <w:r w:rsidR="00204AE4">
        <w:rPr>
          <w:rFonts w:eastAsia="Times New Roman"/>
          <w:szCs w:val="24"/>
        </w:rPr>
        <w:t xml:space="preserve">. </w:t>
      </w:r>
      <w:r w:rsidRPr="00BB55B4">
        <w:rPr>
          <w:rFonts w:eastAsia="Times New Roman"/>
          <w:szCs w:val="24"/>
        </w:rPr>
        <w:t xml:space="preserve"> </w:t>
      </w:r>
    </w:p>
    <w:p w14:paraId="2B7BBCFF" w14:textId="77777777" w:rsidR="001C0B96" w:rsidRPr="00B4090A" w:rsidRDefault="001C0B96" w:rsidP="00691800">
      <w:pPr>
        <w:autoSpaceDE w:val="0"/>
        <w:autoSpaceDN w:val="0"/>
        <w:adjustRightInd w:val="0"/>
        <w:spacing w:before="0" w:beforeAutospacing="0" w:after="0" w:afterAutospacing="0" w:line="240" w:lineRule="auto"/>
        <w:jc w:val="left"/>
        <w:rPr>
          <w:szCs w:val="24"/>
        </w:rPr>
      </w:pPr>
    </w:p>
    <w:p w14:paraId="450E41A7" w14:textId="77777777" w:rsidR="001C0B96" w:rsidRPr="00B4090A" w:rsidRDefault="001C0B96" w:rsidP="00691800">
      <w:pPr>
        <w:autoSpaceDE w:val="0"/>
        <w:autoSpaceDN w:val="0"/>
        <w:adjustRightInd w:val="0"/>
        <w:spacing w:before="0" w:beforeAutospacing="0" w:after="0" w:afterAutospacing="0" w:line="240" w:lineRule="auto"/>
        <w:jc w:val="left"/>
        <w:rPr>
          <w:b/>
          <w:szCs w:val="24"/>
        </w:rPr>
      </w:pPr>
    </w:p>
    <w:p w14:paraId="4EF9744A" w14:textId="77777777" w:rsidR="001C0B96" w:rsidRPr="00B4090A" w:rsidRDefault="001C0B96" w:rsidP="00691800">
      <w:pPr>
        <w:autoSpaceDE w:val="0"/>
        <w:autoSpaceDN w:val="0"/>
        <w:adjustRightInd w:val="0"/>
        <w:spacing w:before="0" w:beforeAutospacing="0" w:after="0" w:afterAutospacing="0" w:line="240" w:lineRule="auto"/>
        <w:jc w:val="left"/>
        <w:rPr>
          <w:b/>
          <w:szCs w:val="24"/>
        </w:rPr>
      </w:pPr>
    </w:p>
    <w:p w14:paraId="52EF25CE" w14:textId="77777777" w:rsidR="001C0B96" w:rsidRPr="00B4090A" w:rsidRDefault="001C0B96" w:rsidP="00691800">
      <w:pPr>
        <w:autoSpaceDE w:val="0"/>
        <w:autoSpaceDN w:val="0"/>
        <w:adjustRightInd w:val="0"/>
        <w:spacing w:before="0" w:beforeAutospacing="0" w:after="0" w:afterAutospacing="0" w:line="240" w:lineRule="auto"/>
        <w:jc w:val="left"/>
        <w:rPr>
          <w:b/>
          <w:szCs w:val="24"/>
        </w:rPr>
      </w:pPr>
    </w:p>
    <w:p w14:paraId="3B8A3165" w14:textId="77777777" w:rsidR="001C0B96" w:rsidRPr="00B4090A" w:rsidRDefault="001C0B96" w:rsidP="00691800">
      <w:pPr>
        <w:autoSpaceDE w:val="0"/>
        <w:autoSpaceDN w:val="0"/>
        <w:adjustRightInd w:val="0"/>
        <w:spacing w:before="0" w:beforeAutospacing="0" w:after="0" w:afterAutospacing="0" w:line="240" w:lineRule="auto"/>
        <w:jc w:val="left"/>
        <w:rPr>
          <w:b/>
          <w:szCs w:val="24"/>
        </w:rPr>
      </w:pPr>
    </w:p>
    <w:p w14:paraId="3F95B633" w14:textId="77777777" w:rsidR="001C0B96" w:rsidRPr="00B4090A" w:rsidRDefault="001C0B96" w:rsidP="00691800">
      <w:pPr>
        <w:autoSpaceDE w:val="0"/>
        <w:autoSpaceDN w:val="0"/>
        <w:adjustRightInd w:val="0"/>
        <w:spacing w:before="0" w:beforeAutospacing="0" w:after="0" w:afterAutospacing="0" w:line="240" w:lineRule="auto"/>
        <w:jc w:val="left"/>
        <w:rPr>
          <w:b/>
          <w:szCs w:val="24"/>
        </w:rPr>
      </w:pPr>
    </w:p>
    <w:p w14:paraId="068F0F60" w14:textId="77777777" w:rsidR="00FC5178" w:rsidRPr="00FC5178" w:rsidRDefault="00FC5178" w:rsidP="00FC5178">
      <w:pPr>
        <w:autoSpaceDE w:val="0"/>
        <w:autoSpaceDN w:val="0"/>
        <w:adjustRightInd w:val="0"/>
        <w:spacing w:before="0" w:beforeAutospacing="0" w:after="0" w:afterAutospacing="0" w:line="240" w:lineRule="auto"/>
        <w:jc w:val="left"/>
        <w:rPr>
          <w:b/>
          <w:szCs w:val="24"/>
        </w:rPr>
      </w:pPr>
      <w:r w:rsidRPr="00FC5178">
        <w:rPr>
          <w:b/>
          <w:szCs w:val="24"/>
        </w:rPr>
        <w:t>COMPETING INTERESTS DISCLAIMER:</w:t>
      </w:r>
    </w:p>
    <w:p w14:paraId="6D7B9971" w14:textId="394D9CFC" w:rsidR="001C0B96" w:rsidRPr="00B4090A" w:rsidRDefault="00FC5178" w:rsidP="00FC5178">
      <w:pPr>
        <w:autoSpaceDE w:val="0"/>
        <w:autoSpaceDN w:val="0"/>
        <w:adjustRightInd w:val="0"/>
        <w:spacing w:before="0" w:beforeAutospacing="0" w:after="0" w:afterAutospacing="0" w:line="240" w:lineRule="auto"/>
        <w:jc w:val="left"/>
        <w:rPr>
          <w:b/>
          <w:szCs w:val="24"/>
        </w:rPr>
      </w:pPr>
      <w:r w:rsidRPr="00FC5178">
        <w:rPr>
          <w:b/>
          <w:szCs w:val="24"/>
        </w:rPr>
        <w:t>Authors have declared that they have no known competing financial interests OR non-financial interests OR personal relationships that could have appeared to influence the work reported in this paper.</w:t>
      </w:r>
    </w:p>
    <w:p w14:paraId="39BA78DD" w14:textId="77777777" w:rsidR="001C0B96" w:rsidRDefault="001C0B96" w:rsidP="00691800">
      <w:pPr>
        <w:autoSpaceDE w:val="0"/>
        <w:autoSpaceDN w:val="0"/>
        <w:adjustRightInd w:val="0"/>
        <w:spacing w:before="0" w:beforeAutospacing="0" w:after="0" w:afterAutospacing="0" w:line="240" w:lineRule="auto"/>
        <w:jc w:val="left"/>
        <w:rPr>
          <w:b/>
          <w:szCs w:val="24"/>
        </w:rPr>
      </w:pPr>
    </w:p>
    <w:p w14:paraId="41BB9705" w14:textId="77777777" w:rsidR="00BB55B4" w:rsidRDefault="00BB55B4" w:rsidP="00691800">
      <w:pPr>
        <w:autoSpaceDE w:val="0"/>
        <w:autoSpaceDN w:val="0"/>
        <w:adjustRightInd w:val="0"/>
        <w:spacing w:before="0" w:beforeAutospacing="0" w:after="0" w:afterAutospacing="0" w:line="240" w:lineRule="auto"/>
        <w:jc w:val="left"/>
        <w:rPr>
          <w:b/>
          <w:szCs w:val="24"/>
        </w:rPr>
      </w:pPr>
    </w:p>
    <w:p w14:paraId="549D6166" w14:textId="77777777" w:rsidR="00BB55B4" w:rsidRDefault="00BB55B4" w:rsidP="00691800">
      <w:pPr>
        <w:autoSpaceDE w:val="0"/>
        <w:autoSpaceDN w:val="0"/>
        <w:adjustRightInd w:val="0"/>
        <w:spacing w:before="0" w:beforeAutospacing="0" w:after="0" w:afterAutospacing="0" w:line="240" w:lineRule="auto"/>
        <w:jc w:val="left"/>
        <w:rPr>
          <w:b/>
          <w:szCs w:val="24"/>
        </w:rPr>
      </w:pPr>
    </w:p>
    <w:p w14:paraId="34AE63F1" w14:textId="77777777" w:rsidR="00BB55B4" w:rsidRDefault="00BB55B4" w:rsidP="00691800">
      <w:pPr>
        <w:autoSpaceDE w:val="0"/>
        <w:autoSpaceDN w:val="0"/>
        <w:adjustRightInd w:val="0"/>
        <w:spacing w:before="0" w:beforeAutospacing="0" w:after="0" w:afterAutospacing="0" w:line="240" w:lineRule="auto"/>
        <w:jc w:val="left"/>
        <w:rPr>
          <w:b/>
          <w:szCs w:val="24"/>
        </w:rPr>
      </w:pPr>
    </w:p>
    <w:p w14:paraId="213CDEE2" w14:textId="77777777" w:rsidR="00BB55B4" w:rsidRDefault="00BB55B4" w:rsidP="00691800">
      <w:pPr>
        <w:autoSpaceDE w:val="0"/>
        <w:autoSpaceDN w:val="0"/>
        <w:adjustRightInd w:val="0"/>
        <w:spacing w:before="0" w:beforeAutospacing="0" w:after="0" w:afterAutospacing="0" w:line="240" w:lineRule="auto"/>
        <w:jc w:val="left"/>
        <w:rPr>
          <w:b/>
          <w:szCs w:val="24"/>
        </w:rPr>
      </w:pPr>
    </w:p>
    <w:p w14:paraId="373F3EC5" w14:textId="77777777" w:rsidR="00BB55B4" w:rsidRDefault="00BB55B4" w:rsidP="00691800">
      <w:pPr>
        <w:autoSpaceDE w:val="0"/>
        <w:autoSpaceDN w:val="0"/>
        <w:adjustRightInd w:val="0"/>
        <w:spacing w:before="0" w:beforeAutospacing="0" w:after="0" w:afterAutospacing="0" w:line="240" w:lineRule="auto"/>
        <w:jc w:val="left"/>
        <w:rPr>
          <w:b/>
          <w:szCs w:val="24"/>
        </w:rPr>
      </w:pPr>
    </w:p>
    <w:p w14:paraId="1057EE07" w14:textId="77777777" w:rsidR="00BB55B4" w:rsidRPr="00B4090A" w:rsidRDefault="00BB55B4" w:rsidP="00691800">
      <w:pPr>
        <w:autoSpaceDE w:val="0"/>
        <w:autoSpaceDN w:val="0"/>
        <w:adjustRightInd w:val="0"/>
        <w:spacing w:before="0" w:beforeAutospacing="0" w:after="0" w:afterAutospacing="0" w:line="240" w:lineRule="auto"/>
        <w:jc w:val="left"/>
        <w:rPr>
          <w:b/>
          <w:szCs w:val="24"/>
        </w:rPr>
      </w:pPr>
    </w:p>
    <w:p w14:paraId="18532995" w14:textId="77777777" w:rsidR="001C0B96" w:rsidRPr="00B4090A" w:rsidRDefault="001C0B96" w:rsidP="00691800">
      <w:pPr>
        <w:autoSpaceDE w:val="0"/>
        <w:autoSpaceDN w:val="0"/>
        <w:adjustRightInd w:val="0"/>
        <w:spacing w:before="0" w:beforeAutospacing="0" w:after="0" w:afterAutospacing="0" w:line="240" w:lineRule="auto"/>
        <w:jc w:val="left"/>
        <w:rPr>
          <w:b/>
          <w:szCs w:val="24"/>
        </w:rPr>
      </w:pPr>
    </w:p>
    <w:p w14:paraId="496F04F5" w14:textId="77777777" w:rsidR="00583723" w:rsidRPr="00B4090A" w:rsidRDefault="00583723" w:rsidP="00691800">
      <w:pPr>
        <w:autoSpaceDE w:val="0"/>
        <w:autoSpaceDN w:val="0"/>
        <w:adjustRightInd w:val="0"/>
        <w:spacing w:before="0" w:beforeAutospacing="0" w:after="0" w:afterAutospacing="0" w:line="240" w:lineRule="auto"/>
        <w:jc w:val="left"/>
        <w:rPr>
          <w:b/>
          <w:szCs w:val="24"/>
        </w:rPr>
      </w:pPr>
    </w:p>
    <w:p w14:paraId="431DFDF3" w14:textId="77777777" w:rsidR="000B3FE5" w:rsidRDefault="000B3FE5" w:rsidP="00747609">
      <w:pPr>
        <w:autoSpaceDE w:val="0"/>
        <w:autoSpaceDN w:val="0"/>
        <w:adjustRightInd w:val="0"/>
        <w:spacing w:before="0" w:beforeAutospacing="0" w:after="0" w:afterAutospacing="0" w:line="240" w:lineRule="auto"/>
        <w:jc w:val="left"/>
        <w:rPr>
          <w:b/>
          <w:szCs w:val="24"/>
        </w:rPr>
      </w:pPr>
    </w:p>
    <w:p w14:paraId="70A43009" w14:textId="77777777" w:rsidR="000B3FE5" w:rsidRDefault="000B3FE5" w:rsidP="00747609">
      <w:pPr>
        <w:autoSpaceDE w:val="0"/>
        <w:autoSpaceDN w:val="0"/>
        <w:adjustRightInd w:val="0"/>
        <w:spacing w:before="0" w:beforeAutospacing="0" w:after="0" w:afterAutospacing="0" w:line="240" w:lineRule="auto"/>
        <w:jc w:val="left"/>
        <w:rPr>
          <w:b/>
          <w:szCs w:val="24"/>
        </w:rPr>
      </w:pPr>
    </w:p>
    <w:p w14:paraId="65D3C486" w14:textId="77777777" w:rsidR="000B3FE5" w:rsidRDefault="000B3FE5" w:rsidP="00747609">
      <w:pPr>
        <w:autoSpaceDE w:val="0"/>
        <w:autoSpaceDN w:val="0"/>
        <w:adjustRightInd w:val="0"/>
        <w:spacing w:before="0" w:beforeAutospacing="0" w:after="0" w:afterAutospacing="0" w:line="240" w:lineRule="auto"/>
        <w:jc w:val="left"/>
        <w:rPr>
          <w:b/>
          <w:szCs w:val="24"/>
        </w:rPr>
      </w:pPr>
    </w:p>
    <w:p w14:paraId="0827413E" w14:textId="77777777" w:rsidR="00E8149E" w:rsidRDefault="00E8149E" w:rsidP="00747609">
      <w:pPr>
        <w:autoSpaceDE w:val="0"/>
        <w:autoSpaceDN w:val="0"/>
        <w:adjustRightInd w:val="0"/>
        <w:spacing w:before="0" w:beforeAutospacing="0" w:after="0" w:afterAutospacing="0" w:line="240" w:lineRule="auto"/>
        <w:jc w:val="left"/>
        <w:rPr>
          <w:b/>
          <w:szCs w:val="24"/>
        </w:rPr>
      </w:pPr>
    </w:p>
    <w:p w14:paraId="64FEA4F6" w14:textId="77777777" w:rsidR="00747609" w:rsidRPr="00747609" w:rsidRDefault="001C0B96" w:rsidP="00747609">
      <w:pPr>
        <w:autoSpaceDE w:val="0"/>
        <w:autoSpaceDN w:val="0"/>
        <w:adjustRightInd w:val="0"/>
        <w:spacing w:before="0" w:beforeAutospacing="0" w:after="0" w:afterAutospacing="0" w:line="240" w:lineRule="auto"/>
        <w:jc w:val="left"/>
        <w:rPr>
          <w:b/>
          <w:szCs w:val="24"/>
        </w:rPr>
      </w:pPr>
      <w:r w:rsidRPr="00B4090A">
        <w:rPr>
          <w:b/>
          <w:szCs w:val="24"/>
        </w:rPr>
        <w:t xml:space="preserve">References </w:t>
      </w:r>
    </w:p>
    <w:p w14:paraId="180B6F79" w14:textId="77777777" w:rsidR="00747609" w:rsidRPr="00B4090A" w:rsidRDefault="00747609" w:rsidP="00747609">
      <w:pPr>
        <w:autoSpaceDE w:val="0"/>
        <w:autoSpaceDN w:val="0"/>
        <w:adjustRightInd w:val="0"/>
        <w:spacing w:before="0" w:beforeAutospacing="0" w:after="0" w:afterAutospacing="0" w:line="276" w:lineRule="auto"/>
        <w:ind w:left="720" w:hanging="720"/>
        <w:rPr>
          <w:szCs w:val="24"/>
        </w:rPr>
      </w:pPr>
    </w:p>
    <w:p w14:paraId="09C04356" w14:textId="77777777" w:rsidR="00747609" w:rsidRDefault="00747609" w:rsidP="00BC4A2E">
      <w:pPr>
        <w:pStyle w:val="NormalWeb"/>
        <w:spacing w:before="0" w:beforeAutospacing="0" w:after="0" w:afterAutospacing="0" w:line="276" w:lineRule="auto"/>
      </w:pPr>
      <w:r>
        <w:t xml:space="preserve">Abdallah, E. M., Alhatlani, B. Y., de Paula Menezes, R., &amp; Martins, C. H. G. (2023). Back to nature: Medicinal plants as promising sources for antibacterial drugs in the post-antibiotic era. </w:t>
      </w:r>
      <w:r>
        <w:rPr>
          <w:rStyle w:val="Emphasis"/>
        </w:rPr>
        <w:t>Plants, 12</w:t>
      </w:r>
      <w:r>
        <w:t>, Article 3077.</w:t>
      </w:r>
    </w:p>
    <w:p w14:paraId="2FE3ED92" w14:textId="77777777" w:rsidR="00747609" w:rsidRDefault="00747609" w:rsidP="00BC4A2E">
      <w:pPr>
        <w:pStyle w:val="NormalWeb"/>
        <w:spacing w:before="0" w:beforeAutospacing="0" w:after="0" w:afterAutospacing="0" w:line="276" w:lineRule="auto"/>
      </w:pPr>
      <w:r>
        <w:t xml:space="preserve">Abubakar, A. R., &amp; Haque, M. (2020). Preparation of medicinal plants: Basic extraction and fractionation procedures for experimental purposes. </w:t>
      </w:r>
      <w:r>
        <w:rPr>
          <w:rStyle w:val="Emphasis"/>
        </w:rPr>
        <w:t xml:space="preserve">Journal of Pharmacy and </w:t>
      </w:r>
      <w:proofErr w:type="spellStart"/>
      <w:r>
        <w:rPr>
          <w:rStyle w:val="Emphasis"/>
        </w:rPr>
        <w:t>Bioallied</w:t>
      </w:r>
      <w:proofErr w:type="spellEnd"/>
      <w:r>
        <w:rPr>
          <w:rStyle w:val="Emphasis"/>
        </w:rPr>
        <w:t xml:space="preserve"> Sciences, 12</w:t>
      </w:r>
      <w:r>
        <w:t>(1), 1–10.</w:t>
      </w:r>
    </w:p>
    <w:p w14:paraId="561DBDC6"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Adepoju, A. J., Esan, A. O., Olawoore, I. T., Ibikunle, G. J., &amp; Adepoju, V. O. (2024). </w:t>
      </w:r>
      <w:proofErr w:type="spellStart"/>
      <w:r w:rsidRPr="00BC4A2E">
        <w:rPr>
          <w:rFonts w:eastAsia="Times New Roman"/>
          <w:szCs w:val="24"/>
        </w:rPr>
        <w:t>Nauclea</w:t>
      </w:r>
      <w:proofErr w:type="spellEnd"/>
      <w:r w:rsidRPr="00BC4A2E">
        <w:rPr>
          <w:rFonts w:eastAsia="Times New Roman"/>
          <w:szCs w:val="24"/>
        </w:rPr>
        <w:t xml:space="preserve"> </w:t>
      </w:r>
      <w:proofErr w:type="spellStart"/>
      <w:r w:rsidRPr="00BC4A2E">
        <w:rPr>
          <w:rFonts w:eastAsia="Times New Roman"/>
          <w:szCs w:val="24"/>
        </w:rPr>
        <w:t>latifolia</w:t>
      </w:r>
      <w:proofErr w:type="spellEnd"/>
      <w:r w:rsidRPr="00BC4A2E">
        <w:rPr>
          <w:rFonts w:eastAsia="Times New Roman"/>
          <w:szCs w:val="24"/>
        </w:rPr>
        <w:t xml:space="preserve"> Stem Bark Extracts: Potentially Effective Source of Antibacterial, Antioxidant, Antidiabetic and Anti-Inflammatory Compounds. </w:t>
      </w:r>
      <w:r w:rsidRPr="00BC4A2E">
        <w:rPr>
          <w:rFonts w:eastAsia="Times New Roman"/>
          <w:i/>
          <w:iCs/>
          <w:szCs w:val="24"/>
        </w:rPr>
        <w:t>Journal of Applied Science and Environmental Management</w:t>
      </w:r>
      <w:r w:rsidRPr="00BC4A2E">
        <w:rPr>
          <w:rFonts w:eastAsia="Times New Roman"/>
          <w:szCs w:val="24"/>
        </w:rPr>
        <w:t xml:space="preserve">, </w:t>
      </w:r>
      <w:r w:rsidRPr="00BC4A2E">
        <w:rPr>
          <w:rFonts w:eastAsia="Times New Roman"/>
          <w:i/>
          <w:iCs/>
          <w:szCs w:val="24"/>
        </w:rPr>
        <w:t>28</w:t>
      </w:r>
      <w:r w:rsidRPr="00BC4A2E">
        <w:rPr>
          <w:rFonts w:eastAsia="Times New Roman"/>
          <w:szCs w:val="24"/>
        </w:rPr>
        <w:t>(1), 49–59. https://doi.org/10.4314/jasem.v28i1.6</w:t>
      </w:r>
    </w:p>
    <w:p w14:paraId="4E063690"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Ahmed, S. K., Hussein, S., Qurbani, K., Ibrahim, R. H., Fareeq, A., Mahmood, K. A., &amp; Mohamed, M. G. (2024). Antimicrobial resistance: Impacts, challenges, and future prospects. </w:t>
      </w:r>
      <w:r w:rsidRPr="00BC4A2E">
        <w:rPr>
          <w:rFonts w:eastAsia="Times New Roman"/>
          <w:i/>
          <w:iCs/>
          <w:szCs w:val="24"/>
        </w:rPr>
        <w:t>Journal of Medicine Surgery and Public Health</w:t>
      </w:r>
      <w:r w:rsidRPr="00BC4A2E">
        <w:rPr>
          <w:rFonts w:eastAsia="Times New Roman"/>
          <w:szCs w:val="24"/>
        </w:rPr>
        <w:t xml:space="preserve">, </w:t>
      </w:r>
      <w:r w:rsidRPr="00BC4A2E">
        <w:rPr>
          <w:rFonts w:eastAsia="Times New Roman"/>
          <w:i/>
          <w:iCs/>
          <w:szCs w:val="24"/>
        </w:rPr>
        <w:t>2</w:t>
      </w:r>
      <w:r w:rsidRPr="00BC4A2E">
        <w:rPr>
          <w:rFonts w:eastAsia="Times New Roman"/>
          <w:szCs w:val="24"/>
        </w:rPr>
        <w:t>, 100081. https://doi.org/10.1016/j.glmedi.2024.100081</w:t>
      </w:r>
    </w:p>
    <w:p w14:paraId="5F67FFC9" w14:textId="77777777" w:rsidR="00747609" w:rsidRPr="00BC4A2E" w:rsidRDefault="00747609" w:rsidP="00BC4A2E">
      <w:pPr>
        <w:spacing w:before="0" w:beforeAutospacing="0" w:after="0" w:afterAutospacing="0" w:line="276" w:lineRule="auto"/>
        <w:rPr>
          <w:rFonts w:eastAsia="Times New Roman"/>
          <w:szCs w:val="24"/>
        </w:rPr>
      </w:pPr>
      <w:proofErr w:type="spellStart"/>
      <w:r w:rsidRPr="00BC4A2E">
        <w:rPr>
          <w:rFonts w:eastAsia="Times New Roman"/>
          <w:szCs w:val="24"/>
        </w:rPr>
        <w:t>Akpuaka</w:t>
      </w:r>
      <w:proofErr w:type="spellEnd"/>
      <w:r w:rsidRPr="00BC4A2E">
        <w:rPr>
          <w:rFonts w:eastAsia="Times New Roman"/>
          <w:szCs w:val="24"/>
        </w:rPr>
        <w:t xml:space="preserve">, M. U., Chime, J. C., &amp; </w:t>
      </w:r>
      <w:proofErr w:type="spellStart"/>
      <w:r w:rsidRPr="00BC4A2E">
        <w:rPr>
          <w:rFonts w:eastAsia="Times New Roman"/>
          <w:szCs w:val="24"/>
        </w:rPr>
        <w:t>Igoli</w:t>
      </w:r>
      <w:proofErr w:type="spellEnd"/>
      <w:r w:rsidRPr="00BC4A2E">
        <w:rPr>
          <w:rFonts w:eastAsia="Times New Roman"/>
          <w:szCs w:val="24"/>
        </w:rPr>
        <w:t xml:space="preserve">, J. O. (2018). Phytochemical Analysis of n- Hexane and </w:t>
      </w:r>
      <w:proofErr w:type="spellStart"/>
      <w:r w:rsidRPr="00BC4A2E">
        <w:rPr>
          <w:rFonts w:eastAsia="Times New Roman"/>
          <w:szCs w:val="24"/>
        </w:rPr>
        <w:t>Ethylacetate</w:t>
      </w:r>
      <w:proofErr w:type="spellEnd"/>
      <w:r w:rsidRPr="00BC4A2E">
        <w:rPr>
          <w:rFonts w:eastAsia="Times New Roman"/>
          <w:szCs w:val="24"/>
        </w:rPr>
        <w:t xml:space="preserve"> Extracts of </w:t>
      </w:r>
      <w:proofErr w:type="spellStart"/>
      <w:r w:rsidR="00F47CE3" w:rsidRPr="00BC4A2E">
        <w:rPr>
          <w:rFonts w:eastAsia="Times New Roman"/>
          <w:i/>
          <w:szCs w:val="24"/>
        </w:rPr>
        <w:t>Diodia</w:t>
      </w:r>
      <w:proofErr w:type="spellEnd"/>
      <w:r w:rsidR="00F47CE3" w:rsidRPr="00BC4A2E">
        <w:rPr>
          <w:rFonts w:eastAsia="Times New Roman"/>
          <w:i/>
          <w:szCs w:val="24"/>
        </w:rPr>
        <w:t xml:space="preserve"> scandens</w:t>
      </w:r>
      <w:r w:rsidRPr="00BC4A2E">
        <w:rPr>
          <w:rFonts w:eastAsia="Times New Roman"/>
          <w:szCs w:val="24"/>
        </w:rPr>
        <w:t xml:space="preserve"> </w:t>
      </w:r>
      <w:proofErr w:type="spellStart"/>
      <w:r w:rsidRPr="00BC4A2E">
        <w:rPr>
          <w:rFonts w:eastAsia="Times New Roman"/>
          <w:szCs w:val="24"/>
        </w:rPr>
        <w:t>Sw</w:t>
      </w:r>
      <w:proofErr w:type="spellEnd"/>
      <w:r w:rsidRPr="00BC4A2E">
        <w:rPr>
          <w:rFonts w:eastAsia="Times New Roman"/>
          <w:szCs w:val="24"/>
        </w:rPr>
        <w:t xml:space="preserve"> and Spectroscopic Identification of an Omega- 6 Fatty Acid and a Glyceryl </w:t>
      </w:r>
      <w:proofErr w:type="spellStart"/>
      <w:r w:rsidRPr="00BC4A2E">
        <w:rPr>
          <w:rFonts w:eastAsia="Times New Roman"/>
          <w:szCs w:val="24"/>
        </w:rPr>
        <w:t>Trilinoleoate</w:t>
      </w:r>
      <w:proofErr w:type="spellEnd"/>
      <w:r w:rsidRPr="00BC4A2E">
        <w:rPr>
          <w:rFonts w:eastAsia="Times New Roman"/>
          <w:szCs w:val="24"/>
        </w:rPr>
        <w:t xml:space="preserve">. </w:t>
      </w:r>
      <w:r w:rsidRPr="00BC4A2E">
        <w:rPr>
          <w:rFonts w:eastAsia="Times New Roman"/>
          <w:i/>
          <w:iCs/>
          <w:szCs w:val="24"/>
        </w:rPr>
        <w:t>Physical Science International Journal</w:t>
      </w:r>
      <w:r w:rsidRPr="00BC4A2E">
        <w:rPr>
          <w:rFonts w:eastAsia="Times New Roman"/>
          <w:szCs w:val="24"/>
        </w:rPr>
        <w:t xml:space="preserve">, </w:t>
      </w:r>
      <w:r w:rsidRPr="00BC4A2E">
        <w:rPr>
          <w:rFonts w:eastAsia="Times New Roman"/>
          <w:i/>
          <w:iCs/>
          <w:szCs w:val="24"/>
        </w:rPr>
        <w:t>19</w:t>
      </w:r>
      <w:r w:rsidRPr="00BC4A2E">
        <w:rPr>
          <w:rFonts w:eastAsia="Times New Roman"/>
          <w:szCs w:val="24"/>
        </w:rPr>
        <w:t>(3), 1–9. https://doi.org/10.9734/psij/2018/42782</w:t>
      </w:r>
    </w:p>
    <w:p w14:paraId="33CCBB2E" w14:textId="77777777" w:rsidR="00747609" w:rsidRDefault="00747609" w:rsidP="00BC4A2E">
      <w:pPr>
        <w:pStyle w:val="NormalWeb"/>
        <w:spacing w:before="0" w:beforeAutospacing="0" w:after="0" w:afterAutospacing="0" w:line="276" w:lineRule="auto"/>
      </w:pPr>
      <w:proofErr w:type="spellStart"/>
      <w:r>
        <w:t>Altemimi</w:t>
      </w:r>
      <w:proofErr w:type="spellEnd"/>
      <w:r>
        <w:t xml:space="preserve">, A., </w:t>
      </w:r>
      <w:proofErr w:type="spellStart"/>
      <w:r>
        <w:t>Lakhssassi</w:t>
      </w:r>
      <w:proofErr w:type="spellEnd"/>
      <w:r>
        <w:t xml:space="preserve">, N., </w:t>
      </w:r>
      <w:proofErr w:type="spellStart"/>
      <w:r>
        <w:t>Baharlouei</w:t>
      </w:r>
      <w:proofErr w:type="spellEnd"/>
      <w:r>
        <w:t xml:space="preserve">, A., Watson, D. G., &amp; Lightfoot, D. A. (2017). Phytochemicals: Extraction, isolation, and identification of bioactive compounds from plant extracts. </w:t>
      </w:r>
      <w:r>
        <w:rPr>
          <w:rStyle w:val="Emphasis"/>
        </w:rPr>
        <w:t>Plants, 6</w:t>
      </w:r>
      <w:r>
        <w:t>(4), Article 42.</w:t>
      </w:r>
    </w:p>
    <w:p w14:paraId="5035A289" w14:textId="77777777" w:rsidR="00747609" w:rsidRDefault="00747609" w:rsidP="00BC4A2E">
      <w:pPr>
        <w:pStyle w:val="NormalWeb"/>
        <w:spacing w:before="0" w:beforeAutospacing="0" w:after="0" w:afterAutospacing="0" w:line="276" w:lineRule="auto"/>
      </w:pPr>
      <w:r>
        <w:t xml:space="preserve">Angelini, P. (2024). Plant-derived antimicrobials and their crucial role in combating antimicrobial resistance. </w:t>
      </w:r>
      <w:r>
        <w:rPr>
          <w:rStyle w:val="Emphasis"/>
        </w:rPr>
        <w:t>Antibiotics, 13</w:t>
      </w:r>
      <w:r>
        <w:t>(8), Article 746.</w:t>
      </w:r>
    </w:p>
    <w:p w14:paraId="34A93EE8" w14:textId="77777777" w:rsidR="00747609" w:rsidRDefault="00747609" w:rsidP="00BC4A2E">
      <w:pPr>
        <w:pStyle w:val="NormalWeb"/>
        <w:spacing w:before="0" w:beforeAutospacing="0" w:after="0" w:afterAutospacing="0" w:line="276" w:lineRule="auto"/>
      </w:pPr>
      <w:r>
        <w:t xml:space="preserve">do Nascimento, J. B., &amp; da Costa, J. G. M. (2025). Flavonoids: A review of antibacterial activity against Gram-negative bacteria. </w:t>
      </w:r>
      <w:r>
        <w:rPr>
          <w:rStyle w:val="Emphasis"/>
        </w:rPr>
        <w:t>International Journal of Microbiology, 2025</w:t>
      </w:r>
      <w:r>
        <w:t>(1), Article 9961121.</w:t>
      </w:r>
    </w:p>
    <w:p w14:paraId="5BDF1BA7" w14:textId="77777777" w:rsidR="00747609" w:rsidRDefault="00747609" w:rsidP="00BC4A2E">
      <w:pPr>
        <w:pStyle w:val="NormalWeb"/>
        <w:spacing w:before="0" w:beforeAutospacing="0" w:after="0" w:afterAutospacing="0" w:line="276" w:lineRule="auto"/>
      </w:pPr>
      <w:r>
        <w:t xml:space="preserve">Gajić, I., </w:t>
      </w:r>
      <w:proofErr w:type="spellStart"/>
      <w:r>
        <w:t>Kabić</w:t>
      </w:r>
      <w:proofErr w:type="spellEnd"/>
      <w:r>
        <w:t xml:space="preserve">, J., </w:t>
      </w:r>
      <w:proofErr w:type="spellStart"/>
      <w:r>
        <w:t>Kekić</w:t>
      </w:r>
      <w:proofErr w:type="spellEnd"/>
      <w:r>
        <w:t xml:space="preserve">, D., Jovićević, M., Milenković, M., Mitić Ćulafić, D., … </w:t>
      </w:r>
      <w:proofErr w:type="spellStart"/>
      <w:r>
        <w:t>Opavski</w:t>
      </w:r>
      <w:proofErr w:type="spellEnd"/>
      <w:r>
        <w:t xml:space="preserve">, N. (2022). Antimicrobial susceptibility testing: A comprehensive review of currently used methods. </w:t>
      </w:r>
      <w:r>
        <w:rPr>
          <w:rStyle w:val="Emphasis"/>
        </w:rPr>
        <w:t>Antibiotics, 11</w:t>
      </w:r>
      <w:r>
        <w:t>(4), Article 427.</w:t>
      </w:r>
    </w:p>
    <w:p w14:paraId="1934B98D"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Kamarudin, N. A., Muhamad, N., Salleh, N. N. H. N., &amp; Tan, S. C. (2021). Impact of solvent selection on phytochemical content, recovery of tannin and antioxidant activity of Quercus </w:t>
      </w:r>
      <w:proofErr w:type="spellStart"/>
      <w:r w:rsidRPr="00BC4A2E">
        <w:rPr>
          <w:rFonts w:eastAsia="Times New Roman"/>
          <w:szCs w:val="24"/>
        </w:rPr>
        <w:t>infectoria</w:t>
      </w:r>
      <w:proofErr w:type="spellEnd"/>
      <w:r w:rsidRPr="00BC4A2E">
        <w:rPr>
          <w:rFonts w:eastAsia="Times New Roman"/>
          <w:szCs w:val="24"/>
        </w:rPr>
        <w:t xml:space="preserve"> galls. </w:t>
      </w:r>
      <w:r w:rsidRPr="00BC4A2E">
        <w:rPr>
          <w:rFonts w:eastAsia="Times New Roman"/>
          <w:i/>
          <w:iCs/>
          <w:szCs w:val="24"/>
        </w:rPr>
        <w:t>Pharmacognosy Journal</w:t>
      </w:r>
      <w:r w:rsidRPr="00BC4A2E">
        <w:rPr>
          <w:rFonts w:eastAsia="Times New Roman"/>
          <w:szCs w:val="24"/>
        </w:rPr>
        <w:t xml:space="preserve">, </w:t>
      </w:r>
      <w:r w:rsidRPr="00BC4A2E">
        <w:rPr>
          <w:rFonts w:eastAsia="Times New Roman"/>
          <w:i/>
          <w:iCs/>
          <w:szCs w:val="24"/>
        </w:rPr>
        <w:t>13</w:t>
      </w:r>
      <w:r w:rsidRPr="00BC4A2E">
        <w:rPr>
          <w:rFonts w:eastAsia="Times New Roman"/>
          <w:szCs w:val="24"/>
        </w:rPr>
        <w:t>(5), 1195–1204. https://doi.org/10.5530/pj.2021.13.153</w:t>
      </w:r>
    </w:p>
    <w:p w14:paraId="16BF0E92" w14:textId="77777777" w:rsidR="00747609" w:rsidRDefault="00747609" w:rsidP="00BC4A2E">
      <w:pPr>
        <w:pStyle w:val="NormalWeb"/>
        <w:spacing w:before="0" w:beforeAutospacing="0" w:after="0" w:afterAutospacing="0" w:line="276" w:lineRule="auto"/>
      </w:pPr>
      <w:r>
        <w:t xml:space="preserve">Kavita, S., Singh, N., &amp; Sharma, O. P. (2022). Medicinal plants and their roles in healthy life. </w:t>
      </w:r>
      <w:r>
        <w:rPr>
          <w:rStyle w:val="Emphasis"/>
        </w:rPr>
        <w:t>World Journal of Pharmaceutical and Medical Research, 8</w:t>
      </w:r>
      <w:r>
        <w:t>(9), 197–199.</w:t>
      </w:r>
    </w:p>
    <w:p w14:paraId="3A9EC14B" w14:textId="77777777" w:rsidR="00747609" w:rsidRDefault="00747609" w:rsidP="00BC4A2E">
      <w:pPr>
        <w:pStyle w:val="NormalWeb"/>
        <w:spacing w:before="0" w:beforeAutospacing="0" w:after="0" w:afterAutospacing="0" w:line="276" w:lineRule="auto"/>
      </w:pPr>
      <w:r>
        <w:t xml:space="preserve">Li, J., &amp; Monje-Galvan, V. (2023). In vitro and in silico studies of antimicrobial saponins: A review. </w:t>
      </w:r>
      <w:r>
        <w:rPr>
          <w:rStyle w:val="Emphasis"/>
        </w:rPr>
        <w:t>Processes, 11</w:t>
      </w:r>
      <w:r>
        <w:t>(10), Article 2856.</w:t>
      </w:r>
    </w:p>
    <w:p w14:paraId="776A344F" w14:textId="77777777" w:rsidR="00747609" w:rsidRDefault="00747609" w:rsidP="00BC4A2E">
      <w:pPr>
        <w:pStyle w:val="NormalWeb"/>
        <w:spacing w:before="0" w:beforeAutospacing="0" w:after="0" w:afterAutospacing="0" w:line="276" w:lineRule="auto"/>
      </w:pPr>
      <w:proofErr w:type="spellStart"/>
      <w:r>
        <w:lastRenderedPageBreak/>
        <w:t>Muteeb</w:t>
      </w:r>
      <w:proofErr w:type="spellEnd"/>
      <w:r>
        <w:t xml:space="preserve">, G., Rehman, M. T., Shahwan, M., &amp; Aatif, M. (2023). Origin of antibiotics and antibiotic resistance, and their impacts on drug development: A narrative review. </w:t>
      </w:r>
      <w:r>
        <w:rPr>
          <w:rStyle w:val="Emphasis"/>
        </w:rPr>
        <w:t>Pharmaceuticals, 16</w:t>
      </w:r>
      <w:r>
        <w:t>, Article 1615.</w:t>
      </w:r>
    </w:p>
    <w:p w14:paraId="4065A147"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Nguyen, N., Duong, N., Nguyen, K. H., Bui, N., Pham, T., Nguyen, K., Le, P., Kim, K., Dahibhate, N., Kumar, D., Kumar, K., Bibi, S., Gokhan, Z., Rajesh, J., </w:t>
      </w:r>
      <w:proofErr w:type="spellStart"/>
      <w:r w:rsidRPr="00BC4A2E">
        <w:rPr>
          <w:rFonts w:eastAsia="Times New Roman"/>
          <w:szCs w:val="24"/>
        </w:rPr>
        <w:t>Mahomoodally</w:t>
      </w:r>
      <w:proofErr w:type="spellEnd"/>
      <w:r w:rsidRPr="00BC4A2E">
        <w:rPr>
          <w:rFonts w:eastAsia="Times New Roman"/>
          <w:szCs w:val="24"/>
        </w:rPr>
        <w:t xml:space="preserve">, M., </w:t>
      </w:r>
      <w:proofErr w:type="spellStart"/>
      <w:r w:rsidRPr="00BC4A2E">
        <w:rPr>
          <w:rFonts w:eastAsia="Times New Roman"/>
          <w:szCs w:val="24"/>
        </w:rPr>
        <w:t>Siddhuraju</w:t>
      </w:r>
      <w:proofErr w:type="spellEnd"/>
      <w:r w:rsidRPr="00BC4A2E">
        <w:rPr>
          <w:rFonts w:eastAsia="Times New Roman"/>
          <w:szCs w:val="24"/>
        </w:rPr>
        <w:t xml:space="preserve">, P., Becker, K., </w:t>
      </w:r>
      <w:proofErr w:type="spellStart"/>
      <w:r w:rsidRPr="00BC4A2E">
        <w:rPr>
          <w:rFonts w:eastAsia="Times New Roman"/>
          <w:szCs w:val="24"/>
        </w:rPr>
        <w:t>Kchaou</w:t>
      </w:r>
      <w:proofErr w:type="spellEnd"/>
      <w:r w:rsidRPr="00BC4A2E">
        <w:rPr>
          <w:rFonts w:eastAsia="Times New Roman"/>
          <w:szCs w:val="24"/>
        </w:rPr>
        <w:t xml:space="preserve">, W., Abbes, F., . . . </w:t>
      </w:r>
      <w:proofErr w:type="spellStart"/>
      <w:r w:rsidRPr="00BC4A2E">
        <w:rPr>
          <w:rFonts w:eastAsia="Times New Roman"/>
          <w:szCs w:val="24"/>
        </w:rPr>
        <w:t>Iamtham</w:t>
      </w:r>
      <w:proofErr w:type="spellEnd"/>
      <w:r w:rsidRPr="00BC4A2E">
        <w:rPr>
          <w:rFonts w:eastAsia="Times New Roman"/>
          <w:szCs w:val="24"/>
        </w:rPr>
        <w:t xml:space="preserve">, S. (2021). Effect of extraction solvent on total phenol, flavonoid content, and antioxidant activity of Avicennia officinalis. </w:t>
      </w:r>
      <w:proofErr w:type="spellStart"/>
      <w:r w:rsidRPr="00BC4A2E">
        <w:rPr>
          <w:rFonts w:eastAsia="Times New Roman"/>
          <w:i/>
          <w:iCs/>
          <w:szCs w:val="24"/>
        </w:rPr>
        <w:t>Biointerface</w:t>
      </w:r>
      <w:proofErr w:type="spellEnd"/>
      <w:r w:rsidRPr="00BC4A2E">
        <w:rPr>
          <w:rFonts w:eastAsia="Times New Roman"/>
          <w:i/>
          <w:iCs/>
          <w:szCs w:val="24"/>
        </w:rPr>
        <w:t xml:space="preserve"> Research in Applied Chemistry</w:t>
      </w:r>
      <w:r w:rsidRPr="00BC4A2E">
        <w:rPr>
          <w:rFonts w:eastAsia="Times New Roman"/>
          <w:szCs w:val="24"/>
        </w:rPr>
        <w:t xml:space="preserve">, </w:t>
      </w:r>
      <w:r w:rsidRPr="00BC4A2E">
        <w:rPr>
          <w:rFonts w:eastAsia="Times New Roman"/>
          <w:i/>
          <w:iCs/>
          <w:szCs w:val="24"/>
        </w:rPr>
        <w:t>12</w:t>
      </w:r>
      <w:r w:rsidRPr="00BC4A2E">
        <w:rPr>
          <w:rFonts w:eastAsia="Times New Roman"/>
          <w:szCs w:val="24"/>
        </w:rPr>
        <w:t>(2), 2678–2690. https://doi.org/10.33263/briac122.26782690</w:t>
      </w:r>
    </w:p>
    <w:p w14:paraId="15E8EDE6"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O’Neill, J. (2016). Tackling drug-resistant infections globally: final report and recommendations</w:t>
      </w:r>
      <w:proofErr w:type="gramStart"/>
      <w:r w:rsidRPr="00BC4A2E">
        <w:rPr>
          <w:rFonts w:eastAsia="Times New Roman"/>
          <w:szCs w:val="24"/>
        </w:rPr>
        <w:t xml:space="preserve">. </w:t>
      </w:r>
      <w:r w:rsidRPr="00BC4A2E">
        <w:rPr>
          <w:rFonts w:eastAsia="Times New Roman"/>
          <w:i/>
          <w:iCs/>
          <w:szCs w:val="24"/>
        </w:rPr>
        <w:t>.</w:t>
      </w:r>
      <w:proofErr w:type="gramEnd"/>
      <w:r w:rsidRPr="00BC4A2E">
        <w:rPr>
          <w:rFonts w:eastAsia="Times New Roman"/>
          <w:szCs w:val="24"/>
        </w:rPr>
        <w:t xml:space="preserve"> https://apo.org.au/sites/default/files/resource-files/2016-05/apo-nid63983.pdf</w:t>
      </w:r>
    </w:p>
    <w:p w14:paraId="23FB4083" w14:textId="77777777" w:rsidR="00747609" w:rsidRDefault="00747609" w:rsidP="00BC4A2E">
      <w:pPr>
        <w:pStyle w:val="NormalWeb"/>
        <w:spacing w:before="0" w:beforeAutospacing="0" w:after="0" w:afterAutospacing="0" w:line="276" w:lineRule="auto"/>
      </w:pPr>
      <w:r>
        <w:t xml:space="preserve">Ojo, S. K. S., Awokoya, O. O., Aliu, K. T., Jeje, T. O., Balogun, D. M., </w:t>
      </w:r>
      <w:proofErr w:type="spellStart"/>
      <w:r>
        <w:t>Offrire</w:t>
      </w:r>
      <w:proofErr w:type="spellEnd"/>
      <w:r>
        <w:t xml:space="preserve">, V. O., </w:t>
      </w:r>
      <w:proofErr w:type="spellStart"/>
      <w:r>
        <w:t>Atitebi</w:t>
      </w:r>
      <w:proofErr w:type="spellEnd"/>
      <w:r>
        <w:t xml:space="preserve">, C. O., &amp; </w:t>
      </w:r>
      <w:proofErr w:type="spellStart"/>
      <w:r>
        <w:t>Awokoya</w:t>
      </w:r>
      <w:proofErr w:type="spellEnd"/>
      <w:r>
        <w:t xml:space="preserve">, O. O. (2024). Prophylactic and combination study on </w:t>
      </w:r>
      <w:r>
        <w:rPr>
          <w:rStyle w:val="Emphasis"/>
        </w:rPr>
        <w:t xml:space="preserve">Phyllanthus </w:t>
      </w:r>
      <w:proofErr w:type="spellStart"/>
      <w:r>
        <w:rPr>
          <w:rStyle w:val="Emphasis"/>
        </w:rPr>
        <w:t>amarus</w:t>
      </w:r>
      <w:proofErr w:type="spellEnd"/>
      <w:r>
        <w:t xml:space="preserve"> and </w:t>
      </w:r>
      <w:proofErr w:type="spellStart"/>
      <w:r>
        <w:rPr>
          <w:rStyle w:val="Emphasis"/>
        </w:rPr>
        <w:t>Diodia</w:t>
      </w:r>
      <w:proofErr w:type="spellEnd"/>
      <w:r>
        <w:rPr>
          <w:rStyle w:val="Emphasis"/>
        </w:rPr>
        <w:t xml:space="preserve"> scandens</w:t>
      </w:r>
      <w:r>
        <w:t xml:space="preserve"> bioactive fractions against antibiotic-resistant staphylococci. </w:t>
      </w:r>
      <w:r>
        <w:rPr>
          <w:rStyle w:val="Emphasis"/>
        </w:rPr>
        <w:t>Nigerian Journal of Microbiology, 38</w:t>
      </w:r>
      <w:r>
        <w:t>(1), 7075–7084.</w:t>
      </w:r>
    </w:p>
    <w:p w14:paraId="78E69EA7" w14:textId="77777777" w:rsidR="00747609" w:rsidRDefault="00747609" w:rsidP="00BC4A2E">
      <w:pPr>
        <w:pStyle w:val="NormalWeb"/>
        <w:spacing w:before="0" w:beforeAutospacing="0" w:after="0" w:afterAutospacing="0" w:line="276" w:lineRule="auto"/>
      </w:pPr>
      <w:r>
        <w:t xml:space="preserve">Ojo, S. K. S., Idemudia, A. J., </w:t>
      </w:r>
      <w:proofErr w:type="spellStart"/>
      <w:r>
        <w:t>Alikwe</w:t>
      </w:r>
      <w:proofErr w:type="spellEnd"/>
      <w:r>
        <w:t xml:space="preserve">, P. C. N., &amp; </w:t>
      </w:r>
      <w:proofErr w:type="spellStart"/>
      <w:r>
        <w:t>Awokoya</w:t>
      </w:r>
      <w:proofErr w:type="spellEnd"/>
      <w:r>
        <w:t xml:space="preserve">, O. O. (2010). Antimicrobial potency of </w:t>
      </w:r>
      <w:proofErr w:type="spellStart"/>
      <w:r>
        <w:rPr>
          <w:rStyle w:val="Emphasis"/>
        </w:rPr>
        <w:t>Diodia</w:t>
      </w:r>
      <w:proofErr w:type="spellEnd"/>
      <w:r>
        <w:rPr>
          <w:rStyle w:val="Emphasis"/>
        </w:rPr>
        <w:t xml:space="preserve"> scandens</w:t>
      </w:r>
      <w:r>
        <w:t xml:space="preserve"> and </w:t>
      </w:r>
      <w:r>
        <w:rPr>
          <w:rStyle w:val="Emphasis"/>
        </w:rPr>
        <w:t xml:space="preserve">Phyllanthus </w:t>
      </w:r>
      <w:proofErr w:type="spellStart"/>
      <w:r>
        <w:rPr>
          <w:rStyle w:val="Emphasis"/>
        </w:rPr>
        <w:t>amarus</w:t>
      </w:r>
      <w:proofErr w:type="spellEnd"/>
      <w:r>
        <w:t xml:space="preserve"> on some clinical isolates. </w:t>
      </w:r>
      <w:r>
        <w:rPr>
          <w:rStyle w:val="Emphasis"/>
        </w:rPr>
        <w:t>International Journal of Pharmaceutical Research and Development, 2</w:t>
      </w:r>
      <w:r>
        <w:t>(2), 1–7.</w:t>
      </w:r>
    </w:p>
    <w:p w14:paraId="42616E4B"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Ojo, S. K., </w:t>
      </w:r>
      <w:proofErr w:type="spellStart"/>
      <w:r w:rsidRPr="00BC4A2E">
        <w:rPr>
          <w:rFonts w:eastAsia="Times New Roman"/>
          <w:szCs w:val="24"/>
        </w:rPr>
        <w:t>Esumeh</w:t>
      </w:r>
      <w:proofErr w:type="spellEnd"/>
      <w:r w:rsidRPr="00BC4A2E">
        <w:rPr>
          <w:rFonts w:eastAsia="Times New Roman"/>
          <w:szCs w:val="24"/>
        </w:rPr>
        <w:t xml:space="preserve">, F. I., </w:t>
      </w:r>
      <w:proofErr w:type="spellStart"/>
      <w:r w:rsidRPr="00BC4A2E">
        <w:rPr>
          <w:rFonts w:eastAsia="Times New Roman"/>
          <w:szCs w:val="24"/>
        </w:rPr>
        <w:t>Osanyinlusi</w:t>
      </w:r>
      <w:proofErr w:type="spellEnd"/>
      <w:r w:rsidRPr="00BC4A2E">
        <w:rPr>
          <w:rFonts w:eastAsia="Times New Roman"/>
          <w:szCs w:val="24"/>
        </w:rPr>
        <w:t>, S. A., &amp; Jeje, T. O. (2017a). Phytochemical and antibacterial properties of &lt;</w:t>
      </w:r>
      <w:proofErr w:type="spellStart"/>
      <w:r w:rsidRPr="00BC4A2E">
        <w:rPr>
          <w:rFonts w:eastAsia="Times New Roman"/>
          <w:szCs w:val="24"/>
        </w:rPr>
        <w:t>i</w:t>
      </w:r>
      <w:proofErr w:type="spellEnd"/>
      <w:r w:rsidRPr="00BC4A2E">
        <w:rPr>
          <w:rFonts w:eastAsia="Times New Roman"/>
          <w:szCs w:val="24"/>
        </w:rPr>
        <w:t>&gt;</w:t>
      </w:r>
      <w:proofErr w:type="spellStart"/>
      <w:r w:rsidR="00F47CE3" w:rsidRPr="00BC4A2E">
        <w:rPr>
          <w:rFonts w:eastAsia="Times New Roman"/>
          <w:i/>
          <w:szCs w:val="24"/>
        </w:rPr>
        <w:t>Diodia</w:t>
      </w:r>
      <w:proofErr w:type="spellEnd"/>
      <w:r w:rsidR="00F47CE3" w:rsidRPr="00BC4A2E">
        <w:rPr>
          <w:rFonts w:eastAsia="Times New Roman"/>
          <w:i/>
          <w:szCs w:val="24"/>
        </w:rPr>
        <w:t xml:space="preserve"> scandens</w:t>
      </w:r>
      <w:r w:rsidRPr="00BC4A2E">
        <w:rPr>
          <w:rFonts w:eastAsia="Times New Roman"/>
          <w:szCs w:val="24"/>
        </w:rPr>
        <w:t>&lt;/</w:t>
      </w:r>
      <w:proofErr w:type="spellStart"/>
      <w:r w:rsidRPr="00BC4A2E">
        <w:rPr>
          <w:rFonts w:eastAsia="Times New Roman"/>
          <w:szCs w:val="24"/>
        </w:rPr>
        <w:t>i</w:t>
      </w:r>
      <w:proofErr w:type="spellEnd"/>
      <w:r w:rsidRPr="00BC4A2E">
        <w:rPr>
          <w:rFonts w:eastAsia="Times New Roman"/>
          <w:szCs w:val="24"/>
        </w:rPr>
        <w:t>&gt; and &lt;</w:t>
      </w:r>
      <w:proofErr w:type="spellStart"/>
      <w:r w:rsidRPr="00BC4A2E">
        <w:rPr>
          <w:rFonts w:eastAsia="Times New Roman"/>
          <w:szCs w:val="24"/>
        </w:rPr>
        <w:t>i</w:t>
      </w:r>
      <w:proofErr w:type="spellEnd"/>
      <w:r w:rsidRPr="00BC4A2E">
        <w:rPr>
          <w:rFonts w:eastAsia="Times New Roman"/>
          <w:szCs w:val="24"/>
        </w:rPr>
        <w:t xml:space="preserve">&gt;Phyllanthus </w:t>
      </w:r>
      <w:proofErr w:type="spellStart"/>
      <w:r w:rsidRPr="00BC4A2E">
        <w:rPr>
          <w:rFonts w:eastAsia="Times New Roman"/>
          <w:szCs w:val="24"/>
        </w:rPr>
        <w:t>amarus</w:t>
      </w:r>
      <w:proofErr w:type="spellEnd"/>
      <w:r w:rsidRPr="00BC4A2E">
        <w:rPr>
          <w:rFonts w:eastAsia="Times New Roman"/>
          <w:szCs w:val="24"/>
        </w:rPr>
        <w:t>&lt;/</w:t>
      </w:r>
      <w:proofErr w:type="spellStart"/>
      <w:r w:rsidRPr="00BC4A2E">
        <w:rPr>
          <w:rFonts w:eastAsia="Times New Roman"/>
          <w:szCs w:val="24"/>
        </w:rPr>
        <w:t>i</w:t>
      </w:r>
      <w:proofErr w:type="spellEnd"/>
      <w:r w:rsidRPr="00BC4A2E">
        <w:rPr>
          <w:rFonts w:eastAsia="Times New Roman"/>
          <w:szCs w:val="24"/>
        </w:rPr>
        <w:t xml:space="preserve">&gt; on staphylococci isolated from patients in tertiary hospitals in Nigeria. </w:t>
      </w:r>
      <w:r w:rsidRPr="00BC4A2E">
        <w:rPr>
          <w:rFonts w:eastAsia="Times New Roman"/>
          <w:i/>
          <w:iCs/>
          <w:szCs w:val="24"/>
        </w:rPr>
        <w:t>Journal of Medicinal Plants for Economic Development</w:t>
      </w:r>
      <w:r w:rsidRPr="00BC4A2E">
        <w:rPr>
          <w:rFonts w:eastAsia="Times New Roman"/>
          <w:szCs w:val="24"/>
        </w:rPr>
        <w:t xml:space="preserve">, </w:t>
      </w:r>
      <w:r w:rsidRPr="00BC4A2E">
        <w:rPr>
          <w:rFonts w:eastAsia="Times New Roman"/>
          <w:i/>
          <w:iCs/>
          <w:szCs w:val="24"/>
        </w:rPr>
        <w:t>1</w:t>
      </w:r>
      <w:r w:rsidRPr="00BC4A2E">
        <w:rPr>
          <w:rFonts w:eastAsia="Times New Roman"/>
          <w:szCs w:val="24"/>
        </w:rPr>
        <w:t>(1). https://doi.org/10.4102/jomped.v1i1.7</w:t>
      </w:r>
    </w:p>
    <w:p w14:paraId="2ED11661"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Ojo, S. K., </w:t>
      </w:r>
      <w:proofErr w:type="spellStart"/>
      <w:r w:rsidRPr="00BC4A2E">
        <w:rPr>
          <w:rFonts w:eastAsia="Times New Roman"/>
          <w:szCs w:val="24"/>
        </w:rPr>
        <w:t>Esumeh</w:t>
      </w:r>
      <w:proofErr w:type="spellEnd"/>
      <w:r w:rsidRPr="00BC4A2E">
        <w:rPr>
          <w:rFonts w:eastAsia="Times New Roman"/>
          <w:szCs w:val="24"/>
        </w:rPr>
        <w:t xml:space="preserve">, F. I., </w:t>
      </w:r>
      <w:proofErr w:type="spellStart"/>
      <w:r w:rsidRPr="00BC4A2E">
        <w:rPr>
          <w:rFonts w:eastAsia="Times New Roman"/>
          <w:szCs w:val="24"/>
        </w:rPr>
        <w:t>Osanyinlusi</w:t>
      </w:r>
      <w:proofErr w:type="spellEnd"/>
      <w:r w:rsidRPr="00BC4A2E">
        <w:rPr>
          <w:rFonts w:eastAsia="Times New Roman"/>
          <w:szCs w:val="24"/>
        </w:rPr>
        <w:t>, S. A., &amp; Jeje, T. O. (2017b). Phytochemical and antibacterial properties of &lt;</w:t>
      </w:r>
      <w:proofErr w:type="spellStart"/>
      <w:r w:rsidRPr="00BC4A2E">
        <w:rPr>
          <w:rFonts w:eastAsia="Times New Roman"/>
          <w:szCs w:val="24"/>
        </w:rPr>
        <w:t>i</w:t>
      </w:r>
      <w:proofErr w:type="spellEnd"/>
      <w:r w:rsidRPr="00BC4A2E">
        <w:rPr>
          <w:rFonts w:eastAsia="Times New Roman"/>
          <w:szCs w:val="24"/>
        </w:rPr>
        <w:t>&gt;</w:t>
      </w:r>
      <w:proofErr w:type="spellStart"/>
      <w:r w:rsidR="00F47CE3" w:rsidRPr="00BC4A2E">
        <w:rPr>
          <w:rFonts w:eastAsia="Times New Roman"/>
          <w:i/>
          <w:szCs w:val="24"/>
        </w:rPr>
        <w:t>Diodia</w:t>
      </w:r>
      <w:proofErr w:type="spellEnd"/>
      <w:r w:rsidR="00F47CE3" w:rsidRPr="00BC4A2E">
        <w:rPr>
          <w:rFonts w:eastAsia="Times New Roman"/>
          <w:i/>
          <w:szCs w:val="24"/>
        </w:rPr>
        <w:t xml:space="preserve"> scandens</w:t>
      </w:r>
      <w:r w:rsidRPr="00BC4A2E">
        <w:rPr>
          <w:rFonts w:eastAsia="Times New Roman"/>
          <w:szCs w:val="24"/>
        </w:rPr>
        <w:t>&lt;/</w:t>
      </w:r>
      <w:proofErr w:type="spellStart"/>
      <w:r w:rsidRPr="00BC4A2E">
        <w:rPr>
          <w:rFonts w:eastAsia="Times New Roman"/>
          <w:szCs w:val="24"/>
        </w:rPr>
        <w:t>i</w:t>
      </w:r>
      <w:proofErr w:type="spellEnd"/>
      <w:r w:rsidRPr="00BC4A2E">
        <w:rPr>
          <w:rFonts w:eastAsia="Times New Roman"/>
          <w:szCs w:val="24"/>
        </w:rPr>
        <w:t>&gt; and &lt;</w:t>
      </w:r>
      <w:proofErr w:type="spellStart"/>
      <w:r w:rsidRPr="00BC4A2E">
        <w:rPr>
          <w:rFonts w:eastAsia="Times New Roman"/>
          <w:szCs w:val="24"/>
        </w:rPr>
        <w:t>i</w:t>
      </w:r>
      <w:proofErr w:type="spellEnd"/>
      <w:r w:rsidRPr="00BC4A2E">
        <w:rPr>
          <w:rFonts w:eastAsia="Times New Roman"/>
          <w:szCs w:val="24"/>
        </w:rPr>
        <w:t xml:space="preserve">&gt;Phyllanthus </w:t>
      </w:r>
      <w:proofErr w:type="spellStart"/>
      <w:r w:rsidRPr="00BC4A2E">
        <w:rPr>
          <w:rFonts w:eastAsia="Times New Roman"/>
          <w:szCs w:val="24"/>
        </w:rPr>
        <w:t>amarus</w:t>
      </w:r>
      <w:proofErr w:type="spellEnd"/>
      <w:r w:rsidRPr="00BC4A2E">
        <w:rPr>
          <w:rFonts w:eastAsia="Times New Roman"/>
          <w:szCs w:val="24"/>
        </w:rPr>
        <w:t>&lt;/</w:t>
      </w:r>
      <w:proofErr w:type="spellStart"/>
      <w:r w:rsidRPr="00BC4A2E">
        <w:rPr>
          <w:rFonts w:eastAsia="Times New Roman"/>
          <w:szCs w:val="24"/>
        </w:rPr>
        <w:t>i</w:t>
      </w:r>
      <w:proofErr w:type="spellEnd"/>
      <w:r w:rsidRPr="00BC4A2E">
        <w:rPr>
          <w:rFonts w:eastAsia="Times New Roman"/>
          <w:szCs w:val="24"/>
        </w:rPr>
        <w:t xml:space="preserve">&gt; on staphylococci isolated from patients in tertiary hospitals in Nigeria. </w:t>
      </w:r>
      <w:r w:rsidRPr="00BC4A2E">
        <w:rPr>
          <w:rFonts w:eastAsia="Times New Roman"/>
          <w:i/>
          <w:iCs/>
          <w:szCs w:val="24"/>
        </w:rPr>
        <w:t>Journal of Medicinal Plants for Economic Development</w:t>
      </w:r>
      <w:r w:rsidRPr="00BC4A2E">
        <w:rPr>
          <w:rFonts w:eastAsia="Times New Roman"/>
          <w:szCs w:val="24"/>
        </w:rPr>
        <w:t xml:space="preserve">, </w:t>
      </w:r>
      <w:r w:rsidRPr="00BC4A2E">
        <w:rPr>
          <w:rFonts w:eastAsia="Times New Roman"/>
          <w:i/>
          <w:iCs/>
          <w:szCs w:val="24"/>
        </w:rPr>
        <w:t>1</w:t>
      </w:r>
      <w:r w:rsidRPr="00BC4A2E">
        <w:rPr>
          <w:rFonts w:eastAsia="Times New Roman"/>
          <w:szCs w:val="24"/>
        </w:rPr>
        <w:t>(1). https://doi.org/10.4102/jomped.v1i1.7</w:t>
      </w:r>
    </w:p>
    <w:p w14:paraId="265446A1"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Ojo, S., </w:t>
      </w:r>
      <w:proofErr w:type="spellStart"/>
      <w:r w:rsidRPr="00BC4A2E">
        <w:rPr>
          <w:rFonts w:eastAsia="Times New Roman"/>
          <w:szCs w:val="24"/>
        </w:rPr>
        <w:t>Esumeh</w:t>
      </w:r>
      <w:proofErr w:type="spellEnd"/>
      <w:r w:rsidRPr="00BC4A2E">
        <w:rPr>
          <w:rFonts w:eastAsia="Times New Roman"/>
          <w:szCs w:val="24"/>
        </w:rPr>
        <w:t xml:space="preserve">, F., &amp; </w:t>
      </w:r>
      <w:proofErr w:type="spellStart"/>
      <w:r w:rsidRPr="00BC4A2E">
        <w:rPr>
          <w:rFonts w:eastAsia="Times New Roman"/>
          <w:szCs w:val="24"/>
        </w:rPr>
        <w:t>Uyoh</w:t>
      </w:r>
      <w:proofErr w:type="spellEnd"/>
      <w:r w:rsidRPr="00BC4A2E">
        <w:rPr>
          <w:rFonts w:eastAsia="Times New Roman"/>
          <w:szCs w:val="24"/>
        </w:rPr>
        <w:t xml:space="preserve">, A. (2013). Antimicrobial Effect of </w:t>
      </w:r>
      <w:proofErr w:type="spellStart"/>
      <w:r w:rsidR="00F47CE3" w:rsidRPr="00BC4A2E">
        <w:rPr>
          <w:rFonts w:eastAsia="Times New Roman"/>
          <w:i/>
          <w:szCs w:val="24"/>
        </w:rPr>
        <w:t>Diodia</w:t>
      </w:r>
      <w:proofErr w:type="spellEnd"/>
      <w:r w:rsidR="00F47CE3" w:rsidRPr="00BC4A2E">
        <w:rPr>
          <w:rFonts w:eastAsia="Times New Roman"/>
          <w:i/>
          <w:szCs w:val="24"/>
        </w:rPr>
        <w:t xml:space="preserve"> scandens</w:t>
      </w:r>
      <w:r w:rsidRPr="00BC4A2E">
        <w:rPr>
          <w:rFonts w:eastAsia="Times New Roman"/>
          <w:szCs w:val="24"/>
        </w:rPr>
        <w:t xml:space="preserve"> and Phyllanthus </w:t>
      </w:r>
      <w:proofErr w:type="spellStart"/>
      <w:r w:rsidRPr="00BC4A2E">
        <w:rPr>
          <w:rFonts w:eastAsia="Times New Roman"/>
          <w:szCs w:val="24"/>
        </w:rPr>
        <w:t>amarus</w:t>
      </w:r>
      <w:proofErr w:type="spellEnd"/>
      <w:r w:rsidRPr="00BC4A2E">
        <w:rPr>
          <w:rFonts w:eastAsia="Times New Roman"/>
          <w:szCs w:val="24"/>
        </w:rPr>
        <w:t xml:space="preserve"> on Multi-drug Resistance Pattern of Staphylococci from Clinical Sources of Surgical Unit of a Tertiary Hospital. </w:t>
      </w:r>
      <w:r w:rsidRPr="00BC4A2E">
        <w:rPr>
          <w:rFonts w:eastAsia="Times New Roman"/>
          <w:i/>
          <w:iCs/>
          <w:szCs w:val="24"/>
        </w:rPr>
        <w:t>American Journal of Drug Discovery and Development</w:t>
      </w:r>
      <w:r w:rsidRPr="00BC4A2E">
        <w:rPr>
          <w:rFonts w:eastAsia="Times New Roman"/>
          <w:szCs w:val="24"/>
        </w:rPr>
        <w:t xml:space="preserve">, </w:t>
      </w:r>
      <w:r w:rsidRPr="00BC4A2E">
        <w:rPr>
          <w:rFonts w:eastAsia="Times New Roman"/>
          <w:i/>
          <w:iCs/>
          <w:szCs w:val="24"/>
        </w:rPr>
        <w:t>3</w:t>
      </w:r>
      <w:r w:rsidRPr="00BC4A2E">
        <w:rPr>
          <w:rFonts w:eastAsia="Times New Roman"/>
          <w:szCs w:val="24"/>
        </w:rPr>
        <w:t>(4), 271–278. https://doi.org/10.3923/ajdd.2013.271.278</w:t>
      </w:r>
    </w:p>
    <w:p w14:paraId="0A265B98"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Podolsky, S. H. (2018). The evolving response to antibiotic resistance (1945–2018). </w:t>
      </w:r>
      <w:r w:rsidRPr="00BC4A2E">
        <w:rPr>
          <w:rFonts w:eastAsia="Times New Roman"/>
          <w:i/>
          <w:iCs/>
          <w:szCs w:val="24"/>
        </w:rPr>
        <w:t>Palgrave Communications</w:t>
      </w:r>
      <w:r w:rsidRPr="00BC4A2E">
        <w:rPr>
          <w:rFonts w:eastAsia="Times New Roman"/>
          <w:szCs w:val="24"/>
        </w:rPr>
        <w:t xml:space="preserve">, </w:t>
      </w:r>
      <w:r w:rsidRPr="00BC4A2E">
        <w:rPr>
          <w:rFonts w:eastAsia="Times New Roman"/>
          <w:i/>
          <w:iCs/>
          <w:szCs w:val="24"/>
        </w:rPr>
        <w:t>4</w:t>
      </w:r>
      <w:r w:rsidRPr="00BC4A2E">
        <w:rPr>
          <w:rFonts w:eastAsia="Times New Roman"/>
          <w:szCs w:val="24"/>
        </w:rPr>
        <w:t>(1). https://doi.org/10.1057/s41599-018-0181-x</w:t>
      </w:r>
    </w:p>
    <w:p w14:paraId="7C94862B"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Sam, S. (2019). Importance and effectiveness of herbal medicines. </w:t>
      </w:r>
      <w:r w:rsidRPr="00BC4A2E">
        <w:rPr>
          <w:rFonts w:eastAsia="Times New Roman"/>
          <w:i/>
          <w:iCs/>
          <w:szCs w:val="24"/>
        </w:rPr>
        <w:t>Journal of Pharmacognosy and Phytochemistry</w:t>
      </w:r>
      <w:r w:rsidRPr="00BC4A2E">
        <w:rPr>
          <w:rFonts w:eastAsia="Times New Roman"/>
          <w:szCs w:val="24"/>
        </w:rPr>
        <w:t xml:space="preserve">, </w:t>
      </w:r>
      <w:r w:rsidRPr="00BC4A2E">
        <w:rPr>
          <w:rFonts w:eastAsia="Times New Roman"/>
          <w:i/>
          <w:iCs/>
          <w:szCs w:val="24"/>
        </w:rPr>
        <w:t>8</w:t>
      </w:r>
      <w:r w:rsidRPr="00BC4A2E">
        <w:rPr>
          <w:rFonts w:eastAsia="Times New Roman"/>
          <w:szCs w:val="24"/>
        </w:rPr>
        <w:t>(2), 354–357. https://www.phytojournal.com/archives/2019/vol8issue2/PartF/8-4-205-517.pdf</w:t>
      </w:r>
    </w:p>
    <w:p w14:paraId="68EC2969"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t xml:space="preserve">Schultz, F., </w:t>
      </w:r>
      <w:proofErr w:type="spellStart"/>
      <w:r w:rsidRPr="00BC4A2E">
        <w:rPr>
          <w:rFonts w:eastAsia="Times New Roman"/>
          <w:szCs w:val="24"/>
        </w:rPr>
        <w:t>Anywar</w:t>
      </w:r>
      <w:proofErr w:type="spellEnd"/>
      <w:r w:rsidRPr="00BC4A2E">
        <w:rPr>
          <w:rFonts w:eastAsia="Times New Roman"/>
          <w:szCs w:val="24"/>
        </w:rPr>
        <w:t xml:space="preserve">, G., Tang, H., Chassagne, F., Lyles, J. T., Garbe, L., &amp; Quave, C. L. (2020). Targeting ESKAPE pathogens with anti-infective medicinal plants from the Greater </w:t>
      </w:r>
      <w:proofErr w:type="spellStart"/>
      <w:r w:rsidRPr="00BC4A2E">
        <w:rPr>
          <w:rFonts w:eastAsia="Times New Roman"/>
          <w:szCs w:val="24"/>
        </w:rPr>
        <w:t>Mpigi</w:t>
      </w:r>
      <w:proofErr w:type="spellEnd"/>
      <w:r w:rsidRPr="00BC4A2E">
        <w:rPr>
          <w:rFonts w:eastAsia="Times New Roman"/>
          <w:szCs w:val="24"/>
        </w:rPr>
        <w:t xml:space="preserve"> region in Uganda. </w:t>
      </w:r>
      <w:r w:rsidRPr="00BC4A2E">
        <w:rPr>
          <w:rFonts w:eastAsia="Times New Roman"/>
          <w:i/>
          <w:iCs/>
          <w:szCs w:val="24"/>
        </w:rPr>
        <w:t>Scientific Reports</w:t>
      </w:r>
      <w:r w:rsidRPr="00BC4A2E">
        <w:rPr>
          <w:rFonts w:eastAsia="Times New Roman"/>
          <w:szCs w:val="24"/>
        </w:rPr>
        <w:t xml:space="preserve">, </w:t>
      </w:r>
      <w:r w:rsidRPr="00BC4A2E">
        <w:rPr>
          <w:rFonts w:eastAsia="Times New Roman"/>
          <w:i/>
          <w:iCs/>
          <w:szCs w:val="24"/>
        </w:rPr>
        <w:t>10</w:t>
      </w:r>
      <w:r w:rsidRPr="00BC4A2E">
        <w:rPr>
          <w:rFonts w:eastAsia="Times New Roman"/>
          <w:szCs w:val="24"/>
        </w:rPr>
        <w:t>(1), 11935. https://doi.org/10.1038/s41598-020-67572-8</w:t>
      </w:r>
    </w:p>
    <w:p w14:paraId="46FDA2D8" w14:textId="77777777" w:rsidR="00747609" w:rsidRPr="00BC4A2E" w:rsidRDefault="00747609" w:rsidP="00BC4A2E">
      <w:pPr>
        <w:spacing w:before="0" w:beforeAutospacing="0" w:after="0" w:afterAutospacing="0" w:line="276" w:lineRule="auto"/>
        <w:rPr>
          <w:rFonts w:eastAsia="Times New Roman"/>
          <w:szCs w:val="24"/>
        </w:rPr>
      </w:pPr>
      <w:r w:rsidRPr="00BC4A2E">
        <w:rPr>
          <w:rFonts w:eastAsia="Times New Roman"/>
          <w:szCs w:val="24"/>
        </w:rPr>
        <w:lastRenderedPageBreak/>
        <w:t xml:space="preserve">Schultz, F., </w:t>
      </w:r>
      <w:proofErr w:type="spellStart"/>
      <w:r w:rsidRPr="00BC4A2E">
        <w:rPr>
          <w:rFonts w:eastAsia="Times New Roman"/>
          <w:szCs w:val="24"/>
        </w:rPr>
        <w:t>Anywar</w:t>
      </w:r>
      <w:proofErr w:type="spellEnd"/>
      <w:r w:rsidRPr="00BC4A2E">
        <w:rPr>
          <w:rFonts w:eastAsia="Times New Roman"/>
          <w:szCs w:val="24"/>
        </w:rPr>
        <w:t xml:space="preserve">, G., Wack, B., Quave, C. L., &amp; Garbe, L. (2020). Ethnobotanical study of selected medicinal plants traditionally used in the rural Greater </w:t>
      </w:r>
      <w:proofErr w:type="spellStart"/>
      <w:r w:rsidRPr="00BC4A2E">
        <w:rPr>
          <w:rFonts w:eastAsia="Times New Roman"/>
          <w:szCs w:val="24"/>
        </w:rPr>
        <w:t>Mpigi</w:t>
      </w:r>
      <w:proofErr w:type="spellEnd"/>
      <w:r w:rsidRPr="00BC4A2E">
        <w:rPr>
          <w:rFonts w:eastAsia="Times New Roman"/>
          <w:szCs w:val="24"/>
        </w:rPr>
        <w:t xml:space="preserve"> region of Uganda. </w:t>
      </w:r>
      <w:r w:rsidRPr="00BC4A2E">
        <w:rPr>
          <w:rFonts w:eastAsia="Times New Roman"/>
          <w:i/>
          <w:iCs/>
          <w:szCs w:val="24"/>
        </w:rPr>
        <w:t>Journal of Ethnopharmacology</w:t>
      </w:r>
      <w:r w:rsidRPr="00BC4A2E">
        <w:rPr>
          <w:rFonts w:eastAsia="Times New Roman"/>
          <w:szCs w:val="24"/>
        </w:rPr>
        <w:t xml:space="preserve">, </w:t>
      </w:r>
      <w:r w:rsidRPr="00BC4A2E">
        <w:rPr>
          <w:rFonts w:eastAsia="Times New Roman"/>
          <w:i/>
          <w:iCs/>
          <w:szCs w:val="24"/>
        </w:rPr>
        <w:t>256</w:t>
      </w:r>
      <w:r w:rsidRPr="00BC4A2E">
        <w:rPr>
          <w:rFonts w:eastAsia="Times New Roman"/>
          <w:szCs w:val="24"/>
        </w:rPr>
        <w:t>, 112742. https://doi.org/10.1016/j.jep.2020.112742</w:t>
      </w:r>
    </w:p>
    <w:p w14:paraId="0B5D226C" w14:textId="77777777" w:rsidR="00747609" w:rsidRDefault="00747609" w:rsidP="00BC4A2E">
      <w:pPr>
        <w:pStyle w:val="NormalWeb"/>
        <w:spacing w:before="0" w:beforeAutospacing="0" w:after="0" w:afterAutospacing="0" w:line="276" w:lineRule="auto"/>
      </w:pPr>
      <w:r>
        <w:t xml:space="preserve">Wada, A. S., </w:t>
      </w:r>
      <w:proofErr w:type="spellStart"/>
      <w:r>
        <w:t>Julde</w:t>
      </w:r>
      <w:proofErr w:type="spellEnd"/>
      <w:r>
        <w:t xml:space="preserve">, S. M., </w:t>
      </w:r>
      <w:proofErr w:type="spellStart"/>
      <w:r>
        <w:t>Borodo</w:t>
      </w:r>
      <w:proofErr w:type="spellEnd"/>
      <w:r>
        <w:t xml:space="preserve">, S. B., Ahmad, M. H., Malami, S., &amp; Yaro, A. H. (2022). Phytochemistry, ethnomedicinal uses and pharmacological activity of </w:t>
      </w:r>
      <w:proofErr w:type="spellStart"/>
      <w:r>
        <w:rPr>
          <w:rStyle w:val="Emphasis"/>
        </w:rPr>
        <w:t>Diodia</w:t>
      </w:r>
      <w:proofErr w:type="spellEnd"/>
      <w:r>
        <w:rPr>
          <w:rStyle w:val="Emphasis"/>
        </w:rPr>
        <w:t xml:space="preserve"> scandens</w:t>
      </w:r>
      <w:r>
        <w:t xml:space="preserve">: A review of current scientific literature. </w:t>
      </w:r>
      <w:r>
        <w:rPr>
          <w:rStyle w:val="Emphasis"/>
        </w:rPr>
        <w:t>Egyptian Journal of Basic and Applied Sciences, 9</w:t>
      </w:r>
      <w:r>
        <w:t xml:space="preserve">(1), 533–541. </w:t>
      </w:r>
      <w:hyperlink r:id="rId12" w:tgtFrame="_new" w:history="1">
        <w:r>
          <w:rPr>
            <w:rStyle w:val="Hyperlink"/>
          </w:rPr>
          <w:t>https://doi.org/10.1080/2314808X.2022.2098462</w:t>
        </w:r>
      </w:hyperlink>
    </w:p>
    <w:sectPr w:rsidR="00747609" w:rsidSect="00691800">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672C" w14:textId="77777777" w:rsidR="00266D72" w:rsidRDefault="00266D72" w:rsidP="00981B57">
      <w:pPr>
        <w:spacing w:before="0" w:after="0" w:line="240" w:lineRule="auto"/>
      </w:pPr>
      <w:r>
        <w:separator/>
      </w:r>
    </w:p>
  </w:endnote>
  <w:endnote w:type="continuationSeparator" w:id="0">
    <w:p w14:paraId="0D952247" w14:textId="77777777" w:rsidR="00266D72" w:rsidRDefault="00266D72" w:rsidP="00981B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39C5" w14:textId="77777777" w:rsidR="0033511B" w:rsidRDefault="00335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961197"/>
      <w:docPartObj>
        <w:docPartGallery w:val="Page Numbers (Bottom of Page)"/>
        <w:docPartUnique/>
      </w:docPartObj>
    </w:sdtPr>
    <w:sdtEndPr>
      <w:rPr>
        <w:noProof/>
      </w:rPr>
    </w:sdtEndPr>
    <w:sdtContent>
      <w:p w14:paraId="0EC99989" w14:textId="77777777" w:rsidR="00981B57" w:rsidRDefault="00981B57">
        <w:pPr>
          <w:pStyle w:val="Footer"/>
          <w:jc w:val="center"/>
        </w:pPr>
        <w:r>
          <w:fldChar w:fldCharType="begin"/>
        </w:r>
        <w:r>
          <w:instrText xml:space="preserve"> PAGE   \* MERGEFORMAT </w:instrText>
        </w:r>
        <w:r>
          <w:fldChar w:fldCharType="separate"/>
        </w:r>
        <w:r w:rsidR="00801FFF">
          <w:rPr>
            <w:noProof/>
          </w:rPr>
          <w:t>17</w:t>
        </w:r>
        <w:r>
          <w:rPr>
            <w:noProof/>
          </w:rPr>
          <w:fldChar w:fldCharType="end"/>
        </w:r>
      </w:p>
    </w:sdtContent>
  </w:sdt>
  <w:p w14:paraId="6713C441" w14:textId="77777777" w:rsidR="00981B57" w:rsidRDefault="00981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A5BA" w14:textId="77777777" w:rsidR="0033511B" w:rsidRDefault="0033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8EC1B" w14:textId="77777777" w:rsidR="00266D72" w:rsidRDefault="00266D72" w:rsidP="00981B57">
      <w:pPr>
        <w:spacing w:before="0" w:after="0" w:line="240" w:lineRule="auto"/>
      </w:pPr>
      <w:r>
        <w:separator/>
      </w:r>
    </w:p>
  </w:footnote>
  <w:footnote w:type="continuationSeparator" w:id="0">
    <w:p w14:paraId="087AEBCE" w14:textId="77777777" w:rsidR="00266D72" w:rsidRDefault="00266D72" w:rsidP="00981B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8A83" w14:textId="5B309328" w:rsidR="0033511B" w:rsidRDefault="0033511B">
    <w:pPr>
      <w:pStyle w:val="Header"/>
    </w:pPr>
    <w:r>
      <w:rPr>
        <w:noProof/>
      </w:rPr>
      <w:pict w14:anchorId="2EFA8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658" o:spid="_x0000_s2050" type="#_x0000_t136" style="position:absolute;left:0;text-align:left;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D70A" w14:textId="09B7410A" w:rsidR="0033511B" w:rsidRDefault="0033511B">
    <w:pPr>
      <w:pStyle w:val="Header"/>
    </w:pPr>
    <w:r>
      <w:rPr>
        <w:noProof/>
      </w:rPr>
      <w:pict w14:anchorId="38F42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659" o:spid="_x0000_s2051" type="#_x0000_t136" style="position:absolute;left:0;text-align:left;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546F" w14:textId="4E1B08DB" w:rsidR="0033511B" w:rsidRDefault="0033511B">
    <w:pPr>
      <w:pStyle w:val="Header"/>
    </w:pPr>
    <w:r>
      <w:rPr>
        <w:noProof/>
      </w:rPr>
      <w:pict w14:anchorId="51734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78657" o:spid="_x0000_s2049" type="#_x0000_t136" style="position:absolute;left:0;text-align:left;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15537"/>
    <w:multiLevelType w:val="hybridMultilevel"/>
    <w:tmpl w:val="C544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5D"/>
    <w:rsid w:val="00014FDD"/>
    <w:rsid w:val="00035421"/>
    <w:rsid w:val="0003747D"/>
    <w:rsid w:val="000B3FE5"/>
    <w:rsid w:val="00133F34"/>
    <w:rsid w:val="001477C1"/>
    <w:rsid w:val="00173790"/>
    <w:rsid w:val="001C0B96"/>
    <w:rsid w:val="00204AE4"/>
    <w:rsid w:val="00227DC8"/>
    <w:rsid w:val="00230025"/>
    <w:rsid w:val="00266D72"/>
    <w:rsid w:val="00291B25"/>
    <w:rsid w:val="002C55CA"/>
    <w:rsid w:val="002D6E90"/>
    <w:rsid w:val="00330F88"/>
    <w:rsid w:val="0033511B"/>
    <w:rsid w:val="00371205"/>
    <w:rsid w:val="00390A30"/>
    <w:rsid w:val="003A5F46"/>
    <w:rsid w:val="003B3209"/>
    <w:rsid w:val="003B5C5C"/>
    <w:rsid w:val="004131BC"/>
    <w:rsid w:val="00416A0F"/>
    <w:rsid w:val="00422730"/>
    <w:rsid w:val="004261E3"/>
    <w:rsid w:val="004337CB"/>
    <w:rsid w:val="00487599"/>
    <w:rsid w:val="004A291A"/>
    <w:rsid w:val="004E19FF"/>
    <w:rsid w:val="00516674"/>
    <w:rsid w:val="005568A4"/>
    <w:rsid w:val="005731D8"/>
    <w:rsid w:val="00582A0E"/>
    <w:rsid w:val="00583723"/>
    <w:rsid w:val="0058492A"/>
    <w:rsid w:val="005966EE"/>
    <w:rsid w:val="005E07CD"/>
    <w:rsid w:val="00612013"/>
    <w:rsid w:val="006619E9"/>
    <w:rsid w:val="00670C5D"/>
    <w:rsid w:val="0068101E"/>
    <w:rsid w:val="00687C80"/>
    <w:rsid w:val="00691800"/>
    <w:rsid w:val="006C6734"/>
    <w:rsid w:val="00704C1D"/>
    <w:rsid w:val="00712EAD"/>
    <w:rsid w:val="00724D7A"/>
    <w:rsid w:val="00727801"/>
    <w:rsid w:val="00747609"/>
    <w:rsid w:val="00761D93"/>
    <w:rsid w:val="007A7320"/>
    <w:rsid w:val="007B01BC"/>
    <w:rsid w:val="007D3143"/>
    <w:rsid w:val="00801FFF"/>
    <w:rsid w:val="00884A86"/>
    <w:rsid w:val="00897796"/>
    <w:rsid w:val="00981B57"/>
    <w:rsid w:val="00982DC5"/>
    <w:rsid w:val="0099337C"/>
    <w:rsid w:val="009A1844"/>
    <w:rsid w:val="009C1601"/>
    <w:rsid w:val="00A00EAC"/>
    <w:rsid w:val="00A11A6F"/>
    <w:rsid w:val="00A276C4"/>
    <w:rsid w:val="00AD4ADF"/>
    <w:rsid w:val="00B073D4"/>
    <w:rsid w:val="00B408FC"/>
    <w:rsid w:val="00B4090A"/>
    <w:rsid w:val="00BB55B4"/>
    <w:rsid w:val="00BC4A2E"/>
    <w:rsid w:val="00BF6A31"/>
    <w:rsid w:val="00C06DBF"/>
    <w:rsid w:val="00C22662"/>
    <w:rsid w:val="00D11EE8"/>
    <w:rsid w:val="00D32F29"/>
    <w:rsid w:val="00D862C2"/>
    <w:rsid w:val="00DB54FC"/>
    <w:rsid w:val="00DE3588"/>
    <w:rsid w:val="00E27080"/>
    <w:rsid w:val="00E31A51"/>
    <w:rsid w:val="00E36609"/>
    <w:rsid w:val="00E538ED"/>
    <w:rsid w:val="00E74F9E"/>
    <w:rsid w:val="00E8149E"/>
    <w:rsid w:val="00F01C77"/>
    <w:rsid w:val="00F07975"/>
    <w:rsid w:val="00F47CE3"/>
    <w:rsid w:val="00F665B8"/>
    <w:rsid w:val="00FA3AA9"/>
    <w:rsid w:val="00FC5178"/>
    <w:rsid w:val="00FE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A17DC"/>
  <w15:chartTrackingRefBased/>
  <w15:docId w15:val="{A480CB50-821C-422C-B0A3-C42BD94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19"/>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8FC"/>
  </w:style>
  <w:style w:type="paragraph" w:styleId="Heading1">
    <w:name w:val="heading 1"/>
    <w:basedOn w:val="Normal"/>
    <w:next w:val="Normal"/>
    <w:link w:val="Heading1Char"/>
    <w:uiPriority w:val="9"/>
    <w:qFormat/>
    <w:rsid w:val="00E36609"/>
    <w:pPr>
      <w:keepNext/>
      <w:keepLines/>
      <w:spacing w:before="360" w:beforeAutospacing="0" w:after="80" w:afterAutospacing="0" w:line="278" w:lineRule="auto"/>
      <w:jc w:val="left"/>
      <w:outlineLvl w:val="0"/>
    </w:pPr>
    <w:rPr>
      <w:rFonts w:eastAsiaTheme="majorEastAsia" w:cstheme="majorBidi"/>
      <w:b/>
      <w:szCs w:val="40"/>
    </w:rPr>
  </w:style>
  <w:style w:type="paragraph" w:styleId="Heading2">
    <w:name w:val="heading 2"/>
    <w:basedOn w:val="Normal"/>
    <w:link w:val="Heading2Char"/>
    <w:uiPriority w:val="9"/>
    <w:qFormat/>
    <w:rsid w:val="00B408FC"/>
    <w:pPr>
      <w:spacing w:line="240" w:lineRule="auto"/>
      <w:jc w:val="left"/>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99337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09"/>
    <w:rPr>
      <w:rFonts w:eastAsiaTheme="majorEastAsia" w:cstheme="majorBidi"/>
      <w:b/>
      <w:szCs w:val="40"/>
    </w:rPr>
  </w:style>
  <w:style w:type="character" w:styleId="Strong">
    <w:name w:val="Strong"/>
    <w:basedOn w:val="DefaultParagraphFont"/>
    <w:uiPriority w:val="22"/>
    <w:qFormat/>
    <w:rsid w:val="00691800"/>
    <w:rPr>
      <w:b/>
      <w:bCs/>
    </w:rPr>
  </w:style>
  <w:style w:type="table" w:styleId="TableGrid">
    <w:name w:val="Table Grid"/>
    <w:basedOn w:val="TableNormal"/>
    <w:uiPriority w:val="39"/>
    <w:rsid w:val="00691800"/>
    <w:pPr>
      <w:spacing w:before="0" w:beforeAutospacing="0" w:after="0" w:afterAutospacing="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1800"/>
    <w:rPr>
      <w:i/>
      <w:iCs/>
    </w:rPr>
  </w:style>
  <w:style w:type="paragraph" w:styleId="NoSpacing">
    <w:name w:val="No Spacing"/>
    <w:uiPriority w:val="1"/>
    <w:qFormat/>
    <w:rsid w:val="00691800"/>
    <w:pPr>
      <w:spacing w:before="0" w:after="0" w:line="240" w:lineRule="auto"/>
    </w:pPr>
  </w:style>
  <w:style w:type="character" w:styleId="SubtleReference">
    <w:name w:val="Subtle Reference"/>
    <w:basedOn w:val="DefaultParagraphFont"/>
    <w:uiPriority w:val="31"/>
    <w:qFormat/>
    <w:rsid w:val="00691800"/>
    <w:rPr>
      <w:smallCaps/>
      <w:color w:val="5A5A5A" w:themeColor="text1" w:themeTint="A5"/>
    </w:rPr>
  </w:style>
  <w:style w:type="paragraph" w:styleId="NormalWeb">
    <w:name w:val="Normal (Web)"/>
    <w:basedOn w:val="Normal"/>
    <w:uiPriority w:val="99"/>
    <w:unhideWhenUsed/>
    <w:rsid w:val="00691800"/>
    <w:pPr>
      <w:spacing w:line="240" w:lineRule="auto"/>
    </w:pPr>
    <w:rPr>
      <w:rFonts w:eastAsia="Times New Roman"/>
      <w14:ligatures w14:val="standardContextual"/>
    </w:rPr>
  </w:style>
  <w:style w:type="character" w:styleId="Hyperlink">
    <w:name w:val="Hyperlink"/>
    <w:basedOn w:val="DefaultParagraphFont"/>
    <w:uiPriority w:val="99"/>
    <w:unhideWhenUsed/>
    <w:rsid w:val="00691800"/>
    <w:rPr>
      <w:color w:val="0563C1" w:themeColor="hyperlink"/>
      <w:u w:val="single"/>
    </w:rPr>
  </w:style>
  <w:style w:type="paragraph" w:customStyle="1" w:styleId="Default">
    <w:name w:val="Default"/>
    <w:rsid w:val="00691800"/>
    <w:pPr>
      <w:autoSpaceDE w:val="0"/>
      <w:autoSpaceDN w:val="0"/>
      <w:adjustRightInd w:val="0"/>
      <w:spacing w:before="0" w:beforeAutospacing="0" w:after="120" w:afterAutospacing="0" w:line="240" w:lineRule="auto"/>
    </w:pPr>
    <w:rPr>
      <w:color w:val="000000"/>
      <w14:ligatures w14:val="standardContextual"/>
    </w:rPr>
  </w:style>
  <w:style w:type="paragraph" w:styleId="IntenseQuote">
    <w:name w:val="Intense Quote"/>
    <w:basedOn w:val="Normal"/>
    <w:next w:val="Normal"/>
    <w:link w:val="IntenseQuoteChar"/>
    <w:uiPriority w:val="30"/>
    <w:qFormat/>
    <w:rsid w:val="006918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91800"/>
    <w:rPr>
      <w:i/>
      <w:iCs/>
      <w:color w:val="5B9BD5" w:themeColor="accent1"/>
    </w:rPr>
  </w:style>
  <w:style w:type="paragraph" w:styleId="Quote">
    <w:name w:val="Quote"/>
    <w:basedOn w:val="Normal"/>
    <w:next w:val="Normal"/>
    <w:link w:val="QuoteChar"/>
    <w:uiPriority w:val="29"/>
    <w:qFormat/>
    <w:rsid w:val="006918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1800"/>
    <w:rPr>
      <w:i/>
      <w:iCs/>
      <w:color w:val="404040" w:themeColor="text1" w:themeTint="BF"/>
    </w:rPr>
  </w:style>
  <w:style w:type="paragraph" w:styleId="Subtitle">
    <w:name w:val="Subtitle"/>
    <w:basedOn w:val="Normal"/>
    <w:next w:val="Normal"/>
    <w:link w:val="SubtitleChar"/>
    <w:uiPriority w:val="11"/>
    <w:qFormat/>
    <w:rsid w:val="006918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91800"/>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691800"/>
    <w:rPr>
      <w:i/>
      <w:iCs/>
      <w:color w:val="5B9BD5" w:themeColor="accent1"/>
    </w:rPr>
  </w:style>
  <w:style w:type="character" w:customStyle="1" w:styleId="Heading2Char">
    <w:name w:val="Heading 2 Char"/>
    <w:basedOn w:val="DefaultParagraphFont"/>
    <w:link w:val="Heading2"/>
    <w:uiPriority w:val="9"/>
    <w:rsid w:val="00B408FC"/>
    <w:rPr>
      <w:rFonts w:eastAsia="Times New Roman"/>
      <w:b/>
      <w:bCs/>
      <w:sz w:val="36"/>
      <w:szCs w:val="36"/>
    </w:rPr>
  </w:style>
  <w:style w:type="character" w:customStyle="1" w:styleId="Heading3Char">
    <w:name w:val="Heading 3 Char"/>
    <w:basedOn w:val="DefaultParagraphFont"/>
    <w:link w:val="Heading3"/>
    <w:uiPriority w:val="9"/>
    <w:semiHidden/>
    <w:rsid w:val="0099337C"/>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D862C2"/>
    <w:pPr>
      <w:ind w:left="720"/>
      <w:contextualSpacing/>
    </w:pPr>
  </w:style>
  <w:style w:type="character" w:customStyle="1" w:styleId="whitespace-normal">
    <w:name w:val="whitespace-normal"/>
    <w:basedOn w:val="DefaultParagraphFont"/>
    <w:rsid w:val="0003747D"/>
  </w:style>
  <w:style w:type="character" w:styleId="SubtleEmphasis">
    <w:name w:val="Subtle Emphasis"/>
    <w:basedOn w:val="DefaultParagraphFont"/>
    <w:uiPriority w:val="19"/>
    <w:qFormat/>
    <w:rsid w:val="004261E3"/>
    <w:rPr>
      <w:i/>
      <w:iCs/>
      <w:color w:val="404040" w:themeColor="text1" w:themeTint="BF"/>
    </w:rPr>
  </w:style>
  <w:style w:type="character" w:customStyle="1" w:styleId="url">
    <w:name w:val="url"/>
    <w:basedOn w:val="DefaultParagraphFont"/>
    <w:rsid w:val="00747609"/>
  </w:style>
  <w:style w:type="paragraph" w:styleId="Header">
    <w:name w:val="header"/>
    <w:basedOn w:val="Normal"/>
    <w:link w:val="HeaderChar"/>
    <w:uiPriority w:val="99"/>
    <w:unhideWhenUsed/>
    <w:rsid w:val="00981B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1B57"/>
  </w:style>
  <w:style w:type="paragraph" w:styleId="Footer">
    <w:name w:val="footer"/>
    <w:basedOn w:val="Normal"/>
    <w:link w:val="FooterChar"/>
    <w:uiPriority w:val="99"/>
    <w:unhideWhenUsed/>
    <w:rsid w:val="00981B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1B57"/>
  </w:style>
  <w:style w:type="character" w:styleId="UnresolvedMention">
    <w:name w:val="Unresolved Mention"/>
    <w:basedOn w:val="DefaultParagraphFont"/>
    <w:uiPriority w:val="99"/>
    <w:semiHidden/>
    <w:unhideWhenUsed/>
    <w:rsid w:val="0039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0706">
      <w:bodyDiv w:val="1"/>
      <w:marLeft w:val="0"/>
      <w:marRight w:val="0"/>
      <w:marTop w:val="0"/>
      <w:marBottom w:val="0"/>
      <w:divBdr>
        <w:top w:val="none" w:sz="0" w:space="0" w:color="auto"/>
        <w:left w:val="none" w:sz="0" w:space="0" w:color="auto"/>
        <w:bottom w:val="none" w:sz="0" w:space="0" w:color="auto"/>
        <w:right w:val="none" w:sz="0" w:space="0" w:color="auto"/>
      </w:divBdr>
    </w:div>
    <w:div w:id="236406178">
      <w:bodyDiv w:val="1"/>
      <w:marLeft w:val="0"/>
      <w:marRight w:val="0"/>
      <w:marTop w:val="0"/>
      <w:marBottom w:val="0"/>
      <w:divBdr>
        <w:top w:val="none" w:sz="0" w:space="0" w:color="auto"/>
        <w:left w:val="none" w:sz="0" w:space="0" w:color="auto"/>
        <w:bottom w:val="none" w:sz="0" w:space="0" w:color="auto"/>
        <w:right w:val="none" w:sz="0" w:space="0" w:color="auto"/>
      </w:divBdr>
    </w:div>
    <w:div w:id="272253912">
      <w:bodyDiv w:val="1"/>
      <w:marLeft w:val="0"/>
      <w:marRight w:val="0"/>
      <w:marTop w:val="0"/>
      <w:marBottom w:val="0"/>
      <w:divBdr>
        <w:top w:val="none" w:sz="0" w:space="0" w:color="auto"/>
        <w:left w:val="none" w:sz="0" w:space="0" w:color="auto"/>
        <w:bottom w:val="none" w:sz="0" w:space="0" w:color="auto"/>
        <w:right w:val="none" w:sz="0" w:space="0" w:color="auto"/>
      </w:divBdr>
      <w:divsChild>
        <w:div w:id="538784058">
          <w:marLeft w:val="-720"/>
          <w:marRight w:val="0"/>
          <w:marTop w:val="0"/>
          <w:marBottom w:val="0"/>
          <w:divBdr>
            <w:top w:val="none" w:sz="0" w:space="0" w:color="auto"/>
            <w:left w:val="none" w:sz="0" w:space="0" w:color="auto"/>
            <w:bottom w:val="none" w:sz="0" w:space="0" w:color="auto"/>
            <w:right w:val="none" w:sz="0" w:space="0" w:color="auto"/>
          </w:divBdr>
        </w:div>
      </w:divsChild>
    </w:div>
    <w:div w:id="385955954">
      <w:bodyDiv w:val="1"/>
      <w:marLeft w:val="0"/>
      <w:marRight w:val="0"/>
      <w:marTop w:val="0"/>
      <w:marBottom w:val="0"/>
      <w:divBdr>
        <w:top w:val="none" w:sz="0" w:space="0" w:color="auto"/>
        <w:left w:val="none" w:sz="0" w:space="0" w:color="auto"/>
        <w:bottom w:val="none" w:sz="0" w:space="0" w:color="auto"/>
        <w:right w:val="none" w:sz="0" w:space="0" w:color="auto"/>
      </w:divBdr>
    </w:div>
    <w:div w:id="468479438">
      <w:bodyDiv w:val="1"/>
      <w:marLeft w:val="0"/>
      <w:marRight w:val="0"/>
      <w:marTop w:val="0"/>
      <w:marBottom w:val="0"/>
      <w:divBdr>
        <w:top w:val="none" w:sz="0" w:space="0" w:color="auto"/>
        <w:left w:val="none" w:sz="0" w:space="0" w:color="auto"/>
        <w:bottom w:val="none" w:sz="0" w:space="0" w:color="auto"/>
        <w:right w:val="none" w:sz="0" w:space="0" w:color="auto"/>
      </w:divBdr>
    </w:div>
    <w:div w:id="565186631">
      <w:bodyDiv w:val="1"/>
      <w:marLeft w:val="0"/>
      <w:marRight w:val="0"/>
      <w:marTop w:val="0"/>
      <w:marBottom w:val="0"/>
      <w:divBdr>
        <w:top w:val="none" w:sz="0" w:space="0" w:color="auto"/>
        <w:left w:val="none" w:sz="0" w:space="0" w:color="auto"/>
        <w:bottom w:val="none" w:sz="0" w:space="0" w:color="auto"/>
        <w:right w:val="none" w:sz="0" w:space="0" w:color="auto"/>
      </w:divBdr>
    </w:div>
    <w:div w:id="700865493">
      <w:bodyDiv w:val="1"/>
      <w:marLeft w:val="0"/>
      <w:marRight w:val="0"/>
      <w:marTop w:val="0"/>
      <w:marBottom w:val="0"/>
      <w:divBdr>
        <w:top w:val="none" w:sz="0" w:space="0" w:color="auto"/>
        <w:left w:val="none" w:sz="0" w:space="0" w:color="auto"/>
        <w:bottom w:val="none" w:sz="0" w:space="0" w:color="auto"/>
        <w:right w:val="none" w:sz="0" w:space="0" w:color="auto"/>
      </w:divBdr>
    </w:div>
    <w:div w:id="938567891">
      <w:bodyDiv w:val="1"/>
      <w:marLeft w:val="0"/>
      <w:marRight w:val="0"/>
      <w:marTop w:val="0"/>
      <w:marBottom w:val="0"/>
      <w:divBdr>
        <w:top w:val="none" w:sz="0" w:space="0" w:color="auto"/>
        <w:left w:val="none" w:sz="0" w:space="0" w:color="auto"/>
        <w:bottom w:val="none" w:sz="0" w:space="0" w:color="auto"/>
        <w:right w:val="none" w:sz="0" w:space="0" w:color="auto"/>
      </w:divBdr>
      <w:divsChild>
        <w:div w:id="494733821">
          <w:marLeft w:val="-720"/>
          <w:marRight w:val="0"/>
          <w:marTop w:val="0"/>
          <w:marBottom w:val="0"/>
          <w:divBdr>
            <w:top w:val="none" w:sz="0" w:space="0" w:color="auto"/>
            <w:left w:val="none" w:sz="0" w:space="0" w:color="auto"/>
            <w:bottom w:val="none" w:sz="0" w:space="0" w:color="auto"/>
            <w:right w:val="none" w:sz="0" w:space="0" w:color="auto"/>
          </w:divBdr>
        </w:div>
      </w:divsChild>
    </w:div>
    <w:div w:id="957643703">
      <w:bodyDiv w:val="1"/>
      <w:marLeft w:val="0"/>
      <w:marRight w:val="0"/>
      <w:marTop w:val="0"/>
      <w:marBottom w:val="0"/>
      <w:divBdr>
        <w:top w:val="none" w:sz="0" w:space="0" w:color="auto"/>
        <w:left w:val="none" w:sz="0" w:space="0" w:color="auto"/>
        <w:bottom w:val="none" w:sz="0" w:space="0" w:color="auto"/>
        <w:right w:val="none" w:sz="0" w:space="0" w:color="auto"/>
      </w:divBdr>
    </w:div>
    <w:div w:id="992608896">
      <w:bodyDiv w:val="1"/>
      <w:marLeft w:val="0"/>
      <w:marRight w:val="0"/>
      <w:marTop w:val="0"/>
      <w:marBottom w:val="0"/>
      <w:divBdr>
        <w:top w:val="none" w:sz="0" w:space="0" w:color="auto"/>
        <w:left w:val="none" w:sz="0" w:space="0" w:color="auto"/>
        <w:bottom w:val="none" w:sz="0" w:space="0" w:color="auto"/>
        <w:right w:val="none" w:sz="0" w:space="0" w:color="auto"/>
      </w:divBdr>
      <w:divsChild>
        <w:div w:id="1469201777">
          <w:marLeft w:val="0"/>
          <w:marRight w:val="0"/>
          <w:marTop w:val="0"/>
          <w:marBottom w:val="0"/>
          <w:divBdr>
            <w:top w:val="none" w:sz="0" w:space="0" w:color="auto"/>
            <w:left w:val="none" w:sz="0" w:space="0" w:color="auto"/>
            <w:bottom w:val="none" w:sz="0" w:space="0" w:color="auto"/>
            <w:right w:val="none" w:sz="0" w:space="0" w:color="auto"/>
          </w:divBdr>
          <w:divsChild>
            <w:div w:id="9096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5879">
      <w:bodyDiv w:val="1"/>
      <w:marLeft w:val="0"/>
      <w:marRight w:val="0"/>
      <w:marTop w:val="0"/>
      <w:marBottom w:val="0"/>
      <w:divBdr>
        <w:top w:val="none" w:sz="0" w:space="0" w:color="auto"/>
        <w:left w:val="none" w:sz="0" w:space="0" w:color="auto"/>
        <w:bottom w:val="none" w:sz="0" w:space="0" w:color="auto"/>
        <w:right w:val="none" w:sz="0" w:space="0" w:color="auto"/>
      </w:divBdr>
    </w:div>
    <w:div w:id="1024673435">
      <w:bodyDiv w:val="1"/>
      <w:marLeft w:val="0"/>
      <w:marRight w:val="0"/>
      <w:marTop w:val="0"/>
      <w:marBottom w:val="0"/>
      <w:divBdr>
        <w:top w:val="none" w:sz="0" w:space="0" w:color="auto"/>
        <w:left w:val="none" w:sz="0" w:space="0" w:color="auto"/>
        <w:bottom w:val="none" w:sz="0" w:space="0" w:color="auto"/>
        <w:right w:val="none" w:sz="0" w:space="0" w:color="auto"/>
      </w:divBdr>
    </w:div>
    <w:div w:id="1054231875">
      <w:bodyDiv w:val="1"/>
      <w:marLeft w:val="0"/>
      <w:marRight w:val="0"/>
      <w:marTop w:val="0"/>
      <w:marBottom w:val="0"/>
      <w:divBdr>
        <w:top w:val="none" w:sz="0" w:space="0" w:color="auto"/>
        <w:left w:val="none" w:sz="0" w:space="0" w:color="auto"/>
        <w:bottom w:val="none" w:sz="0" w:space="0" w:color="auto"/>
        <w:right w:val="none" w:sz="0" w:space="0" w:color="auto"/>
      </w:divBdr>
    </w:div>
    <w:div w:id="1225219001">
      <w:bodyDiv w:val="1"/>
      <w:marLeft w:val="0"/>
      <w:marRight w:val="0"/>
      <w:marTop w:val="0"/>
      <w:marBottom w:val="0"/>
      <w:divBdr>
        <w:top w:val="none" w:sz="0" w:space="0" w:color="auto"/>
        <w:left w:val="none" w:sz="0" w:space="0" w:color="auto"/>
        <w:bottom w:val="none" w:sz="0" w:space="0" w:color="auto"/>
        <w:right w:val="none" w:sz="0" w:space="0" w:color="auto"/>
      </w:divBdr>
    </w:div>
    <w:div w:id="1249920069">
      <w:bodyDiv w:val="1"/>
      <w:marLeft w:val="0"/>
      <w:marRight w:val="0"/>
      <w:marTop w:val="0"/>
      <w:marBottom w:val="0"/>
      <w:divBdr>
        <w:top w:val="none" w:sz="0" w:space="0" w:color="auto"/>
        <w:left w:val="none" w:sz="0" w:space="0" w:color="auto"/>
        <w:bottom w:val="none" w:sz="0" w:space="0" w:color="auto"/>
        <w:right w:val="none" w:sz="0" w:space="0" w:color="auto"/>
      </w:divBdr>
    </w:div>
    <w:div w:id="1279987805">
      <w:bodyDiv w:val="1"/>
      <w:marLeft w:val="0"/>
      <w:marRight w:val="0"/>
      <w:marTop w:val="0"/>
      <w:marBottom w:val="0"/>
      <w:divBdr>
        <w:top w:val="none" w:sz="0" w:space="0" w:color="auto"/>
        <w:left w:val="none" w:sz="0" w:space="0" w:color="auto"/>
        <w:bottom w:val="none" w:sz="0" w:space="0" w:color="auto"/>
        <w:right w:val="none" w:sz="0" w:space="0" w:color="auto"/>
      </w:divBdr>
    </w:div>
    <w:div w:id="1350177702">
      <w:bodyDiv w:val="1"/>
      <w:marLeft w:val="0"/>
      <w:marRight w:val="0"/>
      <w:marTop w:val="0"/>
      <w:marBottom w:val="0"/>
      <w:divBdr>
        <w:top w:val="none" w:sz="0" w:space="0" w:color="auto"/>
        <w:left w:val="none" w:sz="0" w:space="0" w:color="auto"/>
        <w:bottom w:val="none" w:sz="0" w:space="0" w:color="auto"/>
        <w:right w:val="none" w:sz="0" w:space="0" w:color="auto"/>
      </w:divBdr>
    </w:div>
    <w:div w:id="1400833131">
      <w:bodyDiv w:val="1"/>
      <w:marLeft w:val="0"/>
      <w:marRight w:val="0"/>
      <w:marTop w:val="0"/>
      <w:marBottom w:val="0"/>
      <w:divBdr>
        <w:top w:val="none" w:sz="0" w:space="0" w:color="auto"/>
        <w:left w:val="none" w:sz="0" w:space="0" w:color="auto"/>
        <w:bottom w:val="none" w:sz="0" w:space="0" w:color="auto"/>
        <w:right w:val="none" w:sz="0" w:space="0" w:color="auto"/>
      </w:divBdr>
    </w:div>
    <w:div w:id="1467773492">
      <w:bodyDiv w:val="1"/>
      <w:marLeft w:val="0"/>
      <w:marRight w:val="0"/>
      <w:marTop w:val="0"/>
      <w:marBottom w:val="0"/>
      <w:divBdr>
        <w:top w:val="none" w:sz="0" w:space="0" w:color="auto"/>
        <w:left w:val="none" w:sz="0" w:space="0" w:color="auto"/>
        <w:bottom w:val="none" w:sz="0" w:space="0" w:color="auto"/>
        <w:right w:val="none" w:sz="0" w:space="0" w:color="auto"/>
      </w:divBdr>
    </w:div>
    <w:div w:id="1554652690">
      <w:bodyDiv w:val="1"/>
      <w:marLeft w:val="0"/>
      <w:marRight w:val="0"/>
      <w:marTop w:val="0"/>
      <w:marBottom w:val="0"/>
      <w:divBdr>
        <w:top w:val="none" w:sz="0" w:space="0" w:color="auto"/>
        <w:left w:val="none" w:sz="0" w:space="0" w:color="auto"/>
        <w:bottom w:val="none" w:sz="0" w:space="0" w:color="auto"/>
        <w:right w:val="none" w:sz="0" w:space="0" w:color="auto"/>
      </w:divBdr>
    </w:div>
    <w:div w:id="1648433013">
      <w:bodyDiv w:val="1"/>
      <w:marLeft w:val="0"/>
      <w:marRight w:val="0"/>
      <w:marTop w:val="0"/>
      <w:marBottom w:val="0"/>
      <w:divBdr>
        <w:top w:val="none" w:sz="0" w:space="0" w:color="auto"/>
        <w:left w:val="none" w:sz="0" w:space="0" w:color="auto"/>
        <w:bottom w:val="none" w:sz="0" w:space="0" w:color="auto"/>
        <w:right w:val="none" w:sz="0" w:space="0" w:color="auto"/>
      </w:divBdr>
    </w:div>
    <w:div w:id="1724791399">
      <w:bodyDiv w:val="1"/>
      <w:marLeft w:val="0"/>
      <w:marRight w:val="0"/>
      <w:marTop w:val="0"/>
      <w:marBottom w:val="0"/>
      <w:divBdr>
        <w:top w:val="none" w:sz="0" w:space="0" w:color="auto"/>
        <w:left w:val="none" w:sz="0" w:space="0" w:color="auto"/>
        <w:bottom w:val="none" w:sz="0" w:space="0" w:color="auto"/>
        <w:right w:val="none" w:sz="0" w:space="0" w:color="auto"/>
      </w:divBdr>
    </w:div>
    <w:div w:id="1730806617">
      <w:bodyDiv w:val="1"/>
      <w:marLeft w:val="0"/>
      <w:marRight w:val="0"/>
      <w:marTop w:val="0"/>
      <w:marBottom w:val="0"/>
      <w:divBdr>
        <w:top w:val="none" w:sz="0" w:space="0" w:color="auto"/>
        <w:left w:val="none" w:sz="0" w:space="0" w:color="auto"/>
        <w:bottom w:val="none" w:sz="0" w:space="0" w:color="auto"/>
        <w:right w:val="none" w:sz="0" w:space="0" w:color="auto"/>
      </w:divBdr>
    </w:div>
    <w:div w:id="1791583335">
      <w:bodyDiv w:val="1"/>
      <w:marLeft w:val="0"/>
      <w:marRight w:val="0"/>
      <w:marTop w:val="0"/>
      <w:marBottom w:val="0"/>
      <w:divBdr>
        <w:top w:val="none" w:sz="0" w:space="0" w:color="auto"/>
        <w:left w:val="none" w:sz="0" w:space="0" w:color="auto"/>
        <w:bottom w:val="none" w:sz="0" w:space="0" w:color="auto"/>
        <w:right w:val="none" w:sz="0" w:space="0" w:color="auto"/>
      </w:divBdr>
    </w:div>
    <w:div w:id="1818957318">
      <w:bodyDiv w:val="1"/>
      <w:marLeft w:val="0"/>
      <w:marRight w:val="0"/>
      <w:marTop w:val="0"/>
      <w:marBottom w:val="0"/>
      <w:divBdr>
        <w:top w:val="none" w:sz="0" w:space="0" w:color="auto"/>
        <w:left w:val="none" w:sz="0" w:space="0" w:color="auto"/>
        <w:bottom w:val="none" w:sz="0" w:space="0" w:color="auto"/>
        <w:right w:val="none" w:sz="0" w:space="0" w:color="auto"/>
      </w:divBdr>
    </w:div>
    <w:div w:id="1836992726">
      <w:bodyDiv w:val="1"/>
      <w:marLeft w:val="0"/>
      <w:marRight w:val="0"/>
      <w:marTop w:val="0"/>
      <w:marBottom w:val="0"/>
      <w:divBdr>
        <w:top w:val="none" w:sz="0" w:space="0" w:color="auto"/>
        <w:left w:val="none" w:sz="0" w:space="0" w:color="auto"/>
        <w:bottom w:val="none" w:sz="0" w:space="0" w:color="auto"/>
        <w:right w:val="none" w:sz="0" w:space="0" w:color="auto"/>
      </w:divBdr>
    </w:div>
    <w:div w:id="21125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2314808X.2022.209846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8.6054050935940693E-2"/>
          <c:y val="0.12639260272781261"/>
          <c:w val="0.90906194418005437"/>
          <c:h val="0.74425222825371506"/>
        </c:manualLayout>
      </c:layout>
      <c:bar3DChart>
        <c:barDir val="col"/>
        <c:grouping val="clustered"/>
        <c:varyColors val="0"/>
        <c:ser>
          <c:idx val="0"/>
          <c:order val="0"/>
          <c:tx>
            <c:strRef>
              <c:f>Sheet1!$B$1</c:f>
              <c:strCache>
                <c:ptCount val="1"/>
                <c:pt idx="0">
                  <c:v>% Yield </c:v>
                </c:pt>
              </c:strCache>
            </c:strRef>
          </c:tx>
          <c:spPr>
            <a:solidFill>
              <a:schemeClr val="accent1"/>
            </a:solidFill>
            <a:ln>
              <a:noFill/>
            </a:ln>
            <a:effectLst/>
            <a:sp3d/>
          </c:spPr>
          <c:invertIfNegative val="0"/>
          <c:cat>
            <c:strRef>
              <c:f>Sheet1!$A$2:$A$4</c:f>
              <c:strCache>
                <c:ptCount val="3"/>
                <c:pt idx="0">
                  <c:v>n-Hexane </c:v>
                </c:pt>
                <c:pt idx="1">
                  <c:v>Ethyl acetate </c:v>
                </c:pt>
                <c:pt idx="2">
                  <c:v>Ethanol  </c:v>
                </c:pt>
              </c:strCache>
            </c:strRef>
          </c:cat>
          <c:val>
            <c:numRef>
              <c:f>Sheet1!$B$2:$B$4</c:f>
              <c:numCache>
                <c:formatCode>General</c:formatCode>
                <c:ptCount val="3"/>
                <c:pt idx="0">
                  <c:v>2.95</c:v>
                </c:pt>
                <c:pt idx="1">
                  <c:v>4.04</c:v>
                </c:pt>
                <c:pt idx="2">
                  <c:v>4.0599999999999996</c:v>
                </c:pt>
              </c:numCache>
            </c:numRef>
          </c:val>
          <c:extLst>
            <c:ext xmlns:c16="http://schemas.microsoft.com/office/drawing/2014/chart" uri="{C3380CC4-5D6E-409C-BE32-E72D297353CC}">
              <c16:uniqueId val="{00000000-22AD-47DB-B25A-B9CED273279E}"/>
            </c:ext>
          </c:extLst>
        </c:ser>
        <c:dLbls>
          <c:showLegendKey val="0"/>
          <c:showVal val="0"/>
          <c:showCatName val="0"/>
          <c:showSerName val="0"/>
          <c:showPercent val="0"/>
          <c:showBubbleSize val="0"/>
        </c:dLbls>
        <c:gapWidth val="150"/>
        <c:shape val="box"/>
        <c:axId val="464971920"/>
        <c:axId val="464984400"/>
        <c:axId val="0"/>
      </c:bar3DChart>
      <c:catAx>
        <c:axId val="46497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Extracts </a:t>
                </a:r>
                <a:endParaRPr lang="en-US" b="1">
                  <a:latin typeface="Times New Roman" panose="02020603050405020304" pitchFamily="18" charset="0"/>
                  <a:cs typeface="Times New Roman" panose="02020603050405020304" pitchFamily="18" charset="0"/>
                </a:endParaRPr>
              </a:p>
            </c:rich>
          </c:tx>
          <c:layout>
            <c:manualLayout>
              <c:xMode val="edge"/>
              <c:yMode val="edge"/>
              <c:x val="0.42418378700858422"/>
              <c:y val="0.930221293146513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4984400"/>
        <c:crosses val="autoZero"/>
        <c:auto val="1"/>
        <c:lblAlgn val="ctr"/>
        <c:lblOffset val="100"/>
        <c:noMultiLvlLbl val="0"/>
      </c:catAx>
      <c:valAx>
        <c:axId val="464984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t>
                </a:r>
                <a:r>
                  <a:rPr lang="en-US" b="1" baseline="0">
                    <a:latin typeface="Times New Roman" panose="02020603050405020304" pitchFamily="18" charset="0"/>
                    <a:cs typeface="Times New Roman" panose="02020603050405020304" pitchFamily="18" charset="0"/>
                  </a:rPr>
                  <a:t>  Yield</a:t>
                </a:r>
                <a:endParaRPr lang="en-US" b="1">
                  <a:latin typeface="Times New Roman" panose="02020603050405020304" pitchFamily="18" charset="0"/>
                  <a:cs typeface="Times New Roman" panose="02020603050405020304" pitchFamily="18" charset="0"/>
                </a:endParaRPr>
              </a:p>
            </c:rich>
          </c:tx>
          <c:layout>
            <c:manualLayout>
              <c:xMode val="edge"/>
              <c:yMode val="edge"/>
              <c:x val="1.8571403064412868E-2"/>
              <c:y val="0.431736323048257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97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a:latin typeface="Times New Roman" panose="02020603050405020304" pitchFamily="18" charset="0"/>
                <a:cs typeface="Times New Roman" panose="02020603050405020304" pitchFamily="18" charset="0"/>
              </a:rPr>
              <a:t>Quantitative</a:t>
            </a:r>
            <a:r>
              <a:rPr lang="en-US" sz="1600" b="1" baseline="0">
                <a:latin typeface="Times New Roman" panose="02020603050405020304" pitchFamily="18" charset="0"/>
                <a:cs typeface="Times New Roman" panose="02020603050405020304" pitchFamily="18" charset="0"/>
              </a:rPr>
              <a:t> phytochemical constituents</a:t>
            </a:r>
            <a:endParaRPr lang="en-US" sz="1600" b="1">
              <a:latin typeface="Times New Roman" panose="02020603050405020304" pitchFamily="18" charset="0"/>
              <a:cs typeface="Times New Roman" panose="02020603050405020304" pitchFamily="18" charset="0"/>
            </a:endParaRPr>
          </a:p>
        </c:rich>
      </c:tx>
      <c:layout>
        <c:manualLayout>
          <c:xMode val="edge"/>
          <c:yMode val="edge"/>
          <c:x val="0.22165656565656566"/>
          <c:y val="0"/>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Ethyl acetate</c:v>
                </c:pt>
              </c:strCache>
            </c:strRef>
          </c:tx>
          <c:spPr>
            <a:solidFill>
              <a:schemeClr val="accent1"/>
            </a:solidFill>
            <a:ln>
              <a:noFill/>
            </a:ln>
            <a:effectLst/>
          </c:spPr>
          <c:invertIfNegative val="0"/>
          <c:cat>
            <c:strRef>
              <c:f>Sheet2!$A$2:$A$6</c:f>
              <c:strCache>
                <c:ptCount val="5"/>
                <c:pt idx="0">
                  <c:v>Saponin (%)</c:v>
                </c:pt>
                <c:pt idx="1">
                  <c:v>Alkaloid (%)</c:v>
                </c:pt>
                <c:pt idx="2">
                  <c:v>Flavonoid (QE/mg/g)</c:v>
                </c:pt>
                <c:pt idx="3">
                  <c:v>Phenol (GAE/mg/g)</c:v>
                </c:pt>
                <c:pt idx="4">
                  <c:v>Tannin (GAE/mg/g)</c:v>
                </c:pt>
              </c:strCache>
            </c:strRef>
          </c:cat>
          <c:val>
            <c:numRef>
              <c:f>Sheet2!$B$2:$B$6</c:f>
              <c:numCache>
                <c:formatCode>General</c:formatCode>
                <c:ptCount val="5"/>
                <c:pt idx="0">
                  <c:v>1.48</c:v>
                </c:pt>
                <c:pt idx="1">
                  <c:v>3.87</c:v>
                </c:pt>
                <c:pt idx="2">
                  <c:v>55.292000000000002</c:v>
                </c:pt>
                <c:pt idx="3">
                  <c:v>77.344999999999999</c:v>
                </c:pt>
                <c:pt idx="4">
                  <c:v>12.331</c:v>
                </c:pt>
              </c:numCache>
            </c:numRef>
          </c:val>
          <c:extLst>
            <c:ext xmlns:c16="http://schemas.microsoft.com/office/drawing/2014/chart" uri="{C3380CC4-5D6E-409C-BE32-E72D297353CC}">
              <c16:uniqueId val="{00000000-B850-4A8C-AE23-C65F48E33EDD}"/>
            </c:ext>
          </c:extLst>
        </c:ser>
        <c:ser>
          <c:idx val="1"/>
          <c:order val="1"/>
          <c:tx>
            <c:strRef>
              <c:f>Sheet2!$C$1</c:f>
              <c:strCache>
                <c:ptCount val="1"/>
                <c:pt idx="0">
                  <c:v>Ethanol</c:v>
                </c:pt>
              </c:strCache>
            </c:strRef>
          </c:tx>
          <c:spPr>
            <a:solidFill>
              <a:schemeClr val="accent2"/>
            </a:solidFill>
            <a:ln>
              <a:noFill/>
            </a:ln>
            <a:effectLst/>
          </c:spPr>
          <c:invertIfNegative val="0"/>
          <c:cat>
            <c:strRef>
              <c:f>Sheet2!$A$2:$A$6</c:f>
              <c:strCache>
                <c:ptCount val="5"/>
                <c:pt idx="0">
                  <c:v>Saponin (%)</c:v>
                </c:pt>
                <c:pt idx="1">
                  <c:v>Alkaloid (%)</c:v>
                </c:pt>
                <c:pt idx="2">
                  <c:v>Flavonoid (QE/mg/g)</c:v>
                </c:pt>
                <c:pt idx="3">
                  <c:v>Phenol (GAE/mg/g)</c:v>
                </c:pt>
                <c:pt idx="4">
                  <c:v>Tannin (GAE/mg/g)</c:v>
                </c:pt>
              </c:strCache>
            </c:strRef>
          </c:cat>
          <c:val>
            <c:numRef>
              <c:f>Sheet2!$C$2:$C$6</c:f>
              <c:numCache>
                <c:formatCode>General</c:formatCode>
                <c:ptCount val="5"/>
                <c:pt idx="0">
                  <c:v>3.7</c:v>
                </c:pt>
                <c:pt idx="1">
                  <c:v>13.63</c:v>
                </c:pt>
                <c:pt idx="2">
                  <c:v>65.387</c:v>
                </c:pt>
                <c:pt idx="3">
                  <c:v>62.054000000000002</c:v>
                </c:pt>
                <c:pt idx="4">
                  <c:v>31.963000000000001</c:v>
                </c:pt>
              </c:numCache>
            </c:numRef>
          </c:val>
          <c:extLst>
            <c:ext xmlns:c16="http://schemas.microsoft.com/office/drawing/2014/chart" uri="{C3380CC4-5D6E-409C-BE32-E72D297353CC}">
              <c16:uniqueId val="{00000001-B850-4A8C-AE23-C65F48E33EDD}"/>
            </c:ext>
          </c:extLst>
        </c:ser>
        <c:dLbls>
          <c:showLegendKey val="0"/>
          <c:showVal val="0"/>
          <c:showCatName val="0"/>
          <c:showSerName val="0"/>
          <c:showPercent val="0"/>
          <c:showBubbleSize val="0"/>
        </c:dLbls>
        <c:gapWidth val="219"/>
        <c:overlap val="-27"/>
        <c:axId val="659733728"/>
        <c:axId val="659729152"/>
      </c:barChart>
      <c:catAx>
        <c:axId val="65973372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Phytochemicals</a:t>
                </a:r>
                <a:r>
                  <a:rPr lang="en-US" sz="1400" b="1" baseline="0">
                    <a:latin typeface="Times New Roman" panose="02020603050405020304" pitchFamily="18" charset="0"/>
                    <a:cs typeface="Times New Roman" panose="02020603050405020304" pitchFamily="18" charset="0"/>
                  </a:rPr>
                  <a:t> </a:t>
                </a:r>
                <a:endParaRPr lang="en-US" sz="1400" b="1">
                  <a:latin typeface="Times New Roman" panose="02020603050405020304" pitchFamily="18" charset="0"/>
                  <a:cs typeface="Times New Roman" panose="02020603050405020304" pitchFamily="18" charset="0"/>
                </a:endParaRPr>
              </a:p>
            </c:rich>
          </c:tx>
          <c:layout>
            <c:manualLayout>
              <c:xMode val="edge"/>
              <c:yMode val="edge"/>
              <c:x val="0.42791330629125907"/>
              <c:y val="0.8324147425433843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9729152"/>
        <c:crosses val="autoZero"/>
        <c:auto val="1"/>
        <c:lblAlgn val="ctr"/>
        <c:lblOffset val="100"/>
        <c:noMultiLvlLbl val="0"/>
      </c:catAx>
      <c:valAx>
        <c:axId val="659729152"/>
        <c:scaling>
          <c:orientation val="minMax"/>
          <c:max val="80"/>
        </c:scaling>
        <c:delete val="0"/>
        <c:axPos val="l"/>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Quantity</a:t>
                </a:r>
                <a:r>
                  <a:rPr lang="en-US" sz="1400" b="1" baseline="0">
                    <a:latin typeface="Times New Roman" panose="02020603050405020304" pitchFamily="18" charset="0"/>
                    <a:cs typeface="Times New Roman" panose="02020603050405020304" pitchFamily="18" charset="0"/>
                  </a:rPr>
                  <a:t> </a:t>
                </a:r>
                <a:endParaRPr lang="en-US" sz="1400" b="1">
                  <a:latin typeface="Times New Roman" panose="02020603050405020304" pitchFamily="18" charset="0"/>
                  <a:cs typeface="Times New Roman" panose="02020603050405020304" pitchFamily="18" charset="0"/>
                </a:endParaRPr>
              </a:p>
            </c:rich>
          </c:tx>
          <c:layout>
            <c:manualLayout>
              <c:xMode val="edge"/>
              <c:yMode val="edge"/>
              <c:x val="1.0101010101010102E-2"/>
              <c:y val="0.32254519503966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7337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81078835600095445"/>
          <c:y val="1.8709907626105419E-2"/>
          <c:w val="0.1863292770221904"/>
          <c:h val="0.186565709553468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D23B-D767-4C43-B1FA-EE0D597B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48</cp:revision>
  <cp:lastPrinted>2026-02-26T02:23:00Z</cp:lastPrinted>
  <dcterms:created xsi:type="dcterms:W3CDTF">2026-02-27T03:31:00Z</dcterms:created>
  <dcterms:modified xsi:type="dcterms:W3CDTF">2026-02-28T13:00:00Z</dcterms:modified>
</cp:coreProperties>
</file>