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20B71" w14:textId="4FF9572D" w:rsidR="00AF34DF" w:rsidRDefault="00B10020">
      <w:pPr>
        <w:spacing w:before="57" w:after="57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The Physical Properties of Vanadium(V)-</w:t>
      </w:r>
      <w:proofErr w:type="gramStart"/>
      <w:r>
        <w:rPr>
          <w:rFonts w:ascii="Arial" w:hAnsi="Arial"/>
          <w:b/>
          <w:bCs/>
          <w:sz w:val="36"/>
          <w:szCs w:val="36"/>
        </w:rPr>
        <w:t>Rhodium(</w:t>
      </w:r>
      <w:proofErr w:type="gramEnd"/>
      <w:r>
        <w:rPr>
          <w:rFonts w:ascii="Arial" w:hAnsi="Arial"/>
          <w:b/>
          <w:bCs/>
          <w:sz w:val="36"/>
          <w:szCs w:val="36"/>
        </w:rPr>
        <w:t>Rh)-Tellurium(</w:t>
      </w:r>
      <w:proofErr w:type="spellStart"/>
      <w:r>
        <w:rPr>
          <w:rFonts w:ascii="Arial" w:hAnsi="Arial"/>
          <w:b/>
          <w:bCs/>
          <w:sz w:val="36"/>
          <w:szCs w:val="36"/>
        </w:rPr>
        <w:t>Te</w:t>
      </w:r>
      <w:proofErr w:type="spellEnd"/>
      <w:r>
        <w:rPr>
          <w:rFonts w:ascii="Arial" w:hAnsi="Arial"/>
          <w:b/>
          <w:bCs/>
          <w:sz w:val="36"/>
          <w:szCs w:val="36"/>
        </w:rPr>
        <w:t>), and Vanadium(V)-Ruthenium(Ru)-Antimony(Sb) are Investigated using First-Principles Calculation</w:t>
      </w:r>
    </w:p>
    <w:p w14:paraId="411DF17A" w14:textId="77777777" w:rsidR="00AF34DF" w:rsidRDefault="00AF34DF">
      <w:pPr>
        <w:jc w:val="center"/>
        <w:rPr>
          <w:rFonts w:ascii="Arial" w:hAnsi="Arial"/>
          <w:b/>
          <w:bCs/>
          <w:sz w:val="20"/>
          <w:szCs w:val="20"/>
        </w:rPr>
      </w:pPr>
    </w:p>
    <w:p w14:paraId="01CF6350" w14:textId="4C024370" w:rsidR="00AF34DF" w:rsidRDefault="00AF34DF">
      <w:pPr>
        <w:jc w:val="center"/>
        <w:rPr>
          <w:rFonts w:ascii="Arial" w:hAnsi="Arial"/>
          <w:sz w:val="20"/>
          <w:szCs w:val="20"/>
        </w:rPr>
      </w:pPr>
    </w:p>
    <w:p w14:paraId="0DE1F928" w14:textId="77777777" w:rsidR="00702F5F" w:rsidRDefault="00702F5F">
      <w:pPr>
        <w:jc w:val="center"/>
        <w:rPr>
          <w:rFonts w:ascii="Arial" w:hAnsi="Arial"/>
          <w:sz w:val="20"/>
          <w:szCs w:val="20"/>
        </w:rPr>
      </w:pPr>
    </w:p>
    <w:p w14:paraId="0C2192B6" w14:textId="77777777" w:rsidR="00AF34DF" w:rsidRDefault="00B10020">
      <w:pPr>
        <w:pStyle w:val="Heading3"/>
        <w:spacing w:before="0" w:after="0"/>
      </w:pPr>
      <w:r>
        <w:rPr>
          <w:rStyle w:val="StrongEmphasis"/>
          <w:rFonts w:ascii="Arial" w:hAnsi="Arial"/>
          <w:b/>
          <w:sz w:val="22"/>
          <w:szCs w:val="22"/>
        </w:rPr>
        <w:t>Abstract</w:t>
      </w:r>
    </w:p>
    <w:p w14:paraId="7F060EC2" w14:textId="77777777" w:rsidR="00AF34DF" w:rsidRDefault="00B10020">
      <w:pPr>
        <w:pStyle w:val="BodyText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This work </w:t>
      </w:r>
      <w:r>
        <w:rPr>
          <w:rFonts w:ascii="Arial" w:hAnsi="Arial"/>
          <w:sz w:val="20"/>
          <w:szCs w:val="20"/>
        </w:rPr>
        <w:t>investigated the structural, mechanical, thermodynamic, and phonon characteristics of Vanadium-Rhodium-Tellurium (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>) and Vanadium-Ruthenium-Antimony (</w:t>
      </w:r>
      <w:proofErr w:type="spellStart"/>
      <w:r>
        <w:rPr>
          <w:rFonts w:ascii="Arial" w:hAnsi="Arial"/>
          <w:sz w:val="20"/>
          <w:szCs w:val="20"/>
        </w:rPr>
        <w:t>VRuSb</w:t>
      </w:r>
      <w:proofErr w:type="spellEnd"/>
      <w:r>
        <w:rPr>
          <w:rFonts w:ascii="Arial" w:hAnsi="Arial"/>
          <w:sz w:val="20"/>
          <w:szCs w:val="20"/>
        </w:rPr>
        <w:t>) compounds by first-principles calculations grounded on density functional theory (DFT). The com</w:t>
      </w:r>
      <w:r>
        <w:rPr>
          <w:rFonts w:ascii="Arial" w:hAnsi="Arial"/>
          <w:sz w:val="20"/>
          <w:szCs w:val="20"/>
        </w:rPr>
        <w:t xml:space="preserve">putations were performed under the </w:t>
      </w:r>
      <w:proofErr w:type="spellStart"/>
      <w:r>
        <w:rPr>
          <w:rFonts w:ascii="Arial" w:hAnsi="Arial"/>
          <w:sz w:val="20"/>
          <w:szCs w:val="20"/>
        </w:rPr>
        <w:t>generalised</w:t>
      </w:r>
      <w:proofErr w:type="spellEnd"/>
      <w:r>
        <w:rPr>
          <w:rFonts w:ascii="Arial" w:hAnsi="Arial"/>
          <w:sz w:val="20"/>
          <w:szCs w:val="20"/>
        </w:rPr>
        <w:t xml:space="preserve"> gradient approximation (GGA) </w:t>
      </w:r>
      <w:proofErr w:type="spellStart"/>
      <w:r>
        <w:rPr>
          <w:rFonts w:ascii="Arial" w:hAnsi="Arial"/>
          <w:sz w:val="20"/>
          <w:szCs w:val="20"/>
        </w:rPr>
        <w:t>utilising</w:t>
      </w:r>
      <w:proofErr w:type="spellEnd"/>
      <w:r>
        <w:rPr>
          <w:rFonts w:ascii="Arial" w:hAnsi="Arial"/>
          <w:sz w:val="20"/>
          <w:szCs w:val="20"/>
        </w:rPr>
        <w:t xml:space="preserve"> the </w:t>
      </w:r>
      <w:proofErr w:type="spellStart"/>
      <w:r>
        <w:rPr>
          <w:rFonts w:ascii="Arial" w:hAnsi="Arial"/>
          <w:sz w:val="20"/>
          <w:szCs w:val="20"/>
        </w:rPr>
        <w:t>Perdew</w:t>
      </w:r>
      <w:proofErr w:type="spellEnd"/>
      <w:r>
        <w:rPr>
          <w:rFonts w:ascii="Arial" w:hAnsi="Arial"/>
          <w:sz w:val="20"/>
          <w:szCs w:val="20"/>
        </w:rPr>
        <w:t>–Burke–</w:t>
      </w:r>
      <w:proofErr w:type="spellStart"/>
      <w:r>
        <w:rPr>
          <w:rFonts w:ascii="Arial" w:hAnsi="Arial"/>
          <w:sz w:val="20"/>
          <w:szCs w:val="20"/>
        </w:rPr>
        <w:t>Ernzerhof</w:t>
      </w:r>
      <w:proofErr w:type="spellEnd"/>
      <w:r>
        <w:rPr>
          <w:rFonts w:ascii="Arial" w:hAnsi="Arial"/>
          <w:sz w:val="20"/>
          <w:szCs w:val="20"/>
        </w:rPr>
        <w:t xml:space="preserve"> (PBE) functional as processed in the Quantum ESPRESSO software package. The </w:t>
      </w:r>
      <w:proofErr w:type="spellStart"/>
      <w:r>
        <w:rPr>
          <w:rFonts w:ascii="Arial" w:hAnsi="Arial"/>
          <w:sz w:val="20"/>
          <w:szCs w:val="20"/>
        </w:rPr>
        <w:t>optimised</w:t>
      </w:r>
      <w:proofErr w:type="spellEnd"/>
      <w:r>
        <w:rPr>
          <w:rFonts w:ascii="Arial" w:hAnsi="Arial"/>
          <w:sz w:val="20"/>
          <w:szCs w:val="20"/>
        </w:rPr>
        <w:t xml:space="preserve"> structures indicated that both compounds </w:t>
      </w:r>
      <w:proofErr w:type="spellStart"/>
      <w:r>
        <w:rPr>
          <w:rFonts w:ascii="Arial" w:hAnsi="Arial"/>
          <w:sz w:val="20"/>
          <w:szCs w:val="20"/>
        </w:rPr>
        <w:t>crystallise</w:t>
      </w:r>
      <w:proofErr w:type="spellEnd"/>
      <w:r>
        <w:rPr>
          <w:rFonts w:ascii="Arial" w:hAnsi="Arial"/>
          <w:sz w:val="20"/>
          <w:szCs w:val="20"/>
        </w:rPr>
        <w:t xml:space="preserve"> in c</w:t>
      </w:r>
      <w:r>
        <w:rPr>
          <w:rFonts w:ascii="Arial" w:hAnsi="Arial"/>
          <w:sz w:val="20"/>
          <w:szCs w:val="20"/>
        </w:rPr>
        <w:t xml:space="preserve">ubic Heusler-type (Fm–3m) symmetry and display thermodynamic stability, as proved by their negative formation energy and absence of structural distortions. The lattice parameter of VRuSb was slightly higher than that of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 owing to the larger atomic rad</w:t>
      </w:r>
      <w:r>
        <w:rPr>
          <w:rFonts w:ascii="Arial" w:hAnsi="Arial"/>
          <w:sz w:val="20"/>
          <w:szCs w:val="20"/>
        </w:rPr>
        <w:t xml:space="preserve">ius of Sb. The results revealed that the Pugh's ratio for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 is 11.94, whereas for VRuSb has the value 2.67,  this demonstrates the compounds 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, and </w:t>
      </w:r>
      <w:proofErr w:type="spellStart"/>
      <w:r>
        <w:rPr>
          <w:rFonts w:ascii="Arial" w:hAnsi="Arial"/>
          <w:sz w:val="20"/>
          <w:szCs w:val="20"/>
        </w:rPr>
        <w:t>VRuSb</w:t>
      </w:r>
      <w:proofErr w:type="spellEnd"/>
      <w:r>
        <w:rPr>
          <w:rFonts w:ascii="Arial" w:hAnsi="Arial"/>
          <w:sz w:val="20"/>
          <w:szCs w:val="20"/>
        </w:rPr>
        <w:t xml:space="preserve"> are ductile. The Poisson's ratio (ⱱ &gt; 0.3) signifies the metallic bonding characteristics of </w:t>
      </w:r>
      <w:r>
        <w:rPr>
          <w:rFonts w:ascii="Arial" w:hAnsi="Arial"/>
          <w:sz w:val="20"/>
          <w:szCs w:val="20"/>
        </w:rPr>
        <w:t xml:space="preserve">the materials. </w:t>
      </w:r>
      <w:r>
        <w:rPr>
          <w:rFonts w:ascii="Arial" w:hAnsi="Arial"/>
          <w:color w:val="C921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The findings revealed that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 has a higher dynamic heat capacity (</w:t>
      </w:r>
      <w:proofErr w:type="spellStart"/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  <w:vertAlign w:val="subscript"/>
        </w:rPr>
        <w:t>v</w:t>
      </w:r>
      <w:proofErr w:type="spellEnd"/>
      <w:r>
        <w:rPr>
          <w:rFonts w:ascii="Arial" w:hAnsi="Arial"/>
          <w:sz w:val="20"/>
          <w:szCs w:val="20"/>
        </w:rPr>
        <w:t xml:space="preserve">) than </w:t>
      </w:r>
      <w:proofErr w:type="spellStart"/>
      <w:r>
        <w:rPr>
          <w:rFonts w:ascii="Arial" w:hAnsi="Arial"/>
          <w:sz w:val="20"/>
          <w:szCs w:val="20"/>
        </w:rPr>
        <w:t>VRuSb</w:t>
      </w:r>
      <w:proofErr w:type="spellEnd"/>
      <w:r>
        <w:rPr>
          <w:rFonts w:ascii="Arial" w:hAnsi="Arial"/>
          <w:sz w:val="20"/>
          <w:szCs w:val="20"/>
        </w:rPr>
        <w:t xml:space="preserve">, suggesting that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 is more suitable for use in optoelectronic devices. The thermal conductivity of a substance is been determined by the </w:t>
      </w:r>
      <w:proofErr w:type="spellStart"/>
      <w:r>
        <w:rPr>
          <w:rFonts w:ascii="Arial" w:hAnsi="Arial"/>
          <w:sz w:val="20"/>
          <w:szCs w:val="20"/>
        </w:rPr>
        <w:t>debye</w:t>
      </w:r>
      <w:proofErr w:type="spellEnd"/>
      <w:r>
        <w:rPr>
          <w:rFonts w:ascii="Arial" w:hAnsi="Arial"/>
          <w:sz w:val="20"/>
          <w:szCs w:val="20"/>
        </w:rPr>
        <w:t xml:space="preserve"> temperatu</w:t>
      </w:r>
      <w:r>
        <w:rPr>
          <w:rFonts w:ascii="Arial" w:hAnsi="Arial"/>
          <w:sz w:val="20"/>
          <w:szCs w:val="20"/>
        </w:rPr>
        <w:t xml:space="preserve">re. The materials suggest improved thermal conductivity at the </w:t>
      </w:r>
      <w:proofErr w:type="spellStart"/>
      <w:r>
        <w:rPr>
          <w:rFonts w:ascii="Arial" w:hAnsi="Arial"/>
          <w:sz w:val="20"/>
          <w:szCs w:val="20"/>
        </w:rPr>
        <w:t>debye</w:t>
      </w:r>
      <w:proofErr w:type="spellEnd"/>
      <w:r>
        <w:rPr>
          <w:rFonts w:ascii="Arial" w:hAnsi="Arial"/>
          <w:sz w:val="20"/>
          <w:szCs w:val="20"/>
        </w:rPr>
        <w:t xml:space="preserve"> temperature. Meanwhile, at high temperature the Dulong and Petit law agrees with the specific heat capacity of the </w:t>
      </w:r>
      <w:proofErr w:type="spellStart"/>
      <w:r>
        <w:rPr>
          <w:rFonts w:ascii="Arial" w:hAnsi="Arial"/>
          <w:sz w:val="20"/>
          <w:szCs w:val="20"/>
        </w:rPr>
        <w:t>heusler</w:t>
      </w:r>
      <w:proofErr w:type="spellEnd"/>
      <w:r>
        <w:rPr>
          <w:rFonts w:ascii="Arial" w:hAnsi="Arial"/>
          <w:sz w:val="20"/>
          <w:szCs w:val="20"/>
        </w:rPr>
        <w:t xml:space="preserve"> materials and adheres to the T</w:t>
      </w:r>
      <w:r>
        <w:rPr>
          <w:rFonts w:ascii="Arial" w:hAnsi="Arial"/>
          <w:sz w:val="20"/>
          <w:szCs w:val="20"/>
          <w:vertAlign w:val="superscript"/>
        </w:rPr>
        <w:t>3</w:t>
      </w:r>
      <w:r>
        <w:rPr>
          <w:rFonts w:ascii="Arial" w:hAnsi="Arial"/>
          <w:sz w:val="20"/>
          <w:szCs w:val="20"/>
        </w:rPr>
        <w:t xml:space="preserve"> rule as the temperature decrease</w:t>
      </w:r>
      <w:r>
        <w:rPr>
          <w:rFonts w:ascii="Arial" w:hAnsi="Arial"/>
          <w:sz w:val="20"/>
          <w:szCs w:val="20"/>
        </w:rPr>
        <w:t xml:space="preserve">s. The </w:t>
      </w:r>
      <w:proofErr w:type="spellStart"/>
      <w:r>
        <w:rPr>
          <w:rFonts w:ascii="Arial" w:hAnsi="Arial"/>
          <w:sz w:val="20"/>
          <w:szCs w:val="20"/>
        </w:rPr>
        <w:t>heusler</w:t>
      </w:r>
      <w:proofErr w:type="spellEnd"/>
      <w:r>
        <w:rPr>
          <w:rFonts w:ascii="Arial" w:hAnsi="Arial"/>
          <w:sz w:val="20"/>
          <w:szCs w:val="20"/>
        </w:rPr>
        <w:t xml:space="preserve"> compounds reveals phonon dynamical stability as the frequencies and the phonon density of </w:t>
      </w:r>
      <w:proofErr w:type="spellStart"/>
      <w:r>
        <w:rPr>
          <w:rFonts w:ascii="Arial" w:hAnsi="Arial"/>
          <w:sz w:val="20"/>
          <w:szCs w:val="20"/>
        </w:rPr>
        <w:t>ststes</w:t>
      </w:r>
      <w:proofErr w:type="spellEnd"/>
      <w:r>
        <w:rPr>
          <w:rFonts w:ascii="Arial" w:hAnsi="Arial"/>
          <w:sz w:val="20"/>
          <w:szCs w:val="20"/>
        </w:rPr>
        <w:t xml:space="preserve"> are positives. </w:t>
      </w:r>
    </w:p>
    <w:p w14:paraId="2671139E" w14:textId="77777777" w:rsidR="00AF34DF" w:rsidRDefault="00AF34DF">
      <w:pPr>
        <w:pStyle w:val="BodyText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B0A555C" w14:textId="77777777" w:rsidR="00AF34DF" w:rsidRDefault="00AF34DF">
      <w:pPr>
        <w:jc w:val="center"/>
        <w:rPr>
          <w:rFonts w:ascii="Times New Roman" w:hAnsi="Times New Roman"/>
          <w:sz w:val="22"/>
          <w:szCs w:val="22"/>
        </w:rPr>
      </w:pPr>
    </w:p>
    <w:p w14:paraId="367996C5" w14:textId="77777777" w:rsidR="00AF34DF" w:rsidRDefault="00B10020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Keywords: Structural, Mechanical, Thermodynamic, and Phonon</w:t>
      </w:r>
    </w:p>
    <w:p w14:paraId="7199D011" w14:textId="77777777" w:rsidR="00AF34DF" w:rsidRDefault="00AF34DF">
      <w:pPr>
        <w:jc w:val="both"/>
      </w:pPr>
    </w:p>
    <w:p w14:paraId="34D00779" w14:textId="77777777" w:rsidR="00AF34DF" w:rsidRDefault="00AF34DF">
      <w:pPr>
        <w:jc w:val="both"/>
      </w:pPr>
    </w:p>
    <w:p w14:paraId="0DF4EF67" w14:textId="77777777" w:rsidR="00AF34DF" w:rsidRDefault="00AF34DF">
      <w:pPr>
        <w:jc w:val="both"/>
      </w:pPr>
    </w:p>
    <w:p w14:paraId="089100E9" w14:textId="77777777" w:rsidR="00AF34DF" w:rsidRDefault="00AF34DF">
      <w:pPr>
        <w:jc w:val="both"/>
      </w:pPr>
    </w:p>
    <w:p w14:paraId="3DDCB0DA" w14:textId="77777777" w:rsidR="00AF34DF" w:rsidRDefault="00AF34DF">
      <w:pPr>
        <w:jc w:val="both"/>
      </w:pPr>
    </w:p>
    <w:p w14:paraId="56797C9A" w14:textId="77777777" w:rsidR="00AF34DF" w:rsidRDefault="00AF34DF">
      <w:pPr>
        <w:sectPr w:rsidR="00AF34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0DADFEE2" w14:textId="77777777" w:rsidR="00AF34DF" w:rsidRDefault="00B10020">
      <w:pPr>
        <w:pStyle w:val="Heading3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2"/>
          <w:szCs w:val="22"/>
        </w:rPr>
        <w:t>1. INTRODUCTION</w:t>
      </w:r>
    </w:p>
    <w:p w14:paraId="6717DCE5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>The continuous advancement in materials science and solid-state physics has been greatly driven by the quest to design an</w:t>
      </w:r>
      <w:r>
        <w:rPr>
          <w:rFonts w:ascii="Arial" w:hAnsi="Arial"/>
          <w:color w:val="000000"/>
          <w:sz w:val="20"/>
          <w:szCs w:val="20"/>
        </w:rPr>
        <w:t>d discover new compounds with exceptional physical properties suitable for advanced technological applications [1].Transition metals and their intermetallic compounds occupy a special place in this regard because of their diverse electronic structures, mec</w:t>
      </w:r>
      <w:r>
        <w:rPr>
          <w:rFonts w:ascii="Arial" w:hAnsi="Arial"/>
          <w:color w:val="000000"/>
          <w:sz w:val="20"/>
          <w:szCs w:val="20"/>
        </w:rPr>
        <w:t xml:space="preserve">hanical robustness, and catalytic properties. In particular, compounds involving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Vanadium (V), Rhodium (Rh), and Ruthenium(Ru) </w:t>
      </w:r>
      <w:r>
        <w:rPr>
          <w:rFonts w:ascii="Arial" w:hAnsi="Arial"/>
          <w:color w:val="000000"/>
          <w:sz w:val="20"/>
          <w:szCs w:val="20"/>
        </w:rPr>
        <w:t>have allure significant awareness due to their relevant thermal stability, corrosion resistance, and wide range of oxidation stat</w:t>
      </w:r>
      <w:r>
        <w:rPr>
          <w:rFonts w:ascii="Arial" w:hAnsi="Arial"/>
          <w:color w:val="000000"/>
          <w:sz w:val="20"/>
          <w:szCs w:val="20"/>
        </w:rPr>
        <w:t xml:space="preserve">es,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rendering them suitable for applications in electronics, catalysis, energy storage, and thermoelectric devices</w:t>
      </w:r>
      <w:r>
        <w:rPr>
          <w:rFonts w:ascii="Arial" w:hAnsi="Arial"/>
          <w:color w:val="000000"/>
          <w:sz w:val="20"/>
          <w:szCs w:val="20"/>
        </w:rPr>
        <w:t xml:space="preserve"> [2].</w:t>
      </w:r>
    </w:p>
    <w:p w14:paraId="19823142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Vanadium is known as a 3d transition metals, and for its capacity to form diverse oxidation states and compound, that manifest semicondu</w:t>
      </w:r>
      <w:r>
        <w:rPr>
          <w:rFonts w:ascii="Arial" w:hAnsi="Arial"/>
          <w:color w:val="000000"/>
          <w:sz w:val="20"/>
          <w:szCs w:val="20"/>
        </w:rPr>
        <w:t xml:space="preserve">cting, metallic, and superconducting characteristic. Rhodium is known as a 4d transition metal, it is one of the important nobles metals, essentially due to </w:t>
      </w:r>
      <w:proofErr w:type="spellStart"/>
      <w:r>
        <w:rPr>
          <w:rFonts w:ascii="Arial" w:hAnsi="Arial"/>
          <w:color w:val="000000"/>
          <w:sz w:val="20"/>
          <w:szCs w:val="20"/>
        </w:rPr>
        <w:t>it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uniqueness </w:t>
      </w:r>
      <w:proofErr w:type="spellStart"/>
      <w:r>
        <w:rPr>
          <w:rFonts w:ascii="Arial" w:hAnsi="Arial"/>
          <w:color w:val="000000"/>
          <w:sz w:val="20"/>
          <w:szCs w:val="20"/>
        </w:rPr>
        <w:t>catalystic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effectiveness and chemical passivity. The combination of P-block atoms suc</w:t>
      </w:r>
      <w:r>
        <w:rPr>
          <w:rFonts w:ascii="Arial" w:hAnsi="Arial"/>
          <w:color w:val="000000"/>
          <w:sz w:val="20"/>
          <w:szCs w:val="20"/>
        </w:rPr>
        <w:t>h as tellurium(</w:t>
      </w:r>
      <w:proofErr w:type="spellStart"/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>), and antimony(Sb); these transition metals can form ternary material with captivating electronic configurations, which could be useful compounds for spintronic, or thermoelectric application [4, 5].</w:t>
      </w:r>
    </w:p>
    <w:p w14:paraId="32A87251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  <w:szCs w:val="20"/>
        </w:rPr>
        <w:lastRenderedPageBreak/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Sb frolic important roles in mo</w:t>
      </w:r>
      <w:r>
        <w:rPr>
          <w:rFonts w:ascii="Arial" w:hAnsi="Arial"/>
          <w:color w:val="000000"/>
          <w:sz w:val="20"/>
          <w:szCs w:val="20"/>
        </w:rPr>
        <w:t xml:space="preserve">dulating the electronic structure of transition metal materials[6]. Tellurium , an </w:t>
      </w:r>
      <w:proofErr w:type="spellStart"/>
      <w:r>
        <w:rPr>
          <w:rFonts w:ascii="Arial" w:hAnsi="Arial"/>
          <w:color w:val="000000"/>
          <w:sz w:val="20"/>
          <w:szCs w:val="20"/>
        </w:rPr>
        <w:t>oxigen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group, denotes </w:t>
      </w:r>
      <w:proofErr w:type="spellStart"/>
      <w:r>
        <w:rPr>
          <w:rFonts w:ascii="Arial" w:hAnsi="Arial"/>
          <w:color w:val="000000"/>
          <w:sz w:val="20"/>
          <w:szCs w:val="20"/>
        </w:rPr>
        <w:t>graetly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localized P-states that can affect the band gap and conductivity. Additionally, antimony is a element in group 15, which improves thermodynamic</w:t>
      </w:r>
      <w:r>
        <w:rPr>
          <w:rFonts w:ascii="Arial" w:hAnsi="Arial"/>
          <w:color w:val="000000"/>
          <w:sz w:val="20"/>
          <w:szCs w:val="20"/>
        </w:rPr>
        <w:t xml:space="preserve"> performance by altering carrier mobility and DOS close to the fermi level[7, 8]. The combination of V, Rh Ru, </w:t>
      </w:r>
      <w:proofErr w:type="spellStart"/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>, and Sb atoms can give birth to a novel materials with amplify electrical conductivity, efficient temperature performance, and mechanical stab</w:t>
      </w:r>
      <w:r>
        <w:rPr>
          <w:rFonts w:ascii="Arial" w:hAnsi="Arial"/>
          <w:color w:val="000000"/>
          <w:sz w:val="20"/>
          <w:szCs w:val="20"/>
        </w:rPr>
        <w:t>ility.</w:t>
      </w:r>
    </w:p>
    <w:p w14:paraId="03364FE4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Irrespective of the relevant of the compounds, limited information on the half 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alloys (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>, and VRuSb) system. The physical characteristic remain largely understudied experimental and theoretically[9]. The setback linked to the experimenta</w:t>
      </w:r>
      <w:r>
        <w:rPr>
          <w:rFonts w:ascii="Arial" w:hAnsi="Arial"/>
          <w:color w:val="000000"/>
          <w:sz w:val="20"/>
          <w:szCs w:val="20"/>
        </w:rPr>
        <w:t xml:space="preserve">l synthesis and characterization of these materials, first principles calculations </w:t>
      </w:r>
      <w:proofErr w:type="spellStart"/>
      <w:r>
        <w:rPr>
          <w:rFonts w:ascii="Arial" w:hAnsi="Arial"/>
          <w:color w:val="000000"/>
          <w:sz w:val="20"/>
          <w:szCs w:val="20"/>
        </w:rPr>
        <w:t>base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on DFT offer an sufficient and reliable means to forecast and examine their rudiment properties from atomic scale interaction [10].</w:t>
      </w:r>
    </w:p>
    <w:p w14:paraId="55A395B9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DFT approach has become influential </w:t>
      </w:r>
      <w:r>
        <w:rPr>
          <w:rFonts w:ascii="Arial" w:hAnsi="Arial"/>
          <w:color w:val="000000"/>
          <w:sz w:val="20"/>
          <w:szCs w:val="20"/>
        </w:rPr>
        <w:t xml:space="preserve">software for investigating </w:t>
      </w:r>
      <w:proofErr w:type="spellStart"/>
      <w:r>
        <w:rPr>
          <w:rFonts w:ascii="Arial" w:hAnsi="Arial"/>
          <w:color w:val="000000"/>
          <w:sz w:val="20"/>
          <w:szCs w:val="20"/>
        </w:rPr>
        <w:t>noval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materials by providing precise information into crystal structure, bonding nature, electronic </w:t>
      </w:r>
      <w:proofErr w:type="spellStart"/>
      <w:r>
        <w:rPr>
          <w:rFonts w:ascii="Arial" w:hAnsi="Arial"/>
          <w:color w:val="000000"/>
          <w:sz w:val="20"/>
          <w:szCs w:val="20"/>
        </w:rPr>
        <w:t>characterizatic</w:t>
      </w:r>
      <w:proofErr w:type="spellEnd"/>
      <w:r>
        <w:rPr>
          <w:rFonts w:ascii="Arial" w:hAnsi="Arial"/>
          <w:color w:val="000000"/>
          <w:sz w:val="20"/>
          <w:szCs w:val="20"/>
        </w:rPr>
        <w:t>, mechanical stability, and thermodynamic features. By adopting this computational tool, it is possible to forecas</w:t>
      </w:r>
      <w:r>
        <w:rPr>
          <w:rFonts w:ascii="Arial" w:hAnsi="Arial"/>
          <w:color w:val="000000"/>
          <w:sz w:val="20"/>
          <w:szCs w:val="20"/>
        </w:rPr>
        <w:t>t and interpret the stability, ductility, and conductivity of the compounds before they are synthesized in the laboratory [11].</w:t>
      </w:r>
    </w:p>
    <w:p w14:paraId="7FB3C760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Ab-initio density functional theory methodology have become essential techniques in understanding and forecasting the structural</w:t>
      </w:r>
      <w:r>
        <w:rPr>
          <w:rFonts w:ascii="Arial" w:hAnsi="Arial"/>
          <w:color w:val="000000"/>
          <w:sz w:val="20"/>
          <w:szCs w:val="20"/>
        </w:rPr>
        <w:t xml:space="preserve">, elastic, and lattice constants characteristic of a </w:t>
      </w:r>
      <w:proofErr w:type="spellStart"/>
      <w:r>
        <w:rPr>
          <w:rFonts w:ascii="Arial" w:hAnsi="Arial"/>
          <w:color w:val="000000"/>
          <w:sz w:val="20"/>
          <w:szCs w:val="20"/>
        </w:rPr>
        <w:t>mterials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This computational method permit </w:t>
      </w:r>
      <w:proofErr w:type="spellStart"/>
      <w:r>
        <w:rPr>
          <w:rFonts w:ascii="Arial" w:hAnsi="Arial"/>
          <w:color w:val="000000"/>
          <w:sz w:val="20"/>
          <w:szCs w:val="20"/>
        </w:rPr>
        <w:t>reseaerchers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to traverse materials that are tough to synthesis or investigate experimentally, providing </w:t>
      </w:r>
      <w:proofErr w:type="spellStart"/>
      <w:r>
        <w:rPr>
          <w:rFonts w:ascii="Arial" w:hAnsi="Arial"/>
          <w:color w:val="000000"/>
          <w:sz w:val="20"/>
          <w:szCs w:val="20"/>
        </w:rPr>
        <w:t>informations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into bonding mechanisms, electronic transit</w:t>
      </w:r>
      <w:r>
        <w:rPr>
          <w:rFonts w:ascii="Arial" w:hAnsi="Arial"/>
          <w:color w:val="000000"/>
          <w:sz w:val="20"/>
          <w:szCs w:val="20"/>
        </w:rPr>
        <w:t>ions, and thermodynamic stoutness [12, 13].</w:t>
      </w:r>
    </w:p>
    <w:p w14:paraId="2EF4B7AB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Research on transition metal-based intermetallic materials have signify that their 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properties can be moderated constructively through the </w:t>
      </w:r>
      <w:proofErr w:type="spellStart"/>
      <w:r>
        <w:rPr>
          <w:rFonts w:ascii="Arial" w:hAnsi="Arial"/>
          <w:color w:val="000000"/>
          <w:sz w:val="20"/>
          <w:szCs w:val="20"/>
        </w:rPr>
        <w:t>replacemnent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of different elements, leading to compounds with unique electrical and mechanical characteristic. To be specific vanadium-based compounds have gained </w:t>
      </w:r>
      <w:proofErr w:type="spellStart"/>
      <w:r>
        <w:rPr>
          <w:rFonts w:ascii="Arial" w:hAnsi="Arial"/>
          <w:color w:val="000000"/>
          <w:sz w:val="20"/>
          <w:szCs w:val="20"/>
        </w:rPr>
        <w:t>neccessary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attention due their wide oxidation states, </w:t>
      </w:r>
      <w:proofErr w:type="spellStart"/>
      <w:r>
        <w:rPr>
          <w:rFonts w:ascii="Arial" w:hAnsi="Arial"/>
          <w:color w:val="000000"/>
          <w:sz w:val="20"/>
          <w:szCs w:val="20"/>
        </w:rPr>
        <w:t>well built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bonding features, and capacity to config</w:t>
      </w:r>
      <w:r>
        <w:rPr>
          <w:rFonts w:ascii="Arial" w:hAnsi="Arial"/>
          <w:color w:val="000000"/>
          <w:sz w:val="20"/>
          <w:szCs w:val="20"/>
        </w:rPr>
        <w:t xml:space="preserve">urate stable structure with both semiconducting and metallic </w:t>
      </w:r>
      <w:proofErr w:type="spellStart"/>
      <w:r>
        <w:rPr>
          <w:rFonts w:ascii="Arial" w:hAnsi="Arial"/>
          <w:color w:val="000000"/>
          <w:sz w:val="20"/>
          <w:szCs w:val="20"/>
        </w:rPr>
        <w:t>characterizatic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[14]. For instants, vanadium tellurides (such as </w:t>
      </w:r>
      <w:proofErr w:type="spellStart"/>
      <w:r>
        <w:rPr>
          <w:rFonts w:ascii="Arial" w:hAnsi="Arial"/>
          <w:color w:val="000000"/>
          <w:sz w:val="20"/>
          <w:szCs w:val="20"/>
        </w:rPr>
        <w:t>VTe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V</w:t>
      </w:r>
      <w:r>
        <w:rPr>
          <w:rFonts w:ascii="Arial" w:hAnsi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/>
          <w:color w:val="000000"/>
          <w:sz w:val="20"/>
          <w:szCs w:val="20"/>
        </w:rPr>
        <w:t>Te</w:t>
      </w:r>
      <w:r>
        <w:rPr>
          <w:rFonts w:ascii="Arial" w:hAnsi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/>
          <w:color w:val="000000"/>
          <w:sz w:val="20"/>
          <w:szCs w:val="20"/>
        </w:rPr>
        <w:t>) possesses relevant electronic features, including metallic conduction and magnetoresistance effects, making them po</w:t>
      </w:r>
      <w:r>
        <w:rPr>
          <w:rFonts w:ascii="Arial" w:hAnsi="Arial"/>
          <w:color w:val="000000"/>
          <w:sz w:val="20"/>
          <w:szCs w:val="20"/>
        </w:rPr>
        <w:t xml:space="preserve">ssible </w:t>
      </w:r>
      <w:proofErr w:type="spellStart"/>
      <w:r>
        <w:rPr>
          <w:rFonts w:ascii="Arial" w:hAnsi="Arial"/>
          <w:color w:val="000000"/>
          <w:sz w:val="20"/>
          <w:szCs w:val="20"/>
        </w:rPr>
        <w:t>condidates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for thermoelectric and spintronic application [15].</w:t>
      </w:r>
    </w:p>
    <w:p w14:paraId="7D36F675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Furthermore, rhodium-containing compounds have been widely studied because of their excellent catalytic and corrosion resistant properties. Rhodium configuration stable alloys and </w:t>
      </w:r>
      <w:proofErr w:type="spellStart"/>
      <w:r>
        <w:rPr>
          <w:rFonts w:ascii="Arial" w:hAnsi="Arial"/>
          <w:color w:val="000000"/>
          <w:sz w:val="20"/>
          <w:szCs w:val="20"/>
        </w:rPr>
        <w:t>interm</w:t>
      </w:r>
      <w:r>
        <w:rPr>
          <w:rFonts w:ascii="Arial" w:hAnsi="Arial"/>
          <w:color w:val="000000"/>
          <w:sz w:val="20"/>
          <w:szCs w:val="20"/>
        </w:rPr>
        <w:t>etallics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with </w:t>
      </w:r>
      <w:proofErr w:type="spellStart"/>
      <w:r>
        <w:rPr>
          <w:rFonts w:ascii="Arial" w:hAnsi="Arial"/>
          <w:color w:val="000000"/>
          <w:sz w:val="20"/>
          <w:szCs w:val="20"/>
        </w:rPr>
        <w:t>tarnsition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post </w:t>
      </w:r>
      <w:proofErr w:type="spellStart"/>
      <w:r>
        <w:rPr>
          <w:rFonts w:ascii="Arial" w:hAnsi="Arial"/>
          <w:color w:val="000000"/>
          <w:sz w:val="20"/>
          <w:szCs w:val="20"/>
        </w:rPr>
        <w:t>tarnsition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metals, which possess improved thermal and elastic constants stability [16]. Rhodium tellurides and antimonides, such as </w:t>
      </w:r>
      <w:proofErr w:type="spellStart"/>
      <w:r>
        <w:rPr>
          <w:rFonts w:ascii="Arial" w:hAnsi="Arial"/>
          <w:color w:val="000000"/>
          <w:sz w:val="20"/>
          <w:szCs w:val="20"/>
        </w:rPr>
        <w:t>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RhSb</w:t>
      </w:r>
      <w:r>
        <w:rPr>
          <w:rFonts w:ascii="Arial" w:hAnsi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/>
          <w:color w:val="000000"/>
          <w:sz w:val="20"/>
          <w:szCs w:val="20"/>
        </w:rPr>
        <w:t>, have demonstrated outstanding electrical conductivity and thermal equilibr</w:t>
      </w:r>
      <w:r>
        <w:rPr>
          <w:rFonts w:ascii="Arial" w:hAnsi="Arial"/>
          <w:color w:val="000000"/>
          <w:sz w:val="20"/>
          <w:szCs w:val="20"/>
        </w:rPr>
        <w:t xml:space="preserve">ium, </w:t>
      </w:r>
      <w:proofErr w:type="spellStart"/>
      <w:r>
        <w:rPr>
          <w:rFonts w:ascii="Arial" w:hAnsi="Arial"/>
          <w:color w:val="000000"/>
          <w:sz w:val="20"/>
          <w:szCs w:val="20"/>
        </w:rPr>
        <w:t>characterizatic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that are vital for high temperature thermoelectric components. [17].</w:t>
      </w:r>
    </w:p>
    <w:p w14:paraId="4099D074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color w:val="000000"/>
          <w:sz w:val="20"/>
          <w:szCs w:val="20"/>
        </w:rPr>
        <w:t>Tellerium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antimony are both groups 13 through 18 of the periodic table elements that consequentially impact the structural and electronic features of transition m</w:t>
      </w:r>
      <w:r>
        <w:rPr>
          <w:rFonts w:ascii="Arial" w:hAnsi="Arial"/>
          <w:color w:val="000000"/>
          <w:sz w:val="20"/>
          <w:szCs w:val="20"/>
        </w:rPr>
        <w:t xml:space="preserve">etals materials. </w:t>
      </w:r>
      <w:proofErr w:type="spellStart"/>
      <w:r>
        <w:rPr>
          <w:rFonts w:ascii="Arial" w:hAnsi="Arial"/>
          <w:color w:val="000000"/>
          <w:sz w:val="20"/>
          <w:szCs w:val="20"/>
        </w:rPr>
        <w:t>Tellerium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containing materials often reveal strong spin-orbit </w:t>
      </w:r>
      <w:proofErr w:type="spellStart"/>
      <w:r>
        <w:rPr>
          <w:rFonts w:ascii="Arial" w:hAnsi="Arial"/>
          <w:color w:val="000000"/>
          <w:sz w:val="20"/>
          <w:szCs w:val="20"/>
        </w:rPr>
        <w:t>couplig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effects, minimal band gap, and high electrical conductivity [18]. Due to their high </w:t>
      </w:r>
      <w:proofErr w:type="spellStart"/>
      <w:r>
        <w:rPr>
          <w:rFonts w:ascii="Arial" w:hAnsi="Arial"/>
          <w:color w:val="000000"/>
          <w:sz w:val="20"/>
          <w:szCs w:val="20"/>
        </w:rPr>
        <w:t>seebeck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values and low heat conductivity, antimony-based compounds like CoSb</w:t>
      </w:r>
      <w:r>
        <w:rPr>
          <w:rFonts w:ascii="Arial" w:hAnsi="Arial"/>
          <w:color w:val="000000"/>
          <w:sz w:val="20"/>
          <w:szCs w:val="20"/>
          <w:vertAlign w:val="subscript"/>
        </w:rPr>
        <w:t>3</w:t>
      </w:r>
      <w:r>
        <w:rPr>
          <w:rFonts w:ascii="Arial" w:hAnsi="Arial"/>
          <w:color w:val="000000"/>
          <w:sz w:val="20"/>
          <w:szCs w:val="20"/>
        </w:rPr>
        <w:t xml:space="preserve"> and FeS</w:t>
      </w:r>
      <w:r>
        <w:rPr>
          <w:rFonts w:ascii="Arial" w:hAnsi="Arial"/>
          <w:color w:val="000000"/>
          <w:sz w:val="20"/>
          <w:szCs w:val="20"/>
        </w:rPr>
        <w:t>b</w:t>
      </w:r>
      <w:r>
        <w:rPr>
          <w:rFonts w:ascii="Arial" w:hAnsi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/>
          <w:color w:val="000000"/>
          <w:sz w:val="20"/>
          <w:szCs w:val="20"/>
        </w:rPr>
        <w:t xml:space="preserve"> have been extensively studied as thermodynamic materials  [19].</w:t>
      </w:r>
    </w:p>
    <w:p w14:paraId="67DEC5FC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Previous theoretical research on ternary and quaternary compounds remain constrained, although similar materials have been investigated  [20]. Meanwhile [21] reported that Rh-containing Heu</w:t>
      </w:r>
      <w:r>
        <w:rPr>
          <w:rFonts w:ascii="Arial" w:hAnsi="Arial"/>
          <w:color w:val="000000"/>
          <w:sz w:val="20"/>
          <w:szCs w:val="20"/>
        </w:rPr>
        <w:t xml:space="preserve">sler alloys possess outstanding ductility and thermal equilibrium. These outcome </w:t>
      </w:r>
      <w:proofErr w:type="spellStart"/>
      <w:r>
        <w:rPr>
          <w:rFonts w:ascii="Arial" w:hAnsi="Arial"/>
          <w:color w:val="000000"/>
          <w:sz w:val="20"/>
          <w:szCs w:val="20"/>
        </w:rPr>
        <w:t>forcast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that the combination of V, Rh, and groups 13 through 18 of the periodic table elements could yield compounds with advantageous mechanical and elastic constants propert</w:t>
      </w:r>
      <w:r>
        <w:rPr>
          <w:rFonts w:ascii="Arial" w:hAnsi="Arial"/>
          <w:color w:val="000000"/>
          <w:sz w:val="20"/>
          <w:szCs w:val="20"/>
        </w:rPr>
        <w:t xml:space="preserve">ies </w:t>
      </w:r>
      <w:proofErr w:type="spellStart"/>
      <w:r>
        <w:rPr>
          <w:rFonts w:ascii="Arial" w:hAnsi="Arial"/>
          <w:color w:val="000000"/>
          <w:sz w:val="20"/>
          <w:szCs w:val="20"/>
        </w:rPr>
        <w:t>compatable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for structural requisition.</w:t>
      </w:r>
    </w:p>
    <w:p w14:paraId="685E3833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 xml:space="preserve">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mechanical and thermodynamic characteristic of these materials is equally essential for investigating their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compactibility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for experimental application. Elastic constant properties gotten from DFT calculations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provide details into the stability and ductility of the materials </w:t>
      </w:r>
      <w:r>
        <w:rPr>
          <w:rFonts w:ascii="Arial" w:hAnsi="Arial"/>
          <w:color w:val="000000"/>
          <w:sz w:val="20"/>
          <w:szCs w:val="20"/>
        </w:rPr>
        <w:t xml:space="preserve">[22]. A high ratio of bulk modulus to shear volume (B/G &gt; 1.75) in the mechanical properties often denote ductility features. Additionally, thermodynamic features like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temperature, sp</w:t>
      </w:r>
      <w:r>
        <w:rPr>
          <w:rFonts w:ascii="Arial" w:hAnsi="Arial"/>
          <w:color w:val="000000"/>
          <w:sz w:val="20"/>
          <w:szCs w:val="20"/>
        </w:rPr>
        <w:t xml:space="preserve">ecific heat, and entropy are essential in studying lattice vibrations, and </w:t>
      </w:r>
      <w:r>
        <w:rPr>
          <w:rFonts w:ascii="Arial" w:hAnsi="Arial"/>
          <w:color w:val="000000"/>
          <w:sz w:val="20"/>
          <w:szCs w:val="20"/>
        </w:rPr>
        <w:lastRenderedPageBreak/>
        <w:t>phonon interactions, which influences stability and conductivity of the thermal behavior at high temperature [23].</w:t>
      </w:r>
    </w:p>
    <w:p w14:paraId="019EECB3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Irrespective of the numerous literature on binary and ternary </w:t>
      </w:r>
      <w:r>
        <w:rPr>
          <w:rFonts w:ascii="Arial" w:hAnsi="Arial"/>
          <w:color w:val="000000"/>
          <w:sz w:val="20"/>
          <w:szCs w:val="20"/>
        </w:rPr>
        <w:t>intermetallic materials, no comprehensive DFT research has been reported of the half-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compounds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VRuSb. Their prospects as metallic and thermoelectric materials remains </w:t>
      </w:r>
      <w:proofErr w:type="spellStart"/>
      <w:r>
        <w:rPr>
          <w:rFonts w:ascii="Arial" w:hAnsi="Arial"/>
          <w:color w:val="000000"/>
          <w:sz w:val="20"/>
          <w:szCs w:val="20"/>
        </w:rPr>
        <w:t>unvestigated</w:t>
      </w:r>
      <w:proofErr w:type="spellEnd"/>
      <w:r>
        <w:rPr>
          <w:rFonts w:ascii="Arial" w:hAnsi="Arial"/>
          <w:color w:val="000000"/>
          <w:sz w:val="20"/>
          <w:szCs w:val="20"/>
        </w:rPr>
        <w:t>. This project aims to explore the deficiency by providing</w:t>
      </w:r>
      <w:r>
        <w:rPr>
          <w:rFonts w:ascii="Arial" w:hAnsi="Arial"/>
          <w:color w:val="000000"/>
          <w:sz w:val="20"/>
          <w:szCs w:val="20"/>
        </w:rPr>
        <w:t xml:space="preserve"> a thorough theoretical research of their structural, mechanical, thermodynamic, and phonon </w:t>
      </w:r>
      <w:proofErr w:type="spellStart"/>
      <w:r>
        <w:rPr>
          <w:rFonts w:ascii="Arial" w:hAnsi="Arial"/>
          <w:color w:val="000000"/>
          <w:sz w:val="20"/>
          <w:szCs w:val="20"/>
        </w:rPr>
        <w:t>charateristic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using DFT-based first principles approach.</w:t>
      </w:r>
    </w:p>
    <w:p w14:paraId="48EB3F48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3E7861A" w14:textId="77777777" w:rsidR="00AF34DF" w:rsidRDefault="00B10020">
      <w:pPr>
        <w:pStyle w:val="Heading3"/>
        <w:spacing w:before="0" w:after="0"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2"/>
          <w:szCs w:val="22"/>
        </w:rPr>
        <w:t>2. MATERIALS AND METHOD</w:t>
      </w:r>
    </w:p>
    <w:p w14:paraId="64104353" w14:textId="77777777" w:rsidR="00AF34DF" w:rsidRDefault="00AF34DF">
      <w:pPr>
        <w:pStyle w:val="BodyText"/>
        <w:spacing w:after="0"/>
        <w:jc w:val="both"/>
        <w:rPr>
          <w:rFonts w:ascii="Arial" w:hAnsi="Arial"/>
          <w:b/>
          <w:sz w:val="20"/>
          <w:szCs w:val="20"/>
        </w:rPr>
      </w:pPr>
    </w:p>
    <w:p w14:paraId="5EF3A39D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This study employed ab-initio calculation rooted in DFT as contained in Quantum E</w:t>
      </w:r>
      <w:r>
        <w:rPr>
          <w:rFonts w:ascii="Arial" w:hAnsi="Arial"/>
          <w:color w:val="000000"/>
          <w:sz w:val="20"/>
          <w:szCs w:val="20"/>
        </w:rPr>
        <w:t xml:space="preserve">SPRESSO computational tool [24]. The </w:t>
      </w:r>
      <w:proofErr w:type="spellStart"/>
      <w:r>
        <w:rPr>
          <w:rFonts w:ascii="Arial" w:hAnsi="Arial"/>
          <w:color w:val="000000"/>
          <w:sz w:val="20"/>
          <w:szCs w:val="20"/>
        </w:rPr>
        <w:t>Generalised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Gradient Approximation (GGA) in the </w:t>
      </w:r>
      <w:proofErr w:type="spellStart"/>
      <w:r>
        <w:rPr>
          <w:rFonts w:ascii="Arial" w:hAnsi="Arial"/>
          <w:color w:val="000000"/>
          <w:sz w:val="20"/>
          <w:szCs w:val="20"/>
        </w:rPr>
        <w:t>Perdew</w:t>
      </w:r>
      <w:proofErr w:type="spellEnd"/>
      <w:r>
        <w:rPr>
          <w:rFonts w:ascii="Arial" w:hAnsi="Arial"/>
          <w:color w:val="000000"/>
          <w:sz w:val="20"/>
          <w:szCs w:val="20"/>
        </w:rPr>
        <w:t>-Burke-</w:t>
      </w:r>
      <w:proofErr w:type="spellStart"/>
      <w:r>
        <w:rPr>
          <w:rFonts w:ascii="Arial" w:hAnsi="Arial"/>
          <w:color w:val="000000"/>
          <w:sz w:val="20"/>
          <w:szCs w:val="20"/>
        </w:rPr>
        <w:t>Ernzerhof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(PBE) expression concisely designate the exchange correlation interactions among electrons [25] was applied. The pseudopotential technique was appli</w:t>
      </w:r>
      <w:r>
        <w:rPr>
          <w:rFonts w:ascii="Arial" w:hAnsi="Arial"/>
          <w:color w:val="000000"/>
          <w:sz w:val="20"/>
          <w:szCs w:val="20"/>
        </w:rPr>
        <w:t>ed to effectively designate the ion-electron interactions. A plane-wave energy cutoff of 600 eV was adopted for all materials to secured the convergence of total energy and forces.</w:t>
      </w:r>
    </w:p>
    <w:p w14:paraId="43D89D6B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The elastic parameters (C₁₁, C₁₂, and C₄₄) were deduced through stress-stra</w:t>
      </w:r>
      <w:r>
        <w:rPr>
          <w:rFonts w:ascii="Arial" w:hAnsi="Arial"/>
          <w:color w:val="000000"/>
          <w:sz w:val="20"/>
          <w:szCs w:val="20"/>
        </w:rPr>
        <w:t xml:space="preserve">in interconnection during average deformations. The simulated lattice parameters (C₁₁, C₁₂, and C₄₄) were therefore applied to assess the polycrystalline mechanical moduli through the Voigt–Reuss–Hill averaging approach [22]. </w:t>
      </w:r>
    </w:p>
    <w:p w14:paraId="681BF479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>Mechanical balance was substa</w:t>
      </w:r>
      <w:r>
        <w:rPr>
          <w:rFonts w:ascii="Arial" w:hAnsi="Arial"/>
          <w:color w:val="000000"/>
          <w:sz w:val="20"/>
          <w:szCs w:val="20"/>
        </w:rPr>
        <w:t xml:space="preserve">ntiated based on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Born’s stability criteria</w:t>
      </w:r>
      <w:r>
        <w:rPr>
          <w:rFonts w:ascii="Arial" w:hAnsi="Arial"/>
          <w:color w:val="000000"/>
          <w:sz w:val="20"/>
          <w:szCs w:val="20"/>
        </w:rPr>
        <w:t xml:space="preserve"> for cubic crystals:</w:t>
      </w:r>
    </w:p>
    <w:p w14:paraId="137EC7A9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&gt;0;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44</m:t>
            </m:r>
          </m:sub>
        </m:sSub>
        <m:r>
          <w:rPr>
            <w:rFonts w:ascii="Cambria Math" w:hAnsi="Cambria Math"/>
          </w:rPr>
          <m:t>&gt;0;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&gt;0;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>&gt;0</m:t>
        </m:r>
      </m:oMath>
      <w:r>
        <w:rPr>
          <w:rFonts w:ascii="Arial" w:hAnsi="Arial"/>
          <w:color w:val="000000"/>
          <w:sz w:val="20"/>
          <w:szCs w:val="20"/>
        </w:rPr>
        <w:t xml:space="preserve">    (1)</w:t>
      </w:r>
    </w:p>
    <w:p w14:paraId="01BE61FC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The thermodynamic characteristics, including Debye temperature (Θ</w:t>
      </w:r>
      <w:r>
        <w:rPr>
          <w:rFonts w:ascii="Arial" w:hAnsi="Arial"/>
          <w:color w:val="000000"/>
          <w:sz w:val="20"/>
          <w:szCs w:val="20"/>
          <w:vertAlign w:val="subscript"/>
        </w:rPr>
        <w:t>D</w:t>
      </w:r>
      <w:r>
        <w:rPr>
          <w:rFonts w:ascii="Arial" w:hAnsi="Arial"/>
          <w:color w:val="000000"/>
          <w:sz w:val="20"/>
          <w:szCs w:val="20"/>
        </w:rPr>
        <w:t>), specific heat (</w:t>
      </w:r>
      <w:proofErr w:type="spellStart"/>
      <w:r>
        <w:rPr>
          <w:rFonts w:ascii="Arial" w:hAnsi="Arial"/>
          <w:color w:val="000000"/>
          <w:sz w:val="20"/>
          <w:szCs w:val="20"/>
        </w:rPr>
        <w:t>C</w:t>
      </w:r>
      <w:r>
        <w:rPr>
          <w:rFonts w:ascii="Arial" w:hAnsi="Arial"/>
          <w:color w:val="000000"/>
          <w:sz w:val="20"/>
          <w:szCs w:val="20"/>
          <w:vertAlign w:val="subscript"/>
        </w:rPr>
        <w:t>v</w:t>
      </w:r>
      <w:proofErr w:type="spellEnd"/>
      <w:r>
        <w:rPr>
          <w:rFonts w:ascii="Arial" w:hAnsi="Arial"/>
          <w:color w:val="000000"/>
          <w:sz w:val="20"/>
          <w:szCs w:val="20"/>
        </w:rPr>
        <w:t>), and entropy (S), were computed using the quasi-harmonic D</w:t>
      </w:r>
      <w:r>
        <w:rPr>
          <w:rFonts w:ascii="Arial" w:hAnsi="Arial"/>
          <w:color w:val="000000"/>
          <w:sz w:val="20"/>
          <w:szCs w:val="20"/>
        </w:rPr>
        <w:t>ebye model as implanted in the GIBBS2 algorithm [23]. The model examined the vulnerability the dependence of vibrational frequencies on volume, enabling the investigation of temperature-dependent properties under dissimilar pressures.</w:t>
      </w:r>
    </w:p>
    <w:p w14:paraId="7FC1ADE0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The Debye temperature</w:t>
      </w:r>
      <w:r>
        <w:rPr>
          <w:rFonts w:ascii="Arial" w:hAnsi="Arial"/>
          <w:color w:val="000000"/>
          <w:sz w:val="20"/>
          <w:szCs w:val="20"/>
        </w:rPr>
        <w:t xml:space="preserve"> (Θ</w:t>
      </w:r>
      <w:r>
        <w:rPr>
          <w:rFonts w:ascii="Arial" w:hAnsi="Arial"/>
          <w:color w:val="000000"/>
          <w:sz w:val="20"/>
          <w:szCs w:val="20"/>
          <w:vertAlign w:val="subscript"/>
        </w:rPr>
        <w:t>D</w:t>
      </w:r>
      <w:r>
        <w:rPr>
          <w:rFonts w:ascii="Arial" w:hAnsi="Arial"/>
          <w:color w:val="000000"/>
          <w:sz w:val="20"/>
          <w:szCs w:val="20"/>
        </w:rPr>
        <w:t xml:space="preserve">) was simulated from the average sound velocity, which is </w:t>
      </w:r>
      <w:proofErr w:type="spellStart"/>
      <w:r>
        <w:rPr>
          <w:rFonts w:ascii="Arial" w:hAnsi="Arial"/>
          <w:color w:val="000000"/>
          <w:sz w:val="20"/>
          <w:szCs w:val="20"/>
        </w:rPr>
        <w:t>predictabe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upon elastic moduli, as follows:</w:t>
      </w:r>
    </w:p>
    <w:p w14:paraId="44386675" w14:textId="77777777" w:rsidR="00AF34DF" w:rsidRDefault="00AF34DF">
      <w:pPr>
        <w:pStyle w:val="BodyText"/>
        <w:jc w:val="both"/>
        <w:rPr>
          <w:rFonts w:ascii="Arial" w:hAnsi="Arial"/>
          <w:sz w:val="20"/>
          <w:szCs w:val="20"/>
        </w:rPr>
      </w:pPr>
    </w:p>
    <w:p w14:paraId="42BF7FA1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πV</m:t>
                    </m:r>
                  </m:den>
                </m:f>
              </m:e>
            </m:d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rPr>
          <w:rFonts w:ascii="Arial" w:hAnsi="Arial"/>
          <w:color w:val="000000"/>
          <w:sz w:val="20"/>
          <w:szCs w:val="20"/>
        </w:rPr>
        <w:t xml:space="preserve">      </w:t>
      </w:r>
      <w:r>
        <w:rPr>
          <w:rFonts w:ascii="Arial" w:hAnsi="Arial"/>
          <w:color w:val="000000"/>
          <w:sz w:val="20"/>
          <w:szCs w:val="20"/>
        </w:rPr>
        <w:tab/>
        <w:t xml:space="preserve">    </w:t>
      </w:r>
      <w:r>
        <w:rPr>
          <w:rFonts w:ascii="Arial" w:hAnsi="Arial"/>
          <w:color w:val="000000"/>
          <w:sz w:val="20"/>
          <w:szCs w:val="20"/>
        </w:rPr>
        <w:tab/>
        <w:t>(2)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</w:p>
    <w:p w14:paraId="47901742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 equation (1), h represents Planck’s constant, k</w:t>
      </w:r>
      <w:r>
        <w:rPr>
          <w:rFonts w:ascii="Arial" w:hAnsi="Arial"/>
          <w:color w:val="000000"/>
          <w:sz w:val="20"/>
          <w:szCs w:val="20"/>
          <w:vertAlign w:val="subscript"/>
        </w:rPr>
        <w:t>B</w:t>
      </w:r>
      <w:r>
        <w:rPr>
          <w:rFonts w:ascii="Arial" w:hAnsi="Arial"/>
          <w:color w:val="000000"/>
          <w:sz w:val="20"/>
          <w:szCs w:val="20"/>
        </w:rPr>
        <w:t xml:space="preserve"> denotes Boltzmann’s parameter, n signifies the numb</w:t>
      </w:r>
      <w:r>
        <w:rPr>
          <w:rFonts w:ascii="Arial" w:hAnsi="Arial"/>
          <w:color w:val="000000"/>
          <w:sz w:val="20"/>
          <w:szCs w:val="20"/>
        </w:rPr>
        <w:t xml:space="preserve">er of atoms per formula unit, </w:t>
      </w:r>
      <w:proofErr w:type="spellStart"/>
      <w:r>
        <w:rPr>
          <w:rFonts w:ascii="Arial" w:hAnsi="Arial"/>
          <w:color w:val="000000"/>
          <w:sz w:val="20"/>
          <w:szCs w:val="20"/>
        </w:rPr>
        <w:t>V</w:t>
      </w:r>
      <w:r>
        <w:rPr>
          <w:rFonts w:ascii="Arial" w:hAnsi="Arial"/>
          <w:color w:val="000000"/>
          <w:sz w:val="20"/>
          <w:szCs w:val="20"/>
          <w:vertAlign w:val="subscript"/>
        </w:rPr>
        <w:t>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marks the atom volume, and ⱱ</w:t>
      </w:r>
      <w:r>
        <w:rPr>
          <w:rFonts w:ascii="Arial" w:hAnsi="Arial"/>
          <w:color w:val="000000"/>
          <w:sz w:val="20"/>
          <w:szCs w:val="20"/>
          <w:vertAlign w:val="subscript"/>
        </w:rPr>
        <w:t>m</w:t>
      </w:r>
      <w:r>
        <w:rPr>
          <w:rFonts w:ascii="Arial" w:hAnsi="Arial"/>
          <w:color w:val="000000"/>
          <w:sz w:val="20"/>
          <w:szCs w:val="20"/>
        </w:rPr>
        <w:t xml:space="preserve"> denote the mean sound velocity derived from longitudinal and transverse elastic wave velocities.</w:t>
      </w:r>
    </w:p>
    <w:p w14:paraId="7DD91BA9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Convergence assessment was carry-out to verify numerical accuracy about plane-wave cut-off energ</w:t>
      </w:r>
      <w:r>
        <w:rPr>
          <w:rFonts w:ascii="Arial" w:hAnsi="Arial"/>
          <w:color w:val="000000"/>
          <w:sz w:val="20"/>
          <w:szCs w:val="20"/>
        </w:rPr>
        <w:t xml:space="preserve">y and k-point mesh density. Energy variation below 1meV/atom were considered acceptable for convergence. Additionally, all findings were ratified using DFT code calculations documented in the literature to verify consistency and </w:t>
      </w:r>
      <w:proofErr w:type="spellStart"/>
      <w:r>
        <w:rPr>
          <w:rFonts w:ascii="Arial" w:hAnsi="Arial"/>
          <w:color w:val="000000"/>
          <w:sz w:val="20"/>
          <w:szCs w:val="20"/>
        </w:rPr>
        <w:t>reliableness</w:t>
      </w:r>
      <w:proofErr w:type="spellEnd"/>
      <w:r>
        <w:rPr>
          <w:rFonts w:ascii="Arial" w:hAnsi="Arial"/>
          <w:color w:val="000000"/>
          <w:sz w:val="20"/>
          <w:szCs w:val="20"/>
        </w:rPr>
        <w:t>.</w:t>
      </w:r>
    </w:p>
    <w:p w14:paraId="0D0716B0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This meticulo</w:t>
      </w:r>
      <w:r>
        <w:rPr>
          <w:rFonts w:ascii="Arial" w:hAnsi="Arial"/>
          <w:color w:val="000000"/>
          <w:sz w:val="20"/>
          <w:szCs w:val="20"/>
        </w:rPr>
        <w:t xml:space="preserve">us approach offered a detailed account of the physical (structural, mechanical, thermodynamic, and phonon) properties of the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compounds at the atomic level.</w:t>
      </w:r>
    </w:p>
    <w:p w14:paraId="63FE0DD1" w14:textId="77777777" w:rsidR="00AF34DF" w:rsidRDefault="00B10020">
      <w:pPr>
        <w:pStyle w:val="Heading3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2"/>
          <w:szCs w:val="22"/>
        </w:rPr>
        <w:t>3. RESULTS AND DISCUSSION</w:t>
      </w:r>
    </w:p>
    <w:p w14:paraId="2464E764" w14:textId="77777777" w:rsidR="00AF34DF" w:rsidRDefault="00B10020">
      <w:pPr>
        <w:pStyle w:val="Heading4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0"/>
          <w:szCs w:val="20"/>
        </w:rPr>
        <w:t>3.1 Structural Features</w:t>
      </w:r>
    </w:p>
    <w:p w14:paraId="4E0DA059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>The optimized lattice parameters a</w:t>
      </w:r>
      <w:r>
        <w:rPr>
          <w:rFonts w:ascii="Arial" w:hAnsi="Arial"/>
          <w:color w:val="000000"/>
          <w:sz w:val="20"/>
          <w:szCs w:val="20"/>
        </w:rPr>
        <w:t xml:space="preserve">nd associated equilibrium energies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were acquired following complete structural relaxation. The convergence of total energy with respect to the lattice parameters was established through a the fourth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Birch–Murnaghan equation of states</w:t>
      </w:r>
      <w:r>
        <w:rPr>
          <w:rFonts w:ascii="Arial" w:hAnsi="Arial"/>
          <w:color w:val="000000"/>
          <w:sz w:val="20"/>
          <w:szCs w:val="20"/>
        </w:rPr>
        <w:t xml:space="preserve"> fi</w:t>
      </w:r>
      <w:r>
        <w:rPr>
          <w:rFonts w:ascii="Arial" w:hAnsi="Arial"/>
          <w:color w:val="000000"/>
          <w:sz w:val="20"/>
          <w:szCs w:val="20"/>
        </w:rPr>
        <w:t>t.</w:t>
      </w:r>
    </w:p>
    <w:p w14:paraId="7BCD58EF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0FD9CA87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Table 1. The simulated equilibrium lattice parameters compounds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550"/>
        <w:gridCol w:w="3063"/>
        <w:gridCol w:w="2724"/>
      </w:tblGrid>
      <w:tr w:rsidR="00AF34DF" w14:paraId="11FC45FC" w14:textId="77777777">
        <w:tc>
          <w:tcPr>
            <w:tcW w:w="1300" w:type="dxa"/>
            <w:tcBorders>
              <w:top w:val="single" w:sz="6" w:space="0" w:color="000000"/>
              <w:bottom w:val="single" w:sz="6" w:space="0" w:color="000000"/>
            </w:tcBorders>
          </w:tcPr>
          <w:p w14:paraId="313B60B4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lastRenderedPageBreak/>
              <w:t>Compound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</w:tcBorders>
          </w:tcPr>
          <w:p w14:paraId="4DF9B40E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Lattice Parameters(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a.u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3" w:type="dxa"/>
            <w:tcBorders>
              <w:top w:val="single" w:sz="6" w:space="0" w:color="000000"/>
              <w:bottom w:val="single" w:sz="6" w:space="0" w:color="000000"/>
            </w:tcBorders>
          </w:tcPr>
          <w:p w14:paraId="7F7D4EAE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Bulk coefficient/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modulu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24" w:type="dxa"/>
            <w:tcBorders>
              <w:top w:val="single" w:sz="6" w:space="0" w:color="000000"/>
              <w:bottom w:val="single" w:sz="6" w:space="0" w:color="000000"/>
            </w:tcBorders>
          </w:tcPr>
          <w:p w14:paraId="05406200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Cohesive Energy(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ev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/atom)</w:t>
            </w:r>
          </w:p>
        </w:tc>
      </w:tr>
      <w:tr w:rsidR="00AF34DF" w14:paraId="27CF244F" w14:textId="77777777">
        <w:tc>
          <w:tcPr>
            <w:tcW w:w="1300" w:type="dxa"/>
          </w:tcPr>
          <w:p w14:paraId="16159FED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VRhTe</w:t>
            </w:r>
            <w:proofErr w:type="spellEnd"/>
          </w:p>
        </w:tc>
        <w:tc>
          <w:tcPr>
            <w:tcW w:w="2550" w:type="dxa"/>
          </w:tcPr>
          <w:p w14:paraId="56A5169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11.61</w:t>
            </w:r>
          </w:p>
        </w:tc>
        <w:tc>
          <w:tcPr>
            <w:tcW w:w="3063" w:type="dxa"/>
          </w:tcPr>
          <w:p w14:paraId="1660BAB6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147.2</w:t>
            </w:r>
          </w:p>
        </w:tc>
        <w:tc>
          <w:tcPr>
            <w:tcW w:w="2724" w:type="dxa"/>
          </w:tcPr>
          <w:p w14:paraId="17E78467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-3.42</w:t>
            </w:r>
          </w:p>
        </w:tc>
      </w:tr>
      <w:tr w:rsidR="00AF34DF" w14:paraId="210B1B43" w14:textId="77777777">
        <w:tc>
          <w:tcPr>
            <w:tcW w:w="1300" w:type="dxa"/>
            <w:tcBorders>
              <w:bottom w:val="single" w:sz="6" w:space="0" w:color="000000"/>
            </w:tcBorders>
          </w:tcPr>
          <w:p w14:paraId="50B0A9B7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VRuSb</w:t>
            </w:r>
          </w:p>
        </w:tc>
        <w:tc>
          <w:tcPr>
            <w:tcW w:w="2550" w:type="dxa"/>
            <w:tcBorders>
              <w:bottom w:val="single" w:sz="6" w:space="0" w:color="000000"/>
            </w:tcBorders>
          </w:tcPr>
          <w:p w14:paraId="246BA21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3063" w:type="dxa"/>
            <w:tcBorders>
              <w:bottom w:val="single" w:sz="6" w:space="0" w:color="000000"/>
            </w:tcBorders>
          </w:tcPr>
          <w:p w14:paraId="5036AA5E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161.7</w:t>
            </w:r>
          </w:p>
        </w:tc>
        <w:tc>
          <w:tcPr>
            <w:tcW w:w="2724" w:type="dxa"/>
            <w:tcBorders>
              <w:bottom w:val="single" w:sz="6" w:space="0" w:color="000000"/>
            </w:tcBorders>
          </w:tcPr>
          <w:p w14:paraId="5C32B9B4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-5.24</w:t>
            </w:r>
          </w:p>
        </w:tc>
      </w:tr>
    </w:tbl>
    <w:p w14:paraId="4221B042" w14:textId="77777777" w:rsidR="00AF34DF" w:rsidRDefault="00AF34DF">
      <w:pPr>
        <w:pStyle w:val="BodyText"/>
        <w:jc w:val="both"/>
        <w:rPr>
          <w:rFonts w:ascii="Arial" w:hAnsi="Arial"/>
          <w:sz w:val="20"/>
          <w:szCs w:val="20"/>
        </w:rPr>
      </w:pPr>
    </w:p>
    <w:p w14:paraId="2173A26E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6C2B1041" w14:textId="77777777" w:rsidR="00AF34DF" w:rsidRDefault="00B10020">
      <w:pPr>
        <w:pStyle w:val="BodyText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The atomic mass of </w:t>
      </w:r>
      <w:proofErr w:type="spellStart"/>
      <w:r>
        <w:rPr>
          <w:rFonts w:ascii="Arial" w:hAnsi="Arial"/>
          <w:sz w:val="20"/>
          <w:szCs w:val="20"/>
        </w:rPr>
        <w:t>Te</w:t>
      </w:r>
      <w:proofErr w:type="spellEnd"/>
      <w:r>
        <w:rPr>
          <w:rFonts w:ascii="Arial" w:hAnsi="Arial"/>
          <w:sz w:val="20"/>
          <w:szCs w:val="20"/>
        </w:rPr>
        <w:t xml:space="preserve">(127.6 g/mol) resulted to the moderately larger lattice constant of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, over </w:t>
      </w:r>
      <w:proofErr w:type="spellStart"/>
      <w:r>
        <w:rPr>
          <w:rFonts w:ascii="Arial" w:hAnsi="Arial"/>
          <w:sz w:val="20"/>
          <w:szCs w:val="20"/>
        </w:rPr>
        <w:t>VRuSb</w:t>
      </w:r>
      <w:proofErr w:type="spellEnd"/>
      <w:r>
        <w:rPr>
          <w:rFonts w:ascii="Arial" w:hAnsi="Arial"/>
          <w:sz w:val="20"/>
          <w:szCs w:val="20"/>
        </w:rPr>
        <w:t>, since Sb has lesser atomic mass (121.76 g/mol). Consequently, the bulk modulus decreases corresponding to the slight increase in lattice constant, i</w:t>
      </w:r>
      <w:r>
        <w:rPr>
          <w:rFonts w:ascii="Arial" w:hAnsi="Arial"/>
          <w:sz w:val="20"/>
          <w:szCs w:val="20"/>
        </w:rPr>
        <w:t xml:space="preserve">ndirectly that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 is moderately more compressible than VRuSb.</w:t>
      </w:r>
    </w:p>
    <w:p w14:paraId="4B1B7397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772E49EF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45D74D1C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6FB60B9A" w14:textId="77777777" w:rsidR="00AF34DF" w:rsidRDefault="00B10020">
      <w:pPr>
        <w:pStyle w:val="BodyText"/>
        <w:jc w:val="both"/>
      </w:pPr>
      <w:r>
        <w:rPr>
          <w:noProof/>
        </w:rPr>
        <w:drawing>
          <wp:anchor distT="0" distB="0" distL="0" distR="0" simplePos="0" relativeHeight="2" behindDoc="0" locked="0" layoutInCell="0" allowOverlap="1" wp14:anchorId="40242CA6" wp14:editId="46D1C1FB">
            <wp:simplePos x="0" y="0"/>
            <wp:positionH relativeFrom="column">
              <wp:posOffset>3040380</wp:posOffset>
            </wp:positionH>
            <wp:positionV relativeFrom="paragraph">
              <wp:posOffset>169545</wp:posOffset>
            </wp:positionV>
            <wp:extent cx="2580005" cy="244475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0815" t="31558" r="37034" b="27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780BA6AD" wp14:editId="72063BA6">
            <wp:simplePos x="0" y="0"/>
            <wp:positionH relativeFrom="column">
              <wp:posOffset>-19685</wp:posOffset>
            </wp:positionH>
            <wp:positionV relativeFrom="paragraph">
              <wp:posOffset>196215</wp:posOffset>
            </wp:positionV>
            <wp:extent cx="2714625" cy="245300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667" t="31273" r="35961" b="27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E80A62" w14:textId="77777777" w:rsidR="00AF34DF" w:rsidRDefault="00AF34DF">
      <w:pPr>
        <w:pStyle w:val="BodyText"/>
        <w:jc w:val="both"/>
      </w:pPr>
    </w:p>
    <w:p w14:paraId="21E319C2" w14:textId="77777777" w:rsidR="00AF34DF" w:rsidRDefault="00B10020">
      <w:pPr>
        <w:pStyle w:val="BodyText"/>
        <w:jc w:val="both"/>
      </w:pPr>
      <w:r>
        <w:tab/>
      </w:r>
      <w:r>
        <w:tab/>
      </w:r>
    </w:p>
    <w:p w14:paraId="205FFE3F" w14:textId="77777777" w:rsidR="00AF34DF" w:rsidRDefault="00AF34DF">
      <w:pPr>
        <w:pStyle w:val="BodyText"/>
        <w:jc w:val="both"/>
      </w:pPr>
    </w:p>
    <w:p w14:paraId="1DA97767" w14:textId="77777777" w:rsidR="00AF34DF" w:rsidRDefault="00AF34DF">
      <w:pPr>
        <w:pStyle w:val="BodyText"/>
        <w:jc w:val="both"/>
      </w:pPr>
    </w:p>
    <w:p w14:paraId="09566CF5" w14:textId="77777777" w:rsidR="00AF34DF" w:rsidRDefault="00AF34DF">
      <w:pPr>
        <w:pStyle w:val="BodyText"/>
        <w:jc w:val="both"/>
      </w:pPr>
    </w:p>
    <w:p w14:paraId="539EB1DE" w14:textId="77777777" w:rsidR="00AF34DF" w:rsidRDefault="00AF34DF">
      <w:pPr>
        <w:pStyle w:val="BodyText"/>
        <w:jc w:val="both"/>
      </w:pPr>
    </w:p>
    <w:p w14:paraId="0A1A7AB4" w14:textId="77777777" w:rsidR="00AF34DF" w:rsidRDefault="00AF34DF">
      <w:pPr>
        <w:pStyle w:val="BodyText"/>
        <w:jc w:val="both"/>
      </w:pPr>
    </w:p>
    <w:p w14:paraId="34E1F1D4" w14:textId="77777777" w:rsidR="00AF34DF" w:rsidRDefault="00AF34DF">
      <w:pPr>
        <w:pStyle w:val="BodyText"/>
        <w:jc w:val="both"/>
      </w:pPr>
    </w:p>
    <w:p w14:paraId="5B0732D2" w14:textId="77777777" w:rsidR="00AF34DF" w:rsidRDefault="00AF34DF">
      <w:pPr>
        <w:pStyle w:val="BodyText"/>
        <w:jc w:val="right"/>
        <w:rPr>
          <w:sz w:val="20"/>
          <w:szCs w:val="20"/>
        </w:rPr>
      </w:pPr>
    </w:p>
    <w:p w14:paraId="3E359634" w14:textId="6249B74F" w:rsidR="00AF34DF" w:rsidRDefault="00B10020">
      <w:pPr>
        <w:pStyle w:val="BodyText"/>
        <w:jc w:val="right"/>
        <w:rPr>
          <w:rFonts w:ascii="Arial" w:hAnsi="Arial"/>
        </w:rPr>
      </w:pPr>
      <w:r>
        <w:rPr>
          <w:rFonts w:ascii="Arial" w:hAnsi="Arial"/>
          <w:sz w:val="20"/>
          <w:szCs w:val="20"/>
        </w:rPr>
        <w:t>Fig.1</w:t>
      </w:r>
      <w:r w:rsidR="00A26F23"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 xml:space="preserve">. Structural atomic </w:t>
      </w:r>
      <w:proofErr w:type="gramStart"/>
      <w:r>
        <w:rPr>
          <w:rFonts w:ascii="Arial" w:hAnsi="Arial"/>
          <w:sz w:val="20"/>
          <w:szCs w:val="20"/>
        </w:rPr>
        <w:t>positions  for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r w:rsidR="00A26F23">
        <w:rPr>
          <w:rFonts w:ascii="Arial" w:hAnsi="Arial"/>
          <w:sz w:val="20"/>
          <w:szCs w:val="20"/>
        </w:rPr>
        <w:t xml:space="preserve">                          </w:t>
      </w:r>
      <w:r>
        <w:rPr>
          <w:rFonts w:ascii="Arial" w:hAnsi="Arial"/>
          <w:sz w:val="20"/>
          <w:szCs w:val="20"/>
        </w:rPr>
        <w:t xml:space="preserve"> Fig.1</w:t>
      </w:r>
      <w:r w:rsidR="00A26F23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. Structural atomic positions for VRuSb</w:t>
      </w:r>
    </w:p>
    <w:p w14:paraId="28D022A8" w14:textId="77777777" w:rsidR="00AF34DF" w:rsidRDefault="00AF34DF">
      <w:pPr>
        <w:pStyle w:val="BodyText"/>
        <w:jc w:val="right"/>
        <w:rPr>
          <w:rFonts w:ascii="Times New Roman" w:hAnsi="Times New Roman"/>
        </w:rPr>
      </w:pPr>
    </w:p>
    <w:p w14:paraId="53CE51BC" w14:textId="77777777" w:rsidR="00AF34DF" w:rsidRDefault="00AF34DF">
      <w:pPr>
        <w:pStyle w:val="BodyText"/>
        <w:jc w:val="both"/>
      </w:pPr>
    </w:p>
    <w:p w14:paraId="2D2276CF" w14:textId="77777777" w:rsidR="00AF34DF" w:rsidRDefault="00AF34DF">
      <w:pPr>
        <w:pStyle w:val="BodyText"/>
        <w:jc w:val="both"/>
      </w:pPr>
    </w:p>
    <w:p w14:paraId="1E34B10D" w14:textId="77777777" w:rsidR="00AF34DF" w:rsidRDefault="00AF34DF">
      <w:pPr>
        <w:pStyle w:val="BodyText"/>
        <w:jc w:val="both"/>
      </w:pPr>
    </w:p>
    <w:p w14:paraId="66790EFF" w14:textId="77777777" w:rsidR="00AF34DF" w:rsidRDefault="00AF34DF">
      <w:pPr>
        <w:pStyle w:val="BodyText"/>
        <w:jc w:val="both"/>
      </w:pPr>
    </w:p>
    <w:p w14:paraId="4D412D38" w14:textId="77777777" w:rsidR="00AF34DF" w:rsidRDefault="00AF34DF">
      <w:pPr>
        <w:pStyle w:val="BodyText"/>
        <w:jc w:val="both"/>
      </w:pPr>
    </w:p>
    <w:p w14:paraId="58709C5A" w14:textId="77777777" w:rsidR="00AF34DF" w:rsidRDefault="00B10020">
      <w:pPr>
        <w:pStyle w:val="BodyText"/>
        <w:jc w:val="both"/>
      </w:pPr>
      <w:r>
        <w:rPr>
          <w:noProof/>
        </w:rPr>
        <w:drawing>
          <wp:anchor distT="0" distB="0" distL="0" distR="0" simplePos="0" relativeHeight="7" behindDoc="0" locked="0" layoutInCell="0" allowOverlap="1" wp14:anchorId="742B326F" wp14:editId="383AB227">
            <wp:simplePos x="0" y="0"/>
            <wp:positionH relativeFrom="column">
              <wp:posOffset>1731010</wp:posOffset>
            </wp:positionH>
            <wp:positionV relativeFrom="paragraph">
              <wp:posOffset>-1080135</wp:posOffset>
            </wp:positionV>
            <wp:extent cx="2658110" cy="4953000"/>
            <wp:effectExtent l="632460" t="0" r="668020" b="0"/>
            <wp:wrapSquare wrapText="largest"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/>
                    <pic:cNvPicPr/>
                  </pic:nvPicPr>
                  <pic:blipFill>
                    <a:blip r:embed="rId14"/>
                    <a:stretch/>
                  </pic:blipFill>
                  <pic:spPr>
                    <a:xfrm rot="5400000">
                      <a:off x="0" y="0"/>
                      <a:ext cx="2658240" cy="49528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732B0ED2" w14:textId="77777777" w:rsidR="00AF34DF" w:rsidRDefault="00AF34DF">
      <w:pPr>
        <w:pStyle w:val="BodyText"/>
        <w:jc w:val="both"/>
      </w:pPr>
    </w:p>
    <w:p w14:paraId="55E47E3B" w14:textId="77777777" w:rsidR="00AF34DF" w:rsidRDefault="00AF34DF">
      <w:pPr>
        <w:pStyle w:val="BodyText"/>
        <w:jc w:val="both"/>
      </w:pPr>
    </w:p>
    <w:p w14:paraId="39CB85A9" w14:textId="77777777" w:rsidR="00AF34DF" w:rsidRDefault="00AF34DF">
      <w:pPr>
        <w:pStyle w:val="BodyText"/>
        <w:jc w:val="both"/>
      </w:pPr>
    </w:p>
    <w:p w14:paraId="4FD37145" w14:textId="77777777" w:rsidR="00AF34DF" w:rsidRDefault="00AF34DF">
      <w:pPr>
        <w:pStyle w:val="BodyText"/>
        <w:jc w:val="both"/>
      </w:pPr>
    </w:p>
    <w:p w14:paraId="7DAD4BD7" w14:textId="77777777" w:rsidR="00AF34DF" w:rsidRDefault="00AF34DF">
      <w:pPr>
        <w:pStyle w:val="BodyText"/>
        <w:jc w:val="both"/>
      </w:pPr>
    </w:p>
    <w:p w14:paraId="7C4366E5" w14:textId="77777777" w:rsidR="00AF34DF" w:rsidRDefault="00AF34DF">
      <w:pPr>
        <w:pStyle w:val="BodyText"/>
        <w:jc w:val="both"/>
      </w:pPr>
    </w:p>
    <w:p w14:paraId="40CF5FB2" w14:textId="77777777" w:rsidR="00AF34DF" w:rsidRDefault="00AF34DF">
      <w:pPr>
        <w:pStyle w:val="BodyText"/>
        <w:jc w:val="both"/>
      </w:pPr>
    </w:p>
    <w:p w14:paraId="6E96F6EB" w14:textId="77777777" w:rsidR="00AF34DF" w:rsidRDefault="00AF34DF">
      <w:pPr>
        <w:pStyle w:val="BodyText"/>
      </w:pPr>
    </w:p>
    <w:p w14:paraId="308B8B9C" w14:textId="77777777" w:rsidR="00AF34DF" w:rsidRDefault="00AF34DF">
      <w:pPr>
        <w:pStyle w:val="BodyText"/>
      </w:pPr>
    </w:p>
    <w:p w14:paraId="7477AB6C" w14:textId="77777777" w:rsidR="00AF34DF" w:rsidRDefault="00AF34DF">
      <w:pPr>
        <w:pStyle w:val="BodyText"/>
        <w:rPr>
          <w:rFonts w:ascii="Times New Roman" w:hAnsi="Times New Roman"/>
        </w:rPr>
      </w:pPr>
    </w:p>
    <w:p w14:paraId="2DF84094" w14:textId="77777777" w:rsidR="00AF34DF" w:rsidRDefault="00AF34DF">
      <w:pPr>
        <w:pStyle w:val="BodyText"/>
        <w:rPr>
          <w:rFonts w:ascii="Times New Roman" w:hAnsi="Times New Roman"/>
        </w:rPr>
      </w:pPr>
    </w:p>
    <w:p w14:paraId="27D22870" w14:textId="77777777" w:rsidR="00AF34DF" w:rsidRDefault="00AF34DF">
      <w:pPr>
        <w:pStyle w:val="BodyText"/>
        <w:rPr>
          <w:rFonts w:ascii="Times New Roman" w:hAnsi="Times New Roman"/>
        </w:rPr>
      </w:pPr>
    </w:p>
    <w:p w14:paraId="44660CC8" w14:textId="77777777" w:rsidR="00AF34DF" w:rsidRDefault="00AF34DF">
      <w:pPr>
        <w:pStyle w:val="BodyText"/>
        <w:rPr>
          <w:rFonts w:ascii="Times New Roman" w:hAnsi="Times New Roman"/>
        </w:rPr>
      </w:pPr>
    </w:p>
    <w:p w14:paraId="1A05220F" w14:textId="77777777" w:rsidR="00AF34DF" w:rsidRDefault="00B10020"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Fig. 2:  A</w:t>
      </w:r>
      <w:r>
        <w:rPr>
          <w:rFonts w:ascii="Arial" w:hAnsi="Arial"/>
          <w:sz w:val="20"/>
          <w:szCs w:val="20"/>
        </w:rPr>
        <w:t xml:space="preserve"> chart of the relationship between energy(Ry), and lattice parameter(</w:t>
      </w:r>
      <w:proofErr w:type="spellStart"/>
      <w:r>
        <w:rPr>
          <w:rFonts w:ascii="Arial" w:hAnsi="Arial"/>
          <w:sz w:val="20"/>
          <w:szCs w:val="20"/>
        </w:rPr>
        <w:t>a.u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proofErr w:type="spellStart"/>
      <w:r>
        <w:rPr>
          <w:rFonts w:ascii="Arial" w:hAnsi="Arial"/>
          <w:sz w:val="20"/>
          <w:szCs w:val="20"/>
        </w:rPr>
        <w:t>feromagnetic</w:t>
      </w:r>
      <w:proofErr w:type="spellEnd"/>
      <w:r>
        <w:rPr>
          <w:rFonts w:ascii="Arial" w:hAnsi="Arial"/>
          <w:sz w:val="20"/>
          <w:szCs w:val="20"/>
        </w:rPr>
        <w:t>(</w:t>
      </w:r>
      <w:proofErr w:type="spellStart"/>
      <w:r>
        <w:rPr>
          <w:rFonts w:ascii="Arial" w:hAnsi="Arial"/>
          <w:sz w:val="20"/>
          <w:szCs w:val="20"/>
        </w:rPr>
        <w:t>fm</w:t>
      </w:r>
      <w:proofErr w:type="spellEnd"/>
      <w:r>
        <w:rPr>
          <w:rFonts w:ascii="Arial" w:hAnsi="Arial"/>
          <w:sz w:val="20"/>
          <w:szCs w:val="20"/>
        </w:rPr>
        <w:t xml:space="preserve">), and non-magnetic(nm) for; (a). </w:t>
      </w:r>
      <w:proofErr w:type="spellStart"/>
      <w:r>
        <w:rPr>
          <w:rFonts w:ascii="Arial" w:hAnsi="Arial"/>
          <w:sz w:val="20"/>
          <w:szCs w:val="20"/>
        </w:rPr>
        <w:t>VRhTe</w:t>
      </w:r>
      <w:proofErr w:type="spellEnd"/>
      <w:r>
        <w:rPr>
          <w:rFonts w:ascii="Arial" w:hAnsi="Arial"/>
          <w:sz w:val="20"/>
          <w:szCs w:val="20"/>
        </w:rPr>
        <w:t>, and (b). VRuSb.</w:t>
      </w:r>
    </w:p>
    <w:p w14:paraId="51F86547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415227BD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07CB5A6D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Both structures in fig. 1 sustained the cubic 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consistency space group fm-3m w</w:t>
      </w:r>
      <w:r>
        <w:rPr>
          <w:rFonts w:ascii="Arial" w:hAnsi="Arial"/>
          <w:color w:val="000000"/>
          <w:sz w:val="20"/>
          <w:szCs w:val="20"/>
        </w:rPr>
        <w:t xml:space="preserve">ith distinguish structural </w:t>
      </w:r>
      <w:proofErr w:type="spellStart"/>
      <w:r>
        <w:rPr>
          <w:rFonts w:ascii="Arial" w:hAnsi="Arial"/>
          <w:color w:val="000000"/>
          <w:sz w:val="20"/>
          <w:szCs w:val="20"/>
        </w:rPr>
        <w:t>disfurement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in the time of optimization. The composite energy against volume curves showed clear average, substantiating the mechanical </w:t>
      </w:r>
      <w:proofErr w:type="spellStart"/>
      <w:r>
        <w:rPr>
          <w:rFonts w:ascii="Arial" w:hAnsi="Arial"/>
          <w:color w:val="000000"/>
          <w:sz w:val="20"/>
          <w:szCs w:val="20"/>
        </w:rPr>
        <w:t>strenght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of both compounds at their appropriate equilibrium  volumes. Furthermore, in Fig.2 (</w:t>
      </w:r>
      <w:r>
        <w:rPr>
          <w:rFonts w:ascii="Arial" w:hAnsi="Arial"/>
          <w:color w:val="000000"/>
          <w:sz w:val="20"/>
          <w:szCs w:val="20"/>
        </w:rPr>
        <w:t xml:space="preserve">a), </w:t>
      </w:r>
      <w:proofErr w:type="spellStart"/>
      <w:r>
        <w:rPr>
          <w:rFonts w:ascii="Arial" w:hAnsi="Arial"/>
          <w:color w:val="000000"/>
          <w:sz w:val="20"/>
          <w:szCs w:val="20"/>
        </w:rPr>
        <w:t>feromagnetic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chatacteristic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has more lower ground state energy, than the nonmagnetic features, which connote stability at fm. Moreover their complement Fig.2 (b) overlapped at both </w:t>
      </w:r>
      <w:proofErr w:type="spellStart"/>
      <w:r>
        <w:rPr>
          <w:rFonts w:ascii="Arial" w:hAnsi="Arial"/>
          <w:color w:val="000000"/>
          <w:sz w:val="20"/>
          <w:szCs w:val="20"/>
        </w:rPr>
        <w:t>fm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nm state, revealed same ground state energy. </w:t>
      </w:r>
    </w:p>
    <w:p w14:paraId="1F58B621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Formation energies</w:t>
      </w:r>
      <w:r>
        <w:rPr>
          <w:rFonts w:ascii="Arial" w:hAnsi="Arial"/>
          <w:color w:val="000000"/>
          <w:sz w:val="20"/>
          <w:szCs w:val="20"/>
        </w:rPr>
        <w:t xml:space="preserve"> were negative in the computed outcome; agreeing to their thermodynamic balance: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ΔEₓ (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VRhTe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) = –3.42 eV/atom and ΔEₓ (VRuSb) = –5.24 eV/atom. </w:t>
      </w:r>
      <w:r>
        <w:rPr>
          <w:rFonts w:ascii="Arial" w:hAnsi="Arial"/>
          <w:color w:val="000000"/>
          <w:sz w:val="20"/>
          <w:szCs w:val="20"/>
        </w:rPr>
        <w:t xml:space="preserve">These outcome predict </w:t>
      </w:r>
      <w:proofErr w:type="spellStart"/>
      <w:r>
        <w:rPr>
          <w:rFonts w:ascii="Arial" w:hAnsi="Arial"/>
          <w:color w:val="000000"/>
          <w:sz w:val="20"/>
          <w:szCs w:val="20"/>
        </w:rPr>
        <w:t>thta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both compounds can be synthesized under balance conditions without phase decomposition,</w:t>
      </w:r>
      <w:r>
        <w:rPr>
          <w:rFonts w:ascii="Arial" w:hAnsi="Arial"/>
          <w:color w:val="000000"/>
          <w:sz w:val="20"/>
          <w:szCs w:val="20"/>
        </w:rPr>
        <w:t xml:space="preserve"> making them optimistic candidates for practical application.</w:t>
      </w:r>
    </w:p>
    <w:p w14:paraId="294FE21D" w14:textId="77777777" w:rsidR="00AF34DF" w:rsidRDefault="00B10020">
      <w:pPr>
        <w:pStyle w:val="Heading4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0"/>
          <w:szCs w:val="20"/>
        </w:rPr>
        <w:t>3.2 Mechanical Properties</w:t>
      </w:r>
    </w:p>
    <w:p w14:paraId="78A22901" w14:textId="04470921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 xml:space="preserve">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elastic features (C₁₁, C₁₂, and C₄₄)</w:t>
      </w:r>
      <w:r>
        <w:rPr>
          <w:rFonts w:ascii="Arial" w:hAnsi="Arial"/>
          <w:color w:val="000000"/>
          <w:sz w:val="20"/>
          <w:szCs w:val="20"/>
        </w:rPr>
        <w:t xml:space="preserve"> were simulated from the stress–strain correspondence and used to predict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mechanical stability</w:t>
      </w:r>
      <w:r>
        <w:rPr>
          <w:rFonts w:ascii="Arial" w:hAnsi="Arial"/>
          <w:color w:val="000000"/>
          <w:sz w:val="20"/>
          <w:szCs w:val="20"/>
        </w:rPr>
        <w:t xml:space="preserve"> in alignment to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Born’s criteria</w:t>
      </w:r>
      <w:r>
        <w:rPr>
          <w:rFonts w:ascii="Arial" w:hAnsi="Arial"/>
          <w:color w:val="000000"/>
          <w:sz w:val="20"/>
          <w:szCs w:val="20"/>
        </w:rPr>
        <w:t xml:space="preserve">. </w:t>
      </w:r>
      <w:r>
        <w:rPr>
          <w:rFonts w:ascii="Arial" w:hAnsi="Arial"/>
          <w:color w:val="000000"/>
          <w:sz w:val="20"/>
          <w:szCs w:val="20"/>
        </w:rPr>
        <w:t xml:space="preserve">The computed elastic </w:t>
      </w:r>
      <w:proofErr w:type="gramStart"/>
      <w:r>
        <w:rPr>
          <w:rFonts w:ascii="Arial" w:hAnsi="Arial"/>
          <w:color w:val="000000"/>
          <w:sz w:val="20"/>
          <w:szCs w:val="20"/>
        </w:rPr>
        <w:t>parameters(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in </w:t>
      </w:r>
      <w:proofErr w:type="spellStart"/>
      <w:r>
        <w:rPr>
          <w:rFonts w:ascii="Arial" w:hAnsi="Arial"/>
          <w:color w:val="000000"/>
          <w:sz w:val="20"/>
          <w:szCs w:val="20"/>
        </w:rPr>
        <w:t>GPa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unit)  are summarized in table </w:t>
      </w:r>
      <w:r w:rsidR="00EF11A0"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>.</w:t>
      </w:r>
    </w:p>
    <w:p w14:paraId="000C0D98" w14:textId="77777777" w:rsidR="00AF34DF" w:rsidRDefault="00AF34DF">
      <w:pPr>
        <w:pStyle w:val="BodyText"/>
        <w:jc w:val="both"/>
        <w:rPr>
          <w:rFonts w:ascii="Arial" w:hAnsi="Arial"/>
          <w:sz w:val="20"/>
          <w:szCs w:val="20"/>
        </w:rPr>
      </w:pPr>
    </w:p>
    <w:p w14:paraId="69722801" w14:textId="77777777" w:rsidR="00AF34DF" w:rsidRDefault="00AF34DF">
      <w:pPr>
        <w:pStyle w:val="BodyText"/>
        <w:jc w:val="both"/>
        <w:rPr>
          <w:rFonts w:ascii="Arial" w:hAnsi="Arial"/>
          <w:sz w:val="20"/>
          <w:szCs w:val="20"/>
        </w:rPr>
      </w:pPr>
    </w:p>
    <w:p w14:paraId="5B759983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498F1453" w14:textId="156A9225" w:rsidR="00AF34DF" w:rsidRDefault="00B10020">
      <w:pPr>
        <w:pStyle w:val="BodyText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Tab</w:t>
      </w:r>
      <w:r w:rsidR="00A26F23">
        <w:rPr>
          <w:rFonts w:ascii="Arial" w:hAnsi="Arial"/>
          <w:color w:val="000000"/>
          <w:sz w:val="20"/>
          <w:szCs w:val="20"/>
        </w:rPr>
        <w:t>le</w:t>
      </w:r>
      <w:r>
        <w:rPr>
          <w:rFonts w:ascii="Arial" w:hAnsi="Arial"/>
          <w:color w:val="000000"/>
          <w:sz w:val="20"/>
          <w:szCs w:val="20"/>
        </w:rPr>
        <w:t>.</w:t>
      </w:r>
      <w:r w:rsidR="00EF11A0"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>: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Elastic Constants (</w:t>
      </w:r>
      <w:proofErr w:type="spellStart"/>
      <w:r>
        <w:rPr>
          <w:rFonts w:ascii="Arial" w:hAnsi="Arial"/>
          <w:color w:val="000000"/>
          <w:sz w:val="20"/>
          <w:szCs w:val="20"/>
        </w:rPr>
        <w:t>C</w:t>
      </w:r>
      <w:r>
        <w:rPr>
          <w:rFonts w:ascii="Arial" w:hAnsi="Arial"/>
          <w:color w:val="000000"/>
          <w:sz w:val="20"/>
          <w:szCs w:val="20"/>
          <w:vertAlign w:val="subscript"/>
        </w:rPr>
        <w:t>ij</w:t>
      </w:r>
      <w:proofErr w:type="spellEnd"/>
      <w:r>
        <w:rPr>
          <w:rFonts w:ascii="Arial" w:hAnsi="Arial"/>
          <w:color w:val="000000"/>
          <w:sz w:val="20"/>
          <w:szCs w:val="20"/>
          <w:vertAlign w:val="subscript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in </w:t>
      </w:r>
      <w:proofErr w:type="spellStart"/>
      <w:r>
        <w:rPr>
          <w:rFonts w:ascii="Arial" w:hAnsi="Arial"/>
          <w:color w:val="000000"/>
          <w:sz w:val="20"/>
          <w:szCs w:val="20"/>
        </w:rPr>
        <w:t>GPa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) and Derived Mechanical parameters </w:t>
      </w:r>
    </w:p>
    <w:tbl>
      <w:tblPr>
        <w:tblW w:w="8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675"/>
        <w:gridCol w:w="688"/>
        <w:gridCol w:w="736"/>
        <w:gridCol w:w="914"/>
        <w:gridCol w:w="836"/>
        <w:gridCol w:w="851"/>
        <w:gridCol w:w="688"/>
        <w:gridCol w:w="623"/>
        <w:gridCol w:w="739"/>
      </w:tblGrid>
      <w:tr w:rsidR="00AF34DF" w14:paraId="49193043" w14:textId="77777777">
        <w:tc>
          <w:tcPr>
            <w:tcW w:w="136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0B96E9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4A92B8F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C₁₁ (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F8C84A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C₁₂ (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28B9B1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C₄₄ (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46889F9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</w:t>
            </w:r>
          </w:p>
          <w:p w14:paraId="49820B05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ED986F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G</w:t>
            </w:r>
          </w:p>
          <w:p w14:paraId="61FD9717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GPa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9A331B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B/G</w:t>
            </w:r>
          </w:p>
        </w:tc>
        <w:tc>
          <w:tcPr>
            <w:tcW w:w="68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EA78646" w14:textId="77777777" w:rsidR="00AF34DF" w:rsidRDefault="00B10020">
            <w:pPr>
              <w:pStyle w:val="TableHeading"/>
              <w:jc w:val="left"/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Emphasis"/>
                <w:rFonts w:ascii="Arial" w:hAnsi="Arial"/>
                <w:b/>
                <w:bCs/>
                <w:color w:val="000000"/>
                <w:sz w:val="20"/>
                <w:szCs w:val="20"/>
              </w:rPr>
              <w:t>ⱱ</w:t>
            </w:r>
          </w:p>
        </w:tc>
        <w:tc>
          <w:tcPr>
            <w:tcW w:w="62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D701BF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26ADFD1" w14:textId="77777777" w:rsidR="00AF34DF" w:rsidRDefault="00B10020">
            <w:pPr>
              <w:pStyle w:val="TableHeading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/>
                <w:color w:val="000000"/>
                <w:sz w:val="20"/>
                <w:szCs w:val="20"/>
                <w:vertAlign w:val="subscript"/>
              </w:rPr>
              <w:t>p</w:t>
            </w:r>
          </w:p>
        </w:tc>
      </w:tr>
      <w:tr w:rsidR="00AF34DF" w14:paraId="3456FC2E" w14:textId="77777777">
        <w:tc>
          <w:tcPr>
            <w:tcW w:w="1362" w:type="dxa"/>
            <w:vAlign w:val="center"/>
          </w:tcPr>
          <w:p w14:paraId="665D6449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VRhTe</w:t>
            </w:r>
            <w:proofErr w:type="spellEnd"/>
          </w:p>
        </w:tc>
        <w:tc>
          <w:tcPr>
            <w:tcW w:w="675" w:type="dxa"/>
            <w:vAlign w:val="center"/>
          </w:tcPr>
          <w:p w14:paraId="27DD3E94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130.06</w:t>
            </w:r>
          </w:p>
        </w:tc>
        <w:tc>
          <w:tcPr>
            <w:tcW w:w="688" w:type="dxa"/>
            <w:vAlign w:val="center"/>
          </w:tcPr>
          <w:p w14:paraId="6DB6897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105.75</w:t>
            </w:r>
          </w:p>
        </w:tc>
        <w:tc>
          <w:tcPr>
            <w:tcW w:w="736" w:type="dxa"/>
            <w:vAlign w:val="center"/>
          </w:tcPr>
          <w:p w14:paraId="0EC52C19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914" w:type="dxa"/>
            <w:vAlign w:val="center"/>
          </w:tcPr>
          <w:p w14:paraId="3D396AA9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113.86</w:t>
            </w:r>
          </w:p>
        </w:tc>
        <w:tc>
          <w:tcPr>
            <w:tcW w:w="836" w:type="dxa"/>
            <w:vAlign w:val="center"/>
          </w:tcPr>
          <w:p w14:paraId="5EBDBC5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9.53</w:t>
            </w:r>
          </w:p>
        </w:tc>
        <w:tc>
          <w:tcPr>
            <w:tcW w:w="851" w:type="dxa"/>
            <w:vAlign w:val="center"/>
          </w:tcPr>
          <w:p w14:paraId="2FEF6BD7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688" w:type="dxa"/>
            <w:vAlign w:val="center"/>
          </w:tcPr>
          <w:p w14:paraId="0F08D1DA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23" w:type="dxa"/>
            <w:vAlign w:val="center"/>
          </w:tcPr>
          <w:p w14:paraId="60675B41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39" w:type="dxa"/>
            <w:vAlign w:val="center"/>
          </w:tcPr>
          <w:p w14:paraId="7824BC41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97.97</w:t>
            </w:r>
          </w:p>
        </w:tc>
      </w:tr>
      <w:tr w:rsidR="00AF34DF" w14:paraId="5533B71B" w14:textId="77777777">
        <w:tc>
          <w:tcPr>
            <w:tcW w:w="1362" w:type="dxa"/>
            <w:tcBorders>
              <w:bottom w:val="single" w:sz="6" w:space="0" w:color="000000"/>
            </w:tcBorders>
            <w:vAlign w:val="center"/>
          </w:tcPr>
          <w:p w14:paraId="08154037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VRuSb</w:t>
            </w:r>
          </w:p>
        </w:tc>
        <w:tc>
          <w:tcPr>
            <w:tcW w:w="675" w:type="dxa"/>
            <w:tcBorders>
              <w:bottom w:val="single" w:sz="6" w:space="0" w:color="000000"/>
            </w:tcBorders>
            <w:vAlign w:val="center"/>
          </w:tcPr>
          <w:p w14:paraId="324D26BE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220.89</w:t>
            </w:r>
          </w:p>
        </w:tc>
        <w:tc>
          <w:tcPr>
            <w:tcW w:w="688" w:type="dxa"/>
            <w:tcBorders>
              <w:bottom w:val="single" w:sz="6" w:space="0" w:color="000000"/>
            </w:tcBorders>
            <w:vAlign w:val="center"/>
          </w:tcPr>
          <w:p w14:paraId="54D419A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115.49</w:t>
            </w:r>
          </w:p>
        </w:tc>
        <w:tc>
          <w:tcPr>
            <w:tcW w:w="736" w:type="dxa"/>
            <w:tcBorders>
              <w:bottom w:val="single" w:sz="6" w:space="0" w:color="000000"/>
            </w:tcBorders>
            <w:vAlign w:val="center"/>
          </w:tcPr>
          <w:p w14:paraId="67E99C5F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58.84</w:t>
            </w:r>
          </w:p>
        </w:tc>
        <w:tc>
          <w:tcPr>
            <w:tcW w:w="914" w:type="dxa"/>
            <w:tcBorders>
              <w:bottom w:val="single" w:sz="6" w:space="0" w:color="000000"/>
            </w:tcBorders>
            <w:vAlign w:val="center"/>
          </w:tcPr>
          <w:p w14:paraId="0820CDE5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150.62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vAlign w:val="center"/>
          </w:tcPr>
          <w:p w14:paraId="6D877473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56.38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008B4AB4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2.67</w:t>
            </w:r>
          </w:p>
        </w:tc>
        <w:tc>
          <w:tcPr>
            <w:tcW w:w="688" w:type="dxa"/>
            <w:tcBorders>
              <w:bottom w:val="single" w:sz="6" w:space="0" w:color="000000"/>
            </w:tcBorders>
            <w:vAlign w:val="center"/>
          </w:tcPr>
          <w:p w14:paraId="7ABD96A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623" w:type="dxa"/>
            <w:tcBorders>
              <w:bottom w:val="single" w:sz="6" w:space="0" w:color="000000"/>
            </w:tcBorders>
            <w:vAlign w:val="center"/>
          </w:tcPr>
          <w:p w14:paraId="56499EDF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739" w:type="dxa"/>
            <w:tcBorders>
              <w:bottom w:val="single" w:sz="6" w:space="0" w:color="000000"/>
            </w:tcBorders>
            <w:vAlign w:val="center"/>
          </w:tcPr>
          <w:p w14:paraId="6160AF5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56.65</w:t>
            </w:r>
          </w:p>
        </w:tc>
      </w:tr>
    </w:tbl>
    <w:p w14:paraId="3C04757A" w14:textId="77777777" w:rsidR="00AF34DF" w:rsidRDefault="00AF34DF">
      <w:pPr>
        <w:pStyle w:val="BodyText"/>
        <w:spacing w:line="240" w:lineRule="auto"/>
        <w:jc w:val="both"/>
        <w:rPr>
          <w:rFonts w:ascii="Times New Roman" w:hAnsi="Times New Roman"/>
        </w:rPr>
      </w:pPr>
    </w:p>
    <w:p w14:paraId="121BAE07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4AEFFAD0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The foregone satisfied the conditions C₁₁ &gt; C₁₂, C₄₄ &gt; 0, and C₁₁ + 2C₁₂ &gt; 0, indicating that both compounds possesses mechanical stability. Pugh’s ratio critical value is 1.75, whereas Poisson’s ratio evaluative value is o.3 [26]. The </w:t>
      </w:r>
      <w:proofErr w:type="spellStart"/>
      <w:r>
        <w:rPr>
          <w:rFonts w:ascii="Arial" w:hAnsi="Arial"/>
          <w:color w:val="000000"/>
          <w:sz w:val="20"/>
          <w:szCs w:val="20"/>
        </w:rPr>
        <w:t>cpmpounds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are consid</w:t>
      </w:r>
      <w:r>
        <w:rPr>
          <w:rFonts w:ascii="Arial" w:hAnsi="Arial"/>
          <w:color w:val="000000"/>
          <w:sz w:val="20"/>
          <w:szCs w:val="20"/>
        </w:rPr>
        <w:t xml:space="preserve">ered brittle if the B/G ratio is less than 1.75 and it is brittle if the B/G ratio is less than 1.75. The research reveals that the Pugh's ratio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11.94, and 2.67 was for VRuSb </w:t>
      </w:r>
      <w:r>
        <w:rPr>
          <w:rFonts w:ascii="Arial" w:hAnsi="Arial"/>
          <w:color w:val="000000"/>
          <w:sz w:val="20"/>
          <w:szCs w:val="20"/>
        </w:rPr>
        <w:lastRenderedPageBreak/>
        <w:t>accordingly; indicating the compounds reflects ductility. Consequent</w:t>
      </w:r>
      <w:r>
        <w:rPr>
          <w:rFonts w:ascii="Arial" w:hAnsi="Arial"/>
          <w:color w:val="000000"/>
          <w:sz w:val="20"/>
          <w:szCs w:val="20"/>
        </w:rPr>
        <w:t>ly, the  Poisson's ratio is less than 0.3; signifying the metallic bonding qualities of the materials. The positive Cauchy’s pressure (C</w:t>
      </w:r>
      <w:r>
        <w:rPr>
          <w:rFonts w:ascii="Arial" w:hAnsi="Arial"/>
          <w:color w:val="000000"/>
          <w:sz w:val="20"/>
          <w:szCs w:val="20"/>
          <w:vertAlign w:val="subscript"/>
        </w:rPr>
        <w:t>p</w:t>
      </w:r>
      <w:r>
        <w:rPr>
          <w:rFonts w:ascii="Arial" w:hAnsi="Arial"/>
          <w:color w:val="000000"/>
          <w:sz w:val="20"/>
          <w:szCs w:val="20"/>
        </w:rPr>
        <w:t>) values (+97.97 and +56.65) affirm metallic bonding. Moreover, the positive Cauchy’s pressure(C</w:t>
      </w:r>
      <w:r>
        <w:rPr>
          <w:rFonts w:ascii="Arial" w:hAnsi="Arial"/>
          <w:color w:val="000000"/>
          <w:sz w:val="20"/>
          <w:szCs w:val="20"/>
          <w:vertAlign w:val="subscript"/>
        </w:rPr>
        <w:t>p</w:t>
      </w:r>
      <w:r>
        <w:rPr>
          <w:rFonts w:ascii="Arial" w:hAnsi="Arial"/>
          <w:color w:val="000000"/>
          <w:sz w:val="20"/>
          <w:szCs w:val="20"/>
        </w:rPr>
        <w:t>) values +97.97, and +</w:t>
      </w:r>
      <w:r>
        <w:rPr>
          <w:rFonts w:ascii="Arial" w:hAnsi="Arial"/>
          <w:color w:val="000000"/>
          <w:sz w:val="20"/>
          <w:szCs w:val="20"/>
        </w:rPr>
        <w:t xml:space="preserve">56.65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respectively, support metallic bonding. The </w:t>
      </w:r>
      <w:proofErr w:type="spellStart"/>
      <w:r>
        <w:rPr>
          <w:rFonts w:ascii="Arial" w:hAnsi="Arial"/>
          <w:color w:val="000000"/>
          <w:sz w:val="20"/>
          <w:szCs w:val="20"/>
        </w:rPr>
        <w:t>simualted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bulk modulus of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predicts moderately more resistance structure to compression compared to VRuSb, in alignment with its smaller lattice constants. These outcome reveal tha</w:t>
      </w:r>
      <w:r>
        <w:rPr>
          <w:rFonts w:ascii="Arial" w:hAnsi="Arial"/>
          <w:color w:val="000000"/>
          <w:sz w:val="20"/>
          <w:szCs w:val="20"/>
        </w:rPr>
        <w:t>t both materials possesses mechanical balance under average stress, making them promising for structural and high temperature applications.</w:t>
      </w:r>
    </w:p>
    <w:p w14:paraId="7375E735" w14:textId="77777777" w:rsidR="00AF34DF" w:rsidRDefault="00B10020">
      <w:pPr>
        <w:pStyle w:val="Heading4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0"/>
          <w:szCs w:val="20"/>
        </w:rPr>
        <w:t>3.3 Thermodynamic Properties</w:t>
      </w:r>
    </w:p>
    <w:p w14:paraId="0D33E0CE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>The thermodynamic characteristic of half-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compounds bestow vital comprehension i</w:t>
      </w:r>
      <w:r>
        <w:rPr>
          <w:rFonts w:ascii="Arial" w:hAnsi="Arial"/>
          <w:color w:val="000000"/>
          <w:sz w:val="20"/>
          <w:szCs w:val="20"/>
        </w:rPr>
        <w:t xml:space="preserve">nto their thermal stability, lattice dynamic, and high heat energy for both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Some of the thermodynamic parameters such as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Debye temperature (Θ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bscript"/>
        </w:rPr>
        <w:t>D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)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heat energy (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bscript"/>
        </w:rPr>
        <w:t>v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)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entropy (S)</w:t>
      </w:r>
      <w:r>
        <w:rPr>
          <w:rFonts w:ascii="Arial" w:hAnsi="Arial"/>
          <w:color w:val="000000"/>
          <w:sz w:val="20"/>
          <w:szCs w:val="20"/>
        </w:rPr>
        <w:t>, and linear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expansion coefficient (α)</w:t>
      </w:r>
      <w:r>
        <w:rPr>
          <w:rFonts w:ascii="Arial" w:hAnsi="Arial"/>
          <w:color w:val="000000"/>
          <w:sz w:val="20"/>
          <w:szCs w:val="20"/>
        </w:rPr>
        <w:t xml:space="preserve"> were simulated using 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quasi-harmonic Debye approximation (QHDA)</w:t>
      </w:r>
      <w:r>
        <w:rPr>
          <w:rFonts w:ascii="Arial" w:hAnsi="Arial"/>
          <w:color w:val="000000"/>
          <w:sz w:val="20"/>
          <w:szCs w:val="20"/>
        </w:rPr>
        <w:t xml:space="preserve"> based on the equilibrium structural data deduced from DFT simulations.</w:t>
      </w:r>
    </w:p>
    <w:p w14:paraId="1A43FEC1" w14:textId="77777777" w:rsidR="00AF34DF" w:rsidRDefault="00B10020"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The QHDA approach permit the prediction of temperature and pressure dependent outcome by taking into cognizant the lattice vibrations and their</w:t>
      </w:r>
      <w:r>
        <w:rPr>
          <w:rFonts w:ascii="Arial" w:hAnsi="Arial"/>
          <w:color w:val="000000"/>
          <w:sz w:val="20"/>
          <w:szCs w:val="20"/>
        </w:rPr>
        <w:t xml:space="preserve"> anharmonic contribution donation to free energy. The results are discussed as follows:</w:t>
      </w:r>
    </w:p>
    <w:p w14:paraId="3D90E344" w14:textId="77777777" w:rsidR="00AF34DF" w:rsidRDefault="00B10020">
      <w:pPr>
        <w:pStyle w:val="Heading4"/>
        <w:spacing w:line="276" w:lineRule="auto"/>
        <w:jc w:val="both"/>
      </w:pPr>
      <w:r>
        <w:rPr>
          <w:rStyle w:val="StrongEmphasis"/>
          <w:rFonts w:ascii="Arial" w:hAnsi="Arial"/>
          <w:b/>
          <w:color w:val="000000"/>
          <w:sz w:val="20"/>
          <w:szCs w:val="20"/>
        </w:rPr>
        <w:t>3.4 Debye Temperature (Θ</w:t>
      </w:r>
      <w:r>
        <w:rPr>
          <w:rStyle w:val="StrongEmphasis"/>
          <w:rFonts w:ascii="Arial" w:hAnsi="Arial"/>
          <w:b/>
          <w:color w:val="000000"/>
          <w:sz w:val="20"/>
          <w:szCs w:val="20"/>
          <w:vertAlign w:val="subscript"/>
        </w:rPr>
        <w:t>D</w:t>
      </w:r>
      <w:r>
        <w:rPr>
          <w:rStyle w:val="StrongEmphasis"/>
          <w:rFonts w:ascii="Arial" w:hAnsi="Arial"/>
          <w:b/>
          <w:color w:val="000000"/>
          <w:sz w:val="20"/>
          <w:szCs w:val="20"/>
        </w:rPr>
        <w:t>)</w:t>
      </w:r>
    </w:p>
    <w:p w14:paraId="7A6B8788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 xml:space="preserve">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Debye heat energy (Θ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bscript"/>
        </w:rPr>
        <w:t>D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)</w:t>
      </w:r>
      <w:r>
        <w:rPr>
          <w:rFonts w:ascii="Arial" w:hAnsi="Arial"/>
          <w:color w:val="000000"/>
          <w:sz w:val="20"/>
          <w:szCs w:val="20"/>
        </w:rPr>
        <w:t xml:space="preserve"> is a key parameter that harmonize with phonon vibration frequencies, lattice stiffness, and atomic bonding </w:t>
      </w:r>
      <w:proofErr w:type="spellStart"/>
      <w:r>
        <w:rPr>
          <w:rFonts w:ascii="Arial" w:hAnsi="Arial"/>
          <w:color w:val="000000"/>
          <w:sz w:val="20"/>
          <w:szCs w:val="20"/>
        </w:rPr>
        <w:t>strengh</w:t>
      </w:r>
      <w:r>
        <w:rPr>
          <w:rFonts w:ascii="Arial" w:hAnsi="Arial"/>
          <w:color w:val="000000"/>
          <w:sz w:val="20"/>
          <w:szCs w:val="20"/>
        </w:rPr>
        <w:t>t</w:t>
      </w:r>
      <w:proofErr w:type="spellEnd"/>
      <w:r>
        <w:rPr>
          <w:rFonts w:ascii="Arial" w:hAnsi="Arial"/>
          <w:color w:val="000000"/>
          <w:sz w:val="20"/>
          <w:szCs w:val="20"/>
        </w:rPr>
        <w:t>. A higher Θ</w:t>
      </w:r>
      <w:r>
        <w:rPr>
          <w:rFonts w:ascii="Arial" w:hAnsi="Arial"/>
          <w:color w:val="000000"/>
          <w:sz w:val="20"/>
          <w:szCs w:val="20"/>
          <w:vertAlign w:val="subscript"/>
        </w:rPr>
        <w:t>D</w:t>
      </w:r>
      <w:r>
        <w:rPr>
          <w:rFonts w:ascii="Arial" w:hAnsi="Arial"/>
          <w:color w:val="000000"/>
          <w:sz w:val="20"/>
          <w:szCs w:val="20"/>
        </w:rPr>
        <w:t xml:space="preserve"> often signifies enhance bonding and increased thermal conductivity. The simulated Θ</w:t>
      </w:r>
      <w:r>
        <w:rPr>
          <w:rFonts w:ascii="Arial" w:hAnsi="Arial"/>
          <w:color w:val="000000"/>
          <w:sz w:val="20"/>
          <w:szCs w:val="20"/>
          <w:vertAlign w:val="subscript"/>
        </w:rPr>
        <w:t xml:space="preserve">D </w:t>
      </w:r>
      <w:r>
        <w:rPr>
          <w:rFonts w:ascii="Arial" w:hAnsi="Arial"/>
          <w:color w:val="000000"/>
          <w:sz w:val="20"/>
          <w:szCs w:val="20"/>
        </w:rPr>
        <w:t xml:space="preserve">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at absolute minimum pressure and temperature are 135.77k and 330.90k, respectively. The slightly greater Θ</w:t>
      </w:r>
      <w:r>
        <w:rPr>
          <w:rFonts w:ascii="Arial" w:hAnsi="Arial"/>
          <w:color w:val="000000"/>
          <w:sz w:val="20"/>
          <w:szCs w:val="20"/>
          <w:vertAlign w:val="subscript"/>
        </w:rPr>
        <w:t>D</w:t>
      </w:r>
      <w:r>
        <w:rPr>
          <w:rFonts w:ascii="Arial" w:hAnsi="Arial"/>
          <w:color w:val="000000"/>
          <w:sz w:val="20"/>
          <w:szCs w:val="20"/>
        </w:rPr>
        <w:t xml:space="preserve"> of VRuSb signifies that it </w:t>
      </w:r>
      <w:r>
        <w:rPr>
          <w:rFonts w:ascii="Arial" w:hAnsi="Arial"/>
          <w:color w:val="000000"/>
          <w:sz w:val="20"/>
          <w:szCs w:val="20"/>
        </w:rPr>
        <w:t>possesses stronger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interatomic bonding</w:t>
      </w:r>
      <w:r>
        <w:rPr>
          <w:rFonts w:ascii="Arial" w:hAnsi="Arial"/>
          <w:color w:val="000000"/>
          <w:sz w:val="20"/>
          <w:szCs w:val="20"/>
        </w:rPr>
        <w:t xml:space="preserve"> and stronger lattice rigidity compared to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>. This pattern aligns with their elastic constants, which show that VRuSb has a greater bulk modulus. The findings suggest that VRuSb would be more at higher temperature,</w:t>
      </w:r>
      <w:r>
        <w:rPr>
          <w:rFonts w:ascii="Arial" w:hAnsi="Arial"/>
          <w:color w:val="000000"/>
          <w:sz w:val="20"/>
          <w:szCs w:val="20"/>
        </w:rPr>
        <w:t xml:space="preserve"> and more resistance to thermal agitation.</w:t>
      </w:r>
    </w:p>
    <w:p w14:paraId="0A3B78D3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2696F96A" w14:textId="12F3EB9D" w:rsidR="00AF34DF" w:rsidRDefault="00B10020">
      <w:pPr>
        <w:pStyle w:val="BodyText"/>
        <w:tabs>
          <w:tab w:val="left" w:pos="1519"/>
        </w:tabs>
        <w:spacing w:before="278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Table </w:t>
      </w:r>
      <w:r w:rsidR="00EF11A0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 The two half-</w:t>
      </w:r>
      <w:proofErr w:type="spellStart"/>
      <w:r>
        <w:rPr>
          <w:rFonts w:ascii="Arial" w:hAnsi="Arial"/>
          <w:sz w:val="20"/>
          <w:szCs w:val="20"/>
        </w:rPr>
        <w:t>heusler</w:t>
      </w:r>
      <w:proofErr w:type="spellEnd"/>
      <w:r>
        <w:rPr>
          <w:rFonts w:ascii="Arial" w:hAnsi="Arial"/>
          <w:sz w:val="20"/>
          <w:szCs w:val="20"/>
        </w:rPr>
        <w:t xml:space="preserve"> alloys were assessed based on their average sound velocity(</w:t>
      </w:r>
      <w:proofErr w:type="spellStart"/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  <w:vertAlign w:val="subscript"/>
        </w:rPr>
        <w:t>avg</w:t>
      </w:r>
      <w:proofErr w:type="spellEnd"/>
      <w:r>
        <w:rPr>
          <w:rFonts w:ascii="Arial" w:hAnsi="Arial"/>
          <w:sz w:val="20"/>
          <w:szCs w:val="20"/>
        </w:rPr>
        <w:t xml:space="preserve">  in m/s), Debye heat energy(</w:t>
      </w:r>
      <w:proofErr w:type="spellStart"/>
      <w:r>
        <w:rPr>
          <w:rFonts w:ascii="Arial" w:hAnsi="Arial"/>
          <w:sz w:val="20"/>
          <w:szCs w:val="20"/>
        </w:rPr>
        <w:t>θ</w:t>
      </w:r>
      <w:r>
        <w:rPr>
          <w:rFonts w:ascii="Arial" w:hAnsi="Arial"/>
          <w:sz w:val="20"/>
          <w:szCs w:val="20"/>
          <w:vertAlign w:val="subscript"/>
        </w:rPr>
        <w:t>D</w:t>
      </w:r>
      <w:proofErr w:type="spellEnd"/>
      <w:r>
        <w:rPr>
          <w:rFonts w:ascii="Arial" w:hAnsi="Arial"/>
          <w:sz w:val="20"/>
          <w:szCs w:val="20"/>
        </w:rPr>
        <w:t>), specific heat capacity(</w:t>
      </w:r>
      <w:proofErr w:type="spellStart"/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  <w:vertAlign w:val="subscript"/>
        </w:rPr>
        <w:t>v</w:t>
      </w:r>
      <w:proofErr w:type="spellEnd"/>
      <w:r>
        <w:rPr>
          <w:rFonts w:ascii="Arial" w:hAnsi="Arial"/>
          <w:sz w:val="20"/>
          <w:szCs w:val="20"/>
        </w:rPr>
        <w:t>), and zero-point energy(E</w:t>
      </w:r>
      <w:r>
        <w:rPr>
          <w:rFonts w:ascii="Arial" w:hAnsi="Arial"/>
          <w:sz w:val="20"/>
          <w:szCs w:val="20"/>
          <w:vertAlign w:val="subscript"/>
        </w:rPr>
        <w:t>0</w:t>
      </w:r>
      <w:r>
        <w:rPr>
          <w:rFonts w:ascii="Arial" w:hAnsi="Arial"/>
          <w:sz w:val="20"/>
          <w:szCs w:val="20"/>
        </w:rPr>
        <w:t xml:space="preserve"> in kJ/Nmol).</w:t>
      </w:r>
    </w:p>
    <w:tbl>
      <w:tblPr>
        <w:tblW w:w="6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1261"/>
        <w:gridCol w:w="1064"/>
        <w:gridCol w:w="1486"/>
        <w:gridCol w:w="1185"/>
      </w:tblGrid>
      <w:tr w:rsidR="00AF34DF" w14:paraId="1278D4FB" w14:textId="77777777">
        <w:tc>
          <w:tcPr>
            <w:tcW w:w="1409" w:type="dxa"/>
            <w:tcBorders>
              <w:top w:val="single" w:sz="6" w:space="0" w:color="000000"/>
              <w:bottom w:val="single" w:sz="6" w:space="0" w:color="000000"/>
            </w:tcBorders>
          </w:tcPr>
          <w:p w14:paraId="08EB2B4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Compounds</w:t>
            </w:r>
          </w:p>
        </w:tc>
        <w:tc>
          <w:tcPr>
            <w:tcW w:w="1261" w:type="dxa"/>
            <w:tcBorders>
              <w:top w:val="single" w:sz="6" w:space="0" w:color="000000"/>
              <w:bottom w:val="single" w:sz="6" w:space="0" w:color="000000"/>
            </w:tcBorders>
          </w:tcPr>
          <w:p w14:paraId="40E81F7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vertAlign w:val="subscript"/>
              </w:rPr>
              <w:t>v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(J/Nmol)</w:t>
            </w:r>
          </w:p>
        </w:tc>
        <w:tc>
          <w:tcPr>
            <w:tcW w:w="1064" w:type="dxa"/>
            <w:tcBorders>
              <w:top w:val="single" w:sz="6" w:space="0" w:color="000000"/>
              <w:bottom w:val="single" w:sz="6" w:space="0" w:color="000000"/>
            </w:tcBorders>
          </w:tcPr>
          <w:p w14:paraId="240C7F9C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Q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(K)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</w:tcBorders>
          </w:tcPr>
          <w:p w14:paraId="0E8859E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(KJ/Nmol)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</w:tcBorders>
          </w:tcPr>
          <w:p w14:paraId="1FEE4279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vertAlign w:val="subscript"/>
              </w:rPr>
              <w:t>avg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(m/s)</w:t>
            </w:r>
          </w:p>
        </w:tc>
      </w:tr>
      <w:tr w:rsidR="00AF34DF" w14:paraId="6ED40583" w14:textId="77777777">
        <w:tc>
          <w:tcPr>
            <w:tcW w:w="1409" w:type="dxa"/>
          </w:tcPr>
          <w:p w14:paraId="408F5D6D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VRhTe</w:t>
            </w:r>
            <w:proofErr w:type="spellEnd"/>
          </w:p>
        </w:tc>
        <w:tc>
          <w:tcPr>
            <w:tcW w:w="1261" w:type="dxa"/>
          </w:tcPr>
          <w:p w14:paraId="56FFF9EF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74.83</w:t>
            </w:r>
          </w:p>
        </w:tc>
        <w:tc>
          <w:tcPr>
            <w:tcW w:w="1064" w:type="dxa"/>
          </w:tcPr>
          <w:p w14:paraId="35242FC6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135.77</w:t>
            </w:r>
          </w:p>
        </w:tc>
        <w:tc>
          <w:tcPr>
            <w:tcW w:w="1486" w:type="dxa"/>
          </w:tcPr>
          <w:p w14:paraId="484992A0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185" w:type="dxa"/>
          </w:tcPr>
          <w:p w14:paraId="498AD9D8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1216.04</w:t>
            </w:r>
          </w:p>
        </w:tc>
      </w:tr>
      <w:tr w:rsidR="00AF34DF" w14:paraId="343A0382" w14:textId="77777777">
        <w:tc>
          <w:tcPr>
            <w:tcW w:w="1409" w:type="dxa"/>
            <w:tcBorders>
              <w:bottom w:val="single" w:sz="6" w:space="0" w:color="000000"/>
            </w:tcBorders>
          </w:tcPr>
          <w:p w14:paraId="56E46ED2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VRuSb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14:paraId="147C4E6D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 w14:paraId="7FD960CB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330.90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14:paraId="51634A99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9.28</w:t>
            </w:r>
          </w:p>
        </w:tc>
        <w:tc>
          <w:tcPr>
            <w:tcW w:w="1185" w:type="dxa"/>
            <w:tcBorders>
              <w:bottom w:val="single" w:sz="6" w:space="0" w:color="000000"/>
            </w:tcBorders>
          </w:tcPr>
          <w:p w14:paraId="6931BD5A" w14:textId="77777777" w:rsidR="00AF34DF" w:rsidRDefault="00B1002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2934.57</w:t>
            </w:r>
          </w:p>
        </w:tc>
      </w:tr>
    </w:tbl>
    <w:p w14:paraId="30A55597" w14:textId="77777777" w:rsidR="00AF34DF" w:rsidRDefault="00AF34DF">
      <w:pPr>
        <w:pStyle w:val="BodyText"/>
        <w:spacing w:line="240" w:lineRule="auto"/>
        <w:rPr>
          <w:rFonts w:ascii="Arial" w:hAnsi="Arial"/>
          <w:sz w:val="20"/>
          <w:szCs w:val="20"/>
        </w:rPr>
      </w:pPr>
    </w:p>
    <w:p w14:paraId="51D140A5" w14:textId="77777777" w:rsidR="00AF34DF" w:rsidRDefault="00AF34DF">
      <w:pPr>
        <w:pStyle w:val="BodyText"/>
        <w:rPr>
          <w:rFonts w:ascii="Century Schoolbook" w:hAnsi="Century Schoolbook"/>
          <w:sz w:val="18"/>
          <w:szCs w:val="18"/>
        </w:rPr>
      </w:pPr>
    </w:p>
    <w:p w14:paraId="63A9DC05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066AA31B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43FFFCE1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4E9514CF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484C3792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2EFCA4DF" w14:textId="77777777" w:rsidR="00AF34DF" w:rsidRDefault="00B10020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  <w:r>
        <w:rPr>
          <w:rFonts w:ascii="Century Schoolbook" w:hAnsi="Century Schoolbook"/>
          <w:noProof/>
          <w:sz w:val="18"/>
          <w:szCs w:val="18"/>
        </w:rPr>
        <w:lastRenderedPageBreak/>
        <w:drawing>
          <wp:anchor distT="275590" distB="278765" distL="0" distR="0" simplePos="0" relativeHeight="4" behindDoc="0" locked="0" layoutInCell="0" allowOverlap="1" wp14:anchorId="3ED15650" wp14:editId="7FE91439">
            <wp:simplePos x="0" y="0"/>
            <wp:positionH relativeFrom="column">
              <wp:posOffset>1386840</wp:posOffset>
            </wp:positionH>
            <wp:positionV relativeFrom="paragraph">
              <wp:posOffset>-285750</wp:posOffset>
            </wp:positionV>
            <wp:extent cx="3730625" cy="4367530"/>
            <wp:effectExtent l="0" t="0" r="0" b="0"/>
            <wp:wrapSquare wrapText="largest"/>
            <wp:docPr id="5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/>
                  </pic:nvPicPr>
                  <pic:blipFill>
                    <a:blip r:embed="rId15"/>
                    <a:stretch/>
                  </pic:blipFill>
                  <pic:spPr>
                    <a:xfrm rot="5400000">
                      <a:off x="0" y="0"/>
                      <a:ext cx="3730680" cy="43675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2D4DC7C5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1BF5925B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36FC72F8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0DD359A1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00223E8C" w14:textId="77777777" w:rsidR="00AF34DF" w:rsidRDefault="00B10020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3CC63828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</w:p>
    <w:p w14:paraId="1B653253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</w:p>
    <w:p w14:paraId="14484936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</w:p>
    <w:p w14:paraId="342D52CB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</w:p>
    <w:p w14:paraId="49CDF5BC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</w:p>
    <w:p w14:paraId="7D590BC7" w14:textId="77777777" w:rsidR="00AF34DF" w:rsidRDefault="00B10020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</w:p>
    <w:p w14:paraId="5C25D35E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</w:pPr>
    </w:p>
    <w:p w14:paraId="322AA394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Arial" w:hAnsi="Arial"/>
          <w:sz w:val="20"/>
          <w:szCs w:val="20"/>
        </w:rPr>
      </w:pPr>
    </w:p>
    <w:p w14:paraId="28D223DB" w14:textId="77777777" w:rsidR="00AF34DF" w:rsidRDefault="00B10020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Fig.3: (a). Charts that illustrates the link between the temperature(K) and the </w:t>
      </w:r>
      <w:proofErr w:type="spellStart"/>
      <w:r>
        <w:rPr>
          <w:rFonts w:ascii="Arial" w:hAnsi="Arial"/>
          <w:sz w:val="20"/>
          <w:szCs w:val="20"/>
        </w:rPr>
        <w:t>debye</w:t>
      </w:r>
      <w:proofErr w:type="spellEnd"/>
      <w:r>
        <w:rPr>
          <w:rFonts w:ascii="Arial" w:hAnsi="Arial"/>
          <w:sz w:val="20"/>
          <w:szCs w:val="20"/>
        </w:rPr>
        <w:t xml:space="preserve"> vibrational energy. </w:t>
      </w:r>
      <w:r>
        <w:rPr>
          <w:rFonts w:ascii="Arial" w:hAnsi="Arial"/>
          <w:color w:val="000000"/>
          <w:sz w:val="20"/>
          <w:szCs w:val="20"/>
        </w:rPr>
        <w:t xml:space="preserve">(b). </w:t>
      </w:r>
      <w:proofErr w:type="spellStart"/>
      <w:r>
        <w:rPr>
          <w:rFonts w:ascii="Arial" w:hAnsi="Arial"/>
          <w:color w:val="000000"/>
          <w:sz w:val="20"/>
          <w:szCs w:val="20"/>
        </w:rPr>
        <w:t>Illutrates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the relationship between temperature (K) and the free energy of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vibrations. (c). Present Debye entropy, as a function of tempera</w:t>
      </w:r>
      <w:r>
        <w:rPr>
          <w:rFonts w:ascii="Arial" w:hAnsi="Arial"/>
          <w:color w:val="000000"/>
          <w:sz w:val="20"/>
          <w:szCs w:val="20"/>
        </w:rPr>
        <w:t xml:space="preserve">ture (K). (d).  Present the correlation between temperature(K) and the Debye heat capacity </w:t>
      </w:r>
      <w:proofErr w:type="spellStart"/>
      <w:r>
        <w:rPr>
          <w:rFonts w:ascii="Arial" w:hAnsi="Arial"/>
          <w:color w:val="000000"/>
          <w:sz w:val="20"/>
          <w:szCs w:val="20"/>
        </w:rPr>
        <w:t>C</w:t>
      </w:r>
      <w:r>
        <w:rPr>
          <w:rFonts w:ascii="Arial" w:hAnsi="Arial"/>
          <w:color w:val="000000"/>
          <w:sz w:val="20"/>
          <w:szCs w:val="20"/>
          <w:vertAlign w:val="subscript"/>
        </w:rPr>
        <w:t>v</w:t>
      </w:r>
      <w:proofErr w:type="spellEnd"/>
      <w:r>
        <w:rPr>
          <w:rFonts w:ascii="Arial" w:hAnsi="Arial"/>
          <w:color w:val="000000"/>
          <w:sz w:val="20"/>
          <w:szCs w:val="20"/>
          <w:vertAlign w:val="subscript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all in  (KJ/K(Nmol)) respectively.</w:t>
      </w:r>
    </w:p>
    <w:p w14:paraId="20B66027" w14:textId="77777777" w:rsidR="00AF34DF" w:rsidRDefault="00AF34DF">
      <w:pPr>
        <w:pStyle w:val="BodyText"/>
        <w:tabs>
          <w:tab w:val="left" w:pos="1519"/>
        </w:tabs>
        <w:spacing w:before="278" w:after="0" w:line="360" w:lineRule="auto"/>
        <w:jc w:val="both"/>
        <w:rPr>
          <w:rFonts w:ascii="Times New Roman" w:hAnsi="Times New Roman"/>
        </w:rPr>
      </w:pPr>
    </w:p>
    <w:p w14:paraId="0F93789C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2786B43E" w14:textId="77777777" w:rsidR="00AF34DF" w:rsidRDefault="00B10020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Figure 3.(a): The enthalpy of the system is shown by the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vibrational energy against the temperat</w:t>
      </w:r>
      <w:r>
        <w:rPr>
          <w:rFonts w:ascii="Arial" w:hAnsi="Arial"/>
          <w:color w:val="000000"/>
          <w:sz w:val="20"/>
          <w:szCs w:val="20"/>
        </w:rPr>
        <w:t xml:space="preserve">ure graph. As the </w:t>
      </w:r>
      <w:proofErr w:type="spellStart"/>
      <w:r>
        <w:rPr>
          <w:rFonts w:ascii="Arial" w:hAnsi="Arial"/>
          <w:color w:val="000000"/>
          <w:sz w:val="20"/>
          <w:szCs w:val="20"/>
        </w:rPr>
        <w:t>tempearture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rises, enthalpy increases as well, the temperature varies from 0 to 800K. The compound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posseses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 greater enthalpy with temperature variation. A unit of thermodynamic measure of energy is enthalpy. It signifies a system'</w:t>
      </w:r>
      <w:r>
        <w:rPr>
          <w:rFonts w:ascii="Arial" w:hAnsi="Arial"/>
          <w:color w:val="000000"/>
          <w:sz w:val="20"/>
          <w:szCs w:val="20"/>
        </w:rPr>
        <w:t xml:space="preserve">s peak thermal power, which is determined by the aggregate of internal free energy and the pressure-volume work. (b): The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vibrational free energy for the compounds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shown against </w:t>
      </w:r>
      <w:proofErr w:type="spellStart"/>
      <w:r>
        <w:rPr>
          <w:rFonts w:ascii="Arial" w:hAnsi="Arial"/>
          <w:color w:val="000000"/>
          <w:sz w:val="20"/>
          <w:szCs w:val="20"/>
        </w:rPr>
        <w:t>temperatue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in the plot. The term “free energy” frequ</w:t>
      </w:r>
      <w:r>
        <w:rPr>
          <w:rFonts w:ascii="Arial" w:hAnsi="Arial"/>
          <w:color w:val="000000"/>
          <w:sz w:val="20"/>
          <w:szCs w:val="20"/>
        </w:rPr>
        <w:t xml:space="preserve">ently refers to the quality of energy available to carry-out advantageous tasks within a system. Furthermore, free energy is a thermodynamic prospective that depends on the entropy and the inner energy of the system. Consequently, VRuSb has a higher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vibrational free energy than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(c): The chart illustrates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entropy in relation to temperature. Entropy </w:t>
      </w:r>
      <w:proofErr w:type="spellStart"/>
      <w:r>
        <w:rPr>
          <w:rFonts w:ascii="Arial" w:hAnsi="Arial"/>
          <w:color w:val="000000"/>
          <w:sz w:val="20"/>
          <w:szCs w:val="20"/>
        </w:rPr>
        <w:t>qunantifies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the degree of variability or dispersion in the energy of the atoms or molecules that make up a system. Consequently, energy get mor</w:t>
      </w:r>
      <w:r>
        <w:rPr>
          <w:rFonts w:ascii="Arial" w:hAnsi="Arial"/>
          <w:color w:val="000000"/>
          <w:sz w:val="20"/>
          <w:szCs w:val="20"/>
        </w:rPr>
        <w:t xml:space="preserve">e evenly distributed as entropy increases, resulting in a system that is less organized and more chaotic. Furthermore, a notable feature of thermal systems is their dependence on the quantity of matter, which is employed to </w:t>
      </w:r>
      <w:proofErr w:type="spellStart"/>
      <w:r>
        <w:rPr>
          <w:rFonts w:ascii="Arial" w:hAnsi="Arial"/>
          <w:color w:val="000000"/>
          <w:sz w:val="20"/>
          <w:szCs w:val="20"/>
        </w:rPr>
        <w:t>determined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the degree of order i</w:t>
      </w:r>
      <w:r>
        <w:rPr>
          <w:rFonts w:ascii="Arial" w:hAnsi="Arial"/>
          <w:color w:val="000000"/>
          <w:sz w:val="20"/>
          <w:szCs w:val="20"/>
        </w:rPr>
        <w:t>n the system. This inherent characteristic of thermodynamic system indicates that the value fluctuates with the amount of material present. There are two possible values for entropy; negative and positive. Consequently, the second law of thermodynamic sate</w:t>
      </w:r>
      <w:r>
        <w:rPr>
          <w:rFonts w:ascii="Arial" w:hAnsi="Arial"/>
          <w:color w:val="000000"/>
          <w:sz w:val="20"/>
          <w:szCs w:val="20"/>
        </w:rPr>
        <w:t xml:space="preserve">s that “a system entropy may only drop if another system entropy increases. (d): The chart present the findings of the investigation of the heat capabilities of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. The dynamic heat capacity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is higher than that of VRuSb. </w:t>
      </w:r>
      <w:r>
        <w:rPr>
          <w:rFonts w:ascii="Arial" w:hAnsi="Arial"/>
          <w:color w:val="000000"/>
          <w:sz w:val="20"/>
          <w:szCs w:val="20"/>
        </w:rPr>
        <w:lastRenderedPageBreak/>
        <w:t xml:space="preserve">Hence, </w:t>
      </w:r>
      <w:proofErr w:type="spellStart"/>
      <w:r>
        <w:rPr>
          <w:rFonts w:ascii="Arial" w:hAnsi="Arial"/>
          <w:color w:val="000000"/>
          <w:sz w:val="20"/>
          <w:szCs w:val="20"/>
        </w:rPr>
        <w:t>VRh</w:t>
      </w:r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a material that is more suitable for application in optoelectronic devices. Consequently, the material exhibits better thermal transformation at the temperature if its </w:t>
      </w:r>
      <w:proofErr w:type="spellStart"/>
      <w:r>
        <w:rPr>
          <w:rFonts w:ascii="Arial" w:hAnsi="Arial"/>
          <w:color w:val="000000"/>
          <w:sz w:val="20"/>
          <w:szCs w:val="20"/>
        </w:rPr>
        <w:t>debye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heat energy is higher. Therefore, at low temperatures, the specific heat cap</w:t>
      </w:r>
      <w:r>
        <w:rPr>
          <w:rFonts w:ascii="Arial" w:hAnsi="Arial"/>
          <w:color w:val="000000"/>
          <w:sz w:val="20"/>
          <w:szCs w:val="20"/>
        </w:rPr>
        <w:t xml:space="preserve">acity plot for the two materials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demostrates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adherence to the T</w:t>
      </w:r>
      <w:r>
        <w:rPr>
          <w:rFonts w:ascii="Arial" w:hAnsi="Arial"/>
          <w:color w:val="000000"/>
          <w:sz w:val="20"/>
          <w:szCs w:val="20"/>
          <w:vertAlign w:val="superscript"/>
        </w:rPr>
        <w:t>3</w:t>
      </w:r>
      <w:r>
        <w:rPr>
          <w:rFonts w:ascii="Arial" w:hAnsi="Arial"/>
          <w:color w:val="000000"/>
          <w:sz w:val="20"/>
          <w:szCs w:val="20"/>
        </w:rPr>
        <w:t xml:space="preserve"> rule; at higher temperature, it adhere to the law of Dulong and Petit.</w:t>
      </w:r>
    </w:p>
    <w:p w14:paraId="75BD7182" w14:textId="77777777" w:rsidR="00AF34DF" w:rsidRDefault="00B10020" w:rsidP="00707F41">
      <w:pPr>
        <w:pStyle w:val="Heading3"/>
        <w:tabs>
          <w:tab w:val="left" w:pos="1519"/>
        </w:tabs>
        <w:spacing w:before="278" w:after="0" w:line="276" w:lineRule="auto"/>
      </w:pPr>
      <w:r>
        <w:rPr>
          <w:rStyle w:val="StrongEmphasis"/>
          <w:rFonts w:ascii="Arial" w:hAnsi="Arial"/>
          <w:b/>
          <w:color w:val="000000"/>
          <w:sz w:val="20"/>
          <w:szCs w:val="20"/>
        </w:rPr>
        <w:t>3.5 Phonon Properties</w:t>
      </w:r>
    </w:p>
    <w:p w14:paraId="7FB870E6" w14:textId="77777777" w:rsidR="00AF34DF" w:rsidRDefault="00B10020" w:rsidP="00707F41">
      <w:pPr>
        <w:pStyle w:val="BodyText"/>
      </w:pPr>
      <w:r>
        <w:rPr>
          <w:rFonts w:ascii="Arial" w:hAnsi="Arial"/>
          <w:color w:val="000000"/>
          <w:sz w:val="20"/>
          <w:szCs w:val="20"/>
        </w:rPr>
        <w:t xml:space="preserve">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phonon properties</w:t>
      </w:r>
      <w:r>
        <w:rPr>
          <w:rFonts w:ascii="Arial" w:hAnsi="Arial"/>
          <w:color w:val="000000"/>
          <w:sz w:val="20"/>
          <w:szCs w:val="20"/>
        </w:rPr>
        <w:t xml:space="preserve"> of crystalline materials provide crucial insight into their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lattice dynamics, thermal stability, and thermodynamic behavior</w:t>
      </w:r>
      <w:r>
        <w:rPr>
          <w:rFonts w:ascii="Arial" w:hAnsi="Arial"/>
          <w:color w:val="000000"/>
          <w:sz w:val="20"/>
          <w:szCs w:val="20"/>
        </w:rPr>
        <w:t xml:space="preserve">. This work estimated the phonon dispersion curves and related phonon density of states (PHDOS)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000000"/>
          <w:sz w:val="20"/>
          <w:szCs w:val="20"/>
        </w:rPr>
        <w:t>VRhSb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using density functional theory (DFT) based on </w:t>
      </w:r>
      <w:proofErr w:type="spellStart"/>
      <w:r>
        <w:rPr>
          <w:rFonts w:ascii="Arial" w:hAnsi="Arial"/>
          <w:color w:val="000000"/>
          <w:sz w:val="20"/>
          <w:szCs w:val="20"/>
        </w:rPr>
        <w:t>optimised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structures. The res</w:t>
      </w:r>
      <w:r>
        <w:rPr>
          <w:rFonts w:ascii="Arial" w:hAnsi="Arial"/>
          <w:color w:val="000000"/>
          <w:sz w:val="20"/>
          <w:szCs w:val="20"/>
        </w:rPr>
        <w:t xml:space="preserve">ults reveal key information about 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dynamical stability</w:t>
      </w:r>
      <w:r>
        <w:rPr>
          <w:rFonts w:ascii="Arial" w:hAnsi="Arial"/>
          <w:color w:val="000000"/>
          <w:sz w:val="20"/>
          <w:szCs w:val="20"/>
        </w:rPr>
        <w:t xml:space="preserve"> and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vibrational characteristics</w:t>
      </w:r>
      <w:r>
        <w:rPr>
          <w:rFonts w:ascii="Arial" w:hAnsi="Arial"/>
          <w:color w:val="000000"/>
          <w:sz w:val="20"/>
          <w:szCs w:val="20"/>
        </w:rPr>
        <w:t xml:space="preserve"> of both compounds</w:t>
      </w:r>
    </w:p>
    <w:p w14:paraId="61D01E50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0827DF86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7CB6BFD6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09EA82BC" w14:textId="77777777" w:rsidR="00AF34DF" w:rsidRDefault="00B10020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474980" distB="475615" distL="0" distR="0" simplePos="0" relativeHeight="5" behindDoc="0" locked="0" layoutInCell="0" allowOverlap="1" wp14:anchorId="2BB9D4C1" wp14:editId="1323C84F">
            <wp:simplePos x="0" y="0"/>
            <wp:positionH relativeFrom="column">
              <wp:posOffset>984885</wp:posOffset>
            </wp:positionH>
            <wp:positionV relativeFrom="paragraph">
              <wp:posOffset>-173355</wp:posOffset>
            </wp:positionV>
            <wp:extent cx="4040505" cy="4569460"/>
            <wp:effectExtent l="0" t="0" r="6350" b="0"/>
            <wp:wrapSquare wrapText="largest"/>
            <wp:docPr id="7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/>
                    <pic:cNvPicPr/>
                  </pic:nvPicPr>
                  <pic:blipFill>
                    <a:blip r:embed="rId16"/>
                    <a:stretch/>
                  </pic:blipFill>
                  <pic:spPr>
                    <a:xfrm rot="5400000">
                      <a:off x="0" y="0"/>
                      <a:ext cx="4040640" cy="45694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04A621DE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746E04A2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3BB4A387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1BF24272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37EBBF12" w14:textId="77777777" w:rsidR="00AF34DF" w:rsidRDefault="00AF34DF">
      <w:pPr>
        <w:pStyle w:val="BodyText"/>
        <w:jc w:val="both"/>
        <w:rPr>
          <w:rFonts w:ascii="Times New Roman" w:hAnsi="Times New Roman"/>
        </w:rPr>
      </w:pPr>
    </w:p>
    <w:p w14:paraId="6A0DDD18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30E7CD78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47C22FB6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7FAD3F04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34577DDB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1B8408B6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334EF2E7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76C95803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254271F6" w14:textId="77777777" w:rsidR="00AF34DF" w:rsidRDefault="00AF34DF">
      <w:pPr>
        <w:pStyle w:val="BodyText"/>
        <w:tabs>
          <w:tab w:val="left" w:pos="1519"/>
        </w:tabs>
        <w:spacing w:before="278" w:after="0" w:line="240" w:lineRule="auto"/>
        <w:jc w:val="both"/>
        <w:rPr>
          <w:rFonts w:ascii="Century Schoolbook" w:hAnsi="Century Schoolbook"/>
          <w:sz w:val="18"/>
          <w:szCs w:val="18"/>
        </w:rPr>
      </w:pPr>
    </w:p>
    <w:p w14:paraId="011AC269" w14:textId="77777777" w:rsidR="00AF34DF" w:rsidRDefault="00AF34DF">
      <w:pPr>
        <w:pStyle w:val="BodyText"/>
        <w:jc w:val="both"/>
        <w:rPr>
          <w:rStyle w:val="StrongEmphasis"/>
          <w:rFonts w:ascii="Arial" w:hAnsi="Arial"/>
          <w:b w:val="0"/>
          <w:bCs w:val="0"/>
          <w:sz w:val="20"/>
          <w:szCs w:val="20"/>
        </w:rPr>
      </w:pPr>
    </w:p>
    <w:p w14:paraId="7AA0FA07" w14:textId="77777777" w:rsidR="00AF34DF" w:rsidRDefault="00AF34DF">
      <w:pPr>
        <w:pStyle w:val="BodyText"/>
        <w:jc w:val="both"/>
        <w:rPr>
          <w:rStyle w:val="StrongEmphasis"/>
          <w:rFonts w:ascii="Arial" w:hAnsi="Arial"/>
          <w:b w:val="0"/>
          <w:bCs w:val="0"/>
          <w:sz w:val="20"/>
          <w:szCs w:val="20"/>
        </w:rPr>
      </w:pPr>
    </w:p>
    <w:p w14:paraId="0CA4CE1E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Fig. 4: The phonon dispersion relations and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Phonon Density of States (PDOS)  for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VRhTe</w:t>
      </w:r>
      <w:proofErr w:type="spellEnd"/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 </w:t>
      </w:r>
    </w:p>
    <w:p w14:paraId="2983FF62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47E92C11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574C5D5E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27A6CD25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4518D0CB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640ED91B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28ABC716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61016E82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0EF95110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0DA79281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70AC2179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168D0B28" w14:textId="77777777" w:rsidR="00AF34DF" w:rsidRDefault="00B10020">
      <w:pPr>
        <w:pStyle w:val="BodyText"/>
        <w:jc w:val="both"/>
        <w:rPr>
          <w:rStyle w:val="StrongEmphasis"/>
          <w:b w:val="0"/>
          <w:bCs w:val="0"/>
        </w:rPr>
      </w:pPr>
      <w:r>
        <w:rPr>
          <w:noProof/>
        </w:rPr>
        <w:drawing>
          <wp:anchor distT="635" distB="0" distL="0" distR="0" simplePos="0" relativeHeight="6" behindDoc="0" locked="0" layoutInCell="0" allowOverlap="1" wp14:anchorId="5EC82A28" wp14:editId="400627DC">
            <wp:simplePos x="0" y="0"/>
            <wp:positionH relativeFrom="column">
              <wp:posOffset>1608455</wp:posOffset>
            </wp:positionH>
            <wp:positionV relativeFrom="paragraph">
              <wp:posOffset>-768985</wp:posOffset>
            </wp:positionV>
            <wp:extent cx="3218815" cy="4713605"/>
            <wp:effectExtent l="0" t="0" r="17145" b="0"/>
            <wp:wrapSquare wrapText="largest"/>
            <wp:docPr id="9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"/>
                    <pic:cNvPicPr/>
                  </pic:nvPicPr>
                  <pic:blipFill>
                    <a:blip r:embed="rId17"/>
                    <a:stretch/>
                  </pic:blipFill>
                  <pic:spPr>
                    <a:xfrm rot="5400000">
                      <a:off x="0" y="0"/>
                      <a:ext cx="3218760" cy="47134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3BF1BC19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43C9D842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317A3943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38F39EA6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751A21F0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0694FA03" w14:textId="77777777" w:rsidR="00AF34DF" w:rsidRDefault="00AF34DF">
      <w:pPr>
        <w:pStyle w:val="BodyText"/>
        <w:jc w:val="both"/>
        <w:rPr>
          <w:rStyle w:val="StrongEmphasis"/>
          <w:b w:val="0"/>
          <w:bCs w:val="0"/>
        </w:rPr>
      </w:pPr>
    </w:p>
    <w:p w14:paraId="1C480874" w14:textId="77777777" w:rsidR="00AF34DF" w:rsidRDefault="00AF34DF">
      <w:pPr>
        <w:pStyle w:val="BodyText"/>
        <w:jc w:val="both"/>
        <w:rPr>
          <w:rStyle w:val="StrongEmphasis"/>
        </w:rPr>
      </w:pPr>
    </w:p>
    <w:p w14:paraId="127908EF" w14:textId="77777777" w:rsidR="00AF34DF" w:rsidRDefault="00AF34DF">
      <w:pPr>
        <w:pStyle w:val="BodyText"/>
        <w:jc w:val="both"/>
        <w:rPr>
          <w:rStyle w:val="StrongEmphasis"/>
        </w:rPr>
      </w:pPr>
    </w:p>
    <w:p w14:paraId="4858748B" w14:textId="77777777" w:rsidR="00AF34DF" w:rsidRDefault="00AF34DF">
      <w:pPr>
        <w:pStyle w:val="Heading3"/>
        <w:jc w:val="both"/>
        <w:rPr>
          <w:rStyle w:val="StrongEmphasis"/>
        </w:rPr>
      </w:pPr>
    </w:p>
    <w:p w14:paraId="047BC96C" w14:textId="77777777" w:rsidR="00AF34DF" w:rsidRDefault="00AF34DF">
      <w:pPr>
        <w:pStyle w:val="BodyText"/>
        <w:spacing w:line="360" w:lineRule="auto"/>
        <w:jc w:val="both"/>
        <w:rPr>
          <w:rStyle w:val="StrongEmphasis"/>
          <w:rFonts w:ascii="Times New Roman" w:hAnsi="Times New Roman"/>
        </w:rPr>
      </w:pPr>
    </w:p>
    <w:p w14:paraId="1BEAEE4E" w14:textId="77777777" w:rsidR="00AF34DF" w:rsidRDefault="00AF34DF">
      <w:pPr>
        <w:pStyle w:val="BodyText"/>
        <w:spacing w:line="360" w:lineRule="auto"/>
        <w:jc w:val="both"/>
        <w:rPr>
          <w:rStyle w:val="StrongEmphasis"/>
          <w:rFonts w:ascii="Times New Roman" w:hAnsi="Times New Roman"/>
        </w:rPr>
      </w:pPr>
    </w:p>
    <w:p w14:paraId="1EC4F769" w14:textId="77777777" w:rsidR="00AF34DF" w:rsidRDefault="00AF34DF">
      <w:pPr>
        <w:pStyle w:val="BodyText"/>
        <w:spacing w:line="360" w:lineRule="auto"/>
        <w:jc w:val="both"/>
        <w:rPr>
          <w:rStyle w:val="StrongEmphasis"/>
          <w:rFonts w:ascii="Times New Roman" w:hAnsi="Times New Roman"/>
          <w:b w:val="0"/>
          <w:bCs w:val="0"/>
        </w:rPr>
      </w:pPr>
    </w:p>
    <w:p w14:paraId="05543F28" w14:textId="3E709614" w:rsidR="00AF34DF" w:rsidRDefault="00B10020">
      <w:pPr>
        <w:pStyle w:val="BodyText"/>
        <w:spacing w:line="360" w:lineRule="auto"/>
        <w:jc w:val="both"/>
      </w:pPr>
      <w:r>
        <w:rPr>
          <w:rStyle w:val="StrongEmphasis"/>
          <w:rFonts w:ascii="Arial" w:hAnsi="Arial"/>
          <w:b w:val="0"/>
          <w:bCs w:val="0"/>
          <w:sz w:val="20"/>
          <w:szCs w:val="20"/>
        </w:rPr>
        <w:t>Fig. 5</w:t>
      </w:r>
      <w:r w:rsidR="000D432D"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 a &amp; 5b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 xml:space="preserve">: 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The Phonon Density of States (PDOS) and phonon dispersion relations for VRuSb.</w:t>
      </w:r>
    </w:p>
    <w:p w14:paraId="0C078400" w14:textId="77777777" w:rsidR="00AF34DF" w:rsidRDefault="00AF34DF">
      <w:pPr>
        <w:sectPr w:rsidR="00AF34DF">
          <w:type w:val="continuous"/>
          <w:pgSz w:w="11906" w:h="16838"/>
          <w:pgMar w:top="1134" w:right="1134" w:bottom="1693" w:left="1134" w:header="0" w:footer="1134" w:gutter="0"/>
          <w:cols w:space="720"/>
          <w:formProt w:val="0"/>
          <w:docGrid w:linePitch="100"/>
        </w:sectPr>
      </w:pPr>
    </w:p>
    <w:p w14:paraId="175FBCC2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Positive phonon frequencies are present in both compounds over the whole Brillouin zone, with no imaginary modes, predicting thei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r dynamical stability at ambient pressure and zero temperature. </w:t>
      </w:r>
    </w:p>
    <w:p w14:paraId="4ED92043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In both systems, the acoustic phonon branches show smooth dispersion from the Γ-point, indicating strong interatomic bonding and uniform lattice interactions. The optical branches are more pr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onounced in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VRhSb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on account of heavier atomic mass of Sb contrast to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Te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, which causes a downward shift in phonon frequencies and a narrower band gap between acoustic and optical modes.</w:t>
      </w:r>
    </w:p>
    <w:p w14:paraId="7AB7969C" w14:textId="77777777" w:rsidR="00AF34DF" w:rsidRDefault="00B10020">
      <w:pPr>
        <w:pStyle w:val="BodyText"/>
        <w:tabs>
          <w:tab w:val="left" w:pos="1519"/>
        </w:tabs>
        <w:spacing w:before="221" w:after="0"/>
        <w:jc w:val="both"/>
      </w:pPr>
      <w:r>
        <w:rPr>
          <w:rFonts w:ascii="Arial" w:hAnsi="Arial"/>
          <w:color w:val="000000"/>
          <w:sz w:val="20"/>
          <w:szCs w:val="20"/>
        </w:rPr>
        <w:t xml:space="preserve">The phonon dissemination curve is position in the inner symmetry area </w:t>
      </w:r>
      <w:r>
        <w:rPr>
          <w:rFonts w:ascii="Arial" w:hAnsi="Arial"/>
          <w:color w:val="000000"/>
          <w:sz w:val="20"/>
          <w:szCs w:val="20"/>
        </w:rPr>
        <w:t xml:space="preserve">of </w:t>
      </w:r>
      <w:r>
        <w:rPr>
          <w:rFonts w:ascii="Arial" w:hAnsi="Arial"/>
          <w:color w:val="000000"/>
          <w:sz w:val="20"/>
          <w:szCs w:val="20"/>
        </w:rPr>
        <w:t>𝛤</w:t>
      </w:r>
      <w:r>
        <w:rPr>
          <w:rFonts w:ascii="Arial" w:hAnsi="Arial"/>
          <w:color w:val="000000"/>
          <w:sz w:val="20"/>
          <w:szCs w:val="20"/>
        </w:rPr>
        <w:t xml:space="preserve"> − </w:t>
      </w:r>
      <w:r>
        <w:rPr>
          <w:rFonts w:ascii="Arial" w:hAnsi="Arial"/>
          <w:color w:val="000000"/>
          <w:sz w:val="20"/>
          <w:szCs w:val="20"/>
        </w:rPr>
        <w:t>𝑋</w:t>
      </w:r>
      <w:r>
        <w:rPr>
          <w:rFonts w:ascii="Arial" w:hAnsi="Arial"/>
          <w:color w:val="000000"/>
          <w:sz w:val="20"/>
          <w:szCs w:val="20"/>
        </w:rPr>
        <w:t xml:space="preserve"> − K − </w:t>
      </w:r>
      <w:r>
        <w:rPr>
          <w:rFonts w:ascii="Arial" w:hAnsi="Arial"/>
          <w:color w:val="000000"/>
          <w:sz w:val="20"/>
          <w:szCs w:val="20"/>
        </w:rPr>
        <w:t>𝛤</w:t>
      </w:r>
      <w:r>
        <w:rPr>
          <w:rFonts w:ascii="Arial" w:hAnsi="Arial"/>
          <w:color w:val="000000"/>
          <w:sz w:val="20"/>
          <w:szCs w:val="20"/>
        </w:rPr>
        <w:t xml:space="preserve"> − L − W − </w:t>
      </w:r>
      <w:r>
        <w:rPr>
          <w:rFonts w:ascii="Arial" w:hAnsi="Arial"/>
          <w:color w:val="000000"/>
          <w:sz w:val="20"/>
          <w:szCs w:val="20"/>
        </w:rPr>
        <w:t>𝑋</w:t>
      </w:r>
      <w:r>
        <w:rPr>
          <w:rFonts w:ascii="Arial" w:hAnsi="Arial"/>
          <w:color w:val="000000"/>
          <w:sz w:val="20"/>
          <w:szCs w:val="20"/>
        </w:rPr>
        <w:t xml:space="preserve">, as seen in Fig. 4(a). The </w:t>
      </w:r>
      <w:proofErr w:type="spellStart"/>
      <w:r>
        <w:rPr>
          <w:rFonts w:ascii="Arial" w:hAnsi="Arial"/>
          <w:color w:val="000000"/>
          <w:sz w:val="20"/>
          <w:szCs w:val="20"/>
        </w:rPr>
        <w:t>primeral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cells contained three components: V, Rh, and </w:t>
      </w:r>
      <w:proofErr w:type="spellStart"/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>. The curves presents 9 vibrational modes; the first 3 are from the acoustic, while the other 6 are from the optical branches. Consequently,</w:t>
      </w:r>
      <w:r>
        <w:rPr>
          <w:rFonts w:ascii="Arial" w:hAnsi="Arial"/>
          <w:color w:val="000000"/>
          <w:sz w:val="20"/>
          <w:szCs w:val="20"/>
        </w:rPr>
        <w:t xml:space="preserve"> the frequencies of the acoustic modes ranges from around 0 and 85 cm⁻¹. The frequencies </w:t>
      </w:r>
      <w:proofErr w:type="spellStart"/>
      <w:r>
        <w:rPr>
          <w:rFonts w:ascii="Arial" w:hAnsi="Arial"/>
          <w:color w:val="000000"/>
          <w:sz w:val="20"/>
          <w:szCs w:val="20"/>
        </w:rPr>
        <w:t>displaed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by the optical branches also ranges from around 75 and 265 cm⁻¹. Therefore, the band gap between the two modes is about 80 cm⁻¹. The lowest optical modes spre</w:t>
      </w:r>
      <w:r>
        <w:rPr>
          <w:rFonts w:ascii="Arial" w:hAnsi="Arial"/>
          <w:color w:val="000000"/>
          <w:sz w:val="20"/>
          <w:szCs w:val="20"/>
        </w:rPr>
        <w:t>ad from roughly 75 to 150cm</w:t>
      </w:r>
      <w:r>
        <w:rPr>
          <w:rFonts w:ascii="Arial" w:hAnsi="Arial"/>
          <w:color w:val="000000"/>
          <w:sz w:val="20"/>
          <w:szCs w:val="20"/>
          <w:vertAlign w:val="superscript"/>
        </w:rPr>
        <w:t>-1</w:t>
      </w:r>
      <w:r>
        <w:rPr>
          <w:rFonts w:ascii="Arial" w:hAnsi="Arial"/>
          <w:color w:val="000000"/>
          <w:sz w:val="20"/>
          <w:szCs w:val="20"/>
        </w:rPr>
        <w:t xml:space="preserve">, and </w:t>
      </w:r>
      <w:r>
        <w:rPr>
          <w:rFonts w:ascii="Arial" w:hAnsi="Arial"/>
          <w:color w:val="000000"/>
          <w:sz w:val="20"/>
          <w:szCs w:val="20"/>
        </w:rPr>
        <w:lastRenderedPageBreak/>
        <w:t>the highest optical modes expand from roughly 230 to 265cm</w:t>
      </w:r>
      <w:r>
        <w:rPr>
          <w:rFonts w:ascii="Arial" w:hAnsi="Arial"/>
          <w:color w:val="000000"/>
          <w:sz w:val="20"/>
          <w:szCs w:val="20"/>
          <w:vertAlign w:val="superscript"/>
        </w:rPr>
        <w:t>-1</w:t>
      </w:r>
      <w:r>
        <w:rPr>
          <w:rFonts w:ascii="Arial" w:hAnsi="Arial"/>
          <w:color w:val="000000"/>
          <w:sz w:val="20"/>
          <w:szCs w:val="20"/>
        </w:rPr>
        <w:t xml:space="preserve">. Every modes stand for </w:t>
      </w:r>
      <w:proofErr w:type="spellStart"/>
      <w:r>
        <w:rPr>
          <w:rFonts w:ascii="Arial" w:hAnsi="Arial"/>
          <w:color w:val="000000"/>
          <w:sz w:val="20"/>
          <w:szCs w:val="20"/>
        </w:rPr>
        <w:t>antom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in the unit cell. Also 3 phonon branches often controlled the atom with the highest atomic mass, </w:t>
      </w:r>
      <w:proofErr w:type="spellStart"/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 127.6g/mol. Simultaneously, t</w:t>
      </w:r>
      <w:r>
        <w:rPr>
          <w:rFonts w:ascii="Arial" w:hAnsi="Arial"/>
          <w:color w:val="000000"/>
          <w:sz w:val="20"/>
          <w:szCs w:val="20"/>
        </w:rPr>
        <w:t xml:space="preserve">he lowest optical mode is predominantly influenced by the lowest atomic mass, specifically V ~ 50.9415 g/mol. Furthermore,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exhibits no imaginary frequencies throughout the Brillouin zone, thereby confirming its dynamical stability. The </w:t>
      </w:r>
      <w:proofErr w:type="spellStart"/>
      <w:r>
        <w:rPr>
          <w:rFonts w:ascii="Arial" w:hAnsi="Arial"/>
          <w:color w:val="000000"/>
          <w:sz w:val="20"/>
          <w:szCs w:val="20"/>
        </w:rPr>
        <w:t>seperation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of </w:t>
      </w:r>
      <w:r>
        <w:rPr>
          <w:rFonts w:ascii="Arial" w:hAnsi="Arial"/>
          <w:color w:val="000000"/>
          <w:sz w:val="20"/>
          <w:szCs w:val="20"/>
        </w:rPr>
        <w:t>acoustic  from optical branches is a crucial characteristic of half-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alloys. Additionally, in Fig.4(b), 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PHDOS</w:t>
      </w:r>
      <w:r>
        <w:rPr>
          <w:rFonts w:ascii="Arial" w:hAnsi="Arial"/>
          <w:color w:val="000000"/>
          <w:sz w:val="20"/>
          <w:szCs w:val="20"/>
        </w:rPr>
        <w:t xml:space="preserve"> offers additional insight into which atoms contribute most to the lattice vibrations. 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low-frequency region of roughly (0 to 155 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)</w:t>
      </w:r>
      <w:r>
        <w:rPr>
          <w:rFonts w:ascii="Arial" w:hAnsi="Arial"/>
          <w:color w:val="000000"/>
          <w:sz w:val="20"/>
          <w:szCs w:val="20"/>
        </w:rPr>
        <w:t xml:space="preserve"> is primarily influenced by vibrations of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Rh,</w:t>
      </w:r>
      <w:r>
        <w:rPr>
          <w:rFonts w:ascii="Arial" w:hAnsi="Arial"/>
          <w:color w:val="000000"/>
          <w:sz w:val="20"/>
          <w:szCs w:val="20"/>
        </w:rPr>
        <w:t xml:space="preserve"> and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V. In contrast, </w:t>
      </w:r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atoms play a substantial role in the mid and high frequency modes, specifically between 230 and 265cm</w:t>
      </w:r>
      <w:r>
        <w:rPr>
          <w:rFonts w:ascii="Arial" w:hAnsi="Arial"/>
          <w:color w:val="000000"/>
          <w:sz w:val="20"/>
          <w:szCs w:val="20"/>
          <w:vertAlign w:val="superscript"/>
        </w:rPr>
        <w:t>-1</w:t>
      </w:r>
      <w:r>
        <w:rPr>
          <w:rFonts w:ascii="Arial" w:hAnsi="Arial"/>
          <w:color w:val="000000"/>
          <w:sz w:val="20"/>
          <w:szCs w:val="20"/>
        </w:rPr>
        <w:t>, attributed to their lighter mass and elevated vibrational frequencies.</w:t>
      </w:r>
    </w:p>
    <w:p w14:paraId="7019CA91" w14:textId="77777777" w:rsidR="00AF34DF" w:rsidRDefault="00B10020">
      <w:pPr>
        <w:pStyle w:val="BodyText"/>
        <w:tabs>
          <w:tab w:val="left" w:pos="1519"/>
        </w:tabs>
        <w:spacing w:before="278" w:after="0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The phon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on dispersion curve is pinpoint within the symmetry region of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𝛤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−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𝑋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− K −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𝛤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− L − W −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𝑋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as seen in Fig. 5(a). The primordial cells consist of three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compnents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: V, Ru, and Sb. The curves exhibit 9 vibrational modes, with the first 3 arising from acousti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c branches, while the latter 6 represent optical branches. The frequency of the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acoustice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modes span from approximately 0 to 150cm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. Meanwhile, the optical branches display frequencies ranging from around 125 to 265cm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. Additionally, the two optical mode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did not present a band gap; there interject through the acoustic path. The lowest optical modes spread through 150cm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to 230cm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, whereas the greater optical modes ranges more or less than 225cm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to 265cm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perscript"/>
        </w:rPr>
        <w:t>-1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. Therefore, each mode represent an atom within the unit cell. Given the present of three atoms or elements, namely V, Ru, and Sb; thus  there are three phonon branches. The atom with the highest mass is typically governed by the acoustic branches (e.g. Sb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~ 121.76 g/mol). The lowest optical mode is predominantly affected by the lowest optical mass, specifically  V ~ 50.9415 g/mol. Furthermore, VRuSb displays no imaginary frequencies across the acoustic branches are partly distinct from the optical branches.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Additionally, in figure 5(a) and (b), phonon anomalies in the density of states for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VRhTe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and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VRuSb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were not observed, indicating a deviation from the expected vibrational spectrum of a material, which often implies strong interactions between electrons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and phonon.</w:t>
      </w:r>
    </w:p>
    <w:p w14:paraId="287D0C19" w14:textId="77777777" w:rsidR="00AF34DF" w:rsidRDefault="00AF34DF">
      <w:pPr>
        <w:pStyle w:val="BodyText"/>
        <w:tabs>
          <w:tab w:val="left" w:pos="1519"/>
        </w:tabs>
        <w:spacing w:before="278" w:after="0"/>
        <w:jc w:val="both"/>
        <w:rPr>
          <w:rFonts w:ascii="Arial" w:hAnsi="Arial"/>
          <w:sz w:val="20"/>
          <w:szCs w:val="20"/>
        </w:rPr>
      </w:pPr>
    </w:p>
    <w:p w14:paraId="6045D274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color w:val="000000"/>
          <w:sz w:val="20"/>
          <w:szCs w:val="20"/>
        </w:rPr>
        <w:t>4.0 Conclusion</w:t>
      </w:r>
    </w:p>
    <w:p w14:paraId="71A78EE5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In this study, the structural features, mechanical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paramters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thermodynamic, and phonon properties of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VRhTe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and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VRhSb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intermetallic compounds were systematically explored. </w:t>
      </w:r>
      <w:r>
        <w:rPr>
          <w:rFonts w:ascii="Arial" w:hAnsi="Arial"/>
          <w:color w:val="000000"/>
          <w:sz w:val="20"/>
          <w:szCs w:val="20"/>
        </w:rPr>
        <w:t>The optimized structures revealed that both compounds cr</w:t>
      </w:r>
      <w:r>
        <w:rPr>
          <w:rFonts w:ascii="Arial" w:hAnsi="Arial"/>
          <w:color w:val="000000"/>
          <w:sz w:val="20"/>
          <w:szCs w:val="20"/>
        </w:rPr>
        <w:t xml:space="preserve">ystallize in the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cubic Heusler-type (Fm–3m)</w:t>
      </w:r>
      <w:r>
        <w:rPr>
          <w:rFonts w:ascii="Arial" w:hAnsi="Arial"/>
          <w:color w:val="000000"/>
          <w:sz w:val="20"/>
          <w:szCs w:val="20"/>
        </w:rPr>
        <w:t xml:space="preserve"> symmetry and are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thermodynamically stable</w:t>
      </w:r>
      <w:r>
        <w:rPr>
          <w:rFonts w:ascii="Arial" w:hAnsi="Arial"/>
          <w:color w:val="000000"/>
          <w:sz w:val="20"/>
          <w:szCs w:val="20"/>
        </w:rPr>
        <w:t xml:space="preserve">, as rectified by their negative formation energies and absence of structural distortions. The lattice parameter of VRuSb was moderately bigger than that of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due to t</w:t>
      </w:r>
      <w:r>
        <w:rPr>
          <w:rFonts w:ascii="Arial" w:hAnsi="Arial"/>
          <w:color w:val="000000"/>
          <w:sz w:val="20"/>
          <w:szCs w:val="20"/>
        </w:rPr>
        <w:t xml:space="preserve">he greater atomic radius of Sb. The mechanical features indicates that the Pugh’s ratio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is 11.94, and VRuSb is 2.67. Consequently, the outcomes reveals ductility of the two materials. The Poisson’s ratio (ⱱ &gt; 0.3) signifies the metallic bonding c</w:t>
      </w:r>
      <w:r>
        <w:rPr>
          <w:rFonts w:ascii="Arial" w:hAnsi="Arial"/>
          <w:color w:val="000000"/>
          <w:sz w:val="20"/>
          <w:szCs w:val="20"/>
        </w:rPr>
        <w:t xml:space="preserve">haracteristic of the materials. The </w:t>
      </w:r>
      <w:proofErr w:type="spellStart"/>
      <w:r>
        <w:rPr>
          <w:rFonts w:ascii="Arial" w:hAnsi="Arial"/>
          <w:color w:val="000000"/>
          <w:sz w:val="20"/>
          <w:szCs w:val="20"/>
        </w:rPr>
        <w:t>Cuachy’s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pressure values </w:t>
      </w:r>
      <w:proofErr w:type="spellStart"/>
      <w:r>
        <w:rPr>
          <w:rFonts w:ascii="Arial" w:hAnsi="Arial"/>
          <w:color w:val="000000"/>
          <w:sz w:val="20"/>
          <w:szCs w:val="20"/>
        </w:rPr>
        <w:t>obtaine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were +97.79 and +56.65 which suggest metallic bonding. The elevated bulk modulus of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indicates slightly more resistance structure to compression compared to VRuSb, consistent with it</w:t>
      </w:r>
      <w:r>
        <w:rPr>
          <w:rFonts w:ascii="Arial" w:hAnsi="Arial"/>
          <w:color w:val="000000"/>
          <w:sz w:val="20"/>
          <w:szCs w:val="20"/>
        </w:rPr>
        <w:t xml:space="preserve">s smaller lattice constant. These outcome indicate that both materials possesses mechanical robustness under moderates stress, making them </w:t>
      </w:r>
      <w:proofErr w:type="spellStart"/>
      <w:r>
        <w:rPr>
          <w:rFonts w:ascii="Arial" w:hAnsi="Arial"/>
          <w:color w:val="000000"/>
          <w:sz w:val="20"/>
          <w:szCs w:val="20"/>
        </w:rPr>
        <w:t>appropiate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for high temperature or structural applications. </w:t>
      </w:r>
      <w:proofErr w:type="spellStart"/>
      <w:r>
        <w:rPr>
          <w:rFonts w:ascii="Arial" w:hAnsi="Arial"/>
          <w:color w:val="000000"/>
          <w:sz w:val="20"/>
          <w:szCs w:val="20"/>
        </w:rPr>
        <w:t>Additionall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according to the results,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has a </w:t>
      </w:r>
      <w:proofErr w:type="spellStart"/>
      <w:r>
        <w:rPr>
          <w:rFonts w:ascii="Arial" w:hAnsi="Arial"/>
          <w:color w:val="000000"/>
          <w:sz w:val="20"/>
          <w:szCs w:val="20"/>
        </w:rPr>
        <w:t>graete</w:t>
      </w:r>
      <w:r>
        <w:rPr>
          <w:rFonts w:ascii="Arial" w:hAnsi="Arial"/>
          <w:color w:val="000000"/>
          <w:sz w:val="20"/>
          <w:szCs w:val="20"/>
        </w:rPr>
        <w:t>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Cv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than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making it a more </w:t>
      </w:r>
      <w:proofErr w:type="spellStart"/>
      <w:r>
        <w:rPr>
          <w:rFonts w:ascii="Arial" w:hAnsi="Arial"/>
          <w:color w:val="000000"/>
          <w:sz w:val="20"/>
          <w:szCs w:val="20"/>
        </w:rPr>
        <w:t>suiatble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compounds for optoelectronic appliances. The phonon anomalies in the density of states for </w:t>
      </w:r>
      <w:proofErr w:type="spellStart"/>
      <w:r>
        <w:rPr>
          <w:rFonts w:ascii="Arial" w:hAnsi="Arial"/>
          <w:color w:val="000000"/>
          <w:sz w:val="20"/>
          <w:szCs w:val="20"/>
        </w:rPr>
        <w:t>VrhTe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000000"/>
          <w:sz w:val="20"/>
          <w:szCs w:val="20"/>
        </w:rPr>
        <w:t>VRuSb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suggests strong </w:t>
      </w:r>
      <w:proofErr w:type="spellStart"/>
      <w:r>
        <w:rPr>
          <w:rFonts w:ascii="Arial" w:hAnsi="Arial"/>
          <w:color w:val="000000"/>
          <w:sz w:val="20"/>
          <w:szCs w:val="20"/>
        </w:rPr>
        <w:t>iteractions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between electrons and phonons.</w:t>
      </w:r>
    </w:p>
    <w:p w14:paraId="38D3116B" w14:textId="77777777" w:rsidR="00702F5F" w:rsidRDefault="00702F5F" w:rsidP="00707F41">
      <w:pPr>
        <w:pStyle w:val="BodyText"/>
        <w:jc w:val="both"/>
        <w:rPr>
          <w:rFonts w:ascii="Arial" w:hAnsi="Arial"/>
          <w:sz w:val="20"/>
          <w:szCs w:val="20"/>
        </w:rPr>
      </w:pPr>
    </w:p>
    <w:p w14:paraId="3FF5EA1B" w14:textId="3120225D" w:rsidR="00707F41" w:rsidRPr="00707F41" w:rsidRDefault="00707F41" w:rsidP="00707F41">
      <w:pPr>
        <w:pStyle w:val="BodyText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 w:rsidRPr="00707F41">
        <w:rPr>
          <w:rFonts w:ascii="Arial" w:hAnsi="Arial"/>
          <w:sz w:val="20"/>
          <w:szCs w:val="20"/>
        </w:rPr>
        <w:t>COMPETING INTERESTS DISCLAIMER:</w:t>
      </w:r>
    </w:p>
    <w:p w14:paraId="0E427856" w14:textId="5822E0D4" w:rsidR="00707F41" w:rsidRDefault="00707F41" w:rsidP="00707F41">
      <w:pPr>
        <w:pStyle w:val="BodyText"/>
        <w:jc w:val="both"/>
        <w:rPr>
          <w:rFonts w:ascii="Arial" w:hAnsi="Arial"/>
          <w:sz w:val="20"/>
          <w:szCs w:val="20"/>
        </w:rPr>
      </w:pPr>
      <w:r w:rsidRPr="00707F41">
        <w:rPr>
          <w:rFonts w:ascii="Arial" w:hAnsi="Arial"/>
          <w:sz w:val="20"/>
          <w:szCs w:val="20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97C1981" w14:textId="77777777" w:rsidR="00AF34DF" w:rsidRDefault="00AF34DF">
      <w:pPr>
        <w:pStyle w:val="BodyText"/>
        <w:jc w:val="both"/>
        <w:rPr>
          <w:rFonts w:ascii="Arial" w:hAnsi="Arial"/>
          <w:b/>
          <w:sz w:val="20"/>
          <w:szCs w:val="20"/>
        </w:rPr>
      </w:pPr>
    </w:p>
    <w:p w14:paraId="18EB346B" w14:textId="77777777" w:rsidR="00AF34DF" w:rsidRDefault="00AF34DF">
      <w:pPr>
        <w:spacing w:line="276" w:lineRule="auto"/>
        <w:jc w:val="both"/>
        <w:rPr>
          <w:b/>
          <w:bCs/>
          <w:color w:val="000000"/>
        </w:rPr>
      </w:pPr>
    </w:p>
    <w:p w14:paraId="1246BC73" w14:textId="77777777" w:rsidR="00AF34DF" w:rsidRDefault="00B10020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lastRenderedPageBreak/>
        <w:t>References</w:t>
      </w:r>
    </w:p>
    <w:p w14:paraId="3EB83782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3C3644C1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>[1]</w:t>
      </w:r>
      <w:r>
        <w:rPr>
          <w:rFonts w:ascii="Arial" w:hAnsi="Arial"/>
          <w:color w:val="000000"/>
          <w:sz w:val="20"/>
          <w:szCs w:val="20"/>
        </w:rPr>
        <w:tab/>
        <w:t>Tunes</w:t>
      </w:r>
      <w:r>
        <w:rPr>
          <w:rFonts w:ascii="Arial" w:hAnsi="Arial"/>
          <w:color w:val="000000"/>
          <w:sz w:val="20"/>
          <w:szCs w:val="20"/>
        </w:rPr>
        <w:tab/>
        <w:t xml:space="preserve">M. A., Drewry S. M., Schmidt F., and Valdez A., (2025). A New Family of Ternary Intermetallic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Compounds with Dualistic Atomic Ordering – The ZIP Phases. Advanced Materials, </w:t>
      </w:r>
      <w:r>
        <w:rPr>
          <w:rFonts w:ascii="Arial" w:hAnsi="Arial"/>
          <w:color w:val="000000"/>
          <w:sz w:val="20"/>
          <w:szCs w:val="20"/>
        </w:rPr>
        <w:tab/>
        <w:t>08(168), 1-</w:t>
      </w:r>
      <w:r>
        <w:rPr>
          <w:rFonts w:ascii="Arial" w:hAnsi="Arial"/>
          <w:color w:val="000000"/>
          <w:sz w:val="20"/>
          <w:szCs w:val="20"/>
        </w:rPr>
        <w:tab/>
        <w:t>23. DOI:</w:t>
      </w:r>
      <w:hyperlink r:id="rId18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10.1002/adma.202308168</w:t>
        </w:r>
      </w:hyperlink>
    </w:p>
    <w:p w14:paraId="08F86161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3BBC81BB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>[2]</w:t>
      </w:r>
      <w:r>
        <w:rPr>
          <w:rFonts w:ascii="Arial" w:hAnsi="Arial"/>
          <w:color w:val="000000"/>
          <w:sz w:val="20"/>
          <w:szCs w:val="20"/>
        </w:rPr>
        <w:tab/>
        <w:t xml:space="preserve">Machin A., Morant C., and Marquez F.M., (2024). Advancements and Challenges in Solid-State </w:t>
      </w:r>
      <w:r>
        <w:rPr>
          <w:rFonts w:ascii="Arial" w:hAnsi="Arial"/>
          <w:color w:val="000000"/>
          <w:sz w:val="20"/>
          <w:szCs w:val="20"/>
        </w:rPr>
        <w:tab/>
        <w:t xml:space="preserve">Battery </w:t>
      </w:r>
      <w:r>
        <w:rPr>
          <w:rFonts w:ascii="Arial" w:hAnsi="Arial"/>
          <w:color w:val="000000"/>
          <w:sz w:val="20"/>
          <w:szCs w:val="20"/>
        </w:rPr>
        <w:tab/>
        <w:t>Technology: An In-Depth Review of Solid Electrolytes and Anode Innovations</w:t>
      </w:r>
    </w:p>
    <w:p w14:paraId="49C9C550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ab/>
        <w:t xml:space="preserve"> Batteries MDPI, 10(1) (2024) 29.  </w:t>
      </w:r>
      <w:hyperlink r:id="rId19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https://doi.org/10.3390/batteries10010029</w:t>
        </w:r>
      </w:hyperlink>
    </w:p>
    <w:p w14:paraId="5CA37ADB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6AD19E0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>[3]</w:t>
      </w:r>
      <w:r>
        <w:rPr>
          <w:rFonts w:ascii="Arial" w:hAnsi="Arial"/>
          <w:color w:val="000000"/>
          <w:sz w:val="20"/>
          <w:szCs w:val="20"/>
        </w:rPr>
        <w:tab/>
        <w:t xml:space="preserve">Zhang H T , Shukla N., Datta S., and Paik H., (2017). Opportunities in vanadium-based strongly </w:t>
      </w:r>
      <w:r>
        <w:rPr>
          <w:rFonts w:ascii="Arial" w:hAnsi="Arial"/>
          <w:color w:val="000000"/>
          <w:sz w:val="20"/>
          <w:szCs w:val="20"/>
        </w:rPr>
        <w:tab/>
        <w:t>correlated electron systems, MRS Communications 7(1) 27–52.</w:t>
      </w:r>
    </w:p>
    <w:p w14:paraId="39C65295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85AFE6A" w14:textId="77777777" w:rsidR="00AF34DF" w:rsidRDefault="00B10020">
      <w:pPr>
        <w:spacing w:line="276" w:lineRule="auto"/>
      </w:pPr>
      <w:r>
        <w:rPr>
          <w:rFonts w:ascii="Arial" w:hAnsi="Arial"/>
          <w:color w:val="000000"/>
          <w:sz w:val="20"/>
          <w:szCs w:val="20"/>
        </w:rPr>
        <w:t>[4]</w:t>
      </w:r>
      <w:r>
        <w:rPr>
          <w:rFonts w:ascii="Arial" w:hAnsi="Arial"/>
          <w:color w:val="000000"/>
          <w:sz w:val="20"/>
          <w:szCs w:val="20"/>
        </w:rPr>
        <w:tab/>
        <w:t>Jian-Fang Wang, Wei-Hui</w:t>
      </w:r>
      <w:r>
        <w:rPr>
          <w:rFonts w:ascii="Arial" w:hAnsi="Arial"/>
          <w:color w:val="000000"/>
          <w:sz w:val="20"/>
          <w:szCs w:val="20"/>
        </w:rPr>
        <w:t xml:space="preserve"> Fang, Dong-Sheng Li, Lei Zhang, and Jian Zhang, (2017). C</w:t>
      </w:r>
      <w:hyperlink r:id="rId20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 xml:space="preserve">ocrystal of </w:t>
        </w:r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ab/>
          <w:t>{Ti</w:t>
        </w:r>
        <w:r w:rsidR="00AF34DF">
          <w:rPr>
            <w:rStyle w:val="Hyperlink"/>
            <w:rFonts w:ascii="Arial" w:hAnsi="Arial"/>
            <w:color w:val="000000"/>
            <w:position w:val="-2"/>
            <w:sz w:val="20"/>
            <w:szCs w:val="20"/>
            <w:u w:val="none"/>
          </w:rPr>
          <w:t>4</w:t>
        </w:r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} and {Ti</w:t>
        </w:r>
        <w:r w:rsidR="00AF34DF">
          <w:rPr>
            <w:rStyle w:val="Hyperlink"/>
            <w:rFonts w:ascii="Arial" w:hAnsi="Arial"/>
            <w:color w:val="000000"/>
            <w:position w:val="-2"/>
            <w:sz w:val="20"/>
            <w:szCs w:val="20"/>
            <w:u w:val="none"/>
          </w:rPr>
          <w:t>6</w:t>
        </w:r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} Clusters with Enhanced Photochemical Properties</w:t>
        </w:r>
      </w:hyperlink>
      <w:r>
        <w:rPr>
          <w:rFonts w:ascii="Arial" w:hAnsi="Arial"/>
          <w:color w:val="000000"/>
          <w:sz w:val="20"/>
          <w:szCs w:val="20"/>
        </w:rPr>
        <w:t>. Inorganic Chemistry 56 (5), 2367-</w:t>
      </w:r>
      <w:r>
        <w:rPr>
          <w:rFonts w:ascii="Arial" w:hAnsi="Arial"/>
          <w:color w:val="000000"/>
          <w:sz w:val="20"/>
          <w:szCs w:val="20"/>
        </w:rPr>
        <w:tab/>
        <w:t>2370.</w:t>
      </w:r>
    </w:p>
    <w:p w14:paraId="25DEEBA5" w14:textId="77777777" w:rsidR="00AF34DF" w:rsidRDefault="00AF34DF">
      <w:pPr>
        <w:spacing w:line="276" w:lineRule="auto"/>
        <w:rPr>
          <w:rFonts w:ascii="Arial" w:hAnsi="Arial"/>
          <w:sz w:val="20"/>
          <w:szCs w:val="20"/>
        </w:rPr>
      </w:pPr>
    </w:p>
    <w:p w14:paraId="7402E930" w14:textId="77777777" w:rsidR="00AF34DF" w:rsidRDefault="00B10020">
      <w:pPr>
        <w:spacing w:line="276" w:lineRule="auto"/>
      </w:pPr>
      <w:r>
        <w:rPr>
          <w:rFonts w:ascii="Arial" w:hAnsi="Arial"/>
          <w:color w:val="000000"/>
          <w:sz w:val="20"/>
          <w:szCs w:val="20"/>
        </w:rPr>
        <w:t>[5]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>yorzor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B.E.,  and Babalola M.I., (2022). Half-metallic Characteristics of the Novel Half Heusler </w:t>
      </w:r>
      <w:r>
        <w:rPr>
          <w:rFonts w:ascii="Arial" w:hAnsi="Arial"/>
          <w:color w:val="000000"/>
          <w:sz w:val="20"/>
          <w:szCs w:val="20"/>
        </w:rPr>
        <w:tab/>
        <w:t xml:space="preserve">Alloys 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XCrSb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(X=</w:t>
      </w:r>
      <w:proofErr w:type="spellStart"/>
      <w:r>
        <w:rPr>
          <w:rFonts w:ascii="Arial" w:hAnsi="Arial"/>
          <w:color w:val="000000"/>
          <w:sz w:val="20"/>
          <w:szCs w:val="20"/>
        </w:rPr>
        <w:t>Ti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/>
          <w:color w:val="000000"/>
          <w:sz w:val="20"/>
          <w:szCs w:val="20"/>
        </w:rPr>
        <w:t>Zr</w:t>
      </w:r>
      <w:proofErr w:type="spellEnd"/>
      <w:r>
        <w:rPr>
          <w:rFonts w:ascii="Arial" w:hAnsi="Arial"/>
          <w:color w:val="000000"/>
          <w:sz w:val="20"/>
          <w:szCs w:val="20"/>
        </w:rPr>
        <w:t>, Hf ). Journal of the Nigerian Society of Physical Sciences, 4(1) (2022)  138-</w:t>
      </w:r>
      <w:r>
        <w:rPr>
          <w:rFonts w:ascii="Arial" w:hAnsi="Arial"/>
          <w:color w:val="000000"/>
          <w:sz w:val="20"/>
          <w:szCs w:val="20"/>
        </w:rPr>
        <w:tab/>
        <w:t>145.</w:t>
      </w:r>
      <w:hyperlink r:id="rId21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https://doi.org/10.46481/jnsps.2022.297</w:t>
        </w:r>
      </w:hyperlink>
      <w:r>
        <w:rPr>
          <w:rFonts w:ascii="Arial" w:hAnsi="Arial"/>
          <w:color w:val="000000"/>
          <w:sz w:val="20"/>
          <w:szCs w:val="20"/>
        </w:rPr>
        <w:t xml:space="preserve">  </w:t>
      </w:r>
    </w:p>
    <w:p w14:paraId="2EB8C4E2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165E20E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>[6]</w:t>
      </w:r>
      <w:r>
        <w:rPr>
          <w:rFonts w:ascii="Arial" w:hAnsi="Arial"/>
          <w:color w:val="000000"/>
          <w:sz w:val="20"/>
          <w:szCs w:val="20"/>
        </w:rPr>
        <w:tab/>
        <w:t xml:space="preserve">Volker L. Deringer, Ralf P. Stoffel,  Matthias Wuttig, Richard Dronskowski (2015). </w:t>
      </w:r>
      <w:bookmarkStart w:id="1" w:name="screen-reader-main-title"/>
      <w:bookmarkEnd w:id="1"/>
      <w:r>
        <w:rPr>
          <w:rFonts w:ascii="Arial" w:hAnsi="Arial"/>
          <w:color w:val="000000"/>
          <w:sz w:val="20"/>
          <w:szCs w:val="20"/>
        </w:rPr>
        <w:t xml:space="preserve">Vibrational </w:t>
      </w:r>
      <w:r>
        <w:rPr>
          <w:rFonts w:ascii="Arial" w:hAnsi="Arial"/>
          <w:color w:val="000000"/>
          <w:sz w:val="20"/>
          <w:szCs w:val="20"/>
        </w:rPr>
        <w:tab/>
        <w:t>properties and bonding nature of Sb</w:t>
      </w:r>
      <w:r>
        <w:rPr>
          <w:rFonts w:ascii="Arial" w:hAnsi="Arial"/>
          <w:color w:val="000000"/>
          <w:position w:val="-2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>Se</w:t>
      </w:r>
      <w:r>
        <w:rPr>
          <w:rFonts w:ascii="Arial" w:hAnsi="Arial"/>
          <w:color w:val="000000"/>
          <w:position w:val="-2"/>
          <w:sz w:val="20"/>
          <w:szCs w:val="20"/>
        </w:rPr>
        <w:t>3</w:t>
      </w:r>
      <w:r>
        <w:rPr>
          <w:rFonts w:ascii="Arial" w:hAnsi="Arial"/>
          <w:color w:val="000000"/>
          <w:sz w:val="20"/>
          <w:szCs w:val="20"/>
        </w:rPr>
        <w:t xml:space="preserve"> and their implications for chalcogenide materials. Royal </w:t>
      </w:r>
      <w:r>
        <w:rPr>
          <w:rFonts w:ascii="Arial" w:hAnsi="Arial"/>
          <w:color w:val="000000"/>
          <w:sz w:val="20"/>
          <w:szCs w:val="20"/>
        </w:rPr>
        <w:tab/>
        <w:t>Society</w:t>
      </w:r>
      <w:r>
        <w:rPr>
          <w:rFonts w:ascii="Arial" w:hAnsi="Arial"/>
          <w:color w:val="000000"/>
          <w:sz w:val="20"/>
          <w:szCs w:val="20"/>
        </w:rPr>
        <w:t xml:space="preserve"> of Chemistry – Chemical Science, 6(9), 5255-5262. </w:t>
      </w:r>
      <w:hyperlink r:id="rId22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https://doi.org/10.1039/c5sc00825e</w:t>
        </w:r>
      </w:hyperlink>
    </w:p>
    <w:p w14:paraId="3C9DDF4B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F8C2089" w14:textId="77777777" w:rsidR="00AF34DF" w:rsidRDefault="00B10020">
      <w:pPr>
        <w:spacing w:line="276" w:lineRule="auto"/>
        <w:jc w:val="both"/>
      </w:pPr>
      <w:r>
        <w:rPr>
          <w:rFonts w:ascii="Arial" w:hAnsi="Arial"/>
          <w:color w:val="000000"/>
          <w:sz w:val="20"/>
          <w:szCs w:val="20"/>
        </w:rPr>
        <w:t>[7]</w:t>
      </w:r>
      <w:r>
        <w:rPr>
          <w:rFonts w:ascii="Arial" w:hAnsi="Arial"/>
          <w:color w:val="000000"/>
          <w:sz w:val="20"/>
          <w:szCs w:val="20"/>
        </w:rPr>
        <w:tab/>
        <w:t xml:space="preserve">Babalola M.I.,  and </w:t>
      </w:r>
      <w:proofErr w:type="spellStart"/>
      <w:r>
        <w:rPr>
          <w:rFonts w:ascii="Arial" w:hAnsi="Arial"/>
          <w:color w:val="000000"/>
          <w:sz w:val="20"/>
          <w:szCs w:val="20"/>
        </w:rPr>
        <w:t>Enaroseha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O.O.,  Pressure induced structural phase transition and influence of </w:t>
      </w:r>
      <w:r>
        <w:rPr>
          <w:rFonts w:ascii="Arial" w:hAnsi="Arial"/>
          <w:color w:val="000000"/>
          <w:sz w:val="20"/>
          <w:szCs w:val="20"/>
        </w:rPr>
        <w:tab/>
        <w:t xml:space="preserve">pressure on the electronic and mechanical properties of </w:t>
      </w:r>
      <w:proofErr w:type="spellStart"/>
      <w:r>
        <w:rPr>
          <w:rFonts w:ascii="Arial" w:hAnsi="Arial"/>
          <w:color w:val="000000"/>
          <w:sz w:val="20"/>
          <w:szCs w:val="20"/>
        </w:rPr>
        <w:t>TiPdSn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: an ab initio study, Iranian Journal </w:t>
      </w:r>
      <w:r>
        <w:rPr>
          <w:rFonts w:ascii="Arial" w:hAnsi="Arial"/>
          <w:color w:val="000000"/>
          <w:sz w:val="20"/>
          <w:szCs w:val="20"/>
        </w:rPr>
        <w:tab/>
        <w:t>of Physics Research, 23 (2023) DOI:</w:t>
      </w:r>
      <w:hyperlink r:id="rId23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10.47176/ijpr.23.3.41671</w:t>
        </w:r>
      </w:hyperlink>
    </w:p>
    <w:p w14:paraId="0DC8D002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6BE0A4F5" w14:textId="77777777" w:rsidR="00AF34DF" w:rsidRDefault="00B10020">
      <w:pPr>
        <w:spacing w:line="276" w:lineRule="auto"/>
      </w:pPr>
      <w:r>
        <w:rPr>
          <w:rFonts w:ascii="Arial" w:hAnsi="Arial"/>
          <w:color w:val="000000"/>
          <w:sz w:val="20"/>
          <w:szCs w:val="20"/>
        </w:rPr>
        <w:t>[8]</w:t>
      </w:r>
      <w:r>
        <w:rPr>
          <w:rFonts w:ascii="Arial" w:hAnsi="Arial"/>
          <w:color w:val="000000"/>
          <w:sz w:val="20"/>
          <w:szCs w:val="20"/>
        </w:rPr>
        <w:tab/>
        <w:t xml:space="preserve">Hu Q.,  Yang M., </w:t>
      </w:r>
      <w:r>
        <w:rPr>
          <w:rFonts w:ascii="Arial" w:hAnsi="Arial"/>
          <w:color w:val="000000"/>
          <w:sz w:val="20"/>
          <w:szCs w:val="20"/>
        </w:rPr>
        <w:t xml:space="preserve">Zhou X., and Li. S., (2025). Modulated electrical transport properties and Enhanced </w:t>
      </w:r>
      <w:r>
        <w:rPr>
          <w:rFonts w:ascii="Arial" w:hAnsi="Arial"/>
          <w:color w:val="000000"/>
          <w:sz w:val="20"/>
          <w:szCs w:val="20"/>
        </w:rPr>
        <w:tab/>
        <w:t xml:space="preserve">Thermoelectric Performance in Tellurium by Compositing with Copper and Doping with Antimony, </w:t>
      </w:r>
      <w:r>
        <w:rPr>
          <w:rFonts w:ascii="Arial" w:hAnsi="Arial"/>
          <w:color w:val="000000"/>
          <w:sz w:val="20"/>
          <w:szCs w:val="20"/>
        </w:rPr>
        <w:tab/>
        <w:t>Vacuum, 238, 114249. DOI:</w:t>
      </w:r>
      <w:hyperlink r:id="rId24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10.1016/j.vacuum.2025.114249</w:t>
        </w:r>
      </w:hyperlink>
    </w:p>
    <w:p w14:paraId="242528BE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4098BD7E" w14:textId="77777777" w:rsidR="00AF34DF" w:rsidRDefault="00B10020">
      <w:pPr>
        <w:spacing w:line="276" w:lineRule="auto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[9]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Soltanbek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N. S.,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Merali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N.A.,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SagatovN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. E., 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Abuova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F. U.,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Elsts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E., 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Abuova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A. U., 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Khovaylo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V. V.,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Inerbaev T. M.,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Konuhova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M., and Popov A. I., (2025). Ab Initio Investigation of the Stability,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Electronic,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Mechanical, and Transport Properties of New Double Half Heusler Alloys Ti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  <w:vertAlign w:val="subscript"/>
        </w:rPr>
        <w:t>2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Pt2ZSb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(Z = Al, Ga, In),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r>
        <w:rPr>
          <w:rStyle w:val="Emphasis"/>
          <w:rFonts w:ascii="Arial" w:hAnsi="Arial"/>
          <w:color w:val="000000"/>
          <w:sz w:val="20"/>
          <w:szCs w:val="20"/>
        </w:rPr>
        <w:t>Metals</w:t>
      </w:r>
      <w:r>
        <w:rPr>
          <w:rStyle w:val="StrongEmphasis"/>
          <w:rFonts w:ascii="Arial" w:hAnsi="Arial"/>
          <w:b w:val="0"/>
          <w:bCs w:val="0"/>
          <w:i/>
          <w:color w:val="000000"/>
          <w:sz w:val="20"/>
          <w:szCs w:val="20"/>
        </w:rPr>
        <w:t xml:space="preserve"> </w:t>
      </w:r>
      <w:r>
        <w:rPr>
          <w:rStyle w:val="Emphasis"/>
          <w:rFonts w:ascii="Arial" w:hAnsi="Arial"/>
          <w:color w:val="000000"/>
          <w:sz w:val="20"/>
          <w:szCs w:val="20"/>
        </w:rPr>
        <w:t>15,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329. </w:t>
      </w:r>
      <w:hyperlink r:id="rId25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https://doi.org/10.3390/met15030329</w:t>
        </w:r>
      </w:hyperlink>
    </w:p>
    <w:p w14:paraId="3EAA54A7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277E6841" w14:textId="77777777" w:rsidR="00AF34DF" w:rsidRDefault="00B10020">
      <w:pPr>
        <w:spacing w:line="276" w:lineRule="auto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[10]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Ciftci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Y, and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Gemici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 I. A.,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(2025).  Ab-initio Study on Half-Heusler Semiconductor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PtTiSn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Compound: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Pressure effects, Physica B Condensed Matter 707(8), 417180.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DOI:</w:t>
      </w:r>
      <w:hyperlink r:id="rId26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10.1016/j.physb.2025.417180</w:t>
        </w:r>
      </w:hyperlink>
    </w:p>
    <w:p w14:paraId="37725A6F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39041F7A" w14:textId="77777777" w:rsidR="00AF34DF" w:rsidRDefault="00B10020">
      <w:pPr>
        <w:spacing w:line="276" w:lineRule="auto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[11]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Md.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Tar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ekuzzaman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Md. Hasin Ishraq, Nazmul Shahadath, Md. Raihan Kabir, Rayhan M. A., Sohail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Ahmad, Md. Abdul Qader, Md.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Rasheduzzaman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YasirArafat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&amp; Md. Zahid Hasan, (2025). DFT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analysis of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structural, electronic, optical, and thermodynamic properties of LiXI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3 (where X=Ca,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Sr, Ba) halide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perovskites for optoelectronics, Nature 15, 25304  </w:t>
      </w:r>
      <w:hyperlink r:id="rId27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https://doi.org/10.1038/s41598-</w:t>
        </w:r>
      </w:hyperlink>
      <w:hyperlink r:id="rId28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ab/>
          <w:t>025-</w:t>
        </w:r>
      </w:hyperlink>
      <w:hyperlink r:id="rId29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ab/>
          <w:t>91458-2</w:t>
        </w:r>
      </w:hyperlink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.</w:t>
      </w:r>
    </w:p>
    <w:p w14:paraId="6E386C46" w14:textId="77777777" w:rsidR="00AF34DF" w:rsidRDefault="00AF34D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59EBB49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[12]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Ishaje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M. E., </w:t>
      </w:r>
      <w:proofErr w:type="spellStart"/>
      <w:r>
        <w:rPr>
          <w:rFonts w:ascii="Arial" w:hAnsi="Arial"/>
          <w:color w:val="000000"/>
          <w:sz w:val="20"/>
          <w:szCs w:val="20"/>
        </w:rPr>
        <w:t>Kseniia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Minakova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Babalola M.I., </w:t>
      </w:r>
      <w:proofErr w:type="spellStart"/>
      <w:r>
        <w:rPr>
          <w:rFonts w:ascii="Arial" w:hAnsi="Arial"/>
          <w:color w:val="000000"/>
          <w:sz w:val="20"/>
          <w:szCs w:val="20"/>
        </w:rPr>
        <w:t>Iyorzor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B.E., </w:t>
      </w:r>
      <w:proofErr w:type="spellStart"/>
      <w:r>
        <w:rPr>
          <w:rFonts w:ascii="Arial" w:hAnsi="Arial"/>
          <w:color w:val="000000"/>
          <w:sz w:val="20"/>
          <w:szCs w:val="20"/>
        </w:rPr>
        <w:t>Valentyna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Sirenko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(2025). </w:t>
      </w:r>
      <w:proofErr w:type="spellStart"/>
      <w:r>
        <w:rPr>
          <w:rFonts w:ascii="Arial" w:hAnsi="Arial"/>
          <w:color w:val="000000"/>
          <w:sz w:val="20"/>
          <w:szCs w:val="20"/>
        </w:rPr>
        <w:t>KCrAs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half-</w:t>
      </w:r>
      <w:r>
        <w:rPr>
          <w:rFonts w:ascii="Arial" w:hAnsi="Arial"/>
          <w:color w:val="000000"/>
          <w:sz w:val="20"/>
          <w:szCs w:val="20"/>
        </w:rPr>
        <w:tab/>
        <w:t xml:space="preserve">metallic </w:t>
      </w:r>
      <w:r>
        <w:rPr>
          <w:rFonts w:ascii="Arial" w:hAnsi="Arial"/>
          <w:color w:val="000000"/>
          <w:sz w:val="20"/>
          <w:szCs w:val="20"/>
        </w:rPr>
        <w:tab/>
        <w:t xml:space="preserve">properties of alkali-metal-based compound: A first-principles study, Low Temperature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Physics, 51  ,  pp629-635 </w:t>
      </w:r>
      <w:hyperlink r:id="rId30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https://doi.org/10.1063/10.0036529</w:t>
        </w:r>
      </w:hyperlink>
    </w:p>
    <w:p w14:paraId="35838AC1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[13]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Kohn W., &amp; Sham L.J., (1965). </w:t>
      </w:r>
      <w:r>
        <w:rPr>
          <w:rStyle w:val="Emphasis"/>
          <w:rFonts w:ascii="Arial" w:hAnsi="Arial"/>
          <w:color w:val="000000"/>
          <w:sz w:val="20"/>
          <w:szCs w:val="20"/>
        </w:rPr>
        <w:t xml:space="preserve">Self-consistent equations including exchange and correlation effects.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Physical Review, 140,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A1133–A1138 DOI: https://doi.org/10.1103/PhysRev.140.A1133</w:t>
      </w:r>
    </w:p>
    <w:p w14:paraId="126EE08A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lastRenderedPageBreak/>
        <w:t>[14]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Liu Y.,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Chabane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D,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Elkedim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O.,  (2021). Intermetallic Compounds Synthesized by Mechanical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Alloying for Solid-State Hydrogen Storage: A Review, Energy MDPI, 14 DOI:</w:t>
      </w:r>
      <w:hyperlink r:id="rId31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10.3390/en14185758</w:t>
        </w:r>
      </w:hyperlink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.</w:t>
      </w:r>
    </w:p>
    <w:p w14:paraId="42A8BA1E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[15]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Shi J., Huan Y., Zhao X., Pengfei Y., Hong M.J, Xie C., Pennycook S., and Zhang Y.F., (2021). Two-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Dimensional Metallic Vanadium Ditelluride as a High-Pe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rformance Electrode Material, ACS Nano, 15 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DOI:</w:t>
      </w:r>
      <w:hyperlink r:id="rId32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10.1021/acsnano.0c10250</w:t>
        </w:r>
      </w:hyperlink>
    </w:p>
    <w:p w14:paraId="5DF8DC46" w14:textId="77777777" w:rsidR="00AF34DF" w:rsidRDefault="00B10020">
      <w:pPr>
        <w:pStyle w:val="BodyText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[16]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Ishaje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M. E., Faustina A.,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Igomah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G. O., (2024). Density Functional Theory (DFT) study of Alkali-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Metal-bas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ed Half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heusler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Compound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NaCrSb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International Astronomy and Astrophysics Research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Journal, 6  pp49-58  </w:t>
      </w:r>
      <w:hyperlink r:id="rId33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http://authors.go2articles.com/id/eprint/1451</w:t>
        </w:r>
      </w:hyperlink>
    </w:p>
    <w:p w14:paraId="2F275F4B" w14:textId="77777777" w:rsidR="00AF34DF" w:rsidRDefault="00B10020">
      <w:pPr>
        <w:pStyle w:val="BodyText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[17]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Hohenberg, P., &amp; Kohn, W. (1964). </w:t>
      </w:r>
      <w:r>
        <w:rPr>
          <w:rStyle w:val="Emphasis"/>
          <w:rFonts w:ascii="Arial" w:hAnsi="Arial"/>
          <w:color w:val="000000"/>
          <w:sz w:val="20"/>
          <w:szCs w:val="20"/>
        </w:rPr>
        <w:t>I</w:t>
      </w:r>
      <w:r>
        <w:rPr>
          <w:rStyle w:val="Emphasis"/>
          <w:rFonts w:ascii="Arial" w:hAnsi="Arial"/>
          <w:color w:val="000000"/>
          <w:sz w:val="20"/>
          <w:szCs w:val="20"/>
        </w:rPr>
        <w:t>nhomogeneous electron gas,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Physical Review, 136. B864–B871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DOI: </w:t>
      </w:r>
      <w:hyperlink r:id="rId34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https://doi.org/10.1103/PhysRev.136.B864</w:t>
        </w:r>
      </w:hyperlink>
    </w:p>
    <w:p w14:paraId="147F8F60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[18]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Chmielowski S., Bhattacharya S., Xie W., Pere D., Jacob S., Stern R., Moriya K., </w:t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Weid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enkaff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A., 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Madsen G. K. H., Dennler G., (2016). High thermoelectric performance in Tellurium doped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proofErr w:type="spellStart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Paracostibite</w:t>
      </w:r>
      <w:proofErr w:type="spellEnd"/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,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Journal of materials Chemistry C, 4 3094 – 3100. DOI:10.1039/C6TC00410E.</w:t>
      </w:r>
    </w:p>
    <w:p w14:paraId="7CAC0227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[19]</w:t>
      </w:r>
      <w:r>
        <w:rPr>
          <w:rFonts w:ascii="Arial" w:hAnsi="Arial"/>
          <w:color w:val="000000"/>
          <w:sz w:val="20"/>
          <w:szCs w:val="20"/>
        </w:rPr>
        <w:tab/>
        <w:t xml:space="preserve">Nolas G. S., Sharp J., &amp; H.J. (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2021).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Goldsmid</w:t>
      </w:r>
      <w:proofErr w:type="spellEnd"/>
      <w:r>
        <w:rPr>
          <w:rFonts w:ascii="Arial" w:hAnsi="Arial"/>
          <w:color w:val="000000"/>
          <w:sz w:val="20"/>
          <w:szCs w:val="20"/>
        </w:rPr>
        <w:t>, “</w:t>
      </w:r>
      <w:proofErr w:type="spellStart"/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Thermoelec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trics</w:t>
      </w:r>
      <w:proofErr w:type="spellEnd"/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 xml:space="preserve">: Basic Principles and New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ab/>
        <w:t xml:space="preserve">Materials Developments”, edition number 1, Springer Berlin, Heidelberg, Germany </w:t>
      </w:r>
      <w:r>
        <w:rPr>
          <w:rFonts w:ascii="Arial" w:hAnsi="Arial"/>
          <w:color w:val="000000"/>
          <w:sz w:val="20"/>
          <w:szCs w:val="20"/>
        </w:rPr>
        <w:t xml:space="preserve">Springer. </w:t>
      </w:r>
      <w:r>
        <w:rPr>
          <w:rFonts w:ascii="Arial" w:hAnsi="Arial"/>
          <w:color w:val="000000"/>
          <w:sz w:val="20"/>
          <w:szCs w:val="20"/>
        </w:rPr>
        <w:tab/>
      </w:r>
      <w:hyperlink r:id="rId35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https://doi.org/10.1007/978-3-662-04569-5</w:t>
        </w:r>
      </w:hyperlink>
      <w:r>
        <w:rPr>
          <w:rFonts w:ascii="Arial" w:hAnsi="Arial"/>
          <w:color w:val="000000"/>
          <w:sz w:val="20"/>
          <w:szCs w:val="20"/>
        </w:rPr>
        <w:t>, VIII, 293.</w:t>
      </w:r>
    </w:p>
    <w:p w14:paraId="6DDB9FC8" w14:textId="77777777" w:rsidR="00AF34DF" w:rsidRDefault="00B10020">
      <w:pPr>
        <w:pStyle w:val="BodyText"/>
        <w:jc w:val="both"/>
      </w:pPr>
      <w:r>
        <w:rPr>
          <w:rFonts w:ascii="Arial" w:hAnsi="Arial"/>
          <w:color w:val="000000"/>
          <w:sz w:val="20"/>
          <w:szCs w:val="20"/>
        </w:rPr>
        <w:t>[20]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Ettah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E.B., </w:t>
      </w:r>
      <w:proofErr w:type="spellStart"/>
      <w:r>
        <w:rPr>
          <w:rFonts w:ascii="Arial" w:hAnsi="Arial"/>
          <w:color w:val="000000"/>
          <w:sz w:val="20"/>
          <w:szCs w:val="20"/>
        </w:rPr>
        <w:t>Ishaje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M.E, </w:t>
      </w:r>
      <w:proofErr w:type="spellStart"/>
      <w:r>
        <w:rPr>
          <w:rFonts w:ascii="Arial" w:hAnsi="Arial"/>
          <w:color w:val="000000"/>
          <w:sz w:val="20"/>
          <w:szCs w:val="20"/>
        </w:rPr>
        <w:t>Minakova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K.A., </w:t>
      </w:r>
      <w:proofErr w:type="spellStart"/>
      <w:r>
        <w:rPr>
          <w:rFonts w:ascii="Arial" w:hAnsi="Arial"/>
          <w:color w:val="000000"/>
          <w:sz w:val="20"/>
          <w:szCs w:val="20"/>
        </w:rPr>
        <w:t>Sirenko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V.A., Bondar I.S., (2024). Machine-learning assisted </w:t>
      </w:r>
      <w:r>
        <w:rPr>
          <w:rFonts w:ascii="Arial" w:hAnsi="Arial"/>
          <w:color w:val="000000"/>
          <w:sz w:val="20"/>
          <w:szCs w:val="20"/>
        </w:rPr>
        <w:tab/>
        <w:t>DFT study of full-</w:t>
      </w:r>
      <w:proofErr w:type="spellStart"/>
      <w:r>
        <w:rPr>
          <w:rFonts w:ascii="Arial" w:hAnsi="Arial"/>
          <w:color w:val="000000"/>
          <w:sz w:val="20"/>
          <w:szCs w:val="20"/>
        </w:rPr>
        <w:t>heusler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alloy N2CaNa: Structural, electronic, mechanical, and thermodynamic </w:t>
      </w:r>
      <w:r>
        <w:rPr>
          <w:rFonts w:ascii="Arial" w:hAnsi="Arial"/>
          <w:color w:val="000000"/>
          <w:sz w:val="20"/>
          <w:szCs w:val="20"/>
        </w:rPr>
        <w:tab/>
        <w:t xml:space="preserve">properties,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 xml:space="preserve">Low Temp. Phys. </w:t>
      </w:r>
      <w:r>
        <w:rPr>
          <w:rFonts w:ascii="Arial" w:hAnsi="Arial"/>
          <w:color w:val="000000"/>
          <w:sz w:val="20"/>
          <w:szCs w:val="20"/>
        </w:rPr>
        <w:t xml:space="preserve">50 pp834–842  </w:t>
      </w:r>
      <w:hyperlink r:id="rId36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https://doi.org/10.1063/10.0028623</w:t>
        </w:r>
      </w:hyperlink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1D8DA130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[21]</w:t>
      </w:r>
      <w:r>
        <w:rPr>
          <w:rFonts w:ascii="Arial" w:hAnsi="Arial"/>
          <w:color w:val="000000"/>
          <w:sz w:val="20"/>
          <w:szCs w:val="20"/>
        </w:rPr>
        <w:tab/>
        <w:t xml:space="preserve">Wen Z., Zhao Y., Hou H., Wang B., and Han P., The mechanical and thermodynamic properties of </w:t>
      </w:r>
      <w:r>
        <w:rPr>
          <w:rFonts w:ascii="Arial" w:hAnsi="Arial"/>
          <w:color w:val="000000"/>
          <w:sz w:val="20"/>
          <w:szCs w:val="20"/>
        </w:rPr>
        <w:tab/>
        <w:t>Heusler compounds Ni2XAl (X = Sc, Ti, V) under pressure and temperature: A first-principles study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ab/>
        <w:t>Materials &amp; Design 144  2016 DOI:</w:t>
      </w:r>
      <w:hyperlink r:id="rId37" w:tgtFrame="_blank">
        <w:r w:rsidR="00AF34DF">
          <w:rPr>
            <w:rStyle w:val="Hyperlink"/>
            <w:rFonts w:ascii="Arial" w:hAnsi="Arial"/>
            <w:color w:val="000000"/>
            <w:sz w:val="20"/>
            <w:szCs w:val="20"/>
            <w:u w:val="none"/>
          </w:rPr>
          <w:t>10.1016/j.matdes.2016.11.005</w:t>
        </w:r>
      </w:hyperlink>
    </w:p>
    <w:p w14:paraId="5D6D66B5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[22]</w:t>
      </w:r>
      <w:r>
        <w:rPr>
          <w:rFonts w:ascii="Arial" w:hAnsi="Arial"/>
          <w:color w:val="000000"/>
          <w:sz w:val="20"/>
          <w:szCs w:val="20"/>
        </w:rPr>
        <w:tab/>
        <w:t xml:space="preserve">Hill, R., (1952).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 xml:space="preserve">The elastic </w:t>
      </w:r>
      <w:proofErr w:type="spellStart"/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behaviour</w:t>
      </w:r>
      <w:proofErr w:type="spellEnd"/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 xml:space="preserve"> of a crystalline aggregate,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Proceedings of the Physical Society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Section A,</w:t>
      </w:r>
      <w:r>
        <w:rPr>
          <w:rFonts w:ascii="Arial" w:hAnsi="Arial"/>
          <w:color w:val="000000"/>
          <w:sz w:val="20"/>
          <w:szCs w:val="20"/>
        </w:rPr>
        <w:t xml:space="preserve"> 65  pp 349–354 DOI 10.1088/0370-1298/65/5/307</w:t>
      </w:r>
    </w:p>
    <w:p w14:paraId="490A1767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[23]</w:t>
      </w:r>
      <w:r>
        <w:rPr>
          <w:rFonts w:ascii="Arial" w:hAnsi="Arial"/>
          <w:color w:val="000000"/>
          <w:sz w:val="20"/>
          <w:szCs w:val="20"/>
        </w:rPr>
        <w:tab/>
        <w:t xml:space="preserve">Blanco M. A., Francisco E., &amp; </w:t>
      </w:r>
      <w:proofErr w:type="spellStart"/>
      <w:r>
        <w:rPr>
          <w:rFonts w:ascii="Arial" w:hAnsi="Arial"/>
          <w:color w:val="000000"/>
          <w:sz w:val="20"/>
          <w:szCs w:val="20"/>
        </w:rPr>
        <w:t>Luaña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V. (2004).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 xml:space="preserve">GIBBS: Isothermal-isobaric thermodynamics of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ab/>
        <w:t>solids from energy curves using a quasi-harmonic Debye model,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Computer Physics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Communications</w:t>
      </w:r>
      <w:r>
        <w:rPr>
          <w:rFonts w:ascii="Arial" w:hAnsi="Arial"/>
          <w:color w:val="000000"/>
          <w:sz w:val="20"/>
          <w:szCs w:val="20"/>
        </w:rPr>
        <w:t>, 158 p</w:t>
      </w:r>
      <w:r>
        <w:rPr>
          <w:rFonts w:ascii="Arial" w:hAnsi="Arial"/>
          <w:color w:val="000000"/>
          <w:sz w:val="20"/>
          <w:szCs w:val="20"/>
        </w:rPr>
        <w:t>p 57–72 https://doi.org/10.1016/j/comphy.2003.12.001.</w:t>
      </w:r>
    </w:p>
    <w:p w14:paraId="2330A89B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[24]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Giannozzi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P., Baroni S., Bonini N., Calandra M., Car R., </w:t>
      </w:r>
      <w:proofErr w:type="spellStart"/>
      <w:r>
        <w:rPr>
          <w:rFonts w:ascii="Arial" w:hAnsi="Arial"/>
          <w:color w:val="000000"/>
          <w:sz w:val="20"/>
          <w:szCs w:val="20"/>
        </w:rPr>
        <w:t>Cavazzoni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C., </w:t>
      </w:r>
      <w:proofErr w:type="spellStart"/>
      <w:r>
        <w:rPr>
          <w:rFonts w:ascii="Arial" w:hAnsi="Arial"/>
          <w:color w:val="000000"/>
          <w:sz w:val="20"/>
          <w:szCs w:val="20"/>
        </w:rPr>
        <w:t>Ceresoli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D., </w:t>
      </w:r>
      <w:proofErr w:type="spellStart"/>
      <w:r>
        <w:rPr>
          <w:rFonts w:ascii="Arial" w:hAnsi="Arial"/>
          <w:color w:val="000000"/>
          <w:sz w:val="20"/>
          <w:szCs w:val="20"/>
        </w:rPr>
        <w:t>Chiarotti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G.L.,  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Cococcioni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M., Dabo I., Corso A.D,  de </w:t>
      </w:r>
      <w:proofErr w:type="spellStart"/>
      <w:r>
        <w:rPr>
          <w:rFonts w:ascii="Arial" w:hAnsi="Arial"/>
          <w:color w:val="000000"/>
          <w:sz w:val="20"/>
          <w:szCs w:val="20"/>
        </w:rPr>
        <w:t>Gironcoli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S., Fabris S., Fratesi G.,  Gebauer R., </w:t>
      </w:r>
      <w:proofErr w:type="spellStart"/>
      <w:r>
        <w:rPr>
          <w:rFonts w:ascii="Arial" w:hAnsi="Arial"/>
          <w:color w:val="000000"/>
          <w:sz w:val="20"/>
          <w:szCs w:val="20"/>
        </w:rPr>
        <w:t>Gerstm</w:t>
      </w:r>
      <w:r>
        <w:rPr>
          <w:rFonts w:ascii="Arial" w:hAnsi="Arial"/>
          <w:color w:val="000000"/>
          <w:sz w:val="20"/>
          <w:szCs w:val="20"/>
        </w:rPr>
        <w:t>ann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ab/>
        <w:t xml:space="preserve">U,  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Gougoussis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C.,  Kokalj A.,  Lazzeri M., Martin-Samos L.,  Marzari N., Mauri F., Mazzarello </w:t>
      </w:r>
      <w:r>
        <w:rPr>
          <w:rFonts w:ascii="Arial" w:hAnsi="Arial"/>
          <w:color w:val="000000"/>
          <w:sz w:val="20"/>
          <w:szCs w:val="20"/>
        </w:rPr>
        <w:tab/>
        <w:t xml:space="preserve">R.,  Paolini S.,  </w:t>
      </w:r>
      <w:proofErr w:type="spellStart"/>
      <w:r>
        <w:rPr>
          <w:rFonts w:ascii="Arial" w:hAnsi="Arial"/>
          <w:color w:val="000000"/>
          <w:sz w:val="20"/>
          <w:szCs w:val="20"/>
        </w:rPr>
        <w:t>Pasquarello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v,  </w:t>
      </w:r>
      <w:proofErr w:type="spellStart"/>
      <w:r>
        <w:rPr>
          <w:rFonts w:ascii="Arial" w:hAnsi="Arial"/>
          <w:color w:val="000000"/>
          <w:sz w:val="20"/>
          <w:szCs w:val="20"/>
        </w:rPr>
        <w:t>Paulatto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L.,  Sbraccia C.,  </w:t>
      </w:r>
      <w:proofErr w:type="spellStart"/>
      <w:r>
        <w:rPr>
          <w:rFonts w:ascii="Arial" w:hAnsi="Arial"/>
          <w:color w:val="000000"/>
          <w:sz w:val="20"/>
          <w:szCs w:val="20"/>
        </w:rPr>
        <w:t>Scandolo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S., </w:t>
      </w:r>
      <w:proofErr w:type="spellStart"/>
      <w:r>
        <w:rPr>
          <w:rFonts w:ascii="Arial" w:hAnsi="Arial"/>
          <w:color w:val="000000"/>
          <w:sz w:val="20"/>
          <w:szCs w:val="20"/>
        </w:rPr>
        <w:t>Sclauzero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G., </w:t>
      </w:r>
      <w:proofErr w:type="spellStart"/>
      <w:r>
        <w:rPr>
          <w:rFonts w:ascii="Arial" w:hAnsi="Arial"/>
          <w:color w:val="000000"/>
          <w:sz w:val="20"/>
          <w:szCs w:val="20"/>
        </w:rPr>
        <w:t>Seitsonen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A. P,  </w:t>
      </w:r>
      <w:r>
        <w:rPr>
          <w:rFonts w:ascii="Arial" w:hAnsi="Arial"/>
          <w:color w:val="000000"/>
          <w:sz w:val="20"/>
          <w:szCs w:val="20"/>
        </w:rPr>
        <w:tab/>
      </w:r>
      <w:proofErr w:type="spellStart"/>
      <w:r>
        <w:rPr>
          <w:rFonts w:ascii="Arial" w:hAnsi="Arial"/>
          <w:color w:val="000000"/>
          <w:sz w:val="20"/>
          <w:szCs w:val="20"/>
        </w:rPr>
        <w:t>Smogunov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A., Umari P., and </w:t>
      </w:r>
      <w:proofErr w:type="spellStart"/>
      <w:r>
        <w:rPr>
          <w:rFonts w:ascii="Arial" w:hAnsi="Arial"/>
          <w:color w:val="000000"/>
          <w:sz w:val="20"/>
          <w:szCs w:val="20"/>
        </w:rPr>
        <w:t>Wentzcovitch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R. M.,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QUANTUM ESPRESSO: A modular and open-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ab/>
        <w:t xml:space="preserve">source software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ab/>
        <w:t>project for quantum simulations of materials,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Journal of Physics: Condensed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Matter</w:t>
      </w:r>
      <w:r>
        <w:rPr>
          <w:rFonts w:ascii="Arial" w:hAnsi="Arial"/>
          <w:color w:val="000000"/>
          <w:sz w:val="20"/>
          <w:szCs w:val="20"/>
        </w:rPr>
        <w:t xml:space="preserve">, 21 395502,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DOI</w:t>
      </w:r>
      <w:r>
        <w:rPr>
          <w:rFonts w:ascii="Arial" w:hAnsi="Arial"/>
          <w:color w:val="000000"/>
          <w:sz w:val="20"/>
          <w:szCs w:val="20"/>
        </w:rPr>
        <w:t>10.1088/0953-8984/21/39/395502.</w:t>
      </w:r>
    </w:p>
    <w:p w14:paraId="1CC10226" w14:textId="77777777" w:rsidR="00AF34DF" w:rsidRDefault="00B10020">
      <w:pPr>
        <w:pStyle w:val="BodyText"/>
        <w:tabs>
          <w:tab w:val="left" w:pos="0"/>
        </w:tabs>
        <w:jc w:val="both"/>
      </w:pPr>
      <w:r>
        <w:rPr>
          <w:rFonts w:ascii="Arial" w:hAnsi="Arial"/>
          <w:color w:val="000000"/>
          <w:sz w:val="20"/>
          <w:szCs w:val="20"/>
        </w:rPr>
        <w:t>[25]</w:t>
      </w:r>
      <w:r>
        <w:rPr>
          <w:rFonts w:ascii="Arial" w:hAnsi="Arial"/>
          <w:color w:val="000000"/>
          <w:sz w:val="20"/>
          <w:szCs w:val="20"/>
        </w:rPr>
        <w:tab/>
        <w:t xml:space="preserve">Perdew J. P., Burke K., &amp;  </w:t>
      </w:r>
      <w:proofErr w:type="spellStart"/>
      <w:r>
        <w:rPr>
          <w:rFonts w:ascii="Arial" w:hAnsi="Arial"/>
          <w:color w:val="000000"/>
          <w:sz w:val="20"/>
          <w:szCs w:val="20"/>
        </w:rPr>
        <w:t>Ernzerhof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M., (1996). 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Generalized Gra</w:t>
      </w:r>
      <w:r>
        <w:rPr>
          <w:rStyle w:val="Emphasis"/>
          <w:rFonts w:ascii="Arial" w:hAnsi="Arial"/>
          <w:i w:val="0"/>
          <w:iCs w:val="0"/>
          <w:color w:val="000000"/>
          <w:sz w:val="20"/>
          <w:szCs w:val="20"/>
        </w:rPr>
        <w:t>dient Approximation Made Simple,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Physical Review Letters</w:t>
      </w:r>
      <w:r>
        <w:rPr>
          <w:rFonts w:ascii="Arial" w:hAnsi="Arial"/>
          <w:color w:val="000000"/>
          <w:sz w:val="20"/>
          <w:szCs w:val="20"/>
        </w:rPr>
        <w:t xml:space="preserve">, 77 3865–3868 </w:t>
      </w:r>
      <w:proofErr w:type="spellStart"/>
      <w:r>
        <w:rPr>
          <w:rFonts w:ascii="Arial" w:hAnsi="Arial"/>
          <w:color w:val="000000"/>
          <w:sz w:val="20"/>
          <w:szCs w:val="20"/>
        </w:rPr>
        <w:t>DOI:https</w:t>
      </w:r>
      <w:proofErr w:type="spellEnd"/>
      <w:r>
        <w:rPr>
          <w:rFonts w:ascii="Arial" w:hAnsi="Arial"/>
          <w:color w:val="000000"/>
          <w:sz w:val="20"/>
          <w:szCs w:val="20"/>
        </w:rPr>
        <w:t>://doi.org/10.1103/PhysRevLett.77.3865</w:t>
      </w:r>
    </w:p>
    <w:p w14:paraId="337C3C5B" w14:textId="77777777" w:rsidR="00AF34DF" w:rsidRDefault="00B10020">
      <w:pPr>
        <w:pStyle w:val="BodyText"/>
        <w:jc w:val="both"/>
      </w:pP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>[26]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Pugh S., (1954). XCII. Relations between the Elastic Moduli and the Plastic Properties of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>Polycrystalline Pure Metals, The London,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 xml:space="preserve"> Edinburgh, and Dublin Philosophical Magazine and Journal </w:t>
      </w:r>
      <w:r>
        <w:rPr>
          <w:rStyle w:val="StrongEmphasis"/>
          <w:rFonts w:ascii="Arial" w:hAnsi="Arial"/>
          <w:b w:val="0"/>
          <w:bCs w:val="0"/>
          <w:color w:val="000000"/>
          <w:sz w:val="20"/>
          <w:szCs w:val="20"/>
        </w:rPr>
        <w:tab/>
        <w:t xml:space="preserve">of Science, 45, 823-843. https://doi.org/10.1080/14786440808520496 </w:t>
      </w:r>
    </w:p>
    <w:sectPr w:rsidR="00AF34DF">
      <w:type w:val="continuous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37193" w14:textId="77777777" w:rsidR="00B10020" w:rsidRDefault="00B10020">
      <w:r>
        <w:separator/>
      </w:r>
    </w:p>
  </w:endnote>
  <w:endnote w:type="continuationSeparator" w:id="0">
    <w:p w14:paraId="0E66C61E" w14:textId="77777777" w:rsidR="00B10020" w:rsidRDefault="00B1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DDE9" w14:textId="77777777" w:rsidR="00AF34DF" w:rsidRDefault="00AF3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F3776" w14:textId="77777777" w:rsidR="00AF34DF" w:rsidRDefault="00B10020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57A1" w14:textId="77777777" w:rsidR="00AF34DF" w:rsidRDefault="00B10020">
    <w:pPr>
      <w:pStyle w:val="Footer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A9FC" w14:textId="77777777" w:rsidR="00B10020" w:rsidRDefault="00B10020">
      <w:r>
        <w:separator/>
      </w:r>
    </w:p>
  </w:footnote>
  <w:footnote w:type="continuationSeparator" w:id="0">
    <w:p w14:paraId="5311B49B" w14:textId="77777777" w:rsidR="00B10020" w:rsidRDefault="00B1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22211" w14:textId="2E9A15D5" w:rsidR="00702F5F" w:rsidRDefault="00702F5F">
    <w:pPr>
      <w:pStyle w:val="Header"/>
    </w:pPr>
    <w:r>
      <w:rPr>
        <w:noProof/>
      </w:rPr>
      <w:pict w14:anchorId="4F55E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10.5pt;height:68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55A7" w14:textId="28A43BAF" w:rsidR="00702F5F" w:rsidRDefault="00702F5F">
    <w:pPr>
      <w:pStyle w:val="Header"/>
    </w:pPr>
    <w:r>
      <w:rPr>
        <w:noProof/>
      </w:rPr>
      <w:pict w14:anchorId="1393D0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10.5pt;height:68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1D69" w14:textId="6FC640B3" w:rsidR="00702F5F" w:rsidRDefault="00702F5F">
    <w:pPr>
      <w:pStyle w:val="Header"/>
    </w:pPr>
    <w:r>
      <w:rPr>
        <w:noProof/>
      </w:rPr>
      <w:pict w14:anchorId="2036C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10.5pt;height:68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4DF"/>
    <w:rsid w:val="00000487"/>
    <w:rsid w:val="000C62B3"/>
    <w:rsid w:val="000D432D"/>
    <w:rsid w:val="001C4ABD"/>
    <w:rsid w:val="001C4F15"/>
    <w:rsid w:val="00472483"/>
    <w:rsid w:val="00702F5F"/>
    <w:rsid w:val="00707F41"/>
    <w:rsid w:val="009B0C22"/>
    <w:rsid w:val="009D435B"/>
    <w:rsid w:val="009D7D7E"/>
    <w:rsid w:val="00A26F23"/>
    <w:rsid w:val="00AF34DF"/>
    <w:rsid w:val="00B10020"/>
    <w:rsid w:val="00DA2ECF"/>
    <w:rsid w:val="00EA012A"/>
    <w:rsid w:val="00E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8A6AB8"/>
  <w15:docId w15:val="{8601679D-35D1-4CE7-B27D-EC13F3AF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spacing w:before="120"/>
      <w:outlineLvl w:val="3"/>
    </w:pPr>
    <w:rPr>
      <w:rFonts w:ascii="Liberation Serif" w:eastAsia="Noto Serif CJK SC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character" w:styleId="UnresolvedMention">
    <w:name w:val="Unresolved Mention"/>
    <w:basedOn w:val="DefaultParagraphFont"/>
    <w:uiPriority w:val="99"/>
    <w:semiHidden/>
    <w:unhideWhenUsed/>
    <w:rsid w:val="009D7D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F5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2F5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doi.org/10.1002/adma.202308168?urlappend=%3Futm_source%3Dresearchgate.net%26utm_medium%3Darticle" TargetMode="External"/><Relationship Id="rId26" Type="http://schemas.openxmlformats.org/officeDocument/2006/relationships/hyperlink" Target="https://doi.org/10.1016/j.physb.2025.41718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46481/jnsps.2022.297" TargetMode="External"/><Relationship Id="rId34" Type="http://schemas.openxmlformats.org/officeDocument/2006/relationships/hyperlink" Target="https://doi.org/10.1103/PhysRev.136.B864" TargetMode="Externa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doi.org/10.3390/met15030329" TargetMode="External"/><Relationship Id="rId33" Type="http://schemas.openxmlformats.org/officeDocument/2006/relationships/hyperlink" Target="http://authors.go2articles.com/id/eprint/145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pubs.acs.org/doi/10.1021/acs.inorgchem.6b02913" TargetMode="External"/><Relationship Id="rId29" Type="http://schemas.openxmlformats.org/officeDocument/2006/relationships/hyperlink" Target="https://doi.org/10.1038/s41598-025-91458-2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doi.org/10.1016/j.vacuum.2025.114249" TargetMode="External"/><Relationship Id="rId32" Type="http://schemas.openxmlformats.org/officeDocument/2006/relationships/hyperlink" Target="https://doi.org/10.1021/acsnano.0c10250" TargetMode="External"/><Relationship Id="rId37" Type="http://schemas.openxmlformats.org/officeDocument/2006/relationships/hyperlink" Target="https://doi.org/10.1016/j.matdes.2016.11.005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hyperlink" Target="https://doi.org/10.47176/ijpr.23.3.41671" TargetMode="External"/><Relationship Id="rId28" Type="http://schemas.openxmlformats.org/officeDocument/2006/relationships/hyperlink" Target="https://doi.org/10.1038/s41598-025-" TargetMode="External"/><Relationship Id="rId36" Type="http://schemas.openxmlformats.org/officeDocument/2006/relationships/hyperlink" Target="https://doi.org/10.1063/10.0028623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oi.org/10.3390/batteries10010029" TargetMode="External"/><Relationship Id="rId31" Type="http://schemas.openxmlformats.org/officeDocument/2006/relationships/hyperlink" Target="https://doi.org/10.3390/en14185758?urlappend=%3Futm_source%3Dresearchgate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hyperlink" Target="https://doi.org/10.1039/c5sc00825e" TargetMode="External"/><Relationship Id="rId27" Type="http://schemas.openxmlformats.org/officeDocument/2006/relationships/hyperlink" Target="https://doi.org/10.1038/s41598-" TargetMode="External"/><Relationship Id="rId30" Type="http://schemas.openxmlformats.org/officeDocument/2006/relationships/hyperlink" Target="https://doi.org/10.1063/10.0036529" TargetMode="External"/><Relationship Id="rId35" Type="http://schemas.openxmlformats.org/officeDocument/2006/relationships/hyperlink" Target="https://doi.org/10.1007/978-3-662-04569-5" TargetMode="External"/><Relationship Id="rId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12</Pages>
  <Words>4993</Words>
  <Characters>28462</Characters>
  <Application>Microsoft Office Word</Application>
  <DocSecurity>0</DocSecurity>
  <Lines>237</Lines>
  <Paragraphs>66</Paragraphs>
  <ScaleCrop>false</ScaleCrop>
  <Company/>
  <LinksUpToDate>false</LinksUpToDate>
  <CharactersWithSpaces>33389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SDI 1084</cp:lastModifiedBy>
  <cp:revision>209</cp:revision>
  <cp:lastPrinted>2025-11-04T03:51:00Z</cp:lastPrinted>
  <dcterms:created xsi:type="dcterms:W3CDTF">2025-10-11T10:19:00Z</dcterms:created>
  <dcterms:modified xsi:type="dcterms:W3CDTF">2026-02-12T12:51:00Z</dcterms:modified>
  <dc:language>en-NG</dc:language>
</cp:coreProperties>
</file>