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7A67D" w14:textId="77777777" w:rsidR="006C222A" w:rsidRPr="006C222A" w:rsidRDefault="006C222A" w:rsidP="006C222A">
      <w:pPr>
        <w:spacing w:line="360" w:lineRule="auto"/>
        <w:jc w:val="center"/>
        <w:rPr>
          <w:rFonts w:ascii="Times New Roman" w:eastAsiaTheme="minorEastAsia" w:hAnsi="Times New Roman" w:cs="Times New Roman"/>
          <w:b/>
          <w:sz w:val="24"/>
          <w:szCs w:val="24"/>
        </w:rPr>
      </w:pPr>
      <w:r w:rsidRPr="006C222A">
        <w:rPr>
          <w:rFonts w:ascii="Times New Roman" w:hAnsi="Times New Roman" w:cs="Times New Roman"/>
          <w:b/>
          <w:sz w:val="24"/>
          <w:szCs w:val="24"/>
        </w:rPr>
        <w:t xml:space="preserve">Geospatial Assessment of Terrestrial gamma radiation and Radiological Health risk in Oleh and </w:t>
      </w:r>
      <w:proofErr w:type="spellStart"/>
      <w:r w:rsidRPr="006C222A">
        <w:rPr>
          <w:rFonts w:ascii="Times New Roman" w:hAnsi="Times New Roman" w:cs="Times New Roman"/>
          <w:b/>
          <w:sz w:val="24"/>
          <w:szCs w:val="24"/>
        </w:rPr>
        <w:t>Ozoro</w:t>
      </w:r>
      <w:proofErr w:type="spellEnd"/>
      <w:r w:rsidRPr="006C222A">
        <w:rPr>
          <w:rFonts w:ascii="Times New Roman" w:hAnsi="Times New Roman" w:cs="Times New Roman"/>
          <w:b/>
          <w:sz w:val="24"/>
          <w:szCs w:val="24"/>
        </w:rPr>
        <w:t>, Delta State, Nigeria</w:t>
      </w:r>
    </w:p>
    <w:p w14:paraId="63491ECD" w14:textId="77777777" w:rsidR="00DA3FA1" w:rsidRDefault="00DA3FA1" w:rsidP="00875A53">
      <w:pPr>
        <w:pStyle w:val="NormalWeb"/>
        <w:jc w:val="both"/>
        <w:rPr>
          <w:rStyle w:val="Strong"/>
          <w:sz w:val="22"/>
          <w:szCs w:val="22"/>
        </w:rPr>
      </w:pPr>
    </w:p>
    <w:p w14:paraId="42E122A3" w14:textId="7EBE3D78" w:rsidR="00875A53" w:rsidRPr="00875A53" w:rsidRDefault="00875A53" w:rsidP="00875A53">
      <w:pPr>
        <w:pStyle w:val="NormalWeb"/>
        <w:jc w:val="both"/>
        <w:rPr>
          <w:sz w:val="22"/>
          <w:szCs w:val="22"/>
        </w:rPr>
      </w:pPr>
      <w:r w:rsidRPr="00875A53">
        <w:rPr>
          <w:rStyle w:val="Strong"/>
          <w:sz w:val="22"/>
          <w:szCs w:val="22"/>
        </w:rPr>
        <w:t>Abstract</w:t>
      </w:r>
    </w:p>
    <w:p w14:paraId="51FAADF1" w14:textId="77777777" w:rsidR="00875A53" w:rsidRDefault="00875A53" w:rsidP="00875A53">
      <w:pPr>
        <w:pStyle w:val="NormalWeb"/>
        <w:jc w:val="both"/>
        <w:rPr>
          <w:sz w:val="22"/>
          <w:szCs w:val="22"/>
        </w:rPr>
      </w:pPr>
      <w:r w:rsidRPr="00875A53">
        <w:rPr>
          <w:sz w:val="22"/>
          <w:szCs w:val="22"/>
        </w:rPr>
        <w:t xml:space="preserve">This study presents a geospatial evaluation of terrestrial gamma radiation and associated radiological health risks across eight urban zones in Oleh and </w:t>
      </w:r>
      <w:proofErr w:type="spellStart"/>
      <w:r w:rsidRPr="00875A53">
        <w:rPr>
          <w:sz w:val="22"/>
          <w:szCs w:val="22"/>
        </w:rPr>
        <w:t>Ozoro</w:t>
      </w:r>
      <w:proofErr w:type="spellEnd"/>
      <w:r w:rsidRPr="00875A53">
        <w:rPr>
          <w:sz w:val="22"/>
          <w:szCs w:val="22"/>
        </w:rPr>
        <w:t xml:space="preserve">, Delta State, Nigeria. Background ionizing radiation (BIR) and absorbed dose rate (ADR) measurements were conducted across four zones per town, yielding mean </w:t>
      </w:r>
      <w:r>
        <w:rPr>
          <w:sz w:val="22"/>
          <w:szCs w:val="22"/>
        </w:rPr>
        <w:t>ADR values of 83.08 ± 10.63 nGy</w:t>
      </w:r>
      <w:r w:rsidRPr="00875A53">
        <w:rPr>
          <w:sz w:val="22"/>
          <w:szCs w:val="22"/>
        </w:rPr>
        <w:t>h⁻</w:t>
      </w:r>
      <w:r w:rsidR="003D095B">
        <w:rPr>
          <w:sz w:val="22"/>
          <w:szCs w:val="22"/>
        </w:rPr>
        <w:t>¹ in Oleh and 91.05 ± 12.54 nGy</w:t>
      </w:r>
      <w:r w:rsidRPr="00875A53">
        <w:rPr>
          <w:sz w:val="22"/>
          <w:szCs w:val="22"/>
        </w:rPr>
        <w:t xml:space="preserve">h⁻¹ in </w:t>
      </w:r>
      <w:proofErr w:type="spellStart"/>
      <w:r w:rsidRPr="00875A53">
        <w:rPr>
          <w:sz w:val="22"/>
          <w:szCs w:val="22"/>
        </w:rPr>
        <w:t>Ozoro</w:t>
      </w:r>
      <w:proofErr w:type="spellEnd"/>
      <w:r w:rsidRPr="00875A53">
        <w:rPr>
          <w:sz w:val="22"/>
          <w:szCs w:val="22"/>
        </w:rPr>
        <w:t>. The corresponding annual effectiv</w:t>
      </w:r>
      <w:r w:rsidR="003D095B">
        <w:rPr>
          <w:sz w:val="22"/>
          <w:szCs w:val="22"/>
        </w:rPr>
        <w:t xml:space="preserve">e dose equivalent (AEDE) values-0.103 ± 0.013 mSvy⁻¹ and 0.112 ± 0.016 mSvy⁻¹, respectively </w:t>
      </w:r>
      <w:r w:rsidRPr="00875A53">
        <w:rPr>
          <w:sz w:val="22"/>
          <w:szCs w:val="22"/>
        </w:rPr>
        <w:t>were significantly below the UNS</w:t>
      </w:r>
      <w:r w:rsidR="003D095B">
        <w:rPr>
          <w:sz w:val="22"/>
          <w:szCs w:val="22"/>
        </w:rPr>
        <w:t>CEAR global average of 0.41 mSv</w:t>
      </w:r>
      <w:r w:rsidRPr="00875A53">
        <w:rPr>
          <w:sz w:val="22"/>
          <w:szCs w:val="22"/>
        </w:rPr>
        <w:t>y⁻¹, indicating compliance with international radiological safety standards. Excess lifetime cancer risk (ELCR) estimates ranged from 0.332 ± 0.077 × 10⁻³ to 0.445 ± 0.074 × 10⁻³, with a pooled mean of 0.376 ± 0.055 × 10⁻³, marginally exceeding the UNSCEAR reference value but remaining within tolerable stochastic risk limits. Organ-specific dose analysis revealed elevated exposure in radiosensitive tissues, notably the testes and bone marrow. Statistical robustness was confirmed through Monte Carlo simulations, Bayesian inference, and Bootstrap resampling, all of which demonstrated convergence and internal consistency. The findings suggest moderate radiological exposure across the study area, with localized variations attributable to anthropogenic activity and lithologic composition. Routine monitoring and targeted public health interventions are recommended to sustain environmental safety.</w:t>
      </w:r>
    </w:p>
    <w:p w14:paraId="18EFD184" w14:textId="77777777" w:rsidR="003D095B" w:rsidRPr="003D095B" w:rsidRDefault="003D095B" w:rsidP="003D095B">
      <w:pPr>
        <w:pStyle w:val="NormalWeb"/>
        <w:jc w:val="both"/>
        <w:rPr>
          <w:b/>
          <w:sz w:val="22"/>
          <w:szCs w:val="22"/>
        </w:rPr>
      </w:pPr>
      <w:r>
        <w:rPr>
          <w:b/>
          <w:sz w:val="22"/>
          <w:szCs w:val="22"/>
        </w:rPr>
        <w:t xml:space="preserve">Keywords: </w:t>
      </w:r>
      <w:r w:rsidRPr="003D095B">
        <w:rPr>
          <w:sz w:val="22"/>
          <w:szCs w:val="22"/>
        </w:rPr>
        <w:t>Terrestrial gamma radiation, Radiological health risk, An</w:t>
      </w:r>
      <w:r>
        <w:rPr>
          <w:sz w:val="22"/>
          <w:szCs w:val="22"/>
        </w:rPr>
        <w:t xml:space="preserve">nual effective dose equivalent, </w:t>
      </w:r>
      <w:r w:rsidRPr="003D095B">
        <w:rPr>
          <w:sz w:val="22"/>
          <w:szCs w:val="22"/>
        </w:rPr>
        <w:t>Geospatial analysis, Delta State Nigeria</w:t>
      </w:r>
    </w:p>
    <w:p w14:paraId="1EBAE468" w14:textId="072F8235" w:rsidR="00875A53" w:rsidRDefault="00875A53" w:rsidP="00875A53">
      <w:pPr>
        <w:spacing w:line="360" w:lineRule="auto"/>
        <w:rPr>
          <w:rFonts w:ascii="Times New Roman" w:eastAsia="Calibri" w:hAnsi="Times New Roman" w:cs="Times New Roman"/>
          <w:sz w:val="24"/>
          <w:szCs w:val="24"/>
        </w:rPr>
      </w:pPr>
    </w:p>
    <w:p w14:paraId="44A2D5AA" w14:textId="77777777" w:rsidR="00DA3FA1" w:rsidRPr="00875A53" w:rsidRDefault="00DA3FA1" w:rsidP="00875A53">
      <w:pPr>
        <w:spacing w:line="360" w:lineRule="auto"/>
        <w:rPr>
          <w:rFonts w:ascii="Times New Roman" w:eastAsia="Calibri" w:hAnsi="Times New Roman" w:cs="Times New Roman"/>
          <w:sz w:val="24"/>
          <w:szCs w:val="24"/>
        </w:rPr>
      </w:pPr>
    </w:p>
    <w:p w14:paraId="02D92355" w14:textId="77777777" w:rsidR="001E6601" w:rsidRPr="001E6601" w:rsidRDefault="001E6601" w:rsidP="006C222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E6601">
        <w:rPr>
          <w:rFonts w:ascii="Times New Roman" w:eastAsia="Times New Roman" w:hAnsi="Times New Roman" w:cs="Times New Roman"/>
          <w:b/>
          <w:bCs/>
          <w:sz w:val="24"/>
          <w:szCs w:val="24"/>
        </w:rPr>
        <w:t>1.</w:t>
      </w:r>
      <w:r w:rsidR="006C222A">
        <w:rPr>
          <w:rFonts w:ascii="Times New Roman" w:eastAsia="Times New Roman" w:hAnsi="Times New Roman" w:cs="Times New Roman"/>
          <w:b/>
          <w:bCs/>
          <w:sz w:val="24"/>
          <w:szCs w:val="24"/>
        </w:rPr>
        <w:t>0</w:t>
      </w:r>
      <w:r w:rsidRPr="001E6601">
        <w:rPr>
          <w:rFonts w:ascii="Times New Roman" w:eastAsia="Times New Roman" w:hAnsi="Times New Roman" w:cs="Times New Roman"/>
          <w:b/>
          <w:bCs/>
          <w:sz w:val="24"/>
          <w:szCs w:val="24"/>
        </w:rPr>
        <w:t xml:space="preserve"> Introduction</w:t>
      </w:r>
    </w:p>
    <w:p w14:paraId="5F2D142C" w14:textId="77777777" w:rsidR="008F4862" w:rsidRPr="008F4862" w:rsidRDefault="008F4862" w:rsidP="008F4862">
      <w:pPr>
        <w:pStyle w:val="NormalWeb"/>
        <w:spacing w:line="360" w:lineRule="auto"/>
        <w:jc w:val="both"/>
        <w:rPr>
          <w:sz w:val="22"/>
          <w:szCs w:val="22"/>
        </w:rPr>
      </w:pPr>
      <w:r w:rsidRPr="008F4862">
        <w:rPr>
          <w:sz w:val="22"/>
          <w:szCs w:val="22"/>
        </w:rPr>
        <w:t>Environmental exposure to terrestrial gamma radiation remains a key concern in radiation protection and public health. Globally, natural background radiation is the major contributor to the annual effective dose received by humans (United Nations Scientific Committee on the Effects of Atomic Radiation [UNSCEAR], 2008). While cosmic rays and primordial radionuclides such as uranium-238 (²³⁸U), thorium-232 (²³²Th), and potassium-40 (⁴⁰K) are ubiquitous, local geological and anthropogenic factors can markedly influence ambient dose rates (Del Monte, 2024; Alvarez et al., 2017). Technologically enhanced naturally occurring radioactive materials (TENORM) and other human-driven activities associated with mineral extraction, oil and gas production, and rapid urbanization further elevate terrestrial gamma radiation in sensitive regions (</w:t>
      </w:r>
      <w:proofErr w:type="spellStart"/>
      <w:r w:rsidRPr="008F4862">
        <w:rPr>
          <w:sz w:val="22"/>
          <w:szCs w:val="22"/>
        </w:rPr>
        <w:t>Agbalagba</w:t>
      </w:r>
      <w:proofErr w:type="spellEnd"/>
      <w:r w:rsidRPr="008F4862">
        <w:rPr>
          <w:sz w:val="22"/>
          <w:szCs w:val="22"/>
        </w:rPr>
        <w:t xml:space="preserve"> &amp; </w:t>
      </w:r>
      <w:proofErr w:type="spellStart"/>
      <w:r w:rsidRPr="008F4862">
        <w:rPr>
          <w:sz w:val="22"/>
          <w:szCs w:val="22"/>
        </w:rPr>
        <w:t>Okorodudu</w:t>
      </w:r>
      <w:proofErr w:type="spellEnd"/>
      <w:r w:rsidRPr="008F4862">
        <w:rPr>
          <w:sz w:val="22"/>
          <w:szCs w:val="22"/>
        </w:rPr>
        <w:t>, 2024; International Atomic Energy Agency [IAEA], 2021).</w:t>
      </w:r>
      <w:r w:rsidR="003D095B">
        <w:rPr>
          <w:sz w:val="22"/>
          <w:szCs w:val="22"/>
        </w:rPr>
        <w:t xml:space="preserve">  </w:t>
      </w:r>
      <w:r w:rsidRPr="008F4862">
        <w:rPr>
          <w:sz w:val="22"/>
          <w:szCs w:val="22"/>
        </w:rPr>
        <w:t xml:space="preserve">In Nigeria, radiological baseline studies remain fragmented despite extensive geological diversity and </w:t>
      </w:r>
      <w:r w:rsidRPr="008F4862">
        <w:rPr>
          <w:sz w:val="22"/>
          <w:szCs w:val="22"/>
        </w:rPr>
        <w:lastRenderedPageBreak/>
        <w:t>industrial development. Recent investigations have quantified terrestrial radioactivity and radiological hazard indices in coastal, urban, and industri</w:t>
      </w:r>
      <w:r w:rsidR="000C1493">
        <w:rPr>
          <w:sz w:val="22"/>
          <w:szCs w:val="22"/>
        </w:rPr>
        <w:t>al environments (</w:t>
      </w:r>
      <w:proofErr w:type="spellStart"/>
      <w:r w:rsidRPr="008F4862">
        <w:rPr>
          <w:sz w:val="22"/>
          <w:szCs w:val="22"/>
        </w:rPr>
        <w:t>Esi</w:t>
      </w:r>
      <w:proofErr w:type="spellEnd"/>
      <w:r w:rsidRPr="008F4862">
        <w:rPr>
          <w:sz w:val="22"/>
          <w:szCs w:val="22"/>
        </w:rPr>
        <w:t xml:space="preserve"> et al</w:t>
      </w:r>
      <w:r w:rsidR="00302521">
        <w:rPr>
          <w:sz w:val="22"/>
          <w:szCs w:val="22"/>
        </w:rPr>
        <w:t xml:space="preserve">., 2024; </w:t>
      </w:r>
      <w:proofErr w:type="spellStart"/>
      <w:r w:rsidR="00302521">
        <w:rPr>
          <w:sz w:val="22"/>
          <w:szCs w:val="22"/>
        </w:rPr>
        <w:t>Omeje</w:t>
      </w:r>
      <w:proofErr w:type="spellEnd"/>
      <w:r w:rsidR="00302521">
        <w:rPr>
          <w:sz w:val="22"/>
          <w:szCs w:val="22"/>
        </w:rPr>
        <w:t xml:space="preserve"> et al., 2023</w:t>
      </w:r>
      <w:r w:rsidRPr="008F4862">
        <w:rPr>
          <w:sz w:val="22"/>
          <w:szCs w:val="22"/>
        </w:rPr>
        <w:t>), yet comprehensive geospatial assessments of background ionizing radiation (BIR) are still limited, particularly in oil-producing states. The sedimen</w:t>
      </w:r>
      <w:r>
        <w:rPr>
          <w:sz w:val="22"/>
          <w:szCs w:val="22"/>
        </w:rPr>
        <w:t xml:space="preserve">tary geology of the Niger Delta </w:t>
      </w:r>
      <w:r w:rsidRPr="008F4862">
        <w:rPr>
          <w:sz w:val="22"/>
          <w:szCs w:val="22"/>
        </w:rPr>
        <w:t>comprising the Beni</w:t>
      </w:r>
      <w:r>
        <w:rPr>
          <w:sz w:val="22"/>
          <w:szCs w:val="22"/>
        </w:rPr>
        <w:t xml:space="preserve">n, Agbada, and </w:t>
      </w:r>
      <w:proofErr w:type="spellStart"/>
      <w:r>
        <w:rPr>
          <w:sz w:val="22"/>
          <w:szCs w:val="22"/>
        </w:rPr>
        <w:t>Akata</w:t>
      </w:r>
      <w:proofErr w:type="spellEnd"/>
      <w:r>
        <w:rPr>
          <w:sz w:val="22"/>
          <w:szCs w:val="22"/>
        </w:rPr>
        <w:t xml:space="preserve"> Formations </w:t>
      </w:r>
      <w:r w:rsidRPr="008F4862">
        <w:rPr>
          <w:sz w:val="22"/>
          <w:szCs w:val="22"/>
        </w:rPr>
        <w:t>contains detrital mineral phases potentially enriched in radionuclides. Variations in soil permeability, drainage, and anthropogenic land use modulate radionuclide migration and consequent gamma-ray emission.</w:t>
      </w:r>
    </w:p>
    <w:p w14:paraId="5F6BC0D7" w14:textId="77777777" w:rsidR="003D095B" w:rsidRDefault="008F4862" w:rsidP="008F4862">
      <w:pPr>
        <w:pStyle w:val="NormalWeb"/>
        <w:spacing w:line="360" w:lineRule="auto"/>
        <w:jc w:val="both"/>
        <w:rPr>
          <w:sz w:val="22"/>
          <w:szCs w:val="22"/>
        </w:rPr>
      </w:pPr>
      <w:r w:rsidRPr="008F4862">
        <w:rPr>
          <w:sz w:val="22"/>
          <w:szCs w:val="22"/>
        </w:rPr>
        <w:t xml:space="preserve">The twin urban </w:t>
      </w:r>
      <w:proofErr w:type="spellStart"/>
      <w:r w:rsidRPr="008F4862">
        <w:rPr>
          <w:sz w:val="22"/>
          <w:szCs w:val="22"/>
        </w:rPr>
        <w:t>centres</w:t>
      </w:r>
      <w:proofErr w:type="spellEnd"/>
      <w:r w:rsidRPr="008F4862">
        <w:rPr>
          <w:sz w:val="22"/>
          <w:szCs w:val="22"/>
        </w:rPr>
        <w:t xml:space="preserve"> of </w:t>
      </w:r>
      <w:r w:rsidRPr="00084EF1">
        <w:rPr>
          <w:rStyle w:val="Strong"/>
          <w:b w:val="0"/>
          <w:sz w:val="22"/>
          <w:szCs w:val="22"/>
        </w:rPr>
        <w:t>Oleh</w:t>
      </w:r>
      <w:r w:rsidRPr="008F4862">
        <w:rPr>
          <w:sz w:val="22"/>
          <w:szCs w:val="22"/>
        </w:rPr>
        <w:t xml:space="preserve"> and </w:t>
      </w:r>
      <w:proofErr w:type="spellStart"/>
      <w:r w:rsidRPr="00084EF1">
        <w:rPr>
          <w:rStyle w:val="Strong"/>
          <w:b w:val="0"/>
          <w:sz w:val="22"/>
          <w:szCs w:val="22"/>
        </w:rPr>
        <w:t>Ozoro</w:t>
      </w:r>
      <w:proofErr w:type="spellEnd"/>
      <w:r w:rsidR="00084EF1">
        <w:rPr>
          <w:sz w:val="22"/>
          <w:szCs w:val="22"/>
        </w:rPr>
        <w:t>,</w:t>
      </w:r>
      <w:r w:rsidRPr="008F4862">
        <w:rPr>
          <w:sz w:val="22"/>
          <w:szCs w:val="22"/>
        </w:rPr>
        <w:t xml:space="preserve"> administrative headquarters of Isoko South and Isoko North Local Government Areas of Delta State, exemplify this knowledge gap. With populations of approximately 235 000 and 186 000, respectively (National Population Commission [NPC], 2006), both have undergone rapid infrastructural growth driven by educational, commercial, and petroleum-related activities. Oleh lies within low-lying, flood-prone terrain (5°15′00″–5°30′00″ N; 6°07′30″–6°22′30″ E), whereas </w:t>
      </w:r>
      <w:proofErr w:type="spellStart"/>
      <w:r w:rsidRPr="008F4862">
        <w:rPr>
          <w:sz w:val="22"/>
          <w:szCs w:val="22"/>
        </w:rPr>
        <w:t>Ozoro</w:t>
      </w:r>
      <w:proofErr w:type="spellEnd"/>
      <w:r w:rsidRPr="008F4862">
        <w:rPr>
          <w:sz w:val="22"/>
          <w:szCs w:val="22"/>
        </w:rPr>
        <w:t xml:space="preserve"> occupies a more elevated plateau with improved drainage and distinct lithology. Their contrasting physiography within the same sedimentary basin provides an ideal setting for comparative radiological assessment.</w:t>
      </w:r>
      <w:r>
        <w:rPr>
          <w:sz w:val="22"/>
          <w:szCs w:val="22"/>
        </w:rPr>
        <w:t xml:space="preserve"> </w:t>
      </w:r>
      <w:r w:rsidRPr="008F4862">
        <w:rPr>
          <w:sz w:val="22"/>
          <w:szCs w:val="22"/>
        </w:rPr>
        <w:t>Although numerous radiometric investigations have been undertaken across Nigeria, their datasets remain largely site-specific and methodologically heterogeneous. Reported background radiation levels vary widely across the Niger Delta, Jos Plateau, and other regions, reflecting geological and anthropogenic divers</w:t>
      </w:r>
      <w:r w:rsidR="000C1493">
        <w:rPr>
          <w:sz w:val="22"/>
          <w:szCs w:val="22"/>
        </w:rPr>
        <w:t>ity (</w:t>
      </w:r>
      <w:proofErr w:type="spellStart"/>
      <w:r w:rsidR="000C1493">
        <w:rPr>
          <w:sz w:val="22"/>
          <w:szCs w:val="22"/>
        </w:rPr>
        <w:t>Agbalagba</w:t>
      </w:r>
      <w:proofErr w:type="spellEnd"/>
      <w:r w:rsidR="000C1493">
        <w:rPr>
          <w:sz w:val="22"/>
          <w:szCs w:val="22"/>
        </w:rPr>
        <w:t xml:space="preserve">, 2017; </w:t>
      </w:r>
      <w:proofErr w:type="spellStart"/>
      <w:r w:rsidR="000C1493">
        <w:rPr>
          <w:sz w:val="22"/>
          <w:szCs w:val="22"/>
        </w:rPr>
        <w:t>Esi</w:t>
      </w:r>
      <w:proofErr w:type="spellEnd"/>
      <w:r w:rsidR="000C1493">
        <w:rPr>
          <w:sz w:val="22"/>
          <w:szCs w:val="22"/>
        </w:rPr>
        <w:t xml:space="preserve"> et al., 2024; </w:t>
      </w:r>
      <w:proofErr w:type="spellStart"/>
      <w:r w:rsidR="000C1493">
        <w:rPr>
          <w:sz w:val="22"/>
          <w:szCs w:val="22"/>
        </w:rPr>
        <w:t>Legborsi</w:t>
      </w:r>
      <w:proofErr w:type="spellEnd"/>
      <w:r w:rsidR="000C1493">
        <w:rPr>
          <w:sz w:val="22"/>
          <w:szCs w:val="22"/>
        </w:rPr>
        <w:t xml:space="preserve"> et al.</w:t>
      </w:r>
      <w:r w:rsidRPr="008F4862">
        <w:rPr>
          <w:sz w:val="22"/>
          <w:szCs w:val="22"/>
        </w:rPr>
        <w:t xml:space="preserve">, 2025). </w:t>
      </w:r>
    </w:p>
    <w:p w14:paraId="43D1D551" w14:textId="77777777" w:rsidR="003D095B" w:rsidRDefault="003D095B" w:rsidP="008F4862">
      <w:pPr>
        <w:pStyle w:val="NormalWeb"/>
        <w:spacing w:line="360" w:lineRule="auto"/>
        <w:jc w:val="both"/>
        <w:rPr>
          <w:sz w:val="22"/>
          <w:szCs w:val="22"/>
        </w:rPr>
      </w:pPr>
    </w:p>
    <w:p w14:paraId="63F15CC4" w14:textId="77777777" w:rsidR="00911945" w:rsidRDefault="008F4862" w:rsidP="008F4862">
      <w:pPr>
        <w:pStyle w:val="NormalWeb"/>
        <w:spacing w:line="360" w:lineRule="auto"/>
        <w:jc w:val="both"/>
        <w:rPr>
          <w:sz w:val="22"/>
          <w:szCs w:val="22"/>
        </w:rPr>
      </w:pPr>
      <w:r w:rsidRPr="008F4862">
        <w:rPr>
          <w:sz w:val="22"/>
          <w:szCs w:val="22"/>
        </w:rPr>
        <w:t xml:space="preserve">However, few have integrated geospatial mapping with rigorous uncertainty quantification. The present study therefore extends the national effort by providing a geostatistical and probabilistic characterization of terrestrial gamma exposure in Oleh and </w:t>
      </w:r>
      <w:proofErr w:type="spellStart"/>
      <w:r w:rsidRPr="008F4862">
        <w:rPr>
          <w:sz w:val="22"/>
          <w:szCs w:val="22"/>
        </w:rPr>
        <w:t>Ozoro</w:t>
      </w:r>
      <w:proofErr w:type="spellEnd"/>
      <w:r w:rsidRPr="008F4862">
        <w:rPr>
          <w:sz w:val="22"/>
          <w:szCs w:val="22"/>
        </w:rPr>
        <w:t>, while establishing context for comparison with other Nigerian studies to define a broader environmental radiation baseline.</w:t>
      </w:r>
      <w:r w:rsidR="003D095B">
        <w:rPr>
          <w:sz w:val="22"/>
          <w:szCs w:val="22"/>
        </w:rPr>
        <w:t xml:space="preserve"> </w:t>
      </w:r>
      <w:r w:rsidRPr="008F4862">
        <w:rPr>
          <w:sz w:val="22"/>
          <w:szCs w:val="22"/>
        </w:rPr>
        <w:t>This work represents the first systematic geospatial assessment of terrestrial gamma radiation and associated health risk in the twin cities. In-situ gamma measurements were integrated with geographic information system (GIS) mapping to delineate spatial variability of BIR. Bey</w:t>
      </w:r>
      <w:r>
        <w:rPr>
          <w:sz w:val="22"/>
          <w:szCs w:val="22"/>
        </w:rPr>
        <w:t>ond conventional dose modelling-</w:t>
      </w:r>
      <w:r w:rsidRPr="008F4862">
        <w:rPr>
          <w:sz w:val="22"/>
          <w:szCs w:val="22"/>
        </w:rPr>
        <w:t>absorbed dose rate (ADR), annual effective dose equivalent (AEDE), and exc</w:t>
      </w:r>
      <w:r>
        <w:rPr>
          <w:sz w:val="22"/>
          <w:szCs w:val="22"/>
        </w:rPr>
        <w:t xml:space="preserve">ess lifetime cancer risk (ELCR), </w:t>
      </w:r>
      <w:r w:rsidRPr="008F4862">
        <w:rPr>
          <w:sz w:val="22"/>
          <w:szCs w:val="22"/>
        </w:rPr>
        <w:t xml:space="preserve">the study applies a novel computational–statistical framework combining </w:t>
      </w:r>
      <w:r w:rsidRPr="008F4862">
        <w:rPr>
          <w:rStyle w:val="Strong"/>
          <w:b w:val="0"/>
          <w:sz w:val="22"/>
          <w:szCs w:val="22"/>
        </w:rPr>
        <w:t>Monte Carlo simulation</w:t>
      </w:r>
      <w:r w:rsidRPr="008F4862">
        <w:rPr>
          <w:b/>
          <w:sz w:val="22"/>
          <w:szCs w:val="22"/>
        </w:rPr>
        <w:t xml:space="preserve">, </w:t>
      </w:r>
      <w:r w:rsidRPr="008F4862">
        <w:rPr>
          <w:rStyle w:val="Strong"/>
          <w:b w:val="0"/>
          <w:sz w:val="22"/>
          <w:szCs w:val="22"/>
        </w:rPr>
        <w:t>Bayesian inference</w:t>
      </w:r>
      <w:r w:rsidRPr="008F4862">
        <w:rPr>
          <w:b/>
          <w:sz w:val="22"/>
          <w:szCs w:val="22"/>
        </w:rPr>
        <w:t xml:space="preserve">, </w:t>
      </w:r>
      <w:r w:rsidRPr="008F4862">
        <w:rPr>
          <w:sz w:val="22"/>
          <w:szCs w:val="22"/>
        </w:rPr>
        <w:t xml:space="preserve">and </w:t>
      </w:r>
      <w:r w:rsidRPr="008F4862">
        <w:rPr>
          <w:rStyle w:val="Strong"/>
          <w:b w:val="0"/>
          <w:sz w:val="22"/>
          <w:szCs w:val="22"/>
        </w:rPr>
        <w:t>Bootstrap resampling</w:t>
      </w:r>
      <w:r w:rsidRPr="008F4862">
        <w:rPr>
          <w:sz w:val="22"/>
          <w:szCs w:val="22"/>
        </w:rPr>
        <w:t xml:space="preserve"> to quantify uncertainty, validate model estimates, and ensure reproducibility (</w:t>
      </w:r>
      <w:proofErr w:type="spellStart"/>
      <w:r w:rsidRPr="008F4862">
        <w:rPr>
          <w:sz w:val="22"/>
          <w:szCs w:val="22"/>
        </w:rPr>
        <w:t>Frankemölle</w:t>
      </w:r>
      <w:proofErr w:type="spellEnd"/>
      <w:r w:rsidRPr="008F4862">
        <w:rPr>
          <w:sz w:val="22"/>
          <w:szCs w:val="22"/>
        </w:rPr>
        <w:t xml:space="preserve"> et al., 2024; </w:t>
      </w:r>
      <w:proofErr w:type="spellStart"/>
      <w:r w:rsidRPr="008F4862">
        <w:rPr>
          <w:sz w:val="22"/>
          <w:szCs w:val="22"/>
        </w:rPr>
        <w:t>Djicknack</w:t>
      </w:r>
      <w:proofErr w:type="spellEnd"/>
      <w:r w:rsidRPr="008F4862">
        <w:rPr>
          <w:sz w:val="22"/>
          <w:szCs w:val="22"/>
        </w:rPr>
        <w:t xml:space="preserve"> Dione et al., 2024; </w:t>
      </w:r>
      <w:proofErr w:type="spellStart"/>
      <w:r w:rsidRPr="008F4862">
        <w:rPr>
          <w:sz w:val="22"/>
          <w:szCs w:val="22"/>
        </w:rPr>
        <w:t>Biere</w:t>
      </w:r>
      <w:proofErr w:type="spellEnd"/>
      <w:r w:rsidRPr="008F4862">
        <w:rPr>
          <w:sz w:val="22"/>
          <w:szCs w:val="22"/>
        </w:rPr>
        <w:t xml:space="preserve"> et al., 2025). Monte Carlo simulation propagates measurement uncertainty through the dose-conversion pathway; Bayesian inference derives credible intervals for radiological parameters; and Bootstrap analysis evaluates the robustness of the derived </w:t>
      </w:r>
      <w:r w:rsidRPr="008F4862">
        <w:rPr>
          <w:sz w:val="22"/>
          <w:szCs w:val="22"/>
        </w:rPr>
        <w:lastRenderedPageBreak/>
        <w:t>statistics.</w:t>
      </w:r>
      <w:r>
        <w:rPr>
          <w:sz w:val="22"/>
          <w:szCs w:val="22"/>
        </w:rPr>
        <w:t xml:space="preserve"> </w:t>
      </w:r>
      <w:r w:rsidRPr="008F4862">
        <w:rPr>
          <w:sz w:val="22"/>
          <w:szCs w:val="22"/>
        </w:rPr>
        <w:t xml:space="preserve">The objectives of this study are </w:t>
      </w:r>
      <w:r>
        <w:rPr>
          <w:sz w:val="22"/>
          <w:szCs w:val="22"/>
        </w:rPr>
        <w:t xml:space="preserve">therefore to </w:t>
      </w:r>
      <w:r w:rsidRPr="008F4862">
        <w:rPr>
          <w:sz w:val="22"/>
          <w:szCs w:val="22"/>
        </w:rPr>
        <w:t>measure and map spatial variations of background ionizing radiation acr</w:t>
      </w:r>
      <w:r>
        <w:rPr>
          <w:sz w:val="22"/>
          <w:szCs w:val="22"/>
        </w:rPr>
        <w:t xml:space="preserve">oss Oleh and </w:t>
      </w:r>
      <w:proofErr w:type="spellStart"/>
      <w:r>
        <w:rPr>
          <w:sz w:val="22"/>
          <w:szCs w:val="22"/>
        </w:rPr>
        <w:t>Ozoro</w:t>
      </w:r>
      <w:proofErr w:type="spellEnd"/>
      <w:r>
        <w:rPr>
          <w:sz w:val="22"/>
          <w:szCs w:val="22"/>
        </w:rPr>
        <w:t xml:space="preserve">; </w:t>
      </w:r>
      <w:r w:rsidRPr="008F4862">
        <w:rPr>
          <w:sz w:val="22"/>
          <w:szCs w:val="22"/>
        </w:rPr>
        <w:t>estimate ADR, AEDE, ELCR, an</w:t>
      </w:r>
      <w:r>
        <w:rPr>
          <w:sz w:val="22"/>
          <w:szCs w:val="22"/>
        </w:rPr>
        <w:t>d organ-specific doses (D</w:t>
      </w:r>
      <w:r w:rsidRPr="00930969">
        <w:rPr>
          <w:sz w:val="22"/>
          <w:szCs w:val="22"/>
          <w:vertAlign w:val="subscript"/>
        </w:rPr>
        <w:t>organ</w:t>
      </w:r>
      <w:r>
        <w:rPr>
          <w:sz w:val="22"/>
          <w:szCs w:val="22"/>
        </w:rPr>
        <w:t xml:space="preserve">), and </w:t>
      </w:r>
      <w:r w:rsidRPr="008F4862">
        <w:rPr>
          <w:sz w:val="22"/>
          <w:szCs w:val="22"/>
        </w:rPr>
        <w:t>quantify statistical uncertainty in these parameters using the combined Monte Carlo–Bayesian–Bootstrap framework. The results establish baseline radiological data for Delta State, strengthen radiological protection frameworks aligned with ICRP and UNSCEAR recommendations, and provide evidence-based support for environmental health policy in oil-producing and rapidly urbanizing regions of Nigeria.</w:t>
      </w:r>
    </w:p>
    <w:p w14:paraId="3D80AAF6" w14:textId="77777777" w:rsidR="00911945" w:rsidRDefault="00911945" w:rsidP="008F4862">
      <w:pPr>
        <w:pStyle w:val="NormalWeb"/>
        <w:spacing w:line="360" w:lineRule="auto"/>
        <w:jc w:val="both"/>
        <w:rPr>
          <w:b/>
          <w:sz w:val="22"/>
          <w:szCs w:val="22"/>
        </w:rPr>
      </w:pPr>
      <w:r>
        <w:rPr>
          <w:b/>
          <w:sz w:val="22"/>
          <w:szCs w:val="22"/>
        </w:rPr>
        <w:t>2.0. Materials and Methods</w:t>
      </w:r>
    </w:p>
    <w:p w14:paraId="0C2B7E74" w14:textId="77777777" w:rsidR="00911945" w:rsidRPr="00911945" w:rsidRDefault="00911945" w:rsidP="00911945">
      <w:pPr>
        <w:pStyle w:val="Heading2"/>
        <w:jc w:val="both"/>
        <w:rPr>
          <w:i/>
          <w:sz w:val="22"/>
          <w:szCs w:val="22"/>
        </w:rPr>
      </w:pPr>
      <w:r w:rsidRPr="00911945">
        <w:rPr>
          <w:i/>
          <w:sz w:val="22"/>
          <w:szCs w:val="22"/>
        </w:rPr>
        <w:t>2.1</w:t>
      </w:r>
      <w:r w:rsidRPr="00911945">
        <w:rPr>
          <w:rStyle w:val="Strong"/>
          <w:bCs/>
          <w:i/>
          <w:sz w:val="22"/>
          <w:szCs w:val="22"/>
        </w:rPr>
        <w:t>.</w:t>
      </w:r>
      <w:r w:rsidRPr="00911945">
        <w:rPr>
          <w:rStyle w:val="Strong"/>
          <w:b/>
          <w:bCs/>
          <w:i/>
          <w:sz w:val="22"/>
          <w:szCs w:val="22"/>
        </w:rPr>
        <w:t xml:space="preserve"> Materials and Experimental Procedure</w:t>
      </w:r>
    </w:p>
    <w:p w14:paraId="7B9EEEDF" w14:textId="77777777" w:rsidR="003D095B" w:rsidRDefault="00911945" w:rsidP="00911945">
      <w:pPr>
        <w:pStyle w:val="NormalWeb"/>
        <w:spacing w:line="360" w:lineRule="auto"/>
        <w:jc w:val="both"/>
        <w:rPr>
          <w:sz w:val="22"/>
          <w:szCs w:val="22"/>
        </w:rPr>
      </w:pPr>
      <w:r w:rsidRPr="00911945">
        <w:rPr>
          <w:sz w:val="22"/>
          <w:szCs w:val="22"/>
        </w:rPr>
        <w:t xml:space="preserve">Oleh and </w:t>
      </w:r>
      <w:proofErr w:type="spellStart"/>
      <w:r w:rsidRPr="00911945">
        <w:rPr>
          <w:sz w:val="22"/>
          <w:szCs w:val="22"/>
        </w:rPr>
        <w:t>Ozoro</w:t>
      </w:r>
      <w:proofErr w:type="spellEnd"/>
      <w:r w:rsidRPr="00911945">
        <w:rPr>
          <w:sz w:val="22"/>
          <w:szCs w:val="22"/>
        </w:rPr>
        <w:t xml:space="preserve"> were</w:t>
      </w:r>
      <w:r w:rsidR="00875A53">
        <w:rPr>
          <w:sz w:val="22"/>
          <w:szCs w:val="22"/>
        </w:rPr>
        <w:t xml:space="preserve"> delineated into four </w:t>
      </w:r>
      <w:r w:rsidRPr="00911945">
        <w:rPr>
          <w:sz w:val="22"/>
          <w:szCs w:val="22"/>
        </w:rPr>
        <w:t xml:space="preserve">sampling zones, respectively, to ensure comprehensive spatial coverage and represent distinct land-use patterns. An </w:t>
      </w:r>
      <w:r w:rsidRPr="00911945">
        <w:rPr>
          <w:rStyle w:val="Emphasis"/>
          <w:sz w:val="22"/>
          <w:szCs w:val="22"/>
        </w:rPr>
        <w:t>in-situ</w:t>
      </w:r>
      <w:r w:rsidRPr="00911945">
        <w:rPr>
          <w:sz w:val="22"/>
          <w:szCs w:val="22"/>
        </w:rPr>
        <w:t xml:space="preserve"> measurement technique was employed to record background ionizing radiation (BIR) under natural environmental conditions. Measurements were conducted using a </w:t>
      </w:r>
      <w:r w:rsidRPr="00911945">
        <w:rPr>
          <w:rStyle w:val="Strong"/>
          <w:b w:val="0"/>
          <w:sz w:val="22"/>
          <w:szCs w:val="22"/>
        </w:rPr>
        <w:t>Gamma Scout Geiger counter</w:t>
      </w:r>
      <w:r w:rsidRPr="00911945">
        <w:rPr>
          <w:sz w:val="22"/>
          <w:szCs w:val="22"/>
        </w:rPr>
        <w:t xml:space="preserve"> (Gamma Scout GmbH &amp; Co. KG, Germany), a portable, energy-compensated survey meter capable of detecting α, β, and γ radiations in the range </w:t>
      </w:r>
      <w:r>
        <w:rPr>
          <w:sz w:val="22"/>
          <w:szCs w:val="22"/>
        </w:rPr>
        <w:t>of 0.01 µSvh⁻¹–1 mSv</w:t>
      </w:r>
      <w:r w:rsidRPr="00911945">
        <w:rPr>
          <w:sz w:val="22"/>
          <w:szCs w:val="22"/>
        </w:rPr>
        <w:t>h⁻¹. The instrument was factory-calibrated and verified using a standard Cs-137 source before field deployment.</w:t>
      </w:r>
      <w:r>
        <w:rPr>
          <w:sz w:val="22"/>
          <w:szCs w:val="22"/>
        </w:rPr>
        <w:t xml:space="preserve"> </w:t>
      </w:r>
    </w:p>
    <w:p w14:paraId="1B3ECCD6" w14:textId="77777777" w:rsidR="003D095B" w:rsidRDefault="003D095B" w:rsidP="00911945">
      <w:pPr>
        <w:pStyle w:val="NormalWeb"/>
        <w:spacing w:line="360" w:lineRule="auto"/>
        <w:jc w:val="both"/>
        <w:rPr>
          <w:sz w:val="22"/>
          <w:szCs w:val="22"/>
        </w:rPr>
      </w:pPr>
    </w:p>
    <w:p w14:paraId="5344EFE7" w14:textId="77777777" w:rsidR="00911945" w:rsidRPr="00911945" w:rsidRDefault="00911945" w:rsidP="00911945">
      <w:pPr>
        <w:pStyle w:val="NormalWeb"/>
        <w:spacing w:line="360" w:lineRule="auto"/>
        <w:jc w:val="both"/>
        <w:rPr>
          <w:sz w:val="22"/>
          <w:szCs w:val="22"/>
        </w:rPr>
      </w:pPr>
      <w:r w:rsidRPr="00911945">
        <w:rPr>
          <w:sz w:val="22"/>
          <w:szCs w:val="22"/>
        </w:rPr>
        <w:t xml:space="preserve">At each sampling location, the detector was positioned </w:t>
      </w:r>
      <w:r w:rsidRPr="00911945">
        <w:rPr>
          <w:rStyle w:val="Strong"/>
          <w:b w:val="0"/>
          <w:sz w:val="22"/>
          <w:szCs w:val="22"/>
        </w:rPr>
        <w:t>1.0 m above ground level</w:t>
      </w:r>
      <w:r w:rsidRPr="00911945">
        <w:rPr>
          <w:sz w:val="22"/>
          <w:szCs w:val="22"/>
        </w:rPr>
        <w:t>, followi</w:t>
      </w:r>
      <w:r w:rsidR="00A2074A">
        <w:rPr>
          <w:sz w:val="22"/>
          <w:szCs w:val="22"/>
        </w:rPr>
        <w:t xml:space="preserve">ng recommendations of Ajayi </w:t>
      </w:r>
      <w:r w:rsidRPr="00911945">
        <w:rPr>
          <w:sz w:val="22"/>
          <w:szCs w:val="22"/>
        </w:rPr>
        <w:t xml:space="preserve">et al. (2006) and the National Council on Radiation Protection and Measurements (NCRP, 1993). Readings were taken at </w:t>
      </w:r>
      <w:r w:rsidRPr="00911945">
        <w:rPr>
          <w:rStyle w:val="Strong"/>
          <w:b w:val="0"/>
          <w:sz w:val="22"/>
          <w:szCs w:val="22"/>
        </w:rPr>
        <w:t>10 s intervals</w:t>
      </w:r>
      <w:r w:rsidRPr="00911945">
        <w:rPr>
          <w:sz w:val="22"/>
          <w:szCs w:val="22"/>
        </w:rPr>
        <w:t xml:space="preserve"> between </w:t>
      </w:r>
      <w:r w:rsidRPr="00911945">
        <w:rPr>
          <w:rStyle w:val="Strong"/>
          <w:b w:val="0"/>
          <w:sz w:val="22"/>
          <w:szCs w:val="22"/>
        </w:rPr>
        <w:t>13:00 h and 16:00 h</w:t>
      </w:r>
      <w:r w:rsidRPr="00911945">
        <w:rPr>
          <w:sz w:val="22"/>
          <w:szCs w:val="22"/>
        </w:rPr>
        <w:t>, when environmental radiation levels are most stable. Three consecutive readings were obtained per site, and their arithmetic mean was recorded as the r</w:t>
      </w:r>
      <w:r>
        <w:rPr>
          <w:sz w:val="22"/>
          <w:szCs w:val="22"/>
        </w:rPr>
        <w:t>epresentative exposure rate (mR</w:t>
      </w:r>
      <w:r w:rsidRPr="00911945">
        <w:rPr>
          <w:sz w:val="22"/>
          <w:szCs w:val="22"/>
        </w:rPr>
        <w:t>h⁻¹).</w:t>
      </w:r>
      <w:r w:rsidR="003D095B">
        <w:rPr>
          <w:sz w:val="22"/>
          <w:szCs w:val="22"/>
        </w:rPr>
        <w:t xml:space="preserve"> </w:t>
      </w:r>
      <w:r w:rsidRPr="00911945">
        <w:rPr>
          <w:sz w:val="22"/>
          <w:szCs w:val="22"/>
        </w:rPr>
        <w:t xml:space="preserve">Geographic coordinates of all sampling points were determined using a </w:t>
      </w:r>
      <w:r w:rsidRPr="00911945">
        <w:rPr>
          <w:rStyle w:val="Strong"/>
          <w:b w:val="0"/>
          <w:sz w:val="22"/>
          <w:szCs w:val="22"/>
        </w:rPr>
        <w:t>hand-held GPS receiver</w:t>
      </w:r>
      <w:r w:rsidRPr="00911945">
        <w:rPr>
          <w:sz w:val="22"/>
          <w:szCs w:val="22"/>
        </w:rPr>
        <w:t xml:space="preserve"> operating under Wide Area Augmentation System (WAAS) correction with an accuracy of ± 3 m. Coordinates were later converted from decimal degrees to degrees–minutes–seconds (DMS) format for consistency and integrated into a geographic information system (GIS) database. The BIR values were spatially interpolated and visualized in the GIS environment to illustrate the spatial distribution of radiation intensity across the study areas.</w:t>
      </w:r>
      <w:r>
        <w:rPr>
          <w:sz w:val="22"/>
          <w:szCs w:val="22"/>
        </w:rPr>
        <w:t xml:space="preserve"> </w:t>
      </w:r>
      <w:r w:rsidRPr="00911945">
        <w:rPr>
          <w:sz w:val="22"/>
          <w:szCs w:val="22"/>
        </w:rPr>
        <w:t xml:space="preserve">Figure 1 presents the </w:t>
      </w:r>
      <w:r w:rsidRPr="00911945">
        <w:rPr>
          <w:rStyle w:val="Strong"/>
          <w:b w:val="0"/>
          <w:sz w:val="22"/>
          <w:szCs w:val="22"/>
        </w:rPr>
        <w:t>GIS-based map of Oleh</w:t>
      </w:r>
      <w:r w:rsidRPr="00911945">
        <w:rPr>
          <w:sz w:val="22"/>
          <w:szCs w:val="22"/>
        </w:rPr>
        <w:t xml:space="preserve">, showing the sampling points and corresponding BIR exposure levels, while </w:t>
      </w:r>
      <w:r w:rsidRPr="00911945">
        <w:rPr>
          <w:rStyle w:val="Strong"/>
          <w:b w:val="0"/>
          <w:sz w:val="22"/>
          <w:szCs w:val="22"/>
        </w:rPr>
        <w:t>Figure 2</w:t>
      </w:r>
      <w:r w:rsidRPr="00911945">
        <w:rPr>
          <w:sz w:val="22"/>
          <w:szCs w:val="22"/>
        </w:rPr>
        <w:t xml:space="preserve"> depicts the </w:t>
      </w:r>
      <w:r w:rsidRPr="00911945">
        <w:rPr>
          <w:rStyle w:val="Strong"/>
          <w:b w:val="0"/>
          <w:sz w:val="22"/>
          <w:szCs w:val="22"/>
        </w:rPr>
        <w:t xml:space="preserve">geospatial distribution of BIR across </w:t>
      </w:r>
      <w:proofErr w:type="spellStart"/>
      <w:r w:rsidRPr="00911945">
        <w:rPr>
          <w:rStyle w:val="Strong"/>
          <w:b w:val="0"/>
          <w:sz w:val="22"/>
          <w:szCs w:val="22"/>
        </w:rPr>
        <w:t>Ozoro</w:t>
      </w:r>
      <w:proofErr w:type="spellEnd"/>
      <w:r w:rsidRPr="00911945">
        <w:rPr>
          <w:sz w:val="22"/>
          <w:szCs w:val="22"/>
        </w:rPr>
        <w:t>. Both maps were produced using ArcGIS 10.8 and verified with field coordinates to ensure positional accuracy.</w:t>
      </w:r>
      <w:r>
        <w:rPr>
          <w:sz w:val="22"/>
          <w:szCs w:val="22"/>
        </w:rPr>
        <w:t xml:space="preserve"> </w:t>
      </w:r>
      <w:r w:rsidRPr="00911945">
        <w:rPr>
          <w:sz w:val="22"/>
          <w:szCs w:val="22"/>
        </w:rPr>
        <w:t xml:space="preserve">All measurements followed </w:t>
      </w:r>
      <w:r w:rsidRPr="00911945">
        <w:rPr>
          <w:sz w:val="22"/>
          <w:szCs w:val="22"/>
        </w:rPr>
        <w:lastRenderedPageBreak/>
        <w:t>standard radiation-monitoring procedures reported in previous studies (</w:t>
      </w:r>
      <w:proofErr w:type="spellStart"/>
      <w:r w:rsidRPr="00911945">
        <w:rPr>
          <w:sz w:val="22"/>
          <w:szCs w:val="22"/>
        </w:rPr>
        <w:t>Agbalagba</w:t>
      </w:r>
      <w:proofErr w:type="spellEnd"/>
      <w:r w:rsidRPr="00911945">
        <w:rPr>
          <w:sz w:val="22"/>
          <w:szCs w:val="22"/>
        </w:rPr>
        <w:t xml:space="preserve"> et al., 2020) to ensure data reliability, comparability, and reproducibility.</w:t>
      </w:r>
    </w:p>
    <w:p w14:paraId="16B459AC" w14:textId="77777777" w:rsidR="00911945" w:rsidRDefault="00911945" w:rsidP="00911945">
      <w:pPr>
        <w:pStyle w:val="Heading3"/>
        <w:spacing w:line="360" w:lineRule="auto"/>
        <w:jc w:val="both"/>
        <w:rPr>
          <w:rStyle w:val="Strong"/>
          <w:rFonts w:ascii="Times New Roman" w:hAnsi="Times New Roman" w:cs="Times New Roman"/>
          <w:b w:val="0"/>
          <w:bCs w:val="0"/>
          <w:sz w:val="22"/>
          <w:szCs w:val="22"/>
        </w:rPr>
      </w:pPr>
    </w:p>
    <w:p w14:paraId="1FE0CC6A" w14:textId="77777777" w:rsidR="00911945" w:rsidRDefault="00911945" w:rsidP="00911945"/>
    <w:p w14:paraId="0E0EC971" w14:textId="77777777" w:rsidR="00911945" w:rsidRDefault="00911945" w:rsidP="00911945"/>
    <w:p w14:paraId="685299BD" w14:textId="77777777" w:rsidR="00911945" w:rsidRDefault="00911945" w:rsidP="00911945"/>
    <w:p w14:paraId="43E0CF83" w14:textId="77777777" w:rsidR="00911945" w:rsidRDefault="00911945" w:rsidP="00911945"/>
    <w:p w14:paraId="2285A4FD" w14:textId="77777777" w:rsidR="00911945" w:rsidRDefault="00911945" w:rsidP="00911945"/>
    <w:p w14:paraId="7C1753ED" w14:textId="77777777" w:rsidR="00911945" w:rsidRDefault="00911945" w:rsidP="00911945"/>
    <w:p w14:paraId="25FB9905" w14:textId="77777777" w:rsidR="00911945" w:rsidRDefault="00911945" w:rsidP="00911945">
      <w:pPr>
        <w:jc w:val="both"/>
        <w:rPr>
          <w:rFonts w:ascii="Times New Roman" w:hAnsi="Times New Roman" w:cs="Times New Roman"/>
          <w:i/>
        </w:rPr>
      </w:pPr>
      <w:r>
        <w:object w:dxaOrig="9094" w:dyaOrig="7665" w14:anchorId="3F214825">
          <v:rect id="rectole0000000080" o:spid="_x0000_i1025" style="width:454.65pt;height:384pt" o:ole="" o:preferrelative="t" stroked="f">
            <v:imagedata r:id="rId8" o:title=""/>
          </v:rect>
          <o:OLEObject Type="Embed" ProgID="StaticMetafile" ShapeID="rectole0000000080" DrawAspect="Content" ObjectID="_1829141137" r:id="rId9"/>
        </w:object>
      </w:r>
      <w:r w:rsidRPr="00911945">
        <w:rPr>
          <w:rStyle w:val="Strong"/>
          <w:rFonts w:ascii="Times New Roman" w:hAnsi="Times New Roman" w:cs="Times New Roman"/>
          <w:i/>
        </w:rPr>
        <w:t>Figure 1.</w:t>
      </w:r>
      <w:r w:rsidRPr="00911945">
        <w:rPr>
          <w:rFonts w:ascii="Times New Roman" w:hAnsi="Times New Roman" w:cs="Times New Roman"/>
          <w:i/>
        </w:rPr>
        <w:t xml:space="preserve"> GIS-based location map of Oleh showing sampling points and background ionizing radiation (BIR) exposure levels.</w:t>
      </w:r>
    </w:p>
    <w:p w14:paraId="402A1A46" w14:textId="77777777" w:rsidR="00911945" w:rsidRDefault="00911945" w:rsidP="00911945">
      <w:pPr>
        <w:rPr>
          <w:rFonts w:ascii="Times New Roman" w:hAnsi="Times New Roman" w:cs="Times New Roman"/>
          <w:i/>
        </w:rPr>
      </w:pPr>
    </w:p>
    <w:p w14:paraId="2A3ED7E2" w14:textId="77777777" w:rsidR="00911945" w:rsidRDefault="00911945" w:rsidP="00911945">
      <w:pPr>
        <w:rPr>
          <w:rFonts w:ascii="Times New Roman" w:hAnsi="Times New Roman" w:cs="Times New Roman"/>
          <w:i/>
        </w:rPr>
      </w:pPr>
    </w:p>
    <w:p w14:paraId="47ECB485" w14:textId="77777777" w:rsidR="00911945" w:rsidRDefault="00911945" w:rsidP="00911945">
      <w:pPr>
        <w:rPr>
          <w:rFonts w:ascii="Times New Roman" w:hAnsi="Times New Roman" w:cs="Times New Roman"/>
          <w:i/>
        </w:rPr>
      </w:pPr>
    </w:p>
    <w:p w14:paraId="5ED62DBA" w14:textId="77777777" w:rsidR="00911945" w:rsidRDefault="00911945" w:rsidP="00911945">
      <w:pPr>
        <w:rPr>
          <w:rFonts w:ascii="Times New Roman" w:hAnsi="Times New Roman" w:cs="Times New Roman"/>
          <w:i/>
        </w:rPr>
      </w:pPr>
    </w:p>
    <w:p w14:paraId="59A5297C" w14:textId="77777777" w:rsidR="00911945" w:rsidRDefault="00911945" w:rsidP="00911945">
      <w:pPr>
        <w:rPr>
          <w:rFonts w:ascii="Times New Roman" w:hAnsi="Times New Roman" w:cs="Times New Roman"/>
          <w:i/>
        </w:rPr>
      </w:pPr>
    </w:p>
    <w:p w14:paraId="30356FFC" w14:textId="77777777" w:rsidR="00911945" w:rsidRDefault="00911945" w:rsidP="00911945">
      <w:pPr>
        <w:rPr>
          <w:rFonts w:ascii="Times New Roman" w:hAnsi="Times New Roman" w:cs="Times New Roman"/>
          <w:i/>
        </w:rPr>
      </w:pPr>
    </w:p>
    <w:p w14:paraId="0D15ECA5" w14:textId="77777777" w:rsidR="00911945" w:rsidRDefault="00911945" w:rsidP="00911945">
      <w:pPr>
        <w:rPr>
          <w:rFonts w:ascii="Times New Roman" w:hAnsi="Times New Roman" w:cs="Times New Roman"/>
          <w:i/>
        </w:rPr>
      </w:pPr>
    </w:p>
    <w:p w14:paraId="1D241E1B" w14:textId="77777777" w:rsidR="00911945" w:rsidRDefault="00911945" w:rsidP="00911945">
      <w:pPr>
        <w:rPr>
          <w:rFonts w:ascii="Times New Roman" w:hAnsi="Times New Roman" w:cs="Times New Roman"/>
          <w:i/>
        </w:rPr>
      </w:pPr>
    </w:p>
    <w:p w14:paraId="0DA3B313" w14:textId="77777777" w:rsidR="00911945" w:rsidRDefault="00911945" w:rsidP="00911945">
      <w:pPr>
        <w:rPr>
          <w:rFonts w:ascii="Times New Roman" w:hAnsi="Times New Roman" w:cs="Times New Roman"/>
          <w:i/>
        </w:rPr>
      </w:pPr>
    </w:p>
    <w:p w14:paraId="5C199B65" w14:textId="77777777" w:rsidR="00911945" w:rsidRDefault="00911945" w:rsidP="00911945">
      <w:pPr>
        <w:rPr>
          <w:rFonts w:ascii="Times New Roman" w:hAnsi="Times New Roman" w:cs="Times New Roman"/>
          <w:i/>
        </w:rPr>
      </w:pPr>
    </w:p>
    <w:p w14:paraId="5D6B5412" w14:textId="77777777" w:rsidR="00911945" w:rsidRPr="00911945" w:rsidRDefault="00911945" w:rsidP="00911945">
      <w:pPr>
        <w:jc w:val="both"/>
        <w:rPr>
          <w:rFonts w:ascii="Times New Roman" w:hAnsi="Times New Roman" w:cs="Times New Roman"/>
          <w:i/>
        </w:rPr>
      </w:pPr>
      <w:r>
        <w:object w:dxaOrig="8948" w:dyaOrig="7674" w14:anchorId="7AD980FD">
          <v:rect id="rectole0000000081" o:spid="_x0000_i1026" style="width:447.75pt;height:382.65pt" o:ole="" o:preferrelative="t" stroked="f">
            <v:imagedata r:id="rId10" o:title=""/>
          </v:rect>
          <o:OLEObject Type="Embed" ProgID="StaticMetafile" ShapeID="rectole0000000081" DrawAspect="Content" ObjectID="_1829141138" r:id="rId11"/>
        </w:object>
      </w:r>
      <w:r w:rsidRPr="00911945">
        <w:rPr>
          <w:rStyle w:val="Strong"/>
          <w:rFonts w:ascii="Times New Roman" w:hAnsi="Times New Roman" w:cs="Times New Roman"/>
          <w:i/>
        </w:rPr>
        <w:t>Figure 2.</w:t>
      </w:r>
      <w:r w:rsidRPr="00911945">
        <w:rPr>
          <w:rFonts w:ascii="Times New Roman" w:hAnsi="Times New Roman" w:cs="Times New Roman"/>
          <w:i/>
        </w:rPr>
        <w:t xml:space="preserve"> GIS-based location map of </w:t>
      </w:r>
      <w:proofErr w:type="spellStart"/>
      <w:r w:rsidRPr="00911945">
        <w:rPr>
          <w:rFonts w:ascii="Times New Roman" w:hAnsi="Times New Roman" w:cs="Times New Roman"/>
          <w:i/>
        </w:rPr>
        <w:t>Ozoro</w:t>
      </w:r>
      <w:proofErr w:type="spellEnd"/>
      <w:r w:rsidRPr="00911945">
        <w:rPr>
          <w:rFonts w:ascii="Times New Roman" w:hAnsi="Times New Roman" w:cs="Times New Roman"/>
          <w:i/>
        </w:rPr>
        <w:t xml:space="preserve"> showing sampling points and background ionizing radiation (BIR) exposure levels.</w:t>
      </w:r>
    </w:p>
    <w:p w14:paraId="79852355" w14:textId="77777777" w:rsidR="00CC67DB" w:rsidRPr="00CC67DB" w:rsidRDefault="00CC67DB" w:rsidP="00CC67DB">
      <w:pPr>
        <w:pStyle w:val="Heading2"/>
        <w:spacing w:line="360" w:lineRule="auto"/>
        <w:jc w:val="both"/>
        <w:rPr>
          <w:sz w:val="22"/>
          <w:szCs w:val="22"/>
        </w:rPr>
      </w:pPr>
      <w:r w:rsidRPr="00CC67DB">
        <w:rPr>
          <w:rStyle w:val="Strong"/>
          <w:b/>
          <w:bCs/>
          <w:sz w:val="22"/>
          <w:szCs w:val="22"/>
        </w:rPr>
        <w:t>2.3. Dose Conversion and Risk Estimation</w:t>
      </w:r>
    </w:p>
    <w:p w14:paraId="03A96A32" w14:textId="77777777" w:rsidR="00CC67DB" w:rsidRPr="00CC67DB" w:rsidRDefault="00CC67DB" w:rsidP="00CC67DB">
      <w:pPr>
        <w:pStyle w:val="NormalWeb"/>
        <w:spacing w:line="360" w:lineRule="auto"/>
        <w:jc w:val="both"/>
        <w:rPr>
          <w:sz w:val="22"/>
          <w:szCs w:val="22"/>
        </w:rPr>
      </w:pPr>
      <w:r>
        <w:rPr>
          <w:sz w:val="22"/>
          <w:szCs w:val="22"/>
        </w:rPr>
        <w:lastRenderedPageBreak/>
        <w:t>Measured BIR values (mR</w:t>
      </w:r>
      <w:r w:rsidRPr="00CC67DB">
        <w:rPr>
          <w:sz w:val="22"/>
          <w:szCs w:val="22"/>
        </w:rPr>
        <w:t>h⁻¹) were converted into absorbed dose rate (ADR), annual effective dose equivalent (AEDE), and excess lifetime cancer risk (ELCR) using standard radiological models recommended by UNSCEAR (2000, 2020) and the International Commission on Radiological Protection (ICRP, 2007).</w:t>
      </w:r>
    </w:p>
    <w:p w14:paraId="155BAC73" w14:textId="77777777" w:rsidR="00CC67DB" w:rsidRDefault="00CC67DB" w:rsidP="00CC67DB">
      <w:pPr>
        <w:pStyle w:val="Heading3"/>
        <w:spacing w:line="360" w:lineRule="auto"/>
        <w:jc w:val="both"/>
        <w:rPr>
          <w:rStyle w:val="Strong"/>
          <w:rFonts w:ascii="Times New Roman" w:hAnsi="Times New Roman" w:cs="Times New Roman"/>
          <w:bCs w:val="0"/>
          <w:i/>
          <w:color w:val="auto"/>
          <w:sz w:val="22"/>
          <w:szCs w:val="22"/>
        </w:rPr>
      </w:pPr>
    </w:p>
    <w:p w14:paraId="78F378A9" w14:textId="77777777" w:rsidR="003D095B" w:rsidRPr="003D095B" w:rsidRDefault="003D095B" w:rsidP="003D095B"/>
    <w:p w14:paraId="2F68F723" w14:textId="77777777" w:rsidR="00CC67DB" w:rsidRPr="00CC67DB" w:rsidRDefault="00CC67DB" w:rsidP="00CC67DB">
      <w:pPr>
        <w:pStyle w:val="Heading3"/>
        <w:spacing w:line="360" w:lineRule="auto"/>
        <w:jc w:val="both"/>
        <w:rPr>
          <w:rFonts w:ascii="Times New Roman" w:hAnsi="Times New Roman" w:cs="Times New Roman"/>
          <w:i/>
          <w:color w:val="auto"/>
          <w:sz w:val="22"/>
          <w:szCs w:val="22"/>
        </w:rPr>
      </w:pPr>
      <w:r w:rsidRPr="00CC67DB">
        <w:rPr>
          <w:rStyle w:val="Strong"/>
          <w:rFonts w:ascii="Times New Roman" w:hAnsi="Times New Roman" w:cs="Times New Roman"/>
          <w:bCs w:val="0"/>
          <w:i/>
          <w:color w:val="auto"/>
          <w:sz w:val="22"/>
          <w:szCs w:val="22"/>
        </w:rPr>
        <w:t>2.3.1. Conversion from Exposure to Absorbed Dose Rate</w:t>
      </w:r>
    </w:p>
    <w:p w14:paraId="68DDCA69" w14:textId="77777777" w:rsidR="00CC67DB" w:rsidRPr="00CC67DB" w:rsidRDefault="00CC67DB" w:rsidP="00CC67DB">
      <w:pPr>
        <w:pStyle w:val="NormalWeb"/>
        <w:spacing w:line="360" w:lineRule="auto"/>
        <w:jc w:val="both"/>
        <w:rPr>
          <w:sz w:val="22"/>
          <w:szCs w:val="22"/>
        </w:rPr>
      </w:pPr>
      <w:r w:rsidRPr="00CC67DB">
        <w:rPr>
          <w:sz w:val="22"/>
          <w:szCs w:val="22"/>
        </w:rPr>
        <w:t>For gamma radiation, 1 Roentgen (R) corresponds to an air-</w:t>
      </w:r>
      <w:proofErr w:type="spellStart"/>
      <w:r w:rsidRPr="00CC67DB">
        <w:rPr>
          <w:sz w:val="22"/>
          <w:szCs w:val="22"/>
        </w:rPr>
        <w:t>kerma</w:t>
      </w:r>
      <w:proofErr w:type="spellEnd"/>
      <w:r w:rsidRPr="00CC67DB">
        <w:rPr>
          <w:sz w:val="22"/>
          <w:szCs w:val="22"/>
        </w:rPr>
        <w:t xml:space="preserve"> of approximately 0.00876 </w:t>
      </w:r>
      <w:proofErr w:type="spellStart"/>
      <w:r w:rsidRPr="00CC67DB">
        <w:rPr>
          <w:sz w:val="22"/>
          <w:szCs w:val="22"/>
        </w:rPr>
        <w:t>Gy</w:t>
      </w:r>
      <w:proofErr w:type="spellEnd"/>
      <w:r w:rsidRPr="00CC67DB">
        <w:rPr>
          <w:sz w:val="22"/>
          <w:szCs w:val="22"/>
        </w:rPr>
        <w:t>. The abso</w:t>
      </w:r>
      <w:r>
        <w:rPr>
          <w:sz w:val="22"/>
          <w:szCs w:val="22"/>
        </w:rPr>
        <w:t>rbed dose rate in air (ADR, nGy</w:t>
      </w:r>
      <w:r w:rsidRPr="00CC67DB">
        <w:rPr>
          <w:sz w:val="22"/>
          <w:szCs w:val="22"/>
        </w:rPr>
        <w:t xml:space="preserve">h⁻¹) was obtained from the </w:t>
      </w:r>
      <w:r w:rsidR="00995B81">
        <w:rPr>
          <w:sz w:val="22"/>
          <w:szCs w:val="22"/>
        </w:rPr>
        <w:t>measured exposure rate (BIR, mR</w:t>
      </w:r>
      <w:r w:rsidRPr="00CC67DB">
        <w:rPr>
          <w:sz w:val="22"/>
          <w:szCs w:val="22"/>
        </w:rPr>
        <w:t>h⁻¹) as:</w:t>
      </w:r>
    </w:p>
    <w:p w14:paraId="1FAB100A" w14:textId="77777777" w:rsidR="00CC67DB" w:rsidRPr="00CC67DB" w:rsidRDefault="00CC67DB" w:rsidP="00CC67DB">
      <w:pPr>
        <w:pStyle w:val="NormalWeb"/>
        <w:spacing w:line="360" w:lineRule="auto"/>
        <w:jc w:val="center"/>
      </w:pPr>
      <m:oMath>
        <m:r>
          <w:rPr>
            <w:rFonts w:ascii="Cambria Math" w:hAnsi="Cambria Math"/>
          </w:rPr>
          <m:t xml:space="preserve">ADR </m:t>
        </m:r>
        <m:d>
          <m:dPr>
            <m:ctrlPr>
              <w:rPr>
                <w:rFonts w:ascii="Cambria Math" w:hAnsi="Cambria Math"/>
                <w:i/>
              </w:rPr>
            </m:ctrlPr>
          </m:dPr>
          <m:e>
            <m:r>
              <w:rPr>
                <w:rFonts w:ascii="Cambria Math" w:hAnsi="Cambria Math"/>
              </w:rPr>
              <m:t>nGy</m:t>
            </m:r>
            <m:sSup>
              <m:sSupPr>
                <m:ctrlPr>
                  <w:rPr>
                    <w:rFonts w:ascii="Cambria Math" w:hAnsi="Cambria Math"/>
                    <w:i/>
                  </w:rPr>
                </m:ctrlPr>
              </m:sSupPr>
              <m:e>
                <m:r>
                  <w:rPr>
                    <w:rFonts w:ascii="Cambria Math" w:hAnsi="Cambria Math"/>
                  </w:rPr>
                  <m:t>h</m:t>
                </m:r>
              </m:e>
              <m:sup>
                <m:r>
                  <w:rPr>
                    <w:rFonts w:ascii="Cambria Math" w:hAnsi="Cambria Math"/>
                  </w:rPr>
                  <m:t>-1</m:t>
                </m:r>
              </m:sup>
            </m:sSup>
          </m:e>
        </m:d>
        <m:r>
          <w:rPr>
            <w:rFonts w:ascii="Cambria Math" w:hAnsi="Cambria Math"/>
          </w:rPr>
          <m:t>=BIR</m:t>
        </m:r>
        <m:d>
          <m:dPr>
            <m:ctrlPr>
              <w:rPr>
                <w:rFonts w:ascii="Cambria Math" w:hAnsi="Cambria Math"/>
                <w:i/>
              </w:rPr>
            </m:ctrlPr>
          </m:dPr>
          <m:e>
            <m:r>
              <w:rPr>
                <w:rFonts w:ascii="Cambria Math" w:hAnsi="Cambria Math"/>
              </w:rPr>
              <m:t>mR</m:t>
            </m:r>
            <m:sSup>
              <m:sSupPr>
                <m:ctrlPr>
                  <w:rPr>
                    <w:rFonts w:ascii="Cambria Math" w:hAnsi="Cambria Math"/>
                    <w:i/>
                  </w:rPr>
                </m:ctrlPr>
              </m:sSupPr>
              <m:e>
                <m:r>
                  <w:rPr>
                    <w:rFonts w:ascii="Cambria Math" w:hAnsi="Cambria Math"/>
                  </w:rPr>
                  <m:t>h</m:t>
                </m:r>
              </m:e>
              <m:sup>
                <m:r>
                  <w:rPr>
                    <w:rFonts w:ascii="Cambria Math" w:hAnsi="Cambria Math"/>
                  </w:rPr>
                  <m:t>-1</m:t>
                </m:r>
              </m:sup>
            </m:sSup>
          </m:e>
        </m:d>
        <m:r>
          <w:rPr>
            <w:rFonts w:ascii="Cambria Math" w:hAnsi="Cambria Math"/>
          </w:rPr>
          <m:t xml:space="preserve">×8760                                                                                        </m:t>
        </m:r>
      </m:oMath>
      <w:r>
        <w:t>(1)</w:t>
      </w:r>
    </w:p>
    <w:p w14:paraId="009306B6" w14:textId="77777777" w:rsidR="00CC67DB" w:rsidRPr="00CC67DB" w:rsidRDefault="00CC67DB" w:rsidP="00CC67DB">
      <w:pPr>
        <w:pStyle w:val="Heading3"/>
        <w:spacing w:line="360" w:lineRule="auto"/>
        <w:jc w:val="both"/>
        <w:rPr>
          <w:rFonts w:ascii="Times New Roman" w:hAnsi="Times New Roman" w:cs="Times New Roman"/>
          <w:i/>
          <w:color w:val="auto"/>
          <w:sz w:val="22"/>
          <w:szCs w:val="22"/>
        </w:rPr>
      </w:pPr>
      <w:r w:rsidRPr="00CC67DB">
        <w:rPr>
          <w:rStyle w:val="Strong"/>
          <w:rFonts w:ascii="Times New Roman" w:hAnsi="Times New Roman" w:cs="Times New Roman"/>
          <w:bCs w:val="0"/>
          <w:i/>
          <w:color w:val="auto"/>
          <w:sz w:val="22"/>
          <w:szCs w:val="22"/>
        </w:rPr>
        <w:t>2.3.2. Annual Effective Dose Equivalent (AEDE)</w:t>
      </w:r>
    </w:p>
    <w:p w14:paraId="237514A3" w14:textId="77777777" w:rsidR="00CC67DB" w:rsidRPr="00CC67DB" w:rsidRDefault="00CC67DB" w:rsidP="00CC67DB">
      <w:pPr>
        <w:pStyle w:val="NormalWeb"/>
        <w:spacing w:line="360" w:lineRule="auto"/>
        <w:jc w:val="both"/>
        <w:rPr>
          <w:sz w:val="22"/>
          <w:szCs w:val="22"/>
        </w:rPr>
      </w:pPr>
      <w:r w:rsidRPr="00CC67DB">
        <w:rPr>
          <w:sz w:val="22"/>
          <w:szCs w:val="22"/>
        </w:rPr>
        <w:t xml:space="preserve">The AEDE for outdoor exposure was computed using a dose-rate conversion factor of 0.7 </w:t>
      </w:r>
      <w:proofErr w:type="spellStart"/>
      <w:r w:rsidRPr="00CC67DB">
        <w:rPr>
          <w:sz w:val="22"/>
          <w:szCs w:val="22"/>
        </w:rPr>
        <w:t>Sv</w:t>
      </w:r>
      <w:proofErr w:type="spellEnd"/>
      <w:r w:rsidR="00995B81">
        <w:rPr>
          <w:sz w:val="22"/>
          <w:szCs w:val="22"/>
        </w:rPr>
        <w:t xml:space="preserve"> Gy⁻¹ (ICRP, 2007</w:t>
      </w:r>
      <w:r w:rsidRPr="00CC67DB">
        <w:rPr>
          <w:sz w:val="22"/>
          <w:szCs w:val="22"/>
        </w:rPr>
        <w:t>) and an outdoor occupancy factor of 0.2, assuming continuous exposure</w:t>
      </w:r>
      <w:r>
        <w:rPr>
          <w:sz w:val="22"/>
          <w:szCs w:val="22"/>
        </w:rPr>
        <w:t xml:space="preserve"> (8760 h</w:t>
      </w:r>
      <w:r w:rsidRPr="00CC67DB">
        <w:rPr>
          <w:sz w:val="22"/>
          <w:szCs w:val="22"/>
        </w:rPr>
        <w:t>y⁻¹):</w:t>
      </w:r>
    </w:p>
    <w:p w14:paraId="5DA5849C" w14:textId="77777777" w:rsidR="00CC67DB" w:rsidRPr="00CC67DB" w:rsidRDefault="00CC67DB" w:rsidP="00CC67DB">
      <w:pPr>
        <w:pStyle w:val="NormalWeb"/>
        <w:spacing w:line="360" w:lineRule="auto"/>
        <w:jc w:val="center"/>
      </w:pPr>
      <m:oMath>
        <m:r>
          <w:rPr>
            <w:rFonts w:ascii="Cambria Math" w:hAnsi="Cambria Math"/>
          </w:rPr>
          <m:t>AEDE(mSv</m:t>
        </m:r>
        <m:sSup>
          <m:sSupPr>
            <m:ctrlPr>
              <w:rPr>
                <w:rFonts w:ascii="Cambria Math" w:hAnsi="Cambria Math"/>
                <w:i/>
              </w:rPr>
            </m:ctrlPr>
          </m:sSupPr>
          <m:e>
            <m:r>
              <w:rPr>
                <w:rFonts w:ascii="Cambria Math" w:hAnsi="Cambria Math"/>
              </w:rPr>
              <m:t>y</m:t>
            </m:r>
          </m:e>
          <m:sup>
            <m:r>
              <w:rPr>
                <w:rFonts w:ascii="Cambria Math" w:hAnsi="Cambria Math"/>
              </w:rPr>
              <m:t>-1</m:t>
            </m:r>
          </m:sup>
        </m:sSup>
        <m:r>
          <w:rPr>
            <w:rFonts w:ascii="Cambria Math" w:hAnsi="Cambria Math"/>
          </w:rPr>
          <m:t xml:space="preserve">)=ADR </m:t>
        </m:r>
        <m:d>
          <m:dPr>
            <m:ctrlPr>
              <w:rPr>
                <w:rFonts w:ascii="Cambria Math" w:hAnsi="Cambria Math"/>
                <w:i/>
              </w:rPr>
            </m:ctrlPr>
          </m:dPr>
          <m:e>
            <m:r>
              <w:rPr>
                <w:rFonts w:ascii="Cambria Math" w:hAnsi="Cambria Math"/>
              </w:rPr>
              <m:t>nGy</m:t>
            </m:r>
            <m:sSup>
              <m:sSupPr>
                <m:ctrlPr>
                  <w:rPr>
                    <w:rFonts w:ascii="Cambria Math" w:hAnsi="Cambria Math"/>
                    <w:i/>
                  </w:rPr>
                </m:ctrlPr>
              </m:sSupPr>
              <m:e>
                <m:r>
                  <w:rPr>
                    <w:rFonts w:ascii="Cambria Math" w:hAnsi="Cambria Math"/>
                  </w:rPr>
                  <m:t>h</m:t>
                </m:r>
              </m:e>
              <m:sup>
                <m:r>
                  <w:rPr>
                    <w:rFonts w:ascii="Cambria Math" w:hAnsi="Cambria Math"/>
                  </w:rPr>
                  <m:t>-1</m:t>
                </m:r>
              </m:sup>
            </m:sSup>
          </m:e>
        </m:d>
        <m:r>
          <w:rPr>
            <w:rFonts w:ascii="Cambria Math" w:hAnsi="Cambria Math"/>
          </w:rPr>
          <m:t>×0.7×0.2×</m:t>
        </m:r>
        <m:sSup>
          <m:sSupPr>
            <m:ctrlPr>
              <w:rPr>
                <w:rFonts w:ascii="Cambria Math" w:hAnsi="Cambria Math"/>
                <w:i/>
              </w:rPr>
            </m:ctrlPr>
          </m:sSupPr>
          <m:e>
            <m:r>
              <w:rPr>
                <w:rFonts w:ascii="Cambria Math" w:hAnsi="Cambria Math"/>
              </w:rPr>
              <m:t>10</m:t>
            </m:r>
          </m:e>
          <m:sup>
            <m:r>
              <w:rPr>
                <w:rFonts w:ascii="Cambria Math" w:hAnsi="Cambria Math"/>
              </w:rPr>
              <m:t>-6</m:t>
            </m:r>
          </m:sup>
        </m:sSup>
      </m:oMath>
      <w:r>
        <w:t xml:space="preserve"> </w:t>
      </w:r>
      <w:r>
        <w:tab/>
      </w:r>
      <w:r>
        <w:tab/>
      </w:r>
      <w:r>
        <w:tab/>
      </w:r>
      <w:r>
        <w:tab/>
        <w:t xml:space="preserve">            (2)</w:t>
      </w:r>
    </w:p>
    <w:p w14:paraId="31DD4062" w14:textId="77777777" w:rsidR="00CC67DB" w:rsidRPr="00CC67DB" w:rsidRDefault="00CC67DB" w:rsidP="00CC67DB">
      <w:pPr>
        <w:pStyle w:val="Heading3"/>
        <w:spacing w:line="360" w:lineRule="auto"/>
        <w:jc w:val="both"/>
        <w:rPr>
          <w:rFonts w:ascii="Times New Roman" w:hAnsi="Times New Roman" w:cs="Times New Roman"/>
          <w:i/>
          <w:color w:val="auto"/>
          <w:sz w:val="22"/>
          <w:szCs w:val="22"/>
        </w:rPr>
      </w:pPr>
      <w:r w:rsidRPr="00CC67DB">
        <w:rPr>
          <w:rStyle w:val="Strong"/>
          <w:rFonts w:ascii="Times New Roman" w:hAnsi="Times New Roman" w:cs="Times New Roman"/>
          <w:bCs w:val="0"/>
          <w:i/>
          <w:color w:val="auto"/>
          <w:sz w:val="22"/>
          <w:szCs w:val="22"/>
        </w:rPr>
        <w:t>2.3.3. Excess Lifetime Cancer Risk (ELCR)</w:t>
      </w:r>
    </w:p>
    <w:p w14:paraId="0FFBBA62" w14:textId="77777777" w:rsidR="00CC67DB" w:rsidRPr="00CC67DB" w:rsidRDefault="00CC67DB" w:rsidP="00CC67DB">
      <w:pPr>
        <w:pStyle w:val="NormalWeb"/>
        <w:spacing w:line="360" w:lineRule="auto"/>
        <w:jc w:val="both"/>
        <w:rPr>
          <w:sz w:val="22"/>
          <w:szCs w:val="22"/>
        </w:rPr>
      </w:pPr>
      <w:r w:rsidRPr="00CC67DB">
        <w:rPr>
          <w:sz w:val="22"/>
          <w:szCs w:val="22"/>
        </w:rPr>
        <w:t>The lifetime cancer risk associated with chronic exposure was derived from the nominal risk coefficient for stochastic effects (0.05 Sv⁻¹) and an average lifespan of 70 years (ICRP</w:t>
      </w:r>
      <w:r w:rsidR="00995B81">
        <w:rPr>
          <w:sz w:val="22"/>
          <w:szCs w:val="22"/>
        </w:rPr>
        <w:t>, 2007</w:t>
      </w:r>
      <w:r w:rsidRPr="00CC67DB">
        <w:rPr>
          <w:sz w:val="22"/>
          <w:szCs w:val="22"/>
        </w:rPr>
        <w:t>):</w:t>
      </w:r>
    </w:p>
    <w:p w14:paraId="4729FFB8" w14:textId="77777777" w:rsidR="00CC67DB" w:rsidRDefault="00930969" w:rsidP="00CC67DB">
      <w:pPr>
        <w:pStyle w:val="NormalWeb"/>
        <w:spacing w:line="360" w:lineRule="auto"/>
        <w:jc w:val="both"/>
        <w:rPr>
          <w:sz w:val="22"/>
          <w:szCs w:val="22"/>
        </w:rPr>
      </w:pPr>
      <m:oMath>
        <m:r>
          <w:rPr>
            <w:rFonts w:ascii="Cambria Math" w:hAnsi="Cambria Math"/>
          </w:rPr>
          <m:t>ELCR (×</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)=AEDE(mSv</m:t>
        </m:r>
        <m:sSup>
          <m:sSupPr>
            <m:ctrlPr>
              <w:rPr>
                <w:rFonts w:ascii="Cambria Math" w:hAnsi="Cambria Math"/>
                <w:i/>
              </w:rPr>
            </m:ctrlPr>
          </m:sSupPr>
          <m:e>
            <m:r>
              <w:rPr>
                <w:rFonts w:ascii="Cambria Math" w:hAnsi="Cambria Math"/>
              </w:rPr>
              <m:t>y</m:t>
            </m:r>
          </m:e>
          <m:sup>
            <m:r>
              <w:rPr>
                <w:rFonts w:ascii="Cambria Math" w:hAnsi="Cambria Math"/>
              </w:rPr>
              <m:t>-1</m:t>
            </m:r>
          </m:sup>
        </m:sSup>
        <m:r>
          <w:rPr>
            <w:rFonts w:ascii="Cambria Math" w:hAnsi="Cambria Math"/>
          </w:rPr>
          <m:t>)×70×0.05</m:t>
        </m:r>
      </m:oMath>
      <w:r w:rsidR="00CC67DB">
        <w:t xml:space="preserve"> </w:t>
      </w:r>
      <w:r w:rsidR="00CC67DB">
        <w:tab/>
      </w:r>
      <w:r w:rsidR="00CC67DB">
        <w:tab/>
      </w:r>
      <w:r w:rsidR="00CC67DB">
        <w:tab/>
      </w:r>
      <w:r w:rsidR="00CC67DB">
        <w:tab/>
      </w:r>
      <w:r w:rsidR="00CC67DB">
        <w:tab/>
      </w:r>
      <w:r w:rsidR="00CC67DB">
        <w:tab/>
        <w:t xml:space="preserve">    (3</w:t>
      </w:r>
      <w:r w:rsidR="00CC67DB" w:rsidRPr="00AB2DC5">
        <w:t>)</w:t>
      </w:r>
    </w:p>
    <w:p w14:paraId="3143FF93" w14:textId="77777777" w:rsidR="00CC67DB" w:rsidRPr="00CC67DB" w:rsidRDefault="00CC67DB" w:rsidP="00CC67DB">
      <w:pPr>
        <w:pStyle w:val="NormalWeb"/>
        <w:spacing w:line="360" w:lineRule="auto"/>
        <w:jc w:val="both"/>
        <w:rPr>
          <w:rStyle w:val="Strong"/>
          <w:b w:val="0"/>
          <w:bCs w:val="0"/>
          <w:sz w:val="22"/>
          <w:szCs w:val="22"/>
        </w:rPr>
      </w:pPr>
      <w:r w:rsidRPr="00CC67DB">
        <w:rPr>
          <w:sz w:val="22"/>
          <w:szCs w:val="22"/>
        </w:rPr>
        <w:t xml:space="preserve">For comparative assessment, the </w:t>
      </w:r>
      <w:r w:rsidRPr="00CC67DB">
        <w:rPr>
          <w:rStyle w:val="Strong"/>
          <w:b w:val="0"/>
          <w:sz w:val="22"/>
          <w:szCs w:val="22"/>
        </w:rPr>
        <w:t>UNSCEAR (2000, 2020)</w:t>
      </w:r>
      <w:r w:rsidRPr="00CC67DB">
        <w:rPr>
          <w:sz w:val="22"/>
          <w:szCs w:val="22"/>
        </w:rPr>
        <w:t xml:space="preserve"> world outdoor average absorbed dose rate of </w:t>
      </w:r>
      <w:r w:rsidRPr="00CC67DB">
        <w:rPr>
          <w:rStyle w:val="Strong"/>
          <w:b w:val="0"/>
          <w:sz w:val="22"/>
          <w:szCs w:val="22"/>
        </w:rPr>
        <w:t>84 nGyh⁻¹</w:t>
      </w:r>
      <w:r w:rsidRPr="00CC67DB">
        <w:rPr>
          <w:b/>
          <w:sz w:val="22"/>
          <w:szCs w:val="22"/>
        </w:rPr>
        <w:t xml:space="preserve"> </w:t>
      </w:r>
      <w:r w:rsidRPr="00CC67DB">
        <w:rPr>
          <w:sz w:val="22"/>
          <w:szCs w:val="22"/>
        </w:rPr>
        <w:t xml:space="preserve">which is equivalent to an exposure rate of approximately </w:t>
      </w:r>
      <w:r w:rsidRPr="00CC67DB">
        <w:rPr>
          <w:rStyle w:val="Strong"/>
          <w:b w:val="0"/>
          <w:sz w:val="22"/>
          <w:szCs w:val="22"/>
        </w:rPr>
        <w:t>0.013 mRh⁻¹</w:t>
      </w:r>
      <w:r w:rsidRPr="00CC67DB">
        <w:rPr>
          <w:rStyle w:val="Strong"/>
          <w:sz w:val="22"/>
          <w:szCs w:val="22"/>
        </w:rPr>
        <w:t xml:space="preserve"> </w:t>
      </w:r>
      <w:r w:rsidRPr="00CC67DB">
        <w:rPr>
          <w:sz w:val="22"/>
          <w:szCs w:val="22"/>
        </w:rPr>
        <w:t xml:space="preserve">was adopted. This also corresponds to an </w:t>
      </w:r>
      <w:r w:rsidRPr="00CC67DB">
        <w:rPr>
          <w:rStyle w:val="Strong"/>
          <w:b w:val="0"/>
          <w:sz w:val="22"/>
          <w:szCs w:val="22"/>
        </w:rPr>
        <w:t>AEDE of 0.41 mSvy⁻¹</w:t>
      </w:r>
      <w:r w:rsidRPr="00CC67DB">
        <w:rPr>
          <w:sz w:val="22"/>
          <w:szCs w:val="22"/>
        </w:rPr>
        <w:t xml:space="preserve"> and an </w:t>
      </w:r>
      <w:r w:rsidRPr="00CC67DB">
        <w:rPr>
          <w:rStyle w:val="Strong"/>
          <w:b w:val="0"/>
          <w:sz w:val="22"/>
          <w:szCs w:val="22"/>
        </w:rPr>
        <w:t>ELCR of 0.29 × 10⁻³</w:t>
      </w:r>
      <w:r>
        <w:rPr>
          <w:sz w:val="22"/>
          <w:szCs w:val="22"/>
        </w:rPr>
        <w:t xml:space="preserve">, </w:t>
      </w:r>
      <w:r w:rsidRPr="00CC67DB">
        <w:rPr>
          <w:sz w:val="22"/>
          <w:szCs w:val="22"/>
        </w:rPr>
        <w:t>which were used as global reference thresholds.</w:t>
      </w:r>
    </w:p>
    <w:p w14:paraId="18B07A0E" w14:textId="77777777" w:rsidR="00CC67DB" w:rsidRPr="00CC67DB" w:rsidRDefault="00CC67DB" w:rsidP="00CC67DB">
      <w:pPr>
        <w:pStyle w:val="Heading3"/>
        <w:spacing w:line="360" w:lineRule="auto"/>
        <w:jc w:val="both"/>
        <w:rPr>
          <w:rFonts w:ascii="Times New Roman" w:hAnsi="Times New Roman" w:cs="Times New Roman"/>
          <w:i/>
          <w:color w:val="auto"/>
          <w:sz w:val="22"/>
          <w:szCs w:val="22"/>
        </w:rPr>
      </w:pPr>
      <w:r w:rsidRPr="00CC67DB">
        <w:rPr>
          <w:rStyle w:val="Strong"/>
          <w:rFonts w:ascii="Times New Roman" w:hAnsi="Times New Roman" w:cs="Times New Roman"/>
          <w:bCs w:val="0"/>
          <w:i/>
          <w:color w:val="auto"/>
          <w:sz w:val="22"/>
          <w:szCs w:val="22"/>
        </w:rPr>
        <w:t>2.3.4. Organ-Specific Effective Dose (D</w:t>
      </w:r>
      <w:r w:rsidRPr="00CC67DB">
        <w:rPr>
          <w:rStyle w:val="Strong"/>
          <w:rFonts w:ascii="Times New Roman" w:hAnsi="Times New Roman" w:cs="Times New Roman"/>
          <w:bCs w:val="0"/>
          <w:i/>
          <w:color w:val="auto"/>
          <w:sz w:val="22"/>
          <w:szCs w:val="22"/>
          <w:vertAlign w:val="subscript"/>
        </w:rPr>
        <w:t>organ</w:t>
      </w:r>
      <w:r w:rsidRPr="00CC67DB">
        <w:rPr>
          <w:rStyle w:val="Strong"/>
          <w:rFonts w:ascii="Times New Roman" w:hAnsi="Times New Roman" w:cs="Times New Roman"/>
          <w:bCs w:val="0"/>
          <w:i/>
          <w:color w:val="auto"/>
          <w:sz w:val="22"/>
          <w:szCs w:val="22"/>
        </w:rPr>
        <w:t>)</w:t>
      </w:r>
    </w:p>
    <w:p w14:paraId="454721C9" w14:textId="77777777" w:rsidR="00CC67DB" w:rsidRPr="00CC67DB" w:rsidRDefault="00CC67DB" w:rsidP="00CC67DB">
      <w:pPr>
        <w:pStyle w:val="NormalWeb"/>
        <w:spacing w:line="360" w:lineRule="auto"/>
        <w:jc w:val="both"/>
        <w:rPr>
          <w:sz w:val="22"/>
          <w:szCs w:val="22"/>
        </w:rPr>
      </w:pPr>
      <w:r w:rsidRPr="00CC67DB">
        <w:rPr>
          <w:sz w:val="22"/>
          <w:szCs w:val="22"/>
        </w:rPr>
        <w:t xml:space="preserve">The distribution of the effective dose to various organs and tissues was calculated following Zaid et al. (2010) and </w:t>
      </w:r>
      <w:proofErr w:type="spellStart"/>
      <w:r w:rsidRPr="00CC67DB">
        <w:rPr>
          <w:sz w:val="22"/>
          <w:szCs w:val="22"/>
        </w:rPr>
        <w:t>Agbalagba</w:t>
      </w:r>
      <w:proofErr w:type="spellEnd"/>
      <w:r w:rsidRPr="00CC67DB">
        <w:rPr>
          <w:sz w:val="22"/>
          <w:szCs w:val="22"/>
        </w:rPr>
        <w:t xml:space="preserve"> et al. (2020):</w:t>
      </w:r>
    </w:p>
    <w:p w14:paraId="54E7E66C" w14:textId="77777777" w:rsidR="00CC67DB" w:rsidRPr="00CC67DB" w:rsidRDefault="00217768" w:rsidP="00CC67DB">
      <w:pPr>
        <w:spacing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organ</m:t>
            </m:r>
          </m:sub>
        </m:sSub>
        <m:r>
          <w:rPr>
            <w:rFonts w:ascii="Cambria Math" w:hAnsi="Cambria Math" w:cs="Times New Roman"/>
          </w:rPr>
          <m:t>(mSv</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-1</m:t>
            </m:r>
          </m:sup>
        </m:sSup>
        <m:r>
          <w:rPr>
            <w:rFonts w:ascii="Cambria Math" w:hAnsi="Cambria Math" w:cs="Times New Roman"/>
          </w:rPr>
          <m:t>)=AEDE(mSv</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-1</m:t>
            </m:r>
          </m:sup>
        </m:sSup>
        <m:r>
          <w:rPr>
            <w:rFonts w:ascii="Cambria Math" w:hAnsi="Cambria Math" w:cs="Times New Roman"/>
          </w:rPr>
          <m:t>)×O×F</m:t>
        </m:r>
      </m:oMath>
      <w:r w:rsidR="00CC67DB" w:rsidRPr="00CC67DB">
        <w:rPr>
          <w:rFonts w:ascii="Times New Roman" w:hAnsi="Times New Roman" w:cs="Times New Roman"/>
        </w:rPr>
        <w:t xml:space="preserve"> </w:t>
      </w:r>
      <w:r w:rsidR="00CC67DB" w:rsidRPr="00CC67DB">
        <w:rPr>
          <w:rFonts w:ascii="Times New Roman" w:hAnsi="Times New Roman" w:cs="Times New Roman"/>
        </w:rPr>
        <w:tab/>
      </w:r>
      <w:r w:rsidR="00CC67DB" w:rsidRPr="00CC67DB">
        <w:rPr>
          <w:rFonts w:ascii="Times New Roman" w:hAnsi="Times New Roman" w:cs="Times New Roman"/>
        </w:rPr>
        <w:tab/>
      </w:r>
      <w:r w:rsidR="00CC67DB" w:rsidRPr="00CC67DB">
        <w:rPr>
          <w:rFonts w:ascii="Times New Roman" w:hAnsi="Times New Roman" w:cs="Times New Roman"/>
        </w:rPr>
        <w:tab/>
      </w:r>
      <w:r w:rsidR="00CC67DB" w:rsidRPr="00CC67DB">
        <w:rPr>
          <w:rFonts w:ascii="Times New Roman" w:hAnsi="Times New Roman" w:cs="Times New Roman"/>
        </w:rPr>
        <w:tab/>
      </w:r>
      <w:r w:rsidR="00CC67DB" w:rsidRPr="00CC67DB">
        <w:rPr>
          <w:rFonts w:ascii="Times New Roman" w:hAnsi="Times New Roman" w:cs="Times New Roman"/>
        </w:rPr>
        <w:tab/>
      </w:r>
      <w:r w:rsidR="00CC67DB" w:rsidRPr="00CC67DB">
        <w:rPr>
          <w:rFonts w:ascii="Times New Roman" w:hAnsi="Times New Roman" w:cs="Times New Roman"/>
        </w:rPr>
        <w:tab/>
      </w:r>
      <w:r w:rsidR="00CC67DB" w:rsidRPr="00CC67DB">
        <w:rPr>
          <w:rFonts w:ascii="Times New Roman" w:hAnsi="Times New Roman" w:cs="Times New Roman"/>
        </w:rPr>
        <w:tab/>
        <w:t xml:space="preserve">   (4)</w:t>
      </w:r>
    </w:p>
    <w:p w14:paraId="5F7FA53C" w14:textId="77777777" w:rsidR="00CC67DB" w:rsidRDefault="00CC67DB" w:rsidP="00CC67DB">
      <w:pPr>
        <w:spacing w:before="100" w:beforeAutospacing="1" w:after="100" w:afterAutospacing="1" w:line="360" w:lineRule="auto"/>
        <w:jc w:val="both"/>
        <w:rPr>
          <w:rFonts w:ascii="Times New Roman" w:hAnsi="Times New Roman" w:cs="Times New Roman"/>
        </w:rPr>
      </w:pPr>
      <w:r w:rsidRPr="00CC67DB">
        <w:rPr>
          <w:rFonts w:ascii="Times New Roman" w:hAnsi="Times New Roman" w:cs="Times New Roman"/>
        </w:rPr>
        <w:t xml:space="preserve">Where </w:t>
      </w:r>
      <w:r w:rsidRPr="003D095B">
        <w:rPr>
          <w:rFonts w:ascii="Times New Roman" w:hAnsi="Times New Roman" w:cs="Times New Roman"/>
        </w:rPr>
        <w:t>O is the</w:t>
      </w:r>
      <w:r w:rsidRPr="00CC67DB">
        <w:rPr>
          <w:rFonts w:ascii="Times New Roman" w:hAnsi="Times New Roman" w:cs="Times New Roman"/>
          <w:i/>
        </w:rPr>
        <w:t xml:space="preserve"> </w:t>
      </w:r>
      <w:r w:rsidRPr="00CC67DB">
        <w:rPr>
          <w:rFonts w:ascii="Times New Roman" w:hAnsi="Times New Roman" w:cs="Times New Roman"/>
        </w:rPr>
        <w:t xml:space="preserve">occupancy factor (0.8) and </w:t>
      </w:r>
      <w:r w:rsidRPr="00CC67DB">
        <w:rPr>
          <w:rFonts w:ascii="Times New Roman" w:hAnsi="Times New Roman" w:cs="Times New Roman"/>
          <w:i/>
        </w:rPr>
        <w:t xml:space="preserve">F </w:t>
      </w:r>
      <w:r w:rsidRPr="00CC67DB">
        <w:rPr>
          <w:rFonts w:ascii="Times New Roman" w:hAnsi="Times New Roman" w:cs="Times New Roman"/>
        </w:rPr>
        <w:t>is the organ dose conversion factor from ingestion or external exposure.</w:t>
      </w:r>
    </w:p>
    <w:p w14:paraId="3EF2CD22" w14:textId="77777777" w:rsidR="003D095B" w:rsidRPr="00CC67DB" w:rsidRDefault="003D095B" w:rsidP="00CC67DB">
      <w:pPr>
        <w:spacing w:before="100" w:beforeAutospacing="1" w:after="100" w:afterAutospacing="1" w:line="360" w:lineRule="auto"/>
        <w:jc w:val="both"/>
        <w:rPr>
          <w:rFonts w:ascii="Times New Roman" w:hAnsi="Times New Roman" w:cs="Times New Roman"/>
        </w:rPr>
      </w:pPr>
    </w:p>
    <w:p w14:paraId="03B45F22" w14:textId="77777777" w:rsidR="002D2986" w:rsidRPr="002D2986" w:rsidRDefault="002D2986" w:rsidP="002D2986">
      <w:pPr>
        <w:pStyle w:val="Heading2"/>
        <w:spacing w:line="360" w:lineRule="auto"/>
        <w:jc w:val="both"/>
        <w:rPr>
          <w:sz w:val="22"/>
          <w:szCs w:val="22"/>
        </w:rPr>
      </w:pPr>
      <w:r w:rsidRPr="002D2986">
        <w:rPr>
          <w:rStyle w:val="Strong"/>
          <w:b/>
          <w:bCs/>
          <w:sz w:val="22"/>
          <w:szCs w:val="22"/>
        </w:rPr>
        <w:t>2.4. Statistical and Computational Framework</w:t>
      </w:r>
    </w:p>
    <w:p w14:paraId="39B23D4B" w14:textId="77777777" w:rsidR="002D2986" w:rsidRPr="002D2986" w:rsidRDefault="002D2986" w:rsidP="002D2986">
      <w:pPr>
        <w:pStyle w:val="NormalWeb"/>
        <w:spacing w:line="360" w:lineRule="auto"/>
        <w:jc w:val="both"/>
        <w:rPr>
          <w:sz w:val="22"/>
          <w:szCs w:val="22"/>
        </w:rPr>
      </w:pPr>
      <w:r w:rsidRPr="002D2986">
        <w:rPr>
          <w:sz w:val="22"/>
          <w:szCs w:val="22"/>
        </w:rPr>
        <w:t xml:space="preserve">To enhance analytical robustness and ensure reproducibility, this study adopted a </w:t>
      </w:r>
      <w:r w:rsidRPr="002D2986">
        <w:rPr>
          <w:rStyle w:val="Strong"/>
          <w:b w:val="0"/>
          <w:sz w:val="22"/>
          <w:szCs w:val="22"/>
        </w:rPr>
        <w:t>computational-statistical framework</w:t>
      </w:r>
      <w:r w:rsidRPr="002D2986">
        <w:rPr>
          <w:b/>
          <w:sz w:val="22"/>
          <w:szCs w:val="22"/>
        </w:rPr>
        <w:t xml:space="preserve"> </w:t>
      </w:r>
      <w:r w:rsidRPr="002D2986">
        <w:rPr>
          <w:sz w:val="22"/>
          <w:szCs w:val="22"/>
        </w:rPr>
        <w:t xml:space="preserve">integrating </w:t>
      </w:r>
      <w:r w:rsidRPr="002D2986">
        <w:rPr>
          <w:rStyle w:val="Strong"/>
          <w:b w:val="0"/>
          <w:sz w:val="22"/>
          <w:szCs w:val="22"/>
        </w:rPr>
        <w:t>Monte Carlo simulation</w:t>
      </w:r>
      <w:r w:rsidRPr="002D2986">
        <w:rPr>
          <w:b/>
          <w:sz w:val="22"/>
          <w:szCs w:val="22"/>
        </w:rPr>
        <w:t xml:space="preserve">, </w:t>
      </w:r>
      <w:r w:rsidRPr="002D2986">
        <w:rPr>
          <w:rStyle w:val="Strong"/>
          <w:b w:val="0"/>
          <w:sz w:val="22"/>
          <w:szCs w:val="22"/>
        </w:rPr>
        <w:t>Bayesian inference</w:t>
      </w:r>
      <w:r w:rsidRPr="002D2986">
        <w:rPr>
          <w:sz w:val="22"/>
          <w:szCs w:val="22"/>
        </w:rPr>
        <w:t xml:space="preserve">, and </w:t>
      </w:r>
      <w:r w:rsidRPr="002D2986">
        <w:rPr>
          <w:rStyle w:val="Strong"/>
          <w:b w:val="0"/>
          <w:sz w:val="22"/>
          <w:szCs w:val="22"/>
        </w:rPr>
        <w:t>Bootstrap resampling</w:t>
      </w:r>
      <w:r w:rsidRPr="002D2986">
        <w:rPr>
          <w:sz w:val="22"/>
          <w:szCs w:val="22"/>
        </w:rPr>
        <w:t xml:space="preserve">. All analyses were implemented in </w:t>
      </w:r>
      <w:r w:rsidRPr="002D2986">
        <w:rPr>
          <w:rStyle w:val="Strong"/>
          <w:b w:val="0"/>
          <w:sz w:val="22"/>
          <w:szCs w:val="22"/>
        </w:rPr>
        <w:t>Python 3.13 (IDLE environment)</w:t>
      </w:r>
      <w:r w:rsidRPr="002D2986">
        <w:rPr>
          <w:sz w:val="22"/>
          <w:szCs w:val="22"/>
        </w:rPr>
        <w:t xml:space="preserve"> using standard scientific libraries (</w:t>
      </w:r>
      <w:proofErr w:type="spellStart"/>
      <w:r w:rsidRPr="002D2986">
        <w:rPr>
          <w:rStyle w:val="HTMLCode"/>
          <w:rFonts w:ascii="Times New Roman" w:hAnsi="Times New Roman" w:cs="Times New Roman"/>
          <w:sz w:val="22"/>
          <w:szCs w:val="22"/>
        </w:rPr>
        <w:t>numpy</w:t>
      </w:r>
      <w:proofErr w:type="spellEnd"/>
      <w:r w:rsidRPr="002D2986">
        <w:rPr>
          <w:sz w:val="22"/>
          <w:szCs w:val="22"/>
        </w:rPr>
        <w:t xml:space="preserve">, </w:t>
      </w:r>
      <w:r w:rsidRPr="002D2986">
        <w:rPr>
          <w:rStyle w:val="HTMLCode"/>
          <w:rFonts w:ascii="Times New Roman" w:hAnsi="Times New Roman" w:cs="Times New Roman"/>
          <w:sz w:val="22"/>
          <w:szCs w:val="22"/>
        </w:rPr>
        <w:t>pandas</w:t>
      </w:r>
      <w:r w:rsidRPr="002D2986">
        <w:rPr>
          <w:sz w:val="22"/>
          <w:szCs w:val="22"/>
        </w:rPr>
        <w:t xml:space="preserve">, </w:t>
      </w:r>
      <w:r w:rsidRPr="002D2986">
        <w:rPr>
          <w:rStyle w:val="HTMLCode"/>
          <w:rFonts w:ascii="Times New Roman" w:hAnsi="Times New Roman" w:cs="Times New Roman"/>
          <w:sz w:val="22"/>
          <w:szCs w:val="22"/>
        </w:rPr>
        <w:t>matplotlib</w:t>
      </w:r>
      <w:r w:rsidRPr="002D2986">
        <w:rPr>
          <w:sz w:val="22"/>
          <w:szCs w:val="22"/>
        </w:rPr>
        <w:t xml:space="preserve">, </w:t>
      </w:r>
      <w:proofErr w:type="spellStart"/>
      <w:r w:rsidRPr="002D2986">
        <w:rPr>
          <w:rStyle w:val="HTMLCode"/>
          <w:rFonts w:ascii="Times New Roman" w:hAnsi="Times New Roman" w:cs="Times New Roman"/>
          <w:sz w:val="22"/>
          <w:szCs w:val="22"/>
        </w:rPr>
        <w:t>scipy</w:t>
      </w:r>
      <w:proofErr w:type="spellEnd"/>
      <w:r w:rsidRPr="002D2986">
        <w:rPr>
          <w:sz w:val="22"/>
          <w:szCs w:val="22"/>
        </w:rPr>
        <w:t xml:space="preserve">, and </w:t>
      </w:r>
      <w:r w:rsidRPr="002D2986">
        <w:rPr>
          <w:rStyle w:val="HTMLCode"/>
          <w:rFonts w:ascii="Times New Roman" w:hAnsi="Times New Roman" w:cs="Times New Roman"/>
          <w:sz w:val="22"/>
          <w:szCs w:val="22"/>
        </w:rPr>
        <w:t>seaborn</w:t>
      </w:r>
      <w:r w:rsidRPr="002D2986">
        <w:rPr>
          <w:sz w:val="22"/>
          <w:szCs w:val="22"/>
        </w:rPr>
        <w:t>). The workflow automated data importation, stochastic modelling, uncertainty quantification, and export of results in high-resolution PDF format.</w:t>
      </w:r>
    </w:p>
    <w:p w14:paraId="05E64AF4" w14:textId="77777777" w:rsidR="002D2986" w:rsidRPr="002D2986" w:rsidRDefault="002D2986" w:rsidP="002D2986">
      <w:pPr>
        <w:pStyle w:val="Heading3"/>
        <w:spacing w:line="360" w:lineRule="auto"/>
        <w:jc w:val="both"/>
        <w:rPr>
          <w:rFonts w:ascii="Times New Roman" w:hAnsi="Times New Roman" w:cs="Times New Roman"/>
          <w:i/>
          <w:color w:val="auto"/>
          <w:sz w:val="22"/>
          <w:szCs w:val="22"/>
        </w:rPr>
      </w:pPr>
      <w:r w:rsidRPr="002D2986">
        <w:rPr>
          <w:rStyle w:val="Strong"/>
          <w:rFonts w:ascii="Times New Roman" w:hAnsi="Times New Roman" w:cs="Times New Roman"/>
          <w:bCs w:val="0"/>
          <w:i/>
          <w:color w:val="auto"/>
          <w:sz w:val="22"/>
          <w:szCs w:val="22"/>
        </w:rPr>
        <w:t>2.4.1. Monte Carlo Simulation (MCS)</w:t>
      </w:r>
    </w:p>
    <w:p w14:paraId="6ED62AE9" w14:textId="77777777" w:rsidR="002D2986" w:rsidRPr="002D2986" w:rsidRDefault="002D2986" w:rsidP="002D2986">
      <w:pPr>
        <w:pStyle w:val="NormalWeb"/>
        <w:spacing w:line="360" w:lineRule="auto"/>
        <w:jc w:val="both"/>
        <w:rPr>
          <w:b/>
          <w:sz w:val="22"/>
          <w:szCs w:val="22"/>
        </w:rPr>
      </w:pPr>
      <w:r w:rsidRPr="002D2986">
        <w:rPr>
          <w:sz w:val="22"/>
          <w:szCs w:val="22"/>
        </w:rPr>
        <w:t xml:space="preserve">Monte Carlo simulation was employed to propagate uncertainty in measured background ionizing radiation (BIR) and dose conversion parameters. For each sampling zone, </w:t>
      </w:r>
      <w:r w:rsidRPr="006E1FEE">
        <w:rPr>
          <w:rStyle w:val="Strong"/>
          <w:b w:val="0"/>
          <w:sz w:val="22"/>
          <w:szCs w:val="22"/>
        </w:rPr>
        <w:t>10,000 stochastic iterations</w:t>
      </w:r>
      <w:r w:rsidRPr="002D2986">
        <w:rPr>
          <w:sz w:val="22"/>
          <w:szCs w:val="22"/>
        </w:rPr>
        <w:t xml:space="preserve"> were executed using a ±10% random perturbation around measured BIR values. This generated probabilistic distributions of absorbed dose rate (ADR), annual effective dose equivalent (AEDE), and excess lifetime cancer risk (ELCR). Descriptive statistics (mean, standard deviation, and 95% confidence intervals) were computed from the resulting distributions. The full MCS outputs are provided as </w:t>
      </w:r>
      <w:r w:rsidR="006E1FEE">
        <w:rPr>
          <w:sz w:val="22"/>
          <w:szCs w:val="22"/>
        </w:rPr>
        <w:t xml:space="preserve">a </w:t>
      </w:r>
      <w:r w:rsidR="006E1FEE">
        <w:rPr>
          <w:rStyle w:val="Strong"/>
          <w:b w:val="0"/>
          <w:sz w:val="22"/>
          <w:szCs w:val="22"/>
        </w:rPr>
        <w:t>supplementary file</w:t>
      </w:r>
      <w:r w:rsidRPr="002D2986">
        <w:rPr>
          <w:b/>
          <w:sz w:val="22"/>
          <w:szCs w:val="22"/>
        </w:rPr>
        <w:t>.</w:t>
      </w:r>
    </w:p>
    <w:p w14:paraId="2939164C" w14:textId="77777777" w:rsidR="002D2986" w:rsidRPr="002D2986" w:rsidRDefault="002D2986" w:rsidP="002D2986">
      <w:pPr>
        <w:pStyle w:val="Heading3"/>
        <w:spacing w:line="360" w:lineRule="auto"/>
        <w:jc w:val="both"/>
        <w:rPr>
          <w:rFonts w:ascii="Times New Roman" w:hAnsi="Times New Roman" w:cs="Times New Roman"/>
          <w:i/>
          <w:color w:val="auto"/>
          <w:sz w:val="22"/>
          <w:szCs w:val="22"/>
        </w:rPr>
      </w:pPr>
      <w:r w:rsidRPr="002D2986">
        <w:rPr>
          <w:rStyle w:val="Strong"/>
          <w:rFonts w:ascii="Times New Roman" w:hAnsi="Times New Roman" w:cs="Times New Roman"/>
          <w:bCs w:val="0"/>
          <w:i/>
          <w:color w:val="auto"/>
          <w:sz w:val="22"/>
          <w:szCs w:val="22"/>
        </w:rPr>
        <w:t>2.4.2. Bayesian Inference</w:t>
      </w:r>
    </w:p>
    <w:p w14:paraId="0E191996" w14:textId="77777777" w:rsidR="002D2986" w:rsidRPr="002D2986" w:rsidRDefault="002D2986" w:rsidP="002D2986">
      <w:pPr>
        <w:pStyle w:val="NormalWeb"/>
        <w:spacing w:line="360" w:lineRule="auto"/>
        <w:jc w:val="both"/>
        <w:rPr>
          <w:b/>
          <w:sz w:val="22"/>
          <w:szCs w:val="22"/>
        </w:rPr>
      </w:pPr>
      <w:r w:rsidRPr="002D2986">
        <w:rPr>
          <w:sz w:val="22"/>
          <w:szCs w:val="22"/>
        </w:rPr>
        <w:t xml:space="preserve">Bayesian inference was applied using a </w:t>
      </w:r>
      <w:r w:rsidRPr="002D2986">
        <w:rPr>
          <w:rStyle w:val="Strong"/>
          <w:b w:val="0"/>
          <w:sz w:val="22"/>
          <w:szCs w:val="22"/>
        </w:rPr>
        <w:t>Normal–Inverse Gamma hierarchical model</w:t>
      </w:r>
      <w:r w:rsidRPr="002D2986">
        <w:rPr>
          <w:sz w:val="22"/>
          <w:szCs w:val="22"/>
        </w:rPr>
        <w:t xml:space="preserve"> to derive posterior estimates and credible intervals for the key radiological parameters. The model employed </w:t>
      </w:r>
      <w:r w:rsidRPr="002D2986">
        <w:rPr>
          <w:rStyle w:val="Strong"/>
          <w:b w:val="0"/>
          <w:sz w:val="22"/>
          <w:szCs w:val="22"/>
        </w:rPr>
        <w:t>5,000 Markov Chain Monte Carlo (MCMC)</w:t>
      </w:r>
      <w:r w:rsidRPr="002D2986">
        <w:rPr>
          <w:sz w:val="22"/>
          <w:szCs w:val="22"/>
        </w:rPr>
        <w:t xml:space="preserve"> draws with weakly informative priors, enabling probabilistic interpretation of uncertainties in ADR, AEDE, and ELCR. Detailed Bayesian results are presented in </w:t>
      </w:r>
      <w:r w:rsidR="006E1FEE">
        <w:rPr>
          <w:sz w:val="22"/>
          <w:szCs w:val="22"/>
        </w:rPr>
        <w:t xml:space="preserve">the </w:t>
      </w:r>
      <w:r w:rsidR="00806B74">
        <w:rPr>
          <w:rStyle w:val="Strong"/>
          <w:b w:val="0"/>
          <w:sz w:val="22"/>
          <w:szCs w:val="22"/>
        </w:rPr>
        <w:t>supplementary materials</w:t>
      </w:r>
      <w:r w:rsidRPr="002D2986">
        <w:rPr>
          <w:b/>
          <w:sz w:val="22"/>
          <w:szCs w:val="22"/>
        </w:rPr>
        <w:t>.</w:t>
      </w:r>
    </w:p>
    <w:p w14:paraId="73F736E7" w14:textId="77777777" w:rsidR="002D2986" w:rsidRPr="002D2986" w:rsidRDefault="002D2986" w:rsidP="002D2986">
      <w:pPr>
        <w:pStyle w:val="Heading3"/>
        <w:spacing w:line="360" w:lineRule="auto"/>
        <w:jc w:val="both"/>
        <w:rPr>
          <w:rFonts w:ascii="Times New Roman" w:hAnsi="Times New Roman" w:cs="Times New Roman"/>
          <w:i/>
          <w:color w:val="auto"/>
          <w:sz w:val="22"/>
          <w:szCs w:val="22"/>
        </w:rPr>
      </w:pPr>
      <w:r w:rsidRPr="002D2986">
        <w:rPr>
          <w:rStyle w:val="Strong"/>
          <w:rFonts w:ascii="Times New Roman" w:hAnsi="Times New Roman" w:cs="Times New Roman"/>
          <w:bCs w:val="0"/>
          <w:i/>
          <w:color w:val="auto"/>
          <w:sz w:val="22"/>
          <w:szCs w:val="22"/>
        </w:rPr>
        <w:t>2.4.3. Bootstrap Resampling</w:t>
      </w:r>
    </w:p>
    <w:p w14:paraId="6E022A96" w14:textId="77777777" w:rsidR="002D2986" w:rsidRPr="002D2986" w:rsidRDefault="002D2986" w:rsidP="002D2986">
      <w:pPr>
        <w:pStyle w:val="NormalWeb"/>
        <w:spacing w:line="360" w:lineRule="auto"/>
        <w:jc w:val="both"/>
        <w:rPr>
          <w:sz w:val="22"/>
          <w:szCs w:val="22"/>
        </w:rPr>
      </w:pPr>
      <w:r w:rsidRPr="002D2986">
        <w:rPr>
          <w:sz w:val="22"/>
          <w:szCs w:val="22"/>
        </w:rPr>
        <w:t xml:space="preserve">Bootstrap resampling was used to evaluate the robustness and stability of central tendency and dispersion statistics for all radiological indices. Each dataset was resampled </w:t>
      </w:r>
      <w:r w:rsidRPr="002D2986">
        <w:rPr>
          <w:rStyle w:val="Strong"/>
          <w:b w:val="0"/>
          <w:sz w:val="22"/>
          <w:szCs w:val="22"/>
        </w:rPr>
        <w:t>10,000 times with replacement</w:t>
      </w:r>
      <w:r w:rsidRPr="002D2986">
        <w:rPr>
          <w:sz w:val="22"/>
          <w:szCs w:val="22"/>
        </w:rPr>
        <w:t>, and the mean, median, and 95% confidence limits were derived for ADR, AEDE, and ELCR.</w:t>
      </w:r>
      <w:r w:rsidRPr="002D2986">
        <w:rPr>
          <w:sz w:val="22"/>
          <w:szCs w:val="22"/>
        </w:rPr>
        <w:br/>
      </w:r>
      <w:r w:rsidRPr="002D2986">
        <w:rPr>
          <w:sz w:val="22"/>
          <w:szCs w:val="22"/>
        </w:rPr>
        <w:lastRenderedPageBreak/>
        <w:t xml:space="preserve">The </w:t>
      </w:r>
      <w:r w:rsidR="00806B74">
        <w:rPr>
          <w:rStyle w:val="Strong"/>
          <w:b w:val="0"/>
          <w:sz w:val="22"/>
          <w:szCs w:val="22"/>
        </w:rPr>
        <w:t>Bootstrap results (Table 6</w:t>
      </w:r>
      <w:r w:rsidRPr="002D2986">
        <w:rPr>
          <w:rStyle w:val="Strong"/>
          <w:b w:val="0"/>
          <w:sz w:val="22"/>
          <w:szCs w:val="22"/>
        </w:rPr>
        <w:t>)</w:t>
      </w:r>
      <w:r w:rsidRPr="002D2986">
        <w:rPr>
          <w:sz w:val="22"/>
          <w:szCs w:val="22"/>
        </w:rPr>
        <w:t xml:space="preserve"> and </w:t>
      </w:r>
      <w:r w:rsidR="00C5004E">
        <w:rPr>
          <w:rStyle w:val="Strong"/>
          <w:b w:val="0"/>
          <w:sz w:val="22"/>
          <w:szCs w:val="22"/>
        </w:rPr>
        <w:t>corresponding chart (</w:t>
      </w:r>
      <w:proofErr w:type="gramStart"/>
      <w:r w:rsidR="00C5004E">
        <w:rPr>
          <w:rStyle w:val="Strong"/>
          <w:b w:val="0"/>
          <w:sz w:val="22"/>
          <w:szCs w:val="22"/>
        </w:rPr>
        <w:t>Figure  6</w:t>
      </w:r>
      <w:proofErr w:type="gramEnd"/>
      <w:r w:rsidRPr="002D2986">
        <w:rPr>
          <w:rStyle w:val="Strong"/>
          <w:b w:val="0"/>
          <w:sz w:val="22"/>
          <w:szCs w:val="22"/>
        </w:rPr>
        <w:t>)</w:t>
      </w:r>
      <w:r w:rsidRPr="002D2986">
        <w:rPr>
          <w:sz w:val="22"/>
          <w:szCs w:val="22"/>
        </w:rPr>
        <w:t xml:space="preserve"> are presented in the main text, as they provide concise, distribution-free estimates validated against the Monte Carlo and Bayesian outcomes.</w:t>
      </w:r>
    </w:p>
    <w:p w14:paraId="6428A145" w14:textId="77777777" w:rsidR="002D2986" w:rsidRPr="002D2986" w:rsidRDefault="002D2986" w:rsidP="002D2986">
      <w:pPr>
        <w:pStyle w:val="Heading3"/>
        <w:spacing w:line="360" w:lineRule="auto"/>
        <w:jc w:val="both"/>
        <w:rPr>
          <w:rFonts w:ascii="Times New Roman" w:hAnsi="Times New Roman" w:cs="Times New Roman"/>
          <w:i/>
          <w:color w:val="auto"/>
          <w:sz w:val="22"/>
          <w:szCs w:val="22"/>
        </w:rPr>
      </w:pPr>
      <w:r w:rsidRPr="002D2986">
        <w:rPr>
          <w:rStyle w:val="Strong"/>
          <w:rFonts w:ascii="Times New Roman" w:hAnsi="Times New Roman" w:cs="Times New Roman"/>
          <w:bCs w:val="0"/>
          <w:i/>
          <w:color w:val="auto"/>
          <w:sz w:val="22"/>
          <w:szCs w:val="22"/>
        </w:rPr>
        <w:t>2.4.4. Reproducibility and Output Structure</w:t>
      </w:r>
    </w:p>
    <w:p w14:paraId="05BFB9BF" w14:textId="77777777" w:rsidR="002D2986" w:rsidRPr="002D2986" w:rsidRDefault="002D2986" w:rsidP="002D2986">
      <w:pPr>
        <w:pStyle w:val="NormalWeb"/>
        <w:spacing w:line="360" w:lineRule="auto"/>
        <w:jc w:val="both"/>
        <w:rPr>
          <w:sz w:val="22"/>
          <w:szCs w:val="22"/>
        </w:rPr>
      </w:pPr>
      <w:r w:rsidRPr="002D2986">
        <w:rPr>
          <w:sz w:val="22"/>
          <w:szCs w:val="22"/>
        </w:rPr>
        <w:t xml:space="preserve">The entire computational process was developed for open reproducibility. The provided </w:t>
      </w:r>
      <w:r w:rsidRPr="002D2986">
        <w:rPr>
          <w:rStyle w:val="Strong"/>
          <w:b w:val="0"/>
          <w:sz w:val="22"/>
          <w:szCs w:val="22"/>
        </w:rPr>
        <w:t>Python 3.</w:t>
      </w:r>
      <w:r w:rsidR="006E1FEE">
        <w:rPr>
          <w:rStyle w:val="Strong"/>
          <w:b w:val="0"/>
          <w:sz w:val="22"/>
          <w:szCs w:val="22"/>
        </w:rPr>
        <w:t xml:space="preserve">13 script </w:t>
      </w:r>
      <w:r w:rsidRPr="002D2986">
        <w:rPr>
          <w:sz w:val="22"/>
          <w:szCs w:val="22"/>
        </w:rPr>
        <w:t>allows direct rerun of all simulations, ensuring transparency consistent with FAIR (Findable, Accessible, Interoperable, and Reproducible) data principles.</w:t>
      </w:r>
      <w:r>
        <w:rPr>
          <w:sz w:val="22"/>
          <w:szCs w:val="22"/>
        </w:rPr>
        <w:t xml:space="preserve"> </w:t>
      </w:r>
      <w:r w:rsidRPr="002D2986">
        <w:rPr>
          <w:sz w:val="22"/>
          <w:szCs w:val="22"/>
        </w:rPr>
        <w:t>Outputs include: Bootstrap summary of radiologica</w:t>
      </w:r>
      <w:r w:rsidR="006E1FEE">
        <w:rPr>
          <w:sz w:val="22"/>
          <w:szCs w:val="22"/>
        </w:rPr>
        <w:t xml:space="preserve">l parameters (ADR, AEDE, ELCR) and </w:t>
      </w:r>
      <w:r w:rsidR="009020F4">
        <w:rPr>
          <w:rStyle w:val="Strong"/>
          <w:b w:val="0"/>
          <w:sz w:val="22"/>
          <w:szCs w:val="22"/>
        </w:rPr>
        <w:t xml:space="preserve">supplementary materials </w:t>
      </w:r>
      <w:r w:rsidR="006E1FEE">
        <w:rPr>
          <w:rStyle w:val="Strong"/>
          <w:b w:val="0"/>
          <w:sz w:val="22"/>
          <w:szCs w:val="22"/>
        </w:rPr>
        <w:t>(</w:t>
      </w:r>
      <w:r w:rsidRPr="002D2986">
        <w:rPr>
          <w:sz w:val="22"/>
          <w:szCs w:val="22"/>
        </w:rPr>
        <w:t>Monte Carlo simulation resul</w:t>
      </w:r>
      <w:r w:rsidR="006E1FEE">
        <w:rPr>
          <w:sz w:val="22"/>
          <w:szCs w:val="22"/>
        </w:rPr>
        <w:t xml:space="preserve">ts-10,000 runs per zone; </w:t>
      </w:r>
      <w:r w:rsidRPr="002D2986">
        <w:rPr>
          <w:sz w:val="22"/>
          <w:szCs w:val="22"/>
        </w:rPr>
        <w:t>Bayesian poster</w:t>
      </w:r>
      <w:r w:rsidR="006E1FEE">
        <w:rPr>
          <w:sz w:val="22"/>
          <w:szCs w:val="22"/>
        </w:rPr>
        <w:t>ior estimates-5,000 draws and Ready-to-run Python script).</w:t>
      </w:r>
    </w:p>
    <w:p w14:paraId="27459A85" w14:textId="77777777" w:rsidR="00686CE5" w:rsidRPr="00686CE5" w:rsidRDefault="00686CE5" w:rsidP="00686CE5">
      <w:pPr>
        <w:pStyle w:val="Heading2"/>
        <w:spacing w:line="360" w:lineRule="auto"/>
        <w:jc w:val="both"/>
        <w:rPr>
          <w:b w:val="0"/>
          <w:sz w:val="22"/>
          <w:szCs w:val="22"/>
        </w:rPr>
      </w:pPr>
      <w:r w:rsidRPr="00686CE5">
        <w:rPr>
          <w:rStyle w:val="Strong"/>
          <w:b/>
          <w:bCs/>
          <w:sz w:val="22"/>
          <w:szCs w:val="22"/>
        </w:rPr>
        <w:t>3.0. Results and Discussion</w:t>
      </w:r>
    </w:p>
    <w:p w14:paraId="3445BAC2" w14:textId="77777777" w:rsidR="00686CE5" w:rsidRPr="00686CE5" w:rsidRDefault="00686CE5" w:rsidP="00686CE5">
      <w:pPr>
        <w:pStyle w:val="Heading3"/>
        <w:spacing w:line="360" w:lineRule="auto"/>
        <w:jc w:val="both"/>
        <w:rPr>
          <w:rFonts w:ascii="Times New Roman" w:hAnsi="Times New Roman" w:cs="Times New Roman"/>
          <w:i/>
          <w:color w:val="auto"/>
          <w:sz w:val="22"/>
          <w:szCs w:val="22"/>
        </w:rPr>
      </w:pPr>
      <w:r w:rsidRPr="00686CE5">
        <w:rPr>
          <w:rStyle w:val="Strong"/>
          <w:rFonts w:ascii="Times New Roman" w:hAnsi="Times New Roman" w:cs="Times New Roman"/>
          <w:bCs w:val="0"/>
          <w:i/>
          <w:color w:val="auto"/>
          <w:sz w:val="22"/>
          <w:szCs w:val="22"/>
        </w:rPr>
        <w:t xml:space="preserve">3.1 </w:t>
      </w:r>
      <w:r w:rsidR="00427469">
        <w:rPr>
          <w:rStyle w:val="Strong"/>
          <w:rFonts w:ascii="Times New Roman" w:hAnsi="Times New Roman" w:cs="Times New Roman"/>
          <w:bCs w:val="0"/>
          <w:i/>
          <w:color w:val="auto"/>
          <w:sz w:val="22"/>
          <w:szCs w:val="22"/>
        </w:rPr>
        <w:t xml:space="preserve">Summary of </w:t>
      </w:r>
      <w:r w:rsidRPr="00686CE5">
        <w:rPr>
          <w:rStyle w:val="Strong"/>
          <w:rFonts w:ascii="Times New Roman" w:hAnsi="Times New Roman" w:cs="Times New Roman"/>
          <w:bCs w:val="0"/>
          <w:i/>
          <w:color w:val="auto"/>
          <w:sz w:val="22"/>
          <w:szCs w:val="22"/>
        </w:rPr>
        <w:t>Background Ionizing Radiation (BIR) and Absorbed Dose Rate (ADR)</w:t>
      </w:r>
    </w:p>
    <w:p w14:paraId="721A612A" w14:textId="77777777" w:rsidR="00EA4BA0" w:rsidRDefault="00686CE5" w:rsidP="00EA4BA0">
      <w:pPr>
        <w:pStyle w:val="Heading4"/>
        <w:spacing w:line="360" w:lineRule="auto"/>
        <w:jc w:val="both"/>
        <w:rPr>
          <w:rFonts w:ascii="Times New Roman" w:hAnsi="Times New Roman" w:cs="Times New Roman"/>
          <w:i w:val="0"/>
          <w:color w:val="auto"/>
        </w:rPr>
      </w:pPr>
      <w:r w:rsidRPr="00EA4BA0">
        <w:rPr>
          <w:rFonts w:ascii="Times New Roman" w:hAnsi="Times New Roman" w:cs="Times New Roman"/>
          <w:i w:val="0"/>
          <w:color w:val="auto"/>
        </w:rPr>
        <w:t xml:space="preserve">The measured background ionizing radiation (BIR) across the four zones of </w:t>
      </w:r>
      <w:r w:rsidRPr="00EA4BA0">
        <w:rPr>
          <w:rStyle w:val="Strong"/>
          <w:rFonts w:ascii="Times New Roman" w:hAnsi="Times New Roman" w:cs="Times New Roman"/>
          <w:b w:val="0"/>
          <w:i w:val="0"/>
          <w:color w:val="auto"/>
        </w:rPr>
        <w:t>Oleh</w:t>
      </w:r>
      <w:r w:rsidRPr="00EA4BA0">
        <w:rPr>
          <w:rFonts w:ascii="Times New Roman" w:hAnsi="Times New Roman" w:cs="Times New Roman"/>
          <w:i w:val="0"/>
          <w:color w:val="auto"/>
        </w:rPr>
        <w:t xml:space="preserve"> </w:t>
      </w:r>
      <w:r w:rsidR="00427469" w:rsidRPr="00EA4BA0">
        <w:rPr>
          <w:rFonts w:ascii="Times New Roman" w:hAnsi="Times New Roman" w:cs="Times New Roman"/>
          <w:i w:val="0"/>
          <w:color w:val="auto"/>
        </w:rPr>
        <w:t xml:space="preserve">as summarized in </w:t>
      </w:r>
      <w:r w:rsidRPr="00EA4BA0">
        <w:rPr>
          <w:rFonts w:ascii="Times New Roman" w:hAnsi="Times New Roman" w:cs="Times New Roman"/>
          <w:i w:val="0"/>
          <w:color w:val="auto"/>
        </w:rPr>
        <w:t xml:space="preserve">(Table 1) ranged from </w:t>
      </w:r>
      <w:r w:rsidRPr="00EA4BA0">
        <w:rPr>
          <w:rStyle w:val="Strong"/>
          <w:rFonts w:ascii="Times New Roman" w:hAnsi="Times New Roman" w:cs="Times New Roman"/>
          <w:b w:val="0"/>
          <w:i w:val="0"/>
          <w:color w:val="auto"/>
        </w:rPr>
        <w:t>0.009 ± 0.002 mRh⁻¹</w:t>
      </w:r>
      <w:r w:rsidRPr="00EA4BA0">
        <w:rPr>
          <w:rFonts w:ascii="Times New Roman" w:hAnsi="Times New Roman" w:cs="Times New Roman"/>
          <w:i w:val="0"/>
          <w:color w:val="auto"/>
        </w:rPr>
        <w:t xml:space="preserve"> at the Bakery to </w:t>
      </w:r>
      <w:r w:rsidRPr="00EA4BA0">
        <w:rPr>
          <w:rStyle w:val="Strong"/>
          <w:rFonts w:ascii="Times New Roman" w:hAnsi="Times New Roman" w:cs="Times New Roman"/>
          <w:b w:val="0"/>
          <w:i w:val="0"/>
          <w:color w:val="auto"/>
        </w:rPr>
        <w:t>0.010 ± 0.001 mRh⁻¹</w:t>
      </w:r>
      <w:r w:rsidRPr="00EA4BA0">
        <w:rPr>
          <w:rFonts w:ascii="Times New Roman" w:hAnsi="Times New Roman" w:cs="Times New Roman"/>
          <w:i w:val="0"/>
          <w:color w:val="auto"/>
        </w:rPr>
        <w:t xml:space="preserve"> at the Market and Residential zones, with an overall mean of </w:t>
      </w:r>
      <w:r w:rsidRPr="00EA4BA0">
        <w:rPr>
          <w:rStyle w:val="Strong"/>
          <w:rFonts w:ascii="Times New Roman" w:hAnsi="Times New Roman" w:cs="Times New Roman"/>
          <w:b w:val="0"/>
          <w:i w:val="0"/>
          <w:color w:val="auto"/>
        </w:rPr>
        <w:t>0.0098 ± 0.0013 mRh⁻¹</w:t>
      </w:r>
      <w:r w:rsidRPr="00EA4BA0">
        <w:rPr>
          <w:rFonts w:ascii="Times New Roman" w:hAnsi="Times New Roman" w:cs="Times New Roman"/>
          <w:i w:val="0"/>
          <w:color w:val="auto"/>
        </w:rPr>
        <w:t xml:space="preserve">. </w:t>
      </w:r>
      <w:r w:rsidR="00427469" w:rsidRPr="00EA4BA0">
        <w:rPr>
          <w:rFonts w:ascii="Times New Roman" w:hAnsi="Times New Roman" w:cs="Times New Roman"/>
          <w:i w:val="0"/>
          <w:color w:val="auto"/>
        </w:rPr>
        <w:t xml:space="preserve">The </w:t>
      </w:r>
      <w:r w:rsidRPr="00EA4BA0">
        <w:rPr>
          <w:rFonts w:ascii="Times New Roman" w:hAnsi="Times New Roman" w:cs="Times New Roman"/>
          <w:i w:val="0"/>
          <w:color w:val="auto"/>
        </w:rPr>
        <w:t xml:space="preserve">Corresponding absorbed dose rates (ADR) ranged between </w:t>
      </w:r>
      <w:r w:rsidRPr="00EA4BA0">
        <w:rPr>
          <w:rStyle w:val="Strong"/>
          <w:rFonts w:ascii="Times New Roman" w:hAnsi="Times New Roman" w:cs="Times New Roman"/>
          <w:b w:val="0"/>
          <w:i w:val="0"/>
          <w:color w:val="auto"/>
        </w:rPr>
        <w:t>77.30 ± 17.60 nGyh⁻¹</w:t>
      </w:r>
      <w:r w:rsidRPr="00EA4BA0">
        <w:rPr>
          <w:rFonts w:ascii="Times New Roman" w:hAnsi="Times New Roman" w:cs="Times New Roman"/>
          <w:i w:val="0"/>
          <w:color w:val="auto"/>
        </w:rPr>
        <w:t xml:space="preserve"> and </w:t>
      </w:r>
      <w:r w:rsidRPr="00EA4BA0">
        <w:rPr>
          <w:rStyle w:val="Strong"/>
          <w:rFonts w:ascii="Times New Roman" w:hAnsi="Times New Roman" w:cs="Times New Roman"/>
          <w:b w:val="0"/>
          <w:i w:val="0"/>
          <w:color w:val="auto"/>
        </w:rPr>
        <w:t>87.00 ± 13.50 nGyh⁻¹</w:t>
      </w:r>
      <w:r w:rsidRPr="00EA4BA0">
        <w:rPr>
          <w:rFonts w:ascii="Times New Roman" w:hAnsi="Times New Roman" w:cs="Times New Roman"/>
          <w:i w:val="0"/>
          <w:color w:val="auto"/>
        </w:rPr>
        <w:t xml:space="preserve">, averaging </w:t>
      </w:r>
      <w:r w:rsidRPr="00EA4BA0">
        <w:rPr>
          <w:rStyle w:val="Strong"/>
          <w:rFonts w:ascii="Times New Roman" w:hAnsi="Times New Roman" w:cs="Times New Roman"/>
          <w:b w:val="0"/>
          <w:i w:val="0"/>
          <w:color w:val="auto"/>
        </w:rPr>
        <w:t>83.08 ± 10.63 nGyh⁻¹</w:t>
      </w:r>
      <w:r w:rsidRPr="00EA4BA0">
        <w:rPr>
          <w:rFonts w:ascii="Times New Roman" w:hAnsi="Times New Roman" w:cs="Times New Roman"/>
          <w:i w:val="0"/>
          <w:color w:val="auto"/>
        </w:rPr>
        <w:t xml:space="preserve">, which is marginally below the UNSCEAR (2000) world mean of </w:t>
      </w:r>
      <w:r w:rsidRPr="00EA4BA0">
        <w:rPr>
          <w:rStyle w:val="Strong"/>
          <w:rFonts w:ascii="Times New Roman" w:hAnsi="Times New Roman" w:cs="Times New Roman"/>
          <w:b w:val="0"/>
          <w:i w:val="0"/>
          <w:color w:val="auto"/>
        </w:rPr>
        <w:t>84 nGyh⁻¹</w:t>
      </w:r>
      <w:r w:rsidRPr="00EA4BA0">
        <w:rPr>
          <w:rFonts w:ascii="Times New Roman" w:hAnsi="Times New Roman" w:cs="Times New Roman"/>
          <w:i w:val="0"/>
          <w:color w:val="auto"/>
        </w:rPr>
        <w:t xml:space="preserve">. Spatially, the </w:t>
      </w:r>
      <w:r w:rsidRPr="00EA4BA0">
        <w:rPr>
          <w:rStyle w:val="Strong"/>
          <w:rFonts w:ascii="Times New Roman" w:hAnsi="Times New Roman" w:cs="Times New Roman"/>
          <w:b w:val="0"/>
          <w:i w:val="0"/>
          <w:color w:val="auto"/>
        </w:rPr>
        <w:t>Market and Residential zones</w:t>
      </w:r>
      <w:r w:rsidRPr="00EA4BA0">
        <w:rPr>
          <w:rFonts w:ascii="Times New Roman" w:hAnsi="Times New Roman" w:cs="Times New Roman"/>
          <w:i w:val="0"/>
          <w:color w:val="auto"/>
        </w:rPr>
        <w:t xml:space="preserve"> in Oleh recorded the highest dose rates, reflecting elevated anthropogenic activity and possibly denser concrete and lateritic soil composition that may contribute to increased gamma emission. The generally uniform BIR levels across zones suggest a relatively homogeneous geological substrate typical of the Benin Formation, comprising sandy and clayey sediments with moderate radionuclide content. </w:t>
      </w:r>
    </w:p>
    <w:p w14:paraId="790E8D67" w14:textId="77777777" w:rsidR="00EA4BA0" w:rsidRPr="00427469" w:rsidRDefault="00EA4BA0" w:rsidP="00EA4BA0">
      <w:pPr>
        <w:spacing w:before="100" w:beforeAutospacing="1" w:after="100" w:afterAutospacing="1" w:line="240" w:lineRule="auto"/>
        <w:jc w:val="center"/>
        <w:outlineLvl w:val="2"/>
        <w:rPr>
          <w:rFonts w:ascii="Times New Roman" w:eastAsia="Times New Roman" w:hAnsi="Times New Roman" w:cs="Times New Roman"/>
          <w:b/>
          <w:bCs/>
        </w:rPr>
      </w:pPr>
      <w:r w:rsidRPr="00427469">
        <w:rPr>
          <w:rFonts w:ascii="Times New Roman" w:eastAsia="Times New Roman" w:hAnsi="Times New Roman" w:cs="Times New Roman"/>
          <w:b/>
          <w:bCs/>
        </w:rPr>
        <w:t>Table 1: Summary of Radiological Risk Parameters in Oleh</w:t>
      </w:r>
    </w:p>
    <w:tbl>
      <w:tblPr>
        <w:tblStyle w:val="TableGrid"/>
        <w:tblW w:w="0" w:type="auto"/>
        <w:jc w:val="center"/>
        <w:tblLook w:val="04A0" w:firstRow="1" w:lastRow="0" w:firstColumn="1" w:lastColumn="0" w:noHBand="0" w:noVBand="1"/>
      </w:tblPr>
      <w:tblGrid>
        <w:gridCol w:w="2396"/>
        <w:gridCol w:w="1395"/>
        <w:gridCol w:w="1310"/>
        <w:gridCol w:w="1419"/>
        <w:gridCol w:w="1272"/>
      </w:tblGrid>
      <w:tr w:rsidR="00EA4BA0" w:rsidRPr="00A318E6" w14:paraId="44CCE03D" w14:textId="77777777" w:rsidTr="004463CD">
        <w:trPr>
          <w:jc w:val="center"/>
        </w:trPr>
        <w:tc>
          <w:tcPr>
            <w:tcW w:w="0" w:type="auto"/>
            <w:hideMark/>
          </w:tcPr>
          <w:p w14:paraId="3E53A014" w14:textId="77777777" w:rsidR="00EA4BA0" w:rsidRPr="00A318E6" w:rsidRDefault="00EA4BA0" w:rsidP="004463CD">
            <w:pPr>
              <w:jc w:val="center"/>
              <w:rPr>
                <w:rFonts w:ascii="Times New Roman" w:eastAsia="Times New Roman" w:hAnsi="Times New Roman" w:cs="Times New Roman"/>
                <w:b/>
                <w:bCs/>
                <w:sz w:val="18"/>
                <w:szCs w:val="18"/>
              </w:rPr>
            </w:pPr>
            <w:r w:rsidRPr="00A318E6">
              <w:rPr>
                <w:rFonts w:ascii="Times New Roman" w:eastAsia="Times New Roman" w:hAnsi="Times New Roman" w:cs="Times New Roman"/>
                <w:b/>
                <w:bCs/>
                <w:sz w:val="18"/>
                <w:szCs w:val="18"/>
              </w:rPr>
              <w:t>Zone</w:t>
            </w:r>
          </w:p>
        </w:tc>
        <w:tc>
          <w:tcPr>
            <w:tcW w:w="0" w:type="auto"/>
            <w:hideMark/>
          </w:tcPr>
          <w:p w14:paraId="2930FC41" w14:textId="77777777" w:rsidR="00EA4BA0" w:rsidRPr="00A318E6" w:rsidRDefault="00EA4BA0" w:rsidP="004463CD">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BIR (mR</w:t>
            </w:r>
            <w:r w:rsidRPr="00A318E6">
              <w:rPr>
                <w:rFonts w:ascii="Times New Roman" w:eastAsia="Times New Roman" w:hAnsi="Times New Roman" w:cs="Times New Roman"/>
                <w:b/>
                <w:bCs/>
                <w:sz w:val="18"/>
                <w:szCs w:val="18"/>
              </w:rPr>
              <w:t>h⁻¹)</w:t>
            </w:r>
          </w:p>
        </w:tc>
        <w:tc>
          <w:tcPr>
            <w:tcW w:w="0" w:type="auto"/>
            <w:hideMark/>
          </w:tcPr>
          <w:p w14:paraId="574A0D0C" w14:textId="77777777" w:rsidR="00EA4BA0" w:rsidRPr="00A318E6" w:rsidRDefault="00EA4BA0" w:rsidP="004463CD">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ADR (nGy</w:t>
            </w:r>
            <w:r w:rsidRPr="00A318E6">
              <w:rPr>
                <w:rFonts w:ascii="Times New Roman" w:eastAsia="Times New Roman" w:hAnsi="Times New Roman" w:cs="Times New Roman"/>
                <w:b/>
                <w:bCs/>
                <w:sz w:val="18"/>
                <w:szCs w:val="18"/>
              </w:rPr>
              <w:t>h⁻¹)</w:t>
            </w:r>
          </w:p>
        </w:tc>
        <w:tc>
          <w:tcPr>
            <w:tcW w:w="0" w:type="auto"/>
            <w:hideMark/>
          </w:tcPr>
          <w:p w14:paraId="4EE3717B" w14:textId="77777777" w:rsidR="00EA4BA0" w:rsidRPr="00A318E6" w:rsidRDefault="00EA4BA0" w:rsidP="004463CD">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AEDE (mSv</w:t>
            </w:r>
            <w:r w:rsidRPr="00A318E6">
              <w:rPr>
                <w:rFonts w:ascii="Times New Roman" w:eastAsia="Times New Roman" w:hAnsi="Times New Roman" w:cs="Times New Roman"/>
                <w:b/>
                <w:bCs/>
                <w:sz w:val="18"/>
                <w:szCs w:val="18"/>
              </w:rPr>
              <w:t>y⁻¹)</w:t>
            </w:r>
          </w:p>
        </w:tc>
        <w:tc>
          <w:tcPr>
            <w:tcW w:w="0" w:type="auto"/>
            <w:hideMark/>
          </w:tcPr>
          <w:p w14:paraId="068559A6" w14:textId="77777777" w:rsidR="00EA4BA0" w:rsidRPr="00A318E6" w:rsidRDefault="00EA4BA0" w:rsidP="004463CD">
            <w:pPr>
              <w:jc w:val="center"/>
              <w:rPr>
                <w:rFonts w:ascii="Times New Roman" w:eastAsia="Times New Roman" w:hAnsi="Times New Roman" w:cs="Times New Roman"/>
                <w:b/>
                <w:bCs/>
                <w:sz w:val="18"/>
                <w:szCs w:val="18"/>
              </w:rPr>
            </w:pPr>
            <w:r w:rsidRPr="00A318E6">
              <w:rPr>
                <w:rFonts w:ascii="Times New Roman" w:eastAsia="Times New Roman" w:hAnsi="Times New Roman" w:cs="Times New Roman"/>
                <w:b/>
                <w:bCs/>
                <w:sz w:val="18"/>
                <w:szCs w:val="18"/>
              </w:rPr>
              <w:t>ELCR (×10⁻³)</w:t>
            </w:r>
          </w:p>
        </w:tc>
      </w:tr>
      <w:tr w:rsidR="00EA4BA0" w:rsidRPr="00A318E6" w14:paraId="2013AE9B" w14:textId="77777777" w:rsidTr="004463CD">
        <w:trPr>
          <w:jc w:val="center"/>
        </w:trPr>
        <w:tc>
          <w:tcPr>
            <w:tcW w:w="0" w:type="auto"/>
            <w:hideMark/>
          </w:tcPr>
          <w:p w14:paraId="02C36113" w14:textId="77777777" w:rsidR="00EA4BA0" w:rsidRPr="00A318E6" w:rsidRDefault="00EA4BA0" w:rsidP="004463CD">
            <w:pP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Market</w:t>
            </w:r>
          </w:p>
        </w:tc>
        <w:tc>
          <w:tcPr>
            <w:tcW w:w="0" w:type="auto"/>
            <w:hideMark/>
          </w:tcPr>
          <w:p w14:paraId="1C6FD25F"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0.010 ± 0.001</w:t>
            </w:r>
          </w:p>
        </w:tc>
        <w:tc>
          <w:tcPr>
            <w:tcW w:w="0" w:type="auto"/>
            <w:hideMark/>
          </w:tcPr>
          <w:p w14:paraId="08E65066"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87.00 ± 13.50</w:t>
            </w:r>
          </w:p>
        </w:tc>
        <w:tc>
          <w:tcPr>
            <w:tcW w:w="0" w:type="auto"/>
            <w:hideMark/>
          </w:tcPr>
          <w:p w14:paraId="06A700EC"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0.107 ± 0.017</w:t>
            </w:r>
          </w:p>
        </w:tc>
        <w:tc>
          <w:tcPr>
            <w:tcW w:w="0" w:type="auto"/>
            <w:hideMark/>
          </w:tcPr>
          <w:p w14:paraId="4FDB031F"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0.374 ± 0.059</w:t>
            </w:r>
          </w:p>
        </w:tc>
      </w:tr>
      <w:tr w:rsidR="00EA4BA0" w:rsidRPr="00A318E6" w14:paraId="22B5434B" w14:textId="77777777" w:rsidTr="004463CD">
        <w:trPr>
          <w:jc w:val="center"/>
        </w:trPr>
        <w:tc>
          <w:tcPr>
            <w:tcW w:w="0" w:type="auto"/>
            <w:hideMark/>
          </w:tcPr>
          <w:p w14:paraId="2E1E2AD4" w14:textId="77777777" w:rsidR="00EA4BA0" w:rsidRPr="00A318E6" w:rsidRDefault="00EA4BA0" w:rsidP="004463CD">
            <w:pP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Bakery</w:t>
            </w:r>
          </w:p>
        </w:tc>
        <w:tc>
          <w:tcPr>
            <w:tcW w:w="0" w:type="auto"/>
            <w:hideMark/>
          </w:tcPr>
          <w:p w14:paraId="565DDB89"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0.009 ± 0.002</w:t>
            </w:r>
          </w:p>
        </w:tc>
        <w:tc>
          <w:tcPr>
            <w:tcW w:w="0" w:type="auto"/>
            <w:hideMark/>
          </w:tcPr>
          <w:p w14:paraId="69BBEC69"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77.30 ± 17.60</w:t>
            </w:r>
          </w:p>
        </w:tc>
        <w:tc>
          <w:tcPr>
            <w:tcW w:w="0" w:type="auto"/>
            <w:hideMark/>
          </w:tcPr>
          <w:p w14:paraId="69696995"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0.095 ± 0.022</w:t>
            </w:r>
          </w:p>
        </w:tc>
        <w:tc>
          <w:tcPr>
            <w:tcW w:w="0" w:type="auto"/>
            <w:hideMark/>
          </w:tcPr>
          <w:p w14:paraId="0C04797C"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0.332 ± 0.077</w:t>
            </w:r>
          </w:p>
        </w:tc>
      </w:tr>
      <w:tr w:rsidR="00EA4BA0" w:rsidRPr="00A318E6" w14:paraId="155EB63A" w14:textId="77777777" w:rsidTr="004463CD">
        <w:trPr>
          <w:jc w:val="center"/>
        </w:trPr>
        <w:tc>
          <w:tcPr>
            <w:tcW w:w="0" w:type="auto"/>
            <w:hideMark/>
          </w:tcPr>
          <w:p w14:paraId="1EE36565" w14:textId="77777777" w:rsidR="00EA4BA0" w:rsidRPr="00A318E6" w:rsidRDefault="00EA4BA0" w:rsidP="004463CD">
            <w:pP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Campus</w:t>
            </w:r>
          </w:p>
        </w:tc>
        <w:tc>
          <w:tcPr>
            <w:tcW w:w="0" w:type="auto"/>
            <w:hideMark/>
          </w:tcPr>
          <w:p w14:paraId="14B5A2AB"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0.010 ± 0.002</w:t>
            </w:r>
          </w:p>
        </w:tc>
        <w:tc>
          <w:tcPr>
            <w:tcW w:w="0" w:type="auto"/>
            <w:hideMark/>
          </w:tcPr>
          <w:p w14:paraId="172E3ED5"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83.80 ± 11.19</w:t>
            </w:r>
          </w:p>
        </w:tc>
        <w:tc>
          <w:tcPr>
            <w:tcW w:w="0" w:type="auto"/>
            <w:hideMark/>
          </w:tcPr>
          <w:p w14:paraId="642D3A82"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0.103 ± 0.014</w:t>
            </w:r>
          </w:p>
        </w:tc>
        <w:tc>
          <w:tcPr>
            <w:tcW w:w="0" w:type="auto"/>
            <w:hideMark/>
          </w:tcPr>
          <w:p w14:paraId="362A71DB"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0.361 ± 0.050</w:t>
            </w:r>
          </w:p>
        </w:tc>
      </w:tr>
      <w:tr w:rsidR="00EA4BA0" w:rsidRPr="00A318E6" w14:paraId="5B8A25BA" w14:textId="77777777" w:rsidTr="004463CD">
        <w:trPr>
          <w:jc w:val="center"/>
        </w:trPr>
        <w:tc>
          <w:tcPr>
            <w:tcW w:w="0" w:type="auto"/>
            <w:hideMark/>
          </w:tcPr>
          <w:p w14:paraId="6D819679" w14:textId="77777777" w:rsidR="00EA4BA0" w:rsidRPr="00A318E6" w:rsidRDefault="00EA4BA0" w:rsidP="004463CD">
            <w:pP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Residential</w:t>
            </w:r>
          </w:p>
        </w:tc>
        <w:tc>
          <w:tcPr>
            <w:tcW w:w="0" w:type="auto"/>
            <w:hideMark/>
          </w:tcPr>
          <w:p w14:paraId="1F76A422"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0.010 ± 0.001</w:t>
            </w:r>
          </w:p>
        </w:tc>
        <w:tc>
          <w:tcPr>
            <w:tcW w:w="0" w:type="auto"/>
            <w:hideMark/>
          </w:tcPr>
          <w:p w14:paraId="25836FB7"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86.20 ± 8.21</w:t>
            </w:r>
          </w:p>
        </w:tc>
        <w:tc>
          <w:tcPr>
            <w:tcW w:w="0" w:type="auto"/>
            <w:hideMark/>
          </w:tcPr>
          <w:p w14:paraId="3E617E45"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0.106 ± 0.010</w:t>
            </w:r>
          </w:p>
        </w:tc>
        <w:tc>
          <w:tcPr>
            <w:tcW w:w="0" w:type="auto"/>
            <w:hideMark/>
          </w:tcPr>
          <w:p w14:paraId="3D35FF26"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0.370 ± 0.037</w:t>
            </w:r>
          </w:p>
        </w:tc>
      </w:tr>
      <w:tr w:rsidR="00EA4BA0" w:rsidRPr="00A318E6" w14:paraId="5191BDDE" w14:textId="77777777" w:rsidTr="004463CD">
        <w:trPr>
          <w:jc w:val="center"/>
        </w:trPr>
        <w:tc>
          <w:tcPr>
            <w:tcW w:w="0" w:type="auto"/>
            <w:hideMark/>
          </w:tcPr>
          <w:p w14:paraId="5DD63100" w14:textId="77777777" w:rsidR="00EA4BA0" w:rsidRPr="00A318E6" w:rsidRDefault="00EA4BA0" w:rsidP="004463CD">
            <w:pP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Mean ± SD (all zones)</w:t>
            </w:r>
          </w:p>
        </w:tc>
        <w:tc>
          <w:tcPr>
            <w:tcW w:w="0" w:type="auto"/>
            <w:hideMark/>
          </w:tcPr>
          <w:p w14:paraId="7D22C46F"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0.0098 ± 0.0013</w:t>
            </w:r>
          </w:p>
        </w:tc>
        <w:tc>
          <w:tcPr>
            <w:tcW w:w="0" w:type="auto"/>
            <w:hideMark/>
          </w:tcPr>
          <w:p w14:paraId="39D6C4B2"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83.08 ± 10.63</w:t>
            </w:r>
          </w:p>
        </w:tc>
        <w:tc>
          <w:tcPr>
            <w:tcW w:w="0" w:type="auto"/>
            <w:hideMark/>
          </w:tcPr>
          <w:p w14:paraId="7F44A991"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0.103 ± 0.013</w:t>
            </w:r>
          </w:p>
        </w:tc>
        <w:tc>
          <w:tcPr>
            <w:tcW w:w="0" w:type="auto"/>
            <w:hideMark/>
          </w:tcPr>
          <w:p w14:paraId="082A15C4"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0.359 ± 0.056</w:t>
            </w:r>
          </w:p>
        </w:tc>
      </w:tr>
      <w:tr w:rsidR="00EA4BA0" w:rsidRPr="00A318E6" w14:paraId="69770964" w14:textId="77777777" w:rsidTr="004463CD">
        <w:trPr>
          <w:jc w:val="center"/>
        </w:trPr>
        <w:tc>
          <w:tcPr>
            <w:tcW w:w="0" w:type="auto"/>
            <w:hideMark/>
          </w:tcPr>
          <w:p w14:paraId="5F2DDA4B" w14:textId="77777777" w:rsidR="00EA4BA0" w:rsidRPr="00A318E6" w:rsidRDefault="00EA4BA0" w:rsidP="004463CD">
            <w:pP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UNSCEAR (World average)</w:t>
            </w:r>
          </w:p>
        </w:tc>
        <w:tc>
          <w:tcPr>
            <w:tcW w:w="0" w:type="auto"/>
            <w:hideMark/>
          </w:tcPr>
          <w:p w14:paraId="7D1C579E"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0.013</w:t>
            </w:r>
          </w:p>
        </w:tc>
        <w:tc>
          <w:tcPr>
            <w:tcW w:w="0" w:type="auto"/>
            <w:hideMark/>
          </w:tcPr>
          <w:p w14:paraId="435A4993"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84.00</w:t>
            </w:r>
          </w:p>
        </w:tc>
        <w:tc>
          <w:tcPr>
            <w:tcW w:w="0" w:type="auto"/>
            <w:hideMark/>
          </w:tcPr>
          <w:p w14:paraId="79C56BEF"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0.41</w:t>
            </w:r>
          </w:p>
        </w:tc>
        <w:tc>
          <w:tcPr>
            <w:tcW w:w="0" w:type="auto"/>
            <w:hideMark/>
          </w:tcPr>
          <w:p w14:paraId="25CAA05E"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0.29</w:t>
            </w:r>
          </w:p>
        </w:tc>
      </w:tr>
    </w:tbl>
    <w:p w14:paraId="16B039F7" w14:textId="77777777" w:rsidR="00EA4BA0" w:rsidRPr="00427469" w:rsidRDefault="00EA4BA0" w:rsidP="00EA4BA0">
      <w:pPr>
        <w:spacing w:before="100" w:beforeAutospacing="1" w:after="100" w:afterAutospacing="1" w:line="240" w:lineRule="auto"/>
        <w:jc w:val="center"/>
        <w:outlineLvl w:val="2"/>
        <w:rPr>
          <w:rFonts w:ascii="Times New Roman" w:eastAsia="Times New Roman" w:hAnsi="Times New Roman" w:cs="Times New Roman"/>
          <w:b/>
          <w:bCs/>
        </w:rPr>
      </w:pPr>
      <w:r w:rsidRPr="00427469">
        <w:rPr>
          <w:rFonts w:ascii="Times New Roman" w:eastAsia="Times New Roman" w:hAnsi="Times New Roman" w:cs="Times New Roman"/>
          <w:b/>
          <w:bCs/>
        </w:rPr>
        <w:t xml:space="preserve">Table 2: Summary of Radiological Risk Parameters in </w:t>
      </w:r>
      <w:proofErr w:type="spellStart"/>
      <w:r w:rsidRPr="00427469">
        <w:rPr>
          <w:rFonts w:ascii="Times New Roman" w:eastAsia="Times New Roman" w:hAnsi="Times New Roman" w:cs="Times New Roman"/>
          <w:b/>
          <w:bCs/>
        </w:rPr>
        <w:t>Ozoro</w:t>
      </w:r>
      <w:proofErr w:type="spellEnd"/>
    </w:p>
    <w:tbl>
      <w:tblPr>
        <w:tblStyle w:val="TableGrid"/>
        <w:tblW w:w="0" w:type="auto"/>
        <w:jc w:val="center"/>
        <w:tblLook w:val="04A0" w:firstRow="1" w:lastRow="0" w:firstColumn="1" w:lastColumn="0" w:noHBand="0" w:noVBand="1"/>
      </w:tblPr>
      <w:tblGrid>
        <w:gridCol w:w="2396"/>
        <w:gridCol w:w="1395"/>
        <w:gridCol w:w="1310"/>
        <w:gridCol w:w="1419"/>
        <w:gridCol w:w="1272"/>
      </w:tblGrid>
      <w:tr w:rsidR="00EA4BA0" w:rsidRPr="00A318E6" w14:paraId="33311B5D" w14:textId="77777777" w:rsidTr="004463CD">
        <w:trPr>
          <w:jc w:val="center"/>
        </w:trPr>
        <w:tc>
          <w:tcPr>
            <w:tcW w:w="0" w:type="auto"/>
            <w:hideMark/>
          </w:tcPr>
          <w:p w14:paraId="01AC7D25" w14:textId="77777777" w:rsidR="00EA4BA0" w:rsidRPr="00A318E6" w:rsidRDefault="00EA4BA0" w:rsidP="004463CD">
            <w:pPr>
              <w:jc w:val="center"/>
              <w:rPr>
                <w:rFonts w:ascii="Times New Roman" w:eastAsia="Times New Roman" w:hAnsi="Times New Roman" w:cs="Times New Roman"/>
                <w:b/>
                <w:bCs/>
                <w:sz w:val="18"/>
                <w:szCs w:val="18"/>
              </w:rPr>
            </w:pPr>
            <w:r w:rsidRPr="00A318E6">
              <w:rPr>
                <w:rFonts w:ascii="Times New Roman" w:eastAsia="Times New Roman" w:hAnsi="Times New Roman" w:cs="Times New Roman"/>
                <w:b/>
                <w:bCs/>
                <w:sz w:val="18"/>
                <w:szCs w:val="18"/>
              </w:rPr>
              <w:t>Zone</w:t>
            </w:r>
          </w:p>
        </w:tc>
        <w:tc>
          <w:tcPr>
            <w:tcW w:w="0" w:type="auto"/>
            <w:hideMark/>
          </w:tcPr>
          <w:p w14:paraId="5149A1B3" w14:textId="77777777" w:rsidR="00EA4BA0" w:rsidRPr="00A318E6" w:rsidRDefault="00EA4BA0" w:rsidP="004463CD">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BIR (mR</w:t>
            </w:r>
            <w:r w:rsidRPr="00A318E6">
              <w:rPr>
                <w:rFonts w:ascii="Times New Roman" w:eastAsia="Times New Roman" w:hAnsi="Times New Roman" w:cs="Times New Roman"/>
                <w:b/>
                <w:bCs/>
                <w:sz w:val="18"/>
                <w:szCs w:val="18"/>
              </w:rPr>
              <w:t>h⁻¹)</w:t>
            </w:r>
          </w:p>
        </w:tc>
        <w:tc>
          <w:tcPr>
            <w:tcW w:w="0" w:type="auto"/>
            <w:hideMark/>
          </w:tcPr>
          <w:p w14:paraId="10CD1EC8" w14:textId="77777777" w:rsidR="00EA4BA0" w:rsidRPr="00A318E6" w:rsidRDefault="00EA4BA0" w:rsidP="004463CD">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ADR (nGy</w:t>
            </w:r>
            <w:r w:rsidRPr="00A318E6">
              <w:rPr>
                <w:rFonts w:ascii="Times New Roman" w:eastAsia="Times New Roman" w:hAnsi="Times New Roman" w:cs="Times New Roman"/>
                <w:b/>
                <w:bCs/>
                <w:sz w:val="18"/>
                <w:szCs w:val="18"/>
              </w:rPr>
              <w:t>h⁻¹)</w:t>
            </w:r>
          </w:p>
        </w:tc>
        <w:tc>
          <w:tcPr>
            <w:tcW w:w="0" w:type="auto"/>
            <w:hideMark/>
          </w:tcPr>
          <w:p w14:paraId="2822A577" w14:textId="77777777" w:rsidR="00EA4BA0" w:rsidRPr="00A318E6" w:rsidRDefault="00EA4BA0" w:rsidP="004463CD">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AEDE (mSv</w:t>
            </w:r>
            <w:r w:rsidRPr="00A318E6">
              <w:rPr>
                <w:rFonts w:ascii="Times New Roman" w:eastAsia="Times New Roman" w:hAnsi="Times New Roman" w:cs="Times New Roman"/>
                <w:b/>
                <w:bCs/>
                <w:sz w:val="18"/>
                <w:szCs w:val="18"/>
              </w:rPr>
              <w:t>y⁻¹)</w:t>
            </w:r>
          </w:p>
        </w:tc>
        <w:tc>
          <w:tcPr>
            <w:tcW w:w="0" w:type="auto"/>
            <w:hideMark/>
          </w:tcPr>
          <w:p w14:paraId="543292A8" w14:textId="77777777" w:rsidR="00EA4BA0" w:rsidRPr="00A318E6" w:rsidRDefault="00EA4BA0" w:rsidP="004463CD">
            <w:pPr>
              <w:jc w:val="center"/>
              <w:rPr>
                <w:rFonts w:ascii="Times New Roman" w:eastAsia="Times New Roman" w:hAnsi="Times New Roman" w:cs="Times New Roman"/>
                <w:b/>
                <w:bCs/>
                <w:sz w:val="18"/>
                <w:szCs w:val="18"/>
              </w:rPr>
            </w:pPr>
            <w:r w:rsidRPr="00A318E6">
              <w:rPr>
                <w:rFonts w:ascii="Times New Roman" w:eastAsia="Times New Roman" w:hAnsi="Times New Roman" w:cs="Times New Roman"/>
                <w:b/>
                <w:bCs/>
                <w:sz w:val="18"/>
                <w:szCs w:val="18"/>
              </w:rPr>
              <w:t>ELCR (×10⁻³)</w:t>
            </w:r>
          </w:p>
        </w:tc>
      </w:tr>
      <w:tr w:rsidR="00EA4BA0" w:rsidRPr="00A318E6" w14:paraId="558B1010" w14:textId="77777777" w:rsidTr="004463CD">
        <w:trPr>
          <w:jc w:val="center"/>
        </w:trPr>
        <w:tc>
          <w:tcPr>
            <w:tcW w:w="0" w:type="auto"/>
            <w:hideMark/>
          </w:tcPr>
          <w:p w14:paraId="7DF37A93" w14:textId="77777777" w:rsidR="00EA4BA0" w:rsidRPr="00A318E6" w:rsidRDefault="00EA4BA0" w:rsidP="004463CD">
            <w:pP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Market</w:t>
            </w:r>
          </w:p>
        </w:tc>
        <w:tc>
          <w:tcPr>
            <w:tcW w:w="0" w:type="auto"/>
            <w:hideMark/>
          </w:tcPr>
          <w:p w14:paraId="00B257A9"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0.012 ± 0.002</w:t>
            </w:r>
          </w:p>
        </w:tc>
        <w:tc>
          <w:tcPr>
            <w:tcW w:w="0" w:type="auto"/>
            <w:hideMark/>
          </w:tcPr>
          <w:p w14:paraId="54D9A46B"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103.20 ± 17.30</w:t>
            </w:r>
          </w:p>
        </w:tc>
        <w:tc>
          <w:tcPr>
            <w:tcW w:w="0" w:type="auto"/>
            <w:hideMark/>
          </w:tcPr>
          <w:p w14:paraId="3C85754A"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0.127 ± 0.021</w:t>
            </w:r>
          </w:p>
        </w:tc>
        <w:tc>
          <w:tcPr>
            <w:tcW w:w="0" w:type="auto"/>
            <w:hideMark/>
          </w:tcPr>
          <w:p w14:paraId="66F163B5"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0.445 ± 0.074</w:t>
            </w:r>
          </w:p>
        </w:tc>
      </w:tr>
      <w:tr w:rsidR="00EA4BA0" w:rsidRPr="00A318E6" w14:paraId="76E347F5" w14:textId="77777777" w:rsidTr="004463CD">
        <w:trPr>
          <w:jc w:val="center"/>
        </w:trPr>
        <w:tc>
          <w:tcPr>
            <w:tcW w:w="0" w:type="auto"/>
            <w:hideMark/>
          </w:tcPr>
          <w:p w14:paraId="52F41293" w14:textId="77777777" w:rsidR="00EA4BA0" w:rsidRPr="00A318E6" w:rsidRDefault="00EA4BA0" w:rsidP="004463CD">
            <w:pP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Bakery</w:t>
            </w:r>
          </w:p>
        </w:tc>
        <w:tc>
          <w:tcPr>
            <w:tcW w:w="0" w:type="auto"/>
            <w:hideMark/>
          </w:tcPr>
          <w:p w14:paraId="7879664B"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0.011 ± 0.001</w:t>
            </w:r>
          </w:p>
        </w:tc>
        <w:tc>
          <w:tcPr>
            <w:tcW w:w="0" w:type="auto"/>
            <w:hideMark/>
          </w:tcPr>
          <w:p w14:paraId="645643BB"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95.10 ± 9.40</w:t>
            </w:r>
          </w:p>
        </w:tc>
        <w:tc>
          <w:tcPr>
            <w:tcW w:w="0" w:type="auto"/>
            <w:hideMark/>
          </w:tcPr>
          <w:p w14:paraId="5C7139C5"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0.117 ± 0.012</w:t>
            </w:r>
          </w:p>
        </w:tc>
        <w:tc>
          <w:tcPr>
            <w:tcW w:w="0" w:type="auto"/>
            <w:hideMark/>
          </w:tcPr>
          <w:p w14:paraId="7EC2166D"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0.410 ± 0.042</w:t>
            </w:r>
          </w:p>
        </w:tc>
      </w:tr>
      <w:tr w:rsidR="00EA4BA0" w:rsidRPr="00A318E6" w14:paraId="39D64923" w14:textId="77777777" w:rsidTr="004463CD">
        <w:trPr>
          <w:jc w:val="center"/>
        </w:trPr>
        <w:tc>
          <w:tcPr>
            <w:tcW w:w="0" w:type="auto"/>
            <w:hideMark/>
          </w:tcPr>
          <w:p w14:paraId="084C85A8" w14:textId="77777777" w:rsidR="00EA4BA0" w:rsidRPr="00A318E6" w:rsidRDefault="00EA4BA0" w:rsidP="004463CD">
            <w:pP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Campus</w:t>
            </w:r>
          </w:p>
        </w:tc>
        <w:tc>
          <w:tcPr>
            <w:tcW w:w="0" w:type="auto"/>
            <w:hideMark/>
          </w:tcPr>
          <w:p w14:paraId="7AB0370C"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0.010 ± 0.002</w:t>
            </w:r>
          </w:p>
        </w:tc>
        <w:tc>
          <w:tcPr>
            <w:tcW w:w="0" w:type="auto"/>
            <w:hideMark/>
          </w:tcPr>
          <w:p w14:paraId="553CD054"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87.50 ± 15.60</w:t>
            </w:r>
          </w:p>
        </w:tc>
        <w:tc>
          <w:tcPr>
            <w:tcW w:w="0" w:type="auto"/>
            <w:hideMark/>
          </w:tcPr>
          <w:p w14:paraId="191101DB"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0.107 ± 0.019</w:t>
            </w:r>
          </w:p>
        </w:tc>
        <w:tc>
          <w:tcPr>
            <w:tcW w:w="0" w:type="auto"/>
            <w:hideMark/>
          </w:tcPr>
          <w:p w14:paraId="3C80F225"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0.374 ± 0.066</w:t>
            </w:r>
          </w:p>
        </w:tc>
      </w:tr>
      <w:tr w:rsidR="00EA4BA0" w:rsidRPr="00A318E6" w14:paraId="193A09D1" w14:textId="77777777" w:rsidTr="004463CD">
        <w:trPr>
          <w:jc w:val="center"/>
        </w:trPr>
        <w:tc>
          <w:tcPr>
            <w:tcW w:w="0" w:type="auto"/>
            <w:hideMark/>
          </w:tcPr>
          <w:p w14:paraId="6CC0996E" w14:textId="77777777" w:rsidR="00EA4BA0" w:rsidRPr="00A318E6" w:rsidRDefault="00EA4BA0" w:rsidP="004463CD">
            <w:pP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Residential</w:t>
            </w:r>
          </w:p>
        </w:tc>
        <w:tc>
          <w:tcPr>
            <w:tcW w:w="0" w:type="auto"/>
            <w:hideMark/>
          </w:tcPr>
          <w:p w14:paraId="33CB095F"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0.009 ± 0.001</w:t>
            </w:r>
          </w:p>
        </w:tc>
        <w:tc>
          <w:tcPr>
            <w:tcW w:w="0" w:type="auto"/>
            <w:hideMark/>
          </w:tcPr>
          <w:p w14:paraId="0F335775"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78.40 ± 7.90</w:t>
            </w:r>
          </w:p>
        </w:tc>
        <w:tc>
          <w:tcPr>
            <w:tcW w:w="0" w:type="auto"/>
            <w:hideMark/>
          </w:tcPr>
          <w:p w14:paraId="3FAEE418"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0.096 ± 0.010</w:t>
            </w:r>
          </w:p>
        </w:tc>
        <w:tc>
          <w:tcPr>
            <w:tcW w:w="0" w:type="auto"/>
            <w:hideMark/>
          </w:tcPr>
          <w:p w14:paraId="33713639" w14:textId="77777777" w:rsidR="00EA4BA0" w:rsidRPr="00A318E6" w:rsidRDefault="00EA4BA0" w:rsidP="004463CD">
            <w:pPr>
              <w:jc w:val="center"/>
              <w:rPr>
                <w:rFonts w:ascii="Times New Roman" w:eastAsia="Times New Roman" w:hAnsi="Times New Roman" w:cs="Times New Roman"/>
                <w:sz w:val="18"/>
                <w:szCs w:val="18"/>
              </w:rPr>
            </w:pPr>
            <w:r w:rsidRPr="00A318E6">
              <w:rPr>
                <w:rFonts w:ascii="Times New Roman" w:eastAsia="Times New Roman" w:hAnsi="Times New Roman" w:cs="Times New Roman"/>
                <w:sz w:val="18"/>
                <w:szCs w:val="18"/>
              </w:rPr>
              <w:t>0.338 ± 0.035</w:t>
            </w:r>
          </w:p>
        </w:tc>
      </w:tr>
      <w:tr w:rsidR="00EA4BA0" w:rsidRPr="00A318E6" w14:paraId="4A27D6E6" w14:textId="77777777" w:rsidTr="004463CD">
        <w:trPr>
          <w:jc w:val="center"/>
        </w:trPr>
        <w:tc>
          <w:tcPr>
            <w:tcW w:w="0" w:type="auto"/>
            <w:hideMark/>
          </w:tcPr>
          <w:p w14:paraId="629759FC" w14:textId="77777777" w:rsidR="00EA4BA0" w:rsidRPr="00A318E6" w:rsidRDefault="00EA4BA0" w:rsidP="004463CD">
            <w:pP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Mean ± SD (all zones)</w:t>
            </w:r>
          </w:p>
        </w:tc>
        <w:tc>
          <w:tcPr>
            <w:tcW w:w="0" w:type="auto"/>
            <w:hideMark/>
          </w:tcPr>
          <w:p w14:paraId="63640830"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0.0103 ± 0.0016</w:t>
            </w:r>
          </w:p>
        </w:tc>
        <w:tc>
          <w:tcPr>
            <w:tcW w:w="0" w:type="auto"/>
            <w:hideMark/>
          </w:tcPr>
          <w:p w14:paraId="0F9B0C02"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91.05 ± 12.54</w:t>
            </w:r>
          </w:p>
        </w:tc>
        <w:tc>
          <w:tcPr>
            <w:tcW w:w="0" w:type="auto"/>
            <w:hideMark/>
          </w:tcPr>
          <w:p w14:paraId="4A2851C9"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0.112 ± 0.016</w:t>
            </w:r>
          </w:p>
        </w:tc>
        <w:tc>
          <w:tcPr>
            <w:tcW w:w="0" w:type="auto"/>
            <w:hideMark/>
          </w:tcPr>
          <w:p w14:paraId="07D67A8B"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0.392 ± 0.054</w:t>
            </w:r>
          </w:p>
        </w:tc>
      </w:tr>
      <w:tr w:rsidR="00EA4BA0" w:rsidRPr="00A318E6" w14:paraId="3EDBDB3B" w14:textId="77777777" w:rsidTr="004463CD">
        <w:trPr>
          <w:jc w:val="center"/>
        </w:trPr>
        <w:tc>
          <w:tcPr>
            <w:tcW w:w="0" w:type="auto"/>
            <w:hideMark/>
          </w:tcPr>
          <w:p w14:paraId="756C1C6E" w14:textId="77777777" w:rsidR="00EA4BA0" w:rsidRPr="00A318E6" w:rsidRDefault="00EA4BA0" w:rsidP="004463CD">
            <w:pP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lastRenderedPageBreak/>
              <w:t>UNSCEAR (World average)</w:t>
            </w:r>
          </w:p>
        </w:tc>
        <w:tc>
          <w:tcPr>
            <w:tcW w:w="0" w:type="auto"/>
            <w:hideMark/>
          </w:tcPr>
          <w:p w14:paraId="4F8B90DC"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0.013</w:t>
            </w:r>
          </w:p>
        </w:tc>
        <w:tc>
          <w:tcPr>
            <w:tcW w:w="0" w:type="auto"/>
            <w:hideMark/>
          </w:tcPr>
          <w:p w14:paraId="38412D27"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84.00</w:t>
            </w:r>
          </w:p>
        </w:tc>
        <w:tc>
          <w:tcPr>
            <w:tcW w:w="0" w:type="auto"/>
            <w:hideMark/>
          </w:tcPr>
          <w:p w14:paraId="376DF3DB"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0.41</w:t>
            </w:r>
          </w:p>
        </w:tc>
        <w:tc>
          <w:tcPr>
            <w:tcW w:w="0" w:type="auto"/>
            <w:hideMark/>
          </w:tcPr>
          <w:p w14:paraId="1030E55D" w14:textId="77777777" w:rsidR="00EA4BA0" w:rsidRPr="00A318E6" w:rsidRDefault="00EA4BA0" w:rsidP="004463CD">
            <w:pPr>
              <w:jc w:val="center"/>
              <w:rPr>
                <w:rFonts w:ascii="Times New Roman" w:eastAsia="Times New Roman" w:hAnsi="Times New Roman" w:cs="Times New Roman"/>
                <w:sz w:val="18"/>
                <w:szCs w:val="18"/>
              </w:rPr>
            </w:pPr>
            <w:r w:rsidRPr="000D2E63">
              <w:rPr>
                <w:rFonts w:ascii="Times New Roman" w:eastAsia="Times New Roman" w:hAnsi="Times New Roman" w:cs="Times New Roman"/>
                <w:b/>
                <w:bCs/>
                <w:sz w:val="18"/>
                <w:szCs w:val="18"/>
              </w:rPr>
              <w:t>0.29</w:t>
            </w:r>
          </w:p>
        </w:tc>
      </w:tr>
    </w:tbl>
    <w:p w14:paraId="137633FD" w14:textId="77777777" w:rsidR="00EA4BA0" w:rsidRDefault="00EA4BA0" w:rsidP="00EA4BA0">
      <w:pPr>
        <w:spacing w:after="0" w:line="240" w:lineRule="auto"/>
        <w:rPr>
          <w:rFonts w:ascii="Times New Roman" w:eastAsia="Times New Roman" w:hAnsi="Times New Roman" w:cs="Times New Roman"/>
          <w:sz w:val="24"/>
          <w:szCs w:val="24"/>
        </w:rPr>
      </w:pPr>
    </w:p>
    <w:p w14:paraId="38B52450" w14:textId="77777777" w:rsidR="00EA4BA0" w:rsidRDefault="00EA4BA0" w:rsidP="00EA4BA0">
      <w:pPr>
        <w:pStyle w:val="Heading3"/>
        <w:jc w:val="center"/>
        <w:rPr>
          <w:rStyle w:val="Strong"/>
          <w:rFonts w:ascii="Times New Roman" w:hAnsi="Times New Roman" w:cs="Times New Roman"/>
          <w:bCs w:val="0"/>
          <w:color w:val="auto"/>
          <w:sz w:val="22"/>
          <w:szCs w:val="22"/>
        </w:rPr>
      </w:pPr>
    </w:p>
    <w:p w14:paraId="183EDBC5" w14:textId="77777777" w:rsidR="00EA4BA0" w:rsidRPr="00427469" w:rsidRDefault="00EA4BA0" w:rsidP="00EA4BA0">
      <w:pPr>
        <w:pStyle w:val="Heading3"/>
        <w:jc w:val="center"/>
        <w:rPr>
          <w:rFonts w:ascii="Times New Roman" w:hAnsi="Times New Roman" w:cs="Times New Roman"/>
          <w:color w:val="auto"/>
          <w:sz w:val="22"/>
          <w:szCs w:val="22"/>
        </w:rPr>
      </w:pPr>
      <w:r>
        <w:rPr>
          <w:rStyle w:val="Strong"/>
          <w:rFonts w:ascii="Times New Roman" w:hAnsi="Times New Roman" w:cs="Times New Roman"/>
          <w:bCs w:val="0"/>
          <w:color w:val="auto"/>
          <w:sz w:val="22"/>
          <w:szCs w:val="22"/>
        </w:rPr>
        <w:t xml:space="preserve">Table 3: </w:t>
      </w:r>
      <w:r w:rsidRPr="00427469">
        <w:rPr>
          <w:rStyle w:val="Strong"/>
          <w:rFonts w:ascii="Times New Roman" w:hAnsi="Times New Roman" w:cs="Times New Roman"/>
          <w:bCs w:val="0"/>
          <w:color w:val="auto"/>
          <w:sz w:val="22"/>
          <w:szCs w:val="22"/>
        </w:rPr>
        <w:t xml:space="preserve">Comparative Summary of Radiological Risk Parameters in Oleh and </w:t>
      </w:r>
      <w:proofErr w:type="spellStart"/>
      <w:r w:rsidRPr="00427469">
        <w:rPr>
          <w:rStyle w:val="Strong"/>
          <w:rFonts w:ascii="Times New Roman" w:hAnsi="Times New Roman" w:cs="Times New Roman"/>
          <w:bCs w:val="0"/>
          <w:color w:val="auto"/>
          <w:sz w:val="22"/>
          <w:szCs w:val="22"/>
        </w:rPr>
        <w:t>Ozoro</w:t>
      </w:r>
      <w:proofErr w:type="spellEnd"/>
    </w:p>
    <w:tbl>
      <w:tblPr>
        <w:tblStyle w:val="TableGrid"/>
        <w:tblW w:w="0" w:type="auto"/>
        <w:jc w:val="center"/>
        <w:tblLook w:val="04A0" w:firstRow="1" w:lastRow="0" w:firstColumn="1" w:lastColumn="0" w:noHBand="0" w:noVBand="1"/>
      </w:tblPr>
      <w:tblGrid>
        <w:gridCol w:w="2886"/>
        <w:gridCol w:w="1395"/>
        <w:gridCol w:w="1310"/>
        <w:gridCol w:w="1419"/>
        <w:gridCol w:w="1272"/>
      </w:tblGrid>
      <w:tr w:rsidR="00EA4BA0" w:rsidRPr="00365FC6" w14:paraId="2877099B" w14:textId="77777777" w:rsidTr="004463CD">
        <w:trPr>
          <w:jc w:val="center"/>
        </w:trPr>
        <w:tc>
          <w:tcPr>
            <w:tcW w:w="0" w:type="auto"/>
            <w:hideMark/>
          </w:tcPr>
          <w:p w14:paraId="3E81CBB7" w14:textId="77777777" w:rsidR="00EA4BA0" w:rsidRPr="00365FC6" w:rsidRDefault="00EA4BA0" w:rsidP="004463CD">
            <w:pPr>
              <w:jc w:val="center"/>
              <w:rPr>
                <w:rFonts w:ascii="Times New Roman" w:hAnsi="Times New Roman" w:cs="Times New Roman"/>
                <w:b/>
                <w:bCs/>
                <w:sz w:val="18"/>
                <w:szCs w:val="18"/>
              </w:rPr>
            </w:pPr>
            <w:r w:rsidRPr="00365FC6">
              <w:rPr>
                <w:rFonts w:ascii="Times New Roman" w:hAnsi="Times New Roman" w:cs="Times New Roman"/>
                <w:b/>
                <w:bCs/>
                <w:sz w:val="18"/>
                <w:szCs w:val="18"/>
              </w:rPr>
              <w:t>Location</w:t>
            </w:r>
          </w:p>
        </w:tc>
        <w:tc>
          <w:tcPr>
            <w:tcW w:w="0" w:type="auto"/>
            <w:hideMark/>
          </w:tcPr>
          <w:p w14:paraId="1470F955" w14:textId="77777777" w:rsidR="00EA4BA0" w:rsidRPr="00365FC6" w:rsidRDefault="00EA4BA0" w:rsidP="004463CD">
            <w:pPr>
              <w:jc w:val="center"/>
              <w:rPr>
                <w:rFonts w:ascii="Times New Roman" w:hAnsi="Times New Roman" w:cs="Times New Roman"/>
                <w:b/>
                <w:bCs/>
                <w:sz w:val="18"/>
                <w:szCs w:val="18"/>
              </w:rPr>
            </w:pPr>
            <w:r>
              <w:rPr>
                <w:rFonts w:ascii="Times New Roman" w:hAnsi="Times New Roman" w:cs="Times New Roman"/>
                <w:b/>
                <w:bCs/>
                <w:sz w:val="18"/>
                <w:szCs w:val="18"/>
              </w:rPr>
              <w:t>BIR (mR</w:t>
            </w:r>
            <w:r w:rsidRPr="00365FC6">
              <w:rPr>
                <w:rFonts w:ascii="Times New Roman" w:hAnsi="Times New Roman" w:cs="Times New Roman"/>
                <w:b/>
                <w:bCs/>
                <w:sz w:val="18"/>
                <w:szCs w:val="18"/>
              </w:rPr>
              <w:t>h⁻¹)</w:t>
            </w:r>
          </w:p>
        </w:tc>
        <w:tc>
          <w:tcPr>
            <w:tcW w:w="0" w:type="auto"/>
            <w:hideMark/>
          </w:tcPr>
          <w:p w14:paraId="4D1A0127" w14:textId="77777777" w:rsidR="00EA4BA0" w:rsidRPr="00365FC6" w:rsidRDefault="00EA4BA0" w:rsidP="004463CD">
            <w:pPr>
              <w:jc w:val="center"/>
              <w:rPr>
                <w:rFonts w:ascii="Times New Roman" w:hAnsi="Times New Roman" w:cs="Times New Roman"/>
                <w:b/>
                <w:bCs/>
                <w:sz w:val="18"/>
                <w:szCs w:val="18"/>
              </w:rPr>
            </w:pPr>
            <w:r>
              <w:rPr>
                <w:rFonts w:ascii="Times New Roman" w:hAnsi="Times New Roman" w:cs="Times New Roman"/>
                <w:b/>
                <w:bCs/>
                <w:sz w:val="18"/>
                <w:szCs w:val="18"/>
              </w:rPr>
              <w:t>ADR (nGy</w:t>
            </w:r>
            <w:r w:rsidRPr="00365FC6">
              <w:rPr>
                <w:rFonts w:ascii="Times New Roman" w:hAnsi="Times New Roman" w:cs="Times New Roman"/>
                <w:b/>
                <w:bCs/>
                <w:sz w:val="18"/>
                <w:szCs w:val="18"/>
              </w:rPr>
              <w:t>h⁻¹)</w:t>
            </w:r>
          </w:p>
        </w:tc>
        <w:tc>
          <w:tcPr>
            <w:tcW w:w="0" w:type="auto"/>
            <w:hideMark/>
          </w:tcPr>
          <w:p w14:paraId="79AB15BF" w14:textId="77777777" w:rsidR="00EA4BA0" w:rsidRPr="00365FC6" w:rsidRDefault="00EA4BA0" w:rsidP="004463CD">
            <w:pPr>
              <w:jc w:val="center"/>
              <w:rPr>
                <w:rFonts w:ascii="Times New Roman" w:hAnsi="Times New Roman" w:cs="Times New Roman"/>
                <w:b/>
                <w:bCs/>
                <w:sz w:val="18"/>
                <w:szCs w:val="18"/>
              </w:rPr>
            </w:pPr>
            <w:r>
              <w:rPr>
                <w:rFonts w:ascii="Times New Roman" w:hAnsi="Times New Roman" w:cs="Times New Roman"/>
                <w:b/>
                <w:bCs/>
                <w:sz w:val="18"/>
                <w:szCs w:val="18"/>
              </w:rPr>
              <w:t>AEDE (mSv</w:t>
            </w:r>
            <w:r w:rsidRPr="00365FC6">
              <w:rPr>
                <w:rFonts w:ascii="Times New Roman" w:hAnsi="Times New Roman" w:cs="Times New Roman"/>
                <w:b/>
                <w:bCs/>
                <w:sz w:val="18"/>
                <w:szCs w:val="18"/>
              </w:rPr>
              <w:t>y⁻¹)</w:t>
            </w:r>
          </w:p>
        </w:tc>
        <w:tc>
          <w:tcPr>
            <w:tcW w:w="0" w:type="auto"/>
            <w:hideMark/>
          </w:tcPr>
          <w:p w14:paraId="336E45C3" w14:textId="77777777" w:rsidR="00EA4BA0" w:rsidRPr="00365FC6" w:rsidRDefault="00EA4BA0" w:rsidP="004463CD">
            <w:pPr>
              <w:jc w:val="center"/>
              <w:rPr>
                <w:rFonts w:ascii="Times New Roman" w:hAnsi="Times New Roman" w:cs="Times New Roman"/>
                <w:b/>
                <w:bCs/>
                <w:sz w:val="18"/>
                <w:szCs w:val="18"/>
              </w:rPr>
            </w:pPr>
            <w:r w:rsidRPr="00365FC6">
              <w:rPr>
                <w:rFonts w:ascii="Times New Roman" w:hAnsi="Times New Roman" w:cs="Times New Roman"/>
                <w:b/>
                <w:bCs/>
                <w:sz w:val="18"/>
                <w:szCs w:val="18"/>
              </w:rPr>
              <w:t>ELCR (×10⁻³)</w:t>
            </w:r>
          </w:p>
        </w:tc>
      </w:tr>
      <w:tr w:rsidR="00EA4BA0" w:rsidRPr="00365FC6" w14:paraId="50EFFEB0" w14:textId="77777777" w:rsidTr="004463CD">
        <w:trPr>
          <w:jc w:val="center"/>
        </w:trPr>
        <w:tc>
          <w:tcPr>
            <w:tcW w:w="0" w:type="auto"/>
            <w:hideMark/>
          </w:tcPr>
          <w:p w14:paraId="79B848E3" w14:textId="77777777" w:rsidR="00EA4BA0" w:rsidRPr="00365FC6" w:rsidRDefault="00EA4BA0" w:rsidP="004463CD">
            <w:pPr>
              <w:rPr>
                <w:rFonts w:ascii="Times New Roman" w:hAnsi="Times New Roman" w:cs="Times New Roman"/>
                <w:sz w:val="18"/>
                <w:szCs w:val="18"/>
              </w:rPr>
            </w:pPr>
            <w:r w:rsidRPr="00365FC6">
              <w:rPr>
                <w:rStyle w:val="Strong"/>
                <w:rFonts w:ascii="Times New Roman" w:hAnsi="Times New Roman" w:cs="Times New Roman"/>
                <w:sz w:val="18"/>
                <w:szCs w:val="18"/>
              </w:rPr>
              <w:t>Oleh</w:t>
            </w:r>
          </w:p>
        </w:tc>
        <w:tc>
          <w:tcPr>
            <w:tcW w:w="0" w:type="auto"/>
            <w:hideMark/>
          </w:tcPr>
          <w:p w14:paraId="2DD1148B" w14:textId="77777777" w:rsidR="00EA4BA0" w:rsidRPr="00365FC6" w:rsidRDefault="00EA4BA0" w:rsidP="004463CD">
            <w:pPr>
              <w:jc w:val="center"/>
              <w:rPr>
                <w:rFonts w:ascii="Times New Roman" w:hAnsi="Times New Roman" w:cs="Times New Roman"/>
                <w:sz w:val="18"/>
                <w:szCs w:val="18"/>
              </w:rPr>
            </w:pPr>
            <w:r w:rsidRPr="00365FC6">
              <w:rPr>
                <w:rFonts w:ascii="Times New Roman" w:hAnsi="Times New Roman" w:cs="Times New Roman"/>
                <w:sz w:val="18"/>
                <w:szCs w:val="18"/>
              </w:rPr>
              <w:t>0.0098 ± 0.0013</w:t>
            </w:r>
          </w:p>
        </w:tc>
        <w:tc>
          <w:tcPr>
            <w:tcW w:w="0" w:type="auto"/>
            <w:hideMark/>
          </w:tcPr>
          <w:p w14:paraId="490DD783" w14:textId="77777777" w:rsidR="00EA4BA0" w:rsidRPr="00365FC6" w:rsidRDefault="00EA4BA0" w:rsidP="004463CD">
            <w:pPr>
              <w:jc w:val="center"/>
              <w:rPr>
                <w:rFonts w:ascii="Times New Roman" w:hAnsi="Times New Roman" w:cs="Times New Roman"/>
                <w:sz w:val="18"/>
                <w:szCs w:val="18"/>
              </w:rPr>
            </w:pPr>
            <w:r w:rsidRPr="00365FC6">
              <w:rPr>
                <w:rFonts w:ascii="Times New Roman" w:hAnsi="Times New Roman" w:cs="Times New Roman"/>
                <w:sz w:val="18"/>
                <w:szCs w:val="18"/>
              </w:rPr>
              <w:t>83.08 ± 10.63</w:t>
            </w:r>
          </w:p>
        </w:tc>
        <w:tc>
          <w:tcPr>
            <w:tcW w:w="0" w:type="auto"/>
            <w:hideMark/>
          </w:tcPr>
          <w:p w14:paraId="33118D37" w14:textId="77777777" w:rsidR="00EA4BA0" w:rsidRPr="00365FC6" w:rsidRDefault="00EA4BA0" w:rsidP="004463CD">
            <w:pPr>
              <w:jc w:val="center"/>
              <w:rPr>
                <w:rFonts w:ascii="Times New Roman" w:hAnsi="Times New Roman" w:cs="Times New Roman"/>
                <w:sz w:val="18"/>
                <w:szCs w:val="18"/>
              </w:rPr>
            </w:pPr>
            <w:r w:rsidRPr="00365FC6">
              <w:rPr>
                <w:rFonts w:ascii="Times New Roman" w:hAnsi="Times New Roman" w:cs="Times New Roman"/>
                <w:sz w:val="18"/>
                <w:szCs w:val="18"/>
              </w:rPr>
              <w:t>0.103 ± 0.013</w:t>
            </w:r>
          </w:p>
        </w:tc>
        <w:tc>
          <w:tcPr>
            <w:tcW w:w="0" w:type="auto"/>
            <w:hideMark/>
          </w:tcPr>
          <w:p w14:paraId="43633B8A" w14:textId="77777777" w:rsidR="00EA4BA0" w:rsidRPr="00365FC6" w:rsidRDefault="00EA4BA0" w:rsidP="004463CD">
            <w:pPr>
              <w:jc w:val="center"/>
              <w:rPr>
                <w:rFonts w:ascii="Times New Roman" w:hAnsi="Times New Roman" w:cs="Times New Roman"/>
                <w:sz w:val="18"/>
                <w:szCs w:val="18"/>
              </w:rPr>
            </w:pPr>
            <w:r w:rsidRPr="00365FC6">
              <w:rPr>
                <w:rFonts w:ascii="Times New Roman" w:hAnsi="Times New Roman" w:cs="Times New Roman"/>
                <w:sz w:val="18"/>
                <w:szCs w:val="18"/>
              </w:rPr>
              <w:t>0.359 ± 0.056</w:t>
            </w:r>
          </w:p>
        </w:tc>
      </w:tr>
      <w:tr w:rsidR="00EA4BA0" w:rsidRPr="00365FC6" w14:paraId="4CA88636" w14:textId="77777777" w:rsidTr="004463CD">
        <w:trPr>
          <w:jc w:val="center"/>
        </w:trPr>
        <w:tc>
          <w:tcPr>
            <w:tcW w:w="0" w:type="auto"/>
            <w:hideMark/>
          </w:tcPr>
          <w:p w14:paraId="220A92CF" w14:textId="77777777" w:rsidR="00EA4BA0" w:rsidRPr="00365FC6" w:rsidRDefault="00EA4BA0" w:rsidP="004463CD">
            <w:pPr>
              <w:rPr>
                <w:rFonts w:ascii="Times New Roman" w:hAnsi="Times New Roman" w:cs="Times New Roman"/>
                <w:sz w:val="18"/>
                <w:szCs w:val="18"/>
              </w:rPr>
            </w:pPr>
            <w:proofErr w:type="spellStart"/>
            <w:r w:rsidRPr="00365FC6">
              <w:rPr>
                <w:rStyle w:val="Strong"/>
                <w:rFonts w:ascii="Times New Roman" w:hAnsi="Times New Roman" w:cs="Times New Roman"/>
                <w:sz w:val="18"/>
                <w:szCs w:val="18"/>
              </w:rPr>
              <w:t>Ozoro</w:t>
            </w:r>
            <w:proofErr w:type="spellEnd"/>
          </w:p>
        </w:tc>
        <w:tc>
          <w:tcPr>
            <w:tcW w:w="0" w:type="auto"/>
            <w:hideMark/>
          </w:tcPr>
          <w:p w14:paraId="0AAEE61F" w14:textId="77777777" w:rsidR="00EA4BA0" w:rsidRPr="00365FC6" w:rsidRDefault="00EA4BA0" w:rsidP="004463CD">
            <w:pPr>
              <w:jc w:val="center"/>
              <w:rPr>
                <w:rFonts w:ascii="Times New Roman" w:hAnsi="Times New Roman" w:cs="Times New Roman"/>
                <w:sz w:val="18"/>
                <w:szCs w:val="18"/>
              </w:rPr>
            </w:pPr>
            <w:r w:rsidRPr="00365FC6">
              <w:rPr>
                <w:rFonts w:ascii="Times New Roman" w:hAnsi="Times New Roman" w:cs="Times New Roman"/>
                <w:sz w:val="18"/>
                <w:szCs w:val="18"/>
              </w:rPr>
              <w:t>0.0103 ± 0.0016</w:t>
            </w:r>
          </w:p>
        </w:tc>
        <w:tc>
          <w:tcPr>
            <w:tcW w:w="0" w:type="auto"/>
            <w:hideMark/>
          </w:tcPr>
          <w:p w14:paraId="72BEDB58" w14:textId="77777777" w:rsidR="00EA4BA0" w:rsidRPr="00365FC6" w:rsidRDefault="00EA4BA0" w:rsidP="004463CD">
            <w:pPr>
              <w:jc w:val="center"/>
              <w:rPr>
                <w:rFonts w:ascii="Times New Roman" w:hAnsi="Times New Roman" w:cs="Times New Roman"/>
                <w:sz w:val="18"/>
                <w:szCs w:val="18"/>
              </w:rPr>
            </w:pPr>
            <w:r w:rsidRPr="00365FC6">
              <w:rPr>
                <w:rFonts w:ascii="Times New Roman" w:hAnsi="Times New Roman" w:cs="Times New Roman"/>
                <w:sz w:val="18"/>
                <w:szCs w:val="18"/>
              </w:rPr>
              <w:t>91.05 ± 12.54</w:t>
            </w:r>
          </w:p>
        </w:tc>
        <w:tc>
          <w:tcPr>
            <w:tcW w:w="0" w:type="auto"/>
            <w:hideMark/>
          </w:tcPr>
          <w:p w14:paraId="1EF1C5FE" w14:textId="77777777" w:rsidR="00EA4BA0" w:rsidRPr="00365FC6" w:rsidRDefault="00EA4BA0" w:rsidP="004463CD">
            <w:pPr>
              <w:jc w:val="center"/>
              <w:rPr>
                <w:rFonts w:ascii="Times New Roman" w:hAnsi="Times New Roman" w:cs="Times New Roman"/>
                <w:sz w:val="18"/>
                <w:szCs w:val="18"/>
              </w:rPr>
            </w:pPr>
            <w:r w:rsidRPr="00365FC6">
              <w:rPr>
                <w:rFonts w:ascii="Times New Roman" w:hAnsi="Times New Roman" w:cs="Times New Roman"/>
                <w:sz w:val="18"/>
                <w:szCs w:val="18"/>
              </w:rPr>
              <w:t>0.112 ± 0.016</w:t>
            </w:r>
          </w:p>
        </w:tc>
        <w:tc>
          <w:tcPr>
            <w:tcW w:w="0" w:type="auto"/>
            <w:hideMark/>
          </w:tcPr>
          <w:p w14:paraId="3C45610A" w14:textId="77777777" w:rsidR="00EA4BA0" w:rsidRPr="00365FC6" w:rsidRDefault="00EA4BA0" w:rsidP="004463CD">
            <w:pPr>
              <w:jc w:val="center"/>
              <w:rPr>
                <w:rFonts w:ascii="Times New Roman" w:hAnsi="Times New Roman" w:cs="Times New Roman"/>
                <w:sz w:val="18"/>
                <w:szCs w:val="18"/>
              </w:rPr>
            </w:pPr>
            <w:r w:rsidRPr="00365FC6">
              <w:rPr>
                <w:rFonts w:ascii="Times New Roman" w:hAnsi="Times New Roman" w:cs="Times New Roman"/>
                <w:sz w:val="18"/>
                <w:szCs w:val="18"/>
              </w:rPr>
              <w:t>0.392 ± 0.054</w:t>
            </w:r>
          </w:p>
        </w:tc>
      </w:tr>
      <w:tr w:rsidR="00EA4BA0" w:rsidRPr="00365FC6" w14:paraId="66D7E849" w14:textId="77777777" w:rsidTr="004463CD">
        <w:trPr>
          <w:jc w:val="center"/>
        </w:trPr>
        <w:tc>
          <w:tcPr>
            <w:tcW w:w="0" w:type="auto"/>
            <w:hideMark/>
          </w:tcPr>
          <w:p w14:paraId="7831ADB1" w14:textId="77777777" w:rsidR="00EA4BA0" w:rsidRPr="00365FC6" w:rsidRDefault="00EA4BA0" w:rsidP="004463CD">
            <w:pPr>
              <w:rPr>
                <w:rFonts w:ascii="Times New Roman" w:hAnsi="Times New Roman" w:cs="Times New Roman"/>
                <w:sz w:val="18"/>
                <w:szCs w:val="18"/>
              </w:rPr>
            </w:pPr>
            <w:r w:rsidRPr="00365FC6">
              <w:rPr>
                <w:rStyle w:val="Strong"/>
                <w:rFonts w:ascii="Times New Roman" w:hAnsi="Times New Roman" w:cs="Times New Roman"/>
                <w:sz w:val="18"/>
                <w:szCs w:val="18"/>
              </w:rPr>
              <w:t>Overall Mean ± SD (Study Area)</w:t>
            </w:r>
          </w:p>
        </w:tc>
        <w:tc>
          <w:tcPr>
            <w:tcW w:w="0" w:type="auto"/>
            <w:hideMark/>
          </w:tcPr>
          <w:p w14:paraId="24E1449B" w14:textId="77777777" w:rsidR="00EA4BA0" w:rsidRPr="00365FC6" w:rsidRDefault="00EA4BA0" w:rsidP="004463CD">
            <w:pPr>
              <w:jc w:val="center"/>
              <w:rPr>
                <w:rFonts w:ascii="Times New Roman" w:hAnsi="Times New Roman" w:cs="Times New Roman"/>
                <w:sz w:val="18"/>
                <w:szCs w:val="18"/>
              </w:rPr>
            </w:pPr>
            <w:r w:rsidRPr="00365FC6">
              <w:rPr>
                <w:rStyle w:val="Strong"/>
                <w:rFonts w:ascii="Times New Roman" w:hAnsi="Times New Roman" w:cs="Times New Roman"/>
                <w:sz w:val="18"/>
                <w:szCs w:val="18"/>
              </w:rPr>
              <w:t>0.0101 ± 0.0014</w:t>
            </w:r>
          </w:p>
        </w:tc>
        <w:tc>
          <w:tcPr>
            <w:tcW w:w="0" w:type="auto"/>
            <w:hideMark/>
          </w:tcPr>
          <w:p w14:paraId="7111B7F6" w14:textId="77777777" w:rsidR="00EA4BA0" w:rsidRPr="00365FC6" w:rsidRDefault="00EA4BA0" w:rsidP="004463CD">
            <w:pPr>
              <w:jc w:val="center"/>
              <w:rPr>
                <w:rFonts w:ascii="Times New Roman" w:hAnsi="Times New Roman" w:cs="Times New Roman"/>
                <w:sz w:val="18"/>
                <w:szCs w:val="18"/>
              </w:rPr>
            </w:pPr>
            <w:r w:rsidRPr="00365FC6">
              <w:rPr>
                <w:rStyle w:val="Strong"/>
                <w:rFonts w:ascii="Times New Roman" w:hAnsi="Times New Roman" w:cs="Times New Roman"/>
                <w:sz w:val="18"/>
                <w:szCs w:val="18"/>
              </w:rPr>
              <w:t>87.07 ± 11.59</w:t>
            </w:r>
          </w:p>
        </w:tc>
        <w:tc>
          <w:tcPr>
            <w:tcW w:w="0" w:type="auto"/>
            <w:hideMark/>
          </w:tcPr>
          <w:p w14:paraId="4FCB4769" w14:textId="77777777" w:rsidR="00EA4BA0" w:rsidRPr="00365FC6" w:rsidRDefault="00EA4BA0" w:rsidP="004463CD">
            <w:pPr>
              <w:jc w:val="center"/>
              <w:rPr>
                <w:rFonts w:ascii="Times New Roman" w:hAnsi="Times New Roman" w:cs="Times New Roman"/>
                <w:sz w:val="18"/>
                <w:szCs w:val="18"/>
              </w:rPr>
            </w:pPr>
            <w:r w:rsidRPr="00365FC6">
              <w:rPr>
                <w:rStyle w:val="Strong"/>
                <w:rFonts w:ascii="Times New Roman" w:hAnsi="Times New Roman" w:cs="Times New Roman"/>
                <w:sz w:val="18"/>
                <w:szCs w:val="18"/>
              </w:rPr>
              <w:t>0.108 ± 0.014</w:t>
            </w:r>
          </w:p>
        </w:tc>
        <w:tc>
          <w:tcPr>
            <w:tcW w:w="0" w:type="auto"/>
            <w:hideMark/>
          </w:tcPr>
          <w:p w14:paraId="447F687A" w14:textId="77777777" w:rsidR="00EA4BA0" w:rsidRPr="00365FC6" w:rsidRDefault="00EA4BA0" w:rsidP="004463CD">
            <w:pPr>
              <w:jc w:val="center"/>
              <w:rPr>
                <w:rFonts w:ascii="Times New Roman" w:hAnsi="Times New Roman" w:cs="Times New Roman"/>
                <w:sz w:val="18"/>
                <w:szCs w:val="18"/>
              </w:rPr>
            </w:pPr>
            <w:r w:rsidRPr="00365FC6">
              <w:rPr>
                <w:rStyle w:val="Strong"/>
                <w:rFonts w:ascii="Times New Roman" w:hAnsi="Times New Roman" w:cs="Times New Roman"/>
                <w:sz w:val="18"/>
                <w:szCs w:val="18"/>
              </w:rPr>
              <w:t>0.376 ± 0.055</w:t>
            </w:r>
          </w:p>
        </w:tc>
      </w:tr>
      <w:tr w:rsidR="00EA4BA0" w:rsidRPr="00365FC6" w14:paraId="73707263" w14:textId="77777777" w:rsidTr="004463CD">
        <w:trPr>
          <w:jc w:val="center"/>
        </w:trPr>
        <w:tc>
          <w:tcPr>
            <w:tcW w:w="0" w:type="auto"/>
            <w:hideMark/>
          </w:tcPr>
          <w:p w14:paraId="03F71BCE" w14:textId="77777777" w:rsidR="00EA4BA0" w:rsidRPr="00365FC6" w:rsidRDefault="00EA4BA0" w:rsidP="004463CD">
            <w:pPr>
              <w:rPr>
                <w:rFonts w:ascii="Times New Roman" w:hAnsi="Times New Roman" w:cs="Times New Roman"/>
                <w:sz w:val="18"/>
                <w:szCs w:val="18"/>
              </w:rPr>
            </w:pPr>
            <w:r w:rsidRPr="00365FC6">
              <w:rPr>
                <w:rStyle w:val="Strong"/>
                <w:rFonts w:ascii="Times New Roman" w:hAnsi="Times New Roman" w:cs="Times New Roman"/>
                <w:sz w:val="18"/>
                <w:szCs w:val="18"/>
              </w:rPr>
              <w:t>UNSCEAR (2000, World Average)</w:t>
            </w:r>
          </w:p>
        </w:tc>
        <w:tc>
          <w:tcPr>
            <w:tcW w:w="0" w:type="auto"/>
            <w:hideMark/>
          </w:tcPr>
          <w:p w14:paraId="39F254CD" w14:textId="77777777" w:rsidR="00EA4BA0" w:rsidRPr="00365FC6" w:rsidRDefault="00EA4BA0" w:rsidP="004463CD">
            <w:pPr>
              <w:jc w:val="center"/>
              <w:rPr>
                <w:rFonts w:ascii="Times New Roman" w:hAnsi="Times New Roman" w:cs="Times New Roman"/>
                <w:sz w:val="18"/>
                <w:szCs w:val="18"/>
              </w:rPr>
            </w:pPr>
            <w:r w:rsidRPr="00365FC6">
              <w:rPr>
                <w:rStyle w:val="Strong"/>
                <w:rFonts w:ascii="Times New Roman" w:hAnsi="Times New Roman" w:cs="Times New Roman"/>
                <w:sz w:val="18"/>
                <w:szCs w:val="18"/>
              </w:rPr>
              <w:t>0.013</w:t>
            </w:r>
          </w:p>
        </w:tc>
        <w:tc>
          <w:tcPr>
            <w:tcW w:w="0" w:type="auto"/>
            <w:hideMark/>
          </w:tcPr>
          <w:p w14:paraId="20AC0156" w14:textId="77777777" w:rsidR="00EA4BA0" w:rsidRPr="00365FC6" w:rsidRDefault="00EA4BA0" w:rsidP="004463CD">
            <w:pPr>
              <w:jc w:val="center"/>
              <w:rPr>
                <w:rFonts w:ascii="Times New Roman" w:hAnsi="Times New Roman" w:cs="Times New Roman"/>
                <w:sz w:val="18"/>
                <w:szCs w:val="18"/>
              </w:rPr>
            </w:pPr>
            <w:r w:rsidRPr="00365FC6">
              <w:rPr>
                <w:rStyle w:val="Strong"/>
                <w:rFonts w:ascii="Times New Roman" w:hAnsi="Times New Roman" w:cs="Times New Roman"/>
                <w:sz w:val="18"/>
                <w:szCs w:val="18"/>
              </w:rPr>
              <w:t>84.00</w:t>
            </w:r>
          </w:p>
        </w:tc>
        <w:tc>
          <w:tcPr>
            <w:tcW w:w="0" w:type="auto"/>
            <w:hideMark/>
          </w:tcPr>
          <w:p w14:paraId="01BBF0F3" w14:textId="77777777" w:rsidR="00EA4BA0" w:rsidRPr="00365FC6" w:rsidRDefault="00EA4BA0" w:rsidP="004463CD">
            <w:pPr>
              <w:jc w:val="center"/>
              <w:rPr>
                <w:rFonts w:ascii="Times New Roman" w:hAnsi="Times New Roman" w:cs="Times New Roman"/>
                <w:sz w:val="18"/>
                <w:szCs w:val="18"/>
              </w:rPr>
            </w:pPr>
            <w:r w:rsidRPr="00365FC6">
              <w:rPr>
                <w:rStyle w:val="Strong"/>
                <w:rFonts w:ascii="Times New Roman" w:hAnsi="Times New Roman" w:cs="Times New Roman"/>
                <w:sz w:val="18"/>
                <w:szCs w:val="18"/>
              </w:rPr>
              <w:t>0.41</w:t>
            </w:r>
          </w:p>
        </w:tc>
        <w:tc>
          <w:tcPr>
            <w:tcW w:w="0" w:type="auto"/>
            <w:hideMark/>
          </w:tcPr>
          <w:p w14:paraId="2217504E" w14:textId="77777777" w:rsidR="00EA4BA0" w:rsidRPr="00365FC6" w:rsidRDefault="00EA4BA0" w:rsidP="004463CD">
            <w:pPr>
              <w:jc w:val="center"/>
              <w:rPr>
                <w:rFonts w:ascii="Times New Roman" w:hAnsi="Times New Roman" w:cs="Times New Roman"/>
                <w:sz w:val="18"/>
                <w:szCs w:val="18"/>
              </w:rPr>
            </w:pPr>
            <w:r w:rsidRPr="00365FC6">
              <w:rPr>
                <w:rStyle w:val="Strong"/>
                <w:rFonts w:ascii="Times New Roman" w:hAnsi="Times New Roman" w:cs="Times New Roman"/>
                <w:sz w:val="18"/>
                <w:szCs w:val="18"/>
              </w:rPr>
              <w:t>0.29</w:t>
            </w:r>
          </w:p>
        </w:tc>
      </w:tr>
    </w:tbl>
    <w:p w14:paraId="3BE13DB2" w14:textId="77777777" w:rsidR="00EA4BA0" w:rsidRDefault="00EA4BA0" w:rsidP="00EA4BA0">
      <w:pPr>
        <w:pStyle w:val="Heading4"/>
        <w:spacing w:line="360" w:lineRule="auto"/>
        <w:jc w:val="both"/>
        <w:rPr>
          <w:rFonts w:ascii="Times New Roman" w:hAnsi="Times New Roman" w:cs="Times New Roman"/>
          <w:i w:val="0"/>
          <w:color w:val="auto"/>
        </w:rPr>
      </w:pPr>
    </w:p>
    <w:p w14:paraId="4B08A7B6" w14:textId="77777777" w:rsidR="00686CE5" w:rsidRPr="00EA4BA0" w:rsidRDefault="00686CE5" w:rsidP="00EA4BA0">
      <w:pPr>
        <w:pStyle w:val="Heading4"/>
        <w:spacing w:line="360" w:lineRule="auto"/>
        <w:jc w:val="both"/>
        <w:rPr>
          <w:rFonts w:ascii="Times New Roman" w:hAnsi="Times New Roman" w:cs="Times New Roman"/>
          <w:i w:val="0"/>
          <w:color w:val="auto"/>
        </w:rPr>
      </w:pPr>
      <w:r w:rsidRPr="00EA4BA0">
        <w:rPr>
          <w:rFonts w:ascii="Times New Roman" w:hAnsi="Times New Roman" w:cs="Times New Roman"/>
          <w:i w:val="0"/>
          <w:color w:val="auto"/>
        </w:rPr>
        <w:t xml:space="preserve">In </w:t>
      </w:r>
      <w:proofErr w:type="spellStart"/>
      <w:r w:rsidRPr="00EA4BA0">
        <w:rPr>
          <w:rStyle w:val="Strong"/>
          <w:rFonts w:ascii="Times New Roman" w:hAnsi="Times New Roman" w:cs="Times New Roman"/>
          <w:b w:val="0"/>
          <w:i w:val="0"/>
          <w:color w:val="auto"/>
        </w:rPr>
        <w:t>Ozoro</w:t>
      </w:r>
      <w:proofErr w:type="spellEnd"/>
      <w:r w:rsidRPr="00EA4BA0">
        <w:rPr>
          <w:rFonts w:ascii="Times New Roman" w:hAnsi="Times New Roman" w:cs="Times New Roman"/>
          <w:i w:val="0"/>
          <w:color w:val="auto"/>
        </w:rPr>
        <w:t xml:space="preserve"> (Table 2), the BIR values ranged from </w:t>
      </w:r>
      <w:r w:rsidRPr="00EA4BA0">
        <w:rPr>
          <w:rStyle w:val="Strong"/>
          <w:rFonts w:ascii="Times New Roman" w:hAnsi="Times New Roman" w:cs="Times New Roman"/>
          <w:b w:val="0"/>
          <w:i w:val="0"/>
          <w:color w:val="auto"/>
        </w:rPr>
        <w:t>0.009 ± 0.001 mRh⁻¹</w:t>
      </w:r>
      <w:r w:rsidRPr="00EA4BA0">
        <w:rPr>
          <w:rFonts w:ascii="Times New Roman" w:hAnsi="Times New Roman" w:cs="Times New Roman"/>
          <w:i w:val="0"/>
          <w:color w:val="auto"/>
        </w:rPr>
        <w:t xml:space="preserve"> to </w:t>
      </w:r>
      <w:r w:rsidRPr="00EA4BA0">
        <w:rPr>
          <w:rStyle w:val="Strong"/>
          <w:rFonts w:ascii="Times New Roman" w:hAnsi="Times New Roman" w:cs="Times New Roman"/>
          <w:b w:val="0"/>
          <w:i w:val="0"/>
          <w:color w:val="auto"/>
        </w:rPr>
        <w:t>0.012 ± 0.002 mRh⁻¹</w:t>
      </w:r>
      <w:r w:rsidRPr="00EA4BA0">
        <w:rPr>
          <w:rFonts w:ascii="Times New Roman" w:hAnsi="Times New Roman" w:cs="Times New Roman"/>
          <w:i w:val="0"/>
          <w:color w:val="auto"/>
        </w:rPr>
        <w:t xml:space="preserve">, with a mean of </w:t>
      </w:r>
      <w:r w:rsidRPr="00EA4BA0">
        <w:rPr>
          <w:rStyle w:val="Strong"/>
          <w:rFonts w:ascii="Times New Roman" w:hAnsi="Times New Roman" w:cs="Times New Roman"/>
          <w:b w:val="0"/>
          <w:i w:val="0"/>
          <w:color w:val="auto"/>
        </w:rPr>
        <w:t>0.0103 ± 0.0016 mRh⁻¹</w:t>
      </w:r>
      <w:r w:rsidRPr="00EA4BA0">
        <w:rPr>
          <w:rFonts w:ascii="Times New Roman" w:hAnsi="Times New Roman" w:cs="Times New Roman"/>
          <w:i w:val="0"/>
          <w:color w:val="auto"/>
        </w:rPr>
        <w:t xml:space="preserve">, slightly higher than in Oleh. The corresponding ADR ranged from </w:t>
      </w:r>
      <w:r w:rsidRPr="00EA4BA0">
        <w:rPr>
          <w:rStyle w:val="Strong"/>
          <w:rFonts w:ascii="Times New Roman" w:hAnsi="Times New Roman" w:cs="Times New Roman"/>
          <w:b w:val="0"/>
          <w:i w:val="0"/>
          <w:color w:val="auto"/>
        </w:rPr>
        <w:t>78.40 ± 7.90 nGyh⁻¹</w:t>
      </w:r>
      <w:r w:rsidRPr="00EA4BA0">
        <w:rPr>
          <w:rFonts w:ascii="Times New Roman" w:hAnsi="Times New Roman" w:cs="Times New Roman"/>
          <w:i w:val="0"/>
          <w:color w:val="auto"/>
        </w:rPr>
        <w:t xml:space="preserve"> (Residential) to </w:t>
      </w:r>
      <w:r w:rsidRPr="00EA4BA0">
        <w:rPr>
          <w:rStyle w:val="Strong"/>
          <w:rFonts w:ascii="Times New Roman" w:hAnsi="Times New Roman" w:cs="Times New Roman"/>
          <w:b w:val="0"/>
          <w:i w:val="0"/>
          <w:color w:val="auto"/>
        </w:rPr>
        <w:t>103.20 ± 17.30 nGyh⁻¹</w:t>
      </w:r>
      <w:r w:rsidRPr="00EA4BA0">
        <w:rPr>
          <w:rFonts w:ascii="Times New Roman" w:hAnsi="Times New Roman" w:cs="Times New Roman"/>
          <w:i w:val="0"/>
          <w:color w:val="auto"/>
        </w:rPr>
        <w:t xml:space="preserve"> (Market), yielding an average of </w:t>
      </w:r>
      <w:r w:rsidRPr="00EA4BA0">
        <w:rPr>
          <w:rStyle w:val="Strong"/>
          <w:rFonts w:ascii="Times New Roman" w:hAnsi="Times New Roman" w:cs="Times New Roman"/>
          <w:b w:val="0"/>
          <w:i w:val="0"/>
          <w:color w:val="auto"/>
        </w:rPr>
        <w:t>91.05 ± 12.54 nGyh⁻¹</w:t>
      </w:r>
      <w:r w:rsidRPr="00EA4BA0">
        <w:rPr>
          <w:rFonts w:ascii="Times New Roman" w:hAnsi="Times New Roman" w:cs="Times New Roman"/>
          <w:i w:val="0"/>
          <w:color w:val="auto"/>
        </w:rPr>
        <w:t xml:space="preserve">. The higher mean ADR in </w:t>
      </w:r>
      <w:proofErr w:type="spellStart"/>
      <w:r w:rsidRPr="00EA4BA0">
        <w:rPr>
          <w:rFonts w:ascii="Times New Roman" w:hAnsi="Times New Roman" w:cs="Times New Roman"/>
          <w:i w:val="0"/>
          <w:color w:val="auto"/>
        </w:rPr>
        <w:t>Ozoro</w:t>
      </w:r>
      <w:proofErr w:type="spellEnd"/>
      <w:r w:rsidRPr="00EA4BA0">
        <w:rPr>
          <w:rFonts w:ascii="Times New Roman" w:hAnsi="Times New Roman" w:cs="Times New Roman"/>
          <w:i w:val="0"/>
          <w:color w:val="auto"/>
        </w:rPr>
        <w:t xml:space="preserve"> compared to Oleh may be attributed to its relatively elevated topography and exposed lateritic surfaces, which favor terrestrial gamma emission. The Market zone again exhibited the highest BIR, possibly due to denser human activities, the use of granitic building materials, and vehicular emissions contributing trace radionuclide aerosols</w:t>
      </w:r>
      <w:r w:rsidR="00EA4BA0">
        <w:rPr>
          <w:rStyle w:val="Emphasis"/>
          <w:rFonts w:ascii="Times New Roman" w:hAnsi="Times New Roman" w:cs="Times New Roman"/>
          <w:color w:val="auto"/>
        </w:rPr>
        <w:t xml:space="preserve">. </w:t>
      </w:r>
      <w:r w:rsidRPr="00EA4BA0">
        <w:rPr>
          <w:rFonts w:ascii="Times New Roman" w:hAnsi="Times New Roman" w:cs="Times New Roman"/>
          <w:i w:val="0"/>
          <w:color w:val="auto"/>
        </w:rPr>
        <w:t xml:space="preserve">Overall, the BIR and ADR values in both towns are </w:t>
      </w:r>
      <w:r w:rsidRPr="00EA4BA0">
        <w:rPr>
          <w:rStyle w:val="Strong"/>
          <w:rFonts w:ascii="Times New Roman" w:hAnsi="Times New Roman" w:cs="Times New Roman"/>
          <w:b w:val="0"/>
          <w:i w:val="0"/>
          <w:color w:val="auto"/>
        </w:rPr>
        <w:t>within global radiological safety thresholds</w:t>
      </w:r>
      <w:r w:rsidRPr="00EA4BA0">
        <w:rPr>
          <w:rFonts w:ascii="Times New Roman" w:hAnsi="Times New Roman" w:cs="Times New Roman"/>
          <w:i w:val="0"/>
          <w:color w:val="auto"/>
        </w:rPr>
        <w:t>, confirming that background exposure remains within normal environmental limits for public safety.</w:t>
      </w:r>
    </w:p>
    <w:p w14:paraId="2616C6FD" w14:textId="77777777" w:rsidR="001E6601" w:rsidRDefault="001E6601" w:rsidP="006C222A">
      <w:pPr>
        <w:spacing w:line="360" w:lineRule="auto"/>
        <w:jc w:val="both"/>
        <w:rPr>
          <w:rFonts w:ascii="Times New Roman" w:hAnsi="Times New Roman" w:cs="Times New Roman"/>
          <w:sz w:val="24"/>
          <w:szCs w:val="24"/>
        </w:rPr>
      </w:pPr>
    </w:p>
    <w:p w14:paraId="52DC9187" w14:textId="77777777" w:rsidR="00427469" w:rsidRDefault="00427469" w:rsidP="006C222A">
      <w:pPr>
        <w:spacing w:line="360" w:lineRule="auto"/>
        <w:jc w:val="both"/>
        <w:rPr>
          <w:rFonts w:ascii="Times New Roman" w:hAnsi="Times New Roman" w:cs="Times New Roman"/>
          <w:sz w:val="24"/>
          <w:szCs w:val="24"/>
        </w:rPr>
      </w:pPr>
    </w:p>
    <w:p w14:paraId="72C7DC07" w14:textId="77777777" w:rsidR="006E1FEE" w:rsidRDefault="006E1FEE" w:rsidP="006C222A">
      <w:pPr>
        <w:spacing w:line="360" w:lineRule="auto"/>
        <w:jc w:val="both"/>
        <w:rPr>
          <w:rFonts w:ascii="Times New Roman" w:hAnsi="Times New Roman" w:cs="Times New Roman"/>
          <w:sz w:val="24"/>
          <w:szCs w:val="24"/>
        </w:rPr>
      </w:pPr>
    </w:p>
    <w:p w14:paraId="7850FFA3" w14:textId="77777777" w:rsidR="00427469" w:rsidRDefault="00427469" w:rsidP="006C222A">
      <w:pPr>
        <w:spacing w:line="360" w:lineRule="auto"/>
        <w:jc w:val="both"/>
        <w:rPr>
          <w:rFonts w:ascii="Times New Roman" w:hAnsi="Times New Roman" w:cs="Times New Roman"/>
          <w:sz w:val="24"/>
          <w:szCs w:val="24"/>
        </w:rPr>
      </w:pPr>
    </w:p>
    <w:p w14:paraId="566BFD3C" w14:textId="77777777" w:rsidR="00C123CD" w:rsidRDefault="00C123CD" w:rsidP="00C123CD">
      <w:pPr>
        <w:pStyle w:val="Heading3"/>
        <w:spacing w:line="360" w:lineRule="auto"/>
        <w:jc w:val="both"/>
        <w:rPr>
          <w:rStyle w:val="Strong"/>
          <w:rFonts w:ascii="Times New Roman" w:hAnsi="Times New Roman" w:cs="Times New Roman"/>
          <w:bCs w:val="0"/>
          <w:color w:val="auto"/>
          <w:sz w:val="22"/>
          <w:szCs w:val="22"/>
        </w:rPr>
      </w:pPr>
      <w:r>
        <w:rPr>
          <w:rStyle w:val="Strong"/>
          <w:rFonts w:ascii="Times New Roman" w:hAnsi="Times New Roman" w:cs="Times New Roman"/>
          <w:bCs w:val="0"/>
          <w:color w:val="auto"/>
          <w:sz w:val="22"/>
          <w:szCs w:val="22"/>
        </w:rPr>
        <w:lastRenderedPageBreak/>
        <w:t xml:space="preserve">3.2. </w:t>
      </w:r>
      <w:r w:rsidRPr="00C123CD">
        <w:rPr>
          <w:rStyle w:val="Strong"/>
          <w:rFonts w:ascii="Times New Roman" w:hAnsi="Times New Roman" w:cs="Times New Roman"/>
          <w:bCs w:val="0"/>
          <w:color w:val="auto"/>
          <w:sz w:val="22"/>
          <w:szCs w:val="22"/>
        </w:rPr>
        <w:t>Annual Effective Dose Equivalent (AEDE) and Excess Lifetime Cancer Risk (ELCR)</w:t>
      </w:r>
    </w:p>
    <w:p w14:paraId="07DECBBB" w14:textId="77777777" w:rsidR="00C123CD" w:rsidRDefault="000E5774" w:rsidP="00EA4BA0">
      <w:pPr>
        <w:pStyle w:val="Heading3"/>
        <w:spacing w:line="360" w:lineRule="auto"/>
        <w:jc w:val="both"/>
        <w:rPr>
          <w:rStyle w:val="Emphasis"/>
          <w:rFonts w:ascii="Times New Roman" w:hAnsi="Times New Roman" w:cs="Times New Roman"/>
          <w:i w:val="0"/>
          <w:color w:val="auto"/>
          <w:sz w:val="22"/>
          <w:szCs w:val="22"/>
        </w:rPr>
      </w:pPr>
      <w:r w:rsidRPr="006105F9">
        <w:rPr>
          <w:noProof/>
        </w:rPr>
        <w:drawing>
          <wp:anchor distT="0" distB="0" distL="114300" distR="114300" simplePos="0" relativeHeight="251659264" behindDoc="0" locked="0" layoutInCell="1" allowOverlap="1" wp14:anchorId="05366A0B" wp14:editId="138ECC7D">
            <wp:simplePos x="0" y="0"/>
            <wp:positionH relativeFrom="column">
              <wp:posOffset>-50800</wp:posOffset>
            </wp:positionH>
            <wp:positionV relativeFrom="paragraph">
              <wp:posOffset>3651885</wp:posOffset>
            </wp:positionV>
            <wp:extent cx="5943600" cy="20142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014220"/>
                    </a:xfrm>
                    <a:prstGeom prst="rect">
                      <a:avLst/>
                    </a:prstGeom>
                  </pic:spPr>
                </pic:pic>
              </a:graphicData>
            </a:graphic>
          </wp:anchor>
        </w:drawing>
      </w:r>
      <w:r w:rsidR="00C123CD" w:rsidRPr="00C123CD">
        <w:rPr>
          <w:rFonts w:ascii="Times New Roman" w:hAnsi="Times New Roman" w:cs="Times New Roman"/>
          <w:color w:val="auto"/>
          <w:sz w:val="22"/>
          <w:szCs w:val="22"/>
        </w:rPr>
        <w:t xml:space="preserve">The estimated </w:t>
      </w:r>
      <w:r w:rsidR="00C123CD" w:rsidRPr="00C123CD">
        <w:rPr>
          <w:rStyle w:val="Strong"/>
          <w:rFonts w:ascii="Times New Roman" w:hAnsi="Times New Roman" w:cs="Times New Roman"/>
          <w:b w:val="0"/>
          <w:color w:val="auto"/>
          <w:sz w:val="22"/>
          <w:szCs w:val="22"/>
        </w:rPr>
        <w:t>Annual Effective Dose Equivalent (AEDE)</w:t>
      </w:r>
      <w:r w:rsidR="00C123CD" w:rsidRPr="00C123CD">
        <w:rPr>
          <w:rFonts w:ascii="Times New Roman" w:hAnsi="Times New Roman" w:cs="Times New Roman"/>
          <w:b/>
          <w:color w:val="auto"/>
          <w:sz w:val="22"/>
          <w:szCs w:val="22"/>
        </w:rPr>
        <w:t xml:space="preserve"> </w:t>
      </w:r>
      <w:r w:rsidR="00C123CD" w:rsidRPr="00C123CD">
        <w:rPr>
          <w:rFonts w:ascii="Times New Roman" w:hAnsi="Times New Roman" w:cs="Times New Roman"/>
          <w:color w:val="auto"/>
          <w:sz w:val="22"/>
          <w:szCs w:val="22"/>
        </w:rPr>
        <w:t xml:space="preserve">for Oleh ranged from </w:t>
      </w:r>
      <w:r w:rsidR="00C123CD" w:rsidRPr="00C123CD">
        <w:rPr>
          <w:rStyle w:val="Strong"/>
          <w:rFonts w:ascii="Times New Roman" w:hAnsi="Times New Roman" w:cs="Times New Roman"/>
          <w:b w:val="0"/>
          <w:color w:val="auto"/>
          <w:sz w:val="22"/>
          <w:szCs w:val="22"/>
        </w:rPr>
        <w:t>0.095 ± 0.022 mSvy⁻¹</w:t>
      </w:r>
      <w:r w:rsidR="00C123CD" w:rsidRPr="00C123CD">
        <w:rPr>
          <w:rFonts w:ascii="Times New Roman" w:hAnsi="Times New Roman" w:cs="Times New Roman"/>
          <w:color w:val="auto"/>
          <w:sz w:val="22"/>
          <w:szCs w:val="22"/>
        </w:rPr>
        <w:t xml:space="preserve"> to </w:t>
      </w:r>
      <w:r w:rsidR="00C123CD" w:rsidRPr="00C123CD">
        <w:rPr>
          <w:rStyle w:val="Strong"/>
          <w:rFonts w:ascii="Times New Roman" w:hAnsi="Times New Roman" w:cs="Times New Roman"/>
          <w:b w:val="0"/>
          <w:color w:val="auto"/>
          <w:sz w:val="22"/>
          <w:szCs w:val="22"/>
        </w:rPr>
        <w:t>0.107 ± 0.017 mSvy⁻¹</w:t>
      </w:r>
      <w:r w:rsidR="00C123CD">
        <w:rPr>
          <w:rFonts w:ascii="Times New Roman" w:hAnsi="Times New Roman" w:cs="Times New Roman"/>
          <w:color w:val="auto"/>
          <w:sz w:val="22"/>
          <w:szCs w:val="22"/>
        </w:rPr>
        <w:t>,</w:t>
      </w:r>
      <w:r w:rsidR="00C123CD" w:rsidRPr="00C123CD">
        <w:rPr>
          <w:rFonts w:ascii="Times New Roman" w:hAnsi="Times New Roman" w:cs="Times New Roman"/>
          <w:color w:val="auto"/>
          <w:sz w:val="22"/>
          <w:szCs w:val="22"/>
        </w:rPr>
        <w:t xml:space="preserve"> with a mean of </w:t>
      </w:r>
      <w:r w:rsidR="00C123CD" w:rsidRPr="00C123CD">
        <w:rPr>
          <w:rStyle w:val="Strong"/>
          <w:rFonts w:ascii="Times New Roman" w:hAnsi="Times New Roman" w:cs="Times New Roman"/>
          <w:b w:val="0"/>
          <w:color w:val="auto"/>
          <w:sz w:val="22"/>
          <w:szCs w:val="22"/>
        </w:rPr>
        <w:t>0.103 ± 0.013 mSvy⁻¹</w:t>
      </w:r>
      <w:r w:rsidR="00C123CD" w:rsidRPr="00C123CD">
        <w:rPr>
          <w:rFonts w:ascii="Times New Roman" w:hAnsi="Times New Roman" w:cs="Times New Roman"/>
          <w:color w:val="auto"/>
          <w:sz w:val="22"/>
          <w:szCs w:val="22"/>
        </w:rPr>
        <w:t xml:space="preserve">, whereas </w:t>
      </w:r>
      <w:proofErr w:type="spellStart"/>
      <w:r w:rsidR="00C123CD" w:rsidRPr="00C123CD">
        <w:rPr>
          <w:rFonts w:ascii="Times New Roman" w:hAnsi="Times New Roman" w:cs="Times New Roman"/>
          <w:color w:val="auto"/>
          <w:sz w:val="22"/>
          <w:szCs w:val="22"/>
        </w:rPr>
        <w:t>Ozoro</w:t>
      </w:r>
      <w:proofErr w:type="spellEnd"/>
      <w:r w:rsidR="00C123CD" w:rsidRPr="00C123CD">
        <w:rPr>
          <w:rFonts w:ascii="Times New Roman" w:hAnsi="Times New Roman" w:cs="Times New Roman"/>
          <w:color w:val="auto"/>
          <w:sz w:val="22"/>
          <w:szCs w:val="22"/>
        </w:rPr>
        <w:t xml:space="preserve"> recorded slightly higher values ranging between </w:t>
      </w:r>
      <w:r w:rsidR="00C123CD" w:rsidRPr="00C123CD">
        <w:rPr>
          <w:rStyle w:val="Strong"/>
          <w:rFonts w:ascii="Times New Roman" w:hAnsi="Times New Roman" w:cs="Times New Roman"/>
          <w:b w:val="0"/>
          <w:color w:val="auto"/>
          <w:sz w:val="22"/>
          <w:szCs w:val="22"/>
        </w:rPr>
        <w:t>0.096 ± 0.010 mSvy⁻¹</w:t>
      </w:r>
      <w:r w:rsidR="00C123CD" w:rsidRPr="00C123CD">
        <w:rPr>
          <w:rFonts w:ascii="Times New Roman" w:hAnsi="Times New Roman" w:cs="Times New Roman"/>
          <w:color w:val="auto"/>
          <w:sz w:val="22"/>
          <w:szCs w:val="22"/>
        </w:rPr>
        <w:t xml:space="preserve"> and </w:t>
      </w:r>
      <w:r w:rsidR="00C123CD" w:rsidRPr="00C123CD">
        <w:rPr>
          <w:rStyle w:val="Strong"/>
          <w:rFonts w:ascii="Times New Roman" w:hAnsi="Times New Roman" w:cs="Times New Roman"/>
          <w:b w:val="0"/>
          <w:color w:val="auto"/>
          <w:sz w:val="22"/>
          <w:szCs w:val="22"/>
        </w:rPr>
        <w:t>0.127 ± 0.021 mSvy⁻¹</w:t>
      </w:r>
      <w:r w:rsidR="00C123CD">
        <w:rPr>
          <w:rFonts w:ascii="Times New Roman" w:hAnsi="Times New Roman" w:cs="Times New Roman"/>
          <w:color w:val="auto"/>
          <w:sz w:val="22"/>
          <w:szCs w:val="22"/>
        </w:rPr>
        <w:t>,</w:t>
      </w:r>
      <w:r w:rsidR="00C123CD" w:rsidRPr="00C123CD">
        <w:rPr>
          <w:rFonts w:ascii="Times New Roman" w:hAnsi="Times New Roman" w:cs="Times New Roman"/>
          <w:color w:val="auto"/>
          <w:sz w:val="22"/>
          <w:szCs w:val="22"/>
        </w:rPr>
        <w:t xml:space="preserve"> averaging </w:t>
      </w:r>
      <w:r w:rsidR="00C123CD" w:rsidRPr="00C123CD">
        <w:rPr>
          <w:rStyle w:val="Strong"/>
          <w:rFonts w:ascii="Times New Roman" w:hAnsi="Times New Roman" w:cs="Times New Roman"/>
          <w:b w:val="0"/>
          <w:color w:val="auto"/>
          <w:sz w:val="22"/>
          <w:szCs w:val="22"/>
        </w:rPr>
        <w:t>0.112 ± 0.016 mSvy⁻¹</w:t>
      </w:r>
      <w:r w:rsidR="00C123CD" w:rsidRPr="00C123CD">
        <w:rPr>
          <w:rFonts w:ascii="Times New Roman" w:hAnsi="Times New Roman" w:cs="Times New Roman"/>
          <w:color w:val="auto"/>
          <w:sz w:val="22"/>
          <w:szCs w:val="22"/>
        </w:rPr>
        <w:t xml:space="preserve"> (Tables 1–2). The combined mean AEDE for both towns (</w:t>
      </w:r>
      <w:r w:rsidR="00C123CD" w:rsidRPr="00C123CD">
        <w:rPr>
          <w:rStyle w:val="Strong"/>
          <w:rFonts w:ascii="Times New Roman" w:hAnsi="Times New Roman" w:cs="Times New Roman"/>
          <w:b w:val="0"/>
          <w:color w:val="auto"/>
          <w:sz w:val="22"/>
          <w:szCs w:val="22"/>
        </w:rPr>
        <w:t>0.108 ± 0.014 mSvy⁻¹</w:t>
      </w:r>
      <w:r w:rsidR="00C123CD" w:rsidRPr="00C123CD">
        <w:rPr>
          <w:rFonts w:ascii="Times New Roman" w:hAnsi="Times New Roman" w:cs="Times New Roman"/>
          <w:color w:val="auto"/>
          <w:sz w:val="22"/>
          <w:szCs w:val="22"/>
        </w:rPr>
        <w:t xml:space="preserve">) is approximately </w:t>
      </w:r>
      <w:r w:rsidR="00C123CD" w:rsidRPr="00C123CD">
        <w:rPr>
          <w:rStyle w:val="Strong"/>
          <w:rFonts w:ascii="Times New Roman" w:hAnsi="Times New Roman" w:cs="Times New Roman"/>
          <w:b w:val="0"/>
          <w:color w:val="auto"/>
          <w:sz w:val="22"/>
          <w:szCs w:val="22"/>
        </w:rPr>
        <w:t>four times lower</w:t>
      </w:r>
      <w:r w:rsidR="00C123CD" w:rsidRPr="00C123CD">
        <w:rPr>
          <w:rFonts w:ascii="Times New Roman" w:hAnsi="Times New Roman" w:cs="Times New Roman"/>
          <w:color w:val="auto"/>
          <w:sz w:val="22"/>
          <w:szCs w:val="22"/>
        </w:rPr>
        <w:t xml:space="preserve"> than the UNSCEAR (2000, 2020) global outdoor average of </w:t>
      </w:r>
      <w:r w:rsidR="00C123CD" w:rsidRPr="00C123CD">
        <w:rPr>
          <w:rStyle w:val="Strong"/>
          <w:rFonts w:ascii="Times New Roman" w:hAnsi="Times New Roman" w:cs="Times New Roman"/>
          <w:b w:val="0"/>
          <w:color w:val="auto"/>
          <w:sz w:val="22"/>
          <w:szCs w:val="22"/>
        </w:rPr>
        <w:t>0.41 mSvy⁻¹</w:t>
      </w:r>
      <w:r w:rsidR="00C123CD" w:rsidRPr="00C123CD">
        <w:rPr>
          <w:rFonts w:ascii="Times New Roman" w:hAnsi="Times New Roman" w:cs="Times New Roman"/>
          <w:color w:val="auto"/>
          <w:sz w:val="22"/>
          <w:szCs w:val="22"/>
        </w:rPr>
        <w:t xml:space="preserve">, confirming that the environmental radiation burden in the study area is well within </w:t>
      </w:r>
      <w:r w:rsidR="00C123CD" w:rsidRPr="00C123CD">
        <w:rPr>
          <w:rStyle w:val="Strong"/>
          <w:rFonts w:ascii="Times New Roman" w:hAnsi="Times New Roman" w:cs="Times New Roman"/>
          <w:b w:val="0"/>
          <w:color w:val="auto"/>
          <w:sz w:val="22"/>
          <w:szCs w:val="22"/>
        </w:rPr>
        <w:t>safe exposure limits</w:t>
      </w:r>
      <w:r w:rsidR="00C123CD" w:rsidRPr="00C123CD">
        <w:rPr>
          <w:rFonts w:ascii="Times New Roman" w:hAnsi="Times New Roman" w:cs="Times New Roman"/>
          <w:color w:val="auto"/>
          <w:sz w:val="22"/>
          <w:szCs w:val="22"/>
        </w:rPr>
        <w:t xml:space="preserve"> prescribed for the public by the International Commission on Radiological Protection (ICRP, 2007).</w:t>
      </w:r>
      <w:r w:rsidR="00C123CD">
        <w:rPr>
          <w:rFonts w:ascii="Times New Roman" w:hAnsi="Times New Roman" w:cs="Times New Roman"/>
          <w:color w:val="auto"/>
          <w:sz w:val="22"/>
          <w:szCs w:val="22"/>
        </w:rPr>
        <w:t xml:space="preserve"> </w:t>
      </w:r>
      <w:r w:rsidR="00C123CD" w:rsidRPr="00C123CD">
        <w:rPr>
          <w:rFonts w:ascii="Times New Roman" w:hAnsi="Times New Roman" w:cs="Times New Roman"/>
          <w:color w:val="auto"/>
          <w:sz w:val="22"/>
          <w:szCs w:val="22"/>
        </w:rPr>
        <w:t xml:space="preserve">The corresponding </w:t>
      </w:r>
      <w:r w:rsidR="00C123CD" w:rsidRPr="00C123CD">
        <w:rPr>
          <w:rStyle w:val="Strong"/>
          <w:rFonts w:ascii="Times New Roman" w:hAnsi="Times New Roman" w:cs="Times New Roman"/>
          <w:b w:val="0"/>
          <w:color w:val="auto"/>
          <w:sz w:val="22"/>
          <w:szCs w:val="22"/>
        </w:rPr>
        <w:t>Excess Lifetime Cancer Risk (ELCR)</w:t>
      </w:r>
      <w:r w:rsidR="00C123CD" w:rsidRPr="00C123CD">
        <w:rPr>
          <w:rFonts w:ascii="Times New Roman" w:hAnsi="Times New Roman" w:cs="Times New Roman"/>
          <w:color w:val="auto"/>
          <w:sz w:val="22"/>
          <w:szCs w:val="22"/>
        </w:rPr>
        <w:t xml:space="preserve"> ranged from </w:t>
      </w:r>
      <w:r w:rsidR="00C123CD" w:rsidRPr="00C123CD">
        <w:rPr>
          <w:rStyle w:val="Strong"/>
          <w:rFonts w:ascii="Times New Roman" w:hAnsi="Times New Roman" w:cs="Times New Roman"/>
          <w:b w:val="0"/>
          <w:color w:val="auto"/>
          <w:sz w:val="22"/>
          <w:szCs w:val="22"/>
        </w:rPr>
        <w:t>0.332 ± 0.077 × 10⁻³</w:t>
      </w:r>
      <w:r w:rsidR="00C123CD" w:rsidRPr="00C123CD">
        <w:rPr>
          <w:rFonts w:ascii="Times New Roman" w:hAnsi="Times New Roman" w:cs="Times New Roman"/>
          <w:color w:val="auto"/>
          <w:sz w:val="22"/>
          <w:szCs w:val="22"/>
        </w:rPr>
        <w:t xml:space="preserve"> to </w:t>
      </w:r>
      <w:r w:rsidR="00C123CD" w:rsidRPr="00C123CD">
        <w:rPr>
          <w:rStyle w:val="Strong"/>
          <w:rFonts w:ascii="Times New Roman" w:hAnsi="Times New Roman" w:cs="Times New Roman"/>
          <w:b w:val="0"/>
          <w:color w:val="auto"/>
          <w:sz w:val="22"/>
          <w:szCs w:val="22"/>
        </w:rPr>
        <w:t>0.445 ± 0.074 × 10⁻³</w:t>
      </w:r>
      <w:r w:rsidR="00C123CD">
        <w:rPr>
          <w:rFonts w:ascii="Times New Roman" w:hAnsi="Times New Roman" w:cs="Times New Roman"/>
          <w:color w:val="auto"/>
          <w:sz w:val="22"/>
          <w:szCs w:val="22"/>
        </w:rPr>
        <w:t xml:space="preserve">, </w:t>
      </w:r>
      <w:r w:rsidR="00C123CD" w:rsidRPr="00C123CD">
        <w:rPr>
          <w:rFonts w:ascii="Times New Roman" w:hAnsi="Times New Roman" w:cs="Times New Roman"/>
          <w:color w:val="auto"/>
          <w:sz w:val="22"/>
          <w:szCs w:val="22"/>
        </w:rPr>
        <w:t xml:space="preserve">with a study-wide mean of </w:t>
      </w:r>
      <w:r w:rsidR="00C123CD" w:rsidRPr="00C123CD">
        <w:rPr>
          <w:rStyle w:val="Strong"/>
          <w:rFonts w:ascii="Times New Roman" w:hAnsi="Times New Roman" w:cs="Times New Roman"/>
          <w:b w:val="0"/>
          <w:color w:val="auto"/>
          <w:sz w:val="22"/>
          <w:szCs w:val="22"/>
        </w:rPr>
        <w:t>0.376 ± 0.055 × 10⁻³</w:t>
      </w:r>
      <w:r w:rsidR="00C123CD" w:rsidRPr="00C123CD">
        <w:rPr>
          <w:rFonts w:ascii="Times New Roman" w:hAnsi="Times New Roman" w:cs="Times New Roman"/>
          <w:color w:val="auto"/>
          <w:sz w:val="22"/>
          <w:szCs w:val="22"/>
        </w:rPr>
        <w:t xml:space="preserve">, slightly exceeding the UNSCEAR world mean of </w:t>
      </w:r>
      <w:r w:rsidR="00C123CD" w:rsidRPr="00C123CD">
        <w:rPr>
          <w:rStyle w:val="Strong"/>
          <w:rFonts w:ascii="Times New Roman" w:hAnsi="Times New Roman" w:cs="Times New Roman"/>
          <w:b w:val="0"/>
          <w:color w:val="auto"/>
          <w:sz w:val="22"/>
          <w:szCs w:val="22"/>
        </w:rPr>
        <w:t>0.29 × 10⁻³</w:t>
      </w:r>
      <w:r w:rsidR="00C123CD" w:rsidRPr="00C123CD">
        <w:rPr>
          <w:rFonts w:ascii="Times New Roman" w:hAnsi="Times New Roman" w:cs="Times New Roman"/>
          <w:color w:val="auto"/>
          <w:sz w:val="22"/>
          <w:szCs w:val="22"/>
        </w:rPr>
        <w:t xml:space="preserve">. Although marginally higher, these values still represent </w:t>
      </w:r>
      <w:r w:rsidR="00C123CD" w:rsidRPr="00C123CD">
        <w:rPr>
          <w:rStyle w:val="Strong"/>
          <w:rFonts w:ascii="Times New Roman" w:hAnsi="Times New Roman" w:cs="Times New Roman"/>
          <w:b w:val="0"/>
          <w:color w:val="auto"/>
          <w:sz w:val="22"/>
          <w:szCs w:val="22"/>
        </w:rPr>
        <w:t>tolerable stochastic risk levels</w:t>
      </w:r>
      <w:r w:rsidR="00C123CD" w:rsidRPr="00C123CD">
        <w:rPr>
          <w:rFonts w:ascii="Times New Roman" w:hAnsi="Times New Roman" w:cs="Times New Roman"/>
          <w:color w:val="auto"/>
          <w:sz w:val="22"/>
          <w:szCs w:val="22"/>
        </w:rPr>
        <w:t xml:space="preserve">, suggesting minimal probability of radiation‐induced malignancy under normal environmental exposure conditions. The modest ELCR elevation observed in </w:t>
      </w:r>
      <w:proofErr w:type="spellStart"/>
      <w:r w:rsidR="00C123CD" w:rsidRPr="00C123CD">
        <w:rPr>
          <w:rFonts w:ascii="Times New Roman" w:hAnsi="Times New Roman" w:cs="Times New Roman"/>
          <w:color w:val="auto"/>
          <w:sz w:val="22"/>
          <w:szCs w:val="22"/>
        </w:rPr>
        <w:t>Ozoro’s</w:t>
      </w:r>
      <w:proofErr w:type="spellEnd"/>
      <w:r w:rsidR="00C123CD" w:rsidRPr="00C123CD">
        <w:rPr>
          <w:rFonts w:ascii="Times New Roman" w:hAnsi="Times New Roman" w:cs="Times New Roman"/>
          <w:color w:val="auto"/>
          <w:sz w:val="22"/>
          <w:szCs w:val="22"/>
        </w:rPr>
        <w:t xml:space="preserve"> market zone may reflect enhanced terrestrial gamma flux from lateritic soils, concrete infrastructure, and high-density commercial activity.</w:t>
      </w:r>
      <w:r w:rsidR="00EA4BA0">
        <w:rPr>
          <w:rFonts w:ascii="Times New Roman" w:hAnsi="Times New Roman" w:cs="Times New Roman"/>
          <w:color w:val="auto"/>
          <w:sz w:val="22"/>
          <w:szCs w:val="22"/>
        </w:rPr>
        <w:t xml:space="preserve"> </w:t>
      </w:r>
      <w:r w:rsidR="00EA4BA0" w:rsidRPr="00EA4BA0">
        <w:rPr>
          <w:rFonts w:ascii="Times New Roman" w:hAnsi="Times New Roman" w:cs="Times New Roman"/>
          <w:color w:val="auto"/>
          <w:sz w:val="22"/>
          <w:szCs w:val="22"/>
        </w:rPr>
        <w:t>Figure 3</w:t>
      </w:r>
      <w:r w:rsidR="00EA4BA0">
        <w:rPr>
          <w:rFonts w:ascii="Times New Roman" w:hAnsi="Times New Roman" w:cs="Times New Roman"/>
          <w:color w:val="auto"/>
          <w:sz w:val="22"/>
          <w:szCs w:val="22"/>
        </w:rPr>
        <w:t>a</w:t>
      </w:r>
      <w:r w:rsidR="00EA4BA0" w:rsidRPr="00EA4BA0">
        <w:rPr>
          <w:rFonts w:ascii="Times New Roman" w:hAnsi="Times New Roman" w:cs="Times New Roman"/>
          <w:color w:val="auto"/>
          <w:sz w:val="22"/>
          <w:szCs w:val="22"/>
        </w:rPr>
        <w:t xml:space="preserve"> and Figure </w:t>
      </w:r>
      <w:r w:rsidR="00EA4BA0">
        <w:rPr>
          <w:rFonts w:ascii="Times New Roman" w:hAnsi="Times New Roman" w:cs="Times New Roman"/>
          <w:color w:val="auto"/>
          <w:sz w:val="22"/>
          <w:szCs w:val="22"/>
        </w:rPr>
        <w:t>3b</w:t>
      </w:r>
      <w:r w:rsidR="00EA4BA0" w:rsidRPr="00EA4BA0">
        <w:rPr>
          <w:rFonts w:ascii="Times New Roman" w:hAnsi="Times New Roman" w:cs="Times New Roman"/>
          <w:color w:val="auto"/>
          <w:sz w:val="22"/>
          <w:szCs w:val="22"/>
        </w:rPr>
        <w:t xml:space="preserve"> shows the</w:t>
      </w:r>
      <w:r w:rsidR="00EA4BA0" w:rsidRPr="00EA4BA0">
        <w:rPr>
          <w:rFonts w:ascii="Times New Roman" w:hAnsi="Times New Roman" w:cs="Times New Roman"/>
          <w:i/>
          <w:color w:val="auto"/>
          <w:sz w:val="22"/>
          <w:szCs w:val="22"/>
        </w:rPr>
        <w:t xml:space="preserve"> </w:t>
      </w:r>
      <w:r w:rsidR="00EA4BA0">
        <w:rPr>
          <w:rStyle w:val="Emphasis"/>
          <w:rFonts w:ascii="Times New Roman" w:hAnsi="Times New Roman" w:cs="Times New Roman"/>
          <w:i w:val="0"/>
          <w:color w:val="auto"/>
          <w:sz w:val="22"/>
          <w:szCs w:val="22"/>
        </w:rPr>
        <w:t>absorbed dose rate (ADR), annual effective dose equivalent (AEDE), and excess lifetime cancer r</w:t>
      </w:r>
      <w:r w:rsidR="00EA4BA0" w:rsidRPr="00EA4BA0">
        <w:rPr>
          <w:rStyle w:val="Emphasis"/>
          <w:rFonts w:ascii="Times New Roman" w:hAnsi="Times New Roman" w:cs="Times New Roman"/>
          <w:i w:val="0"/>
          <w:color w:val="auto"/>
          <w:sz w:val="22"/>
          <w:szCs w:val="22"/>
        </w:rPr>
        <w:t xml:space="preserve">isk (ELCR) in Oleh and </w:t>
      </w:r>
      <w:proofErr w:type="spellStart"/>
      <w:r w:rsidR="00EA4BA0" w:rsidRPr="00EA4BA0">
        <w:rPr>
          <w:rStyle w:val="Emphasis"/>
          <w:rFonts w:ascii="Times New Roman" w:hAnsi="Times New Roman" w:cs="Times New Roman"/>
          <w:i w:val="0"/>
          <w:color w:val="auto"/>
          <w:sz w:val="22"/>
          <w:szCs w:val="22"/>
        </w:rPr>
        <w:t>Ozoro</w:t>
      </w:r>
      <w:proofErr w:type="spellEnd"/>
      <w:r w:rsidR="00EA4BA0" w:rsidRPr="00EA4BA0">
        <w:rPr>
          <w:rStyle w:val="Emphasis"/>
          <w:rFonts w:ascii="Times New Roman" w:hAnsi="Times New Roman" w:cs="Times New Roman"/>
          <w:i w:val="0"/>
          <w:color w:val="auto"/>
          <w:sz w:val="22"/>
          <w:szCs w:val="22"/>
        </w:rPr>
        <w:t xml:space="preserve"> respectively</w:t>
      </w:r>
      <w:r w:rsidR="00EA4BA0">
        <w:rPr>
          <w:rStyle w:val="Emphasis"/>
          <w:rFonts w:ascii="Times New Roman" w:hAnsi="Times New Roman" w:cs="Times New Roman"/>
          <w:i w:val="0"/>
          <w:color w:val="auto"/>
          <w:sz w:val="22"/>
          <w:szCs w:val="22"/>
        </w:rPr>
        <w:t>.</w:t>
      </w:r>
    </w:p>
    <w:p w14:paraId="093A6BC0" w14:textId="77777777" w:rsidR="000E5774" w:rsidRDefault="000E5774" w:rsidP="000E5774">
      <w:pPr>
        <w:pStyle w:val="Heading4"/>
        <w:spacing w:line="360" w:lineRule="auto"/>
        <w:jc w:val="both"/>
        <w:rPr>
          <w:rStyle w:val="Emphasis"/>
          <w:rFonts w:ascii="Times New Roman" w:hAnsi="Times New Roman" w:cs="Times New Roman"/>
          <w:color w:val="auto"/>
        </w:rPr>
      </w:pPr>
      <w:r w:rsidRPr="000E5774">
        <w:rPr>
          <w:rStyle w:val="Strong"/>
          <w:rFonts w:ascii="Times New Roman" w:hAnsi="Times New Roman" w:cs="Times New Roman"/>
          <w:bCs w:val="0"/>
          <w:color w:val="auto"/>
        </w:rPr>
        <w:t>Figure 3a</w:t>
      </w:r>
      <w:r w:rsidRPr="000E5774">
        <w:rPr>
          <w:rFonts w:ascii="Times New Roman" w:hAnsi="Times New Roman" w:cs="Times New Roman"/>
          <w:i w:val="0"/>
          <w:color w:val="auto"/>
        </w:rPr>
        <w:t xml:space="preserve">: </w:t>
      </w:r>
      <w:r w:rsidRPr="000E5774">
        <w:rPr>
          <w:rStyle w:val="Emphasis"/>
          <w:rFonts w:ascii="Times New Roman" w:hAnsi="Times New Roman" w:cs="Times New Roman"/>
          <w:color w:val="auto"/>
        </w:rPr>
        <w:t>Absorbed Dose Rate (ADR), Annual Effective Dose Equivalent (AEDE), and Excess Lifetime Cancer Risk (ELCR) in Oleh</w:t>
      </w:r>
    </w:p>
    <w:p w14:paraId="21445BAD" w14:textId="77777777" w:rsidR="000E5774" w:rsidRPr="000E5774" w:rsidRDefault="000E5774" w:rsidP="000E5774"/>
    <w:p w14:paraId="567DB4CB" w14:textId="77777777" w:rsidR="00EA4BA0" w:rsidRDefault="00EA4BA0" w:rsidP="00EA4BA0"/>
    <w:p w14:paraId="2F8DAB62" w14:textId="77777777" w:rsidR="00EA4BA0" w:rsidRDefault="00EA4BA0" w:rsidP="00EA4BA0"/>
    <w:p w14:paraId="68F4AE0F" w14:textId="77777777" w:rsidR="00EA4BA0" w:rsidRDefault="00EA4BA0" w:rsidP="00EA4BA0"/>
    <w:p w14:paraId="0DC65F07" w14:textId="77777777" w:rsidR="00EA4BA0" w:rsidRDefault="00EA4BA0" w:rsidP="00EA4BA0"/>
    <w:p w14:paraId="0E384066" w14:textId="77777777" w:rsidR="00EA4BA0" w:rsidRDefault="000E5774" w:rsidP="00EA4BA0">
      <w:r w:rsidRPr="008456F5">
        <w:rPr>
          <w:noProof/>
        </w:rPr>
        <w:lastRenderedPageBreak/>
        <w:drawing>
          <wp:anchor distT="0" distB="0" distL="114300" distR="114300" simplePos="0" relativeHeight="251661312" behindDoc="0" locked="0" layoutInCell="1" allowOverlap="1" wp14:anchorId="68479C7E" wp14:editId="1E4B79BF">
            <wp:simplePos x="0" y="0"/>
            <wp:positionH relativeFrom="column">
              <wp:posOffset>-59055</wp:posOffset>
            </wp:positionH>
            <wp:positionV relativeFrom="paragraph">
              <wp:posOffset>361315</wp:posOffset>
            </wp:positionV>
            <wp:extent cx="5943600" cy="1948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948180"/>
                    </a:xfrm>
                    <a:prstGeom prst="rect">
                      <a:avLst/>
                    </a:prstGeom>
                  </pic:spPr>
                </pic:pic>
              </a:graphicData>
            </a:graphic>
          </wp:anchor>
        </w:drawing>
      </w:r>
    </w:p>
    <w:p w14:paraId="1F0B4D04" w14:textId="77777777" w:rsidR="000E5774" w:rsidRPr="000E5774" w:rsidRDefault="000E5774" w:rsidP="000E5774">
      <w:pPr>
        <w:pStyle w:val="Heading4"/>
        <w:spacing w:line="360" w:lineRule="auto"/>
        <w:jc w:val="both"/>
        <w:rPr>
          <w:rFonts w:ascii="Times New Roman" w:hAnsi="Times New Roman" w:cs="Times New Roman"/>
          <w:b/>
          <w:color w:val="auto"/>
        </w:rPr>
      </w:pPr>
      <w:r w:rsidRPr="000E5774">
        <w:rPr>
          <w:rStyle w:val="Strong"/>
          <w:rFonts w:ascii="Times New Roman" w:hAnsi="Times New Roman" w:cs="Times New Roman"/>
          <w:bCs w:val="0"/>
          <w:color w:val="auto"/>
        </w:rPr>
        <w:t>Figure 3b</w:t>
      </w:r>
      <w:r w:rsidRPr="000E5774">
        <w:rPr>
          <w:rStyle w:val="Strong"/>
          <w:rFonts w:ascii="Times New Roman" w:hAnsi="Times New Roman" w:cs="Times New Roman"/>
          <w:b w:val="0"/>
          <w:bCs w:val="0"/>
          <w:color w:val="auto"/>
        </w:rPr>
        <w:t xml:space="preserve">: </w:t>
      </w:r>
      <w:r w:rsidRPr="000E5774">
        <w:rPr>
          <w:rStyle w:val="Emphasis"/>
          <w:rFonts w:ascii="Times New Roman" w:hAnsi="Times New Roman" w:cs="Times New Roman"/>
          <w:b/>
          <w:color w:val="auto"/>
        </w:rPr>
        <w:t xml:space="preserve">Absorbed Dose Rate (ADR), Annual Effective Dose Equivalent (AEDE), and Excess Lifetime Cancer Risk (ELCR) in </w:t>
      </w:r>
      <w:proofErr w:type="spellStart"/>
      <w:r w:rsidRPr="000E5774">
        <w:rPr>
          <w:rStyle w:val="Emphasis"/>
          <w:rFonts w:ascii="Times New Roman" w:hAnsi="Times New Roman" w:cs="Times New Roman"/>
          <w:b/>
          <w:color w:val="auto"/>
        </w:rPr>
        <w:t>Ozoro</w:t>
      </w:r>
      <w:proofErr w:type="spellEnd"/>
    </w:p>
    <w:p w14:paraId="0F9662A1" w14:textId="77777777" w:rsidR="00C123CD" w:rsidRDefault="00C123CD" w:rsidP="00C123CD">
      <w:pPr>
        <w:pStyle w:val="NormalWeb"/>
        <w:spacing w:line="360" w:lineRule="auto"/>
        <w:jc w:val="both"/>
        <w:rPr>
          <w:sz w:val="22"/>
          <w:szCs w:val="22"/>
        </w:rPr>
      </w:pPr>
      <w:r w:rsidRPr="00C123CD">
        <w:rPr>
          <w:sz w:val="22"/>
          <w:szCs w:val="22"/>
        </w:rPr>
        <w:t xml:space="preserve">To better contextualize the findings, </w:t>
      </w:r>
      <w:r w:rsidRPr="00C123CD">
        <w:rPr>
          <w:rStyle w:val="Strong"/>
          <w:b w:val="0"/>
          <w:sz w:val="22"/>
          <w:szCs w:val="22"/>
        </w:rPr>
        <w:t>Table 4</w:t>
      </w:r>
      <w:r w:rsidRPr="00C123CD">
        <w:rPr>
          <w:sz w:val="22"/>
          <w:szCs w:val="22"/>
        </w:rPr>
        <w:t xml:space="preserve"> compares the AEDE and ELCR from this study with selected national and international reports. Results show that the AEDE obtained in Oleh and </w:t>
      </w:r>
      <w:proofErr w:type="spellStart"/>
      <w:r w:rsidRPr="00C123CD">
        <w:rPr>
          <w:sz w:val="22"/>
          <w:szCs w:val="22"/>
        </w:rPr>
        <w:t>Ozoro</w:t>
      </w:r>
      <w:proofErr w:type="spellEnd"/>
      <w:r w:rsidRPr="00C123CD">
        <w:rPr>
          <w:sz w:val="22"/>
          <w:szCs w:val="22"/>
        </w:rPr>
        <w:t xml:space="preserve"> (</w:t>
      </w:r>
      <w:r w:rsidRPr="00C123CD">
        <w:rPr>
          <w:rStyle w:val="Strong"/>
          <w:b w:val="0"/>
          <w:sz w:val="22"/>
          <w:szCs w:val="22"/>
        </w:rPr>
        <w:t>0.107 ± 0.015 mSvy⁻¹</w:t>
      </w:r>
      <w:r w:rsidRPr="00C123CD">
        <w:rPr>
          <w:sz w:val="22"/>
          <w:szCs w:val="22"/>
        </w:rPr>
        <w:t xml:space="preserve">) is </w:t>
      </w:r>
      <w:r w:rsidRPr="00C123CD">
        <w:rPr>
          <w:rStyle w:val="Strong"/>
          <w:b w:val="0"/>
          <w:sz w:val="22"/>
          <w:szCs w:val="22"/>
        </w:rPr>
        <w:t>comparable to other Nigerian studies</w:t>
      </w:r>
      <w:r w:rsidRPr="00C123CD">
        <w:rPr>
          <w:sz w:val="22"/>
          <w:szCs w:val="22"/>
        </w:rPr>
        <w:t xml:space="preserve"> but lower than those reported in high-activity environments such as Warri (</w:t>
      </w:r>
      <w:proofErr w:type="spellStart"/>
      <w:r w:rsidRPr="00C123CD">
        <w:rPr>
          <w:sz w:val="22"/>
          <w:szCs w:val="22"/>
        </w:rPr>
        <w:t>Agbalagba</w:t>
      </w:r>
      <w:proofErr w:type="spellEnd"/>
      <w:r w:rsidRPr="00C123CD">
        <w:rPr>
          <w:sz w:val="22"/>
          <w:szCs w:val="22"/>
        </w:rPr>
        <w:t xml:space="preserve"> &amp; </w:t>
      </w:r>
      <w:proofErr w:type="spellStart"/>
      <w:r w:rsidRPr="00C123CD">
        <w:rPr>
          <w:sz w:val="22"/>
          <w:szCs w:val="22"/>
        </w:rPr>
        <w:t>Anekwe</w:t>
      </w:r>
      <w:proofErr w:type="spellEnd"/>
      <w:r w:rsidRPr="00C123CD">
        <w:rPr>
          <w:sz w:val="22"/>
          <w:szCs w:val="22"/>
        </w:rPr>
        <w:t>, 2021) and Duhok City, Iraq (Ahmed et al., 2022). Similarly, the ELCR from this study (</w:t>
      </w:r>
      <w:r w:rsidRPr="00E971B2">
        <w:rPr>
          <w:rStyle w:val="Strong"/>
          <w:b w:val="0"/>
          <w:sz w:val="22"/>
          <w:szCs w:val="22"/>
        </w:rPr>
        <w:t>0.374 × 10⁻³</w:t>
      </w:r>
      <w:r w:rsidRPr="00C123CD">
        <w:rPr>
          <w:sz w:val="22"/>
          <w:szCs w:val="22"/>
        </w:rPr>
        <w:t>) aligns closely with values reported for Enugu (</w:t>
      </w:r>
      <w:proofErr w:type="spellStart"/>
      <w:r w:rsidRPr="00C123CD">
        <w:rPr>
          <w:sz w:val="22"/>
          <w:szCs w:val="22"/>
        </w:rPr>
        <w:t>Ugbede</w:t>
      </w:r>
      <w:proofErr w:type="spellEnd"/>
      <w:r w:rsidRPr="00C123CD">
        <w:rPr>
          <w:sz w:val="22"/>
          <w:szCs w:val="22"/>
        </w:rPr>
        <w:t xml:space="preserve"> et al., 2022) and Botswana (</w:t>
      </w:r>
      <w:proofErr w:type="spellStart"/>
      <w:r w:rsidRPr="00C123CD">
        <w:rPr>
          <w:sz w:val="22"/>
          <w:szCs w:val="22"/>
        </w:rPr>
        <w:t>Sankwasa</w:t>
      </w:r>
      <w:proofErr w:type="spellEnd"/>
      <w:r w:rsidRPr="00C123CD">
        <w:rPr>
          <w:sz w:val="22"/>
          <w:szCs w:val="22"/>
        </w:rPr>
        <w:t xml:space="preserve"> et al., 2023), but remains significantly below the threshold of concern for radiological health</w:t>
      </w:r>
      <w:r w:rsidR="007C39D9">
        <w:rPr>
          <w:sz w:val="22"/>
          <w:szCs w:val="22"/>
        </w:rPr>
        <w:t xml:space="preserve"> (Figure 4)</w:t>
      </w:r>
      <w:r w:rsidRPr="00C123CD">
        <w:rPr>
          <w:sz w:val="22"/>
          <w:szCs w:val="22"/>
        </w:rPr>
        <w:t>.</w:t>
      </w:r>
      <w:r w:rsidR="00E971B2">
        <w:rPr>
          <w:sz w:val="22"/>
          <w:szCs w:val="22"/>
        </w:rPr>
        <w:t xml:space="preserve"> </w:t>
      </w:r>
      <w:r w:rsidRPr="00C123CD">
        <w:rPr>
          <w:sz w:val="22"/>
          <w:szCs w:val="22"/>
        </w:rPr>
        <w:t>The lower AEDE and ELCR values recorded in the present study compared to earlier reports from oil‐impacted environments (</w:t>
      </w:r>
      <w:proofErr w:type="spellStart"/>
      <w:r w:rsidRPr="00C123CD">
        <w:rPr>
          <w:sz w:val="22"/>
          <w:szCs w:val="22"/>
        </w:rPr>
        <w:t>Agbalagba</w:t>
      </w:r>
      <w:proofErr w:type="spellEnd"/>
      <w:r w:rsidRPr="00C123CD">
        <w:rPr>
          <w:sz w:val="22"/>
          <w:szCs w:val="22"/>
        </w:rPr>
        <w:t xml:space="preserve"> &amp; </w:t>
      </w:r>
      <w:proofErr w:type="spellStart"/>
      <w:r w:rsidRPr="00C123CD">
        <w:rPr>
          <w:sz w:val="22"/>
          <w:szCs w:val="22"/>
        </w:rPr>
        <w:t>Anekwe</w:t>
      </w:r>
      <w:proofErr w:type="spellEnd"/>
      <w:r w:rsidRPr="00C123CD">
        <w:rPr>
          <w:sz w:val="22"/>
          <w:szCs w:val="22"/>
        </w:rPr>
        <w:t xml:space="preserve">, 2021; </w:t>
      </w:r>
      <w:proofErr w:type="spellStart"/>
      <w:r w:rsidRPr="00C123CD">
        <w:rPr>
          <w:sz w:val="22"/>
          <w:szCs w:val="22"/>
        </w:rPr>
        <w:t>Oke</w:t>
      </w:r>
      <w:proofErr w:type="spellEnd"/>
      <w:r w:rsidRPr="00C123CD">
        <w:rPr>
          <w:sz w:val="22"/>
          <w:szCs w:val="22"/>
        </w:rPr>
        <w:t xml:space="preserve"> et al., 2024) underscore the </w:t>
      </w:r>
      <w:r w:rsidRPr="00E971B2">
        <w:rPr>
          <w:rStyle w:val="Strong"/>
          <w:b w:val="0"/>
          <w:sz w:val="22"/>
          <w:szCs w:val="22"/>
        </w:rPr>
        <w:t>moderate radiological conditions of inland urban centers</w:t>
      </w:r>
      <w:r w:rsidRPr="00C123CD">
        <w:rPr>
          <w:sz w:val="22"/>
          <w:szCs w:val="22"/>
        </w:rPr>
        <w:t xml:space="preserve"> such as Oleh and </w:t>
      </w:r>
      <w:proofErr w:type="spellStart"/>
      <w:r w:rsidRPr="00C123CD">
        <w:rPr>
          <w:sz w:val="22"/>
          <w:szCs w:val="22"/>
        </w:rPr>
        <w:t>Ozoro</w:t>
      </w:r>
      <w:proofErr w:type="spellEnd"/>
      <w:r w:rsidRPr="00C123CD">
        <w:rPr>
          <w:sz w:val="22"/>
          <w:szCs w:val="22"/>
        </w:rPr>
        <w:t xml:space="preserve">, which are less directly influenced by petroleum extraction or mineral processing. Conversely, the slightly higher ELCR relative to the UNSCEAR global mean may be attributed to </w:t>
      </w:r>
      <w:r w:rsidRPr="00E971B2">
        <w:rPr>
          <w:rStyle w:val="Strong"/>
          <w:b w:val="0"/>
          <w:sz w:val="22"/>
          <w:szCs w:val="22"/>
        </w:rPr>
        <w:t>localized terrestrial gamma variations</w:t>
      </w:r>
      <w:r w:rsidRPr="00C123CD">
        <w:rPr>
          <w:sz w:val="22"/>
          <w:szCs w:val="22"/>
        </w:rPr>
        <w:t xml:space="preserve"> arising from natural lithologic enrichment within the Benin and Agbada Formations of the Niger Delta basin.</w:t>
      </w:r>
    </w:p>
    <w:p w14:paraId="17527B9B" w14:textId="77777777" w:rsidR="007C39D9" w:rsidRDefault="007C39D9" w:rsidP="00E971B2">
      <w:pPr>
        <w:pStyle w:val="Heading3"/>
        <w:spacing w:line="360" w:lineRule="auto"/>
        <w:jc w:val="both"/>
        <w:rPr>
          <w:rStyle w:val="Strong"/>
          <w:rFonts w:ascii="Times New Roman" w:hAnsi="Times New Roman" w:cs="Times New Roman"/>
          <w:bCs w:val="0"/>
          <w:color w:val="auto"/>
          <w:sz w:val="22"/>
          <w:szCs w:val="22"/>
        </w:rPr>
      </w:pPr>
    </w:p>
    <w:p w14:paraId="525C96DD" w14:textId="77777777" w:rsidR="00E971B2" w:rsidRPr="00E971B2" w:rsidRDefault="0030655F" w:rsidP="00E971B2">
      <w:pPr>
        <w:pStyle w:val="Heading3"/>
        <w:spacing w:line="360" w:lineRule="auto"/>
        <w:jc w:val="both"/>
        <w:rPr>
          <w:rFonts w:ascii="Times New Roman" w:hAnsi="Times New Roman" w:cs="Times New Roman"/>
          <w:color w:val="auto"/>
          <w:sz w:val="22"/>
          <w:szCs w:val="22"/>
        </w:rPr>
      </w:pPr>
      <w:r w:rsidRPr="00D6783F">
        <w:rPr>
          <w:rFonts w:ascii="Times New Roman" w:hAnsi="Times New Roman" w:cs="Times New Roman"/>
          <w:noProof/>
        </w:rPr>
        <w:drawing>
          <wp:anchor distT="0" distB="0" distL="114300" distR="114300" simplePos="0" relativeHeight="251663360" behindDoc="0" locked="0" layoutInCell="1" allowOverlap="1" wp14:anchorId="508A6469" wp14:editId="683AE9AF">
            <wp:simplePos x="0" y="0"/>
            <wp:positionH relativeFrom="column">
              <wp:posOffset>41910</wp:posOffset>
            </wp:positionH>
            <wp:positionV relativeFrom="paragraph">
              <wp:posOffset>3027045</wp:posOffset>
            </wp:positionV>
            <wp:extent cx="5943600" cy="27432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743200"/>
                    </a:xfrm>
                    <a:prstGeom prst="rect">
                      <a:avLst/>
                    </a:prstGeom>
                  </pic:spPr>
                </pic:pic>
              </a:graphicData>
            </a:graphic>
            <wp14:sizeRelV relativeFrom="margin">
              <wp14:pctHeight>0</wp14:pctHeight>
            </wp14:sizeRelV>
          </wp:anchor>
        </w:drawing>
      </w:r>
      <w:r w:rsidR="00E971B2" w:rsidRPr="00E971B2">
        <w:rPr>
          <w:rStyle w:val="Strong"/>
          <w:rFonts w:ascii="Times New Roman" w:hAnsi="Times New Roman" w:cs="Times New Roman"/>
          <w:bCs w:val="0"/>
          <w:color w:val="auto"/>
          <w:sz w:val="22"/>
          <w:szCs w:val="22"/>
        </w:rPr>
        <w:t>Table 4: Comparative Annual Effective Dose Equivalent (AEDE) and Excess Lifetime Cancer Risk (ELCR) Reported in Selected Studies</w:t>
      </w:r>
    </w:p>
    <w:tbl>
      <w:tblPr>
        <w:tblStyle w:val="TableGrid"/>
        <w:tblW w:w="10165" w:type="dxa"/>
        <w:tblLook w:val="04A0" w:firstRow="1" w:lastRow="0" w:firstColumn="1" w:lastColumn="0" w:noHBand="0" w:noVBand="1"/>
      </w:tblPr>
      <w:tblGrid>
        <w:gridCol w:w="1693"/>
        <w:gridCol w:w="2405"/>
        <w:gridCol w:w="1747"/>
        <w:gridCol w:w="1350"/>
        <w:gridCol w:w="2970"/>
      </w:tblGrid>
      <w:tr w:rsidR="00E971B2" w:rsidRPr="004D7581" w14:paraId="1B475BC0" w14:textId="77777777" w:rsidTr="00014E84">
        <w:tc>
          <w:tcPr>
            <w:tcW w:w="0" w:type="auto"/>
            <w:hideMark/>
          </w:tcPr>
          <w:p w14:paraId="451486E8" w14:textId="77777777" w:rsidR="00E971B2" w:rsidRPr="004D7581" w:rsidRDefault="00E971B2" w:rsidP="00014E84">
            <w:pPr>
              <w:jc w:val="center"/>
              <w:rPr>
                <w:rFonts w:ascii="Times New Roman" w:hAnsi="Times New Roman" w:cs="Times New Roman"/>
                <w:b/>
                <w:bCs/>
                <w:sz w:val="18"/>
                <w:szCs w:val="18"/>
              </w:rPr>
            </w:pPr>
            <w:r w:rsidRPr="004D7581">
              <w:rPr>
                <w:rFonts w:ascii="Times New Roman" w:hAnsi="Times New Roman" w:cs="Times New Roman"/>
                <w:b/>
                <w:bCs/>
                <w:sz w:val="18"/>
                <w:szCs w:val="18"/>
              </w:rPr>
              <w:t>Study</w:t>
            </w:r>
          </w:p>
        </w:tc>
        <w:tc>
          <w:tcPr>
            <w:tcW w:w="0" w:type="auto"/>
            <w:hideMark/>
          </w:tcPr>
          <w:p w14:paraId="3F885E54" w14:textId="77777777" w:rsidR="00E971B2" w:rsidRPr="004D7581" w:rsidRDefault="00E971B2" w:rsidP="00014E84">
            <w:pPr>
              <w:jc w:val="center"/>
              <w:rPr>
                <w:rFonts w:ascii="Times New Roman" w:hAnsi="Times New Roman" w:cs="Times New Roman"/>
                <w:b/>
                <w:bCs/>
                <w:sz w:val="18"/>
                <w:szCs w:val="18"/>
              </w:rPr>
            </w:pPr>
            <w:r w:rsidRPr="004D7581">
              <w:rPr>
                <w:rFonts w:ascii="Times New Roman" w:hAnsi="Times New Roman" w:cs="Times New Roman"/>
                <w:b/>
                <w:bCs/>
                <w:sz w:val="18"/>
                <w:szCs w:val="18"/>
              </w:rPr>
              <w:t>Location / Region</w:t>
            </w:r>
          </w:p>
        </w:tc>
        <w:tc>
          <w:tcPr>
            <w:tcW w:w="1747" w:type="dxa"/>
            <w:hideMark/>
          </w:tcPr>
          <w:p w14:paraId="6D979381" w14:textId="77777777" w:rsidR="00E971B2" w:rsidRPr="004D7581" w:rsidRDefault="00E971B2" w:rsidP="00014E84">
            <w:pPr>
              <w:jc w:val="center"/>
              <w:rPr>
                <w:rFonts w:ascii="Times New Roman" w:hAnsi="Times New Roman" w:cs="Times New Roman"/>
                <w:b/>
                <w:bCs/>
                <w:sz w:val="18"/>
                <w:szCs w:val="18"/>
              </w:rPr>
            </w:pPr>
            <w:r>
              <w:rPr>
                <w:rFonts w:ascii="Times New Roman" w:hAnsi="Times New Roman" w:cs="Times New Roman"/>
                <w:b/>
                <w:bCs/>
                <w:sz w:val="18"/>
                <w:szCs w:val="18"/>
              </w:rPr>
              <w:t>AEDE (mSv</w:t>
            </w:r>
            <w:r w:rsidRPr="004D7581">
              <w:rPr>
                <w:rFonts w:ascii="Times New Roman" w:hAnsi="Times New Roman" w:cs="Times New Roman"/>
                <w:b/>
                <w:bCs/>
                <w:sz w:val="18"/>
                <w:szCs w:val="18"/>
              </w:rPr>
              <w:t>y⁻¹)</w:t>
            </w:r>
          </w:p>
        </w:tc>
        <w:tc>
          <w:tcPr>
            <w:tcW w:w="1350" w:type="dxa"/>
            <w:hideMark/>
          </w:tcPr>
          <w:p w14:paraId="6B02B7A4" w14:textId="77777777" w:rsidR="00E971B2" w:rsidRPr="004D7581" w:rsidRDefault="00E971B2" w:rsidP="00014E84">
            <w:pPr>
              <w:jc w:val="center"/>
              <w:rPr>
                <w:rFonts w:ascii="Times New Roman" w:hAnsi="Times New Roman" w:cs="Times New Roman"/>
                <w:b/>
                <w:bCs/>
                <w:sz w:val="18"/>
                <w:szCs w:val="18"/>
              </w:rPr>
            </w:pPr>
            <w:r w:rsidRPr="004D7581">
              <w:rPr>
                <w:rFonts w:ascii="Times New Roman" w:hAnsi="Times New Roman" w:cs="Times New Roman"/>
                <w:b/>
                <w:bCs/>
                <w:sz w:val="18"/>
                <w:szCs w:val="18"/>
              </w:rPr>
              <w:t>ELCR (× 10⁻³)</w:t>
            </w:r>
          </w:p>
        </w:tc>
        <w:tc>
          <w:tcPr>
            <w:tcW w:w="2970" w:type="dxa"/>
            <w:hideMark/>
          </w:tcPr>
          <w:p w14:paraId="624C117A" w14:textId="77777777" w:rsidR="00E971B2" w:rsidRPr="004D7581" w:rsidRDefault="00E971B2" w:rsidP="00014E84">
            <w:pPr>
              <w:jc w:val="center"/>
              <w:rPr>
                <w:rFonts w:ascii="Times New Roman" w:hAnsi="Times New Roman" w:cs="Times New Roman"/>
                <w:b/>
                <w:bCs/>
                <w:sz w:val="18"/>
                <w:szCs w:val="18"/>
              </w:rPr>
            </w:pPr>
            <w:r w:rsidRPr="004D7581">
              <w:rPr>
                <w:rFonts w:ascii="Times New Roman" w:hAnsi="Times New Roman" w:cs="Times New Roman"/>
                <w:b/>
                <w:bCs/>
                <w:sz w:val="18"/>
                <w:szCs w:val="18"/>
              </w:rPr>
              <w:t>Remarks / Key Findings</w:t>
            </w:r>
          </w:p>
        </w:tc>
      </w:tr>
      <w:tr w:rsidR="00E971B2" w:rsidRPr="004D7581" w14:paraId="58062D32" w14:textId="77777777" w:rsidTr="00014E84">
        <w:tc>
          <w:tcPr>
            <w:tcW w:w="0" w:type="auto"/>
            <w:hideMark/>
          </w:tcPr>
          <w:p w14:paraId="1B9793D8" w14:textId="77777777" w:rsidR="00E971B2" w:rsidRPr="004D7581" w:rsidRDefault="00E971B2" w:rsidP="00014E84">
            <w:pPr>
              <w:rPr>
                <w:rFonts w:ascii="Times New Roman" w:hAnsi="Times New Roman" w:cs="Times New Roman"/>
                <w:sz w:val="18"/>
                <w:szCs w:val="18"/>
              </w:rPr>
            </w:pPr>
            <w:proofErr w:type="spellStart"/>
            <w:r w:rsidRPr="004D7581">
              <w:rPr>
                <w:rStyle w:val="Strong"/>
                <w:rFonts w:ascii="Times New Roman" w:hAnsi="Times New Roman" w:cs="Times New Roman"/>
                <w:sz w:val="18"/>
                <w:szCs w:val="18"/>
              </w:rPr>
              <w:t>Agbalagba</w:t>
            </w:r>
            <w:proofErr w:type="spellEnd"/>
            <w:r w:rsidRPr="004D7581">
              <w:rPr>
                <w:rStyle w:val="Strong"/>
                <w:rFonts w:ascii="Times New Roman" w:hAnsi="Times New Roman" w:cs="Times New Roman"/>
                <w:sz w:val="18"/>
                <w:szCs w:val="18"/>
              </w:rPr>
              <w:t xml:space="preserve"> &amp; </w:t>
            </w:r>
            <w:proofErr w:type="spellStart"/>
            <w:r w:rsidRPr="004D7581">
              <w:rPr>
                <w:rStyle w:val="Strong"/>
                <w:rFonts w:ascii="Times New Roman" w:hAnsi="Times New Roman" w:cs="Times New Roman"/>
                <w:sz w:val="18"/>
                <w:szCs w:val="18"/>
              </w:rPr>
              <w:t>Anekwe</w:t>
            </w:r>
            <w:proofErr w:type="spellEnd"/>
            <w:r w:rsidRPr="004D7581">
              <w:rPr>
                <w:rStyle w:val="Strong"/>
                <w:rFonts w:ascii="Times New Roman" w:hAnsi="Times New Roman" w:cs="Times New Roman"/>
                <w:sz w:val="18"/>
                <w:szCs w:val="18"/>
              </w:rPr>
              <w:t xml:space="preserve"> (2021)</w:t>
            </w:r>
          </w:p>
        </w:tc>
        <w:tc>
          <w:tcPr>
            <w:tcW w:w="0" w:type="auto"/>
            <w:hideMark/>
          </w:tcPr>
          <w:p w14:paraId="210F76B3"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Warri Metropolis, Delta State (Nigeria)</w:t>
            </w:r>
          </w:p>
        </w:tc>
        <w:tc>
          <w:tcPr>
            <w:tcW w:w="1747" w:type="dxa"/>
            <w:hideMark/>
          </w:tcPr>
          <w:p w14:paraId="69497177"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0.16 ± 0.04</w:t>
            </w:r>
          </w:p>
        </w:tc>
        <w:tc>
          <w:tcPr>
            <w:tcW w:w="1350" w:type="dxa"/>
            <w:hideMark/>
          </w:tcPr>
          <w:p w14:paraId="4192C429"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0.56 ± 0.01</w:t>
            </w:r>
          </w:p>
        </w:tc>
        <w:tc>
          <w:tcPr>
            <w:tcW w:w="2970" w:type="dxa"/>
            <w:hideMark/>
          </w:tcPr>
          <w:p w14:paraId="367C423F" w14:textId="77777777" w:rsidR="00E971B2" w:rsidRPr="004D7581" w:rsidRDefault="00E971B2" w:rsidP="00014E84">
            <w:pPr>
              <w:rPr>
                <w:rFonts w:ascii="Times New Roman" w:hAnsi="Times New Roman" w:cs="Times New Roman"/>
                <w:sz w:val="18"/>
                <w:szCs w:val="18"/>
              </w:rPr>
            </w:pPr>
            <w:r w:rsidRPr="004D7581">
              <w:rPr>
                <w:rFonts w:ascii="Times New Roman" w:hAnsi="Times New Roman" w:cs="Times New Roman"/>
                <w:sz w:val="18"/>
                <w:szCs w:val="18"/>
              </w:rPr>
              <w:t>Elevated exposure around petroleum and gas facilities.</w:t>
            </w:r>
          </w:p>
        </w:tc>
      </w:tr>
      <w:tr w:rsidR="00E971B2" w:rsidRPr="004D7581" w14:paraId="141149CC" w14:textId="77777777" w:rsidTr="00014E84">
        <w:tc>
          <w:tcPr>
            <w:tcW w:w="0" w:type="auto"/>
            <w:hideMark/>
          </w:tcPr>
          <w:p w14:paraId="0000CDDB" w14:textId="77777777" w:rsidR="00E971B2" w:rsidRPr="004D7581" w:rsidRDefault="00E971B2" w:rsidP="00014E84">
            <w:pPr>
              <w:rPr>
                <w:rFonts w:ascii="Times New Roman" w:hAnsi="Times New Roman" w:cs="Times New Roman"/>
                <w:sz w:val="18"/>
                <w:szCs w:val="18"/>
              </w:rPr>
            </w:pPr>
            <w:proofErr w:type="spellStart"/>
            <w:r w:rsidRPr="004D7581">
              <w:rPr>
                <w:rStyle w:val="Strong"/>
                <w:rFonts w:ascii="Times New Roman" w:hAnsi="Times New Roman" w:cs="Times New Roman"/>
                <w:sz w:val="18"/>
                <w:szCs w:val="18"/>
              </w:rPr>
              <w:t>Ugbede</w:t>
            </w:r>
            <w:proofErr w:type="spellEnd"/>
            <w:r w:rsidRPr="004D7581">
              <w:rPr>
                <w:rStyle w:val="Strong"/>
                <w:rFonts w:ascii="Times New Roman" w:hAnsi="Times New Roman" w:cs="Times New Roman"/>
                <w:sz w:val="18"/>
                <w:szCs w:val="18"/>
              </w:rPr>
              <w:t xml:space="preserve"> et al. (2022)</w:t>
            </w:r>
          </w:p>
        </w:tc>
        <w:tc>
          <w:tcPr>
            <w:tcW w:w="0" w:type="auto"/>
            <w:hideMark/>
          </w:tcPr>
          <w:p w14:paraId="39E5F33F"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Enugu Urban Area (Nigeria)</w:t>
            </w:r>
          </w:p>
        </w:tc>
        <w:tc>
          <w:tcPr>
            <w:tcW w:w="1747" w:type="dxa"/>
            <w:hideMark/>
          </w:tcPr>
          <w:p w14:paraId="45B18391"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0.15 ± 0.03</w:t>
            </w:r>
          </w:p>
        </w:tc>
        <w:tc>
          <w:tcPr>
            <w:tcW w:w="1350" w:type="dxa"/>
            <w:hideMark/>
          </w:tcPr>
          <w:p w14:paraId="46112479"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0.54 ± 0.11</w:t>
            </w:r>
          </w:p>
        </w:tc>
        <w:tc>
          <w:tcPr>
            <w:tcW w:w="2970" w:type="dxa"/>
            <w:hideMark/>
          </w:tcPr>
          <w:p w14:paraId="1AB104C9" w14:textId="77777777" w:rsidR="00E971B2" w:rsidRPr="004D7581" w:rsidRDefault="00E971B2" w:rsidP="00014E84">
            <w:pPr>
              <w:rPr>
                <w:rFonts w:ascii="Times New Roman" w:hAnsi="Times New Roman" w:cs="Times New Roman"/>
                <w:sz w:val="18"/>
                <w:szCs w:val="18"/>
              </w:rPr>
            </w:pPr>
            <w:r w:rsidRPr="004D7581">
              <w:rPr>
                <w:rFonts w:ascii="Times New Roman" w:hAnsi="Times New Roman" w:cs="Times New Roman"/>
                <w:sz w:val="18"/>
                <w:szCs w:val="18"/>
              </w:rPr>
              <w:t xml:space="preserve">Outdoor gamma dose higher </w:t>
            </w:r>
            <w:r>
              <w:rPr>
                <w:rFonts w:ascii="Times New Roman" w:hAnsi="Times New Roman" w:cs="Times New Roman"/>
                <w:sz w:val="18"/>
                <w:szCs w:val="18"/>
              </w:rPr>
              <w:t>than UNSCEAR world mean (84 nGy</w:t>
            </w:r>
            <w:r w:rsidRPr="004D7581">
              <w:rPr>
                <w:rFonts w:ascii="Times New Roman" w:hAnsi="Times New Roman" w:cs="Times New Roman"/>
                <w:sz w:val="18"/>
                <w:szCs w:val="18"/>
              </w:rPr>
              <w:t>h⁻¹).</w:t>
            </w:r>
          </w:p>
        </w:tc>
      </w:tr>
      <w:tr w:rsidR="00E971B2" w:rsidRPr="004D7581" w14:paraId="29A271A6" w14:textId="77777777" w:rsidTr="00014E84">
        <w:tc>
          <w:tcPr>
            <w:tcW w:w="0" w:type="auto"/>
            <w:hideMark/>
          </w:tcPr>
          <w:p w14:paraId="7648C21D" w14:textId="77777777" w:rsidR="00E971B2" w:rsidRPr="004D7581" w:rsidRDefault="00E971B2" w:rsidP="00014E84">
            <w:pPr>
              <w:rPr>
                <w:rFonts w:ascii="Times New Roman" w:hAnsi="Times New Roman" w:cs="Times New Roman"/>
                <w:sz w:val="18"/>
                <w:szCs w:val="18"/>
              </w:rPr>
            </w:pPr>
            <w:r w:rsidRPr="004D7581">
              <w:rPr>
                <w:rStyle w:val="Strong"/>
                <w:rFonts w:ascii="Times New Roman" w:hAnsi="Times New Roman" w:cs="Times New Roman"/>
                <w:sz w:val="18"/>
                <w:szCs w:val="18"/>
              </w:rPr>
              <w:t>Ahmed et al. (2022)</w:t>
            </w:r>
          </w:p>
        </w:tc>
        <w:tc>
          <w:tcPr>
            <w:tcW w:w="0" w:type="auto"/>
            <w:hideMark/>
          </w:tcPr>
          <w:p w14:paraId="604BDCC7"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Duhok City (Kurdistan Region, Iraq)</w:t>
            </w:r>
          </w:p>
        </w:tc>
        <w:tc>
          <w:tcPr>
            <w:tcW w:w="1747" w:type="dxa"/>
            <w:hideMark/>
          </w:tcPr>
          <w:p w14:paraId="59619D13"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0.26 ± 0.01</w:t>
            </w:r>
          </w:p>
        </w:tc>
        <w:tc>
          <w:tcPr>
            <w:tcW w:w="1350" w:type="dxa"/>
            <w:hideMark/>
          </w:tcPr>
          <w:p w14:paraId="10D3D97E"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0.91 ± 0.03</w:t>
            </w:r>
          </w:p>
        </w:tc>
        <w:tc>
          <w:tcPr>
            <w:tcW w:w="2970" w:type="dxa"/>
            <w:hideMark/>
          </w:tcPr>
          <w:p w14:paraId="2A4B665B" w14:textId="77777777" w:rsidR="00E971B2" w:rsidRPr="004D7581" w:rsidRDefault="00E971B2" w:rsidP="00014E84">
            <w:pPr>
              <w:rPr>
                <w:rFonts w:ascii="Times New Roman" w:hAnsi="Times New Roman" w:cs="Times New Roman"/>
                <w:sz w:val="18"/>
                <w:szCs w:val="18"/>
              </w:rPr>
            </w:pPr>
            <w:r w:rsidRPr="004D7581">
              <w:rPr>
                <w:rFonts w:ascii="Times New Roman" w:hAnsi="Times New Roman" w:cs="Times New Roman"/>
                <w:sz w:val="18"/>
                <w:szCs w:val="18"/>
              </w:rPr>
              <w:t>AEDE &gt; UNSCEAR world average; used for baseline mapping.</w:t>
            </w:r>
          </w:p>
        </w:tc>
      </w:tr>
      <w:tr w:rsidR="00E971B2" w:rsidRPr="004D7581" w14:paraId="2700EE8C" w14:textId="77777777" w:rsidTr="00014E84">
        <w:tc>
          <w:tcPr>
            <w:tcW w:w="0" w:type="auto"/>
            <w:hideMark/>
          </w:tcPr>
          <w:p w14:paraId="57EEB6CF" w14:textId="77777777" w:rsidR="00E971B2" w:rsidRPr="004D7581" w:rsidRDefault="00A2074A" w:rsidP="00014E84">
            <w:pPr>
              <w:rPr>
                <w:rFonts w:ascii="Times New Roman" w:hAnsi="Times New Roman" w:cs="Times New Roman"/>
                <w:sz w:val="18"/>
                <w:szCs w:val="18"/>
              </w:rPr>
            </w:pPr>
            <w:proofErr w:type="spellStart"/>
            <w:r>
              <w:rPr>
                <w:rStyle w:val="Strong"/>
                <w:rFonts w:ascii="Times New Roman" w:hAnsi="Times New Roman" w:cs="Times New Roman"/>
                <w:sz w:val="18"/>
                <w:szCs w:val="18"/>
              </w:rPr>
              <w:t>Abara</w:t>
            </w:r>
            <w:proofErr w:type="spellEnd"/>
            <w:r w:rsidR="00E971B2" w:rsidRPr="004D7581">
              <w:rPr>
                <w:rStyle w:val="Strong"/>
                <w:rFonts w:ascii="Times New Roman" w:hAnsi="Times New Roman" w:cs="Times New Roman"/>
                <w:sz w:val="18"/>
                <w:szCs w:val="18"/>
              </w:rPr>
              <w:t>. (2023)</w:t>
            </w:r>
          </w:p>
        </w:tc>
        <w:tc>
          <w:tcPr>
            <w:tcW w:w="0" w:type="auto"/>
            <w:hideMark/>
          </w:tcPr>
          <w:p w14:paraId="7BE8044E"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FUTO Campus, Owerri (Nigeria)</w:t>
            </w:r>
          </w:p>
        </w:tc>
        <w:tc>
          <w:tcPr>
            <w:tcW w:w="1747" w:type="dxa"/>
            <w:hideMark/>
          </w:tcPr>
          <w:p w14:paraId="0EFA0DC3"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0.022 ± 0.059</w:t>
            </w:r>
          </w:p>
        </w:tc>
        <w:tc>
          <w:tcPr>
            <w:tcW w:w="1350" w:type="dxa"/>
            <w:hideMark/>
          </w:tcPr>
          <w:p w14:paraId="29EEBB32"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0.061 ± 0.162</w:t>
            </w:r>
          </w:p>
        </w:tc>
        <w:tc>
          <w:tcPr>
            <w:tcW w:w="2970" w:type="dxa"/>
            <w:hideMark/>
          </w:tcPr>
          <w:p w14:paraId="46904056" w14:textId="77777777" w:rsidR="00E971B2" w:rsidRPr="004D7581" w:rsidRDefault="00E971B2" w:rsidP="00014E84">
            <w:pPr>
              <w:rPr>
                <w:rFonts w:ascii="Times New Roman" w:hAnsi="Times New Roman" w:cs="Times New Roman"/>
                <w:sz w:val="18"/>
                <w:szCs w:val="18"/>
              </w:rPr>
            </w:pPr>
            <w:r w:rsidRPr="004D7581">
              <w:rPr>
                <w:rFonts w:ascii="Times New Roman" w:hAnsi="Times New Roman" w:cs="Times New Roman"/>
                <w:sz w:val="18"/>
                <w:szCs w:val="18"/>
              </w:rPr>
              <w:t>Indoor radiation levels below global average, low health risk.</w:t>
            </w:r>
          </w:p>
        </w:tc>
      </w:tr>
      <w:tr w:rsidR="00E971B2" w:rsidRPr="004D7581" w14:paraId="3ABF1147" w14:textId="77777777" w:rsidTr="00014E84">
        <w:tc>
          <w:tcPr>
            <w:tcW w:w="0" w:type="auto"/>
            <w:hideMark/>
          </w:tcPr>
          <w:p w14:paraId="69CC3963" w14:textId="77777777" w:rsidR="00E971B2" w:rsidRPr="004D7581" w:rsidRDefault="00E971B2" w:rsidP="00014E84">
            <w:pPr>
              <w:rPr>
                <w:rFonts w:ascii="Times New Roman" w:hAnsi="Times New Roman" w:cs="Times New Roman"/>
                <w:sz w:val="18"/>
                <w:szCs w:val="18"/>
              </w:rPr>
            </w:pPr>
            <w:r w:rsidRPr="004D7581">
              <w:rPr>
                <w:rStyle w:val="Strong"/>
                <w:rFonts w:ascii="Times New Roman" w:hAnsi="Times New Roman" w:cs="Times New Roman"/>
                <w:sz w:val="18"/>
                <w:szCs w:val="18"/>
              </w:rPr>
              <w:t>Idris et al. (2023)</w:t>
            </w:r>
          </w:p>
        </w:tc>
        <w:tc>
          <w:tcPr>
            <w:tcW w:w="0" w:type="auto"/>
            <w:hideMark/>
          </w:tcPr>
          <w:p w14:paraId="5AC28492" w14:textId="77777777" w:rsidR="00E971B2" w:rsidRPr="004D7581" w:rsidRDefault="00E971B2" w:rsidP="00014E84">
            <w:pPr>
              <w:jc w:val="center"/>
              <w:rPr>
                <w:rFonts w:ascii="Times New Roman" w:hAnsi="Times New Roman" w:cs="Times New Roman"/>
                <w:sz w:val="18"/>
                <w:szCs w:val="18"/>
              </w:rPr>
            </w:pPr>
            <w:proofErr w:type="spellStart"/>
            <w:r w:rsidRPr="004D7581">
              <w:rPr>
                <w:rFonts w:ascii="Times New Roman" w:hAnsi="Times New Roman" w:cs="Times New Roman"/>
                <w:sz w:val="18"/>
                <w:szCs w:val="18"/>
              </w:rPr>
              <w:t>Akwa</w:t>
            </w:r>
            <w:proofErr w:type="spellEnd"/>
            <w:r w:rsidRPr="004D7581">
              <w:rPr>
                <w:rFonts w:ascii="Times New Roman" w:hAnsi="Times New Roman" w:cs="Times New Roman"/>
                <w:sz w:val="18"/>
                <w:szCs w:val="18"/>
              </w:rPr>
              <w:t xml:space="preserve"> Ibom State (Nigeria)</w:t>
            </w:r>
          </w:p>
        </w:tc>
        <w:tc>
          <w:tcPr>
            <w:tcW w:w="1747" w:type="dxa"/>
            <w:hideMark/>
          </w:tcPr>
          <w:p w14:paraId="7364CDAC"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0.07 ± 0.01</w:t>
            </w:r>
          </w:p>
        </w:tc>
        <w:tc>
          <w:tcPr>
            <w:tcW w:w="1350" w:type="dxa"/>
            <w:hideMark/>
          </w:tcPr>
          <w:p w14:paraId="7D332A41"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0.25 ± 0.05</w:t>
            </w:r>
          </w:p>
        </w:tc>
        <w:tc>
          <w:tcPr>
            <w:tcW w:w="2970" w:type="dxa"/>
            <w:hideMark/>
          </w:tcPr>
          <w:p w14:paraId="2EE8F9AC" w14:textId="77777777" w:rsidR="00E971B2" w:rsidRPr="004D7581" w:rsidRDefault="00E971B2" w:rsidP="00014E84">
            <w:pPr>
              <w:rPr>
                <w:rFonts w:ascii="Times New Roman" w:hAnsi="Times New Roman" w:cs="Times New Roman"/>
                <w:sz w:val="18"/>
                <w:szCs w:val="18"/>
              </w:rPr>
            </w:pPr>
            <w:r w:rsidRPr="004D7581">
              <w:rPr>
                <w:rFonts w:ascii="Times New Roman" w:hAnsi="Times New Roman" w:cs="Times New Roman"/>
                <w:sz w:val="18"/>
                <w:szCs w:val="18"/>
              </w:rPr>
              <w:t>Outdoor exposure below UNSCEAR reference; low lifetime risk.</w:t>
            </w:r>
          </w:p>
        </w:tc>
      </w:tr>
      <w:tr w:rsidR="00E971B2" w:rsidRPr="004D7581" w14:paraId="6B8E0502" w14:textId="77777777" w:rsidTr="00014E84">
        <w:tc>
          <w:tcPr>
            <w:tcW w:w="0" w:type="auto"/>
            <w:hideMark/>
          </w:tcPr>
          <w:p w14:paraId="4F06A9CF" w14:textId="77777777" w:rsidR="00E971B2" w:rsidRPr="004D7581" w:rsidRDefault="00E971B2" w:rsidP="00014E84">
            <w:pPr>
              <w:rPr>
                <w:rFonts w:ascii="Times New Roman" w:hAnsi="Times New Roman" w:cs="Times New Roman"/>
                <w:sz w:val="18"/>
                <w:szCs w:val="18"/>
              </w:rPr>
            </w:pPr>
            <w:proofErr w:type="spellStart"/>
            <w:r w:rsidRPr="004D7581">
              <w:rPr>
                <w:rStyle w:val="Strong"/>
                <w:rFonts w:ascii="Times New Roman" w:hAnsi="Times New Roman" w:cs="Times New Roman"/>
                <w:sz w:val="18"/>
                <w:szCs w:val="18"/>
              </w:rPr>
              <w:t>Sankwasa</w:t>
            </w:r>
            <w:proofErr w:type="spellEnd"/>
            <w:r w:rsidRPr="004D7581">
              <w:rPr>
                <w:rStyle w:val="Strong"/>
                <w:rFonts w:ascii="Times New Roman" w:hAnsi="Times New Roman" w:cs="Times New Roman"/>
                <w:sz w:val="18"/>
                <w:szCs w:val="18"/>
              </w:rPr>
              <w:t xml:space="preserve"> et al. (2023)</w:t>
            </w:r>
          </w:p>
        </w:tc>
        <w:tc>
          <w:tcPr>
            <w:tcW w:w="0" w:type="auto"/>
            <w:hideMark/>
          </w:tcPr>
          <w:p w14:paraId="4DAD3BF2" w14:textId="77777777" w:rsidR="00E971B2" w:rsidRPr="004D7581" w:rsidRDefault="00E971B2" w:rsidP="00014E84">
            <w:pPr>
              <w:jc w:val="center"/>
              <w:rPr>
                <w:rFonts w:ascii="Times New Roman" w:hAnsi="Times New Roman" w:cs="Times New Roman"/>
                <w:sz w:val="18"/>
                <w:szCs w:val="18"/>
              </w:rPr>
            </w:pPr>
            <w:proofErr w:type="spellStart"/>
            <w:r w:rsidRPr="004D7581">
              <w:rPr>
                <w:rFonts w:ascii="Times New Roman" w:hAnsi="Times New Roman" w:cs="Times New Roman"/>
                <w:sz w:val="18"/>
                <w:szCs w:val="18"/>
              </w:rPr>
              <w:t>Serule</w:t>
            </w:r>
            <w:proofErr w:type="spellEnd"/>
            <w:r w:rsidRPr="004D7581">
              <w:rPr>
                <w:rFonts w:ascii="Times New Roman" w:hAnsi="Times New Roman" w:cs="Times New Roman"/>
                <w:sz w:val="18"/>
                <w:szCs w:val="18"/>
              </w:rPr>
              <w:t xml:space="preserve"> Village (Botswana)</w:t>
            </w:r>
          </w:p>
        </w:tc>
        <w:tc>
          <w:tcPr>
            <w:tcW w:w="1747" w:type="dxa"/>
            <w:hideMark/>
          </w:tcPr>
          <w:p w14:paraId="09E19347"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0.137 ± 0.01</w:t>
            </w:r>
          </w:p>
        </w:tc>
        <w:tc>
          <w:tcPr>
            <w:tcW w:w="1350" w:type="dxa"/>
            <w:hideMark/>
          </w:tcPr>
          <w:p w14:paraId="2DDBAE89"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0.56 ± 0.05</w:t>
            </w:r>
          </w:p>
        </w:tc>
        <w:tc>
          <w:tcPr>
            <w:tcW w:w="2970" w:type="dxa"/>
            <w:hideMark/>
          </w:tcPr>
          <w:p w14:paraId="5FC389E5" w14:textId="77777777" w:rsidR="00E971B2" w:rsidRPr="004D7581" w:rsidRDefault="00E971B2" w:rsidP="00014E84">
            <w:pPr>
              <w:rPr>
                <w:rFonts w:ascii="Times New Roman" w:hAnsi="Times New Roman" w:cs="Times New Roman"/>
                <w:sz w:val="18"/>
                <w:szCs w:val="18"/>
              </w:rPr>
            </w:pPr>
            <w:r w:rsidRPr="004D7581">
              <w:rPr>
                <w:rFonts w:ascii="Times New Roman" w:hAnsi="Times New Roman" w:cs="Times New Roman"/>
                <w:sz w:val="18"/>
                <w:szCs w:val="18"/>
              </w:rPr>
              <w:t>Outdoor gamma radiation approximately twice global average.</w:t>
            </w:r>
          </w:p>
        </w:tc>
      </w:tr>
      <w:tr w:rsidR="00E971B2" w:rsidRPr="004D7581" w14:paraId="1C5EA6F2" w14:textId="77777777" w:rsidTr="00014E84">
        <w:tc>
          <w:tcPr>
            <w:tcW w:w="0" w:type="auto"/>
            <w:hideMark/>
          </w:tcPr>
          <w:p w14:paraId="4263105E" w14:textId="77777777" w:rsidR="00E971B2" w:rsidRPr="004D7581" w:rsidRDefault="00E971B2" w:rsidP="00014E84">
            <w:pPr>
              <w:rPr>
                <w:rFonts w:ascii="Times New Roman" w:hAnsi="Times New Roman" w:cs="Times New Roman"/>
                <w:sz w:val="18"/>
                <w:szCs w:val="18"/>
              </w:rPr>
            </w:pPr>
            <w:proofErr w:type="spellStart"/>
            <w:r w:rsidRPr="004D7581">
              <w:rPr>
                <w:rStyle w:val="Strong"/>
                <w:rFonts w:ascii="Times New Roman" w:hAnsi="Times New Roman" w:cs="Times New Roman"/>
                <w:sz w:val="18"/>
                <w:szCs w:val="18"/>
              </w:rPr>
              <w:t>Oke</w:t>
            </w:r>
            <w:proofErr w:type="spellEnd"/>
            <w:r w:rsidRPr="004D7581">
              <w:rPr>
                <w:rStyle w:val="Strong"/>
                <w:rFonts w:ascii="Times New Roman" w:hAnsi="Times New Roman" w:cs="Times New Roman"/>
                <w:sz w:val="18"/>
                <w:szCs w:val="18"/>
              </w:rPr>
              <w:t xml:space="preserve"> et al. (2024)</w:t>
            </w:r>
          </w:p>
        </w:tc>
        <w:tc>
          <w:tcPr>
            <w:tcW w:w="0" w:type="auto"/>
            <w:hideMark/>
          </w:tcPr>
          <w:p w14:paraId="6D77BCB0"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LAUTECH Campus &amp; Teaching Hospital (Nigeria)</w:t>
            </w:r>
          </w:p>
        </w:tc>
        <w:tc>
          <w:tcPr>
            <w:tcW w:w="1747" w:type="dxa"/>
            <w:hideMark/>
          </w:tcPr>
          <w:p w14:paraId="258EA446"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0.18–0.42</w:t>
            </w:r>
          </w:p>
        </w:tc>
        <w:tc>
          <w:tcPr>
            <w:tcW w:w="1350" w:type="dxa"/>
            <w:hideMark/>
          </w:tcPr>
          <w:p w14:paraId="6C40E07A"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w:t>
            </w:r>
          </w:p>
        </w:tc>
        <w:tc>
          <w:tcPr>
            <w:tcW w:w="2970" w:type="dxa"/>
            <w:hideMark/>
          </w:tcPr>
          <w:p w14:paraId="0FF09A5D" w14:textId="77777777" w:rsidR="00E971B2" w:rsidRPr="004D7581" w:rsidRDefault="00E971B2" w:rsidP="00014E84">
            <w:pPr>
              <w:rPr>
                <w:rFonts w:ascii="Times New Roman" w:hAnsi="Times New Roman" w:cs="Times New Roman"/>
                <w:sz w:val="18"/>
                <w:szCs w:val="18"/>
              </w:rPr>
            </w:pPr>
            <w:r>
              <w:rPr>
                <w:rFonts w:ascii="Times New Roman" w:hAnsi="Times New Roman" w:cs="Times New Roman"/>
                <w:sz w:val="18"/>
                <w:szCs w:val="18"/>
              </w:rPr>
              <w:t>Values within ICRP’s 1 mSv</w:t>
            </w:r>
            <w:r w:rsidRPr="004D7581">
              <w:rPr>
                <w:rFonts w:ascii="Times New Roman" w:hAnsi="Times New Roman" w:cs="Times New Roman"/>
                <w:sz w:val="18"/>
                <w:szCs w:val="18"/>
              </w:rPr>
              <w:t>y⁻¹ public limit.</w:t>
            </w:r>
          </w:p>
        </w:tc>
      </w:tr>
      <w:tr w:rsidR="00E971B2" w:rsidRPr="004D7581" w14:paraId="34928072" w14:textId="77777777" w:rsidTr="00014E84">
        <w:tc>
          <w:tcPr>
            <w:tcW w:w="0" w:type="auto"/>
            <w:hideMark/>
          </w:tcPr>
          <w:p w14:paraId="76375E7D" w14:textId="77777777" w:rsidR="00E971B2" w:rsidRPr="004D7581" w:rsidRDefault="00E971B2" w:rsidP="00014E84">
            <w:pPr>
              <w:rPr>
                <w:rFonts w:ascii="Times New Roman" w:hAnsi="Times New Roman" w:cs="Times New Roman"/>
                <w:sz w:val="18"/>
                <w:szCs w:val="18"/>
              </w:rPr>
            </w:pPr>
            <w:r w:rsidRPr="004D7581">
              <w:rPr>
                <w:rStyle w:val="Strong"/>
                <w:rFonts w:ascii="Times New Roman" w:hAnsi="Times New Roman" w:cs="Times New Roman"/>
                <w:sz w:val="18"/>
                <w:szCs w:val="18"/>
              </w:rPr>
              <w:t>Present Study (2025)</w:t>
            </w:r>
          </w:p>
        </w:tc>
        <w:tc>
          <w:tcPr>
            <w:tcW w:w="0" w:type="auto"/>
            <w:hideMark/>
          </w:tcPr>
          <w:p w14:paraId="4530D3AD"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 xml:space="preserve">Oleh and </w:t>
            </w:r>
            <w:proofErr w:type="spellStart"/>
            <w:r w:rsidRPr="004D7581">
              <w:rPr>
                <w:rFonts w:ascii="Times New Roman" w:hAnsi="Times New Roman" w:cs="Times New Roman"/>
                <w:sz w:val="18"/>
                <w:szCs w:val="18"/>
              </w:rPr>
              <w:t>Ozoro</w:t>
            </w:r>
            <w:proofErr w:type="spellEnd"/>
            <w:r w:rsidRPr="004D7581">
              <w:rPr>
                <w:rFonts w:ascii="Times New Roman" w:hAnsi="Times New Roman" w:cs="Times New Roman"/>
                <w:sz w:val="18"/>
                <w:szCs w:val="18"/>
              </w:rPr>
              <w:t xml:space="preserve"> (Delta State, Nigeria)</w:t>
            </w:r>
          </w:p>
        </w:tc>
        <w:tc>
          <w:tcPr>
            <w:tcW w:w="1747" w:type="dxa"/>
            <w:hideMark/>
          </w:tcPr>
          <w:p w14:paraId="7D356DD5"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0.107 ± 0.015</w:t>
            </w:r>
          </w:p>
        </w:tc>
        <w:tc>
          <w:tcPr>
            <w:tcW w:w="1350" w:type="dxa"/>
            <w:hideMark/>
          </w:tcPr>
          <w:p w14:paraId="05C38A5B" w14:textId="77777777" w:rsidR="00E971B2" w:rsidRPr="004D7581" w:rsidRDefault="00E971B2" w:rsidP="00014E84">
            <w:pPr>
              <w:jc w:val="center"/>
              <w:rPr>
                <w:rFonts w:ascii="Times New Roman" w:hAnsi="Times New Roman" w:cs="Times New Roman"/>
                <w:sz w:val="18"/>
                <w:szCs w:val="18"/>
              </w:rPr>
            </w:pPr>
            <w:r w:rsidRPr="004D7581">
              <w:rPr>
                <w:rFonts w:ascii="Times New Roman" w:hAnsi="Times New Roman" w:cs="Times New Roman"/>
                <w:sz w:val="18"/>
                <w:szCs w:val="18"/>
              </w:rPr>
              <w:t>0.374 ± 0.056</w:t>
            </w:r>
          </w:p>
        </w:tc>
        <w:tc>
          <w:tcPr>
            <w:tcW w:w="2970" w:type="dxa"/>
            <w:hideMark/>
          </w:tcPr>
          <w:p w14:paraId="399F6FD8" w14:textId="77777777" w:rsidR="00E971B2" w:rsidRPr="004D7581" w:rsidRDefault="00E971B2" w:rsidP="00014E84">
            <w:pPr>
              <w:rPr>
                <w:rFonts w:ascii="Times New Roman" w:hAnsi="Times New Roman" w:cs="Times New Roman"/>
                <w:sz w:val="18"/>
                <w:szCs w:val="18"/>
              </w:rPr>
            </w:pPr>
            <w:r w:rsidRPr="004D7581">
              <w:rPr>
                <w:rFonts w:ascii="Times New Roman" w:hAnsi="Times New Roman" w:cs="Times New Roman"/>
                <w:sz w:val="18"/>
                <w:szCs w:val="18"/>
              </w:rPr>
              <w:t>Comparable to UNSCEAR world mean; indicates moderate exposure.</w:t>
            </w:r>
          </w:p>
        </w:tc>
      </w:tr>
    </w:tbl>
    <w:p w14:paraId="73565A1F" w14:textId="77777777" w:rsidR="0030655F" w:rsidRDefault="0030655F" w:rsidP="007C39D9">
      <w:pPr>
        <w:spacing w:line="360" w:lineRule="auto"/>
        <w:jc w:val="both"/>
        <w:rPr>
          <w:rFonts w:ascii="Times New Roman" w:eastAsia="Times New Roman" w:hAnsi="Times New Roman" w:cs="Times New Roman"/>
        </w:rPr>
      </w:pPr>
    </w:p>
    <w:p w14:paraId="52CC46C1" w14:textId="77777777" w:rsidR="00C123CD" w:rsidRDefault="007C39D9" w:rsidP="007C39D9">
      <w:pPr>
        <w:spacing w:line="360" w:lineRule="auto"/>
        <w:jc w:val="both"/>
        <w:rPr>
          <w:rFonts w:ascii="Times New Roman" w:hAnsi="Times New Roman" w:cs="Times New Roman"/>
          <w:i/>
        </w:rPr>
      </w:pPr>
      <w:r>
        <w:rPr>
          <w:rStyle w:val="Strong"/>
          <w:rFonts w:ascii="Times New Roman" w:hAnsi="Times New Roman" w:cs="Times New Roman"/>
        </w:rPr>
        <w:t>Figure 4</w:t>
      </w:r>
      <w:r w:rsidRPr="00D6783F">
        <w:rPr>
          <w:rStyle w:val="Strong"/>
          <w:rFonts w:ascii="Times New Roman" w:hAnsi="Times New Roman" w:cs="Times New Roman"/>
        </w:rPr>
        <w:t>:</w:t>
      </w:r>
      <w:r w:rsidRPr="00D6783F">
        <w:rPr>
          <w:rFonts w:ascii="Times New Roman" w:hAnsi="Times New Roman" w:cs="Times New Roman"/>
        </w:rPr>
        <w:t xml:space="preserve"> </w:t>
      </w:r>
      <w:r w:rsidRPr="00800897">
        <w:rPr>
          <w:rFonts w:ascii="Times New Roman" w:hAnsi="Times New Roman" w:cs="Times New Roman"/>
          <w:b/>
        </w:rPr>
        <w:t>Comparative bar chart of Annual Effective Dose Equivalent (AEDE, mSvy⁻¹) and Excess Lifetime Cancer Risk (ELCR×10⁻³) from selected studies, with UNSCEAR (2020) thresholds.</w:t>
      </w:r>
      <w:r w:rsidRPr="00800897">
        <w:rPr>
          <w:rFonts w:ascii="Times New Roman" w:hAnsi="Times New Roman" w:cs="Times New Roman"/>
          <w:b/>
        </w:rPr>
        <w:br/>
      </w:r>
      <w:r w:rsidRPr="00D6783F">
        <w:rPr>
          <w:rFonts w:ascii="Times New Roman" w:hAnsi="Times New Roman" w:cs="Times New Roman"/>
          <w:i/>
        </w:rPr>
        <w:t xml:space="preserve">Note:  No ELCR value was reported by </w:t>
      </w:r>
      <w:proofErr w:type="spellStart"/>
      <w:r w:rsidRPr="00D6783F">
        <w:rPr>
          <w:rFonts w:ascii="Times New Roman" w:hAnsi="Times New Roman" w:cs="Times New Roman"/>
          <w:i/>
        </w:rPr>
        <w:t>Oke</w:t>
      </w:r>
      <w:proofErr w:type="spellEnd"/>
      <w:r w:rsidRPr="00D6783F">
        <w:rPr>
          <w:rFonts w:ascii="Times New Roman" w:hAnsi="Times New Roman" w:cs="Times New Roman"/>
          <w:i/>
        </w:rPr>
        <w:t xml:space="preserve"> et al. (2024); the corresponding bar is omitted in the plot.</w:t>
      </w:r>
    </w:p>
    <w:p w14:paraId="01C33EBF" w14:textId="77777777" w:rsidR="001475AC" w:rsidRDefault="001475AC" w:rsidP="001475AC">
      <w:pPr>
        <w:spacing w:line="360" w:lineRule="auto"/>
        <w:jc w:val="both"/>
        <w:rPr>
          <w:rFonts w:ascii="Times New Roman" w:hAnsi="Times New Roman" w:cs="Times New Roman"/>
          <w:b/>
          <w:sz w:val="24"/>
          <w:szCs w:val="24"/>
        </w:rPr>
      </w:pPr>
    </w:p>
    <w:p w14:paraId="3A4AD6B1" w14:textId="77777777" w:rsidR="001475AC" w:rsidRDefault="001475AC" w:rsidP="001475AC">
      <w:pPr>
        <w:spacing w:line="360" w:lineRule="auto"/>
        <w:jc w:val="both"/>
        <w:rPr>
          <w:rFonts w:ascii="Times New Roman" w:hAnsi="Times New Roman" w:cs="Times New Roman"/>
          <w:b/>
          <w:sz w:val="24"/>
          <w:szCs w:val="24"/>
        </w:rPr>
      </w:pPr>
    </w:p>
    <w:p w14:paraId="641B0BB5" w14:textId="77777777" w:rsidR="001475AC" w:rsidRDefault="001475AC" w:rsidP="001475AC">
      <w:pPr>
        <w:spacing w:line="360" w:lineRule="auto"/>
        <w:jc w:val="both"/>
        <w:rPr>
          <w:rFonts w:ascii="Times New Roman" w:hAnsi="Times New Roman" w:cs="Times New Roman"/>
          <w:b/>
          <w:sz w:val="24"/>
          <w:szCs w:val="24"/>
        </w:rPr>
      </w:pPr>
    </w:p>
    <w:p w14:paraId="7C9D1390" w14:textId="77777777" w:rsidR="001475AC" w:rsidRDefault="001475AC" w:rsidP="001475AC">
      <w:pPr>
        <w:spacing w:line="360" w:lineRule="auto"/>
        <w:jc w:val="both"/>
        <w:rPr>
          <w:rFonts w:ascii="Times New Roman" w:hAnsi="Times New Roman" w:cs="Times New Roman"/>
          <w:b/>
          <w:sz w:val="24"/>
          <w:szCs w:val="24"/>
        </w:rPr>
      </w:pPr>
    </w:p>
    <w:p w14:paraId="31048256" w14:textId="77777777" w:rsidR="00800897" w:rsidRDefault="001475AC" w:rsidP="001475AC">
      <w:pPr>
        <w:spacing w:line="360" w:lineRule="auto"/>
        <w:jc w:val="both"/>
        <w:rPr>
          <w:rFonts w:ascii="Times New Roman" w:hAnsi="Times New Roman" w:cs="Times New Roman"/>
          <w:b/>
        </w:rPr>
      </w:pPr>
      <w:r>
        <w:rPr>
          <w:rFonts w:ascii="Times New Roman" w:hAnsi="Times New Roman" w:cs="Times New Roman"/>
          <w:b/>
          <w:sz w:val="24"/>
          <w:szCs w:val="24"/>
        </w:rPr>
        <w:lastRenderedPageBreak/>
        <w:t xml:space="preserve">3.3. </w:t>
      </w:r>
      <w:r w:rsidRPr="001475AC">
        <w:rPr>
          <w:rFonts w:ascii="Times New Roman" w:hAnsi="Times New Roman" w:cs="Times New Roman"/>
          <w:b/>
        </w:rPr>
        <w:t>Organ-specific dose distribution and ICRP comparison</w:t>
      </w:r>
    </w:p>
    <w:p w14:paraId="1508DD02" w14:textId="77777777" w:rsidR="001475AC" w:rsidRDefault="001475AC" w:rsidP="001475AC">
      <w:pPr>
        <w:spacing w:line="360" w:lineRule="auto"/>
        <w:jc w:val="both"/>
        <w:rPr>
          <w:rFonts w:ascii="Times New Roman" w:hAnsi="Times New Roman" w:cs="Times New Roman"/>
        </w:rPr>
      </w:pPr>
      <w:r w:rsidRPr="001475AC">
        <w:rPr>
          <w:rFonts w:ascii="Times New Roman" w:hAnsi="Times New Roman" w:cs="Times New Roman"/>
        </w:rPr>
        <w:t xml:space="preserve">The estimated organ- and tissue-specific dose rates, presented in Table 5 and illustrated in Figure 5, indicate that the testes received the highest dose of 0.07 mSvy⁻¹, followed by the bone marrow and whole body at 0.06 mSvy⁻¹. The lungs, ovaries, and kidneys each received 0.05 mSvy⁻¹, while the liver experienced the lowest dose of 0.04 mSvy⁻¹. This distribution reflects the influence of tissue weighting conversion factors, with more radiosensitive organs accruing proportionally higher doses. The observed organ dose hierarchy underscores the importance of considering tissue-specific </w:t>
      </w:r>
      <w:proofErr w:type="spellStart"/>
      <w:r w:rsidRPr="001475AC">
        <w:rPr>
          <w:rFonts w:ascii="Times New Roman" w:hAnsi="Times New Roman" w:cs="Times New Roman"/>
        </w:rPr>
        <w:t>radiosensitivity</w:t>
      </w:r>
      <w:proofErr w:type="spellEnd"/>
      <w:r w:rsidRPr="001475AC">
        <w:rPr>
          <w:rFonts w:ascii="Times New Roman" w:hAnsi="Times New Roman" w:cs="Times New Roman"/>
        </w:rPr>
        <w:t xml:space="preserve"> in environmental radiation assessments and provides a robust framework for evaluating potential radiological health risks under the measured exposure conditions.</w:t>
      </w:r>
    </w:p>
    <w:p w14:paraId="10135F4F" w14:textId="77777777" w:rsidR="001475AC" w:rsidRPr="001475AC" w:rsidRDefault="001475AC" w:rsidP="001475AC">
      <w:pPr>
        <w:spacing w:line="360" w:lineRule="auto"/>
        <w:jc w:val="center"/>
        <w:rPr>
          <w:rFonts w:ascii="Times New Roman" w:hAnsi="Times New Roman" w:cs="Times New Roman"/>
        </w:rPr>
      </w:pPr>
      <w:r w:rsidRPr="001475AC">
        <w:rPr>
          <w:rFonts w:ascii="Times New Roman" w:hAnsi="Times New Roman" w:cs="Times New Roman"/>
          <w:b/>
          <w:bCs/>
        </w:rPr>
        <w:t>Table 5: Estimated Organ/Tissue Dose Rates (AEDE = 0.107 mSvy⁻¹, O = 0.8)</w:t>
      </w:r>
    </w:p>
    <w:tbl>
      <w:tblPr>
        <w:tblStyle w:val="TableGrid"/>
        <w:tblW w:w="0" w:type="auto"/>
        <w:jc w:val="center"/>
        <w:tblLook w:val="04A0" w:firstRow="1" w:lastRow="0" w:firstColumn="1" w:lastColumn="0" w:noHBand="0" w:noVBand="1"/>
      </w:tblPr>
      <w:tblGrid>
        <w:gridCol w:w="1745"/>
        <w:gridCol w:w="571"/>
        <w:gridCol w:w="661"/>
        <w:gridCol w:w="1236"/>
        <w:gridCol w:w="693"/>
        <w:gridCol w:w="728"/>
        <w:gridCol w:w="577"/>
        <w:gridCol w:w="1124"/>
      </w:tblGrid>
      <w:tr w:rsidR="001475AC" w:rsidRPr="00BF25F1" w14:paraId="6D84934F" w14:textId="77777777" w:rsidTr="001475AC">
        <w:trPr>
          <w:jc w:val="center"/>
        </w:trPr>
        <w:tc>
          <w:tcPr>
            <w:tcW w:w="0" w:type="auto"/>
            <w:hideMark/>
          </w:tcPr>
          <w:p w14:paraId="523C1B69" w14:textId="77777777" w:rsidR="001475AC" w:rsidRPr="00BF25F1" w:rsidRDefault="001475AC" w:rsidP="004463CD">
            <w:pPr>
              <w:jc w:val="center"/>
              <w:rPr>
                <w:b/>
                <w:bCs/>
                <w:sz w:val="18"/>
                <w:szCs w:val="18"/>
              </w:rPr>
            </w:pPr>
            <w:r w:rsidRPr="00BF25F1">
              <w:rPr>
                <w:b/>
                <w:bCs/>
                <w:sz w:val="18"/>
                <w:szCs w:val="18"/>
              </w:rPr>
              <w:t>Organs</w:t>
            </w:r>
          </w:p>
        </w:tc>
        <w:tc>
          <w:tcPr>
            <w:tcW w:w="0" w:type="auto"/>
            <w:hideMark/>
          </w:tcPr>
          <w:p w14:paraId="66F47072" w14:textId="77777777" w:rsidR="001475AC" w:rsidRPr="00BF25F1" w:rsidRDefault="001475AC" w:rsidP="004463CD">
            <w:pPr>
              <w:jc w:val="center"/>
              <w:rPr>
                <w:b/>
                <w:bCs/>
                <w:sz w:val="18"/>
                <w:szCs w:val="18"/>
              </w:rPr>
            </w:pPr>
            <w:r w:rsidRPr="00BF25F1">
              <w:rPr>
                <w:b/>
                <w:bCs/>
                <w:sz w:val="18"/>
                <w:szCs w:val="18"/>
              </w:rPr>
              <w:t>Lung</w:t>
            </w:r>
          </w:p>
        </w:tc>
        <w:tc>
          <w:tcPr>
            <w:tcW w:w="0" w:type="auto"/>
            <w:hideMark/>
          </w:tcPr>
          <w:p w14:paraId="4A8AB56E" w14:textId="77777777" w:rsidR="001475AC" w:rsidRPr="00BF25F1" w:rsidRDefault="001475AC" w:rsidP="004463CD">
            <w:pPr>
              <w:jc w:val="center"/>
              <w:rPr>
                <w:b/>
                <w:bCs/>
                <w:sz w:val="18"/>
                <w:szCs w:val="18"/>
              </w:rPr>
            </w:pPr>
            <w:r w:rsidRPr="00BF25F1">
              <w:rPr>
                <w:b/>
                <w:bCs/>
                <w:sz w:val="18"/>
                <w:szCs w:val="18"/>
              </w:rPr>
              <w:t>Ovary</w:t>
            </w:r>
          </w:p>
        </w:tc>
        <w:tc>
          <w:tcPr>
            <w:tcW w:w="0" w:type="auto"/>
            <w:hideMark/>
          </w:tcPr>
          <w:p w14:paraId="465F2C01" w14:textId="77777777" w:rsidR="001475AC" w:rsidRPr="00BF25F1" w:rsidRDefault="001475AC" w:rsidP="004463CD">
            <w:pPr>
              <w:jc w:val="center"/>
              <w:rPr>
                <w:b/>
                <w:bCs/>
                <w:sz w:val="18"/>
                <w:szCs w:val="18"/>
              </w:rPr>
            </w:pPr>
            <w:r w:rsidRPr="00BF25F1">
              <w:rPr>
                <w:b/>
                <w:bCs/>
                <w:sz w:val="18"/>
                <w:szCs w:val="18"/>
              </w:rPr>
              <w:t>Bone marrow</w:t>
            </w:r>
          </w:p>
        </w:tc>
        <w:tc>
          <w:tcPr>
            <w:tcW w:w="0" w:type="auto"/>
            <w:hideMark/>
          </w:tcPr>
          <w:p w14:paraId="4C28038B" w14:textId="77777777" w:rsidR="001475AC" w:rsidRPr="00BF25F1" w:rsidRDefault="001475AC" w:rsidP="004463CD">
            <w:pPr>
              <w:jc w:val="center"/>
              <w:rPr>
                <w:b/>
                <w:bCs/>
                <w:sz w:val="18"/>
                <w:szCs w:val="18"/>
              </w:rPr>
            </w:pPr>
            <w:r w:rsidRPr="00BF25F1">
              <w:rPr>
                <w:b/>
                <w:bCs/>
                <w:sz w:val="18"/>
                <w:szCs w:val="18"/>
              </w:rPr>
              <w:t>Testes</w:t>
            </w:r>
          </w:p>
        </w:tc>
        <w:tc>
          <w:tcPr>
            <w:tcW w:w="0" w:type="auto"/>
            <w:hideMark/>
          </w:tcPr>
          <w:p w14:paraId="361CDBE4" w14:textId="77777777" w:rsidR="001475AC" w:rsidRPr="00BF25F1" w:rsidRDefault="001475AC" w:rsidP="004463CD">
            <w:pPr>
              <w:jc w:val="center"/>
              <w:rPr>
                <w:b/>
                <w:bCs/>
                <w:sz w:val="18"/>
                <w:szCs w:val="18"/>
              </w:rPr>
            </w:pPr>
            <w:r w:rsidRPr="00BF25F1">
              <w:rPr>
                <w:b/>
                <w:bCs/>
                <w:sz w:val="18"/>
                <w:szCs w:val="18"/>
              </w:rPr>
              <w:t>Kidney</w:t>
            </w:r>
          </w:p>
        </w:tc>
        <w:tc>
          <w:tcPr>
            <w:tcW w:w="0" w:type="auto"/>
            <w:hideMark/>
          </w:tcPr>
          <w:p w14:paraId="0C2C7EFE" w14:textId="77777777" w:rsidR="001475AC" w:rsidRPr="00BF25F1" w:rsidRDefault="001475AC" w:rsidP="004463CD">
            <w:pPr>
              <w:jc w:val="center"/>
              <w:rPr>
                <w:b/>
                <w:bCs/>
                <w:sz w:val="18"/>
                <w:szCs w:val="18"/>
              </w:rPr>
            </w:pPr>
            <w:r w:rsidRPr="00BF25F1">
              <w:rPr>
                <w:b/>
                <w:bCs/>
                <w:sz w:val="18"/>
                <w:szCs w:val="18"/>
              </w:rPr>
              <w:t>Liver</w:t>
            </w:r>
          </w:p>
        </w:tc>
        <w:tc>
          <w:tcPr>
            <w:tcW w:w="0" w:type="auto"/>
            <w:hideMark/>
          </w:tcPr>
          <w:p w14:paraId="22107C7D" w14:textId="77777777" w:rsidR="001475AC" w:rsidRPr="00BF25F1" w:rsidRDefault="001475AC" w:rsidP="004463CD">
            <w:pPr>
              <w:jc w:val="center"/>
              <w:rPr>
                <w:b/>
                <w:bCs/>
                <w:sz w:val="18"/>
                <w:szCs w:val="18"/>
              </w:rPr>
            </w:pPr>
            <w:r w:rsidRPr="00BF25F1">
              <w:rPr>
                <w:b/>
                <w:bCs/>
                <w:sz w:val="18"/>
                <w:szCs w:val="18"/>
              </w:rPr>
              <w:t>Whole body</w:t>
            </w:r>
          </w:p>
        </w:tc>
      </w:tr>
      <w:tr w:rsidR="001475AC" w:rsidRPr="00BF25F1" w14:paraId="77B2403D" w14:textId="77777777" w:rsidTr="001475AC">
        <w:trPr>
          <w:jc w:val="center"/>
        </w:trPr>
        <w:tc>
          <w:tcPr>
            <w:tcW w:w="0" w:type="auto"/>
            <w:hideMark/>
          </w:tcPr>
          <w:p w14:paraId="12143DFB" w14:textId="77777777" w:rsidR="001475AC" w:rsidRPr="00BF25F1" w:rsidRDefault="001475AC" w:rsidP="004463CD">
            <w:pPr>
              <w:rPr>
                <w:sz w:val="18"/>
                <w:szCs w:val="18"/>
              </w:rPr>
            </w:pPr>
            <w:r w:rsidRPr="00BF25F1">
              <w:rPr>
                <w:sz w:val="18"/>
                <w:szCs w:val="18"/>
              </w:rPr>
              <w:t>Conversion factor (F)</w:t>
            </w:r>
          </w:p>
        </w:tc>
        <w:tc>
          <w:tcPr>
            <w:tcW w:w="0" w:type="auto"/>
            <w:hideMark/>
          </w:tcPr>
          <w:p w14:paraId="2D9A7876" w14:textId="77777777" w:rsidR="001475AC" w:rsidRPr="00BF25F1" w:rsidRDefault="001475AC" w:rsidP="004463CD">
            <w:pPr>
              <w:rPr>
                <w:sz w:val="18"/>
                <w:szCs w:val="18"/>
              </w:rPr>
            </w:pPr>
            <w:r w:rsidRPr="00BF25F1">
              <w:rPr>
                <w:sz w:val="18"/>
                <w:szCs w:val="18"/>
              </w:rPr>
              <w:t>0.64</w:t>
            </w:r>
          </w:p>
        </w:tc>
        <w:tc>
          <w:tcPr>
            <w:tcW w:w="0" w:type="auto"/>
            <w:hideMark/>
          </w:tcPr>
          <w:p w14:paraId="1A0C1C23" w14:textId="77777777" w:rsidR="001475AC" w:rsidRPr="00BF25F1" w:rsidRDefault="001475AC" w:rsidP="004463CD">
            <w:pPr>
              <w:rPr>
                <w:sz w:val="18"/>
                <w:szCs w:val="18"/>
              </w:rPr>
            </w:pPr>
            <w:r w:rsidRPr="00BF25F1">
              <w:rPr>
                <w:sz w:val="18"/>
                <w:szCs w:val="18"/>
              </w:rPr>
              <w:t>0.58</w:t>
            </w:r>
          </w:p>
        </w:tc>
        <w:tc>
          <w:tcPr>
            <w:tcW w:w="0" w:type="auto"/>
            <w:hideMark/>
          </w:tcPr>
          <w:p w14:paraId="5DA03950" w14:textId="77777777" w:rsidR="001475AC" w:rsidRPr="00BF25F1" w:rsidRDefault="001475AC" w:rsidP="004463CD">
            <w:pPr>
              <w:rPr>
                <w:sz w:val="18"/>
                <w:szCs w:val="18"/>
              </w:rPr>
            </w:pPr>
            <w:r w:rsidRPr="00BF25F1">
              <w:rPr>
                <w:sz w:val="18"/>
                <w:szCs w:val="18"/>
              </w:rPr>
              <w:t>0.69</w:t>
            </w:r>
          </w:p>
        </w:tc>
        <w:tc>
          <w:tcPr>
            <w:tcW w:w="0" w:type="auto"/>
            <w:hideMark/>
          </w:tcPr>
          <w:p w14:paraId="66C3A0A8" w14:textId="77777777" w:rsidR="001475AC" w:rsidRPr="00BF25F1" w:rsidRDefault="001475AC" w:rsidP="004463CD">
            <w:pPr>
              <w:rPr>
                <w:sz w:val="18"/>
                <w:szCs w:val="18"/>
              </w:rPr>
            </w:pPr>
            <w:r w:rsidRPr="00BF25F1">
              <w:rPr>
                <w:sz w:val="18"/>
                <w:szCs w:val="18"/>
              </w:rPr>
              <w:t>0.82</w:t>
            </w:r>
          </w:p>
        </w:tc>
        <w:tc>
          <w:tcPr>
            <w:tcW w:w="0" w:type="auto"/>
            <w:hideMark/>
          </w:tcPr>
          <w:p w14:paraId="79F72AC3" w14:textId="77777777" w:rsidR="001475AC" w:rsidRPr="00BF25F1" w:rsidRDefault="001475AC" w:rsidP="004463CD">
            <w:pPr>
              <w:rPr>
                <w:sz w:val="18"/>
                <w:szCs w:val="18"/>
              </w:rPr>
            </w:pPr>
            <w:r w:rsidRPr="00BF25F1">
              <w:rPr>
                <w:sz w:val="18"/>
                <w:szCs w:val="18"/>
              </w:rPr>
              <w:t>0.62</w:t>
            </w:r>
          </w:p>
        </w:tc>
        <w:tc>
          <w:tcPr>
            <w:tcW w:w="0" w:type="auto"/>
            <w:hideMark/>
          </w:tcPr>
          <w:p w14:paraId="1A3083F6" w14:textId="77777777" w:rsidR="001475AC" w:rsidRPr="00BF25F1" w:rsidRDefault="001475AC" w:rsidP="004463CD">
            <w:pPr>
              <w:rPr>
                <w:sz w:val="18"/>
                <w:szCs w:val="18"/>
              </w:rPr>
            </w:pPr>
            <w:r w:rsidRPr="00BF25F1">
              <w:rPr>
                <w:sz w:val="18"/>
                <w:szCs w:val="18"/>
              </w:rPr>
              <w:t>0.42</w:t>
            </w:r>
          </w:p>
        </w:tc>
        <w:tc>
          <w:tcPr>
            <w:tcW w:w="0" w:type="auto"/>
            <w:hideMark/>
          </w:tcPr>
          <w:p w14:paraId="5243376D" w14:textId="77777777" w:rsidR="001475AC" w:rsidRPr="00BF25F1" w:rsidRDefault="001475AC" w:rsidP="004463CD">
            <w:pPr>
              <w:rPr>
                <w:sz w:val="18"/>
                <w:szCs w:val="18"/>
              </w:rPr>
            </w:pPr>
            <w:r w:rsidRPr="00BF25F1">
              <w:rPr>
                <w:sz w:val="18"/>
                <w:szCs w:val="18"/>
              </w:rPr>
              <w:t>0.68</w:t>
            </w:r>
          </w:p>
        </w:tc>
      </w:tr>
      <w:tr w:rsidR="001475AC" w:rsidRPr="00BF25F1" w14:paraId="0E08A8A2" w14:textId="77777777" w:rsidTr="001475AC">
        <w:trPr>
          <w:jc w:val="center"/>
        </w:trPr>
        <w:tc>
          <w:tcPr>
            <w:tcW w:w="0" w:type="auto"/>
            <w:hideMark/>
          </w:tcPr>
          <w:p w14:paraId="0C5756BB" w14:textId="77777777" w:rsidR="001475AC" w:rsidRPr="00BF25F1" w:rsidRDefault="001475AC" w:rsidP="004463CD">
            <w:pPr>
              <w:rPr>
                <w:sz w:val="18"/>
                <w:szCs w:val="18"/>
              </w:rPr>
            </w:pPr>
            <w:proofErr w:type="spellStart"/>
            <w:r>
              <w:rPr>
                <w:sz w:val="18"/>
                <w:szCs w:val="18"/>
              </w:rPr>
              <w:t>D₍organ</w:t>
            </w:r>
            <w:proofErr w:type="spellEnd"/>
            <w:r>
              <w:rPr>
                <w:sz w:val="18"/>
                <w:szCs w:val="18"/>
              </w:rPr>
              <w:t>₎ (mSv</w:t>
            </w:r>
            <w:r w:rsidRPr="00BF25F1">
              <w:rPr>
                <w:sz w:val="18"/>
                <w:szCs w:val="18"/>
              </w:rPr>
              <w:t>y⁻¹)</w:t>
            </w:r>
          </w:p>
        </w:tc>
        <w:tc>
          <w:tcPr>
            <w:tcW w:w="0" w:type="auto"/>
            <w:hideMark/>
          </w:tcPr>
          <w:p w14:paraId="0DA6ED13" w14:textId="77777777" w:rsidR="001475AC" w:rsidRPr="00BF25F1" w:rsidRDefault="001475AC" w:rsidP="004463CD">
            <w:pPr>
              <w:rPr>
                <w:sz w:val="18"/>
                <w:szCs w:val="18"/>
              </w:rPr>
            </w:pPr>
            <w:r w:rsidRPr="00BF25F1">
              <w:rPr>
                <w:bCs/>
                <w:sz w:val="18"/>
                <w:szCs w:val="18"/>
              </w:rPr>
              <w:t>0.05</w:t>
            </w:r>
          </w:p>
        </w:tc>
        <w:tc>
          <w:tcPr>
            <w:tcW w:w="0" w:type="auto"/>
            <w:hideMark/>
          </w:tcPr>
          <w:p w14:paraId="57E19AAA" w14:textId="77777777" w:rsidR="001475AC" w:rsidRPr="00BF25F1" w:rsidRDefault="001475AC" w:rsidP="004463CD">
            <w:pPr>
              <w:rPr>
                <w:sz w:val="18"/>
                <w:szCs w:val="18"/>
              </w:rPr>
            </w:pPr>
            <w:r w:rsidRPr="00BF25F1">
              <w:rPr>
                <w:bCs/>
                <w:sz w:val="18"/>
                <w:szCs w:val="18"/>
              </w:rPr>
              <w:t>0.05</w:t>
            </w:r>
          </w:p>
        </w:tc>
        <w:tc>
          <w:tcPr>
            <w:tcW w:w="0" w:type="auto"/>
            <w:hideMark/>
          </w:tcPr>
          <w:p w14:paraId="04F73E68" w14:textId="77777777" w:rsidR="001475AC" w:rsidRPr="00BF25F1" w:rsidRDefault="001475AC" w:rsidP="004463CD">
            <w:pPr>
              <w:rPr>
                <w:sz w:val="18"/>
                <w:szCs w:val="18"/>
              </w:rPr>
            </w:pPr>
            <w:r w:rsidRPr="00BF25F1">
              <w:rPr>
                <w:bCs/>
                <w:sz w:val="18"/>
                <w:szCs w:val="18"/>
              </w:rPr>
              <w:t>0.06</w:t>
            </w:r>
          </w:p>
        </w:tc>
        <w:tc>
          <w:tcPr>
            <w:tcW w:w="0" w:type="auto"/>
            <w:hideMark/>
          </w:tcPr>
          <w:p w14:paraId="1C21DCAC" w14:textId="77777777" w:rsidR="001475AC" w:rsidRPr="00BF25F1" w:rsidRDefault="001475AC" w:rsidP="004463CD">
            <w:pPr>
              <w:rPr>
                <w:sz w:val="18"/>
                <w:szCs w:val="18"/>
              </w:rPr>
            </w:pPr>
            <w:r w:rsidRPr="00BF25F1">
              <w:rPr>
                <w:bCs/>
                <w:sz w:val="18"/>
                <w:szCs w:val="18"/>
              </w:rPr>
              <w:t>0.07</w:t>
            </w:r>
          </w:p>
        </w:tc>
        <w:tc>
          <w:tcPr>
            <w:tcW w:w="0" w:type="auto"/>
            <w:hideMark/>
          </w:tcPr>
          <w:p w14:paraId="5A1B717F" w14:textId="77777777" w:rsidR="001475AC" w:rsidRPr="00BF25F1" w:rsidRDefault="001475AC" w:rsidP="004463CD">
            <w:pPr>
              <w:rPr>
                <w:sz w:val="18"/>
                <w:szCs w:val="18"/>
              </w:rPr>
            </w:pPr>
            <w:r w:rsidRPr="00BF25F1">
              <w:rPr>
                <w:bCs/>
                <w:sz w:val="18"/>
                <w:szCs w:val="18"/>
              </w:rPr>
              <w:t>0.05</w:t>
            </w:r>
          </w:p>
        </w:tc>
        <w:tc>
          <w:tcPr>
            <w:tcW w:w="0" w:type="auto"/>
            <w:hideMark/>
          </w:tcPr>
          <w:p w14:paraId="69DE0C1F" w14:textId="77777777" w:rsidR="001475AC" w:rsidRPr="00BF25F1" w:rsidRDefault="001475AC" w:rsidP="004463CD">
            <w:pPr>
              <w:rPr>
                <w:sz w:val="18"/>
                <w:szCs w:val="18"/>
              </w:rPr>
            </w:pPr>
            <w:r>
              <w:rPr>
                <w:sz w:val="18"/>
                <w:szCs w:val="18"/>
              </w:rPr>
              <w:t>0.04</w:t>
            </w:r>
          </w:p>
        </w:tc>
        <w:tc>
          <w:tcPr>
            <w:tcW w:w="0" w:type="auto"/>
            <w:hideMark/>
          </w:tcPr>
          <w:p w14:paraId="0683EC30" w14:textId="77777777" w:rsidR="001475AC" w:rsidRPr="00BF25F1" w:rsidRDefault="001475AC" w:rsidP="004463CD">
            <w:pPr>
              <w:rPr>
                <w:sz w:val="18"/>
                <w:szCs w:val="18"/>
              </w:rPr>
            </w:pPr>
            <w:r>
              <w:rPr>
                <w:sz w:val="18"/>
                <w:szCs w:val="18"/>
              </w:rPr>
              <w:t>0.06</w:t>
            </w:r>
          </w:p>
        </w:tc>
      </w:tr>
    </w:tbl>
    <w:p w14:paraId="7D3A155B" w14:textId="77777777" w:rsidR="001475AC" w:rsidRDefault="001475AC" w:rsidP="001475AC">
      <w:r w:rsidRPr="00C82CC1">
        <w:rPr>
          <w:noProof/>
        </w:rPr>
        <w:drawing>
          <wp:anchor distT="0" distB="0" distL="114300" distR="114300" simplePos="0" relativeHeight="251665408" behindDoc="0" locked="0" layoutInCell="1" allowOverlap="1" wp14:anchorId="3723BABD" wp14:editId="70BFA82B">
            <wp:simplePos x="0" y="0"/>
            <wp:positionH relativeFrom="column">
              <wp:posOffset>0</wp:posOffset>
            </wp:positionH>
            <wp:positionV relativeFrom="paragraph">
              <wp:posOffset>189230</wp:posOffset>
            </wp:positionV>
            <wp:extent cx="5943600" cy="3251835"/>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251835"/>
                    </a:xfrm>
                    <a:prstGeom prst="rect">
                      <a:avLst/>
                    </a:prstGeom>
                  </pic:spPr>
                </pic:pic>
              </a:graphicData>
            </a:graphic>
          </wp:anchor>
        </w:drawing>
      </w:r>
    </w:p>
    <w:p w14:paraId="38524157" w14:textId="77777777" w:rsidR="001475AC" w:rsidRDefault="001475AC" w:rsidP="001475AC">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5: Comparison of Estimated Organ/tissue dose rates to ICRP public limit</w:t>
      </w:r>
    </w:p>
    <w:p w14:paraId="46A1750E" w14:textId="77777777" w:rsidR="004622B3" w:rsidRDefault="004622B3" w:rsidP="001475AC">
      <w:pPr>
        <w:spacing w:line="360" w:lineRule="auto"/>
        <w:jc w:val="both"/>
        <w:rPr>
          <w:rFonts w:ascii="Times New Roman" w:hAnsi="Times New Roman" w:cs="Times New Roman"/>
          <w:b/>
          <w:sz w:val="24"/>
          <w:szCs w:val="24"/>
        </w:rPr>
      </w:pPr>
    </w:p>
    <w:p w14:paraId="3B147ABE" w14:textId="77777777" w:rsidR="004622B3" w:rsidRDefault="004622B3" w:rsidP="001475AC">
      <w:pPr>
        <w:spacing w:line="360" w:lineRule="auto"/>
        <w:jc w:val="both"/>
        <w:rPr>
          <w:rFonts w:ascii="Times New Roman" w:hAnsi="Times New Roman" w:cs="Times New Roman"/>
          <w:b/>
          <w:sz w:val="24"/>
          <w:szCs w:val="24"/>
        </w:rPr>
      </w:pPr>
    </w:p>
    <w:p w14:paraId="1BB5B101" w14:textId="77777777" w:rsidR="004622B3" w:rsidRDefault="004622B3" w:rsidP="001475AC">
      <w:pPr>
        <w:spacing w:line="360" w:lineRule="auto"/>
        <w:jc w:val="both"/>
        <w:rPr>
          <w:rFonts w:ascii="Times New Roman" w:hAnsi="Times New Roman" w:cs="Times New Roman"/>
          <w:b/>
          <w:sz w:val="24"/>
          <w:szCs w:val="24"/>
        </w:rPr>
      </w:pPr>
    </w:p>
    <w:p w14:paraId="24542F02" w14:textId="77777777" w:rsidR="00D17234" w:rsidRDefault="00D17234" w:rsidP="001475A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3.4 Statistical Robustness and Uncertainty Analysis </w:t>
      </w:r>
    </w:p>
    <w:p w14:paraId="4C9C29AE" w14:textId="77777777" w:rsidR="004622B3" w:rsidRDefault="004622B3" w:rsidP="004622B3">
      <w:pPr>
        <w:pStyle w:val="NormalWeb"/>
        <w:spacing w:line="360" w:lineRule="auto"/>
        <w:jc w:val="both"/>
        <w:rPr>
          <w:sz w:val="22"/>
          <w:szCs w:val="22"/>
        </w:rPr>
      </w:pPr>
      <w:r w:rsidRPr="004622B3">
        <w:rPr>
          <w:sz w:val="22"/>
          <w:szCs w:val="22"/>
        </w:rPr>
        <w:t>To ensure the reliability and reproducibility of the radiological risk estimates, a comprehensive uncertainty quantification framework was employed, integrating Monte Carlo simulations, Bayesian inference, and Bootstrap resampling techniques. The results from the Monte Carlo and Bayesian analyses are provided in the supplementar</w:t>
      </w:r>
      <w:r>
        <w:rPr>
          <w:sz w:val="22"/>
          <w:szCs w:val="22"/>
        </w:rPr>
        <w:t xml:space="preserve">y materials </w:t>
      </w:r>
      <w:r w:rsidRPr="004622B3">
        <w:rPr>
          <w:sz w:val="22"/>
          <w:szCs w:val="22"/>
        </w:rPr>
        <w:t>while the Bootstrap outcomes are summarized in Table 6 and visualized in Figure 6.</w:t>
      </w:r>
    </w:p>
    <w:p w14:paraId="1DF7DCC4" w14:textId="77777777" w:rsidR="004622B3" w:rsidRPr="004622B3" w:rsidRDefault="004622B3" w:rsidP="004622B3">
      <w:pPr>
        <w:pStyle w:val="Heading2"/>
        <w:jc w:val="center"/>
        <w:rPr>
          <w:b w:val="0"/>
          <w:sz w:val="24"/>
          <w:szCs w:val="24"/>
        </w:rPr>
      </w:pPr>
      <w:r w:rsidRPr="008456F5">
        <w:rPr>
          <w:noProof/>
        </w:rPr>
        <w:drawing>
          <wp:anchor distT="0" distB="0" distL="114300" distR="114300" simplePos="0" relativeHeight="251667456" behindDoc="0" locked="0" layoutInCell="1" allowOverlap="1" wp14:anchorId="03A36CB7" wp14:editId="2F8E5BF5">
            <wp:simplePos x="0" y="0"/>
            <wp:positionH relativeFrom="column">
              <wp:posOffset>0</wp:posOffset>
            </wp:positionH>
            <wp:positionV relativeFrom="paragraph">
              <wp:posOffset>2182495</wp:posOffset>
            </wp:positionV>
            <wp:extent cx="5943600" cy="3002915"/>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002915"/>
                    </a:xfrm>
                    <a:prstGeom prst="rect">
                      <a:avLst/>
                    </a:prstGeom>
                  </pic:spPr>
                </pic:pic>
              </a:graphicData>
            </a:graphic>
            <wp14:sizeRelV relativeFrom="margin">
              <wp14:pctHeight>0</wp14:pctHeight>
            </wp14:sizeRelV>
          </wp:anchor>
        </w:drawing>
      </w:r>
      <w:r w:rsidRPr="004622B3">
        <w:rPr>
          <w:rStyle w:val="Strong"/>
          <w:b/>
          <w:bCs/>
          <w:sz w:val="24"/>
          <w:szCs w:val="24"/>
        </w:rPr>
        <w:t>Table 6: Bootstrap (5,000 resamples per zone) of Radiological Risk Parameters</w:t>
      </w:r>
    </w:p>
    <w:tbl>
      <w:tblPr>
        <w:tblStyle w:val="TableGrid"/>
        <w:tblW w:w="10165" w:type="dxa"/>
        <w:tblLook w:val="04A0" w:firstRow="1" w:lastRow="0" w:firstColumn="1" w:lastColumn="0" w:noHBand="0" w:noVBand="1"/>
      </w:tblPr>
      <w:tblGrid>
        <w:gridCol w:w="1803"/>
        <w:gridCol w:w="1026"/>
        <w:gridCol w:w="1936"/>
        <w:gridCol w:w="1800"/>
        <w:gridCol w:w="1890"/>
        <w:gridCol w:w="1710"/>
      </w:tblGrid>
      <w:tr w:rsidR="004622B3" w:rsidRPr="00876E34" w14:paraId="52580EFA" w14:textId="77777777" w:rsidTr="004622B3">
        <w:tc>
          <w:tcPr>
            <w:tcW w:w="0" w:type="auto"/>
            <w:hideMark/>
          </w:tcPr>
          <w:p w14:paraId="48DD1BE7" w14:textId="77777777" w:rsidR="004622B3" w:rsidRPr="00876E34" w:rsidRDefault="004622B3" w:rsidP="004463CD">
            <w:pPr>
              <w:jc w:val="center"/>
              <w:rPr>
                <w:rFonts w:ascii="Times New Roman" w:hAnsi="Times New Roman" w:cs="Times New Roman"/>
                <w:b/>
                <w:bCs/>
                <w:sz w:val="18"/>
                <w:szCs w:val="18"/>
              </w:rPr>
            </w:pPr>
            <w:r w:rsidRPr="00876E34">
              <w:rPr>
                <w:rFonts w:ascii="Times New Roman" w:hAnsi="Times New Roman" w:cs="Times New Roman"/>
                <w:b/>
                <w:bCs/>
                <w:sz w:val="18"/>
                <w:szCs w:val="18"/>
              </w:rPr>
              <w:t>Location</w:t>
            </w:r>
          </w:p>
        </w:tc>
        <w:tc>
          <w:tcPr>
            <w:tcW w:w="0" w:type="auto"/>
            <w:hideMark/>
          </w:tcPr>
          <w:p w14:paraId="65843872" w14:textId="77777777" w:rsidR="004622B3" w:rsidRPr="00876E34" w:rsidRDefault="004622B3" w:rsidP="004463CD">
            <w:pPr>
              <w:jc w:val="center"/>
              <w:rPr>
                <w:rFonts w:ascii="Times New Roman" w:hAnsi="Times New Roman" w:cs="Times New Roman"/>
                <w:b/>
                <w:bCs/>
                <w:sz w:val="18"/>
                <w:szCs w:val="18"/>
              </w:rPr>
            </w:pPr>
            <w:r w:rsidRPr="00876E34">
              <w:rPr>
                <w:rFonts w:ascii="Times New Roman" w:hAnsi="Times New Roman" w:cs="Times New Roman"/>
                <w:b/>
                <w:bCs/>
                <w:sz w:val="18"/>
                <w:szCs w:val="18"/>
              </w:rPr>
              <w:t>Zone</w:t>
            </w:r>
          </w:p>
        </w:tc>
        <w:tc>
          <w:tcPr>
            <w:tcW w:w="1936" w:type="dxa"/>
            <w:hideMark/>
          </w:tcPr>
          <w:p w14:paraId="1C764ADA" w14:textId="77777777" w:rsidR="004622B3" w:rsidRPr="00876E34" w:rsidRDefault="004622B3" w:rsidP="004463CD">
            <w:pPr>
              <w:jc w:val="center"/>
              <w:rPr>
                <w:rFonts w:ascii="Times New Roman" w:hAnsi="Times New Roman" w:cs="Times New Roman"/>
                <w:b/>
                <w:bCs/>
                <w:sz w:val="18"/>
                <w:szCs w:val="18"/>
              </w:rPr>
            </w:pPr>
            <w:r>
              <w:rPr>
                <w:rFonts w:ascii="Times New Roman" w:hAnsi="Times New Roman" w:cs="Times New Roman"/>
                <w:b/>
                <w:bCs/>
                <w:sz w:val="18"/>
                <w:szCs w:val="18"/>
              </w:rPr>
              <w:t>BIR (mR</w:t>
            </w:r>
            <w:r w:rsidRPr="00876E34">
              <w:rPr>
                <w:rFonts w:ascii="Times New Roman" w:hAnsi="Times New Roman" w:cs="Times New Roman"/>
                <w:b/>
                <w:bCs/>
                <w:sz w:val="18"/>
                <w:szCs w:val="18"/>
              </w:rPr>
              <w:t>h⁻¹) ± SD</w:t>
            </w:r>
          </w:p>
        </w:tc>
        <w:tc>
          <w:tcPr>
            <w:tcW w:w="1800" w:type="dxa"/>
            <w:hideMark/>
          </w:tcPr>
          <w:p w14:paraId="01225415" w14:textId="77777777" w:rsidR="004622B3" w:rsidRPr="00876E34" w:rsidRDefault="004622B3" w:rsidP="004463CD">
            <w:pPr>
              <w:jc w:val="center"/>
              <w:rPr>
                <w:rFonts w:ascii="Times New Roman" w:hAnsi="Times New Roman" w:cs="Times New Roman"/>
                <w:b/>
                <w:bCs/>
                <w:sz w:val="18"/>
                <w:szCs w:val="18"/>
              </w:rPr>
            </w:pPr>
            <w:r>
              <w:rPr>
                <w:rFonts w:ascii="Times New Roman" w:hAnsi="Times New Roman" w:cs="Times New Roman"/>
                <w:b/>
                <w:bCs/>
                <w:sz w:val="18"/>
                <w:szCs w:val="18"/>
              </w:rPr>
              <w:t>ADR (nGy</w:t>
            </w:r>
            <w:r w:rsidRPr="00876E34">
              <w:rPr>
                <w:rFonts w:ascii="Times New Roman" w:hAnsi="Times New Roman" w:cs="Times New Roman"/>
                <w:b/>
                <w:bCs/>
                <w:sz w:val="18"/>
                <w:szCs w:val="18"/>
              </w:rPr>
              <w:t>h⁻¹) ± SD</w:t>
            </w:r>
          </w:p>
        </w:tc>
        <w:tc>
          <w:tcPr>
            <w:tcW w:w="1890" w:type="dxa"/>
            <w:hideMark/>
          </w:tcPr>
          <w:p w14:paraId="1D0056AA" w14:textId="77777777" w:rsidR="004622B3" w:rsidRPr="00876E34" w:rsidRDefault="004622B3" w:rsidP="004463CD">
            <w:pPr>
              <w:jc w:val="center"/>
              <w:rPr>
                <w:rFonts w:ascii="Times New Roman" w:hAnsi="Times New Roman" w:cs="Times New Roman"/>
                <w:b/>
                <w:bCs/>
                <w:sz w:val="18"/>
                <w:szCs w:val="18"/>
              </w:rPr>
            </w:pPr>
            <w:r>
              <w:rPr>
                <w:rFonts w:ascii="Times New Roman" w:hAnsi="Times New Roman" w:cs="Times New Roman"/>
                <w:b/>
                <w:bCs/>
                <w:sz w:val="18"/>
                <w:szCs w:val="18"/>
              </w:rPr>
              <w:t>AEDE (mSv</w:t>
            </w:r>
            <w:r w:rsidRPr="00876E34">
              <w:rPr>
                <w:rFonts w:ascii="Times New Roman" w:hAnsi="Times New Roman" w:cs="Times New Roman"/>
                <w:b/>
                <w:bCs/>
                <w:sz w:val="18"/>
                <w:szCs w:val="18"/>
              </w:rPr>
              <w:t>y⁻¹) ± SD</w:t>
            </w:r>
          </w:p>
        </w:tc>
        <w:tc>
          <w:tcPr>
            <w:tcW w:w="1710" w:type="dxa"/>
            <w:hideMark/>
          </w:tcPr>
          <w:p w14:paraId="3109719B" w14:textId="77777777" w:rsidR="004622B3" w:rsidRPr="00876E34" w:rsidRDefault="004622B3" w:rsidP="004463CD">
            <w:pPr>
              <w:jc w:val="center"/>
              <w:rPr>
                <w:rFonts w:ascii="Times New Roman" w:hAnsi="Times New Roman" w:cs="Times New Roman"/>
                <w:b/>
                <w:bCs/>
                <w:sz w:val="18"/>
                <w:szCs w:val="18"/>
              </w:rPr>
            </w:pPr>
            <w:r w:rsidRPr="00876E34">
              <w:rPr>
                <w:rFonts w:ascii="Times New Roman" w:hAnsi="Times New Roman" w:cs="Times New Roman"/>
                <w:b/>
                <w:bCs/>
                <w:sz w:val="18"/>
                <w:szCs w:val="18"/>
              </w:rPr>
              <w:t>ELCR (×10⁻³) ± SD</w:t>
            </w:r>
          </w:p>
        </w:tc>
      </w:tr>
      <w:tr w:rsidR="004622B3" w:rsidRPr="00876E34" w14:paraId="77D93037" w14:textId="77777777" w:rsidTr="004622B3">
        <w:tc>
          <w:tcPr>
            <w:tcW w:w="0" w:type="auto"/>
            <w:hideMark/>
          </w:tcPr>
          <w:p w14:paraId="17436FD7" w14:textId="77777777" w:rsidR="004622B3" w:rsidRPr="00876E34" w:rsidRDefault="004622B3" w:rsidP="004463CD">
            <w:pPr>
              <w:rPr>
                <w:rFonts w:ascii="Times New Roman" w:hAnsi="Times New Roman" w:cs="Times New Roman"/>
                <w:sz w:val="18"/>
                <w:szCs w:val="18"/>
              </w:rPr>
            </w:pPr>
            <w:r w:rsidRPr="00876E34">
              <w:rPr>
                <w:rStyle w:val="Strong"/>
                <w:rFonts w:ascii="Times New Roman" w:hAnsi="Times New Roman" w:cs="Times New Roman"/>
                <w:sz w:val="18"/>
                <w:szCs w:val="18"/>
              </w:rPr>
              <w:t>Oleh</w:t>
            </w:r>
          </w:p>
        </w:tc>
        <w:tc>
          <w:tcPr>
            <w:tcW w:w="0" w:type="auto"/>
            <w:hideMark/>
          </w:tcPr>
          <w:p w14:paraId="11265331"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Market</w:t>
            </w:r>
          </w:p>
        </w:tc>
        <w:tc>
          <w:tcPr>
            <w:tcW w:w="1936" w:type="dxa"/>
            <w:hideMark/>
          </w:tcPr>
          <w:p w14:paraId="0652283D"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0.010 ± 0.001</w:t>
            </w:r>
          </w:p>
        </w:tc>
        <w:tc>
          <w:tcPr>
            <w:tcW w:w="1800" w:type="dxa"/>
            <w:hideMark/>
          </w:tcPr>
          <w:p w14:paraId="18DE70CC"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87.6 ± 13.5</w:t>
            </w:r>
          </w:p>
        </w:tc>
        <w:tc>
          <w:tcPr>
            <w:tcW w:w="1890" w:type="dxa"/>
            <w:hideMark/>
          </w:tcPr>
          <w:p w14:paraId="289A0446"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0.108 ± 0.017</w:t>
            </w:r>
          </w:p>
        </w:tc>
        <w:tc>
          <w:tcPr>
            <w:tcW w:w="1710" w:type="dxa"/>
            <w:hideMark/>
          </w:tcPr>
          <w:p w14:paraId="37A2B3D1"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0.378 ± 0.059</w:t>
            </w:r>
          </w:p>
        </w:tc>
      </w:tr>
      <w:tr w:rsidR="004622B3" w:rsidRPr="00876E34" w14:paraId="719D45FD" w14:textId="77777777" w:rsidTr="004622B3">
        <w:tc>
          <w:tcPr>
            <w:tcW w:w="0" w:type="auto"/>
            <w:hideMark/>
          </w:tcPr>
          <w:p w14:paraId="621B9F45" w14:textId="77777777" w:rsidR="004622B3" w:rsidRPr="00876E34" w:rsidRDefault="004622B3" w:rsidP="004463CD">
            <w:pPr>
              <w:rPr>
                <w:rFonts w:ascii="Times New Roman" w:hAnsi="Times New Roman" w:cs="Times New Roman"/>
                <w:sz w:val="18"/>
                <w:szCs w:val="18"/>
              </w:rPr>
            </w:pPr>
          </w:p>
        </w:tc>
        <w:tc>
          <w:tcPr>
            <w:tcW w:w="0" w:type="auto"/>
            <w:hideMark/>
          </w:tcPr>
          <w:p w14:paraId="58BA0C7B"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Bakery</w:t>
            </w:r>
          </w:p>
        </w:tc>
        <w:tc>
          <w:tcPr>
            <w:tcW w:w="1936" w:type="dxa"/>
            <w:hideMark/>
          </w:tcPr>
          <w:p w14:paraId="747DB288"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0.009 ± 0.001</w:t>
            </w:r>
          </w:p>
        </w:tc>
        <w:tc>
          <w:tcPr>
            <w:tcW w:w="1800" w:type="dxa"/>
            <w:hideMark/>
          </w:tcPr>
          <w:p w14:paraId="1537022C"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79.6 ± 12.7</w:t>
            </w:r>
          </w:p>
        </w:tc>
        <w:tc>
          <w:tcPr>
            <w:tcW w:w="1890" w:type="dxa"/>
            <w:hideMark/>
          </w:tcPr>
          <w:p w14:paraId="7A5B01B6"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0.098 ± 0.016</w:t>
            </w:r>
          </w:p>
        </w:tc>
        <w:tc>
          <w:tcPr>
            <w:tcW w:w="1710" w:type="dxa"/>
            <w:hideMark/>
          </w:tcPr>
          <w:p w14:paraId="105D9802"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0.343 ± 0.056</w:t>
            </w:r>
          </w:p>
        </w:tc>
      </w:tr>
      <w:tr w:rsidR="004622B3" w:rsidRPr="00876E34" w14:paraId="223EA56A" w14:textId="77777777" w:rsidTr="004622B3">
        <w:tc>
          <w:tcPr>
            <w:tcW w:w="0" w:type="auto"/>
            <w:hideMark/>
          </w:tcPr>
          <w:p w14:paraId="3992DCC4" w14:textId="77777777" w:rsidR="004622B3" w:rsidRPr="00876E34" w:rsidRDefault="004622B3" w:rsidP="004463CD">
            <w:pPr>
              <w:rPr>
                <w:rFonts w:ascii="Times New Roman" w:hAnsi="Times New Roman" w:cs="Times New Roman"/>
                <w:sz w:val="18"/>
                <w:szCs w:val="18"/>
              </w:rPr>
            </w:pPr>
          </w:p>
        </w:tc>
        <w:tc>
          <w:tcPr>
            <w:tcW w:w="0" w:type="auto"/>
            <w:hideMark/>
          </w:tcPr>
          <w:p w14:paraId="522C2DBC"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Campus</w:t>
            </w:r>
          </w:p>
        </w:tc>
        <w:tc>
          <w:tcPr>
            <w:tcW w:w="1936" w:type="dxa"/>
            <w:hideMark/>
          </w:tcPr>
          <w:p w14:paraId="03E359AC"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0.010 ± 0.002</w:t>
            </w:r>
          </w:p>
        </w:tc>
        <w:tc>
          <w:tcPr>
            <w:tcW w:w="1800" w:type="dxa"/>
            <w:hideMark/>
          </w:tcPr>
          <w:p w14:paraId="43F3BCD4"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85.0 ± 11.8</w:t>
            </w:r>
          </w:p>
        </w:tc>
        <w:tc>
          <w:tcPr>
            <w:tcW w:w="1890" w:type="dxa"/>
            <w:hideMark/>
          </w:tcPr>
          <w:p w14:paraId="789FE455"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0.104 ± 0.014</w:t>
            </w:r>
          </w:p>
        </w:tc>
        <w:tc>
          <w:tcPr>
            <w:tcW w:w="1710" w:type="dxa"/>
            <w:hideMark/>
          </w:tcPr>
          <w:p w14:paraId="2907907C"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0.362 ± 0.050</w:t>
            </w:r>
          </w:p>
        </w:tc>
      </w:tr>
      <w:tr w:rsidR="004622B3" w:rsidRPr="00876E34" w14:paraId="21AC392D" w14:textId="77777777" w:rsidTr="004622B3">
        <w:tc>
          <w:tcPr>
            <w:tcW w:w="0" w:type="auto"/>
            <w:hideMark/>
          </w:tcPr>
          <w:p w14:paraId="585C881B" w14:textId="77777777" w:rsidR="004622B3" w:rsidRPr="00876E34" w:rsidRDefault="004622B3" w:rsidP="004463CD">
            <w:pPr>
              <w:rPr>
                <w:rFonts w:ascii="Times New Roman" w:hAnsi="Times New Roman" w:cs="Times New Roman"/>
                <w:sz w:val="18"/>
                <w:szCs w:val="18"/>
              </w:rPr>
            </w:pPr>
          </w:p>
        </w:tc>
        <w:tc>
          <w:tcPr>
            <w:tcW w:w="0" w:type="auto"/>
            <w:hideMark/>
          </w:tcPr>
          <w:p w14:paraId="70DE6147"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Residential</w:t>
            </w:r>
          </w:p>
        </w:tc>
        <w:tc>
          <w:tcPr>
            <w:tcW w:w="1936" w:type="dxa"/>
            <w:hideMark/>
          </w:tcPr>
          <w:p w14:paraId="1E46C918"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0.010 ± 0.001</w:t>
            </w:r>
          </w:p>
        </w:tc>
        <w:tc>
          <w:tcPr>
            <w:tcW w:w="1800" w:type="dxa"/>
            <w:hideMark/>
          </w:tcPr>
          <w:p w14:paraId="1C9D7191"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85.7 ± 9.9</w:t>
            </w:r>
          </w:p>
        </w:tc>
        <w:tc>
          <w:tcPr>
            <w:tcW w:w="1890" w:type="dxa"/>
            <w:hideMark/>
          </w:tcPr>
          <w:p w14:paraId="5F1A84F7"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0.105 ± 0.012</w:t>
            </w:r>
          </w:p>
        </w:tc>
        <w:tc>
          <w:tcPr>
            <w:tcW w:w="1710" w:type="dxa"/>
            <w:hideMark/>
          </w:tcPr>
          <w:p w14:paraId="176BE7E7"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0.368 ± 0.043</w:t>
            </w:r>
          </w:p>
        </w:tc>
      </w:tr>
      <w:tr w:rsidR="004622B3" w:rsidRPr="00876E34" w14:paraId="0E50AD87" w14:textId="77777777" w:rsidTr="004622B3">
        <w:tc>
          <w:tcPr>
            <w:tcW w:w="0" w:type="auto"/>
            <w:hideMark/>
          </w:tcPr>
          <w:p w14:paraId="671A25EC" w14:textId="77777777" w:rsidR="004622B3" w:rsidRPr="00876E34" w:rsidRDefault="004622B3" w:rsidP="004463CD">
            <w:pPr>
              <w:rPr>
                <w:rFonts w:ascii="Times New Roman" w:hAnsi="Times New Roman" w:cs="Times New Roman"/>
                <w:sz w:val="18"/>
                <w:szCs w:val="18"/>
              </w:rPr>
            </w:pPr>
            <w:proofErr w:type="spellStart"/>
            <w:r w:rsidRPr="00876E34">
              <w:rPr>
                <w:rStyle w:val="Strong"/>
                <w:rFonts w:ascii="Times New Roman" w:hAnsi="Times New Roman" w:cs="Times New Roman"/>
                <w:sz w:val="18"/>
                <w:szCs w:val="18"/>
              </w:rPr>
              <w:t>Ozoro</w:t>
            </w:r>
            <w:proofErr w:type="spellEnd"/>
          </w:p>
        </w:tc>
        <w:tc>
          <w:tcPr>
            <w:tcW w:w="0" w:type="auto"/>
            <w:hideMark/>
          </w:tcPr>
          <w:p w14:paraId="712DBFE0"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Market</w:t>
            </w:r>
          </w:p>
        </w:tc>
        <w:tc>
          <w:tcPr>
            <w:tcW w:w="1936" w:type="dxa"/>
            <w:hideMark/>
          </w:tcPr>
          <w:p w14:paraId="0326D8DC"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0.012 ± 0.002</w:t>
            </w:r>
          </w:p>
        </w:tc>
        <w:tc>
          <w:tcPr>
            <w:tcW w:w="1800" w:type="dxa"/>
            <w:hideMark/>
          </w:tcPr>
          <w:p w14:paraId="045A135E"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103.2 ± 17.3</w:t>
            </w:r>
          </w:p>
        </w:tc>
        <w:tc>
          <w:tcPr>
            <w:tcW w:w="1890" w:type="dxa"/>
            <w:hideMark/>
          </w:tcPr>
          <w:p w14:paraId="0EA5AD68"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0.127 ± 0.021</w:t>
            </w:r>
          </w:p>
        </w:tc>
        <w:tc>
          <w:tcPr>
            <w:tcW w:w="1710" w:type="dxa"/>
            <w:hideMark/>
          </w:tcPr>
          <w:p w14:paraId="04FA385B"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0.445 ± 0.074</w:t>
            </w:r>
          </w:p>
        </w:tc>
      </w:tr>
      <w:tr w:rsidR="004622B3" w:rsidRPr="00876E34" w14:paraId="6AFE87B5" w14:textId="77777777" w:rsidTr="004622B3">
        <w:tc>
          <w:tcPr>
            <w:tcW w:w="0" w:type="auto"/>
            <w:hideMark/>
          </w:tcPr>
          <w:p w14:paraId="481DC130" w14:textId="77777777" w:rsidR="004622B3" w:rsidRPr="00876E34" w:rsidRDefault="004622B3" w:rsidP="004463CD">
            <w:pPr>
              <w:rPr>
                <w:rFonts w:ascii="Times New Roman" w:hAnsi="Times New Roman" w:cs="Times New Roman"/>
                <w:sz w:val="18"/>
                <w:szCs w:val="18"/>
              </w:rPr>
            </w:pPr>
          </w:p>
        </w:tc>
        <w:tc>
          <w:tcPr>
            <w:tcW w:w="0" w:type="auto"/>
            <w:hideMark/>
          </w:tcPr>
          <w:p w14:paraId="388925EB"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Bakery</w:t>
            </w:r>
          </w:p>
        </w:tc>
        <w:tc>
          <w:tcPr>
            <w:tcW w:w="1936" w:type="dxa"/>
            <w:hideMark/>
          </w:tcPr>
          <w:p w14:paraId="00807181"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0.011 ± 0.001</w:t>
            </w:r>
          </w:p>
        </w:tc>
        <w:tc>
          <w:tcPr>
            <w:tcW w:w="1800" w:type="dxa"/>
            <w:hideMark/>
          </w:tcPr>
          <w:p w14:paraId="5A8F2021"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95.1 ± 9.4</w:t>
            </w:r>
          </w:p>
        </w:tc>
        <w:tc>
          <w:tcPr>
            <w:tcW w:w="1890" w:type="dxa"/>
            <w:hideMark/>
          </w:tcPr>
          <w:p w14:paraId="3FD069A8"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0.117 ± 0.012</w:t>
            </w:r>
          </w:p>
        </w:tc>
        <w:tc>
          <w:tcPr>
            <w:tcW w:w="1710" w:type="dxa"/>
            <w:hideMark/>
          </w:tcPr>
          <w:p w14:paraId="397224E7"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0.410 ± 0.042</w:t>
            </w:r>
          </w:p>
        </w:tc>
      </w:tr>
      <w:tr w:rsidR="004622B3" w:rsidRPr="00876E34" w14:paraId="4BA40879" w14:textId="77777777" w:rsidTr="004622B3">
        <w:tc>
          <w:tcPr>
            <w:tcW w:w="0" w:type="auto"/>
            <w:hideMark/>
          </w:tcPr>
          <w:p w14:paraId="41A92A22" w14:textId="77777777" w:rsidR="004622B3" w:rsidRPr="00876E34" w:rsidRDefault="004622B3" w:rsidP="004463CD">
            <w:pPr>
              <w:rPr>
                <w:rFonts w:ascii="Times New Roman" w:hAnsi="Times New Roman" w:cs="Times New Roman"/>
                <w:sz w:val="18"/>
                <w:szCs w:val="18"/>
              </w:rPr>
            </w:pPr>
          </w:p>
        </w:tc>
        <w:tc>
          <w:tcPr>
            <w:tcW w:w="0" w:type="auto"/>
            <w:hideMark/>
          </w:tcPr>
          <w:p w14:paraId="11C22C1A"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Campus</w:t>
            </w:r>
          </w:p>
        </w:tc>
        <w:tc>
          <w:tcPr>
            <w:tcW w:w="1936" w:type="dxa"/>
            <w:hideMark/>
          </w:tcPr>
          <w:p w14:paraId="61229B70"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0.010 ± 0.002</w:t>
            </w:r>
          </w:p>
        </w:tc>
        <w:tc>
          <w:tcPr>
            <w:tcW w:w="1800" w:type="dxa"/>
            <w:hideMark/>
          </w:tcPr>
          <w:p w14:paraId="07B20829"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87.5 ± 15.6</w:t>
            </w:r>
          </w:p>
        </w:tc>
        <w:tc>
          <w:tcPr>
            <w:tcW w:w="1890" w:type="dxa"/>
            <w:hideMark/>
          </w:tcPr>
          <w:p w14:paraId="53EFB2A8"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0.107 ± 0.019</w:t>
            </w:r>
          </w:p>
        </w:tc>
        <w:tc>
          <w:tcPr>
            <w:tcW w:w="1710" w:type="dxa"/>
            <w:hideMark/>
          </w:tcPr>
          <w:p w14:paraId="2DA5C5DA"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0.374 ± 0.066</w:t>
            </w:r>
          </w:p>
        </w:tc>
      </w:tr>
      <w:tr w:rsidR="004622B3" w:rsidRPr="00876E34" w14:paraId="149D8011" w14:textId="77777777" w:rsidTr="004622B3">
        <w:tc>
          <w:tcPr>
            <w:tcW w:w="0" w:type="auto"/>
            <w:hideMark/>
          </w:tcPr>
          <w:p w14:paraId="6EE5E059" w14:textId="77777777" w:rsidR="004622B3" w:rsidRPr="00876E34" w:rsidRDefault="004622B3" w:rsidP="004463CD">
            <w:pPr>
              <w:rPr>
                <w:rFonts w:ascii="Times New Roman" w:hAnsi="Times New Roman" w:cs="Times New Roman"/>
                <w:sz w:val="18"/>
                <w:szCs w:val="18"/>
              </w:rPr>
            </w:pPr>
          </w:p>
        </w:tc>
        <w:tc>
          <w:tcPr>
            <w:tcW w:w="0" w:type="auto"/>
            <w:hideMark/>
          </w:tcPr>
          <w:p w14:paraId="03DCA0BC"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Residential</w:t>
            </w:r>
          </w:p>
        </w:tc>
        <w:tc>
          <w:tcPr>
            <w:tcW w:w="1936" w:type="dxa"/>
            <w:hideMark/>
          </w:tcPr>
          <w:p w14:paraId="420EFD13"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0.009 ± 0.001</w:t>
            </w:r>
          </w:p>
        </w:tc>
        <w:tc>
          <w:tcPr>
            <w:tcW w:w="1800" w:type="dxa"/>
            <w:hideMark/>
          </w:tcPr>
          <w:p w14:paraId="540FA542"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78.4 ± 7.9</w:t>
            </w:r>
          </w:p>
        </w:tc>
        <w:tc>
          <w:tcPr>
            <w:tcW w:w="1890" w:type="dxa"/>
            <w:hideMark/>
          </w:tcPr>
          <w:p w14:paraId="7743A945"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0.096 ± 0.010</w:t>
            </w:r>
          </w:p>
        </w:tc>
        <w:tc>
          <w:tcPr>
            <w:tcW w:w="1710" w:type="dxa"/>
            <w:hideMark/>
          </w:tcPr>
          <w:p w14:paraId="79C1A32A"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0.338 ± 0.035</w:t>
            </w:r>
          </w:p>
        </w:tc>
      </w:tr>
      <w:tr w:rsidR="004622B3" w:rsidRPr="00876E34" w14:paraId="6D7F1C70" w14:textId="77777777" w:rsidTr="004622B3">
        <w:tc>
          <w:tcPr>
            <w:tcW w:w="0" w:type="auto"/>
            <w:hideMark/>
          </w:tcPr>
          <w:p w14:paraId="7946BEC0" w14:textId="77777777" w:rsidR="004622B3" w:rsidRPr="00876E34" w:rsidRDefault="004622B3" w:rsidP="004463CD">
            <w:pPr>
              <w:rPr>
                <w:rFonts w:ascii="Times New Roman" w:hAnsi="Times New Roman" w:cs="Times New Roman"/>
                <w:sz w:val="18"/>
                <w:szCs w:val="18"/>
              </w:rPr>
            </w:pPr>
            <w:r w:rsidRPr="00876E34">
              <w:rPr>
                <w:rStyle w:val="Strong"/>
                <w:rFonts w:ascii="Times New Roman" w:hAnsi="Times New Roman" w:cs="Times New Roman"/>
                <w:sz w:val="18"/>
                <w:szCs w:val="18"/>
              </w:rPr>
              <w:t>Mean ± SD (all zones)</w:t>
            </w:r>
          </w:p>
        </w:tc>
        <w:tc>
          <w:tcPr>
            <w:tcW w:w="0" w:type="auto"/>
            <w:hideMark/>
          </w:tcPr>
          <w:p w14:paraId="2A10BCE5"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w:t>
            </w:r>
          </w:p>
        </w:tc>
        <w:tc>
          <w:tcPr>
            <w:tcW w:w="1936" w:type="dxa"/>
            <w:hideMark/>
          </w:tcPr>
          <w:p w14:paraId="5F2B5B75" w14:textId="77777777" w:rsidR="004622B3" w:rsidRPr="00876E34" w:rsidRDefault="004622B3" w:rsidP="004463CD">
            <w:pPr>
              <w:rPr>
                <w:rFonts w:ascii="Times New Roman" w:hAnsi="Times New Roman" w:cs="Times New Roman"/>
                <w:sz w:val="18"/>
                <w:szCs w:val="18"/>
              </w:rPr>
            </w:pPr>
            <w:r w:rsidRPr="00876E34">
              <w:rPr>
                <w:rStyle w:val="Strong"/>
                <w:rFonts w:ascii="Times New Roman" w:hAnsi="Times New Roman" w:cs="Times New Roman"/>
                <w:sz w:val="18"/>
                <w:szCs w:val="18"/>
              </w:rPr>
              <w:t>0.0099 ± 0.0014</w:t>
            </w:r>
          </w:p>
        </w:tc>
        <w:tc>
          <w:tcPr>
            <w:tcW w:w="1800" w:type="dxa"/>
            <w:hideMark/>
          </w:tcPr>
          <w:p w14:paraId="1D606F2C" w14:textId="77777777" w:rsidR="004622B3" w:rsidRPr="00876E34" w:rsidRDefault="004622B3" w:rsidP="004463CD">
            <w:pPr>
              <w:rPr>
                <w:rFonts w:ascii="Times New Roman" w:hAnsi="Times New Roman" w:cs="Times New Roman"/>
                <w:sz w:val="18"/>
                <w:szCs w:val="18"/>
              </w:rPr>
            </w:pPr>
            <w:r w:rsidRPr="00876E34">
              <w:rPr>
                <w:rStyle w:val="Strong"/>
                <w:rFonts w:ascii="Times New Roman" w:hAnsi="Times New Roman" w:cs="Times New Roman"/>
                <w:sz w:val="18"/>
                <w:szCs w:val="18"/>
              </w:rPr>
              <w:t>86.8 ± 12.1</w:t>
            </w:r>
          </w:p>
        </w:tc>
        <w:tc>
          <w:tcPr>
            <w:tcW w:w="1890" w:type="dxa"/>
            <w:hideMark/>
          </w:tcPr>
          <w:p w14:paraId="1795B265" w14:textId="77777777" w:rsidR="004622B3" w:rsidRPr="00876E34" w:rsidRDefault="004622B3" w:rsidP="004463CD">
            <w:pPr>
              <w:rPr>
                <w:rFonts w:ascii="Times New Roman" w:hAnsi="Times New Roman" w:cs="Times New Roman"/>
                <w:sz w:val="18"/>
                <w:szCs w:val="18"/>
              </w:rPr>
            </w:pPr>
            <w:r w:rsidRPr="00876E34">
              <w:rPr>
                <w:rStyle w:val="Strong"/>
                <w:rFonts w:ascii="Times New Roman" w:hAnsi="Times New Roman" w:cs="Times New Roman"/>
                <w:sz w:val="18"/>
                <w:szCs w:val="18"/>
              </w:rPr>
              <w:t>0.105 ± 0.015</w:t>
            </w:r>
          </w:p>
        </w:tc>
        <w:tc>
          <w:tcPr>
            <w:tcW w:w="1710" w:type="dxa"/>
            <w:hideMark/>
          </w:tcPr>
          <w:p w14:paraId="64E98423" w14:textId="77777777" w:rsidR="004622B3" w:rsidRPr="00876E34" w:rsidRDefault="004622B3" w:rsidP="004463CD">
            <w:pPr>
              <w:rPr>
                <w:rFonts w:ascii="Times New Roman" w:hAnsi="Times New Roman" w:cs="Times New Roman"/>
                <w:sz w:val="18"/>
                <w:szCs w:val="18"/>
              </w:rPr>
            </w:pPr>
            <w:r w:rsidRPr="00876E34">
              <w:rPr>
                <w:rStyle w:val="Strong"/>
                <w:rFonts w:ascii="Times New Roman" w:hAnsi="Times New Roman" w:cs="Times New Roman"/>
                <w:sz w:val="18"/>
                <w:szCs w:val="18"/>
              </w:rPr>
              <w:t>0.370 ± 0.054</w:t>
            </w:r>
          </w:p>
        </w:tc>
      </w:tr>
      <w:tr w:rsidR="004622B3" w:rsidRPr="00876E34" w14:paraId="374A2A75" w14:textId="77777777" w:rsidTr="004622B3">
        <w:tc>
          <w:tcPr>
            <w:tcW w:w="0" w:type="auto"/>
            <w:hideMark/>
          </w:tcPr>
          <w:p w14:paraId="4072D9D7" w14:textId="77777777" w:rsidR="004622B3" w:rsidRPr="00876E34" w:rsidRDefault="004622B3" w:rsidP="004463CD">
            <w:pPr>
              <w:rPr>
                <w:rFonts w:ascii="Times New Roman" w:hAnsi="Times New Roman" w:cs="Times New Roman"/>
                <w:sz w:val="18"/>
                <w:szCs w:val="18"/>
              </w:rPr>
            </w:pPr>
            <w:r w:rsidRPr="00876E34">
              <w:rPr>
                <w:rStyle w:val="Strong"/>
                <w:rFonts w:ascii="Times New Roman" w:hAnsi="Times New Roman" w:cs="Times New Roman"/>
                <w:sz w:val="18"/>
                <w:szCs w:val="18"/>
              </w:rPr>
              <w:t>UNSCEAR (2000)</w:t>
            </w:r>
          </w:p>
        </w:tc>
        <w:tc>
          <w:tcPr>
            <w:tcW w:w="0" w:type="auto"/>
            <w:hideMark/>
          </w:tcPr>
          <w:p w14:paraId="111BEF57" w14:textId="77777777" w:rsidR="004622B3" w:rsidRPr="00876E34" w:rsidRDefault="004622B3" w:rsidP="004463CD">
            <w:pPr>
              <w:rPr>
                <w:rFonts w:ascii="Times New Roman" w:hAnsi="Times New Roman" w:cs="Times New Roman"/>
                <w:sz w:val="18"/>
                <w:szCs w:val="18"/>
              </w:rPr>
            </w:pPr>
            <w:r w:rsidRPr="00876E34">
              <w:rPr>
                <w:rFonts w:ascii="Times New Roman" w:hAnsi="Times New Roman" w:cs="Times New Roman"/>
                <w:sz w:val="18"/>
                <w:szCs w:val="18"/>
              </w:rPr>
              <w:t>—</w:t>
            </w:r>
          </w:p>
        </w:tc>
        <w:tc>
          <w:tcPr>
            <w:tcW w:w="1936" w:type="dxa"/>
            <w:hideMark/>
          </w:tcPr>
          <w:p w14:paraId="77B99519" w14:textId="77777777" w:rsidR="004622B3" w:rsidRPr="00876E34" w:rsidRDefault="004622B3" w:rsidP="004463CD">
            <w:pPr>
              <w:rPr>
                <w:rFonts w:ascii="Times New Roman" w:hAnsi="Times New Roman" w:cs="Times New Roman"/>
                <w:sz w:val="18"/>
                <w:szCs w:val="18"/>
              </w:rPr>
            </w:pPr>
            <w:r w:rsidRPr="00876E34">
              <w:rPr>
                <w:rStyle w:val="Strong"/>
                <w:rFonts w:ascii="Times New Roman" w:hAnsi="Times New Roman" w:cs="Times New Roman"/>
                <w:sz w:val="18"/>
                <w:szCs w:val="18"/>
              </w:rPr>
              <w:t>0.013</w:t>
            </w:r>
          </w:p>
        </w:tc>
        <w:tc>
          <w:tcPr>
            <w:tcW w:w="1800" w:type="dxa"/>
            <w:hideMark/>
          </w:tcPr>
          <w:p w14:paraId="2599DEA3" w14:textId="77777777" w:rsidR="004622B3" w:rsidRPr="00876E34" w:rsidRDefault="004622B3" w:rsidP="004463CD">
            <w:pPr>
              <w:rPr>
                <w:rFonts w:ascii="Times New Roman" w:hAnsi="Times New Roman" w:cs="Times New Roman"/>
                <w:sz w:val="18"/>
                <w:szCs w:val="18"/>
              </w:rPr>
            </w:pPr>
            <w:r w:rsidRPr="00876E34">
              <w:rPr>
                <w:rStyle w:val="Strong"/>
                <w:rFonts w:ascii="Times New Roman" w:hAnsi="Times New Roman" w:cs="Times New Roman"/>
                <w:sz w:val="18"/>
                <w:szCs w:val="18"/>
              </w:rPr>
              <w:t>84.0</w:t>
            </w:r>
          </w:p>
        </w:tc>
        <w:tc>
          <w:tcPr>
            <w:tcW w:w="1890" w:type="dxa"/>
            <w:hideMark/>
          </w:tcPr>
          <w:p w14:paraId="1AFEE51D" w14:textId="77777777" w:rsidR="004622B3" w:rsidRPr="00876E34" w:rsidRDefault="004622B3" w:rsidP="004463CD">
            <w:pPr>
              <w:rPr>
                <w:rFonts w:ascii="Times New Roman" w:hAnsi="Times New Roman" w:cs="Times New Roman"/>
                <w:sz w:val="18"/>
                <w:szCs w:val="18"/>
              </w:rPr>
            </w:pPr>
            <w:r w:rsidRPr="00876E34">
              <w:rPr>
                <w:rStyle w:val="Strong"/>
                <w:rFonts w:ascii="Times New Roman" w:hAnsi="Times New Roman" w:cs="Times New Roman"/>
                <w:sz w:val="18"/>
                <w:szCs w:val="18"/>
              </w:rPr>
              <w:t>0.41</w:t>
            </w:r>
          </w:p>
        </w:tc>
        <w:tc>
          <w:tcPr>
            <w:tcW w:w="1710" w:type="dxa"/>
            <w:hideMark/>
          </w:tcPr>
          <w:p w14:paraId="3FA85177" w14:textId="77777777" w:rsidR="004622B3" w:rsidRPr="00876E34" w:rsidRDefault="004622B3" w:rsidP="004463CD">
            <w:pPr>
              <w:rPr>
                <w:rFonts w:ascii="Times New Roman" w:hAnsi="Times New Roman" w:cs="Times New Roman"/>
                <w:sz w:val="18"/>
                <w:szCs w:val="18"/>
              </w:rPr>
            </w:pPr>
            <w:r w:rsidRPr="00876E34">
              <w:rPr>
                <w:rStyle w:val="Strong"/>
                <w:rFonts w:ascii="Times New Roman" w:hAnsi="Times New Roman" w:cs="Times New Roman"/>
                <w:sz w:val="18"/>
                <w:szCs w:val="18"/>
              </w:rPr>
              <w:t>0.29</w:t>
            </w:r>
          </w:p>
        </w:tc>
      </w:tr>
    </w:tbl>
    <w:p w14:paraId="334B9762" w14:textId="77777777" w:rsidR="004622B3" w:rsidRPr="004622B3" w:rsidRDefault="004622B3" w:rsidP="004622B3">
      <w:pPr>
        <w:pStyle w:val="NormalWeb"/>
        <w:spacing w:line="360" w:lineRule="auto"/>
        <w:jc w:val="both"/>
        <w:rPr>
          <w:sz w:val="22"/>
          <w:szCs w:val="22"/>
        </w:rPr>
      </w:pPr>
      <w:r w:rsidRPr="004622B3">
        <w:rPr>
          <w:rStyle w:val="Strong"/>
          <w:bCs w:val="0"/>
          <w:sz w:val="22"/>
          <w:szCs w:val="22"/>
        </w:rPr>
        <w:t xml:space="preserve">Figure 6: </w:t>
      </w:r>
      <w:r w:rsidRPr="004622B3">
        <w:rPr>
          <w:rStyle w:val="Emphasis"/>
          <w:b/>
          <w:sz w:val="22"/>
          <w:szCs w:val="22"/>
        </w:rPr>
        <w:t>Bootstrap Sampling Distributions of Annual Effective Dose Equivalent (AEDE) across All Zones</w:t>
      </w:r>
    </w:p>
    <w:p w14:paraId="75FB4C03" w14:textId="77777777" w:rsidR="004622B3" w:rsidRDefault="004622B3" w:rsidP="004622B3">
      <w:pPr>
        <w:pStyle w:val="NormalWeb"/>
        <w:spacing w:line="360" w:lineRule="auto"/>
        <w:jc w:val="both"/>
        <w:rPr>
          <w:sz w:val="22"/>
          <w:szCs w:val="22"/>
        </w:rPr>
      </w:pPr>
    </w:p>
    <w:p w14:paraId="449FFEE2" w14:textId="77777777" w:rsidR="004622B3" w:rsidRPr="004622B3" w:rsidRDefault="004622B3" w:rsidP="004622B3">
      <w:pPr>
        <w:pStyle w:val="NormalWeb"/>
        <w:spacing w:line="360" w:lineRule="auto"/>
        <w:jc w:val="both"/>
        <w:rPr>
          <w:sz w:val="22"/>
          <w:szCs w:val="22"/>
        </w:rPr>
      </w:pPr>
      <w:r w:rsidRPr="004622B3">
        <w:rPr>
          <w:sz w:val="22"/>
          <w:szCs w:val="22"/>
        </w:rPr>
        <w:lastRenderedPageBreak/>
        <w:t>The Monte Carlo simulations, conducted with 10,000 iterations per zone under ±10% input uncertainty, revealed consistent central tendencies across locations. For instance, the annual effective dose equivalent (AEDE</w:t>
      </w:r>
      <w:r w:rsidR="00BD5BF2">
        <w:rPr>
          <w:sz w:val="22"/>
          <w:szCs w:val="22"/>
        </w:rPr>
        <w:t>) ranged from 0.096 ± 0.010 mSv</w:t>
      </w:r>
      <w:r w:rsidRPr="004622B3">
        <w:rPr>
          <w:sz w:val="22"/>
          <w:szCs w:val="22"/>
        </w:rPr>
        <w:t xml:space="preserve">y⁻¹ in </w:t>
      </w:r>
      <w:proofErr w:type="spellStart"/>
      <w:r w:rsidRPr="004622B3">
        <w:rPr>
          <w:sz w:val="22"/>
          <w:szCs w:val="22"/>
        </w:rPr>
        <w:t>Ozoro</w:t>
      </w:r>
      <w:proofErr w:type="spellEnd"/>
      <w:r w:rsidRPr="004622B3">
        <w:rPr>
          <w:sz w:val="22"/>
          <w:szCs w:val="22"/>
        </w:rPr>
        <w:t xml:space="preserve"> R</w:t>
      </w:r>
      <w:r w:rsidR="00BD5BF2">
        <w:rPr>
          <w:sz w:val="22"/>
          <w:szCs w:val="22"/>
        </w:rPr>
        <w:t>esidential to 0.127 ± 0.021 mSv</w:t>
      </w:r>
      <w:r w:rsidRPr="004622B3">
        <w:rPr>
          <w:sz w:val="22"/>
          <w:szCs w:val="22"/>
        </w:rPr>
        <w:t xml:space="preserve">y⁻¹ in </w:t>
      </w:r>
      <w:proofErr w:type="spellStart"/>
      <w:r w:rsidRPr="004622B3">
        <w:rPr>
          <w:sz w:val="22"/>
          <w:szCs w:val="22"/>
        </w:rPr>
        <w:t>Ozoro</w:t>
      </w:r>
      <w:proofErr w:type="spellEnd"/>
      <w:r w:rsidRPr="004622B3">
        <w:rPr>
          <w:sz w:val="22"/>
          <w:szCs w:val="22"/>
        </w:rPr>
        <w:t xml:space="preserve"> Market, with a p</w:t>
      </w:r>
      <w:r w:rsidR="00BD5BF2">
        <w:rPr>
          <w:sz w:val="22"/>
          <w:szCs w:val="22"/>
        </w:rPr>
        <w:t>ooled mean of 0.105 ± 0.015 mSv</w:t>
      </w:r>
      <w:r w:rsidRPr="004622B3">
        <w:rPr>
          <w:sz w:val="22"/>
          <w:szCs w:val="22"/>
        </w:rPr>
        <w:t>y⁻¹. The excess lifetime cancer risk (ELCR) estimates similarly exhibited low dispersion, with a mean of 0.370 ± 0.054 ×10⁻³, aligning closely with the UNSCEAR reference value of 0.29 ×10⁻³.</w:t>
      </w:r>
      <w:r w:rsidR="00BD5BF2">
        <w:rPr>
          <w:sz w:val="22"/>
          <w:szCs w:val="22"/>
        </w:rPr>
        <w:t xml:space="preserve"> </w:t>
      </w:r>
      <w:r w:rsidRPr="004622B3">
        <w:rPr>
          <w:sz w:val="22"/>
          <w:szCs w:val="22"/>
        </w:rPr>
        <w:t>Bootstrap resampling (5,000 iterations per zone) yielded nearly identical point estimates and standard deviations to those obtained via Monte Carlo, affirming the internal consistency of the results. The Bootstrap-derived standard errors remained stable across zones, and the pooled AEDE and ELCR values matched those from the Monte Car</w:t>
      </w:r>
      <w:r w:rsidR="00BD5BF2">
        <w:rPr>
          <w:sz w:val="22"/>
          <w:szCs w:val="22"/>
        </w:rPr>
        <w:t>lo framework (0.105 ± 0.015 mSv</w:t>
      </w:r>
      <w:r w:rsidRPr="004622B3">
        <w:rPr>
          <w:sz w:val="22"/>
          <w:szCs w:val="22"/>
        </w:rPr>
        <w:t>y⁻¹ and 0.370 ± 0.054 ×10⁻³, respectively). The distributional characteristi</w:t>
      </w:r>
      <w:r w:rsidR="00BD5BF2">
        <w:rPr>
          <w:sz w:val="22"/>
          <w:szCs w:val="22"/>
        </w:rPr>
        <w:t xml:space="preserve">cs of AEDE across all zones illustrated in Figure 6, </w:t>
      </w:r>
      <w:r w:rsidRPr="004622B3">
        <w:rPr>
          <w:sz w:val="22"/>
          <w:szCs w:val="22"/>
        </w:rPr>
        <w:t>demonstrates the symmetry and concentration of the resampled estimates around their respective means.</w:t>
      </w:r>
      <w:r w:rsidR="00BD5BF2">
        <w:rPr>
          <w:sz w:val="22"/>
          <w:szCs w:val="22"/>
        </w:rPr>
        <w:t xml:space="preserve"> </w:t>
      </w:r>
      <w:r w:rsidRPr="004622B3">
        <w:rPr>
          <w:sz w:val="22"/>
          <w:szCs w:val="22"/>
        </w:rPr>
        <w:t>Bayesian posterior estimates, derived using a Normal–Inverse Gamma model with 5,000 draws, further substantiated the findings. The 95% credible intervals (</w:t>
      </w:r>
      <w:proofErr w:type="spellStart"/>
      <w:r w:rsidRPr="004622B3">
        <w:rPr>
          <w:sz w:val="22"/>
          <w:szCs w:val="22"/>
        </w:rPr>
        <w:t>CrI</w:t>
      </w:r>
      <w:proofErr w:type="spellEnd"/>
      <w:r w:rsidRPr="004622B3">
        <w:rPr>
          <w:sz w:val="22"/>
          <w:szCs w:val="22"/>
        </w:rPr>
        <w:t>) for AEDE were narrow and well-</w:t>
      </w:r>
      <w:r w:rsidR="00BD5BF2">
        <w:rPr>
          <w:sz w:val="22"/>
          <w:szCs w:val="22"/>
        </w:rPr>
        <w:t>centered-</w:t>
      </w:r>
      <w:r w:rsidRPr="004622B3">
        <w:rPr>
          <w:sz w:val="22"/>
          <w:szCs w:val="22"/>
        </w:rPr>
        <w:t>for e</w:t>
      </w:r>
      <w:r w:rsidR="00BD5BF2">
        <w:rPr>
          <w:sz w:val="22"/>
          <w:szCs w:val="22"/>
        </w:rPr>
        <w:t>xample, 0.096 (0.081–0.111) mSv</w:t>
      </w:r>
      <w:r w:rsidRPr="004622B3">
        <w:rPr>
          <w:sz w:val="22"/>
          <w:szCs w:val="22"/>
        </w:rPr>
        <w:t xml:space="preserve">y⁻¹ in </w:t>
      </w:r>
      <w:proofErr w:type="spellStart"/>
      <w:r w:rsidRPr="004622B3">
        <w:rPr>
          <w:sz w:val="22"/>
          <w:szCs w:val="22"/>
        </w:rPr>
        <w:t>Ozoro</w:t>
      </w:r>
      <w:proofErr w:type="spellEnd"/>
      <w:r w:rsidRPr="004622B3">
        <w:rPr>
          <w:sz w:val="22"/>
          <w:szCs w:val="22"/>
        </w:rPr>
        <w:t xml:space="preserve"> Resident</w:t>
      </w:r>
      <w:r w:rsidR="00BD5BF2">
        <w:rPr>
          <w:sz w:val="22"/>
          <w:szCs w:val="22"/>
        </w:rPr>
        <w:t xml:space="preserve">ial and 0.127 (0.106–0.148) mSvy⁻¹ in </w:t>
      </w:r>
      <w:proofErr w:type="spellStart"/>
      <w:r w:rsidR="00BD5BF2">
        <w:rPr>
          <w:sz w:val="22"/>
          <w:szCs w:val="22"/>
        </w:rPr>
        <w:t>Ozoro</w:t>
      </w:r>
      <w:proofErr w:type="spellEnd"/>
      <w:r w:rsidR="00BD5BF2">
        <w:rPr>
          <w:sz w:val="22"/>
          <w:szCs w:val="22"/>
        </w:rPr>
        <w:t xml:space="preserve"> Market </w:t>
      </w:r>
      <w:r w:rsidRPr="004622B3">
        <w:rPr>
          <w:sz w:val="22"/>
          <w:szCs w:val="22"/>
        </w:rPr>
        <w:t xml:space="preserve">indicating high posterior precision. The posterior means and </w:t>
      </w:r>
      <w:proofErr w:type="spellStart"/>
      <w:r w:rsidRPr="004622B3">
        <w:rPr>
          <w:sz w:val="22"/>
          <w:szCs w:val="22"/>
        </w:rPr>
        <w:t>CrIs</w:t>
      </w:r>
      <w:proofErr w:type="spellEnd"/>
      <w:r w:rsidRPr="004622B3">
        <w:rPr>
          <w:sz w:val="22"/>
          <w:szCs w:val="22"/>
        </w:rPr>
        <w:t xml:space="preserve"> for ELCR similarly exhibited tight bounds, with pooled estimates consistent with both Bootstrap and Monte Carlo outputs.</w:t>
      </w:r>
      <w:r w:rsidR="00BD5BF2">
        <w:rPr>
          <w:sz w:val="22"/>
          <w:szCs w:val="22"/>
        </w:rPr>
        <w:t xml:space="preserve"> </w:t>
      </w:r>
      <w:r w:rsidRPr="004622B3">
        <w:rPr>
          <w:sz w:val="22"/>
          <w:szCs w:val="22"/>
        </w:rPr>
        <w:t>The convergence of results across th</w:t>
      </w:r>
      <w:r w:rsidR="00BD5BF2">
        <w:rPr>
          <w:sz w:val="22"/>
          <w:szCs w:val="22"/>
        </w:rPr>
        <w:t xml:space="preserve">ese three inferential paradigms, </w:t>
      </w:r>
      <w:r w:rsidRPr="004622B3">
        <w:rPr>
          <w:sz w:val="22"/>
          <w:szCs w:val="22"/>
        </w:rPr>
        <w:t>frequentist resampling, stochastic simu</w:t>
      </w:r>
      <w:r w:rsidR="00BD5BF2">
        <w:rPr>
          <w:sz w:val="22"/>
          <w:szCs w:val="22"/>
        </w:rPr>
        <w:t xml:space="preserve">lation, and Bayesian estimation, </w:t>
      </w:r>
      <w:r w:rsidRPr="004622B3">
        <w:rPr>
          <w:sz w:val="22"/>
          <w:szCs w:val="22"/>
        </w:rPr>
        <w:t>provides compelling evidence of statistical robustness. This integrative approach enhances confidence in the reported metrics and affirms the reproducibility of the radiological risk assessments under varying epistemic and aleatory uncertainties.</w:t>
      </w:r>
    </w:p>
    <w:p w14:paraId="4901FE3D" w14:textId="77777777" w:rsidR="009020F4" w:rsidRDefault="009020F4" w:rsidP="001475AC">
      <w:pPr>
        <w:spacing w:line="360" w:lineRule="auto"/>
        <w:jc w:val="both"/>
        <w:rPr>
          <w:rFonts w:ascii="Times New Roman" w:hAnsi="Times New Roman" w:cs="Times New Roman"/>
          <w:b/>
        </w:rPr>
      </w:pPr>
    </w:p>
    <w:p w14:paraId="6C8357B4" w14:textId="77777777" w:rsidR="009020F4" w:rsidRDefault="009020F4" w:rsidP="001475AC">
      <w:pPr>
        <w:spacing w:line="360" w:lineRule="auto"/>
        <w:jc w:val="both"/>
        <w:rPr>
          <w:rFonts w:ascii="Times New Roman" w:hAnsi="Times New Roman" w:cs="Times New Roman"/>
          <w:b/>
        </w:rPr>
      </w:pPr>
    </w:p>
    <w:p w14:paraId="05C883AA" w14:textId="77777777" w:rsidR="009020F4" w:rsidRDefault="009020F4" w:rsidP="001475AC">
      <w:pPr>
        <w:spacing w:line="360" w:lineRule="auto"/>
        <w:jc w:val="both"/>
        <w:rPr>
          <w:rFonts w:ascii="Times New Roman" w:hAnsi="Times New Roman" w:cs="Times New Roman"/>
          <w:b/>
        </w:rPr>
      </w:pPr>
    </w:p>
    <w:p w14:paraId="786FBA31" w14:textId="77777777" w:rsidR="009020F4" w:rsidRDefault="009020F4" w:rsidP="001475AC">
      <w:pPr>
        <w:spacing w:line="360" w:lineRule="auto"/>
        <w:jc w:val="both"/>
        <w:rPr>
          <w:rFonts w:ascii="Times New Roman" w:hAnsi="Times New Roman" w:cs="Times New Roman"/>
          <w:b/>
        </w:rPr>
      </w:pPr>
    </w:p>
    <w:p w14:paraId="7146D4CC" w14:textId="77777777" w:rsidR="009020F4" w:rsidRDefault="009020F4" w:rsidP="001475AC">
      <w:pPr>
        <w:spacing w:line="360" w:lineRule="auto"/>
        <w:jc w:val="both"/>
        <w:rPr>
          <w:rFonts w:ascii="Times New Roman" w:hAnsi="Times New Roman" w:cs="Times New Roman"/>
          <w:b/>
        </w:rPr>
      </w:pPr>
    </w:p>
    <w:p w14:paraId="455E7EA2" w14:textId="77777777" w:rsidR="009020F4" w:rsidRDefault="009020F4" w:rsidP="001475AC">
      <w:pPr>
        <w:spacing w:line="360" w:lineRule="auto"/>
        <w:jc w:val="both"/>
        <w:rPr>
          <w:rFonts w:ascii="Times New Roman" w:hAnsi="Times New Roman" w:cs="Times New Roman"/>
          <w:b/>
        </w:rPr>
      </w:pPr>
    </w:p>
    <w:p w14:paraId="552CF5AD" w14:textId="77777777" w:rsidR="009020F4" w:rsidRDefault="009020F4" w:rsidP="001475AC">
      <w:pPr>
        <w:spacing w:line="360" w:lineRule="auto"/>
        <w:jc w:val="both"/>
        <w:rPr>
          <w:rFonts w:ascii="Times New Roman" w:hAnsi="Times New Roman" w:cs="Times New Roman"/>
          <w:b/>
        </w:rPr>
      </w:pPr>
    </w:p>
    <w:p w14:paraId="38D9CC1C" w14:textId="77777777" w:rsidR="009020F4" w:rsidRDefault="009020F4" w:rsidP="001475AC">
      <w:pPr>
        <w:spacing w:line="360" w:lineRule="auto"/>
        <w:jc w:val="both"/>
        <w:rPr>
          <w:rFonts w:ascii="Times New Roman" w:hAnsi="Times New Roman" w:cs="Times New Roman"/>
          <w:b/>
        </w:rPr>
      </w:pPr>
    </w:p>
    <w:p w14:paraId="167814FB" w14:textId="77777777" w:rsidR="009020F4" w:rsidRDefault="009020F4" w:rsidP="001475AC">
      <w:pPr>
        <w:spacing w:line="360" w:lineRule="auto"/>
        <w:jc w:val="both"/>
        <w:rPr>
          <w:rFonts w:ascii="Times New Roman" w:hAnsi="Times New Roman" w:cs="Times New Roman"/>
          <w:b/>
        </w:rPr>
      </w:pPr>
    </w:p>
    <w:p w14:paraId="17C9AD9D" w14:textId="77777777" w:rsidR="00D17234" w:rsidRPr="009020F4" w:rsidRDefault="00806B74" w:rsidP="001475AC">
      <w:pPr>
        <w:spacing w:line="360" w:lineRule="auto"/>
        <w:jc w:val="both"/>
        <w:rPr>
          <w:rFonts w:ascii="Times New Roman" w:hAnsi="Times New Roman" w:cs="Times New Roman"/>
          <w:b/>
        </w:rPr>
      </w:pPr>
      <w:r w:rsidRPr="009020F4">
        <w:rPr>
          <w:rFonts w:ascii="Times New Roman" w:hAnsi="Times New Roman" w:cs="Times New Roman"/>
          <w:b/>
        </w:rPr>
        <w:lastRenderedPageBreak/>
        <w:t>4.0 Conclusion and Recommendation</w:t>
      </w:r>
    </w:p>
    <w:p w14:paraId="2F161E01" w14:textId="77777777" w:rsidR="009020F4" w:rsidRPr="009020F4" w:rsidRDefault="009020F4" w:rsidP="009020F4">
      <w:pPr>
        <w:pStyle w:val="NormalWeb"/>
        <w:spacing w:line="360" w:lineRule="auto"/>
        <w:jc w:val="both"/>
        <w:rPr>
          <w:sz w:val="22"/>
          <w:szCs w:val="22"/>
        </w:rPr>
      </w:pPr>
      <w:r w:rsidRPr="009020F4">
        <w:rPr>
          <w:sz w:val="22"/>
          <w:szCs w:val="22"/>
        </w:rPr>
        <w:t xml:space="preserve">This study provides a comprehensive radiological assessment of background ionizing radiation and associated health risks across urban zones in Oleh and </w:t>
      </w:r>
      <w:proofErr w:type="spellStart"/>
      <w:r w:rsidRPr="009020F4">
        <w:rPr>
          <w:sz w:val="22"/>
          <w:szCs w:val="22"/>
        </w:rPr>
        <w:t>Ozoro</w:t>
      </w:r>
      <w:proofErr w:type="spellEnd"/>
      <w:r w:rsidRPr="009020F4">
        <w:rPr>
          <w:sz w:val="22"/>
          <w:szCs w:val="22"/>
        </w:rPr>
        <w:t>, Delta State, Nigeria. The measured background ionizing radiation (BIR) and absorbed dose rates (ADR) across both towns were within global safety thresholds, with mean ADR v</w:t>
      </w:r>
      <w:r>
        <w:rPr>
          <w:sz w:val="22"/>
          <w:szCs w:val="22"/>
        </w:rPr>
        <w:t>alues of 83.08 ± 10.63 nGy</w:t>
      </w:r>
      <w:r w:rsidRPr="009020F4">
        <w:rPr>
          <w:sz w:val="22"/>
          <w:szCs w:val="22"/>
        </w:rPr>
        <w:t>h⁻</w:t>
      </w:r>
      <w:r>
        <w:rPr>
          <w:sz w:val="22"/>
          <w:szCs w:val="22"/>
        </w:rPr>
        <w:t>¹ in Oleh and 91.05 ± 12.54 nGy</w:t>
      </w:r>
      <w:r w:rsidRPr="009020F4">
        <w:rPr>
          <w:sz w:val="22"/>
          <w:szCs w:val="22"/>
        </w:rPr>
        <w:t xml:space="preserve">h⁻¹ in </w:t>
      </w:r>
      <w:proofErr w:type="spellStart"/>
      <w:r w:rsidRPr="009020F4">
        <w:rPr>
          <w:sz w:val="22"/>
          <w:szCs w:val="22"/>
        </w:rPr>
        <w:t>Ozoro</w:t>
      </w:r>
      <w:proofErr w:type="spellEnd"/>
      <w:r w:rsidRPr="009020F4">
        <w:rPr>
          <w:sz w:val="22"/>
          <w:szCs w:val="22"/>
        </w:rPr>
        <w:t xml:space="preserve">, both approximating the UNSCEAR </w:t>
      </w:r>
      <w:r>
        <w:rPr>
          <w:sz w:val="22"/>
          <w:szCs w:val="22"/>
        </w:rPr>
        <w:t>(2000) global average of 84 nGy</w:t>
      </w:r>
      <w:r w:rsidRPr="009020F4">
        <w:rPr>
          <w:sz w:val="22"/>
          <w:szCs w:val="22"/>
        </w:rPr>
        <w:t>h⁻¹. The corresponding annual effectiv</w:t>
      </w:r>
      <w:r>
        <w:rPr>
          <w:sz w:val="22"/>
          <w:szCs w:val="22"/>
        </w:rPr>
        <w:t>e dose equivalent (AEDE) values-0.103 ± 0.013 mSv</w:t>
      </w:r>
      <w:r w:rsidRPr="009020F4">
        <w:rPr>
          <w:sz w:val="22"/>
          <w:szCs w:val="22"/>
        </w:rPr>
        <w:t xml:space="preserve">y⁻¹ in Oleh and 0.112 ± 0.016 </w:t>
      </w:r>
      <w:r>
        <w:rPr>
          <w:sz w:val="22"/>
          <w:szCs w:val="22"/>
        </w:rPr>
        <w:t xml:space="preserve">mSvy⁻¹ in </w:t>
      </w:r>
      <w:proofErr w:type="spellStart"/>
      <w:r>
        <w:rPr>
          <w:sz w:val="22"/>
          <w:szCs w:val="22"/>
        </w:rPr>
        <w:t>Ozoro</w:t>
      </w:r>
      <w:proofErr w:type="spellEnd"/>
      <w:r>
        <w:rPr>
          <w:sz w:val="22"/>
          <w:szCs w:val="22"/>
        </w:rPr>
        <w:t xml:space="preserve"> </w:t>
      </w:r>
      <w:r w:rsidRPr="009020F4">
        <w:rPr>
          <w:sz w:val="22"/>
          <w:szCs w:val="22"/>
        </w:rPr>
        <w:t>were significantly below the ICRP</w:t>
      </w:r>
      <w:r>
        <w:rPr>
          <w:sz w:val="22"/>
          <w:szCs w:val="22"/>
        </w:rPr>
        <w:t xml:space="preserve"> public exposure limit of 1 mSv</w:t>
      </w:r>
      <w:r w:rsidRPr="009020F4">
        <w:rPr>
          <w:sz w:val="22"/>
          <w:szCs w:val="22"/>
        </w:rPr>
        <w:t xml:space="preserve">y⁻¹ and approximately four times lower than the </w:t>
      </w:r>
      <w:r>
        <w:rPr>
          <w:sz w:val="22"/>
          <w:szCs w:val="22"/>
        </w:rPr>
        <w:t>UNSCEAR global mean of 0.41 mSv</w:t>
      </w:r>
      <w:r w:rsidRPr="009020F4">
        <w:rPr>
          <w:sz w:val="22"/>
          <w:szCs w:val="22"/>
        </w:rPr>
        <w:t>y⁻¹. These findings affirm that the environmental radiation burden in the study area remains within acceptable limits for public health.</w:t>
      </w:r>
      <w:r w:rsidR="00875A53">
        <w:rPr>
          <w:sz w:val="22"/>
          <w:szCs w:val="22"/>
        </w:rPr>
        <w:t xml:space="preserve"> </w:t>
      </w:r>
      <w:r w:rsidRPr="009020F4">
        <w:rPr>
          <w:sz w:val="22"/>
          <w:szCs w:val="22"/>
        </w:rPr>
        <w:t xml:space="preserve">The estimated excess lifetime cancer risk (ELCR), although slightly exceeding the UNSCEAR reference value of 0.29 × 10⁻³, remained within tolerable stochastic risk margins, with a pooled mean of 0.376 ± 0.055 × 10⁻³. Spatial analysis revealed that market zones consistently exhibited elevated radiological indices, likely due to increased anthropogenic activity, denser infrastructure, and lithologic enrichment. Organ-specific dose estimates further highlighted the </w:t>
      </w:r>
      <w:proofErr w:type="spellStart"/>
      <w:r w:rsidRPr="009020F4">
        <w:rPr>
          <w:sz w:val="22"/>
          <w:szCs w:val="22"/>
        </w:rPr>
        <w:t>radiosensitivity</w:t>
      </w:r>
      <w:proofErr w:type="spellEnd"/>
      <w:r w:rsidRPr="009020F4">
        <w:rPr>
          <w:sz w:val="22"/>
          <w:szCs w:val="22"/>
        </w:rPr>
        <w:t xml:space="preserve"> of critical tissues, with the testes, bone marrow, and whole body receiving the highest doses, reinforcing the need for tissue-weighted risk evaluation.</w:t>
      </w:r>
      <w:r w:rsidR="00E772EC">
        <w:rPr>
          <w:sz w:val="22"/>
          <w:szCs w:val="22"/>
        </w:rPr>
        <w:t xml:space="preserve"> </w:t>
      </w:r>
      <w:r w:rsidRPr="009020F4">
        <w:rPr>
          <w:sz w:val="22"/>
          <w:szCs w:val="22"/>
        </w:rPr>
        <w:t>The robustness of the findings was validated through a triadic statistical framework comprising Monte Carlo simulations, Bayesian inference, and Bootstrap resampling. The convergence of estimates across these paradigms, particularly the alignment of 95% credible intervals, standard deviations, and central tendencies, underscores the internal consistency and reproducibility of the results.</w:t>
      </w:r>
      <w:r w:rsidR="00E772EC">
        <w:rPr>
          <w:sz w:val="22"/>
          <w:szCs w:val="22"/>
        </w:rPr>
        <w:t xml:space="preserve"> </w:t>
      </w:r>
      <w:r w:rsidRPr="009020F4">
        <w:rPr>
          <w:sz w:val="22"/>
          <w:szCs w:val="22"/>
        </w:rPr>
        <w:t>While current exposure levels pose no significant radiological threat, periodic environmental monitoring is recommended to track potential changes due to urbanization, industrialization, or land-use dynamics. Future studies should incorporate radionuclide-specific assays of soil and construction materials to better characterize source contributions. Public health agencies may also consider targeted awareness campaigns and routine health surveillance in high-activity zones to reinforce radiological safety and preparedness.</w:t>
      </w:r>
    </w:p>
    <w:p w14:paraId="4882018B" w14:textId="77777777" w:rsidR="0036031E" w:rsidRPr="0036031E" w:rsidRDefault="0036031E" w:rsidP="0036031E">
      <w:pPr>
        <w:spacing w:after="200" w:line="276" w:lineRule="auto"/>
        <w:jc w:val="both"/>
        <w:outlineLvl w:val="0"/>
        <w:rPr>
          <w:rFonts w:ascii="Arial" w:eastAsia="Times New Roman" w:hAnsi="Arial" w:cs="Arial"/>
          <w:lang w:val="en-GB" w:eastAsia="en-GB"/>
        </w:rPr>
      </w:pPr>
      <w:r w:rsidRPr="0036031E">
        <w:rPr>
          <w:rFonts w:ascii="Arial" w:eastAsia="Times New Roman" w:hAnsi="Arial" w:cs="Arial"/>
          <w:b/>
          <w:bCs/>
          <w:lang w:val="en-GB" w:eastAsia="en-GB"/>
        </w:rPr>
        <w:t>COMPETING INTERESTS DISCLAIMER:</w:t>
      </w:r>
    </w:p>
    <w:p w14:paraId="3E820498" w14:textId="77777777" w:rsidR="0036031E" w:rsidRPr="0036031E" w:rsidRDefault="0036031E" w:rsidP="0036031E">
      <w:pPr>
        <w:spacing w:after="200" w:line="276" w:lineRule="auto"/>
        <w:rPr>
          <w:rFonts w:ascii="Calibri" w:eastAsia="Times New Roman" w:hAnsi="Calibri" w:cs="Times New Roman"/>
          <w:lang w:val="en-GB" w:eastAsia="en-GB"/>
        </w:rPr>
      </w:pPr>
      <w:r w:rsidRPr="0036031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D0C992E" w14:textId="77777777" w:rsidR="003D095B" w:rsidRDefault="003D095B" w:rsidP="001475AC">
      <w:pPr>
        <w:spacing w:line="360" w:lineRule="auto"/>
        <w:jc w:val="both"/>
        <w:rPr>
          <w:rFonts w:ascii="Times New Roman" w:hAnsi="Times New Roman" w:cs="Times New Roman"/>
          <w:b/>
          <w:sz w:val="24"/>
          <w:szCs w:val="24"/>
        </w:rPr>
      </w:pPr>
    </w:p>
    <w:p w14:paraId="375D3A13" w14:textId="34D585E8" w:rsidR="003D095B" w:rsidRDefault="003D095B" w:rsidP="001475AC">
      <w:pPr>
        <w:spacing w:line="360" w:lineRule="auto"/>
        <w:jc w:val="both"/>
        <w:rPr>
          <w:rFonts w:ascii="Times New Roman" w:hAnsi="Times New Roman" w:cs="Times New Roman"/>
          <w:b/>
          <w:sz w:val="24"/>
          <w:szCs w:val="24"/>
        </w:rPr>
      </w:pPr>
    </w:p>
    <w:p w14:paraId="7E7EE3BA" w14:textId="64F35D97" w:rsidR="003B7928" w:rsidRDefault="003B7928" w:rsidP="001475AC">
      <w:pPr>
        <w:spacing w:line="360" w:lineRule="auto"/>
        <w:jc w:val="both"/>
        <w:rPr>
          <w:rFonts w:ascii="Times New Roman" w:hAnsi="Times New Roman" w:cs="Times New Roman"/>
          <w:b/>
          <w:sz w:val="24"/>
          <w:szCs w:val="24"/>
        </w:rPr>
      </w:pPr>
    </w:p>
    <w:p w14:paraId="675A4FFB" w14:textId="77777777" w:rsidR="003B7928" w:rsidRDefault="003B7928" w:rsidP="001475AC">
      <w:pPr>
        <w:spacing w:line="360" w:lineRule="auto"/>
        <w:jc w:val="both"/>
        <w:rPr>
          <w:rFonts w:ascii="Times New Roman" w:hAnsi="Times New Roman" w:cs="Times New Roman"/>
          <w:b/>
          <w:sz w:val="24"/>
          <w:szCs w:val="24"/>
        </w:rPr>
      </w:pPr>
      <w:bookmarkStart w:id="0" w:name="_GoBack"/>
      <w:bookmarkEnd w:id="0"/>
    </w:p>
    <w:p w14:paraId="0E89C5DE" w14:textId="77777777" w:rsidR="001B484F" w:rsidRDefault="003D095B" w:rsidP="00C14E98">
      <w:pPr>
        <w:spacing w:line="360" w:lineRule="auto"/>
        <w:jc w:val="both"/>
        <w:rPr>
          <w:rFonts w:ascii="Times New Roman" w:hAnsi="Times New Roman" w:cs="Times New Roman"/>
          <w:b/>
        </w:rPr>
      </w:pPr>
      <w:r w:rsidRPr="003D095B">
        <w:rPr>
          <w:rFonts w:ascii="Times New Roman" w:hAnsi="Times New Roman" w:cs="Times New Roman"/>
          <w:b/>
        </w:rPr>
        <w:t>References</w:t>
      </w:r>
    </w:p>
    <w:p w14:paraId="56789CC1" w14:textId="6D22D929"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t>Abara</w:t>
      </w:r>
      <w:proofErr w:type="spellEnd"/>
      <w:r w:rsidRPr="00C14E98">
        <w:rPr>
          <w:sz w:val="22"/>
          <w:szCs w:val="22"/>
        </w:rPr>
        <w:t xml:space="preserve">, C. C. (2023). </w:t>
      </w:r>
      <w:r w:rsidRPr="00C14E98">
        <w:rPr>
          <w:i/>
          <w:iCs/>
          <w:sz w:val="22"/>
          <w:szCs w:val="22"/>
        </w:rPr>
        <w:t>Baseline background radiation in offices within Federal University of Technology, Owerri</w:t>
      </w:r>
      <w:r w:rsidRPr="00C14E98">
        <w:rPr>
          <w:sz w:val="22"/>
          <w:szCs w:val="22"/>
        </w:rPr>
        <w:t xml:space="preserve"> [Master's thesis, Federal University of Technology, Owerri]. Federal University of Technology, Owerri Repository. </w:t>
      </w:r>
      <w:hyperlink r:id="rId17" w:tgtFrame="_blank" w:history="1">
        <w:r w:rsidRPr="00C14E98">
          <w:rPr>
            <w:rStyle w:val="Hyperlink"/>
            <w:color w:val="auto"/>
            <w:sz w:val="22"/>
            <w:szCs w:val="22"/>
          </w:rPr>
          <w:t>https://repository.futo.edu.ng/server/api/core/bitstreams/60605f7f-e70d-4d12-ad4c-98b95a6d3a53/content</w:t>
        </w:r>
      </w:hyperlink>
      <w:r w:rsidR="001C740B">
        <w:rPr>
          <w:rStyle w:val="Hyperlink"/>
          <w:color w:val="auto"/>
          <w:sz w:val="22"/>
          <w:szCs w:val="22"/>
        </w:rPr>
        <w:t xml:space="preserve"> </w:t>
      </w:r>
      <w:hyperlink r:id="rId18" w:history="1">
        <w:r w:rsidR="001C740B" w:rsidRPr="00393A56">
          <w:rPr>
            <w:rStyle w:val="Hyperlink"/>
            <w:sz w:val="22"/>
            <w:szCs w:val="22"/>
          </w:rPr>
          <w:t>https://repository.futo.edu.ng/handle/20.500.14562/1636</w:t>
        </w:r>
      </w:hyperlink>
      <w:r w:rsidR="001C740B">
        <w:rPr>
          <w:rStyle w:val="Hyperlink"/>
          <w:color w:val="auto"/>
          <w:sz w:val="22"/>
          <w:szCs w:val="22"/>
        </w:rPr>
        <w:t xml:space="preserve"> </w:t>
      </w:r>
    </w:p>
    <w:p w14:paraId="6C228069" w14:textId="08D3EC0F"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t>Agbalagba</w:t>
      </w:r>
      <w:proofErr w:type="spellEnd"/>
      <w:r w:rsidRPr="00C14E98">
        <w:rPr>
          <w:sz w:val="22"/>
          <w:szCs w:val="22"/>
        </w:rPr>
        <w:t xml:space="preserve">, E. O., </w:t>
      </w:r>
      <w:proofErr w:type="spellStart"/>
      <w:r w:rsidRPr="00C14E98">
        <w:rPr>
          <w:sz w:val="22"/>
          <w:szCs w:val="22"/>
        </w:rPr>
        <w:t>Nenuwe</w:t>
      </w:r>
      <w:proofErr w:type="spellEnd"/>
      <w:r w:rsidRPr="00C14E98">
        <w:rPr>
          <w:sz w:val="22"/>
          <w:szCs w:val="22"/>
        </w:rPr>
        <w:t xml:space="preserve">, O. N., &amp; </w:t>
      </w:r>
      <w:proofErr w:type="spellStart"/>
      <w:r w:rsidRPr="00C14E98">
        <w:rPr>
          <w:sz w:val="22"/>
          <w:szCs w:val="22"/>
        </w:rPr>
        <w:t>Egarievwe</w:t>
      </w:r>
      <w:proofErr w:type="spellEnd"/>
      <w:r w:rsidRPr="00C14E98">
        <w:rPr>
          <w:sz w:val="22"/>
          <w:szCs w:val="22"/>
        </w:rPr>
        <w:t xml:space="preserve">, U. S. (2020). GIS mapping of BIR levels around fossil fuel and gas dispensing stations and assessment of their radiological risk implications. </w:t>
      </w:r>
      <w:r w:rsidRPr="00C14E98">
        <w:rPr>
          <w:i/>
          <w:iCs/>
          <w:sz w:val="22"/>
          <w:szCs w:val="22"/>
        </w:rPr>
        <w:t>Geological Behavior</w:t>
      </w:r>
      <w:r w:rsidRPr="00C14E98">
        <w:rPr>
          <w:sz w:val="22"/>
          <w:szCs w:val="22"/>
        </w:rPr>
        <w:t xml:space="preserve">, </w:t>
      </w:r>
      <w:r w:rsidRPr="00C14E98">
        <w:rPr>
          <w:i/>
          <w:iCs/>
          <w:sz w:val="22"/>
          <w:szCs w:val="22"/>
        </w:rPr>
        <w:t>4</w:t>
      </w:r>
      <w:r w:rsidRPr="00C14E98">
        <w:rPr>
          <w:sz w:val="22"/>
          <w:szCs w:val="22"/>
        </w:rPr>
        <w:t xml:space="preserve">(2), 54–62. </w:t>
      </w:r>
      <w:hyperlink r:id="rId19" w:history="1">
        <w:r w:rsidR="001C740B" w:rsidRPr="00393A56">
          <w:rPr>
            <w:rStyle w:val="Hyperlink"/>
          </w:rPr>
          <w:t>https://doi.org/10.26480/gbr.02.2020.54.62</w:t>
        </w:r>
      </w:hyperlink>
      <w:r w:rsidR="001C740B">
        <w:t xml:space="preserve"> </w:t>
      </w:r>
    </w:p>
    <w:p w14:paraId="02A5365B" w14:textId="313FB927"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t>Agbalagba</w:t>
      </w:r>
      <w:proofErr w:type="spellEnd"/>
      <w:r w:rsidRPr="00C14E98">
        <w:rPr>
          <w:sz w:val="22"/>
          <w:szCs w:val="22"/>
        </w:rPr>
        <w:t xml:space="preserve">, O. E. (2017). Assessment of excess lifetime cancer risk from gamma radiation levels in Effurun and Warri City of Delta State, Nigeria. </w:t>
      </w:r>
      <w:r w:rsidRPr="00C14E98">
        <w:rPr>
          <w:i/>
          <w:iCs/>
          <w:sz w:val="22"/>
          <w:szCs w:val="22"/>
        </w:rPr>
        <w:t>Journal of Taibah University for Science</w:t>
      </w:r>
      <w:r w:rsidRPr="00C14E98">
        <w:rPr>
          <w:sz w:val="22"/>
          <w:szCs w:val="22"/>
        </w:rPr>
        <w:t xml:space="preserve">, </w:t>
      </w:r>
      <w:r w:rsidRPr="00C14E98">
        <w:rPr>
          <w:i/>
          <w:iCs/>
          <w:sz w:val="22"/>
          <w:szCs w:val="22"/>
        </w:rPr>
        <w:t>11</w:t>
      </w:r>
      <w:r w:rsidRPr="00C14E98">
        <w:rPr>
          <w:sz w:val="22"/>
          <w:szCs w:val="22"/>
        </w:rPr>
        <w:t>(3), 367–380.</w:t>
      </w:r>
      <w:r w:rsidR="001C740B" w:rsidRPr="001C740B">
        <w:t xml:space="preserve"> </w:t>
      </w:r>
      <w:hyperlink r:id="rId20" w:history="1">
        <w:r w:rsidR="001C740B" w:rsidRPr="00393A56">
          <w:rPr>
            <w:rStyle w:val="Hyperlink"/>
            <w:sz w:val="22"/>
            <w:szCs w:val="22"/>
          </w:rPr>
          <w:t>https://doi.org/10.1016/j.jtusci.2016.03.007</w:t>
        </w:r>
      </w:hyperlink>
      <w:r w:rsidR="001C740B">
        <w:rPr>
          <w:sz w:val="22"/>
          <w:szCs w:val="22"/>
        </w:rPr>
        <w:t xml:space="preserve"> </w:t>
      </w:r>
    </w:p>
    <w:p w14:paraId="1722FE6D" w14:textId="126F6F3A"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t>Agbalagba</w:t>
      </w:r>
      <w:proofErr w:type="spellEnd"/>
      <w:r w:rsidRPr="00C14E98">
        <w:rPr>
          <w:sz w:val="22"/>
          <w:szCs w:val="22"/>
        </w:rPr>
        <w:t xml:space="preserve">, O. E., &amp; </w:t>
      </w:r>
      <w:proofErr w:type="spellStart"/>
      <w:r w:rsidRPr="00C14E98">
        <w:rPr>
          <w:sz w:val="22"/>
          <w:szCs w:val="22"/>
        </w:rPr>
        <w:t>Anekwe</w:t>
      </w:r>
      <w:proofErr w:type="spellEnd"/>
      <w:r w:rsidRPr="00C14E98">
        <w:rPr>
          <w:sz w:val="22"/>
          <w:szCs w:val="22"/>
        </w:rPr>
        <w:t xml:space="preserve">, L. U. (2021). Radiometric mapping of terrestrial gamma radiation and evaluation of radiological health risk on the residents in Nigeria state commercial and capital cities. </w:t>
      </w:r>
      <w:r w:rsidRPr="00C14E98">
        <w:rPr>
          <w:i/>
          <w:iCs/>
          <w:sz w:val="22"/>
          <w:szCs w:val="22"/>
        </w:rPr>
        <w:t>Environmental Forensics</w:t>
      </w:r>
      <w:r w:rsidRPr="00C14E98">
        <w:rPr>
          <w:sz w:val="22"/>
          <w:szCs w:val="22"/>
        </w:rPr>
        <w:t xml:space="preserve">, </w:t>
      </w:r>
      <w:r w:rsidRPr="00C14E98">
        <w:rPr>
          <w:i/>
          <w:iCs/>
          <w:sz w:val="22"/>
          <w:szCs w:val="22"/>
        </w:rPr>
        <w:t>22</w:t>
      </w:r>
      <w:r w:rsidRPr="00C14E98">
        <w:rPr>
          <w:sz w:val="22"/>
          <w:szCs w:val="22"/>
        </w:rPr>
        <w:t xml:space="preserve">(1–2), 75–90. </w:t>
      </w:r>
      <w:hyperlink r:id="rId21" w:history="1">
        <w:r w:rsidR="001C740B" w:rsidRPr="00393A56">
          <w:rPr>
            <w:rStyle w:val="Hyperlink"/>
          </w:rPr>
          <w:t>https://doi.org/10.1080/15275922.2020.1836079</w:t>
        </w:r>
      </w:hyperlink>
      <w:r w:rsidR="001C740B">
        <w:t xml:space="preserve"> </w:t>
      </w:r>
    </w:p>
    <w:p w14:paraId="34876C60" w14:textId="77777777"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t>Agbalagba</w:t>
      </w:r>
      <w:proofErr w:type="spellEnd"/>
      <w:r w:rsidRPr="00C14E98">
        <w:rPr>
          <w:sz w:val="22"/>
          <w:szCs w:val="22"/>
        </w:rPr>
        <w:t xml:space="preserve">, P. O., &amp; </w:t>
      </w:r>
      <w:proofErr w:type="spellStart"/>
      <w:r w:rsidRPr="00C14E98">
        <w:rPr>
          <w:sz w:val="22"/>
          <w:szCs w:val="22"/>
        </w:rPr>
        <w:t>Okorodudu</w:t>
      </w:r>
      <w:proofErr w:type="spellEnd"/>
      <w:r w:rsidRPr="00C14E98">
        <w:rPr>
          <w:sz w:val="22"/>
          <w:szCs w:val="22"/>
        </w:rPr>
        <w:t xml:space="preserve">, O. (2024). Terrestrial gamma radiation in oil-producing areas of Nigeria. </w:t>
      </w:r>
      <w:r w:rsidRPr="00C14E98">
        <w:rPr>
          <w:i/>
          <w:iCs/>
          <w:sz w:val="22"/>
          <w:szCs w:val="22"/>
        </w:rPr>
        <w:t>Radiation Physics and Chemistry</w:t>
      </w:r>
      <w:r w:rsidRPr="00C14E98">
        <w:rPr>
          <w:sz w:val="22"/>
          <w:szCs w:val="22"/>
        </w:rPr>
        <w:t xml:space="preserve">, </w:t>
      </w:r>
      <w:r w:rsidRPr="00C14E98">
        <w:rPr>
          <w:i/>
          <w:iCs/>
          <w:sz w:val="22"/>
          <w:szCs w:val="22"/>
        </w:rPr>
        <w:t>200</w:t>
      </w:r>
      <w:r w:rsidRPr="00C14E98">
        <w:rPr>
          <w:sz w:val="22"/>
          <w:szCs w:val="22"/>
        </w:rPr>
        <w:t xml:space="preserve">, 110765. </w:t>
      </w:r>
      <w:hyperlink r:id="rId22" w:tgtFrame="_blank" w:history="1">
        <w:r w:rsidRPr="00C14E98">
          <w:rPr>
            <w:rStyle w:val="Hyperlink"/>
            <w:color w:val="auto"/>
            <w:sz w:val="22"/>
            <w:szCs w:val="22"/>
          </w:rPr>
          <w:t>https://doi.org/10.1016/j.radphyschem.2023.110765</w:t>
        </w:r>
      </w:hyperlink>
    </w:p>
    <w:p w14:paraId="4A556203" w14:textId="3B15BB01" w:rsidR="00C14E98" w:rsidRPr="00C14E98" w:rsidRDefault="00C14E98" w:rsidP="00C14E98">
      <w:pPr>
        <w:pStyle w:val="NormalWeb"/>
        <w:spacing w:line="360" w:lineRule="auto"/>
        <w:ind w:left="360" w:hanging="360"/>
        <w:jc w:val="both"/>
        <w:rPr>
          <w:sz w:val="22"/>
          <w:szCs w:val="22"/>
        </w:rPr>
      </w:pPr>
      <w:r w:rsidRPr="00C14E98">
        <w:rPr>
          <w:sz w:val="22"/>
          <w:szCs w:val="22"/>
        </w:rPr>
        <w:t xml:space="preserve">Ahmed, F., Kareem, I., </w:t>
      </w:r>
      <w:proofErr w:type="spellStart"/>
      <w:r w:rsidRPr="00C14E98">
        <w:rPr>
          <w:sz w:val="22"/>
          <w:szCs w:val="22"/>
        </w:rPr>
        <w:t>Meerkhan</w:t>
      </w:r>
      <w:proofErr w:type="spellEnd"/>
      <w:r w:rsidRPr="00C14E98">
        <w:rPr>
          <w:sz w:val="22"/>
          <w:szCs w:val="22"/>
        </w:rPr>
        <w:t xml:space="preserve">, S., &amp; </w:t>
      </w:r>
      <w:proofErr w:type="spellStart"/>
      <w:r w:rsidRPr="00C14E98">
        <w:rPr>
          <w:sz w:val="22"/>
          <w:szCs w:val="22"/>
        </w:rPr>
        <w:t>Shlaimoon</w:t>
      </w:r>
      <w:proofErr w:type="spellEnd"/>
      <w:r w:rsidRPr="00C14E98">
        <w:rPr>
          <w:sz w:val="22"/>
          <w:szCs w:val="22"/>
        </w:rPr>
        <w:t xml:space="preserve">, W. (2022). Risk assessment of outdoor background gamma radiation at Duhok City, in Kurdistan Region, Iraq. </w:t>
      </w:r>
      <w:r w:rsidRPr="00C14E98">
        <w:rPr>
          <w:i/>
          <w:iCs/>
          <w:sz w:val="22"/>
          <w:szCs w:val="22"/>
        </w:rPr>
        <w:t>Polish Journal of Environmental Studies</w:t>
      </w:r>
      <w:r w:rsidRPr="00C14E98">
        <w:rPr>
          <w:sz w:val="22"/>
          <w:szCs w:val="22"/>
        </w:rPr>
        <w:t xml:space="preserve">, </w:t>
      </w:r>
      <w:r w:rsidRPr="00C14E98">
        <w:rPr>
          <w:i/>
          <w:iCs/>
          <w:sz w:val="22"/>
          <w:szCs w:val="22"/>
        </w:rPr>
        <w:t>31</w:t>
      </w:r>
      <w:r w:rsidRPr="00C14E98">
        <w:rPr>
          <w:sz w:val="22"/>
          <w:szCs w:val="22"/>
        </w:rPr>
        <w:t xml:space="preserve">(6), 4989–4995. </w:t>
      </w:r>
      <w:hyperlink r:id="rId23" w:history="1">
        <w:r w:rsidR="001C740B" w:rsidRPr="00393A56">
          <w:rPr>
            <w:rStyle w:val="Hyperlink"/>
          </w:rPr>
          <w:t>https://doi.org/10.15244/pjoes/151584</w:t>
        </w:r>
      </w:hyperlink>
      <w:r w:rsidR="001C740B">
        <w:t xml:space="preserve"> </w:t>
      </w:r>
    </w:p>
    <w:p w14:paraId="489DDD56" w14:textId="77777777" w:rsidR="00C14E98" w:rsidRPr="00C14E98" w:rsidRDefault="00C14E98" w:rsidP="00C14E98">
      <w:pPr>
        <w:pStyle w:val="NormalWeb"/>
        <w:spacing w:line="360" w:lineRule="auto"/>
        <w:ind w:left="360" w:hanging="360"/>
        <w:jc w:val="both"/>
        <w:rPr>
          <w:sz w:val="22"/>
          <w:szCs w:val="22"/>
        </w:rPr>
      </w:pPr>
      <w:r w:rsidRPr="00C14E98">
        <w:rPr>
          <w:sz w:val="22"/>
          <w:szCs w:val="22"/>
        </w:rPr>
        <w:t xml:space="preserve">Ajayi, N. O., &amp; </w:t>
      </w:r>
      <w:proofErr w:type="spellStart"/>
      <w:r w:rsidRPr="00C14E98">
        <w:rPr>
          <w:sz w:val="22"/>
          <w:szCs w:val="22"/>
        </w:rPr>
        <w:t>Laogun</w:t>
      </w:r>
      <w:proofErr w:type="spellEnd"/>
      <w:r w:rsidRPr="00C14E98">
        <w:rPr>
          <w:sz w:val="22"/>
          <w:szCs w:val="22"/>
        </w:rPr>
        <w:t xml:space="preserve">, A. A. (2006). Variation of environmental gamma radiation in Benin with vertical height. </w:t>
      </w:r>
      <w:r w:rsidRPr="00C14E98">
        <w:rPr>
          <w:i/>
          <w:iCs/>
          <w:sz w:val="22"/>
          <w:szCs w:val="22"/>
        </w:rPr>
        <w:t>Nigerian Journal of Space Research</w:t>
      </w:r>
      <w:r w:rsidRPr="00C14E98">
        <w:rPr>
          <w:sz w:val="22"/>
          <w:szCs w:val="22"/>
        </w:rPr>
        <w:t xml:space="preserve">, </w:t>
      </w:r>
      <w:r w:rsidRPr="00C14E98">
        <w:rPr>
          <w:i/>
          <w:iCs/>
          <w:sz w:val="22"/>
          <w:szCs w:val="22"/>
        </w:rPr>
        <w:t>2</w:t>
      </w:r>
      <w:r w:rsidRPr="00C14E98">
        <w:rPr>
          <w:sz w:val="22"/>
          <w:szCs w:val="22"/>
        </w:rPr>
        <w:t>, 47–54.</w:t>
      </w:r>
    </w:p>
    <w:p w14:paraId="6B411AAF" w14:textId="3C822C2E" w:rsidR="00C14E98" w:rsidRPr="00C14E98" w:rsidRDefault="00C14E98" w:rsidP="00C14E98">
      <w:pPr>
        <w:pStyle w:val="NormalWeb"/>
        <w:spacing w:line="360" w:lineRule="auto"/>
        <w:ind w:left="360" w:hanging="360"/>
        <w:jc w:val="both"/>
        <w:rPr>
          <w:sz w:val="22"/>
          <w:szCs w:val="22"/>
        </w:rPr>
      </w:pPr>
      <w:r w:rsidRPr="00C14E98">
        <w:rPr>
          <w:sz w:val="22"/>
          <w:szCs w:val="22"/>
        </w:rPr>
        <w:t xml:space="preserve">Alvarez, P., </w:t>
      </w:r>
      <w:proofErr w:type="spellStart"/>
      <w:r w:rsidRPr="00C14E98">
        <w:rPr>
          <w:sz w:val="22"/>
          <w:szCs w:val="22"/>
        </w:rPr>
        <w:t>Kry</w:t>
      </w:r>
      <w:proofErr w:type="spellEnd"/>
      <w:r w:rsidRPr="00C14E98">
        <w:rPr>
          <w:sz w:val="22"/>
          <w:szCs w:val="22"/>
        </w:rPr>
        <w:t xml:space="preserve">, S. F., </w:t>
      </w:r>
      <w:proofErr w:type="spellStart"/>
      <w:r w:rsidRPr="00C14E98">
        <w:rPr>
          <w:sz w:val="22"/>
          <w:szCs w:val="22"/>
        </w:rPr>
        <w:t>Stingo</w:t>
      </w:r>
      <w:proofErr w:type="spellEnd"/>
      <w:r w:rsidRPr="00C14E98">
        <w:rPr>
          <w:sz w:val="22"/>
          <w:szCs w:val="22"/>
        </w:rPr>
        <w:t xml:space="preserve">, F., &amp; Followill, D. (2017). TLD and OSLD dosimetry systems for remote audits of radiotherapy external beam calibration. </w:t>
      </w:r>
      <w:r w:rsidRPr="00C14E98">
        <w:rPr>
          <w:i/>
          <w:iCs/>
          <w:sz w:val="22"/>
          <w:szCs w:val="22"/>
        </w:rPr>
        <w:t>Radiation Measurements</w:t>
      </w:r>
      <w:r w:rsidRPr="00C14E98">
        <w:rPr>
          <w:sz w:val="22"/>
          <w:szCs w:val="22"/>
        </w:rPr>
        <w:t xml:space="preserve">, </w:t>
      </w:r>
      <w:r w:rsidRPr="00C14E98">
        <w:rPr>
          <w:i/>
          <w:iCs/>
          <w:sz w:val="22"/>
          <w:szCs w:val="22"/>
        </w:rPr>
        <w:t>106</w:t>
      </w:r>
      <w:r w:rsidRPr="00C14E98">
        <w:rPr>
          <w:sz w:val="22"/>
          <w:szCs w:val="22"/>
        </w:rPr>
        <w:t xml:space="preserve">, 412–415. </w:t>
      </w:r>
      <w:hyperlink r:id="rId24" w:history="1">
        <w:r w:rsidR="001C740B" w:rsidRPr="00393A56">
          <w:rPr>
            <w:rStyle w:val="Hyperlink"/>
          </w:rPr>
          <w:t>https://doi.org/10.1016/j.radmeas.2017.01.005</w:t>
        </w:r>
      </w:hyperlink>
      <w:r w:rsidR="001C740B">
        <w:t xml:space="preserve"> </w:t>
      </w:r>
    </w:p>
    <w:p w14:paraId="3BA9A1BD" w14:textId="272D82A4"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lastRenderedPageBreak/>
        <w:t>Biere</w:t>
      </w:r>
      <w:proofErr w:type="spellEnd"/>
      <w:r w:rsidRPr="00C14E98">
        <w:rPr>
          <w:sz w:val="22"/>
          <w:szCs w:val="22"/>
        </w:rPr>
        <w:t xml:space="preserve">, P. E., </w:t>
      </w:r>
      <w:proofErr w:type="spellStart"/>
      <w:r w:rsidRPr="00C14E98">
        <w:rPr>
          <w:sz w:val="22"/>
          <w:szCs w:val="22"/>
        </w:rPr>
        <w:t>Emumejaye</w:t>
      </w:r>
      <w:proofErr w:type="spellEnd"/>
      <w:r w:rsidRPr="00C14E98">
        <w:rPr>
          <w:sz w:val="22"/>
          <w:szCs w:val="22"/>
        </w:rPr>
        <w:t xml:space="preserve">, K., Aluko, T. O., </w:t>
      </w:r>
      <w:proofErr w:type="spellStart"/>
      <w:r w:rsidRPr="00C14E98">
        <w:rPr>
          <w:sz w:val="22"/>
          <w:szCs w:val="22"/>
        </w:rPr>
        <w:t>Nwaobia</w:t>
      </w:r>
      <w:proofErr w:type="spellEnd"/>
      <w:r w:rsidRPr="00C14E98">
        <w:rPr>
          <w:sz w:val="22"/>
          <w:szCs w:val="22"/>
        </w:rPr>
        <w:t xml:space="preserve">, A. G., </w:t>
      </w:r>
      <w:proofErr w:type="spellStart"/>
      <w:r w:rsidRPr="00C14E98">
        <w:rPr>
          <w:sz w:val="22"/>
          <w:szCs w:val="22"/>
        </w:rPr>
        <w:t>Okeyode</w:t>
      </w:r>
      <w:proofErr w:type="spellEnd"/>
      <w:r w:rsidRPr="00C14E98">
        <w:rPr>
          <w:sz w:val="22"/>
          <w:szCs w:val="22"/>
        </w:rPr>
        <w:t xml:space="preserve">, I. C., &amp; Mustapha, O. A. (2025). An evaluation of excess lifetime cancer risk from indoor and outdoor radiation exposure in </w:t>
      </w:r>
      <w:proofErr w:type="spellStart"/>
      <w:r w:rsidRPr="00C14E98">
        <w:rPr>
          <w:sz w:val="22"/>
          <w:szCs w:val="22"/>
        </w:rPr>
        <w:t>Okutukutu</w:t>
      </w:r>
      <w:proofErr w:type="spellEnd"/>
      <w:r w:rsidRPr="00C14E98">
        <w:rPr>
          <w:sz w:val="22"/>
          <w:szCs w:val="22"/>
        </w:rPr>
        <w:t xml:space="preserve"> Computer Village, </w:t>
      </w:r>
      <w:proofErr w:type="spellStart"/>
      <w:r w:rsidRPr="00C14E98">
        <w:rPr>
          <w:sz w:val="22"/>
          <w:szCs w:val="22"/>
        </w:rPr>
        <w:t>Yenagoa</w:t>
      </w:r>
      <w:proofErr w:type="spellEnd"/>
      <w:r w:rsidRPr="00C14E98">
        <w:rPr>
          <w:sz w:val="22"/>
          <w:szCs w:val="22"/>
        </w:rPr>
        <w:t xml:space="preserve">, Bayelsa State, Nigeria: A Monte Carlo simulation approach. </w:t>
      </w:r>
      <w:r w:rsidRPr="00C14E98">
        <w:rPr>
          <w:i/>
          <w:iCs/>
          <w:sz w:val="22"/>
          <w:szCs w:val="22"/>
        </w:rPr>
        <w:t>Nigerian Journal of Theoretical and Environmental Physics</w:t>
      </w:r>
      <w:r w:rsidRPr="00C14E98">
        <w:rPr>
          <w:sz w:val="22"/>
          <w:szCs w:val="22"/>
        </w:rPr>
        <w:t xml:space="preserve">, </w:t>
      </w:r>
      <w:r w:rsidRPr="00C14E98">
        <w:rPr>
          <w:i/>
          <w:iCs/>
          <w:sz w:val="22"/>
          <w:szCs w:val="22"/>
        </w:rPr>
        <w:t>3</w:t>
      </w:r>
      <w:r w:rsidRPr="00C14E98">
        <w:rPr>
          <w:sz w:val="22"/>
          <w:szCs w:val="22"/>
        </w:rPr>
        <w:t xml:space="preserve">(1), 10–16. </w:t>
      </w:r>
      <w:hyperlink r:id="rId25" w:history="1">
        <w:r w:rsidR="001C740B" w:rsidRPr="00393A56">
          <w:rPr>
            <w:rStyle w:val="Hyperlink"/>
          </w:rPr>
          <w:t>https://doi.org/10.62292/njtep.v3i1.2025.66</w:t>
        </w:r>
      </w:hyperlink>
      <w:r w:rsidR="001C740B">
        <w:t xml:space="preserve"> </w:t>
      </w:r>
    </w:p>
    <w:p w14:paraId="75AE945E" w14:textId="77777777" w:rsidR="00C14E98" w:rsidRPr="00C14E98" w:rsidRDefault="00C14E98" w:rsidP="00C14E98">
      <w:pPr>
        <w:pStyle w:val="NormalWeb"/>
        <w:spacing w:line="360" w:lineRule="auto"/>
        <w:ind w:left="360" w:hanging="360"/>
        <w:jc w:val="both"/>
        <w:rPr>
          <w:sz w:val="22"/>
          <w:szCs w:val="22"/>
        </w:rPr>
      </w:pPr>
      <w:r w:rsidRPr="00C14E98">
        <w:rPr>
          <w:sz w:val="22"/>
          <w:szCs w:val="22"/>
        </w:rPr>
        <w:t xml:space="preserve">Del Monte, L. (2024). Spatial variation of background gamma dose rates in urban environments. </w:t>
      </w:r>
      <w:r w:rsidRPr="00C14E98">
        <w:rPr>
          <w:i/>
          <w:iCs/>
          <w:sz w:val="22"/>
          <w:szCs w:val="22"/>
        </w:rPr>
        <w:t>Environmental Earth Sciences</w:t>
      </w:r>
      <w:r w:rsidRPr="00C14E98">
        <w:rPr>
          <w:sz w:val="22"/>
          <w:szCs w:val="22"/>
        </w:rPr>
        <w:t xml:space="preserve">, </w:t>
      </w:r>
      <w:r w:rsidRPr="00C14E98">
        <w:rPr>
          <w:i/>
          <w:iCs/>
          <w:sz w:val="22"/>
          <w:szCs w:val="22"/>
        </w:rPr>
        <w:t>83</w:t>
      </w:r>
      <w:r w:rsidRPr="00C14E98">
        <w:rPr>
          <w:sz w:val="22"/>
          <w:szCs w:val="22"/>
        </w:rPr>
        <w:t xml:space="preserve">(5), 354. </w:t>
      </w:r>
      <w:hyperlink r:id="rId26" w:tgtFrame="_blank" w:history="1">
        <w:r w:rsidRPr="00C14E98">
          <w:rPr>
            <w:rStyle w:val="Hyperlink"/>
            <w:color w:val="auto"/>
            <w:sz w:val="22"/>
            <w:szCs w:val="22"/>
          </w:rPr>
          <w:t>https://doi.org/10.1007/s12665-024-04554-3</w:t>
        </w:r>
      </w:hyperlink>
    </w:p>
    <w:p w14:paraId="457EC9A4" w14:textId="0DF477E8"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t>Djicknack</w:t>
      </w:r>
      <w:proofErr w:type="spellEnd"/>
      <w:r w:rsidRPr="00C14E98">
        <w:rPr>
          <w:sz w:val="22"/>
          <w:szCs w:val="22"/>
        </w:rPr>
        <w:t xml:space="preserve"> Dione, D., Faye, P. M., Ndiaye, N., Sy, M. H., Ndiaye, O., </w:t>
      </w:r>
      <w:proofErr w:type="spellStart"/>
      <w:r w:rsidRPr="00C14E98">
        <w:rPr>
          <w:sz w:val="22"/>
          <w:szCs w:val="22"/>
        </w:rPr>
        <w:t>Traoré</w:t>
      </w:r>
      <w:proofErr w:type="spellEnd"/>
      <w:r w:rsidRPr="00C14E98">
        <w:rPr>
          <w:sz w:val="22"/>
          <w:szCs w:val="22"/>
        </w:rPr>
        <w:t xml:space="preserve">, A., &amp; </w:t>
      </w:r>
      <w:proofErr w:type="spellStart"/>
      <w:r w:rsidRPr="00C14E98">
        <w:rPr>
          <w:sz w:val="22"/>
          <w:szCs w:val="22"/>
        </w:rPr>
        <w:t>Ndao</w:t>
      </w:r>
      <w:proofErr w:type="spellEnd"/>
      <w:r w:rsidRPr="00C14E98">
        <w:rPr>
          <w:sz w:val="22"/>
          <w:szCs w:val="22"/>
        </w:rPr>
        <w:t xml:space="preserve">, A. S. (2024). Utilizing Bayesian modeling and MCMC for accurate characterization of naturally occurring radionuclides in mining areas. </w:t>
      </w:r>
      <w:r w:rsidRPr="00C14E98">
        <w:rPr>
          <w:i/>
          <w:iCs/>
          <w:sz w:val="22"/>
          <w:szCs w:val="22"/>
        </w:rPr>
        <w:t>World Journal of Nuclear Science and Technology</w:t>
      </w:r>
      <w:r w:rsidRPr="00C14E98">
        <w:rPr>
          <w:sz w:val="22"/>
          <w:szCs w:val="22"/>
        </w:rPr>
        <w:t xml:space="preserve">, </w:t>
      </w:r>
      <w:r w:rsidRPr="00C14E98">
        <w:rPr>
          <w:i/>
          <w:iCs/>
          <w:sz w:val="22"/>
          <w:szCs w:val="22"/>
        </w:rPr>
        <w:t>14</w:t>
      </w:r>
      <w:r w:rsidRPr="00C14E98">
        <w:rPr>
          <w:sz w:val="22"/>
          <w:szCs w:val="22"/>
        </w:rPr>
        <w:t xml:space="preserve">(4), 179–187. </w:t>
      </w:r>
      <w:hyperlink r:id="rId27" w:history="1">
        <w:r w:rsidR="001C740B" w:rsidRPr="00393A56">
          <w:rPr>
            <w:rStyle w:val="Hyperlink"/>
          </w:rPr>
          <w:t>https://doi.org/10.4236/wjnst.2024.144011</w:t>
        </w:r>
      </w:hyperlink>
      <w:r w:rsidR="001C740B">
        <w:t xml:space="preserve"> </w:t>
      </w:r>
    </w:p>
    <w:p w14:paraId="2C0A7D35" w14:textId="77777777"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t>Esi</w:t>
      </w:r>
      <w:proofErr w:type="spellEnd"/>
      <w:r w:rsidRPr="00C14E98">
        <w:rPr>
          <w:sz w:val="22"/>
          <w:szCs w:val="22"/>
        </w:rPr>
        <w:t xml:space="preserve">, O. E., </w:t>
      </w:r>
      <w:proofErr w:type="spellStart"/>
      <w:r w:rsidRPr="00C14E98">
        <w:rPr>
          <w:sz w:val="22"/>
          <w:szCs w:val="22"/>
        </w:rPr>
        <w:t>Okpilike</w:t>
      </w:r>
      <w:proofErr w:type="spellEnd"/>
      <w:r w:rsidRPr="00C14E98">
        <w:rPr>
          <w:sz w:val="22"/>
          <w:szCs w:val="22"/>
        </w:rPr>
        <w:t xml:space="preserve">, E. S., &amp; </w:t>
      </w:r>
      <w:proofErr w:type="spellStart"/>
      <w:r w:rsidRPr="00C14E98">
        <w:rPr>
          <w:sz w:val="22"/>
          <w:szCs w:val="22"/>
        </w:rPr>
        <w:t>Okorodudu</w:t>
      </w:r>
      <w:proofErr w:type="spellEnd"/>
      <w:r w:rsidRPr="00C14E98">
        <w:rPr>
          <w:sz w:val="22"/>
          <w:szCs w:val="22"/>
        </w:rPr>
        <w:t xml:space="preserve">, O. E. (2024). Radiometric survey of sediments and health risk assessment of the southern coastal area of Delta State, Nigeria. </w:t>
      </w:r>
      <w:r w:rsidRPr="00C14E98">
        <w:rPr>
          <w:i/>
          <w:iCs/>
          <w:sz w:val="22"/>
          <w:szCs w:val="22"/>
        </w:rPr>
        <w:t>Environmental Monitoring and Assessment</w:t>
      </w:r>
      <w:r w:rsidRPr="00C14E98">
        <w:rPr>
          <w:sz w:val="22"/>
          <w:szCs w:val="22"/>
        </w:rPr>
        <w:t xml:space="preserve">, </w:t>
      </w:r>
      <w:r w:rsidRPr="00C14E98">
        <w:rPr>
          <w:i/>
          <w:iCs/>
          <w:sz w:val="22"/>
          <w:szCs w:val="22"/>
        </w:rPr>
        <w:t>196</w:t>
      </w:r>
      <w:r w:rsidRPr="00C14E98">
        <w:rPr>
          <w:sz w:val="22"/>
          <w:szCs w:val="22"/>
        </w:rPr>
        <w:t xml:space="preserve">(6), 502. </w:t>
      </w:r>
      <w:hyperlink r:id="rId28" w:tgtFrame="_blank" w:history="1">
        <w:r w:rsidRPr="00C14E98">
          <w:rPr>
            <w:rStyle w:val="Hyperlink"/>
            <w:color w:val="auto"/>
            <w:sz w:val="22"/>
            <w:szCs w:val="22"/>
          </w:rPr>
          <w:t>https://doi.org/10.1007/s10661-024-12634-5</w:t>
        </w:r>
      </w:hyperlink>
    </w:p>
    <w:p w14:paraId="297231EC" w14:textId="4EEDB56A"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t>Frankemölle</w:t>
      </w:r>
      <w:proofErr w:type="spellEnd"/>
      <w:r w:rsidRPr="00C14E98">
        <w:rPr>
          <w:sz w:val="22"/>
          <w:szCs w:val="22"/>
        </w:rPr>
        <w:t xml:space="preserve">, J. P. K. W., Camps, J., De </w:t>
      </w:r>
      <w:proofErr w:type="spellStart"/>
      <w:r w:rsidRPr="00C14E98">
        <w:rPr>
          <w:sz w:val="22"/>
          <w:szCs w:val="22"/>
        </w:rPr>
        <w:t>Meutter</w:t>
      </w:r>
      <w:proofErr w:type="spellEnd"/>
      <w:r w:rsidRPr="00C14E98">
        <w:rPr>
          <w:sz w:val="22"/>
          <w:szCs w:val="22"/>
        </w:rPr>
        <w:t xml:space="preserve">, P., &amp; Meyers, J. (2024). A Bayesian method for predicting background radiation levels in detector networks. </w:t>
      </w:r>
      <w:r w:rsidRPr="00C14E98">
        <w:rPr>
          <w:i/>
          <w:iCs/>
          <w:sz w:val="22"/>
          <w:szCs w:val="22"/>
        </w:rPr>
        <w:t>Geoscientific Model Development</w:t>
      </w:r>
      <w:r w:rsidRPr="00C14E98">
        <w:rPr>
          <w:sz w:val="22"/>
          <w:szCs w:val="22"/>
        </w:rPr>
        <w:t xml:space="preserve">, </w:t>
      </w:r>
      <w:r w:rsidRPr="00C14E98">
        <w:rPr>
          <w:i/>
          <w:iCs/>
          <w:sz w:val="22"/>
          <w:szCs w:val="22"/>
        </w:rPr>
        <w:t>18</w:t>
      </w:r>
      <w:r w:rsidRPr="00C14E98">
        <w:rPr>
          <w:sz w:val="22"/>
          <w:szCs w:val="22"/>
        </w:rPr>
        <w:t xml:space="preserve">(4), 1989–2005. </w:t>
      </w:r>
      <w:hyperlink r:id="rId29" w:history="1">
        <w:r w:rsidR="001C740B" w:rsidRPr="00393A56">
          <w:rPr>
            <w:rStyle w:val="Hyperlink"/>
          </w:rPr>
          <w:t>https://doi.org/10.5194/gmd-18-1989-2025</w:t>
        </w:r>
      </w:hyperlink>
      <w:r w:rsidR="001C740B">
        <w:t xml:space="preserve"> </w:t>
      </w:r>
    </w:p>
    <w:p w14:paraId="1CF1F225" w14:textId="26FDB626" w:rsidR="00C14E98" w:rsidRPr="00C14E98" w:rsidRDefault="00C14E98" w:rsidP="00C14E98">
      <w:pPr>
        <w:pStyle w:val="NormalWeb"/>
        <w:spacing w:line="360" w:lineRule="auto"/>
        <w:ind w:left="360" w:hanging="360"/>
        <w:jc w:val="both"/>
        <w:rPr>
          <w:sz w:val="22"/>
          <w:szCs w:val="22"/>
        </w:rPr>
      </w:pPr>
      <w:r w:rsidRPr="00C14E98">
        <w:rPr>
          <w:sz w:val="22"/>
          <w:szCs w:val="22"/>
        </w:rPr>
        <w:t xml:space="preserve">Idris Isa Sambo, Y. (2023). Evaluation of radiological hazards indices of dose rate measurement from </w:t>
      </w:r>
      <w:proofErr w:type="spellStart"/>
      <w:r w:rsidRPr="00C14E98">
        <w:rPr>
          <w:sz w:val="22"/>
          <w:szCs w:val="22"/>
        </w:rPr>
        <w:t>Akwa</w:t>
      </w:r>
      <w:proofErr w:type="spellEnd"/>
      <w:r w:rsidRPr="00C14E98">
        <w:rPr>
          <w:sz w:val="22"/>
          <w:szCs w:val="22"/>
        </w:rPr>
        <w:t xml:space="preserve"> Ibom State, South-South Nigeria. </w:t>
      </w:r>
      <w:r w:rsidRPr="00C14E98">
        <w:rPr>
          <w:i/>
          <w:iCs/>
          <w:sz w:val="22"/>
          <w:szCs w:val="22"/>
        </w:rPr>
        <w:t>International Journal of Science and Research (IJSR)</w:t>
      </w:r>
      <w:r w:rsidRPr="00C14E98">
        <w:rPr>
          <w:sz w:val="22"/>
          <w:szCs w:val="22"/>
        </w:rPr>
        <w:t xml:space="preserve">, </w:t>
      </w:r>
      <w:r w:rsidRPr="00C14E98">
        <w:rPr>
          <w:i/>
          <w:iCs/>
          <w:sz w:val="22"/>
          <w:szCs w:val="22"/>
        </w:rPr>
        <w:t>12</w:t>
      </w:r>
      <w:r w:rsidRPr="00C14E98">
        <w:rPr>
          <w:sz w:val="22"/>
          <w:szCs w:val="22"/>
        </w:rPr>
        <w:t xml:space="preserve">(7), 831–838. </w:t>
      </w:r>
      <w:hyperlink r:id="rId30" w:history="1">
        <w:r w:rsidR="001C740B" w:rsidRPr="00393A56">
          <w:rPr>
            <w:rStyle w:val="Hyperlink"/>
          </w:rPr>
          <w:t>https://doi.org/10.21275/sr23709133736</w:t>
        </w:r>
      </w:hyperlink>
      <w:r w:rsidR="001C740B">
        <w:t xml:space="preserve"> </w:t>
      </w:r>
    </w:p>
    <w:p w14:paraId="08E32CE4" w14:textId="3B4EF85D" w:rsidR="00C14E98" w:rsidRPr="00C14E98" w:rsidRDefault="00C14E98" w:rsidP="00C14E98">
      <w:pPr>
        <w:pStyle w:val="NormalWeb"/>
        <w:spacing w:line="360" w:lineRule="auto"/>
        <w:ind w:left="360" w:hanging="360"/>
        <w:jc w:val="both"/>
        <w:rPr>
          <w:sz w:val="22"/>
          <w:szCs w:val="22"/>
        </w:rPr>
      </w:pPr>
      <w:r w:rsidRPr="00C14E98">
        <w:rPr>
          <w:sz w:val="22"/>
          <w:szCs w:val="22"/>
        </w:rPr>
        <w:t xml:space="preserve">International Atomic Energy Agency. (2021). </w:t>
      </w:r>
      <w:r w:rsidRPr="00C14E98">
        <w:rPr>
          <w:i/>
          <w:iCs/>
          <w:sz w:val="22"/>
          <w:szCs w:val="22"/>
        </w:rPr>
        <w:t>Naturally occurring radioactive material (NORM) in the oil and gas industry</w:t>
      </w:r>
      <w:r w:rsidRPr="00C14E98">
        <w:rPr>
          <w:sz w:val="22"/>
          <w:szCs w:val="22"/>
        </w:rPr>
        <w:t xml:space="preserve"> (IAEA Safety Reports Series No. 78). </w:t>
      </w:r>
      <w:hyperlink r:id="rId31" w:tgtFrame="_blank" w:history="1">
        <w:r w:rsidRPr="00C14E98">
          <w:rPr>
            <w:rStyle w:val="Hyperlink"/>
            <w:color w:val="auto"/>
            <w:sz w:val="22"/>
            <w:szCs w:val="22"/>
          </w:rPr>
          <w:t>https://www.iaea.org/publications/15085</w:t>
        </w:r>
      </w:hyperlink>
      <w:r w:rsidR="001C740B">
        <w:rPr>
          <w:rStyle w:val="Hyperlink"/>
          <w:color w:val="auto"/>
          <w:sz w:val="22"/>
          <w:szCs w:val="22"/>
        </w:rPr>
        <w:t xml:space="preserve"> </w:t>
      </w:r>
      <w:hyperlink r:id="rId32" w:history="1">
        <w:r w:rsidR="001C740B" w:rsidRPr="00393A56">
          <w:rPr>
            <w:rStyle w:val="Hyperlink"/>
            <w:sz w:val="22"/>
            <w:szCs w:val="22"/>
          </w:rPr>
          <w:t>https://www.iaea.org/publications/15085/radiation-protection-and-management-of-norm-residues-in-the-phosphate-industry</w:t>
        </w:r>
      </w:hyperlink>
      <w:r w:rsidR="001C740B">
        <w:rPr>
          <w:rStyle w:val="Hyperlink"/>
          <w:color w:val="auto"/>
          <w:sz w:val="22"/>
          <w:szCs w:val="22"/>
        </w:rPr>
        <w:t xml:space="preserve"> </w:t>
      </w:r>
    </w:p>
    <w:p w14:paraId="0E3DEA31" w14:textId="3710038F" w:rsidR="00C14E98" w:rsidRPr="00C14E98" w:rsidRDefault="00C14E98" w:rsidP="00C14E98">
      <w:pPr>
        <w:pStyle w:val="NormalWeb"/>
        <w:spacing w:line="360" w:lineRule="auto"/>
        <w:ind w:left="360" w:hanging="360"/>
        <w:jc w:val="both"/>
        <w:rPr>
          <w:sz w:val="22"/>
          <w:szCs w:val="22"/>
        </w:rPr>
      </w:pPr>
      <w:r w:rsidRPr="00C14E98">
        <w:rPr>
          <w:sz w:val="22"/>
          <w:szCs w:val="22"/>
        </w:rPr>
        <w:t xml:space="preserve">International Commission on Radiological Protection (ICRP). (2007). </w:t>
      </w:r>
      <w:r w:rsidRPr="00C14E98">
        <w:rPr>
          <w:i/>
          <w:iCs/>
          <w:sz w:val="22"/>
          <w:szCs w:val="22"/>
        </w:rPr>
        <w:t>Recommendations of the International Commission on Radiological Protection</w:t>
      </w:r>
      <w:r w:rsidRPr="00C14E98">
        <w:rPr>
          <w:sz w:val="22"/>
          <w:szCs w:val="22"/>
        </w:rPr>
        <w:t xml:space="preserve"> (ICRP Publication 103). Elsevier.</w:t>
      </w:r>
      <w:r w:rsidR="001C740B">
        <w:rPr>
          <w:sz w:val="22"/>
          <w:szCs w:val="22"/>
        </w:rPr>
        <w:t xml:space="preserve"> </w:t>
      </w:r>
      <w:hyperlink r:id="rId33" w:history="1">
        <w:r w:rsidR="001C740B" w:rsidRPr="00393A56">
          <w:rPr>
            <w:rStyle w:val="Hyperlink"/>
            <w:sz w:val="22"/>
            <w:szCs w:val="22"/>
          </w:rPr>
          <w:t>https://doi.org/10.1016/j.icrp.2007.10.003</w:t>
        </w:r>
      </w:hyperlink>
      <w:r w:rsidR="001C740B">
        <w:rPr>
          <w:sz w:val="22"/>
          <w:szCs w:val="22"/>
        </w:rPr>
        <w:t xml:space="preserve"> </w:t>
      </w:r>
    </w:p>
    <w:p w14:paraId="784E1896" w14:textId="34FD9961"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lastRenderedPageBreak/>
        <w:t>Legborsi</w:t>
      </w:r>
      <w:proofErr w:type="spellEnd"/>
      <w:r w:rsidRPr="00C14E98">
        <w:rPr>
          <w:sz w:val="22"/>
          <w:szCs w:val="22"/>
        </w:rPr>
        <w:t xml:space="preserve">, B. L., Fidelis, U. E., Abel, N. A., &amp; </w:t>
      </w:r>
      <w:proofErr w:type="spellStart"/>
      <w:r w:rsidRPr="00C14E98">
        <w:rPr>
          <w:sz w:val="22"/>
          <w:szCs w:val="22"/>
        </w:rPr>
        <w:t>Ilugo</w:t>
      </w:r>
      <w:proofErr w:type="spellEnd"/>
      <w:r w:rsidRPr="00C14E98">
        <w:rPr>
          <w:sz w:val="22"/>
          <w:szCs w:val="22"/>
        </w:rPr>
        <w:t xml:space="preserve">, N. T. (2025). Assessment of background ionizing radiation of engineering laboratories in Federal Polytechnic </w:t>
      </w:r>
      <w:proofErr w:type="spellStart"/>
      <w:r w:rsidRPr="00C14E98">
        <w:rPr>
          <w:sz w:val="22"/>
          <w:szCs w:val="22"/>
        </w:rPr>
        <w:t>Nekede</w:t>
      </w:r>
      <w:proofErr w:type="spellEnd"/>
      <w:r w:rsidRPr="00C14E98">
        <w:rPr>
          <w:sz w:val="22"/>
          <w:szCs w:val="22"/>
        </w:rPr>
        <w:t xml:space="preserve"> Owerri, Imo State, Nigeria. </w:t>
      </w:r>
      <w:r w:rsidRPr="00C14E98">
        <w:rPr>
          <w:i/>
          <w:iCs/>
          <w:sz w:val="22"/>
          <w:szCs w:val="22"/>
        </w:rPr>
        <w:t>Asian Journal of Research and Reviews in Physics</w:t>
      </w:r>
      <w:r w:rsidRPr="00C14E98">
        <w:rPr>
          <w:sz w:val="22"/>
          <w:szCs w:val="22"/>
        </w:rPr>
        <w:t xml:space="preserve">, </w:t>
      </w:r>
      <w:r w:rsidRPr="00C14E98">
        <w:rPr>
          <w:i/>
          <w:iCs/>
          <w:sz w:val="22"/>
          <w:szCs w:val="22"/>
        </w:rPr>
        <w:t>9</w:t>
      </w:r>
      <w:r w:rsidRPr="00C14E98">
        <w:rPr>
          <w:sz w:val="22"/>
          <w:szCs w:val="22"/>
        </w:rPr>
        <w:t xml:space="preserve">(1), 1–27. </w:t>
      </w:r>
      <w:hyperlink r:id="rId34" w:history="1">
        <w:r w:rsidR="001C740B" w:rsidRPr="00393A56">
          <w:rPr>
            <w:rStyle w:val="Hyperlink"/>
          </w:rPr>
          <w:t>https://doi.org/10.9734/ajr2p/2025/v9i1179</w:t>
        </w:r>
      </w:hyperlink>
      <w:r w:rsidR="001C740B">
        <w:t xml:space="preserve"> </w:t>
      </w:r>
    </w:p>
    <w:p w14:paraId="67123AEF" w14:textId="1215FCC2" w:rsidR="00C14E98" w:rsidRPr="00C14E98" w:rsidRDefault="00C14E98" w:rsidP="00C14E98">
      <w:pPr>
        <w:pStyle w:val="NormalWeb"/>
        <w:spacing w:line="360" w:lineRule="auto"/>
        <w:ind w:left="360" w:hanging="360"/>
        <w:jc w:val="both"/>
        <w:rPr>
          <w:sz w:val="22"/>
          <w:szCs w:val="22"/>
        </w:rPr>
      </w:pPr>
      <w:r w:rsidRPr="00C14E98">
        <w:rPr>
          <w:sz w:val="22"/>
          <w:szCs w:val="22"/>
        </w:rPr>
        <w:t xml:space="preserve">National Council on Radiation Protection and Measurements. (1993). </w:t>
      </w:r>
      <w:r w:rsidRPr="00C14E98">
        <w:rPr>
          <w:i/>
          <w:iCs/>
          <w:sz w:val="22"/>
          <w:szCs w:val="22"/>
        </w:rPr>
        <w:t>Limitation of exposure to ionizing radiation</w:t>
      </w:r>
      <w:r w:rsidRPr="00C14E98">
        <w:rPr>
          <w:sz w:val="22"/>
          <w:szCs w:val="22"/>
        </w:rPr>
        <w:t xml:space="preserve"> (NCRP Report No. 116).</w:t>
      </w:r>
      <w:r w:rsidR="001C740B">
        <w:rPr>
          <w:sz w:val="22"/>
          <w:szCs w:val="22"/>
        </w:rPr>
        <w:t xml:space="preserve">  </w:t>
      </w:r>
      <w:hyperlink r:id="rId35" w:history="1">
        <w:r w:rsidR="001C740B" w:rsidRPr="00393A56">
          <w:rPr>
            <w:rStyle w:val="Hyperlink"/>
            <w:sz w:val="22"/>
            <w:szCs w:val="22"/>
          </w:rPr>
          <w:t>https://ncrponline.org/publications/reports/ncrp-report-116/</w:t>
        </w:r>
      </w:hyperlink>
      <w:r w:rsidR="001C740B">
        <w:rPr>
          <w:sz w:val="22"/>
          <w:szCs w:val="22"/>
        </w:rPr>
        <w:t xml:space="preserve"> </w:t>
      </w:r>
    </w:p>
    <w:p w14:paraId="416BDA2F" w14:textId="7FB57E58" w:rsidR="00C14E98" w:rsidRPr="00C14E98" w:rsidRDefault="00C14E98" w:rsidP="00C14E98">
      <w:pPr>
        <w:pStyle w:val="NormalWeb"/>
        <w:spacing w:line="360" w:lineRule="auto"/>
        <w:ind w:left="360" w:hanging="360"/>
        <w:jc w:val="both"/>
        <w:rPr>
          <w:sz w:val="22"/>
          <w:szCs w:val="22"/>
        </w:rPr>
      </w:pPr>
      <w:r w:rsidRPr="00C14E98">
        <w:rPr>
          <w:sz w:val="22"/>
          <w:szCs w:val="22"/>
        </w:rPr>
        <w:t xml:space="preserve">National Population Commission. (2006). </w:t>
      </w:r>
      <w:r w:rsidRPr="00C14E98">
        <w:rPr>
          <w:i/>
          <w:iCs/>
          <w:sz w:val="22"/>
          <w:szCs w:val="22"/>
        </w:rPr>
        <w:t>Population and housing census of Nigeria 2006</w:t>
      </w:r>
      <w:r w:rsidRPr="00C14E98">
        <w:rPr>
          <w:sz w:val="22"/>
          <w:szCs w:val="22"/>
        </w:rPr>
        <w:t xml:space="preserve">. NPC. </w:t>
      </w:r>
      <w:hyperlink r:id="rId36" w:history="1">
        <w:r w:rsidR="001C740B" w:rsidRPr="00393A56">
          <w:rPr>
            <w:rStyle w:val="Hyperlink"/>
          </w:rPr>
          <w:t>https://catalog.ihsn.org/index.php/catalog/3340</w:t>
        </w:r>
      </w:hyperlink>
      <w:r w:rsidR="001C740B">
        <w:t xml:space="preserve"> </w:t>
      </w:r>
    </w:p>
    <w:p w14:paraId="619E2479" w14:textId="23EC09D5"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t>Oke</w:t>
      </w:r>
      <w:proofErr w:type="spellEnd"/>
      <w:r w:rsidRPr="00C14E98">
        <w:rPr>
          <w:sz w:val="22"/>
          <w:szCs w:val="22"/>
        </w:rPr>
        <w:t xml:space="preserve">, I. G., Oni, E. A., </w:t>
      </w:r>
      <w:proofErr w:type="spellStart"/>
      <w:r w:rsidRPr="00C14E98">
        <w:rPr>
          <w:sz w:val="22"/>
          <w:szCs w:val="22"/>
        </w:rPr>
        <w:t>Ayanlola</w:t>
      </w:r>
      <w:proofErr w:type="spellEnd"/>
      <w:r w:rsidRPr="00C14E98">
        <w:rPr>
          <w:sz w:val="22"/>
          <w:szCs w:val="22"/>
        </w:rPr>
        <w:t xml:space="preserve">, P. S., </w:t>
      </w:r>
      <w:proofErr w:type="spellStart"/>
      <w:r w:rsidRPr="00C14E98">
        <w:rPr>
          <w:sz w:val="22"/>
          <w:szCs w:val="22"/>
        </w:rPr>
        <w:t>Aremu</w:t>
      </w:r>
      <w:proofErr w:type="spellEnd"/>
      <w:r w:rsidRPr="00C14E98">
        <w:rPr>
          <w:sz w:val="22"/>
          <w:szCs w:val="22"/>
        </w:rPr>
        <w:t xml:space="preserve">, A. A., </w:t>
      </w:r>
      <w:proofErr w:type="spellStart"/>
      <w:r w:rsidRPr="00C14E98">
        <w:rPr>
          <w:sz w:val="22"/>
          <w:szCs w:val="22"/>
        </w:rPr>
        <w:t>Agbelusi</w:t>
      </w:r>
      <w:proofErr w:type="spellEnd"/>
      <w:r w:rsidRPr="00C14E98">
        <w:rPr>
          <w:sz w:val="22"/>
          <w:szCs w:val="22"/>
        </w:rPr>
        <w:t xml:space="preserve">, O. I., Olatunji, A., </w:t>
      </w:r>
      <w:proofErr w:type="spellStart"/>
      <w:r w:rsidRPr="00C14E98">
        <w:rPr>
          <w:sz w:val="22"/>
          <w:szCs w:val="22"/>
        </w:rPr>
        <w:t>Otobrise</w:t>
      </w:r>
      <w:proofErr w:type="spellEnd"/>
      <w:r w:rsidRPr="00C14E98">
        <w:rPr>
          <w:sz w:val="22"/>
          <w:szCs w:val="22"/>
        </w:rPr>
        <w:t xml:space="preserve">, H., &amp; Isola, G. A. (2025). In-situ determination of terrestrial gamma dose rate within Ladoke Akintola University of Technology, </w:t>
      </w:r>
      <w:proofErr w:type="spellStart"/>
      <w:r w:rsidRPr="00C14E98">
        <w:rPr>
          <w:sz w:val="22"/>
          <w:szCs w:val="22"/>
        </w:rPr>
        <w:t>Ogbomoso</w:t>
      </w:r>
      <w:proofErr w:type="spellEnd"/>
      <w:r w:rsidRPr="00C14E98">
        <w:rPr>
          <w:sz w:val="22"/>
          <w:szCs w:val="22"/>
        </w:rPr>
        <w:t xml:space="preserve"> southwest Nigeria: The study of terrestrial gamma radiation within Ladoke Akintola University of Technology. </w:t>
      </w:r>
      <w:r w:rsidRPr="00C14E98">
        <w:rPr>
          <w:i/>
          <w:iCs/>
          <w:sz w:val="22"/>
          <w:szCs w:val="22"/>
        </w:rPr>
        <w:t>LAUTECH Journal of Engineering and Technology</w:t>
      </w:r>
      <w:r w:rsidRPr="00C14E98">
        <w:rPr>
          <w:sz w:val="22"/>
          <w:szCs w:val="22"/>
        </w:rPr>
        <w:t xml:space="preserve">, </w:t>
      </w:r>
      <w:r w:rsidRPr="00C14E98">
        <w:rPr>
          <w:i/>
          <w:iCs/>
          <w:sz w:val="22"/>
          <w:szCs w:val="22"/>
        </w:rPr>
        <w:t>18</w:t>
      </w:r>
      <w:r w:rsidRPr="00C14E98">
        <w:rPr>
          <w:sz w:val="22"/>
          <w:szCs w:val="22"/>
        </w:rPr>
        <w:t xml:space="preserve">(4), 77–85. </w:t>
      </w:r>
      <w:hyperlink r:id="rId37" w:history="1">
        <w:r w:rsidR="001C740B" w:rsidRPr="00393A56">
          <w:rPr>
            <w:rStyle w:val="Hyperlink"/>
          </w:rPr>
          <w:t>https://www.laujet.com/index.php/laujet/article/view/733</w:t>
        </w:r>
      </w:hyperlink>
      <w:r w:rsidR="001C740B">
        <w:t xml:space="preserve"> </w:t>
      </w:r>
    </w:p>
    <w:p w14:paraId="0AEA2946" w14:textId="77777777"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t>Omeje</w:t>
      </w:r>
      <w:proofErr w:type="spellEnd"/>
      <w:r w:rsidRPr="00C14E98">
        <w:rPr>
          <w:sz w:val="22"/>
          <w:szCs w:val="22"/>
        </w:rPr>
        <w:t xml:space="preserve">, M., </w:t>
      </w:r>
      <w:proofErr w:type="spellStart"/>
      <w:r w:rsidRPr="00C14E98">
        <w:rPr>
          <w:sz w:val="22"/>
          <w:szCs w:val="22"/>
        </w:rPr>
        <w:t>Ozioko</w:t>
      </w:r>
      <w:proofErr w:type="spellEnd"/>
      <w:r w:rsidRPr="00C14E98">
        <w:rPr>
          <w:sz w:val="22"/>
          <w:szCs w:val="22"/>
        </w:rPr>
        <w:t xml:space="preserve">, O., </w:t>
      </w:r>
      <w:proofErr w:type="spellStart"/>
      <w:r w:rsidRPr="00C14E98">
        <w:rPr>
          <w:sz w:val="22"/>
          <w:szCs w:val="22"/>
        </w:rPr>
        <w:t>Okey-Onyesolu</w:t>
      </w:r>
      <w:proofErr w:type="spellEnd"/>
      <w:r w:rsidRPr="00C14E98">
        <w:rPr>
          <w:sz w:val="22"/>
          <w:szCs w:val="22"/>
        </w:rPr>
        <w:t xml:space="preserve">, F., &amp; </w:t>
      </w:r>
      <w:proofErr w:type="spellStart"/>
      <w:r w:rsidRPr="00C14E98">
        <w:rPr>
          <w:sz w:val="22"/>
          <w:szCs w:val="22"/>
        </w:rPr>
        <w:t>Esi</w:t>
      </w:r>
      <w:proofErr w:type="spellEnd"/>
      <w:r w:rsidRPr="00C14E98">
        <w:rPr>
          <w:sz w:val="22"/>
          <w:szCs w:val="22"/>
        </w:rPr>
        <w:t xml:space="preserve">, O. E. (2023). Dispersion of gamma dose rates and natural radionuclides in coastal Niger Delta sediments: Radioactivity distributions and biohazard assessment. </w:t>
      </w:r>
      <w:r w:rsidRPr="00C14E98">
        <w:rPr>
          <w:i/>
          <w:iCs/>
          <w:sz w:val="22"/>
          <w:szCs w:val="22"/>
        </w:rPr>
        <w:t>Environmental Science and Pollution Research</w:t>
      </w:r>
      <w:r w:rsidRPr="00C14E98">
        <w:rPr>
          <w:sz w:val="22"/>
          <w:szCs w:val="22"/>
        </w:rPr>
        <w:t xml:space="preserve">, </w:t>
      </w:r>
      <w:r w:rsidRPr="00C14E98">
        <w:rPr>
          <w:i/>
          <w:iCs/>
          <w:sz w:val="22"/>
          <w:szCs w:val="22"/>
        </w:rPr>
        <w:t>30</w:t>
      </w:r>
      <w:r w:rsidRPr="00C14E98">
        <w:rPr>
          <w:sz w:val="22"/>
          <w:szCs w:val="22"/>
        </w:rPr>
        <w:t xml:space="preserve">(45), 105678–105692. </w:t>
      </w:r>
      <w:hyperlink r:id="rId38" w:tgtFrame="_blank" w:history="1">
        <w:r w:rsidRPr="00C14E98">
          <w:rPr>
            <w:rStyle w:val="Hyperlink"/>
            <w:color w:val="auto"/>
            <w:sz w:val="22"/>
            <w:szCs w:val="22"/>
          </w:rPr>
          <w:t>https://doi.org/10.1007/s11356-023-29025-6</w:t>
        </w:r>
      </w:hyperlink>
    </w:p>
    <w:p w14:paraId="543E2ACF" w14:textId="1950EA3B"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t>Sankwasa</w:t>
      </w:r>
      <w:proofErr w:type="spellEnd"/>
      <w:r w:rsidRPr="00C14E98">
        <w:rPr>
          <w:sz w:val="22"/>
          <w:szCs w:val="22"/>
        </w:rPr>
        <w:t xml:space="preserve"> Chika, M., Mashaba, M., </w:t>
      </w:r>
      <w:proofErr w:type="spellStart"/>
      <w:r w:rsidRPr="00C14E98">
        <w:rPr>
          <w:sz w:val="22"/>
          <w:szCs w:val="22"/>
        </w:rPr>
        <w:t>Palalani</w:t>
      </w:r>
      <w:proofErr w:type="spellEnd"/>
      <w:r w:rsidRPr="00C14E98">
        <w:rPr>
          <w:sz w:val="22"/>
          <w:szCs w:val="22"/>
        </w:rPr>
        <w:t xml:space="preserve">, N., </w:t>
      </w:r>
      <w:proofErr w:type="spellStart"/>
      <w:r w:rsidRPr="00C14E98">
        <w:rPr>
          <w:sz w:val="22"/>
          <w:szCs w:val="22"/>
        </w:rPr>
        <w:t>Lesolle</w:t>
      </w:r>
      <w:proofErr w:type="spellEnd"/>
      <w:r w:rsidRPr="00C14E98">
        <w:rPr>
          <w:sz w:val="22"/>
          <w:szCs w:val="22"/>
        </w:rPr>
        <w:t xml:space="preserve">, S., &amp; </w:t>
      </w:r>
      <w:proofErr w:type="spellStart"/>
      <w:r w:rsidRPr="00C14E98">
        <w:rPr>
          <w:sz w:val="22"/>
          <w:szCs w:val="22"/>
        </w:rPr>
        <w:t>Ramontshonyana</w:t>
      </w:r>
      <w:proofErr w:type="spellEnd"/>
      <w:r w:rsidRPr="00C14E98">
        <w:rPr>
          <w:sz w:val="22"/>
          <w:szCs w:val="22"/>
        </w:rPr>
        <w:t xml:space="preserve">, T. T. (2023). Assessment of outdoor terrestrial gamma radiation dose rates of </w:t>
      </w:r>
      <w:proofErr w:type="spellStart"/>
      <w:r w:rsidRPr="00C14E98">
        <w:rPr>
          <w:sz w:val="22"/>
          <w:szCs w:val="22"/>
        </w:rPr>
        <w:t>Serule</w:t>
      </w:r>
      <w:proofErr w:type="spellEnd"/>
      <w:r w:rsidRPr="00C14E98">
        <w:rPr>
          <w:sz w:val="22"/>
          <w:szCs w:val="22"/>
        </w:rPr>
        <w:t xml:space="preserve"> Village, Botswana. </w:t>
      </w:r>
      <w:r w:rsidRPr="00C14E98">
        <w:rPr>
          <w:i/>
          <w:iCs/>
          <w:sz w:val="22"/>
          <w:szCs w:val="22"/>
        </w:rPr>
        <w:t>Journal of Radiation and Nuclear Applications</w:t>
      </w:r>
      <w:r w:rsidRPr="00C14E98">
        <w:rPr>
          <w:sz w:val="22"/>
          <w:szCs w:val="22"/>
        </w:rPr>
        <w:t xml:space="preserve">, </w:t>
      </w:r>
      <w:r w:rsidRPr="00C14E98">
        <w:rPr>
          <w:i/>
          <w:iCs/>
          <w:sz w:val="22"/>
          <w:szCs w:val="22"/>
        </w:rPr>
        <w:t>8</w:t>
      </w:r>
      <w:r w:rsidRPr="00C14E98">
        <w:rPr>
          <w:sz w:val="22"/>
          <w:szCs w:val="22"/>
        </w:rPr>
        <w:t xml:space="preserve">(2), 139–143. </w:t>
      </w:r>
      <w:hyperlink r:id="rId39" w:history="1">
        <w:r w:rsidR="001C740B" w:rsidRPr="00393A56">
          <w:rPr>
            <w:rStyle w:val="Hyperlink"/>
          </w:rPr>
          <w:t>https://doi.org/10.18576/jrna/080206</w:t>
        </w:r>
      </w:hyperlink>
      <w:r w:rsidR="001C740B">
        <w:t xml:space="preserve"> </w:t>
      </w:r>
    </w:p>
    <w:p w14:paraId="6FFD32DE" w14:textId="16DA7E74" w:rsidR="00C14E98" w:rsidRPr="00C14E98" w:rsidRDefault="00C14E98" w:rsidP="00C14E98">
      <w:pPr>
        <w:pStyle w:val="NormalWeb"/>
        <w:spacing w:line="360" w:lineRule="auto"/>
        <w:ind w:left="360" w:hanging="360"/>
        <w:jc w:val="both"/>
        <w:rPr>
          <w:sz w:val="22"/>
          <w:szCs w:val="22"/>
        </w:rPr>
      </w:pPr>
      <w:proofErr w:type="spellStart"/>
      <w:r w:rsidRPr="00C14E98">
        <w:rPr>
          <w:sz w:val="22"/>
          <w:szCs w:val="22"/>
        </w:rPr>
        <w:t>Ugbede</w:t>
      </w:r>
      <w:proofErr w:type="spellEnd"/>
      <w:r w:rsidRPr="00C14E98">
        <w:rPr>
          <w:sz w:val="22"/>
          <w:szCs w:val="22"/>
        </w:rPr>
        <w:t xml:space="preserve">, F. O., </w:t>
      </w:r>
      <w:proofErr w:type="spellStart"/>
      <w:r w:rsidRPr="00C14E98">
        <w:rPr>
          <w:sz w:val="22"/>
          <w:szCs w:val="22"/>
        </w:rPr>
        <w:t>Osahon</w:t>
      </w:r>
      <w:proofErr w:type="spellEnd"/>
      <w:r w:rsidRPr="00C14E98">
        <w:rPr>
          <w:sz w:val="22"/>
          <w:szCs w:val="22"/>
        </w:rPr>
        <w:t xml:space="preserve">, O. D., &amp; </w:t>
      </w:r>
      <w:proofErr w:type="spellStart"/>
      <w:r w:rsidRPr="00C14E98">
        <w:rPr>
          <w:sz w:val="22"/>
          <w:szCs w:val="22"/>
        </w:rPr>
        <w:t>Akpolile</w:t>
      </w:r>
      <w:proofErr w:type="spellEnd"/>
      <w:r w:rsidRPr="00C14E98">
        <w:rPr>
          <w:sz w:val="22"/>
          <w:szCs w:val="22"/>
        </w:rPr>
        <w:t xml:space="preserve">, A. F. (2022). Natural radioactivity levels and radiological risk assessment in paddy soil of </w:t>
      </w:r>
      <w:proofErr w:type="spellStart"/>
      <w:r w:rsidRPr="00C14E98">
        <w:rPr>
          <w:sz w:val="22"/>
          <w:szCs w:val="22"/>
        </w:rPr>
        <w:t>Ezillo</w:t>
      </w:r>
      <w:proofErr w:type="spellEnd"/>
      <w:r w:rsidRPr="00C14E98">
        <w:rPr>
          <w:sz w:val="22"/>
          <w:szCs w:val="22"/>
        </w:rPr>
        <w:t xml:space="preserve"> rice fields in Ebonyi State, Nigeria. </w:t>
      </w:r>
      <w:r w:rsidRPr="00C14E98">
        <w:rPr>
          <w:i/>
          <w:iCs/>
          <w:sz w:val="22"/>
          <w:szCs w:val="22"/>
        </w:rPr>
        <w:t>Environmental Forensics</w:t>
      </w:r>
      <w:r w:rsidRPr="00C14E98">
        <w:rPr>
          <w:sz w:val="22"/>
          <w:szCs w:val="22"/>
        </w:rPr>
        <w:t xml:space="preserve">, </w:t>
      </w:r>
      <w:r w:rsidRPr="00C14E98">
        <w:rPr>
          <w:i/>
          <w:iCs/>
          <w:sz w:val="22"/>
          <w:szCs w:val="22"/>
        </w:rPr>
        <w:t>23</w:t>
      </w:r>
      <w:r w:rsidRPr="00C14E98">
        <w:rPr>
          <w:sz w:val="22"/>
          <w:szCs w:val="22"/>
        </w:rPr>
        <w:t xml:space="preserve">(1–2), 32–46. </w:t>
      </w:r>
      <w:hyperlink r:id="rId40" w:history="1">
        <w:r w:rsidR="001C740B" w:rsidRPr="00393A56">
          <w:rPr>
            <w:rStyle w:val="Hyperlink"/>
          </w:rPr>
          <w:t>https://doi.org/10.1080/15275922.2021.1892881</w:t>
        </w:r>
      </w:hyperlink>
      <w:r w:rsidR="001C740B">
        <w:t xml:space="preserve"> </w:t>
      </w:r>
    </w:p>
    <w:p w14:paraId="5F956F86" w14:textId="6E8F3A6C" w:rsidR="00C14E98" w:rsidRPr="00C14E98" w:rsidRDefault="00C14E98" w:rsidP="00C14E98">
      <w:pPr>
        <w:pStyle w:val="NormalWeb"/>
        <w:spacing w:line="360" w:lineRule="auto"/>
        <w:ind w:left="360" w:hanging="360"/>
        <w:jc w:val="both"/>
        <w:rPr>
          <w:sz w:val="22"/>
          <w:szCs w:val="22"/>
        </w:rPr>
      </w:pPr>
      <w:r w:rsidRPr="00C14E98">
        <w:rPr>
          <w:sz w:val="22"/>
          <w:szCs w:val="22"/>
        </w:rPr>
        <w:t xml:space="preserve">United Nations Scientific Committee on the Effects of Atomic Radiation. (2000). </w:t>
      </w:r>
      <w:r w:rsidRPr="00C14E98">
        <w:rPr>
          <w:i/>
          <w:iCs/>
          <w:sz w:val="22"/>
          <w:szCs w:val="22"/>
        </w:rPr>
        <w:t>Sources and effects of ionizing radiation: Report to the General Assembly with scientific annexes: Vol. 1</w:t>
      </w:r>
      <w:r w:rsidRPr="00C14E98">
        <w:rPr>
          <w:sz w:val="22"/>
          <w:szCs w:val="22"/>
        </w:rPr>
        <w:t>.</w:t>
      </w:r>
      <w:r w:rsidR="001C740B">
        <w:rPr>
          <w:sz w:val="22"/>
          <w:szCs w:val="22"/>
        </w:rPr>
        <w:t xml:space="preserve"> </w:t>
      </w:r>
      <w:hyperlink r:id="rId41" w:history="1">
        <w:r w:rsidR="001C740B" w:rsidRPr="00393A56">
          <w:rPr>
            <w:rStyle w:val="Hyperlink"/>
            <w:sz w:val="22"/>
            <w:szCs w:val="22"/>
          </w:rPr>
          <w:t>https://www.unscear.org/unscear/en/publications/2000_Report_VolI.html</w:t>
        </w:r>
      </w:hyperlink>
      <w:r w:rsidR="001C740B">
        <w:rPr>
          <w:sz w:val="22"/>
          <w:szCs w:val="22"/>
        </w:rPr>
        <w:t xml:space="preserve"> </w:t>
      </w:r>
    </w:p>
    <w:p w14:paraId="02E451B5" w14:textId="473F14DC" w:rsidR="00C14E98" w:rsidRPr="00C14E98" w:rsidRDefault="00C14E98" w:rsidP="00C14E98">
      <w:pPr>
        <w:pStyle w:val="NormalWeb"/>
        <w:spacing w:line="360" w:lineRule="auto"/>
        <w:ind w:left="360" w:hanging="360"/>
        <w:jc w:val="both"/>
        <w:rPr>
          <w:sz w:val="22"/>
          <w:szCs w:val="22"/>
        </w:rPr>
      </w:pPr>
      <w:r w:rsidRPr="00C14E98">
        <w:rPr>
          <w:sz w:val="22"/>
          <w:szCs w:val="22"/>
        </w:rPr>
        <w:lastRenderedPageBreak/>
        <w:t xml:space="preserve">United Nations Scientific Committee on the Effects of Atomic Radiation. (2008). </w:t>
      </w:r>
      <w:r w:rsidRPr="00C14E98">
        <w:rPr>
          <w:i/>
          <w:iCs/>
          <w:sz w:val="22"/>
          <w:szCs w:val="22"/>
        </w:rPr>
        <w:t>Sources and effects of ionizing radiation</w:t>
      </w:r>
      <w:r w:rsidRPr="00C14E98">
        <w:rPr>
          <w:sz w:val="22"/>
          <w:szCs w:val="22"/>
        </w:rPr>
        <w:t xml:space="preserve"> (Report to the General Assembly, Volume I). UNSCEAR. </w:t>
      </w:r>
      <w:hyperlink r:id="rId42" w:history="1">
        <w:r w:rsidR="001C740B" w:rsidRPr="00393A56">
          <w:rPr>
            <w:rStyle w:val="Hyperlink"/>
          </w:rPr>
          <w:t>https://www.unscear.org/unscear/en/publications/2008_1.html</w:t>
        </w:r>
      </w:hyperlink>
      <w:r w:rsidR="001C740B">
        <w:t xml:space="preserve"> </w:t>
      </w:r>
    </w:p>
    <w:p w14:paraId="0C1F410F" w14:textId="00C4D931" w:rsidR="00C14E98" w:rsidRPr="00C14E98" w:rsidRDefault="00C14E98" w:rsidP="00C14E98">
      <w:pPr>
        <w:pStyle w:val="NormalWeb"/>
        <w:spacing w:line="360" w:lineRule="auto"/>
        <w:ind w:left="360" w:hanging="360"/>
        <w:jc w:val="both"/>
        <w:rPr>
          <w:sz w:val="22"/>
          <w:szCs w:val="22"/>
        </w:rPr>
      </w:pPr>
      <w:r w:rsidRPr="00C14E98">
        <w:rPr>
          <w:sz w:val="22"/>
          <w:szCs w:val="22"/>
        </w:rPr>
        <w:t xml:space="preserve">United Nations Scientific Committee on the Effects of Atomic Radiation (UNSCEAR). (2020). </w:t>
      </w:r>
      <w:r w:rsidRPr="00C14E98">
        <w:rPr>
          <w:i/>
          <w:iCs/>
          <w:sz w:val="22"/>
          <w:szCs w:val="22"/>
        </w:rPr>
        <w:t>Sources, effects and risks of ionizing radiation: UNSCEAR 2020 report to the General Assembly with scientific annexes</w:t>
      </w:r>
      <w:r w:rsidRPr="00C14E98">
        <w:rPr>
          <w:sz w:val="22"/>
          <w:szCs w:val="22"/>
        </w:rPr>
        <w:t xml:space="preserve">. United Nations. </w:t>
      </w:r>
      <w:hyperlink r:id="rId43" w:history="1">
        <w:r w:rsidR="001C740B" w:rsidRPr="00393A56">
          <w:rPr>
            <w:rStyle w:val="Hyperlink"/>
          </w:rPr>
          <w:t>https://www.unscear.org/unscear/en/publications/scientific_reports.html</w:t>
        </w:r>
      </w:hyperlink>
      <w:r w:rsidR="001C740B">
        <w:t xml:space="preserve"> </w:t>
      </w:r>
    </w:p>
    <w:p w14:paraId="260F87B0" w14:textId="08A0D95A" w:rsidR="00C14E98" w:rsidRPr="001C740B" w:rsidRDefault="00C14E98" w:rsidP="00C14E98">
      <w:pPr>
        <w:pStyle w:val="NormalWeb"/>
        <w:spacing w:line="360" w:lineRule="auto"/>
        <w:ind w:left="360" w:hanging="360"/>
        <w:jc w:val="both"/>
        <w:rPr>
          <w:b/>
          <w:bCs/>
          <w:sz w:val="22"/>
          <w:szCs w:val="22"/>
        </w:rPr>
      </w:pPr>
      <w:r w:rsidRPr="00C14E98">
        <w:rPr>
          <w:sz w:val="22"/>
          <w:szCs w:val="22"/>
        </w:rPr>
        <w:t xml:space="preserve">Zaid, Q. A., </w:t>
      </w:r>
      <w:proofErr w:type="spellStart"/>
      <w:r w:rsidRPr="00C14E98">
        <w:rPr>
          <w:sz w:val="22"/>
          <w:szCs w:val="22"/>
        </w:rPr>
        <w:t>Khled</w:t>
      </w:r>
      <w:proofErr w:type="spellEnd"/>
      <w:r w:rsidRPr="00C14E98">
        <w:rPr>
          <w:sz w:val="22"/>
          <w:szCs w:val="22"/>
        </w:rPr>
        <w:t xml:space="preserve">, M. A., Anas, M. A., &amp; </w:t>
      </w:r>
      <w:proofErr w:type="spellStart"/>
      <w:r w:rsidRPr="00C14E98">
        <w:rPr>
          <w:sz w:val="22"/>
          <w:szCs w:val="22"/>
        </w:rPr>
        <w:t>Abdalmajeid</w:t>
      </w:r>
      <w:proofErr w:type="spellEnd"/>
      <w:r w:rsidRPr="00C14E98">
        <w:rPr>
          <w:sz w:val="22"/>
          <w:szCs w:val="22"/>
        </w:rPr>
        <w:t xml:space="preserve">, M. A. (2010). Measurement of natural and artificial radioactivity in powder milk corresponding annual effective dose. </w:t>
      </w:r>
      <w:r w:rsidRPr="00C14E98">
        <w:rPr>
          <w:i/>
          <w:iCs/>
          <w:sz w:val="22"/>
          <w:szCs w:val="22"/>
        </w:rPr>
        <w:t>Radiation Protection Dosimetry</w:t>
      </w:r>
      <w:r w:rsidRPr="00C14E98">
        <w:rPr>
          <w:sz w:val="22"/>
          <w:szCs w:val="22"/>
        </w:rPr>
        <w:t xml:space="preserve">, </w:t>
      </w:r>
      <w:r w:rsidRPr="00C14E98">
        <w:rPr>
          <w:i/>
          <w:iCs/>
          <w:sz w:val="22"/>
          <w:szCs w:val="22"/>
        </w:rPr>
        <w:t>138</w:t>
      </w:r>
      <w:r w:rsidRPr="00C14E98">
        <w:rPr>
          <w:sz w:val="22"/>
          <w:szCs w:val="22"/>
        </w:rPr>
        <w:t>(3), 278–283.</w:t>
      </w:r>
      <w:r w:rsidR="001C740B">
        <w:rPr>
          <w:sz w:val="22"/>
          <w:szCs w:val="22"/>
        </w:rPr>
        <w:t xml:space="preserve"> </w:t>
      </w:r>
      <w:hyperlink r:id="rId44" w:history="1">
        <w:r w:rsidR="001C740B" w:rsidRPr="00393A56">
          <w:rPr>
            <w:rStyle w:val="Hyperlink"/>
            <w:sz w:val="22"/>
            <w:szCs w:val="22"/>
          </w:rPr>
          <w:t>https://doi.org/10.1093/rpd/ncp260</w:t>
        </w:r>
      </w:hyperlink>
      <w:r w:rsidR="001C740B">
        <w:rPr>
          <w:b/>
          <w:bCs/>
          <w:sz w:val="22"/>
          <w:szCs w:val="22"/>
        </w:rPr>
        <w:t xml:space="preserve"> </w:t>
      </w:r>
    </w:p>
    <w:p w14:paraId="2C83643B" w14:textId="77777777" w:rsidR="00D93B06" w:rsidRDefault="00D93B06" w:rsidP="00C14E98">
      <w:pPr>
        <w:pStyle w:val="NormalWeb"/>
        <w:spacing w:line="360" w:lineRule="auto"/>
        <w:ind w:left="360" w:hanging="360"/>
        <w:jc w:val="both"/>
        <w:rPr>
          <w:sz w:val="22"/>
          <w:szCs w:val="22"/>
        </w:rPr>
      </w:pPr>
    </w:p>
    <w:p w14:paraId="353FD986" w14:textId="77777777" w:rsidR="00D93B06" w:rsidRDefault="00D93B06" w:rsidP="00C14E98">
      <w:pPr>
        <w:pStyle w:val="NormalWeb"/>
        <w:spacing w:line="360" w:lineRule="auto"/>
        <w:ind w:left="360" w:hanging="360"/>
        <w:jc w:val="both"/>
        <w:rPr>
          <w:sz w:val="22"/>
          <w:szCs w:val="22"/>
        </w:rPr>
      </w:pPr>
    </w:p>
    <w:p w14:paraId="30EFEBF1" w14:textId="77777777" w:rsidR="00D93B06" w:rsidRDefault="00D93B06" w:rsidP="00C14E98">
      <w:pPr>
        <w:pStyle w:val="NormalWeb"/>
        <w:spacing w:line="360" w:lineRule="auto"/>
        <w:ind w:left="360" w:hanging="360"/>
        <w:jc w:val="both"/>
        <w:rPr>
          <w:sz w:val="22"/>
          <w:szCs w:val="22"/>
        </w:rPr>
      </w:pPr>
    </w:p>
    <w:p w14:paraId="1EED345A" w14:textId="77777777" w:rsidR="00D93B06" w:rsidRDefault="00D93B06" w:rsidP="00C14E98">
      <w:pPr>
        <w:pStyle w:val="NormalWeb"/>
        <w:spacing w:line="360" w:lineRule="auto"/>
        <w:ind w:left="360" w:hanging="360"/>
        <w:jc w:val="both"/>
        <w:rPr>
          <w:sz w:val="22"/>
          <w:szCs w:val="22"/>
        </w:rPr>
      </w:pPr>
    </w:p>
    <w:p w14:paraId="0D440C09" w14:textId="77777777" w:rsidR="00D93B06" w:rsidRDefault="00D93B06" w:rsidP="00C14E98">
      <w:pPr>
        <w:pStyle w:val="NormalWeb"/>
        <w:spacing w:line="360" w:lineRule="auto"/>
        <w:ind w:left="360" w:hanging="360"/>
        <w:jc w:val="both"/>
        <w:rPr>
          <w:sz w:val="22"/>
          <w:szCs w:val="22"/>
        </w:rPr>
      </w:pPr>
    </w:p>
    <w:p w14:paraId="20AB752E" w14:textId="77777777" w:rsidR="00D93B06" w:rsidRDefault="00D93B06" w:rsidP="00C14E98">
      <w:pPr>
        <w:pStyle w:val="NormalWeb"/>
        <w:spacing w:line="360" w:lineRule="auto"/>
        <w:ind w:left="360" w:hanging="360"/>
        <w:jc w:val="both"/>
        <w:rPr>
          <w:sz w:val="22"/>
          <w:szCs w:val="22"/>
        </w:rPr>
      </w:pPr>
    </w:p>
    <w:p w14:paraId="6528E569" w14:textId="77777777" w:rsidR="00D93B06" w:rsidRDefault="00D93B06" w:rsidP="00C14E98">
      <w:pPr>
        <w:pStyle w:val="NormalWeb"/>
        <w:spacing w:line="360" w:lineRule="auto"/>
        <w:ind w:left="360" w:hanging="360"/>
        <w:jc w:val="both"/>
        <w:rPr>
          <w:sz w:val="22"/>
          <w:szCs w:val="22"/>
        </w:rPr>
      </w:pPr>
    </w:p>
    <w:p w14:paraId="30F2C8C4" w14:textId="77777777" w:rsidR="00D93B06" w:rsidRDefault="00D93B06" w:rsidP="00C14E98">
      <w:pPr>
        <w:pStyle w:val="NormalWeb"/>
        <w:spacing w:line="360" w:lineRule="auto"/>
        <w:ind w:left="360" w:hanging="360"/>
        <w:jc w:val="both"/>
        <w:rPr>
          <w:sz w:val="22"/>
          <w:szCs w:val="22"/>
        </w:rPr>
      </w:pPr>
    </w:p>
    <w:p w14:paraId="1EE659EB" w14:textId="77777777" w:rsidR="00D93B06" w:rsidRDefault="00D93B06" w:rsidP="00C14E98">
      <w:pPr>
        <w:pStyle w:val="NormalWeb"/>
        <w:spacing w:line="360" w:lineRule="auto"/>
        <w:ind w:left="360" w:hanging="360"/>
        <w:jc w:val="both"/>
        <w:rPr>
          <w:sz w:val="22"/>
          <w:szCs w:val="22"/>
        </w:rPr>
      </w:pPr>
    </w:p>
    <w:p w14:paraId="517ABE29" w14:textId="77777777" w:rsidR="00D93B06" w:rsidRDefault="00D93B06" w:rsidP="00C14E98">
      <w:pPr>
        <w:pStyle w:val="NormalWeb"/>
        <w:spacing w:line="360" w:lineRule="auto"/>
        <w:ind w:left="360" w:hanging="360"/>
        <w:jc w:val="both"/>
        <w:rPr>
          <w:sz w:val="22"/>
          <w:szCs w:val="22"/>
        </w:rPr>
      </w:pPr>
    </w:p>
    <w:p w14:paraId="1B93BB8B" w14:textId="77777777" w:rsidR="00D93B06" w:rsidRDefault="00D93B06" w:rsidP="00C14E98">
      <w:pPr>
        <w:pStyle w:val="NormalWeb"/>
        <w:spacing w:line="360" w:lineRule="auto"/>
        <w:ind w:left="360" w:hanging="360"/>
        <w:jc w:val="both"/>
        <w:rPr>
          <w:sz w:val="22"/>
          <w:szCs w:val="22"/>
        </w:rPr>
      </w:pPr>
    </w:p>
    <w:p w14:paraId="2D1B0445" w14:textId="77777777" w:rsidR="00D93B06" w:rsidRDefault="00D93B06" w:rsidP="00C14E98">
      <w:pPr>
        <w:pStyle w:val="NormalWeb"/>
        <w:spacing w:line="360" w:lineRule="auto"/>
        <w:ind w:left="360" w:hanging="360"/>
        <w:jc w:val="both"/>
        <w:rPr>
          <w:sz w:val="22"/>
          <w:szCs w:val="22"/>
        </w:rPr>
      </w:pPr>
    </w:p>
    <w:p w14:paraId="38990FFA" w14:textId="77777777" w:rsidR="00D93B06" w:rsidRDefault="00D93B06" w:rsidP="00C14E98">
      <w:pPr>
        <w:pStyle w:val="NormalWeb"/>
        <w:spacing w:line="360" w:lineRule="auto"/>
        <w:ind w:left="360" w:hanging="360"/>
        <w:jc w:val="both"/>
        <w:rPr>
          <w:sz w:val="22"/>
          <w:szCs w:val="22"/>
        </w:rPr>
      </w:pPr>
    </w:p>
    <w:p w14:paraId="1314A3FC" w14:textId="77777777" w:rsidR="00D93B06" w:rsidRDefault="00D93B06" w:rsidP="00C14E98">
      <w:pPr>
        <w:pStyle w:val="NormalWeb"/>
        <w:spacing w:line="360" w:lineRule="auto"/>
        <w:ind w:left="360" w:hanging="360"/>
        <w:jc w:val="both"/>
        <w:rPr>
          <w:sz w:val="22"/>
          <w:szCs w:val="22"/>
        </w:rPr>
      </w:pPr>
    </w:p>
    <w:p w14:paraId="50F67290" w14:textId="77777777" w:rsidR="00D93B06" w:rsidRDefault="00D93B06" w:rsidP="00C14E98">
      <w:pPr>
        <w:pStyle w:val="NormalWeb"/>
        <w:spacing w:line="360" w:lineRule="auto"/>
        <w:ind w:left="360" w:hanging="360"/>
        <w:jc w:val="both"/>
        <w:rPr>
          <w:sz w:val="22"/>
          <w:szCs w:val="22"/>
        </w:rPr>
      </w:pPr>
    </w:p>
    <w:p w14:paraId="7DBACD4D" w14:textId="06CB3D4A" w:rsidR="00A707E7" w:rsidRPr="00C14E98" w:rsidRDefault="00A707E7" w:rsidP="00C14E98">
      <w:pPr>
        <w:pStyle w:val="NormalWeb"/>
        <w:spacing w:line="360" w:lineRule="auto"/>
        <w:ind w:left="360" w:hanging="360"/>
        <w:jc w:val="both"/>
        <w:rPr>
          <w:sz w:val="22"/>
          <w:szCs w:val="22"/>
        </w:rPr>
      </w:pPr>
      <w:r>
        <w:rPr>
          <w:sz w:val="22"/>
          <w:szCs w:val="22"/>
        </w:rPr>
        <w:t xml:space="preserve">TABLE </w:t>
      </w:r>
      <w:r w:rsidR="003E288A">
        <w:rPr>
          <w:sz w:val="22"/>
          <w:szCs w:val="22"/>
        </w:rPr>
        <w:t>7.</w:t>
      </w:r>
      <w:r w:rsidR="003B631A">
        <w:rPr>
          <w:sz w:val="22"/>
          <w:szCs w:val="22"/>
        </w:rPr>
        <w:t xml:space="preserve"> </w:t>
      </w:r>
      <w:r w:rsidR="003B631A" w:rsidRPr="001D3274">
        <w:rPr>
          <w:b/>
          <w:sz w:val="22"/>
          <w:szCs w:val="22"/>
        </w:rPr>
        <w:t>Radiation measurements at individual sampling point</w:t>
      </w:r>
      <w:r w:rsidR="003B631A">
        <w:rPr>
          <w:sz w:val="22"/>
          <w:szCs w:val="22"/>
        </w:rPr>
        <w:t xml:space="preserve"> </w:t>
      </w:r>
    </w:p>
    <w:p w14:paraId="3CD52DFD" w14:textId="77777777" w:rsidR="00C14E98" w:rsidRPr="00C14E98" w:rsidRDefault="00C14E98" w:rsidP="00C14E98">
      <w:pPr>
        <w:spacing w:line="360" w:lineRule="auto"/>
        <w:jc w:val="both"/>
        <w:rPr>
          <w:rFonts w:ascii="Times New Roman" w:hAnsi="Times New Roman" w:cs="Times New Roman"/>
          <w:b/>
        </w:rPr>
      </w:pPr>
    </w:p>
    <w:tbl>
      <w:tblPr>
        <w:tblW w:w="5000" w:type="pct"/>
        <w:tblLook w:val="04A0" w:firstRow="1" w:lastRow="0" w:firstColumn="1" w:lastColumn="0" w:noHBand="0" w:noVBand="1"/>
      </w:tblPr>
      <w:tblGrid>
        <w:gridCol w:w="922"/>
        <w:gridCol w:w="1506"/>
        <w:gridCol w:w="645"/>
        <w:gridCol w:w="645"/>
        <w:gridCol w:w="645"/>
        <w:gridCol w:w="960"/>
        <w:gridCol w:w="942"/>
        <w:gridCol w:w="778"/>
        <w:gridCol w:w="830"/>
        <w:gridCol w:w="660"/>
        <w:gridCol w:w="817"/>
      </w:tblGrid>
      <w:tr w:rsidR="00A707E7" w:rsidRPr="00A707E7" w14:paraId="2EA0F60A" w14:textId="77777777" w:rsidTr="00A707E7">
        <w:trPr>
          <w:trHeight w:val="300"/>
        </w:trPr>
        <w:tc>
          <w:tcPr>
            <w:tcW w:w="355" w:type="pct"/>
            <w:tcBorders>
              <w:top w:val="single" w:sz="4" w:space="0" w:color="auto"/>
              <w:left w:val="single" w:sz="4" w:space="0" w:color="auto"/>
              <w:bottom w:val="single" w:sz="4" w:space="0" w:color="auto"/>
              <w:right w:val="single" w:sz="4" w:space="0" w:color="auto"/>
            </w:tcBorders>
            <w:noWrap/>
            <w:hideMark/>
          </w:tcPr>
          <w:p w14:paraId="6BC48D32" w14:textId="77777777" w:rsidR="00A707E7" w:rsidRPr="00A707E7" w:rsidRDefault="00A707E7" w:rsidP="00A707E7">
            <w:pPr>
              <w:spacing w:after="0" w:line="240" w:lineRule="auto"/>
              <w:jc w:val="center"/>
              <w:rPr>
                <w:rFonts w:ascii="Calibri" w:eastAsia="Times New Roman" w:hAnsi="Calibri" w:cs="Calibri"/>
                <w:b/>
                <w:bCs/>
                <w:color w:val="000000"/>
              </w:rPr>
            </w:pPr>
            <w:r w:rsidRPr="00A707E7">
              <w:rPr>
                <w:rFonts w:ascii="Calibri" w:eastAsia="Times New Roman" w:hAnsi="Calibri" w:cs="Calibri"/>
                <w:b/>
                <w:bCs/>
                <w:color w:val="000000"/>
              </w:rPr>
              <w:t>Sampling Point</w:t>
            </w:r>
          </w:p>
        </w:tc>
        <w:tc>
          <w:tcPr>
            <w:tcW w:w="855" w:type="pct"/>
            <w:tcBorders>
              <w:top w:val="single" w:sz="4" w:space="0" w:color="auto"/>
              <w:left w:val="nil"/>
              <w:bottom w:val="single" w:sz="4" w:space="0" w:color="auto"/>
              <w:right w:val="single" w:sz="4" w:space="0" w:color="auto"/>
            </w:tcBorders>
            <w:noWrap/>
            <w:hideMark/>
          </w:tcPr>
          <w:p w14:paraId="6E69AFB9" w14:textId="77777777" w:rsidR="00A707E7" w:rsidRPr="00A707E7" w:rsidRDefault="00A707E7" w:rsidP="00A707E7">
            <w:pPr>
              <w:spacing w:after="0" w:line="240" w:lineRule="auto"/>
              <w:jc w:val="center"/>
              <w:rPr>
                <w:rFonts w:ascii="Calibri" w:eastAsia="Times New Roman" w:hAnsi="Calibri" w:cs="Calibri"/>
                <w:b/>
                <w:bCs/>
                <w:color w:val="000000"/>
              </w:rPr>
            </w:pPr>
            <w:r w:rsidRPr="00A707E7">
              <w:rPr>
                <w:rFonts w:ascii="Calibri" w:eastAsia="Times New Roman" w:hAnsi="Calibri" w:cs="Calibri"/>
                <w:b/>
                <w:bCs/>
                <w:color w:val="000000"/>
              </w:rPr>
              <w:t>Coordinates</w:t>
            </w:r>
          </w:p>
        </w:tc>
        <w:tc>
          <w:tcPr>
            <w:tcW w:w="354" w:type="pct"/>
            <w:tcBorders>
              <w:top w:val="single" w:sz="4" w:space="0" w:color="auto"/>
              <w:left w:val="nil"/>
              <w:bottom w:val="single" w:sz="4" w:space="0" w:color="auto"/>
              <w:right w:val="single" w:sz="4" w:space="0" w:color="auto"/>
            </w:tcBorders>
            <w:noWrap/>
            <w:hideMark/>
          </w:tcPr>
          <w:p w14:paraId="67873016"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BIR_mRh</w:t>
            </w:r>
            <w:proofErr w:type="spellEnd"/>
          </w:p>
        </w:tc>
        <w:tc>
          <w:tcPr>
            <w:tcW w:w="354" w:type="pct"/>
            <w:tcBorders>
              <w:top w:val="single" w:sz="4" w:space="0" w:color="auto"/>
              <w:left w:val="nil"/>
              <w:bottom w:val="single" w:sz="4" w:space="0" w:color="auto"/>
              <w:right w:val="single" w:sz="4" w:space="0" w:color="auto"/>
            </w:tcBorders>
            <w:noWrap/>
            <w:hideMark/>
          </w:tcPr>
          <w:p w14:paraId="484C9AC7"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lat_dd</w:t>
            </w:r>
            <w:proofErr w:type="spellEnd"/>
          </w:p>
        </w:tc>
        <w:tc>
          <w:tcPr>
            <w:tcW w:w="354" w:type="pct"/>
            <w:tcBorders>
              <w:top w:val="single" w:sz="4" w:space="0" w:color="auto"/>
              <w:left w:val="nil"/>
              <w:bottom w:val="single" w:sz="4" w:space="0" w:color="auto"/>
              <w:right w:val="single" w:sz="4" w:space="0" w:color="auto"/>
            </w:tcBorders>
            <w:noWrap/>
            <w:hideMark/>
          </w:tcPr>
          <w:p w14:paraId="3DDA9584"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lon_dd</w:t>
            </w:r>
            <w:proofErr w:type="spellEnd"/>
          </w:p>
        </w:tc>
        <w:tc>
          <w:tcPr>
            <w:tcW w:w="497" w:type="pct"/>
            <w:tcBorders>
              <w:top w:val="single" w:sz="4" w:space="0" w:color="auto"/>
              <w:left w:val="nil"/>
              <w:bottom w:val="single" w:sz="4" w:space="0" w:color="auto"/>
              <w:right w:val="single" w:sz="4" w:space="0" w:color="auto"/>
            </w:tcBorders>
            <w:noWrap/>
            <w:hideMark/>
          </w:tcPr>
          <w:p w14:paraId="05A6BEE6"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lat_dms</w:t>
            </w:r>
            <w:proofErr w:type="spellEnd"/>
          </w:p>
        </w:tc>
        <w:tc>
          <w:tcPr>
            <w:tcW w:w="486" w:type="pct"/>
            <w:tcBorders>
              <w:top w:val="single" w:sz="4" w:space="0" w:color="auto"/>
              <w:left w:val="nil"/>
              <w:bottom w:val="single" w:sz="4" w:space="0" w:color="auto"/>
              <w:right w:val="single" w:sz="4" w:space="0" w:color="auto"/>
            </w:tcBorders>
            <w:noWrap/>
            <w:hideMark/>
          </w:tcPr>
          <w:p w14:paraId="68F63E24"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lon_dms</w:t>
            </w:r>
            <w:proofErr w:type="spellEnd"/>
          </w:p>
        </w:tc>
        <w:tc>
          <w:tcPr>
            <w:tcW w:w="441" w:type="pct"/>
            <w:tcBorders>
              <w:top w:val="single" w:sz="4" w:space="0" w:color="auto"/>
              <w:left w:val="nil"/>
              <w:bottom w:val="single" w:sz="4" w:space="0" w:color="auto"/>
              <w:right w:val="single" w:sz="4" w:space="0" w:color="auto"/>
            </w:tcBorders>
            <w:noWrap/>
            <w:hideMark/>
          </w:tcPr>
          <w:p w14:paraId="49BADAF2"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ADR_nGy_h</w:t>
            </w:r>
            <w:proofErr w:type="spellEnd"/>
          </w:p>
        </w:tc>
        <w:tc>
          <w:tcPr>
            <w:tcW w:w="475" w:type="pct"/>
            <w:tcBorders>
              <w:top w:val="single" w:sz="4" w:space="0" w:color="auto"/>
              <w:left w:val="nil"/>
              <w:bottom w:val="single" w:sz="4" w:space="0" w:color="auto"/>
              <w:right w:val="single" w:sz="4" w:space="0" w:color="auto"/>
            </w:tcBorders>
            <w:noWrap/>
            <w:hideMark/>
          </w:tcPr>
          <w:p w14:paraId="206E5706"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AEDE_mSv_y</w:t>
            </w:r>
            <w:proofErr w:type="spellEnd"/>
          </w:p>
        </w:tc>
        <w:tc>
          <w:tcPr>
            <w:tcW w:w="363" w:type="pct"/>
            <w:tcBorders>
              <w:top w:val="single" w:sz="4" w:space="0" w:color="auto"/>
              <w:left w:val="nil"/>
              <w:bottom w:val="single" w:sz="4" w:space="0" w:color="auto"/>
              <w:right w:val="single" w:sz="4" w:space="0" w:color="auto"/>
            </w:tcBorders>
            <w:noWrap/>
            <w:hideMark/>
          </w:tcPr>
          <w:p w14:paraId="440D443E"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ELCR_abs</w:t>
            </w:r>
            <w:proofErr w:type="spellEnd"/>
          </w:p>
        </w:tc>
        <w:tc>
          <w:tcPr>
            <w:tcW w:w="466" w:type="pct"/>
            <w:tcBorders>
              <w:top w:val="single" w:sz="4" w:space="0" w:color="auto"/>
              <w:left w:val="nil"/>
              <w:bottom w:val="single" w:sz="4" w:space="0" w:color="auto"/>
              <w:right w:val="single" w:sz="4" w:space="0" w:color="auto"/>
            </w:tcBorders>
            <w:noWrap/>
            <w:hideMark/>
          </w:tcPr>
          <w:p w14:paraId="4BFFC7CE" w14:textId="77777777" w:rsidR="00A707E7" w:rsidRPr="00A707E7" w:rsidRDefault="00A707E7" w:rsidP="00A707E7">
            <w:pPr>
              <w:spacing w:after="0" w:line="240" w:lineRule="auto"/>
              <w:jc w:val="center"/>
              <w:rPr>
                <w:rFonts w:ascii="Calibri" w:eastAsia="Times New Roman" w:hAnsi="Calibri" w:cs="Calibri"/>
                <w:b/>
                <w:bCs/>
                <w:color w:val="000000"/>
              </w:rPr>
            </w:pPr>
            <w:r w:rsidRPr="00A707E7">
              <w:rPr>
                <w:rFonts w:ascii="Calibri" w:eastAsia="Times New Roman" w:hAnsi="Calibri" w:cs="Calibri"/>
                <w:b/>
                <w:bCs/>
                <w:color w:val="000000"/>
              </w:rPr>
              <w:t>ELCR_x10_3</w:t>
            </w:r>
          </w:p>
        </w:tc>
      </w:tr>
      <w:tr w:rsidR="00A707E7" w:rsidRPr="00A707E7" w14:paraId="5402A837" w14:textId="77777777" w:rsidTr="00A707E7">
        <w:trPr>
          <w:trHeight w:val="300"/>
        </w:trPr>
        <w:tc>
          <w:tcPr>
            <w:tcW w:w="355" w:type="pct"/>
            <w:tcBorders>
              <w:top w:val="nil"/>
              <w:left w:val="nil"/>
              <w:bottom w:val="nil"/>
              <w:right w:val="nil"/>
            </w:tcBorders>
            <w:noWrap/>
            <w:vAlign w:val="bottom"/>
            <w:hideMark/>
          </w:tcPr>
          <w:p w14:paraId="700BAD0E"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L1</w:t>
            </w:r>
          </w:p>
        </w:tc>
        <w:tc>
          <w:tcPr>
            <w:tcW w:w="855" w:type="pct"/>
            <w:tcBorders>
              <w:top w:val="nil"/>
              <w:left w:val="nil"/>
              <w:bottom w:val="nil"/>
              <w:right w:val="nil"/>
            </w:tcBorders>
            <w:noWrap/>
            <w:vAlign w:val="bottom"/>
            <w:hideMark/>
          </w:tcPr>
          <w:p w14:paraId="0AFAE09C"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N 05026.948’ E 006012.097’</w:t>
            </w:r>
          </w:p>
        </w:tc>
        <w:tc>
          <w:tcPr>
            <w:tcW w:w="354" w:type="pct"/>
            <w:tcBorders>
              <w:top w:val="nil"/>
              <w:left w:val="nil"/>
              <w:bottom w:val="nil"/>
              <w:right w:val="nil"/>
            </w:tcBorders>
            <w:noWrap/>
            <w:vAlign w:val="bottom"/>
            <w:hideMark/>
          </w:tcPr>
          <w:p w14:paraId="5587712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w:t>
            </w:r>
          </w:p>
        </w:tc>
        <w:tc>
          <w:tcPr>
            <w:tcW w:w="354" w:type="pct"/>
            <w:tcBorders>
              <w:top w:val="nil"/>
              <w:left w:val="nil"/>
              <w:bottom w:val="nil"/>
              <w:right w:val="nil"/>
            </w:tcBorders>
            <w:noWrap/>
            <w:vAlign w:val="bottom"/>
            <w:hideMark/>
          </w:tcPr>
          <w:p w14:paraId="480CACA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50.44913</w:t>
            </w:r>
          </w:p>
        </w:tc>
        <w:tc>
          <w:tcPr>
            <w:tcW w:w="354" w:type="pct"/>
            <w:tcBorders>
              <w:top w:val="nil"/>
              <w:left w:val="nil"/>
              <w:bottom w:val="nil"/>
              <w:right w:val="nil"/>
            </w:tcBorders>
            <w:noWrap/>
            <w:vAlign w:val="bottom"/>
            <w:hideMark/>
          </w:tcPr>
          <w:p w14:paraId="2948411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60.20162</w:t>
            </w:r>
          </w:p>
        </w:tc>
        <w:tc>
          <w:tcPr>
            <w:tcW w:w="497" w:type="pct"/>
            <w:tcBorders>
              <w:top w:val="nil"/>
              <w:left w:val="nil"/>
              <w:bottom w:val="nil"/>
              <w:right w:val="nil"/>
            </w:tcBorders>
            <w:noWrap/>
            <w:vAlign w:val="bottom"/>
            <w:hideMark/>
          </w:tcPr>
          <w:p w14:paraId="53F5A83B"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50° 26′ 56.88″ N</w:t>
            </w:r>
          </w:p>
        </w:tc>
        <w:tc>
          <w:tcPr>
            <w:tcW w:w="486" w:type="pct"/>
            <w:tcBorders>
              <w:top w:val="nil"/>
              <w:left w:val="nil"/>
              <w:bottom w:val="nil"/>
              <w:right w:val="nil"/>
            </w:tcBorders>
            <w:noWrap/>
            <w:vAlign w:val="bottom"/>
            <w:hideMark/>
          </w:tcPr>
          <w:p w14:paraId="1243C4F7"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60° 12′ 5.82″ E</w:t>
            </w:r>
          </w:p>
        </w:tc>
        <w:tc>
          <w:tcPr>
            <w:tcW w:w="441" w:type="pct"/>
            <w:tcBorders>
              <w:top w:val="nil"/>
              <w:left w:val="nil"/>
              <w:bottom w:val="nil"/>
              <w:right w:val="nil"/>
            </w:tcBorders>
            <w:noWrap/>
            <w:vAlign w:val="bottom"/>
            <w:hideMark/>
          </w:tcPr>
          <w:p w14:paraId="4CE7EFED"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78.84</w:t>
            </w:r>
          </w:p>
        </w:tc>
        <w:tc>
          <w:tcPr>
            <w:tcW w:w="475" w:type="pct"/>
            <w:tcBorders>
              <w:top w:val="nil"/>
              <w:left w:val="nil"/>
              <w:bottom w:val="nil"/>
              <w:right w:val="nil"/>
            </w:tcBorders>
            <w:noWrap/>
            <w:vAlign w:val="bottom"/>
            <w:hideMark/>
          </w:tcPr>
          <w:p w14:paraId="78EC39C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0.096689</w:t>
            </w:r>
          </w:p>
        </w:tc>
        <w:tc>
          <w:tcPr>
            <w:tcW w:w="363" w:type="pct"/>
            <w:tcBorders>
              <w:top w:val="nil"/>
              <w:left w:val="nil"/>
              <w:bottom w:val="nil"/>
              <w:right w:val="nil"/>
            </w:tcBorders>
            <w:noWrap/>
            <w:vAlign w:val="bottom"/>
            <w:hideMark/>
          </w:tcPr>
          <w:p w14:paraId="1971699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0.000338</w:t>
            </w:r>
          </w:p>
        </w:tc>
        <w:tc>
          <w:tcPr>
            <w:tcW w:w="466" w:type="pct"/>
            <w:tcBorders>
              <w:top w:val="nil"/>
              <w:left w:val="nil"/>
              <w:bottom w:val="nil"/>
              <w:right w:val="nil"/>
            </w:tcBorders>
            <w:noWrap/>
            <w:vAlign w:val="bottom"/>
            <w:hideMark/>
          </w:tcPr>
          <w:p w14:paraId="2EECF869"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0.338412816</w:t>
            </w:r>
          </w:p>
        </w:tc>
      </w:tr>
      <w:tr w:rsidR="00A707E7" w:rsidRPr="00A707E7" w14:paraId="7806FC56" w14:textId="77777777" w:rsidTr="00A707E7">
        <w:trPr>
          <w:trHeight w:val="300"/>
        </w:trPr>
        <w:tc>
          <w:tcPr>
            <w:tcW w:w="355" w:type="pct"/>
            <w:tcBorders>
              <w:top w:val="nil"/>
              <w:left w:val="nil"/>
              <w:bottom w:val="nil"/>
              <w:right w:val="nil"/>
            </w:tcBorders>
            <w:noWrap/>
            <w:vAlign w:val="bottom"/>
            <w:hideMark/>
          </w:tcPr>
          <w:p w14:paraId="04FC182E"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L2</w:t>
            </w:r>
          </w:p>
        </w:tc>
        <w:tc>
          <w:tcPr>
            <w:tcW w:w="855" w:type="pct"/>
            <w:tcBorders>
              <w:top w:val="nil"/>
              <w:left w:val="nil"/>
              <w:bottom w:val="nil"/>
              <w:right w:val="nil"/>
            </w:tcBorders>
            <w:noWrap/>
            <w:vAlign w:val="bottom"/>
            <w:hideMark/>
          </w:tcPr>
          <w:p w14:paraId="56385A27"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N 05026.876’ E 006011.921’</w:t>
            </w:r>
          </w:p>
        </w:tc>
        <w:tc>
          <w:tcPr>
            <w:tcW w:w="354" w:type="pct"/>
            <w:tcBorders>
              <w:top w:val="nil"/>
              <w:left w:val="nil"/>
              <w:bottom w:val="nil"/>
              <w:right w:val="nil"/>
            </w:tcBorders>
            <w:noWrap/>
            <w:vAlign w:val="bottom"/>
            <w:hideMark/>
          </w:tcPr>
          <w:p w14:paraId="4AE761E9"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w:t>
            </w:r>
          </w:p>
        </w:tc>
        <w:tc>
          <w:tcPr>
            <w:tcW w:w="354" w:type="pct"/>
            <w:tcBorders>
              <w:top w:val="nil"/>
              <w:left w:val="nil"/>
              <w:bottom w:val="nil"/>
              <w:right w:val="nil"/>
            </w:tcBorders>
            <w:noWrap/>
            <w:vAlign w:val="bottom"/>
            <w:hideMark/>
          </w:tcPr>
          <w:p w14:paraId="29A3F605"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50.44793</w:t>
            </w:r>
          </w:p>
        </w:tc>
        <w:tc>
          <w:tcPr>
            <w:tcW w:w="354" w:type="pct"/>
            <w:tcBorders>
              <w:top w:val="nil"/>
              <w:left w:val="nil"/>
              <w:bottom w:val="nil"/>
              <w:right w:val="nil"/>
            </w:tcBorders>
            <w:noWrap/>
            <w:vAlign w:val="bottom"/>
            <w:hideMark/>
          </w:tcPr>
          <w:p w14:paraId="1221F782"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60.19868</w:t>
            </w:r>
          </w:p>
        </w:tc>
        <w:tc>
          <w:tcPr>
            <w:tcW w:w="497" w:type="pct"/>
            <w:tcBorders>
              <w:top w:val="nil"/>
              <w:left w:val="nil"/>
              <w:bottom w:val="nil"/>
              <w:right w:val="nil"/>
            </w:tcBorders>
            <w:noWrap/>
            <w:vAlign w:val="bottom"/>
            <w:hideMark/>
          </w:tcPr>
          <w:p w14:paraId="3C20F9F6"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50° 26′ 52.56″ N</w:t>
            </w:r>
          </w:p>
        </w:tc>
        <w:tc>
          <w:tcPr>
            <w:tcW w:w="486" w:type="pct"/>
            <w:tcBorders>
              <w:top w:val="nil"/>
              <w:left w:val="nil"/>
              <w:bottom w:val="nil"/>
              <w:right w:val="nil"/>
            </w:tcBorders>
            <w:noWrap/>
            <w:vAlign w:val="bottom"/>
            <w:hideMark/>
          </w:tcPr>
          <w:p w14:paraId="582233FF"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60° 11′ 55.26″ E</w:t>
            </w:r>
          </w:p>
        </w:tc>
        <w:tc>
          <w:tcPr>
            <w:tcW w:w="441" w:type="pct"/>
            <w:tcBorders>
              <w:top w:val="nil"/>
              <w:left w:val="nil"/>
              <w:bottom w:val="nil"/>
              <w:right w:val="nil"/>
            </w:tcBorders>
            <w:noWrap/>
            <w:vAlign w:val="bottom"/>
            <w:hideMark/>
          </w:tcPr>
          <w:p w14:paraId="3331B17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788.4</w:t>
            </w:r>
          </w:p>
        </w:tc>
        <w:tc>
          <w:tcPr>
            <w:tcW w:w="475" w:type="pct"/>
            <w:tcBorders>
              <w:top w:val="nil"/>
              <w:left w:val="nil"/>
              <w:bottom w:val="nil"/>
              <w:right w:val="nil"/>
            </w:tcBorders>
            <w:noWrap/>
            <w:vAlign w:val="bottom"/>
            <w:hideMark/>
          </w:tcPr>
          <w:p w14:paraId="1472681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0.966894</w:t>
            </w:r>
          </w:p>
        </w:tc>
        <w:tc>
          <w:tcPr>
            <w:tcW w:w="363" w:type="pct"/>
            <w:tcBorders>
              <w:top w:val="nil"/>
              <w:left w:val="nil"/>
              <w:bottom w:val="nil"/>
              <w:right w:val="nil"/>
            </w:tcBorders>
            <w:noWrap/>
            <w:vAlign w:val="bottom"/>
            <w:hideMark/>
          </w:tcPr>
          <w:p w14:paraId="041115B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0.003384</w:t>
            </w:r>
          </w:p>
        </w:tc>
        <w:tc>
          <w:tcPr>
            <w:tcW w:w="466" w:type="pct"/>
            <w:tcBorders>
              <w:top w:val="nil"/>
              <w:left w:val="nil"/>
              <w:bottom w:val="nil"/>
              <w:right w:val="nil"/>
            </w:tcBorders>
            <w:noWrap/>
            <w:vAlign w:val="bottom"/>
            <w:hideMark/>
          </w:tcPr>
          <w:p w14:paraId="1E7B3758"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3.38412816</w:t>
            </w:r>
          </w:p>
        </w:tc>
      </w:tr>
      <w:tr w:rsidR="00A707E7" w:rsidRPr="00A707E7" w14:paraId="6AE1AE58" w14:textId="77777777" w:rsidTr="00A707E7">
        <w:trPr>
          <w:trHeight w:val="300"/>
        </w:trPr>
        <w:tc>
          <w:tcPr>
            <w:tcW w:w="355" w:type="pct"/>
            <w:tcBorders>
              <w:top w:val="nil"/>
              <w:left w:val="nil"/>
              <w:bottom w:val="nil"/>
              <w:right w:val="nil"/>
            </w:tcBorders>
            <w:noWrap/>
            <w:vAlign w:val="bottom"/>
            <w:hideMark/>
          </w:tcPr>
          <w:p w14:paraId="3F0B797C"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L3</w:t>
            </w:r>
          </w:p>
        </w:tc>
        <w:tc>
          <w:tcPr>
            <w:tcW w:w="855" w:type="pct"/>
            <w:tcBorders>
              <w:top w:val="nil"/>
              <w:left w:val="nil"/>
              <w:bottom w:val="nil"/>
              <w:right w:val="nil"/>
            </w:tcBorders>
            <w:noWrap/>
            <w:vAlign w:val="bottom"/>
            <w:hideMark/>
          </w:tcPr>
          <w:p w14:paraId="364068D5"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N 05026.888’ E 006011.918’</w:t>
            </w:r>
          </w:p>
        </w:tc>
        <w:tc>
          <w:tcPr>
            <w:tcW w:w="354" w:type="pct"/>
            <w:tcBorders>
              <w:top w:val="nil"/>
              <w:left w:val="nil"/>
              <w:bottom w:val="nil"/>
              <w:right w:val="nil"/>
            </w:tcBorders>
            <w:noWrap/>
            <w:vAlign w:val="bottom"/>
            <w:hideMark/>
          </w:tcPr>
          <w:p w14:paraId="60028499"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w:t>
            </w:r>
          </w:p>
        </w:tc>
        <w:tc>
          <w:tcPr>
            <w:tcW w:w="354" w:type="pct"/>
            <w:tcBorders>
              <w:top w:val="nil"/>
              <w:left w:val="nil"/>
              <w:bottom w:val="nil"/>
              <w:right w:val="nil"/>
            </w:tcBorders>
            <w:noWrap/>
            <w:vAlign w:val="bottom"/>
            <w:hideMark/>
          </w:tcPr>
          <w:p w14:paraId="5BA5DDE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50.44813</w:t>
            </w:r>
          </w:p>
        </w:tc>
        <w:tc>
          <w:tcPr>
            <w:tcW w:w="354" w:type="pct"/>
            <w:tcBorders>
              <w:top w:val="nil"/>
              <w:left w:val="nil"/>
              <w:bottom w:val="nil"/>
              <w:right w:val="nil"/>
            </w:tcBorders>
            <w:noWrap/>
            <w:vAlign w:val="bottom"/>
            <w:hideMark/>
          </w:tcPr>
          <w:p w14:paraId="053E346C"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60.19863</w:t>
            </w:r>
          </w:p>
        </w:tc>
        <w:tc>
          <w:tcPr>
            <w:tcW w:w="497" w:type="pct"/>
            <w:tcBorders>
              <w:top w:val="nil"/>
              <w:left w:val="nil"/>
              <w:bottom w:val="nil"/>
              <w:right w:val="nil"/>
            </w:tcBorders>
            <w:noWrap/>
            <w:vAlign w:val="bottom"/>
            <w:hideMark/>
          </w:tcPr>
          <w:p w14:paraId="3E6DB660"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50° 26′ 53.28″ N</w:t>
            </w:r>
          </w:p>
        </w:tc>
        <w:tc>
          <w:tcPr>
            <w:tcW w:w="486" w:type="pct"/>
            <w:tcBorders>
              <w:top w:val="nil"/>
              <w:left w:val="nil"/>
              <w:bottom w:val="nil"/>
              <w:right w:val="nil"/>
            </w:tcBorders>
            <w:noWrap/>
            <w:vAlign w:val="bottom"/>
            <w:hideMark/>
          </w:tcPr>
          <w:p w14:paraId="11FA61FC"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60° 11′ 55.08″ E</w:t>
            </w:r>
          </w:p>
        </w:tc>
        <w:tc>
          <w:tcPr>
            <w:tcW w:w="441" w:type="pct"/>
            <w:tcBorders>
              <w:top w:val="nil"/>
              <w:left w:val="nil"/>
              <w:bottom w:val="nil"/>
              <w:right w:val="nil"/>
            </w:tcBorders>
            <w:noWrap/>
            <w:vAlign w:val="bottom"/>
            <w:hideMark/>
          </w:tcPr>
          <w:p w14:paraId="4D8DC39B"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87.6</w:t>
            </w:r>
          </w:p>
        </w:tc>
        <w:tc>
          <w:tcPr>
            <w:tcW w:w="475" w:type="pct"/>
            <w:tcBorders>
              <w:top w:val="nil"/>
              <w:left w:val="nil"/>
              <w:bottom w:val="nil"/>
              <w:right w:val="nil"/>
            </w:tcBorders>
            <w:noWrap/>
            <w:vAlign w:val="bottom"/>
            <w:hideMark/>
          </w:tcPr>
          <w:p w14:paraId="529600F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0.107433</w:t>
            </w:r>
          </w:p>
        </w:tc>
        <w:tc>
          <w:tcPr>
            <w:tcW w:w="363" w:type="pct"/>
            <w:tcBorders>
              <w:top w:val="nil"/>
              <w:left w:val="nil"/>
              <w:bottom w:val="nil"/>
              <w:right w:val="nil"/>
            </w:tcBorders>
            <w:noWrap/>
            <w:vAlign w:val="bottom"/>
            <w:hideMark/>
          </w:tcPr>
          <w:p w14:paraId="5FAF5CD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0.000376</w:t>
            </w:r>
          </w:p>
        </w:tc>
        <w:tc>
          <w:tcPr>
            <w:tcW w:w="466" w:type="pct"/>
            <w:tcBorders>
              <w:top w:val="nil"/>
              <w:left w:val="nil"/>
              <w:bottom w:val="nil"/>
              <w:right w:val="nil"/>
            </w:tcBorders>
            <w:noWrap/>
            <w:vAlign w:val="bottom"/>
            <w:hideMark/>
          </w:tcPr>
          <w:p w14:paraId="658999E4"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0.37601424</w:t>
            </w:r>
          </w:p>
        </w:tc>
      </w:tr>
      <w:tr w:rsidR="00A707E7" w:rsidRPr="00A707E7" w14:paraId="728AB455" w14:textId="77777777" w:rsidTr="00A707E7">
        <w:trPr>
          <w:trHeight w:val="300"/>
        </w:trPr>
        <w:tc>
          <w:tcPr>
            <w:tcW w:w="355" w:type="pct"/>
            <w:tcBorders>
              <w:top w:val="nil"/>
              <w:left w:val="nil"/>
              <w:bottom w:val="nil"/>
              <w:right w:val="nil"/>
            </w:tcBorders>
            <w:noWrap/>
            <w:vAlign w:val="bottom"/>
            <w:hideMark/>
          </w:tcPr>
          <w:p w14:paraId="6EEA6319"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L4</w:t>
            </w:r>
          </w:p>
        </w:tc>
        <w:tc>
          <w:tcPr>
            <w:tcW w:w="855" w:type="pct"/>
            <w:tcBorders>
              <w:top w:val="nil"/>
              <w:left w:val="nil"/>
              <w:bottom w:val="nil"/>
              <w:right w:val="nil"/>
            </w:tcBorders>
            <w:noWrap/>
            <w:vAlign w:val="bottom"/>
            <w:hideMark/>
          </w:tcPr>
          <w:p w14:paraId="30E89D1C"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N 05026.870’ E 006011.936’</w:t>
            </w:r>
          </w:p>
        </w:tc>
        <w:tc>
          <w:tcPr>
            <w:tcW w:w="354" w:type="pct"/>
            <w:tcBorders>
              <w:top w:val="nil"/>
              <w:left w:val="nil"/>
              <w:bottom w:val="nil"/>
              <w:right w:val="nil"/>
            </w:tcBorders>
            <w:noWrap/>
            <w:vAlign w:val="bottom"/>
            <w:hideMark/>
          </w:tcPr>
          <w:p w14:paraId="66E00BB8"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0.006</w:t>
            </w:r>
          </w:p>
        </w:tc>
        <w:tc>
          <w:tcPr>
            <w:tcW w:w="354" w:type="pct"/>
            <w:tcBorders>
              <w:top w:val="nil"/>
              <w:left w:val="nil"/>
              <w:bottom w:val="nil"/>
              <w:right w:val="nil"/>
            </w:tcBorders>
            <w:noWrap/>
            <w:vAlign w:val="bottom"/>
            <w:hideMark/>
          </w:tcPr>
          <w:p w14:paraId="3C2E75CC"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50.44783</w:t>
            </w:r>
          </w:p>
        </w:tc>
        <w:tc>
          <w:tcPr>
            <w:tcW w:w="354" w:type="pct"/>
            <w:tcBorders>
              <w:top w:val="nil"/>
              <w:left w:val="nil"/>
              <w:bottom w:val="nil"/>
              <w:right w:val="nil"/>
            </w:tcBorders>
            <w:noWrap/>
            <w:vAlign w:val="bottom"/>
            <w:hideMark/>
          </w:tcPr>
          <w:p w14:paraId="5D69F8C9"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60.19893</w:t>
            </w:r>
          </w:p>
        </w:tc>
        <w:tc>
          <w:tcPr>
            <w:tcW w:w="497" w:type="pct"/>
            <w:tcBorders>
              <w:top w:val="nil"/>
              <w:left w:val="nil"/>
              <w:bottom w:val="nil"/>
              <w:right w:val="nil"/>
            </w:tcBorders>
            <w:noWrap/>
            <w:vAlign w:val="bottom"/>
            <w:hideMark/>
          </w:tcPr>
          <w:p w14:paraId="457A2384"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50° 26′ 52.20″ N</w:t>
            </w:r>
          </w:p>
        </w:tc>
        <w:tc>
          <w:tcPr>
            <w:tcW w:w="486" w:type="pct"/>
            <w:tcBorders>
              <w:top w:val="nil"/>
              <w:left w:val="nil"/>
              <w:bottom w:val="nil"/>
              <w:right w:val="nil"/>
            </w:tcBorders>
            <w:noWrap/>
            <w:vAlign w:val="bottom"/>
            <w:hideMark/>
          </w:tcPr>
          <w:p w14:paraId="79B15963"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60° 11′ 56.16″ E</w:t>
            </w:r>
          </w:p>
        </w:tc>
        <w:tc>
          <w:tcPr>
            <w:tcW w:w="441" w:type="pct"/>
            <w:tcBorders>
              <w:top w:val="nil"/>
              <w:left w:val="nil"/>
              <w:bottom w:val="nil"/>
              <w:right w:val="nil"/>
            </w:tcBorders>
            <w:noWrap/>
            <w:vAlign w:val="bottom"/>
            <w:hideMark/>
          </w:tcPr>
          <w:p w14:paraId="23BF346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52.56</w:t>
            </w:r>
          </w:p>
        </w:tc>
        <w:tc>
          <w:tcPr>
            <w:tcW w:w="475" w:type="pct"/>
            <w:tcBorders>
              <w:top w:val="nil"/>
              <w:left w:val="nil"/>
              <w:bottom w:val="nil"/>
              <w:right w:val="nil"/>
            </w:tcBorders>
            <w:noWrap/>
            <w:vAlign w:val="bottom"/>
            <w:hideMark/>
          </w:tcPr>
          <w:p w14:paraId="79497288"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0.06446</w:t>
            </w:r>
          </w:p>
        </w:tc>
        <w:tc>
          <w:tcPr>
            <w:tcW w:w="363" w:type="pct"/>
            <w:tcBorders>
              <w:top w:val="nil"/>
              <w:left w:val="nil"/>
              <w:bottom w:val="nil"/>
              <w:right w:val="nil"/>
            </w:tcBorders>
            <w:noWrap/>
            <w:vAlign w:val="bottom"/>
            <w:hideMark/>
          </w:tcPr>
          <w:p w14:paraId="11BBD0E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0.000226</w:t>
            </w:r>
          </w:p>
        </w:tc>
        <w:tc>
          <w:tcPr>
            <w:tcW w:w="466" w:type="pct"/>
            <w:tcBorders>
              <w:top w:val="nil"/>
              <w:left w:val="nil"/>
              <w:bottom w:val="nil"/>
              <w:right w:val="nil"/>
            </w:tcBorders>
            <w:noWrap/>
            <w:vAlign w:val="bottom"/>
            <w:hideMark/>
          </w:tcPr>
          <w:p w14:paraId="6D4B084F"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0.225608544</w:t>
            </w:r>
          </w:p>
        </w:tc>
      </w:tr>
      <w:tr w:rsidR="00A707E7" w:rsidRPr="00A707E7" w14:paraId="51F96C94" w14:textId="77777777" w:rsidTr="00A707E7">
        <w:trPr>
          <w:trHeight w:val="300"/>
        </w:trPr>
        <w:tc>
          <w:tcPr>
            <w:tcW w:w="355" w:type="pct"/>
            <w:tcBorders>
              <w:top w:val="nil"/>
              <w:left w:val="nil"/>
              <w:bottom w:val="nil"/>
              <w:right w:val="nil"/>
            </w:tcBorders>
            <w:noWrap/>
            <w:vAlign w:val="bottom"/>
            <w:hideMark/>
          </w:tcPr>
          <w:p w14:paraId="4E3527F9"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L5</w:t>
            </w:r>
          </w:p>
        </w:tc>
        <w:tc>
          <w:tcPr>
            <w:tcW w:w="855" w:type="pct"/>
            <w:tcBorders>
              <w:top w:val="nil"/>
              <w:left w:val="nil"/>
              <w:bottom w:val="nil"/>
              <w:right w:val="nil"/>
            </w:tcBorders>
            <w:noWrap/>
            <w:vAlign w:val="bottom"/>
            <w:hideMark/>
          </w:tcPr>
          <w:p w14:paraId="684B687A"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N 05026.856’ E 006011.919’</w:t>
            </w:r>
          </w:p>
        </w:tc>
        <w:tc>
          <w:tcPr>
            <w:tcW w:w="354" w:type="pct"/>
            <w:tcBorders>
              <w:top w:val="nil"/>
              <w:left w:val="nil"/>
              <w:bottom w:val="nil"/>
              <w:right w:val="nil"/>
            </w:tcBorders>
            <w:noWrap/>
            <w:vAlign w:val="bottom"/>
            <w:hideMark/>
          </w:tcPr>
          <w:p w14:paraId="2FF3F52D"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0.008</w:t>
            </w:r>
          </w:p>
        </w:tc>
        <w:tc>
          <w:tcPr>
            <w:tcW w:w="354" w:type="pct"/>
            <w:tcBorders>
              <w:top w:val="nil"/>
              <w:left w:val="nil"/>
              <w:bottom w:val="nil"/>
              <w:right w:val="nil"/>
            </w:tcBorders>
            <w:noWrap/>
            <w:vAlign w:val="bottom"/>
            <w:hideMark/>
          </w:tcPr>
          <w:p w14:paraId="3D11858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50.4476</w:t>
            </w:r>
          </w:p>
        </w:tc>
        <w:tc>
          <w:tcPr>
            <w:tcW w:w="354" w:type="pct"/>
            <w:tcBorders>
              <w:top w:val="nil"/>
              <w:left w:val="nil"/>
              <w:bottom w:val="nil"/>
              <w:right w:val="nil"/>
            </w:tcBorders>
            <w:noWrap/>
            <w:vAlign w:val="bottom"/>
            <w:hideMark/>
          </w:tcPr>
          <w:p w14:paraId="643D79F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60.19865</w:t>
            </w:r>
          </w:p>
        </w:tc>
        <w:tc>
          <w:tcPr>
            <w:tcW w:w="497" w:type="pct"/>
            <w:tcBorders>
              <w:top w:val="nil"/>
              <w:left w:val="nil"/>
              <w:bottom w:val="nil"/>
              <w:right w:val="nil"/>
            </w:tcBorders>
            <w:noWrap/>
            <w:vAlign w:val="bottom"/>
            <w:hideMark/>
          </w:tcPr>
          <w:p w14:paraId="257DE436"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50° 26′ 51.36″ N</w:t>
            </w:r>
          </w:p>
        </w:tc>
        <w:tc>
          <w:tcPr>
            <w:tcW w:w="486" w:type="pct"/>
            <w:tcBorders>
              <w:top w:val="nil"/>
              <w:left w:val="nil"/>
              <w:bottom w:val="nil"/>
              <w:right w:val="nil"/>
            </w:tcBorders>
            <w:noWrap/>
            <w:vAlign w:val="bottom"/>
            <w:hideMark/>
          </w:tcPr>
          <w:p w14:paraId="69A8A469"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60° 11′ 55.14″ E</w:t>
            </w:r>
          </w:p>
        </w:tc>
        <w:tc>
          <w:tcPr>
            <w:tcW w:w="441" w:type="pct"/>
            <w:tcBorders>
              <w:top w:val="nil"/>
              <w:left w:val="nil"/>
              <w:bottom w:val="nil"/>
              <w:right w:val="nil"/>
            </w:tcBorders>
            <w:noWrap/>
            <w:vAlign w:val="bottom"/>
            <w:hideMark/>
          </w:tcPr>
          <w:p w14:paraId="05B8443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70.08</w:t>
            </w:r>
          </w:p>
        </w:tc>
        <w:tc>
          <w:tcPr>
            <w:tcW w:w="475" w:type="pct"/>
            <w:tcBorders>
              <w:top w:val="nil"/>
              <w:left w:val="nil"/>
              <w:bottom w:val="nil"/>
              <w:right w:val="nil"/>
            </w:tcBorders>
            <w:noWrap/>
            <w:vAlign w:val="bottom"/>
            <w:hideMark/>
          </w:tcPr>
          <w:p w14:paraId="091D8CF5"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0.085946</w:t>
            </w:r>
          </w:p>
        </w:tc>
        <w:tc>
          <w:tcPr>
            <w:tcW w:w="363" w:type="pct"/>
            <w:tcBorders>
              <w:top w:val="nil"/>
              <w:left w:val="nil"/>
              <w:bottom w:val="nil"/>
              <w:right w:val="nil"/>
            </w:tcBorders>
            <w:noWrap/>
            <w:vAlign w:val="bottom"/>
            <w:hideMark/>
          </w:tcPr>
          <w:p w14:paraId="4DB5557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0.000301</w:t>
            </w:r>
          </w:p>
        </w:tc>
        <w:tc>
          <w:tcPr>
            <w:tcW w:w="466" w:type="pct"/>
            <w:tcBorders>
              <w:top w:val="nil"/>
              <w:left w:val="nil"/>
              <w:bottom w:val="nil"/>
              <w:right w:val="nil"/>
            </w:tcBorders>
            <w:noWrap/>
            <w:vAlign w:val="bottom"/>
            <w:hideMark/>
          </w:tcPr>
          <w:p w14:paraId="409C947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0.300811392</w:t>
            </w:r>
          </w:p>
        </w:tc>
      </w:tr>
      <w:tr w:rsidR="00A707E7" w:rsidRPr="00A707E7" w14:paraId="0A11505A" w14:textId="77777777" w:rsidTr="00A707E7">
        <w:trPr>
          <w:trHeight w:val="300"/>
        </w:trPr>
        <w:tc>
          <w:tcPr>
            <w:tcW w:w="355" w:type="pct"/>
            <w:tcBorders>
              <w:top w:val="nil"/>
              <w:left w:val="nil"/>
              <w:bottom w:val="nil"/>
              <w:right w:val="nil"/>
            </w:tcBorders>
            <w:noWrap/>
            <w:vAlign w:val="bottom"/>
            <w:hideMark/>
          </w:tcPr>
          <w:p w14:paraId="68C75C8E"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L6</w:t>
            </w:r>
          </w:p>
        </w:tc>
        <w:tc>
          <w:tcPr>
            <w:tcW w:w="855" w:type="pct"/>
            <w:tcBorders>
              <w:top w:val="nil"/>
              <w:left w:val="nil"/>
              <w:bottom w:val="nil"/>
              <w:right w:val="nil"/>
            </w:tcBorders>
            <w:noWrap/>
            <w:vAlign w:val="bottom"/>
            <w:hideMark/>
          </w:tcPr>
          <w:p w14:paraId="433697EA"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N 05026.852’ E 006011.925’</w:t>
            </w:r>
          </w:p>
        </w:tc>
        <w:tc>
          <w:tcPr>
            <w:tcW w:w="354" w:type="pct"/>
            <w:tcBorders>
              <w:top w:val="nil"/>
              <w:left w:val="nil"/>
              <w:bottom w:val="nil"/>
              <w:right w:val="nil"/>
            </w:tcBorders>
            <w:noWrap/>
            <w:vAlign w:val="bottom"/>
            <w:hideMark/>
          </w:tcPr>
          <w:p w14:paraId="206ECE2B"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0.006</w:t>
            </w:r>
          </w:p>
        </w:tc>
        <w:tc>
          <w:tcPr>
            <w:tcW w:w="354" w:type="pct"/>
            <w:tcBorders>
              <w:top w:val="nil"/>
              <w:left w:val="nil"/>
              <w:bottom w:val="nil"/>
              <w:right w:val="nil"/>
            </w:tcBorders>
            <w:noWrap/>
            <w:vAlign w:val="bottom"/>
            <w:hideMark/>
          </w:tcPr>
          <w:p w14:paraId="55E7F92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50.44753</w:t>
            </w:r>
          </w:p>
        </w:tc>
        <w:tc>
          <w:tcPr>
            <w:tcW w:w="354" w:type="pct"/>
            <w:tcBorders>
              <w:top w:val="nil"/>
              <w:left w:val="nil"/>
              <w:bottom w:val="nil"/>
              <w:right w:val="nil"/>
            </w:tcBorders>
            <w:noWrap/>
            <w:vAlign w:val="bottom"/>
            <w:hideMark/>
          </w:tcPr>
          <w:p w14:paraId="3F4E031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60.19875</w:t>
            </w:r>
          </w:p>
        </w:tc>
        <w:tc>
          <w:tcPr>
            <w:tcW w:w="497" w:type="pct"/>
            <w:tcBorders>
              <w:top w:val="nil"/>
              <w:left w:val="nil"/>
              <w:bottom w:val="nil"/>
              <w:right w:val="nil"/>
            </w:tcBorders>
            <w:noWrap/>
            <w:vAlign w:val="bottom"/>
            <w:hideMark/>
          </w:tcPr>
          <w:p w14:paraId="2EDA6759"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50° 26′ 51.12″ N</w:t>
            </w:r>
          </w:p>
        </w:tc>
        <w:tc>
          <w:tcPr>
            <w:tcW w:w="486" w:type="pct"/>
            <w:tcBorders>
              <w:top w:val="nil"/>
              <w:left w:val="nil"/>
              <w:bottom w:val="nil"/>
              <w:right w:val="nil"/>
            </w:tcBorders>
            <w:noWrap/>
            <w:vAlign w:val="bottom"/>
            <w:hideMark/>
          </w:tcPr>
          <w:p w14:paraId="0BBB85D2"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60° 11′ 55.50″ E</w:t>
            </w:r>
          </w:p>
        </w:tc>
        <w:tc>
          <w:tcPr>
            <w:tcW w:w="441" w:type="pct"/>
            <w:tcBorders>
              <w:top w:val="nil"/>
              <w:left w:val="nil"/>
              <w:bottom w:val="nil"/>
              <w:right w:val="nil"/>
            </w:tcBorders>
            <w:noWrap/>
            <w:vAlign w:val="bottom"/>
            <w:hideMark/>
          </w:tcPr>
          <w:p w14:paraId="34097D84"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52.56</w:t>
            </w:r>
          </w:p>
        </w:tc>
        <w:tc>
          <w:tcPr>
            <w:tcW w:w="475" w:type="pct"/>
            <w:tcBorders>
              <w:top w:val="nil"/>
              <w:left w:val="nil"/>
              <w:bottom w:val="nil"/>
              <w:right w:val="nil"/>
            </w:tcBorders>
            <w:noWrap/>
            <w:vAlign w:val="bottom"/>
            <w:hideMark/>
          </w:tcPr>
          <w:p w14:paraId="6B20FB94"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0.06446</w:t>
            </w:r>
          </w:p>
        </w:tc>
        <w:tc>
          <w:tcPr>
            <w:tcW w:w="363" w:type="pct"/>
            <w:tcBorders>
              <w:top w:val="nil"/>
              <w:left w:val="nil"/>
              <w:bottom w:val="nil"/>
              <w:right w:val="nil"/>
            </w:tcBorders>
            <w:noWrap/>
            <w:vAlign w:val="bottom"/>
            <w:hideMark/>
          </w:tcPr>
          <w:p w14:paraId="6B6059AB"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0.000226</w:t>
            </w:r>
          </w:p>
        </w:tc>
        <w:tc>
          <w:tcPr>
            <w:tcW w:w="466" w:type="pct"/>
            <w:tcBorders>
              <w:top w:val="nil"/>
              <w:left w:val="nil"/>
              <w:bottom w:val="nil"/>
              <w:right w:val="nil"/>
            </w:tcBorders>
            <w:noWrap/>
            <w:vAlign w:val="bottom"/>
            <w:hideMark/>
          </w:tcPr>
          <w:p w14:paraId="6A5CED8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0.225608544</w:t>
            </w:r>
          </w:p>
        </w:tc>
      </w:tr>
      <w:tr w:rsidR="00A707E7" w:rsidRPr="00A707E7" w14:paraId="098D3724" w14:textId="77777777" w:rsidTr="00A707E7">
        <w:trPr>
          <w:trHeight w:val="300"/>
        </w:trPr>
        <w:tc>
          <w:tcPr>
            <w:tcW w:w="355" w:type="pct"/>
            <w:tcBorders>
              <w:top w:val="nil"/>
              <w:left w:val="nil"/>
              <w:bottom w:val="nil"/>
              <w:right w:val="nil"/>
            </w:tcBorders>
            <w:noWrap/>
            <w:vAlign w:val="bottom"/>
            <w:hideMark/>
          </w:tcPr>
          <w:p w14:paraId="55444D48"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L7</w:t>
            </w:r>
          </w:p>
        </w:tc>
        <w:tc>
          <w:tcPr>
            <w:tcW w:w="855" w:type="pct"/>
            <w:tcBorders>
              <w:top w:val="nil"/>
              <w:left w:val="nil"/>
              <w:bottom w:val="nil"/>
              <w:right w:val="nil"/>
            </w:tcBorders>
            <w:noWrap/>
            <w:vAlign w:val="bottom"/>
            <w:hideMark/>
          </w:tcPr>
          <w:p w14:paraId="3855B306"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N 05026.843’ E 006011.913’</w:t>
            </w:r>
          </w:p>
        </w:tc>
        <w:tc>
          <w:tcPr>
            <w:tcW w:w="354" w:type="pct"/>
            <w:tcBorders>
              <w:top w:val="nil"/>
              <w:left w:val="nil"/>
              <w:bottom w:val="nil"/>
              <w:right w:val="nil"/>
            </w:tcBorders>
            <w:noWrap/>
            <w:vAlign w:val="bottom"/>
            <w:hideMark/>
          </w:tcPr>
          <w:p w14:paraId="4AC1CE49"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0.012</w:t>
            </w:r>
          </w:p>
        </w:tc>
        <w:tc>
          <w:tcPr>
            <w:tcW w:w="354" w:type="pct"/>
            <w:tcBorders>
              <w:top w:val="nil"/>
              <w:left w:val="nil"/>
              <w:bottom w:val="nil"/>
              <w:right w:val="nil"/>
            </w:tcBorders>
            <w:noWrap/>
            <w:vAlign w:val="bottom"/>
            <w:hideMark/>
          </w:tcPr>
          <w:p w14:paraId="0813AFF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50.44738</w:t>
            </w:r>
          </w:p>
        </w:tc>
        <w:tc>
          <w:tcPr>
            <w:tcW w:w="354" w:type="pct"/>
            <w:tcBorders>
              <w:top w:val="nil"/>
              <w:left w:val="nil"/>
              <w:bottom w:val="nil"/>
              <w:right w:val="nil"/>
            </w:tcBorders>
            <w:noWrap/>
            <w:vAlign w:val="bottom"/>
            <w:hideMark/>
          </w:tcPr>
          <w:p w14:paraId="7651A031"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60.19855</w:t>
            </w:r>
          </w:p>
        </w:tc>
        <w:tc>
          <w:tcPr>
            <w:tcW w:w="497" w:type="pct"/>
            <w:tcBorders>
              <w:top w:val="nil"/>
              <w:left w:val="nil"/>
              <w:bottom w:val="nil"/>
              <w:right w:val="nil"/>
            </w:tcBorders>
            <w:noWrap/>
            <w:vAlign w:val="bottom"/>
            <w:hideMark/>
          </w:tcPr>
          <w:p w14:paraId="347B6A5E"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50° 26′ 50.58″ N</w:t>
            </w:r>
          </w:p>
        </w:tc>
        <w:tc>
          <w:tcPr>
            <w:tcW w:w="486" w:type="pct"/>
            <w:tcBorders>
              <w:top w:val="nil"/>
              <w:left w:val="nil"/>
              <w:bottom w:val="nil"/>
              <w:right w:val="nil"/>
            </w:tcBorders>
            <w:noWrap/>
            <w:vAlign w:val="bottom"/>
            <w:hideMark/>
          </w:tcPr>
          <w:p w14:paraId="7DAC67A5"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60° 11′ 54.78″ E</w:t>
            </w:r>
          </w:p>
        </w:tc>
        <w:tc>
          <w:tcPr>
            <w:tcW w:w="441" w:type="pct"/>
            <w:tcBorders>
              <w:top w:val="nil"/>
              <w:left w:val="nil"/>
              <w:bottom w:val="nil"/>
              <w:right w:val="nil"/>
            </w:tcBorders>
            <w:noWrap/>
            <w:vAlign w:val="bottom"/>
            <w:hideMark/>
          </w:tcPr>
          <w:p w14:paraId="5A111A6D"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105.12</w:t>
            </w:r>
          </w:p>
        </w:tc>
        <w:tc>
          <w:tcPr>
            <w:tcW w:w="475" w:type="pct"/>
            <w:tcBorders>
              <w:top w:val="nil"/>
              <w:left w:val="nil"/>
              <w:bottom w:val="nil"/>
              <w:right w:val="nil"/>
            </w:tcBorders>
            <w:noWrap/>
            <w:vAlign w:val="bottom"/>
            <w:hideMark/>
          </w:tcPr>
          <w:p w14:paraId="5D2FC09B"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0.128919</w:t>
            </w:r>
          </w:p>
        </w:tc>
        <w:tc>
          <w:tcPr>
            <w:tcW w:w="363" w:type="pct"/>
            <w:tcBorders>
              <w:top w:val="nil"/>
              <w:left w:val="nil"/>
              <w:bottom w:val="nil"/>
              <w:right w:val="nil"/>
            </w:tcBorders>
            <w:noWrap/>
            <w:vAlign w:val="bottom"/>
            <w:hideMark/>
          </w:tcPr>
          <w:p w14:paraId="0BFCE190"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0.000451</w:t>
            </w:r>
          </w:p>
        </w:tc>
        <w:tc>
          <w:tcPr>
            <w:tcW w:w="466" w:type="pct"/>
            <w:tcBorders>
              <w:top w:val="nil"/>
              <w:left w:val="nil"/>
              <w:bottom w:val="nil"/>
              <w:right w:val="nil"/>
            </w:tcBorders>
            <w:noWrap/>
            <w:vAlign w:val="bottom"/>
            <w:hideMark/>
          </w:tcPr>
          <w:p w14:paraId="7F66105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0.451217088</w:t>
            </w:r>
          </w:p>
        </w:tc>
      </w:tr>
      <w:tr w:rsidR="00A707E7" w:rsidRPr="00A707E7" w14:paraId="71E17A22" w14:textId="77777777" w:rsidTr="00A707E7">
        <w:trPr>
          <w:trHeight w:val="300"/>
        </w:trPr>
        <w:tc>
          <w:tcPr>
            <w:tcW w:w="355" w:type="pct"/>
            <w:tcBorders>
              <w:top w:val="nil"/>
              <w:left w:val="nil"/>
              <w:bottom w:val="nil"/>
              <w:right w:val="nil"/>
            </w:tcBorders>
            <w:noWrap/>
            <w:vAlign w:val="bottom"/>
            <w:hideMark/>
          </w:tcPr>
          <w:p w14:paraId="098924A4"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L8</w:t>
            </w:r>
          </w:p>
        </w:tc>
        <w:tc>
          <w:tcPr>
            <w:tcW w:w="855" w:type="pct"/>
            <w:tcBorders>
              <w:top w:val="nil"/>
              <w:left w:val="nil"/>
              <w:bottom w:val="nil"/>
              <w:right w:val="nil"/>
            </w:tcBorders>
            <w:noWrap/>
            <w:vAlign w:val="bottom"/>
            <w:hideMark/>
          </w:tcPr>
          <w:p w14:paraId="6D4F62C5"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N 05026.534’ E 006011.918’</w:t>
            </w:r>
          </w:p>
        </w:tc>
        <w:tc>
          <w:tcPr>
            <w:tcW w:w="354" w:type="pct"/>
            <w:tcBorders>
              <w:top w:val="nil"/>
              <w:left w:val="nil"/>
              <w:bottom w:val="nil"/>
              <w:right w:val="nil"/>
            </w:tcBorders>
            <w:noWrap/>
            <w:vAlign w:val="bottom"/>
            <w:hideMark/>
          </w:tcPr>
          <w:p w14:paraId="198D0C71"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0.011</w:t>
            </w:r>
          </w:p>
        </w:tc>
        <w:tc>
          <w:tcPr>
            <w:tcW w:w="354" w:type="pct"/>
            <w:tcBorders>
              <w:top w:val="nil"/>
              <w:left w:val="nil"/>
              <w:bottom w:val="nil"/>
              <w:right w:val="nil"/>
            </w:tcBorders>
            <w:noWrap/>
            <w:vAlign w:val="bottom"/>
            <w:hideMark/>
          </w:tcPr>
          <w:p w14:paraId="5322FBA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50.44223</w:t>
            </w:r>
          </w:p>
        </w:tc>
        <w:tc>
          <w:tcPr>
            <w:tcW w:w="354" w:type="pct"/>
            <w:tcBorders>
              <w:top w:val="nil"/>
              <w:left w:val="nil"/>
              <w:bottom w:val="nil"/>
              <w:right w:val="nil"/>
            </w:tcBorders>
            <w:noWrap/>
            <w:vAlign w:val="bottom"/>
            <w:hideMark/>
          </w:tcPr>
          <w:p w14:paraId="001E17A2"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60.19863</w:t>
            </w:r>
          </w:p>
        </w:tc>
        <w:tc>
          <w:tcPr>
            <w:tcW w:w="497" w:type="pct"/>
            <w:tcBorders>
              <w:top w:val="nil"/>
              <w:left w:val="nil"/>
              <w:bottom w:val="nil"/>
              <w:right w:val="nil"/>
            </w:tcBorders>
            <w:noWrap/>
            <w:vAlign w:val="bottom"/>
            <w:hideMark/>
          </w:tcPr>
          <w:p w14:paraId="1D7D5807"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50° 26′ 32.04″ N</w:t>
            </w:r>
          </w:p>
        </w:tc>
        <w:tc>
          <w:tcPr>
            <w:tcW w:w="486" w:type="pct"/>
            <w:tcBorders>
              <w:top w:val="nil"/>
              <w:left w:val="nil"/>
              <w:bottom w:val="nil"/>
              <w:right w:val="nil"/>
            </w:tcBorders>
            <w:noWrap/>
            <w:vAlign w:val="bottom"/>
            <w:hideMark/>
          </w:tcPr>
          <w:p w14:paraId="6CA6C488"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60° 11′ 55.08″ E</w:t>
            </w:r>
          </w:p>
        </w:tc>
        <w:tc>
          <w:tcPr>
            <w:tcW w:w="441" w:type="pct"/>
            <w:tcBorders>
              <w:top w:val="nil"/>
              <w:left w:val="nil"/>
              <w:bottom w:val="nil"/>
              <w:right w:val="nil"/>
            </w:tcBorders>
            <w:noWrap/>
            <w:vAlign w:val="bottom"/>
            <w:hideMark/>
          </w:tcPr>
          <w:p w14:paraId="54CE824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96.36</w:t>
            </w:r>
          </w:p>
        </w:tc>
        <w:tc>
          <w:tcPr>
            <w:tcW w:w="475" w:type="pct"/>
            <w:tcBorders>
              <w:top w:val="nil"/>
              <w:left w:val="nil"/>
              <w:bottom w:val="nil"/>
              <w:right w:val="nil"/>
            </w:tcBorders>
            <w:noWrap/>
            <w:vAlign w:val="bottom"/>
            <w:hideMark/>
          </w:tcPr>
          <w:p w14:paraId="1168B4C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0.118176</w:t>
            </w:r>
          </w:p>
        </w:tc>
        <w:tc>
          <w:tcPr>
            <w:tcW w:w="363" w:type="pct"/>
            <w:tcBorders>
              <w:top w:val="nil"/>
              <w:left w:val="nil"/>
              <w:bottom w:val="nil"/>
              <w:right w:val="nil"/>
            </w:tcBorders>
            <w:noWrap/>
            <w:vAlign w:val="bottom"/>
            <w:hideMark/>
          </w:tcPr>
          <w:p w14:paraId="78EC586F"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0.000414</w:t>
            </w:r>
          </w:p>
        </w:tc>
        <w:tc>
          <w:tcPr>
            <w:tcW w:w="466" w:type="pct"/>
            <w:tcBorders>
              <w:top w:val="nil"/>
              <w:left w:val="nil"/>
              <w:bottom w:val="nil"/>
              <w:right w:val="nil"/>
            </w:tcBorders>
            <w:noWrap/>
            <w:vAlign w:val="bottom"/>
            <w:hideMark/>
          </w:tcPr>
          <w:p w14:paraId="1E099D3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0.413615664</w:t>
            </w:r>
          </w:p>
        </w:tc>
      </w:tr>
      <w:tr w:rsidR="00A707E7" w:rsidRPr="00A707E7" w14:paraId="5F1FBC18" w14:textId="77777777" w:rsidTr="00A707E7">
        <w:trPr>
          <w:trHeight w:val="315"/>
        </w:trPr>
        <w:tc>
          <w:tcPr>
            <w:tcW w:w="355" w:type="pct"/>
            <w:tcBorders>
              <w:top w:val="nil"/>
              <w:left w:val="nil"/>
              <w:bottom w:val="nil"/>
              <w:right w:val="nil"/>
            </w:tcBorders>
            <w:noWrap/>
            <w:vAlign w:val="bottom"/>
            <w:hideMark/>
          </w:tcPr>
          <w:p w14:paraId="72174FCD"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L9</w:t>
            </w:r>
          </w:p>
        </w:tc>
        <w:tc>
          <w:tcPr>
            <w:tcW w:w="855" w:type="pct"/>
            <w:tcBorders>
              <w:top w:val="nil"/>
              <w:left w:val="nil"/>
              <w:bottom w:val="nil"/>
              <w:right w:val="nil"/>
            </w:tcBorders>
            <w:noWrap/>
            <w:vAlign w:val="bottom"/>
            <w:hideMark/>
          </w:tcPr>
          <w:p w14:paraId="035D6995"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N 05026.798’ E 006011.932’</w:t>
            </w:r>
          </w:p>
        </w:tc>
        <w:tc>
          <w:tcPr>
            <w:tcW w:w="354" w:type="pct"/>
            <w:tcBorders>
              <w:top w:val="nil"/>
              <w:left w:val="nil"/>
              <w:bottom w:val="nil"/>
              <w:right w:val="nil"/>
            </w:tcBorders>
            <w:noWrap/>
            <w:vAlign w:val="bottom"/>
            <w:hideMark/>
          </w:tcPr>
          <w:p w14:paraId="31A8213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w:t>
            </w:r>
          </w:p>
        </w:tc>
        <w:tc>
          <w:tcPr>
            <w:tcW w:w="354" w:type="pct"/>
            <w:tcBorders>
              <w:top w:val="nil"/>
              <w:left w:val="nil"/>
              <w:bottom w:val="nil"/>
              <w:right w:val="nil"/>
            </w:tcBorders>
            <w:noWrap/>
            <w:vAlign w:val="bottom"/>
            <w:hideMark/>
          </w:tcPr>
          <w:p w14:paraId="1A0F1BA4"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50.44663</w:t>
            </w:r>
          </w:p>
        </w:tc>
        <w:tc>
          <w:tcPr>
            <w:tcW w:w="354" w:type="pct"/>
            <w:tcBorders>
              <w:top w:val="nil"/>
              <w:left w:val="nil"/>
              <w:bottom w:val="nil"/>
              <w:right w:val="nil"/>
            </w:tcBorders>
            <w:noWrap/>
            <w:vAlign w:val="bottom"/>
            <w:hideMark/>
          </w:tcPr>
          <w:p w14:paraId="50A42231"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60.19887</w:t>
            </w:r>
          </w:p>
        </w:tc>
        <w:tc>
          <w:tcPr>
            <w:tcW w:w="497" w:type="pct"/>
            <w:tcBorders>
              <w:top w:val="nil"/>
              <w:left w:val="nil"/>
              <w:bottom w:val="nil"/>
              <w:right w:val="nil"/>
            </w:tcBorders>
            <w:noWrap/>
            <w:vAlign w:val="bottom"/>
            <w:hideMark/>
          </w:tcPr>
          <w:p w14:paraId="43C093CF"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50° 26′ 47.88″ N</w:t>
            </w:r>
          </w:p>
        </w:tc>
        <w:tc>
          <w:tcPr>
            <w:tcW w:w="486" w:type="pct"/>
            <w:tcBorders>
              <w:top w:val="nil"/>
              <w:left w:val="nil"/>
              <w:bottom w:val="nil"/>
              <w:right w:val="nil"/>
            </w:tcBorders>
            <w:noWrap/>
            <w:vAlign w:val="bottom"/>
            <w:hideMark/>
          </w:tcPr>
          <w:p w14:paraId="4DF33627"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60° 11′ 55.92″ E</w:t>
            </w:r>
          </w:p>
        </w:tc>
        <w:tc>
          <w:tcPr>
            <w:tcW w:w="441" w:type="pct"/>
            <w:tcBorders>
              <w:top w:val="nil"/>
              <w:left w:val="nil"/>
              <w:bottom w:val="nil"/>
              <w:right w:val="nil"/>
            </w:tcBorders>
            <w:noWrap/>
            <w:vAlign w:val="bottom"/>
            <w:hideMark/>
          </w:tcPr>
          <w:p w14:paraId="06715AB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78.84</w:t>
            </w:r>
          </w:p>
        </w:tc>
        <w:tc>
          <w:tcPr>
            <w:tcW w:w="475" w:type="pct"/>
            <w:tcBorders>
              <w:top w:val="nil"/>
              <w:left w:val="nil"/>
              <w:bottom w:val="nil"/>
              <w:right w:val="nil"/>
            </w:tcBorders>
            <w:noWrap/>
            <w:vAlign w:val="bottom"/>
            <w:hideMark/>
          </w:tcPr>
          <w:p w14:paraId="45B23BE8"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0.096689</w:t>
            </w:r>
          </w:p>
        </w:tc>
        <w:tc>
          <w:tcPr>
            <w:tcW w:w="363" w:type="pct"/>
            <w:tcBorders>
              <w:top w:val="nil"/>
              <w:left w:val="nil"/>
              <w:bottom w:val="nil"/>
              <w:right w:val="nil"/>
            </w:tcBorders>
            <w:noWrap/>
            <w:vAlign w:val="bottom"/>
            <w:hideMark/>
          </w:tcPr>
          <w:p w14:paraId="61B0FECF"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0.000338</w:t>
            </w:r>
          </w:p>
        </w:tc>
        <w:tc>
          <w:tcPr>
            <w:tcW w:w="466" w:type="pct"/>
            <w:tcBorders>
              <w:top w:val="nil"/>
              <w:left w:val="nil"/>
              <w:bottom w:val="nil"/>
              <w:right w:val="nil"/>
            </w:tcBorders>
            <w:noWrap/>
            <w:vAlign w:val="bottom"/>
            <w:hideMark/>
          </w:tcPr>
          <w:p w14:paraId="5E2C28A2"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0.338412816</w:t>
            </w:r>
          </w:p>
        </w:tc>
      </w:tr>
      <w:tr w:rsidR="00A707E7" w:rsidRPr="00A707E7" w14:paraId="6177AA3B" w14:textId="77777777" w:rsidTr="00A707E7">
        <w:trPr>
          <w:trHeight w:val="315"/>
        </w:trPr>
        <w:tc>
          <w:tcPr>
            <w:tcW w:w="1211" w:type="pct"/>
            <w:gridSpan w:val="2"/>
            <w:tcBorders>
              <w:top w:val="nil"/>
              <w:left w:val="nil"/>
              <w:bottom w:val="nil"/>
              <w:right w:val="nil"/>
            </w:tcBorders>
            <w:noWrap/>
            <w:vAlign w:val="bottom"/>
            <w:hideMark/>
          </w:tcPr>
          <w:p w14:paraId="5F7FDE7A"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Mean ± SD</w:t>
            </w:r>
          </w:p>
        </w:tc>
        <w:tc>
          <w:tcPr>
            <w:tcW w:w="708" w:type="pct"/>
            <w:gridSpan w:val="2"/>
            <w:tcBorders>
              <w:top w:val="nil"/>
              <w:left w:val="nil"/>
              <w:bottom w:val="nil"/>
              <w:right w:val="nil"/>
            </w:tcBorders>
            <w:noWrap/>
            <w:vAlign w:val="bottom"/>
            <w:hideMark/>
          </w:tcPr>
          <w:p w14:paraId="4786CE87" w14:textId="77777777" w:rsidR="00A707E7" w:rsidRPr="00A707E7" w:rsidRDefault="00A707E7" w:rsidP="00A707E7">
            <w:pPr>
              <w:spacing w:after="0" w:line="240" w:lineRule="auto"/>
              <w:rPr>
                <w:rFonts w:ascii="Times New Roman" w:eastAsia="Times New Roman" w:hAnsi="Times New Roman" w:cs="Times New Roman"/>
                <w:color w:val="000000"/>
                <w:sz w:val="18"/>
                <w:szCs w:val="18"/>
              </w:rPr>
            </w:pPr>
            <w:r w:rsidRPr="00A707E7">
              <w:rPr>
                <w:rFonts w:ascii="Times New Roman" w:eastAsia="Times New Roman" w:hAnsi="Times New Roman" w:cs="Times New Roman"/>
                <w:color w:val="000000"/>
                <w:sz w:val="18"/>
                <w:szCs w:val="18"/>
              </w:rPr>
              <w:t>0.009 ± 0.002</w:t>
            </w:r>
          </w:p>
        </w:tc>
        <w:tc>
          <w:tcPr>
            <w:tcW w:w="354" w:type="pct"/>
            <w:tcBorders>
              <w:top w:val="nil"/>
              <w:left w:val="nil"/>
              <w:bottom w:val="nil"/>
              <w:right w:val="nil"/>
            </w:tcBorders>
            <w:noWrap/>
            <w:vAlign w:val="bottom"/>
            <w:hideMark/>
          </w:tcPr>
          <w:p w14:paraId="19ADF394" w14:textId="77777777" w:rsidR="00A707E7" w:rsidRPr="00A707E7" w:rsidRDefault="00A707E7" w:rsidP="00A707E7">
            <w:pPr>
              <w:spacing w:after="0" w:line="240" w:lineRule="auto"/>
              <w:rPr>
                <w:rFonts w:ascii="Times New Roman" w:eastAsia="Times New Roman" w:hAnsi="Times New Roman" w:cs="Times New Roman"/>
                <w:color w:val="000000"/>
                <w:sz w:val="18"/>
                <w:szCs w:val="18"/>
              </w:rPr>
            </w:pPr>
          </w:p>
        </w:tc>
        <w:tc>
          <w:tcPr>
            <w:tcW w:w="497" w:type="pct"/>
            <w:tcBorders>
              <w:top w:val="nil"/>
              <w:left w:val="nil"/>
              <w:bottom w:val="nil"/>
              <w:right w:val="nil"/>
            </w:tcBorders>
            <w:noWrap/>
            <w:vAlign w:val="bottom"/>
            <w:hideMark/>
          </w:tcPr>
          <w:p w14:paraId="416622C6" w14:textId="77777777" w:rsidR="00A707E7" w:rsidRPr="00A707E7" w:rsidRDefault="00A707E7" w:rsidP="00A707E7">
            <w:pPr>
              <w:spacing w:after="0" w:line="240" w:lineRule="auto"/>
              <w:rPr>
                <w:rFonts w:ascii="Times New Roman" w:eastAsia="Times New Roman" w:hAnsi="Times New Roman" w:cs="Times New Roman"/>
                <w:sz w:val="20"/>
                <w:szCs w:val="20"/>
              </w:rPr>
            </w:pPr>
          </w:p>
        </w:tc>
        <w:tc>
          <w:tcPr>
            <w:tcW w:w="486" w:type="pct"/>
            <w:tcBorders>
              <w:top w:val="nil"/>
              <w:left w:val="nil"/>
              <w:bottom w:val="nil"/>
              <w:right w:val="nil"/>
            </w:tcBorders>
            <w:noWrap/>
            <w:vAlign w:val="bottom"/>
            <w:hideMark/>
          </w:tcPr>
          <w:p w14:paraId="0650CDA4" w14:textId="77777777" w:rsidR="00A707E7" w:rsidRPr="00A707E7" w:rsidRDefault="00A707E7" w:rsidP="00A707E7">
            <w:pPr>
              <w:spacing w:after="0" w:line="240" w:lineRule="auto"/>
              <w:rPr>
                <w:rFonts w:ascii="Times New Roman" w:eastAsia="Times New Roman" w:hAnsi="Times New Roman" w:cs="Times New Roman"/>
                <w:sz w:val="20"/>
                <w:szCs w:val="20"/>
              </w:rPr>
            </w:pPr>
          </w:p>
        </w:tc>
        <w:tc>
          <w:tcPr>
            <w:tcW w:w="441" w:type="pct"/>
            <w:tcBorders>
              <w:top w:val="nil"/>
              <w:left w:val="nil"/>
              <w:bottom w:val="nil"/>
              <w:right w:val="nil"/>
            </w:tcBorders>
            <w:noWrap/>
            <w:vAlign w:val="bottom"/>
            <w:hideMark/>
          </w:tcPr>
          <w:p w14:paraId="64EDB988" w14:textId="77777777" w:rsidR="00A707E7" w:rsidRPr="00A707E7" w:rsidRDefault="00A707E7" w:rsidP="00A707E7">
            <w:pPr>
              <w:spacing w:after="0" w:line="240" w:lineRule="auto"/>
              <w:rPr>
                <w:rFonts w:ascii="Times New Roman" w:eastAsia="Times New Roman" w:hAnsi="Times New Roman" w:cs="Times New Roman"/>
                <w:color w:val="000000"/>
                <w:sz w:val="18"/>
                <w:szCs w:val="18"/>
              </w:rPr>
            </w:pPr>
            <w:r w:rsidRPr="00A707E7">
              <w:rPr>
                <w:rFonts w:ascii="Times New Roman" w:eastAsia="Times New Roman" w:hAnsi="Times New Roman" w:cs="Times New Roman"/>
                <w:color w:val="000000"/>
                <w:sz w:val="18"/>
                <w:szCs w:val="18"/>
              </w:rPr>
              <w:t>77.30 ± 17.60</w:t>
            </w:r>
          </w:p>
        </w:tc>
        <w:tc>
          <w:tcPr>
            <w:tcW w:w="838" w:type="pct"/>
            <w:gridSpan w:val="2"/>
            <w:tcBorders>
              <w:top w:val="nil"/>
              <w:left w:val="nil"/>
              <w:bottom w:val="nil"/>
              <w:right w:val="nil"/>
            </w:tcBorders>
            <w:noWrap/>
            <w:vAlign w:val="bottom"/>
            <w:hideMark/>
          </w:tcPr>
          <w:p w14:paraId="0EF39603" w14:textId="77777777" w:rsidR="00A707E7" w:rsidRPr="00A707E7" w:rsidRDefault="00A707E7" w:rsidP="00A707E7">
            <w:pPr>
              <w:spacing w:after="0" w:line="240" w:lineRule="auto"/>
              <w:rPr>
                <w:rFonts w:ascii="Times New Roman" w:eastAsia="Times New Roman" w:hAnsi="Times New Roman" w:cs="Times New Roman"/>
                <w:color w:val="000000"/>
                <w:sz w:val="18"/>
                <w:szCs w:val="18"/>
              </w:rPr>
            </w:pPr>
            <w:r w:rsidRPr="00A707E7">
              <w:rPr>
                <w:rFonts w:ascii="Times New Roman" w:eastAsia="Times New Roman" w:hAnsi="Times New Roman" w:cs="Times New Roman"/>
                <w:color w:val="000000"/>
                <w:sz w:val="18"/>
                <w:szCs w:val="18"/>
              </w:rPr>
              <w:t>0.095 ± 0.022</w:t>
            </w:r>
          </w:p>
        </w:tc>
        <w:tc>
          <w:tcPr>
            <w:tcW w:w="466" w:type="pct"/>
            <w:tcBorders>
              <w:top w:val="single" w:sz="8" w:space="0" w:color="auto"/>
              <w:left w:val="single" w:sz="8" w:space="0" w:color="auto"/>
              <w:bottom w:val="single" w:sz="8" w:space="0" w:color="auto"/>
              <w:right w:val="single" w:sz="8" w:space="0" w:color="auto"/>
            </w:tcBorders>
            <w:vAlign w:val="bottom"/>
            <w:hideMark/>
          </w:tcPr>
          <w:p w14:paraId="31CEB161" w14:textId="77777777" w:rsidR="00A707E7" w:rsidRPr="00A707E7" w:rsidRDefault="00A707E7" w:rsidP="00A707E7">
            <w:pPr>
              <w:spacing w:after="0" w:line="240" w:lineRule="auto"/>
              <w:jc w:val="center"/>
              <w:rPr>
                <w:rFonts w:ascii="Times New Roman" w:eastAsia="Times New Roman" w:hAnsi="Times New Roman" w:cs="Times New Roman"/>
                <w:color w:val="000000"/>
                <w:sz w:val="18"/>
                <w:szCs w:val="18"/>
              </w:rPr>
            </w:pPr>
            <w:r w:rsidRPr="00A707E7">
              <w:rPr>
                <w:rFonts w:ascii="Times New Roman" w:eastAsia="Times New Roman" w:hAnsi="Times New Roman" w:cs="Times New Roman"/>
                <w:color w:val="000000"/>
                <w:sz w:val="18"/>
                <w:szCs w:val="18"/>
              </w:rPr>
              <w:t>0.332 ± 0.077</w:t>
            </w:r>
          </w:p>
        </w:tc>
      </w:tr>
    </w:tbl>
    <w:p w14:paraId="5952234E" w14:textId="77777777" w:rsidR="003D095B" w:rsidRDefault="003D095B" w:rsidP="001475AC">
      <w:pPr>
        <w:spacing w:line="360" w:lineRule="auto"/>
        <w:jc w:val="both"/>
        <w:rPr>
          <w:rFonts w:ascii="Times New Roman" w:hAnsi="Times New Roman" w:cs="Times New Roman"/>
          <w:b/>
        </w:rPr>
      </w:pPr>
    </w:p>
    <w:p w14:paraId="30BADBFF" w14:textId="6AA7851B" w:rsidR="00A707E7" w:rsidRDefault="00A707E7" w:rsidP="001475AC">
      <w:pPr>
        <w:spacing w:line="360" w:lineRule="auto"/>
        <w:jc w:val="both"/>
        <w:rPr>
          <w:rFonts w:ascii="Times New Roman" w:hAnsi="Times New Roman" w:cs="Times New Roman"/>
          <w:b/>
        </w:rPr>
      </w:pPr>
      <w:r>
        <w:rPr>
          <w:rFonts w:ascii="Times New Roman" w:hAnsi="Times New Roman" w:cs="Times New Roman"/>
          <w:b/>
        </w:rPr>
        <w:t xml:space="preserve">TABLE </w:t>
      </w:r>
      <w:r w:rsidR="003E288A">
        <w:rPr>
          <w:rFonts w:ascii="Times New Roman" w:hAnsi="Times New Roman" w:cs="Times New Roman"/>
          <w:b/>
        </w:rPr>
        <w:t>8.</w:t>
      </w:r>
      <w:r w:rsidR="006E6DBD">
        <w:rPr>
          <w:rFonts w:ascii="Times New Roman" w:hAnsi="Times New Roman" w:cs="Times New Roman"/>
          <w:b/>
        </w:rPr>
        <w:t xml:space="preserve">  </w:t>
      </w:r>
      <w:r w:rsidR="006D1645">
        <w:rPr>
          <w:rFonts w:ascii="Times New Roman" w:hAnsi="Times New Roman" w:cs="Times New Roman"/>
          <w:b/>
        </w:rPr>
        <w:t xml:space="preserve">Background ionizing radiation, bootstrap statistics and calculated dose parameters </w:t>
      </w:r>
    </w:p>
    <w:p w14:paraId="421E772E" w14:textId="77777777" w:rsidR="00A707E7" w:rsidRDefault="00A707E7" w:rsidP="001475AC">
      <w:pPr>
        <w:spacing w:line="360" w:lineRule="auto"/>
        <w:jc w:val="both"/>
        <w:rPr>
          <w:rFonts w:ascii="Times New Roman" w:hAnsi="Times New Roman" w:cs="Times New Roman"/>
          <w:b/>
        </w:rPr>
      </w:pPr>
    </w:p>
    <w:p w14:paraId="118A596A" w14:textId="77777777" w:rsidR="00A707E7" w:rsidRDefault="00A707E7" w:rsidP="001475AC">
      <w:pPr>
        <w:spacing w:line="360" w:lineRule="auto"/>
        <w:jc w:val="both"/>
        <w:rPr>
          <w:rFonts w:ascii="Times New Roman" w:hAnsi="Times New Roman" w:cs="Times New Roman"/>
          <w:b/>
        </w:rPr>
      </w:pPr>
    </w:p>
    <w:p w14:paraId="5083FC4E" w14:textId="77777777" w:rsidR="00A707E7" w:rsidRDefault="00A707E7" w:rsidP="001475AC">
      <w:pPr>
        <w:spacing w:line="360" w:lineRule="auto"/>
        <w:jc w:val="both"/>
        <w:rPr>
          <w:rFonts w:ascii="Times New Roman" w:hAnsi="Times New Roman" w:cs="Times New Roman"/>
          <w:b/>
        </w:rPr>
      </w:pPr>
    </w:p>
    <w:p w14:paraId="47DE0336" w14:textId="77777777" w:rsidR="00A707E7" w:rsidRDefault="00A707E7" w:rsidP="001475AC">
      <w:pPr>
        <w:spacing w:line="360" w:lineRule="auto"/>
        <w:jc w:val="both"/>
        <w:rPr>
          <w:rFonts w:ascii="Times New Roman" w:hAnsi="Times New Roman" w:cs="Times New Roman"/>
          <w:b/>
        </w:rPr>
      </w:pPr>
    </w:p>
    <w:p w14:paraId="2D600ECC" w14:textId="77777777" w:rsidR="00A707E7" w:rsidRDefault="00A707E7" w:rsidP="00A707E7">
      <w:pPr>
        <w:spacing w:after="0" w:line="240" w:lineRule="auto"/>
        <w:jc w:val="center"/>
        <w:rPr>
          <w:rFonts w:ascii="Calibri" w:eastAsia="Times New Roman" w:hAnsi="Calibri" w:cs="Calibri"/>
          <w:b/>
          <w:bCs/>
          <w:color w:val="000000"/>
        </w:rPr>
        <w:sectPr w:rsidR="00A707E7">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889"/>
        <w:gridCol w:w="305"/>
        <w:gridCol w:w="587"/>
        <w:gridCol w:w="549"/>
        <w:gridCol w:w="802"/>
        <w:gridCol w:w="772"/>
        <w:gridCol w:w="816"/>
        <w:gridCol w:w="837"/>
        <w:gridCol w:w="879"/>
        <w:gridCol w:w="902"/>
        <w:gridCol w:w="874"/>
        <w:gridCol w:w="915"/>
        <w:gridCol w:w="938"/>
        <w:gridCol w:w="855"/>
        <w:gridCol w:w="897"/>
        <w:gridCol w:w="920"/>
        <w:gridCol w:w="218"/>
      </w:tblGrid>
      <w:tr w:rsidR="00A707E7" w:rsidRPr="00A707E7" w14:paraId="325EC5E2" w14:textId="77777777" w:rsidTr="00A707E7">
        <w:trPr>
          <w:trHeight w:val="300"/>
        </w:trPr>
        <w:tc>
          <w:tcPr>
            <w:tcW w:w="307" w:type="pct"/>
            <w:tcBorders>
              <w:top w:val="single" w:sz="4" w:space="0" w:color="auto"/>
              <w:left w:val="single" w:sz="4" w:space="0" w:color="auto"/>
              <w:bottom w:val="single" w:sz="4" w:space="0" w:color="auto"/>
              <w:right w:val="single" w:sz="4" w:space="0" w:color="auto"/>
            </w:tcBorders>
            <w:noWrap/>
            <w:hideMark/>
          </w:tcPr>
          <w:p w14:paraId="19D179BE" w14:textId="77777777" w:rsidR="00A707E7" w:rsidRPr="00A707E7" w:rsidRDefault="00A707E7" w:rsidP="00A707E7">
            <w:pPr>
              <w:spacing w:after="0" w:line="240" w:lineRule="auto"/>
              <w:jc w:val="center"/>
              <w:rPr>
                <w:rFonts w:ascii="Calibri" w:eastAsia="Times New Roman" w:hAnsi="Calibri" w:cs="Calibri"/>
                <w:b/>
                <w:bCs/>
                <w:color w:val="000000"/>
              </w:rPr>
            </w:pPr>
            <w:r w:rsidRPr="00A707E7">
              <w:rPr>
                <w:rFonts w:ascii="Calibri" w:eastAsia="Times New Roman" w:hAnsi="Calibri" w:cs="Calibri"/>
                <w:b/>
                <w:bCs/>
                <w:color w:val="000000"/>
              </w:rPr>
              <w:lastRenderedPageBreak/>
              <w:t>Zone</w:t>
            </w:r>
          </w:p>
        </w:tc>
        <w:tc>
          <w:tcPr>
            <w:tcW w:w="171" w:type="pct"/>
            <w:tcBorders>
              <w:top w:val="single" w:sz="4" w:space="0" w:color="auto"/>
              <w:left w:val="nil"/>
              <w:bottom w:val="single" w:sz="4" w:space="0" w:color="auto"/>
              <w:right w:val="single" w:sz="4" w:space="0" w:color="auto"/>
            </w:tcBorders>
            <w:noWrap/>
            <w:hideMark/>
          </w:tcPr>
          <w:p w14:paraId="1438332F" w14:textId="77777777" w:rsidR="00A707E7" w:rsidRPr="00A707E7" w:rsidRDefault="00A707E7" w:rsidP="00A707E7">
            <w:pPr>
              <w:spacing w:after="0" w:line="240" w:lineRule="auto"/>
              <w:jc w:val="center"/>
              <w:rPr>
                <w:rFonts w:ascii="Calibri" w:eastAsia="Times New Roman" w:hAnsi="Calibri" w:cs="Calibri"/>
                <w:b/>
                <w:bCs/>
                <w:color w:val="000000"/>
              </w:rPr>
            </w:pPr>
            <w:r w:rsidRPr="00A707E7">
              <w:rPr>
                <w:rFonts w:ascii="Calibri" w:eastAsia="Times New Roman" w:hAnsi="Calibri" w:cs="Calibri"/>
                <w:b/>
                <w:bCs/>
                <w:color w:val="000000"/>
              </w:rPr>
              <w:t>n</w:t>
            </w:r>
          </w:p>
        </w:tc>
        <w:tc>
          <w:tcPr>
            <w:tcW w:w="204" w:type="pct"/>
            <w:tcBorders>
              <w:top w:val="single" w:sz="4" w:space="0" w:color="auto"/>
              <w:left w:val="nil"/>
              <w:bottom w:val="single" w:sz="4" w:space="0" w:color="auto"/>
              <w:right w:val="single" w:sz="4" w:space="0" w:color="auto"/>
            </w:tcBorders>
            <w:noWrap/>
            <w:hideMark/>
          </w:tcPr>
          <w:p w14:paraId="4B105EA7"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BIR_mean</w:t>
            </w:r>
            <w:proofErr w:type="spellEnd"/>
          </w:p>
        </w:tc>
        <w:tc>
          <w:tcPr>
            <w:tcW w:w="187" w:type="pct"/>
            <w:tcBorders>
              <w:top w:val="single" w:sz="4" w:space="0" w:color="auto"/>
              <w:left w:val="nil"/>
              <w:bottom w:val="single" w:sz="4" w:space="0" w:color="auto"/>
              <w:right w:val="single" w:sz="4" w:space="0" w:color="auto"/>
            </w:tcBorders>
            <w:noWrap/>
            <w:hideMark/>
          </w:tcPr>
          <w:p w14:paraId="4E0BF892"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BIR_sd</w:t>
            </w:r>
            <w:proofErr w:type="spellEnd"/>
          </w:p>
        </w:tc>
        <w:tc>
          <w:tcPr>
            <w:tcW w:w="301" w:type="pct"/>
            <w:tcBorders>
              <w:top w:val="single" w:sz="4" w:space="0" w:color="auto"/>
              <w:left w:val="nil"/>
              <w:bottom w:val="single" w:sz="4" w:space="0" w:color="auto"/>
              <w:right w:val="single" w:sz="4" w:space="0" w:color="auto"/>
            </w:tcBorders>
            <w:noWrap/>
            <w:hideMark/>
          </w:tcPr>
          <w:p w14:paraId="3C4BD2F4"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BIR_boot_mean</w:t>
            </w:r>
            <w:proofErr w:type="spellEnd"/>
          </w:p>
        </w:tc>
        <w:tc>
          <w:tcPr>
            <w:tcW w:w="287" w:type="pct"/>
            <w:tcBorders>
              <w:top w:val="single" w:sz="4" w:space="0" w:color="auto"/>
              <w:left w:val="nil"/>
              <w:bottom w:val="single" w:sz="4" w:space="0" w:color="auto"/>
              <w:right w:val="single" w:sz="4" w:space="0" w:color="auto"/>
            </w:tcBorders>
            <w:noWrap/>
            <w:hideMark/>
          </w:tcPr>
          <w:p w14:paraId="43E8B348" w14:textId="77777777" w:rsidR="00A707E7" w:rsidRPr="00A707E7" w:rsidRDefault="00A707E7" w:rsidP="00A707E7">
            <w:pPr>
              <w:spacing w:after="0" w:line="240" w:lineRule="auto"/>
              <w:jc w:val="center"/>
              <w:rPr>
                <w:rFonts w:ascii="Calibri" w:eastAsia="Times New Roman" w:hAnsi="Calibri" w:cs="Calibri"/>
                <w:b/>
                <w:bCs/>
                <w:color w:val="000000"/>
              </w:rPr>
            </w:pPr>
            <w:r w:rsidRPr="00A707E7">
              <w:rPr>
                <w:rFonts w:ascii="Calibri" w:eastAsia="Times New Roman" w:hAnsi="Calibri" w:cs="Calibri"/>
                <w:b/>
                <w:bCs/>
                <w:color w:val="000000"/>
              </w:rPr>
              <w:t>BIR_boot_2.5%</w:t>
            </w:r>
          </w:p>
        </w:tc>
        <w:tc>
          <w:tcPr>
            <w:tcW w:w="307" w:type="pct"/>
            <w:tcBorders>
              <w:top w:val="single" w:sz="4" w:space="0" w:color="auto"/>
              <w:left w:val="nil"/>
              <w:bottom w:val="single" w:sz="4" w:space="0" w:color="auto"/>
              <w:right w:val="single" w:sz="4" w:space="0" w:color="auto"/>
            </w:tcBorders>
            <w:noWrap/>
            <w:hideMark/>
          </w:tcPr>
          <w:p w14:paraId="5132A66D" w14:textId="77777777" w:rsidR="00A707E7" w:rsidRPr="00A707E7" w:rsidRDefault="00A707E7" w:rsidP="00A707E7">
            <w:pPr>
              <w:spacing w:after="0" w:line="240" w:lineRule="auto"/>
              <w:jc w:val="center"/>
              <w:rPr>
                <w:rFonts w:ascii="Calibri" w:eastAsia="Times New Roman" w:hAnsi="Calibri" w:cs="Calibri"/>
                <w:b/>
                <w:bCs/>
                <w:color w:val="000000"/>
              </w:rPr>
            </w:pPr>
            <w:r w:rsidRPr="00A707E7">
              <w:rPr>
                <w:rFonts w:ascii="Calibri" w:eastAsia="Times New Roman" w:hAnsi="Calibri" w:cs="Calibri"/>
                <w:b/>
                <w:bCs/>
                <w:color w:val="000000"/>
              </w:rPr>
              <w:t>BIR_boot_97.5%</w:t>
            </w:r>
          </w:p>
        </w:tc>
        <w:tc>
          <w:tcPr>
            <w:tcW w:w="317" w:type="pct"/>
            <w:tcBorders>
              <w:top w:val="single" w:sz="4" w:space="0" w:color="auto"/>
              <w:left w:val="nil"/>
              <w:bottom w:val="single" w:sz="4" w:space="0" w:color="auto"/>
              <w:right w:val="single" w:sz="4" w:space="0" w:color="auto"/>
            </w:tcBorders>
            <w:noWrap/>
            <w:hideMark/>
          </w:tcPr>
          <w:p w14:paraId="1F277233"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ADR_boot_mean</w:t>
            </w:r>
            <w:proofErr w:type="spellEnd"/>
          </w:p>
        </w:tc>
        <w:tc>
          <w:tcPr>
            <w:tcW w:w="335" w:type="pct"/>
            <w:tcBorders>
              <w:top w:val="single" w:sz="4" w:space="0" w:color="auto"/>
              <w:left w:val="nil"/>
              <w:bottom w:val="single" w:sz="4" w:space="0" w:color="auto"/>
              <w:right w:val="single" w:sz="4" w:space="0" w:color="auto"/>
            </w:tcBorders>
            <w:noWrap/>
            <w:hideMark/>
          </w:tcPr>
          <w:p w14:paraId="4754D6C2"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ADR_boot_CI_low</w:t>
            </w:r>
            <w:proofErr w:type="spellEnd"/>
          </w:p>
        </w:tc>
        <w:tc>
          <w:tcPr>
            <w:tcW w:w="345" w:type="pct"/>
            <w:tcBorders>
              <w:top w:val="single" w:sz="4" w:space="0" w:color="auto"/>
              <w:left w:val="nil"/>
              <w:bottom w:val="single" w:sz="4" w:space="0" w:color="auto"/>
              <w:right w:val="single" w:sz="4" w:space="0" w:color="auto"/>
            </w:tcBorders>
            <w:noWrap/>
            <w:hideMark/>
          </w:tcPr>
          <w:p w14:paraId="1CBFAE37"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ADR_boot_CI_high</w:t>
            </w:r>
            <w:proofErr w:type="spellEnd"/>
          </w:p>
        </w:tc>
        <w:tc>
          <w:tcPr>
            <w:tcW w:w="333" w:type="pct"/>
            <w:tcBorders>
              <w:top w:val="single" w:sz="4" w:space="0" w:color="auto"/>
              <w:left w:val="nil"/>
              <w:bottom w:val="single" w:sz="4" w:space="0" w:color="auto"/>
              <w:right w:val="single" w:sz="4" w:space="0" w:color="auto"/>
            </w:tcBorders>
            <w:noWrap/>
            <w:hideMark/>
          </w:tcPr>
          <w:p w14:paraId="008B3060"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AEDE_boot_mean</w:t>
            </w:r>
            <w:proofErr w:type="spellEnd"/>
          </w:p>
        </w:tc>
        <w:tc>
          <w:tcPr>
            <w:tcW w:w="351" w:type="pct"/>
            <w:tcBorders>
              <w:top w:val="single" w:sz="4" w:space="0" w:color="auto"/>
              <w:left w:val="nil"/>
              <w:bottom w:val="single" w:sz="4" w:space="0" w:color="auto"/>
              <w:right w:val="single" w:sz="4" w:space="0" w:color="auto"/>
            </w:tcBorders>
            <w:noWrap/>
            <w:hideMark/>
          </w:tcPr>
          <w:p w14:paraId="76CB95C8"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AEDE_boot_CI_low</w:t>
            </w:r>
            <w:proofErr w:type="spellEnd"/>
          </w:p>
        </w:tc>
        <w:tc>
          <w:tcPr>
            <w:tcW w:w="362" w:type="pct"/>
            <w:tcBorders>
              <w:top w:val="single" w:sz="4" w:space="0" w:color="auto"/>
              <w:left w:val="nil"/>
              <w:bottom w:val="single" w:sz="4" w:space="0" w:color="auto"/>
              <w:right w:val="single" w:sz="4" w:space="0" w:color="auto"/>
            </w:tcBorders>
            <w:noWrap/>
            <w:hideMark/>
          </w:tcPr>
          <w:p w14:paraId="7B3E21B9"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AEDE_boot_CI_high</w:t>
            </w:r>
            <w:proofErr w:type="spellEnd"/>
          </w:p>
        </w:tc>
        <w:tc>
          <w:tcPr>
            <w:tcW w:w="325" w:type="pct"/>
            <w:tcBorders>
              <w:top w:val="single" w:sz="4" w:space="0" w:color="auto"/>
              <w:left w:val="nil"/>
              <w:bottom w:val="single" w:sz="4" w:space="0" w:color="auto"/>
              <w:right w:val="single" w:sz="4" w:space="0" w:color="auto"/>
            </w:tcBorders>
            <w:noWrap/>
            <w:hideMark/>
          </w:tcPr>
          <w:p w14:paraId="19A0BC8E"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ELCR_boot_mean</w:t>
            </w:r>
            <w:proofErr w:type="spellEnd"/>
          </w:p>
        </w:tc>
        <w:tc>
          <w:tcPr>
            <w:tcW w:w="343" w:type="pct"/>
            <w:tcBorders>
              <w:top w:val="single" w:sz="4" w:space="0" w:color="auto"/>
              <w:left w:val="nil"/>
              <w:bottom w:val="single" w:sz="4" w:space="0" w:color="auto"/>
              <w:right w:val="single" w:sz="4" w:space="0" w:color="auto"/>
            </w:tcBorders>
            <w:noWrap/>
            <w:hideMark/>
          </w:tcPr>
          <w:p w14:paraId="466E6149"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ELCR_boot_CI_low</w:t>
            </w:r>
            <w:proofErr w:type="spellEnd"/>
          </w:p>
        </w:tc>
        <w:tc>
          <w:tcPr>
            <w:tcW w:w="353" w:type="pct"/>
            <w:tcBorders>
              <w:top w:val="single" w:sz="4" w:space="0" w:color="auto"/>
              <w:left w:val="nil"/>
              <w:bottom w:val="single" w:sz="4" w:space="0" w:color="auto"/>
              <w:right w:val="single" w:sz="4" w:space="0" w:color="auto"/>
            </w:tcBorders>
            <w:noWrap/>
            <w:hideMark/>
          </w:tcPr>
          <w:p w14:paraId="13971539" w14:textId="77777777" w:rsidR="00A707E7" w:rsidRPr="00A707E7" w:rsidRDefault="00A707E7" w:rsidP="00A707E7">
            <w:pPr>
              <w:spacing w:after="0" w:line="240" w:lineRule="auto"/>
              <w:jc w:val="center"/>
              <w:rPr>
                <w:rFonts w:ascii="Calibri" w:eastAsia="Times New Roman" w:hAnsi="Calibri" w:cs="Calibri"/>
                <w:b/>
                <w:bCs/>
                <w:color w:val="000000"/>
              </w:rPr>
            </w:pPr>
            <w:proofErr w:type="spellStart"/>
            <w:r w:rsidRPr="00A707E7">
              <w:rPr>
                <w:rFonts w:ascii="Calibri" w:eastAsia="Times New Roman" w:hAnsi="Calibri" w:cs="Calibri"/>
                <w:b/>
                <w:bCs/>
                <w:color w:val="000000"/>
              </w:rPr>
              <w:t>ELCR_boot_CI_high</w:t>
            </w:r>
            <w:proofErr w:type="spellEnd"/>
          </w:p>
        </w:tc>
        <w:tc>
          <w:tcPr>
            <w:tcW w:w="171" w:type="pct"/>
            <w:tcBorders>
              <w:top w:val="nil"/>
              <w:left w:val="nil"/>
              <w:bottom w:val="nil"/>
              <w:right w:val="nil"/>
            </w:tcBorders>
            <w:noWrap/>
            <w:vAlign w:val="bottom"/>
            <w:hideMark/>
          </w:tcPr>
          <w:p w14:paraId="2615EE2C" w14:textId="77777777" w:rsidR="00A707E7" w:rsidRPr="00A707E7" w:rsidRDefault="00A707E7" w:rsidP="00A707E7">
            <w:pPr>
              <w:spacing w:after="0" w:line="240" w:lineRule="auto"/>
              <w:jc w:val="center"/>
              <w:rPr>
                <w:rFonts w:ascii="Calibri" w:eastAsia="Times New Roman" w:hAnsi="Calibri" w:cs="Calibri"/>
                <w:b/>
                <w:bCs/>
                <w:color w:val="000000"/>
              </w:rPr>
            </w:pPr>
          </w:p>
        </w:tc>
      </w:tr>
      <w:tr w:rsidR="00A707E7" w:rsidRPr="00A707E7" w14:paraId="6555F393" w14:textId="77777777" w:rsidTr="00A707E7">
        <w:trPr>
          <w:trHeight w:val="300"/>
        </w:trPr>
        <w:tc>
          <w:tcPr>
            <w:tcW w:w="307" w:type="pct"/>
            <w:tcBorders>
              <w:top w:val="nil"/>
              <w:left w:val="nil"/>
              <w:bottom w:val="nil"/>
              <w:right w:val="nil"/>
            </w:tcBorders>
            <w:noWrap/>
            <w:vAlign w:val="bottom"/>
            <w:hideMark/>
          </w:tcPr>
          <w:p w14:paraId="78DA35E8"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Oleh - Market</w:t>
            </w:r>
          </w:p>
        </w:tc>
        <w:tc>
          <w:tcPr>
            <w:tcW w:w="171" w:type="pct"/>
            <w:tcBorders>
              <w:top w:val="nil"/>
              <w:left w:val="nil"/>
              <w:bottom w:val="nil"/>
              <w:right w:val="nil"/>
            </w:tcBorders>
            <w:noWrap/>
            <w:vAlign w:val="bottom"/>
            <w:hideMark/>
          </w:tcPr>
          <w:p w14:paraId="6652F812"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13</w:t>
            </w:r>
          </w:p>
        </w:tc>
        <w:tc>
          <w:tcPr>
            <w:tcW w:w="204" w:type="pct"/>
            <w:tcBorders>
              <w:top w:val="nil"/>
              <w:left w:val="nil"/>
              <w:bottom w:val="nil"/>
              <w:right w:val="nil"/>
            </w:tcBorders>
            <w:noWrap/>
            <w:vAlign w:val="bottom"/>
            <w:hideMark/>
          </w:tcPr>
          <w:p w14:paraId="1803AEDF"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0.010308</w:t>
            </w:r>
          </w:p>
        </w:tc>
        <w:tc>
          <w:tcPr>
            <w:tcW w:w="187" w:type="pct"/>
            <w:tcBorders>
              <w:top w:val="nil"/>
              <w:left w:val="nil"/>
              <w:bottom w:val="nil"/>
              <w:right w:val="nil"/>
            </w:tcBorders>
            <w:noWrap/>
            <w:vAlign w:val="bottom"/>
            <w:hideMark/>
          </w:tcPr>
          <w:p w14:paraId="60585CC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0.001548</w:t>
            </w:r>
          </w:p>
        </w:tc>
        <w:tc>
          <w:tcPr>
            <w:tcW w:w="301" w:type="pct"/>
            <w:tcBorders>
              <w:top w:val="nil"/>
              <w:left w:val="nil"/>
              <w:bottom w:val="nil"/>
              <w:right w:val="nil"/>
            </w:tcBorders>
            <w:noWrap/>
            <w:vAlign w:val="bottom"/>
            <w:hideMark/>
          </w:tcPr>
          <w:p w14:paraId="38ED22B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0.0103</w:t>
            </w:r>
          </w:p>
        </w:tc>
        <w:tc>
          <w:tcPr>
            <w:tcW w:w="287" w:type="pct"/>
            <w:tcBorders>
              <w:top w:val="nil"/>
              <w:left w:val="nil"/>
              <w:bottom w:val="nil"/>
              <w:right w:val="nil"/>
            </w:tcBorders>
            <w:noWrap/>
            <w:vAlign w:val="bottom"/>
            <w:hideMark/>
          </w:tcPr>
          <w:p w14:paraId="7C5A15E1"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0.009537</w:t>
            </w:r>
          </w:p>
        </w:tc>
        <w:tc>
          <w:tcPr>
            <w:tcW w:w="307" w:type="pct"/>
            <w:tcBorders>
              <w:top w:val="nil"/>
              <w:left w:val="nil"/>
              <w:bottom w:val="nil"/>
              <w:right w:val="nil"/>
            </w:tcBorders>
            <w:noWrap/>
            <w:vAlign w:val="bottom"/>
            <w:hideMark/>
          </w:tcPr>
          <w:p w14:paraId="2706508D"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0.011077</w:t>
            </w:r>
          </w:p>
        </w:tc>
        <w:tc>
          <w:tcPr>
            <w:tcW w:w="317" w:type="pct"/>
            <w:tcBorders>
              <w:top w:val="nil"/>
              <w:left w:val="nil"/>
              <w:bottom w:val="nil"/>
              <w:right w:val="nil"/>
            </w:tcBorders>
            <w:noWrap/>
            <w:vAlign w:val="bottom"/>
            <w:hideMark/>
          </w:tcPr>
          <w:p w14:paraId="384CF5C8"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90.22369</w:t>
            </w:r>
          </w:p>
        </w:tc>
        <w:tc>
          <w:tcPr>
            <w:tcW w:w="335" w:type="pct"/>
            <w:tcBorders>
              <w:top w:val="nil"/>
              <w:left w:val="nil"/>
              <w:bottom w:val="nil"/>
              <w:right w:val="nil"/>
            </w:tcBorders>
            <w:noWrap/>
            <w:vAlign w:val="bottom"/>
            <w:hideMark/>
          </w:tcPr>
          <w:p w14:paraId="7B7DDB3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76.81846</w:t>
            </w:r>
          </w:p>
        </w:tc>
        <w:tc>
          <w:tcPr>
            <w:tcW w:w="345" w:type="pct"/>
            <w:tcBorders>
              <w:top w:val="nil"/>
              <w:left w:val="nil"/>
              <w:bottom w:val="nil"/>
              <w:right w:val="nil"/>
            </w:tcBorders>
            <w:noWrap/>
            <w:vAlign w:val="bottom"/>
            <w:hideMark/>
          </w:tcPr>
          <w:p w14:paraId="264F937D"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102.4246</w:t>
            </w:r>
          </w:p>
        </w:tc>
        <w:tc>
          <w:tcPr>
            <w:tcW w:w="333" w:type="pct"/>
            <w:tcBorders>
              <w:top w:val="nil"/>
              <w:left w:val="nil"/>
              <w:bottom w:val="nil"/>
              <w:right w:val="nil"/>
            </w:tcBorders>
            <w:noWrap/>
            <w:vAlign w:val="bottom"/>
            <w:hideMark/>
          </w:tcPr>
          <w:p w14:paraId="55D9F96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0.11065</w:t>
            </w:r>
          </w:p>
        </w:tc>
        <w:tc>
          <w:tcPr>
            <w:tcW w:w="351" w:type="pct"/>
            <w:tcBorders>
              <w:top w:val="nil"/>
              <w:left w:val="nil"/>
              <w:bottom w:val="nil"/>
              <w:right w:val="nil"/>
            </w:tcBorders>
            <w:noWrap/>
            <w:vAlign w:val="bottom"/>
            <w:hideMark/>
          </w:tcPr>
          <w:p w14:paraId="2641B9D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0.09421</w:t>
            </w:r>
          </w:p>
        </w:tc>
        <w:tc>
          <w:tcPr>
            <w:tcW w:w="362" w:type="pct"/>
            <w:tcBorders>
              <w:top w:val="nil"/>
              <w:left w:val="nil"/>
              <w:bottom w:val="nil"/>
              <w:right w:val="nil"/>
            </w:tcBorders>
            <w:noWrap/>
            <w:vAlign w:val="bottom"/>
            <w:hideMark/>
          </w:tcPr>
          <w:p w14:paraId="4283234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0.125614</w:t>
            </w:r>
          </w:p>
        </w:tc>
        <w:tc>
          <w:tcPr>
            <w:tcW w:w="325" w:type="pct"/>
            <w:tcBorders>
              <w:top w:val="nil"/>
              <w:left w:val="nil"/>
              <w:bottom w:val="nil"/>
              <w:right w:val="nil"/>
            </w:tcBorders>
            <w:noWrap/>
            <w:vAlign w:val="bottom"/>
            <w:hideMark/>
          </w:tcPr>
          <w:p w14:paraId="3BED4125"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0.387276</w:t>
            </w:r>
          </w:p>
        </w:tc>
        <w:tc>
          <w:tcPr>
            <w:tcW w:w="343" w:type="pct"/>
            <w:tcBorders>
              <w:top w:val="nil"/>
              <w:left w:val="nil"/>
              <w:bottom w:val="nil"/>
              <w:right w:val="nil"/>
            </w:tcBorders>
            <w:noWrap/>
            <w:vAlign w:val="bottom"/>
            <w:hideMark/>
          </w:tcPr>
          <w:p w14:paraId="17E906E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0.329736</w:t>
            </w:r>
          </w:p>
        </w:tc>
        <w:tc>
          <w:tcPr>
            <w:tcW w:w="353" w:type="pct"/>
            <w:tcBorders>
              <w:top w:val="nil"/>
              <w:left w:val="nil"/>
              <w:bottom w:val="nil"/>
              <w:right w:val="nil"/>
            </w:tcBorders>
            <w:noWrap/>
            <w:vAlign w:val="bottom"/>
            <w:hideMark/>
          </w:tcPr>
          <w:p w14:paraId="61BB8DCF"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0.439647</w:t>
            </w:r>
          </w:p>
        </w:tc>
        <w:tc>
          <w:tcPr>
            <w:tcW w:w="171" w:type="pct"/>
            <w:tcBorders>
              <w:top w:val="nil"/>
              <w:left w:val="nil"/>
              <w:bottom w:val="nil"/>
              <w:right w:val="nil"/>
            </w:tcBorders>
            <w:noWrap/>
            <w:vAlign w:val="bottom"/>
            <w:hideMark/>
          </w:tcPr>
          <w:p w14:paraId="733C24A0" w14:textId="77777777" w:rsidR="00A707E7" w:rsidRPr="00A707E7" w:rsidRDefault="00A707E7" w:rsidP="00A707E7">
            <w:pPr>
              <w:spacing w:after="0" w:line="240" w:lineRule="auto"/>
              <w:jc w:val="right"/>
              <w:rPr>
                <w:rFonts w:ascii="Calibri" w:eastAsia="Times New Roman" w:hAnsi="Calibri" w:cs="Calibri"/>
                <w:color w:val="000000"/>
              </w:rPr>
            </w:pPr>
          </w:p>
        </w:tc>
      </w:tr>
      <w:tr w:rsidR="00A707E7" w:rsidRPr="00A707E7" w14:paraId="0C8EED84" w14:textId="77777777" w:rsidTr="00A707E7">
        <w:trPr>
          <w:trHeight w:val="300"/>
        </w:trPr>
        <w:tc>
          <w:tcPr>
            <w:tcW w:w="307" w:type="pct"/>
            <w:tcBorders>
              <w:top w:val="nil"/>
              <w:left w:val="nil"/>
              <w:bottom w:val="nil"/>
              <w:right w:val="nil"/>
            </w:tcBorders>
            <w:noWrap/>
            <w:vAlign w:val="bottom"/>
            <w:hideMark/>
          </w:tcPr>
          <w:p w14:paraId="2D6E4C82"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Oleh - Bakery</w:t>
            </w:r>
          </w:p>
        </w:tc>
        <w:tc>
          <w:tcPr>
            <w:tcW w:w="171" w:type="pct"/>
            <w:tcBorders>
              <w:top w:val="nil"/>
              <w:left w:val="nil"/>
              <w:bottom w:val="nil"/>
              <w:right w:val="nil"/>
            </w:tcBorders>
            <w:noWrap/>
            <w:vAlign w:val="bottom"/>
            <w:hideMark/>
          </w:tcPr>
          <w:p w14:paraId="7B79E599"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9</w:t>
            </w:r>
          </w:p>
        </w:tc>
        <w:tc>
          <w:tcPr>
            <w:tcW w:w="204" w:type="pct"/>
            <w:tcBorders>
              <w:top w:val="nil"/>
              <w:left w:val="nil"/>
              <w:bottom w:val="nil"/>
              <w:right w:val="nil"/>
            </w:tcBorders>
            <w:noWrap/>
            <w:vAlign w:val="bottom"/>
            <w:hideMark/>
          </w:tcPr>
          <w:p w14:paraId="0E6A1EA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0.017889</w:t>
            </w:r>
          </w:p>
        </w:tc>
        <w:tc>
          <w:tcPr>
            <w:tcW w:w="187" w:type="pct"/>
            <w:tcBorders>
              <w:top w:val="nil"/>
              <w:left w:val="nil"/>
              <w:bottom w:val="nil"/>
              <w:right w:val="nil"/>
            </w:tcBorders>
            <w:noWrap/>
            <w:vAlign w:val="bottom"/>
            <w:hideMark/>
          </w:tcPr>
          <w:p w14:paraId="1826170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0.027118</w:t>
            </w:r>
          </w:p>
        </w:tc>
        <w:tc>
          <w:tcPr>
            <w:tcW w:w="301" w:type="pct"/>
            <w:tcBorders>
              <w:top w:val="nil"/>
              <w:left w:val="nil"/>
              <w:bottom w:val="nil"/>
              <w:right w:val="nil"/>
            </w:tcBorders>
            <w:noWrap/>
            <w:vAlign w:val="bottom"/>
            <w:hideMark/>
          </w:tcPr>
          <w:p w14:paraId="084E29C9"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0.017878</w:t>
            </w:r>
          </w:p>
        </w:tc>
        <w:tc>
          <w:tcPr>
            <w:tcW w:w="287" w:type="pct"/>
            <w:tcBorders>
              <w:top w:val="nil"/>
              <w:left w:val="nil"/>
              <w:bottom w:val="nil"/>
              <w:right w:val="nil"/>
            </w:tcBorders>
            <w:noWrap/>
            <w:vAlign w:val="bottom"/>
            <w:hideMark/>
          </w:tcPr>
          <w:p w14:paraId="39A5A70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0.007778</w:t>
            </w:r>
          </w:p>
        </w:tc>
        <w:tc>
          <w:tcPr>
            <w:tcW w:w="307" w:type="pct"/>
            <w:tcBorders>
              <w:top w:val="nil"/>
              <w:left w:val="nil"/>
              <w:bottom w:val="nil"/>
              <w:right w:val="nil"/>
            </w:tcBorders>
            <w:noWrap/>
            <w:vAlign w:val="bottom"/>
            <w:hideMark/>
          </w:tcPr>
          <w:p w14:paraId="2304F14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0.036222</w:t>
            </w:r>
          </w:p>
        </w:tc>
        <w:tc>
          <w:tcPr>
            <w:tcW w:w="317" w:type="pct"/>
            <w:tcBorders>
              <w:top w:val="nil"/>
              <w:left w:val="nil"/>
              <w:bottom w:val="nil"/>
              <w:right w:val="nil"/>
            </w:tcBorders>
            <w:noWrap/>
            <w:vAlign w:val="bottom"/>
            <w:hideMark/>
          </w:tcPr>
          <w:p w14:paraId="0FA862A5"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156.6138</w:t>
            </w:r>
          </w:p>
        </w:tc>
        <w:tc>
          <w:tcPr>
            <w:tcW w:w="335" w:type="pct"/>
            <w:tcBorders>
              <w:top w:val="nil"/>
              <w:left w:val="nil"/>
              <w:bottom w:val="nil"/>
              <w:right w:val="nil"/>
            </w:tcBorders>
            <w:noWrap/>
            <w:vAlign w:val="bottom"/>
            <w:hideMark/>
          </w:tcPr>
          <w:p w14:paraId="49DD1C79"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60.34667</w:t>
            </w:r>
          </w:p>
        </w:tc>
        <w:tc>
          <w:tcPr>
            <w:tcW w:w="345" w:type="pct"/>
            <w:tcBorders>
              <w:top w:val="nil"/>
              <w:left w:val="nil"/>
              <w:bottom w:val="nil"/>
              <w:right w:val="nil"/>
            </w:tcBorders>
            <w:noWrap/>
            <w:vAlign w:val="bottom"/>
            <w:hideMark/>
          </w:tcPr>
          <w:p w14:paraId="429A2134"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477.9067</w:t>
            </w:r>
          </w:p>
        </w:tc>
        <w:tc>
          <w:tcPr>
            <w:tcW w:w="333" w:type="pct"/>
            <w:tcBorders>
              <w:top w:val="nil"/>
              <w:left w:val="nil"/>
              <w:bottom w:val="nil"/>
              <w:right w:val="nil"/>
            </w:tcBorders>
            <w:noWrap/>
            <w:vAlign w:val="bottom"/>
            <w:hideMark/>
          </w:tcPr>
          <w:p w14:paraId="2DF89A2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0.192071</w:t>
            </w:r>
          </w:p>
        </w:tc>
        <w:tc>
          <w:tcPr>
            <w:tcW w:w="351" w:type="pct"/>
            <w:tcBorders>
              <w:top w:val="nil"/>
              <w:left w:val="nil"/>
              <w:bottom w:val="nil"/>
              <w:right w:val="nil"/>
            </w:tcBorders>
            <w:noWrap/>
            <w:vAlign w:val="bottom"/>
            <w:hideMark/>
          </w:tcPr>
          <w:p w14:paraId="353F01AB"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0.074009</w:t>
            </w:r>
          </w:p>
        </w:tc>
        <w:tc>
          <w:tcPr>
            <w:tcW w:w="362" w:type="pct"/>
            <w:tcBorders>
              <w:top w:val="nil"/>
              <w:left w:val="nil"/>
              <w:bottom w:val="nil"/>
              <w:right w:val="nil"/>
            </w:tcBorders>
            <w:noWrap/>
            <w:vAlign w:val="bottom"/>
            <w:hideMark/>
          </w:tcPr>
          <w:p w14:paraId="4D2FD0B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0.586105</w:t>
            </w:r>
          </w:p>
        </w:tc>
        <w:tc>
          <w:tcPr>
            <w:tcW w:w="325" w:type="pct"/>
            <w:tcBorders>
              <w:top w:val="nil"/>
              <w:left w:val="nil"/>
              <w:bottom w:val="nil"/>
              <w:right w:val="nil"/>
            </w:tcBorders>
            <w:noWrap/>
            <w:vAlign w:val="bottom"/>
            <w:hideMark/>
          </w:tcPr>
          <w:p w14:paraId="3E67D7C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0.672249</w:t>
            </w:r>
          </w:p>
        </w:tc>
        <w:tc>
          <w:tcPr>
            <w:tcW w:w="343" w:type="pct"/>
            <w:tcBorders>
              <w:top w:val="nil"/>
              <w:left w:val="nil"/>
              <w:bottom w:val="nil"/>
              <w:right w:val="nil"/>
            </w:tcBorders>
            <w:noWrap/>
            <w:vAlign w:val="bottom"/>
            <w:hideMark/>
          </w:tcPr>
          <w:p w14:paraId="30CD9D19"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0.259032</w:t>
            </w:r>
          </w:p>
        </w:tc>
        <w:tc>
          <w:tcPr>
            <w:tcW w:w="353" w:type="pct"/>
            <w:tcBorders>
              <w:top w:val="nil"/>
              <w:left w:val="nil"/>
              <w:bottom w:val="nil"/>
              <w:right w:val="nil"/>
            </w:tcBorders>
            <w:noWrap/>
            <w:vAlign w:val="bottom"/>
            <w:hideMark/>
          </w:tcPr>
          <w:p w14:paraId="5B109D9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2.051367</w:t>
            </w:r>
          </w:p>
        </w:tc>
        <w:tc>
          <w:tcPr>
            <w:tcW w:w="171" w:type="pct"/>
            <w:tcBorders>
              <w:top w:val="nil"/>
              <w:left w:val="nil"/>
              <w:bottom w:val="nil"/>
              <w:right w:val="nil"/>
            </w:tcBorders>
            <w:noWrap/>
            <w:vAlign w:val="bottom"/>
            <w:hideMark/>
          </w:tcPr>
          <w:p w14:paraId="2779F3E9" w14:textId="77777777" w:rsidR="00A707E7" w:rsidRPr="00A707E7" w:rsidRDefault="00A707E7" w:rsidP="00A707E7">
            <w:pPr>
              <w:spacing w:after="0" w:line="240" w:lineRule="auto"/>
              <w:jc w:val="right"/>
              <w:rPr>
                <w:rFonts w:ascii="Calibri" w:eastAsia="Times New Roman" w:hAnsi="Calibri" w:cs="Calibri"/>
                <w:color w:val="000000"/>
              </w:rPr>
            </w:pPr>
          </w:p>
        </w:tc>
      </w:tr>
      <w:tr w:rsidR="00A707E7" w:rsidRPr="00A707E7" w14:paraId="18B875DF" w14:textId="77777777" w:rsidTr="00A707E7">
        <w:trPr>
          <w:trHeight w:val="300"/>
        </w:trPr>
        <w:tc>
          <w:tcPr>
            <w:tcW w:w="307" w:type="pct"/>
            <w:tcBorders>
              <w:top w:val="nil"/>
              <w:left w:val="nil"/>
              <w:bottom w:val="nil"/>
              <w:right w:val="nil"/>
            </w:tcBorders>
            <w:noWrap/>
            <w:vAlign w:val="bottom"/>
            <w:hideMark/>
          </w:tcPr>
          <w:p w14:paraId="623A9973"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Oleh - Campus</w:t>
            </w:r>
          </w:p>
        </w:tc>
        <w:tc>
          <w:tcPr>
            <w:tcW w:w="171" w:type="pct"/>
            <w:tcBorders>
              <w:top w:val="nil"/>
              <w:left w:val="nil"/>
              <w:bottom w:val="nil"/>
              <w:right w:val="nil"/>
            </w:tcBorders>
            <w:noWrap/>
            <w:vAlign w:val="bottom"/>
            <w:hideMark/>
          </w:tcPr>
          <w:p w14:paraId="7D1DA8F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11</w:t>
            </w:r>
          </w:p>
        </w:tc>
        <w:tc>
          <w:tcPr>
            <w:tcW w:w="204" w:type="pct"/>
            <w:tcBorders>
              <w:top w:val="nil"/>
              <w:left w:val="nil"/>
              <w:bottom w:val="nil"/>
              <w:right w:val="nil"/>
            </w:tcBorders>
            <w:noWrap/>
            <w:vAlign w:val="bottom"/>
            <w:hideMark/>
          </w:tcPr>
          <w:p w14:paraId="75E803E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0.009636</w:t>
            </w:r>
          </w:p>
        </w:tc>
        <w:tc>
          <w:tcPr>
            <w:tcW w:w="187" w:type="pct"/>
            <w:tcBorders>
              <w:top w:val="nil"/>
              <w:left w:val="nil"/>
              <w:bottom w:val="nil"/>
              <w:right w:val="nil"/>
            </w:tcBorders>
            <w:noWrap/>
            <w:vAlign w:val="bottom"/>
            <w:hideMark/>
          </w:tcPr>
          <w:p w14:paraId="60EB0F55"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0.001286</w:t>
            </w:r>
          </w:p>
        </w:tc>
        <w:tc>
          <w:tcPr>
            <w:tcW w:w="301" w:type="pct"/>
            <w:tcBorders>
              <w:top w:val="nil"/>
              <w:left w:val="nil"/>
              <w:bottom w:val="nil"/>
              <w:right w:val="nil"/>
            </w:tcBorders>
            <w:noWrap/>
            <w:vAlign w:val="bottom"/>
            <w:hideMark/>
          </w:tcPr>
          <w:p w14:paraId="34B81C4D"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0.009634</w:t>
            </w:r>
          </w:p>
        </w:tc>
        <w:tc>
          <w:tcPr>
            <w:tcW w:w="287" w:type="pct"/>
            <w:tcBorders>
              <w:top w:val="nil"/>
              <w:left w:val="nil"/>
              <w:bottom w:val="nil"/>
              <w:right w:val="nil"/>
            </w:tcBorders>
            <w:noWrap/>
            <w:vAlign w:val="bottom"/>
            <w:hideMark/>
          </w:tcPr>
          <w:p w14:paraId="16228972"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0.008909</w:t>
            </w:r>
          </w:p>
        </w:tc>
        <w:tc>
          <w:tcPr>
            <w:tcW w:w="307" w:type="pct"/>
            <w:tcBorders>
              <w:top w:val="nil"/>
              <w:left w:val="nil"/>
              <w:bottom w:val="nil"/>
              <w:right w:val="nil"/>
            </w:tcBorders>
            <w:noWrap/>
            <w:vAlign w:val="bottom"/>
            <w:hideMark/>
          </w:tcPr>
          <w:p w14:paraId="45FF9B3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0.010364</w:t>
            </w:r>
          </w:p>
        </w:tc>
        <w:tc>
          <w:tcPr>
            <w:tcW w:w="317" w:type="pct"/>
            <w:tcBorders>
              <w:top w:val="nil"/>
              <w:left w:val="nil"/>
              <w:bottom w:val="nil"/>
              <w:right w:val="nil"/>
            </w:tcBorders>
            <w:noWrap/>
            <w:vAlign w:val="bottom"/>
            <w:hideMark/>
          </w:tcPr>
          <w:p w14:paraId="79F2DE7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84.39559</w:t>
            </w:r>
          </w:p>
        </w:tc>
        <w:tc>
          <w:tcPr>
            <w:tcW w:w="335" w:type="pct"/>
            <w:tcBorders>
              <w:top w:val="nil"/>
              <w:left w:val="nil"/>
              <w:bottom w:val="nil"/>
              <w:right w:val="nil"/>
            </w:tcBorders>
            <w:noWrap/>
            <w:vAlign w:val="bottom"/>
            <w:hideMark/>
          </w:tcPr>
          <w:p w14:paraId="754DE96D"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74.85818</w:t>
            </w:r>
          </w:p>
        </w:tc>
        <w:tc>
          <w:tcPr>
            <w:tcW w:w="345" w:type="pct"/>
            <w:tcBorders>
              <w:top w:val="nil"/>
              <w:left w:val="nil"/>
              <w:bottom w:val="nil"/>
              <w:right w:val="nil"/>
            </w:tcBorders>
            <w:noWrap/>
            <w:vAlign w:val="bottom"/>
            <w:hideMark/>
          </w:tcPr>
          <w:p w14:paraId="4900E538"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96.36</w:t>
            </w:r>
          </w:p>
        </w:tc>
        <w:tc>
          <w:tcPr>
            <w:tcW w:w="333" w:type="pct"/>
            <w:tcBorders>
              <w:top w:val="nil"/>
              <w:left w:val="nil"/>
              <w:bottom w:val="nil"/>
              <w:right w:val="nil"/>
            </w:tcBorders>
            <w:noWrap/>
            <w:vAlign w:val="bottom"/>
            <w:hideMark/>
          </w:tcPr>
          <w:p w14:paraId="4266817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0.103503</w:t>
            </w:r>
          </w:p>
        </w:tc>
        <w:tc>
          <w:tcPr>
            <w:tcW w:w="351" w:type="pct"/>
            <w:tcBorders>
              <w:top w:val="nil"/>
              <w:left w:val="nil"/>
              <w:bottom w:val="nil"/>
              <w:right w:val="nil"/>
            </w:tcBorders>
            <w:noWrap/>
            <w:vAlign w:val="bottom"/>
            <w:hideMark/>
          </w:tcPr>
          <w:p w14:paraId="71819030"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0.091806</w:t>
            </w:r>
          </w:p>
        </w:tc>
        <w:tc>
          <w:tcPr>
            <w:tcW w:w="362" w:type="pct"/>
            <w:tcBorders>
              <w:top w:val="nil"/>
              <w:left w:val="nil"/>
              <w:bottom w:val="nil"/>
              <w:right w:val="nil"/>
            </w:tcBorders>
            <w:noWrap/>
            <w:vAlign w:val="bottom"/>
            <w:hideMark/>
          </w:tcPr>
          <w:p w14:paraId="1285791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0.118176</w:t>
            </w:r>
          </w:p>
        </w:tc>
        <w:tc>
          <w:tcPr>
            <w:tcW w:w="325" w:type="pct"/>
            <w:tcBorders>
              <w:top w:val="nil"/>
              <w:left w:val="nil"/>
              <w:bottom w:val="nil"/>
              <w:right w:val="nil"/>
            </w:tcBorders>
            <w:noWrap/>
            <w:vAlign w:val="bottom"/>
            <w:hideMark/>
          </w:tcPr>
          <w:p w14:paraId="25839112"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0.36226</w:t>
            </w:r>
          </w:p>
        </w:tc>
        <w:tc>
          <w:tcPr>
            <w:tcW w:w="343" w:type="pct"/>
            <w:tcBorders>
              <w:top w:val="nil"/>
              <w:left w:val="nil"/>
              <w:bottom w:val="nil"/>
              <w:right w:val="nil"/>
            </w:tcBorders>
            <w:noWrap/>
            <w:vAlign w:val="bottom"/>
            <w:hideMark/>
          </w:tcPr>
          <w:p w14:paraId="436122F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0.321321</w:t>
            </w:r>
          </w:p>
        </w:tc>
        <w:tc>
          <w:tcPr>
            <w:tcW w:w="353" w:type="pct"/>
            <w:tcBorders>
              <w:top w:val="nil"/>
              <w:left w:val="nil"/>
              <w:bottom w:val="nil"/>
              <w:right w:val="nil"/>
            </w:tcBorders>
            <w:noWrap/>
            <w:vAlign w:val="bottom"/>
            <w:hideMark/>
          </w:tcPr>
          <w:p w14:paraId="00879695"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0.413616</w:t>
            </w:r>
          </w:p>
        </w:tc>
        <w:tc>
          <w:tcPr>
            <w:tcW w:w="171" w:type="pct"/>
            <w:tcBorders>
              <w:top w:val="nil"/>
              <w:left w:val="nil"/>
              <w:bottom w:val="nil"/>
              <w:right w:val="nil"/>
            </w:tcBorders>
            <w:noWrap/>
            <w:vAlign w:val="bottom"/>
            <w:hideMark/>
          </w:tcPr>
          <w:p w14:paraId="6CA889B9" w14:textId="77777777" w:rsidR="00A707E7" w:rsidRPr="00A707E7" w:rsidRDefault="00A707E7" w:rsidP="00A707E7">
            <w:pPr>
              <w:spacing w:after="0" w:line="240" w:lineRule="auto"/>
              <w:jc w:val="right"/>
              <w:rPr>
                <w:rFonts w:ascii="Calibri" w:eastAsia="Times New Roman" w:hAnsi="Calibri" w:cs="Calibri"/>
                <w:color w:val="000000"/>
              </w:rPr>
            </w:pPr>
          </w:p>
        </w:tc>
      </w:tr>
      <w:tr w:rsidR="00A707E7" w:rsidRPr="00A707E7" w14:paraId="53AD7FE2" w14:textId="77777777" w:rsidTr="00A707E7">
        <w:trPr>
          <w:trHeight w:val="300"/>
        </w:trPr>
        <w:tc>
          <w:tcPr>
            <w:tcW w:w="307" w:type="pct"/>
            <w:tcBorders>
              <w:top w:val="nil"/>
              <w:left w:val="nil"/>
              <w:bottom w:val="nil"/>
              <w:right w:val="nil"/>
            </w:tcBorders>
            <w:noWrap/>
            <w:vAlign w:val="bottom"/>
            <w:hideMark/>
          </w:tcPr>
          <w:p w14:paraId="778EAE2C" w14:textId="77777777" w:rsidR="00A707E7" w:rsidRPr="00A707E7" w:rsidRDefault="00A707E7" w:rsidP="00A707E7">
            <w:pPr>
              <w:spacing w:after="0" w:line="240" w:lineRule="auto"/>
              <w:rPr>
                <w:rFonts w:ascii="Calibri" w:eastAsia="Times New Roman" w:hAnsi="Calibri" w:cs="Calibri"/>
                <w:color w:val="000000"/>
              </w:rPr>
            </w:pPr>
            <w:r w:rsidRPr="00A707E7">
              <w:rPr>
                <w:rFonts w:ascii="Calibri" w:eastAsia="Times New Roman" w:hAnsi="Calibri" w:cs="Calibri"/>
                <w:color w:val="000000"/>
              </w:rPr>
              <w:t>Oleh - Residential</w:t>
            </w:r>
          </w:p>
        </w:tc>
        <w:tc>
          <w:tcPr>
            <w:tcW w:w="171" w:type="pct"/>
            <w:tcBorders>
              <w:top w:val="nil"/>
              <w:left w:val="nil"/>
              <w:bottom w:val="nil"/>
              <w:right w:val="nil"/>
            </w:tcBorders>
            <w:noWrap/>
            <w:vAlign w:val="bottom"/>
            <w:hideMark/>
          </w:tcPr>
          <w:p w14:paraId="37BCB6BC"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11</w:t>
            </w:r>
          </w:p>
        </w:tc>
        <w:tc>
          <w:tcPr>
            <w:tcW w:w="204" w:type="pct"/>
            <w:tcBorders>
              <w:top w:val="nil"/>
              <w:left w:val="nil"/>
              <w:bottom w:val="nil"/>
              <w:right w:val="nil"/>
            </w:tcBorders>
            <w:noWrap/>
            <w:vAlign w:val="bottom"/>
            <w:hideMark/>
          </w:tcPr>
          <w:p w14:paraId="5DBB21BD"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0.009909</w:t>
            </w:r>
          </w:p>
        </w:tc>
        <w:tc>
          <w:tcPr>
            <w:tcW w:w="187" w:type="pct"/>
            <w:tcBorders>
              <w:top w:val="nil"/>
              <w:left w:val="nil"/>
              <w:bottom w:val="nil"/>
              <w:right w:val="nil"/>
            </w:tcBorders>
            <w:noWrap/>
            <w:vAlign w:val="bottom"/>
            <w:hideMark/>
          </w:tcPr>
          <w:p w14:paraId="6F0A288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0.000944</w:t>
            </w:r>
          </w:p>
        </w:tc>
        <w:tc>
          <w:tcPr>
            <w:tcW w:w="301" w:type="pct"/>
            <w:tcBorders>
              <w:top w:val="nil"/>
              <w:left w:val="nil"/>
              <w:bottom w:val="nil"/>
              <w:right w:val="nil"/>
            </w:tcBorders>
            <w:noWrap/>
            <w:vAlign w:val="bottom"/>
            <w:hideMark/>
          </w:tcPr>
          <w:p w14:paraId="73C186D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0.009907</w:t>
            </w:r>
          </w:p>
        </w:tc>
        <w:tc>
          <w:tcPr>
            <w:tcW w:w="287" w:type="pct"/>
            <w:tcBorders>
              <w:top w:val="nil"/>
              <w:left w:val="nil"/>
              <w:bottom w:val="nil"/>
              <w:right w:val="nil"/>
            </w:tcBorders>
            <w:noWrap/>
            <w:vAlign w:val="bottom"/>
            <w:hideMark/>
          </w:tcPr>
          <w:p w14:paraId="625F41D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0.009364</w:t>
            </w:r>
          </w:p>
        </w:tc>
        <w:tc>
          <w:tcPr>
            <w:tcW w:w="307" w:type="pct"/>
            <w:tcBorders>
              <w:top w:val="nil"/>
              <w:left w:val="nil"/>
              <w:bottom w:val="nil"/>
              <w:right w:val="nil"/>
            </w:tcBorders>
            <w:noWrap/>
            <w:vAlign w:val="bottom"/>
            <w:hideMark/>
          </w:tcPr>
          <w:p w14:paraId="7B6ED868"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0.010455</w:t>
            </w:r>
          </w:p>
        </w:tc>
        <w:tc>
          <w:tcPr>
            <w:tcW w:w="317" w:type="pct"/>
            <w:tcBorders>
              <w:top w:val="nil"/>
              <w:left w:val="nil"/>
              <w:bottom w:val="nil"/>
              <w:right w:val="nil"/>
            </w:tcBorders>
            <w:noWrap/>
            <w:vAlign w:val="bottom"/>
            <w:hideMark/>
          </w:tcPr>
          <w:p w14:paraId="66710A29"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86.78452</w:t>
            </w:r>
          </w:p>
        </w:tc>
        <w:tc>
          <w:tcPr>
            <w:tcW w:w="335" w:type="pct"/>
            <w:tcBorders>
              <w:top w:val="nil"/>
              <w:left w:val="nil"/>
              <w:bottom w:val="nil"/>
              <w:right w:val="nil"/>
            </w:tcBorders>
            <w:noWrap/>
            <w:vAlign w:val="bottom"/>
            <w:hideMark/>
          </w:tcPr>
          <w:p w14:paraId="199FB4D1"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76.45091</w:t>
            </w:r>
          </w:p>
        </w:tc>
        <w:tc>
          <w:tcPr>
            <w:tcW w:w="345" w:type="pct"/>
            <w:tcBorders>
              <w:top w:val="nil"/>
              <w:left w:val="nil"/>
              <w:bottom w:val="nil"/>
              <w:right w:val="nil"/>
            </w:tcBorders>
            <w:noWrap/>
            <w:vAlign w:val="bottom"/>
            <w:hideMark/>
          </w:tcPr>
          <w:p w14:paraId="1EE87B50"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94.76727</w:t>
            </w:r>
          </w:p>
        </w:tc>
        <w:tc>
          <w:tcPr>
            <w:tcW w:w="333" w:type="pct"/>
            <w:tcBorders>
              <w:top w:val="nil"/>
              <w:left w:val="nil"/>
              <w:bottom w:val="nil"/>
              <w:right w:val="nil"/>
            </w:tcBorders>
            <w:noWrap/>
            <w:vAlign w:val="bottom"/>
            <w:hideMark/>
          </w:tcPr>
          <w:p w14:paraId="57CF672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0.106433</w:t>
            </w:r>
          </w:p>
        </w:tc>
        <w:tc>
          <w:tcPr>
            <w:tcW w:w="351" w:type="pct"/>
            <w:tcBorders>
              <w:top w:val="nil"/>
              <w:left w:val="nil"/>
              <w:bottom w:val="nil"/>
              <w:right w:val="nil"/>
            </w:tcBorders>
            <w:noWrap/>
            <w:vAlign w:val="bottom"/>
            <w:hideMark/>
          </w:tcPr>
          <w:p w14:paraId="4AB6359D"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0.093759</w:t>
            </w:r>
          </w:p>
        </w:tc>
        <w:tc>
          <w:tcPr>
            <w:tcW w:w="362" w:type="pct"/>
            <w:tcBorders>
              <w:top w:val="nil"/>
              <w:left w:val="nil"/>
              <w:bottom w:val="nil"/>
              <w:right w:val="nil"/>
            </w:tcBorders>
            <w:noWrap/>
            <w:vAlign w:val="bottom"/>
            <w:hideMark/>
          </w:tcPr>
          <w:p w14:paraId="4B33A31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0.116223</w:t>
            </w:r>
          </w:p>
        </w:tc>
        <w:tc>
          <w:tcPr>
            <w:tcW w:w="325" w:type="pct"/>
            <w:tcBorders>
              <w:top w:val="nil"/>
              <w:left w:val="nil"/>
              <w:bottom w:val="nil"/>
              <w:right w:val="nil"/>
            </w:tcBorders>
            <w:noWrap/>
            <w:vAlign w:val="bottom"/>
            <w:hideMark/>
          </w:tcPr>
          <w:p w14:paraId="1703DDFB"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0.372514</w:t>
            </w:r>
          </w:p>
        </w:tc>
        <w:tc>
          <w:tcPr>
            <w:tcW w:w="343" w:type="pct"/>
            <w:tcBorders>
              <w:top w:val="nil"/>
              <w:left w:val="nil"/>
              <w:bottom w:val="nil"/>
              <w:right w:val="nil"/>
            </w:tcBorders>
            <w:noWrap/>
            <w:vAlign w:val="bottom"/>
            <w:hideMark/>
          </w:tcPr>
          <w:p w14:paraId="0A67A401"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0.328158</w:t>
            </w:r>
          </w:p>
        </w:tc>
        <w:tc>
          <w:tcPr>
            <w:tcW w:w="353" w:type="pct"/>
            <w:tcBorders>
              <w:top w:val="nil"/>
              <w:left w:val="nil"/>
              <w:bottom w:val="nil"/>
              <w:right w:val="nil"/>
            </w:tcBorders>
            <w:noWrap/>
            <w:vAlign w:val="bottom"/>
            <w:hideMark/>
          </w:tcPr>
          <w:p w14:paraId="450B6838"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0.406779</w:t>
            </w:r>
          </w:p>
        </w:tc>
        <w:tc>
          <w:tcPr>
            <w:tcW w:w="171" w:type="pct"/>
            <w:tcBorders>
              <w:top w:val="nil"/>
              <w:left w:val="nil"/>
              <w:bottom w:val="nil"/>
              <w:right w:val="nil"/>
            </w:tcBorders>
            <w:noWrap/>
            <w:vAlign w:val="bottom"/>
            <w:hideMark/>
          </w:tcPr>
          <w:p w14:paraId="61AA0C7A" w14:textId="77777777" w:rsidR="00A707E7" w:rsidRPr="00A707E7" w:rsidRDefault="00A707E7" w:rsidP="00A707E7">
            <w:pPr>
              <w:spacing w:after="0" w:line="240" w:lineRule="auto"/>
              <w:jc w:val="right"/>
              <w:rPr>
                <w:rFonts w:ascii="Calibri" w:eastAsia="Times New Roman" w:hAnsi="Calibri" w:cs="Calibri"/>
                <w:color w:val="000000"/>
              </w:rPr>
            </w:pPr>
          </w:p>
        </w:tc>
      </w:tr>
      <w:tr w:rsidR="00A707E7" w:rsidRPr="00A707E7" w14:paraId="20F88DE8" w14:textId="77777777" w:rsidTr="00A707E7">
        <w:trPr>
          <w:trHeight w:val="300"/>
        </w:trPr>
        <w:tc>
          <w:tcPr>
            <w:tcW w:w="307" w:type="pct"/>
            <w:tcBorders>
              <w:top w:val="nil"/>
              <w:left w:val="nil"/>
              <w:bottom w:val="nil"/>
              <w:right w:val="nil"/>
            </w:tcBorders>
            <w:noWrap/>
            <w:vAlign w:val="bottom"/>
            <w:hideMark/>
          </w:tcPr>
          <w:p w14:paraId="420FD998" w14:textId="77777777" w:rsidR="00A707E7" w:rsidRPr="00A707E7" w:rsidRDefault="00A707E7" w:rsidP="00A707E7">
            <w:pPr>
              <w:spacing w:after="0" w:line="240" w:lineRule="auto"/>
              <w:rPr>
                <w:rFonts w:ascii="Calibri" w:eastAsia="Times New Roman" w:hAnsi="Calibri" w:cs="Calibri"/>
                <w:color w:val="000000"/>
              </w:rPr>
            </w:pPr>
            <w:proofErr w:type="spellStart"/>
            <w:r w:rsidRPr="00A707E7">
              <w:rPr>
                <w:rFonts w:ascii="Calibri" w:eastAsia="Times New Roman" w:hAnsi="Calibri" w:cs="Calibri"/>
                <w:color w:val="000000"/>
              </w:rPr>
              <w:t>Ozoro</w:t>
            </w:r>
            <w:proofErr w:type="spellEnd"/>
            <w:r w:rsidRPr="00A707E7">
              <w:rPr>
                <w:rFonts w:ascii="Calibri" w:eastAsia="Times New Roman" w:hAnsi="Calibri" w:cs="Calibri"/>
                <w:color w:val="000000"/>
              </w:rPr>
              <w:t xml:space="preserve"> - Hospital</w:t>
            </w:r>
          </w:p>
        </w:tc>
        <w:tc>
          <w:tcPr>
            <w:tcW w:w="171" w:type="pct"/>
            <w:tcBorders>
              <w:top w:val="nil"/>
              <w:left w:val="nil"/>
              <w:bottom w:val="nil"/>
              <w:right w:val="nil"/>
            </w:tcBorders>
            <w:noWrap/>
            <w:vAlign w:val="bottom"/>
            <w:hideMark/>
          </w:tcPr>
          <w:p w14:paraId="751B638C"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7</w:t>
            </w:r>
          </w:p>
        </w:tc>
        <w:tc>
          <w:tcPr>
            <w:tcW w:w="204" w:type="pct"/>
            <w:tcBorders>
              <w:top w:val="nil"/>
              <w:left w:val="nil"/>
              <w:bottom w:val="nil"/>
              <w:right w:val="nil"/>
            </w:tcBorders>
            <w:noWrap/>
            <w:vAlign w:val="bottom"/>
            <w:hideMark/>
          </w:tcPr>
          <w:p w14:paraId="36C6EF11"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0.009143</w:t>
            </w:r>
          </w:p>
        </w:tc>
        <w:tc>
          <w:tcPr>
            <w:tcW w:w="187" w:type="pct"/>
            <w:tcBorders>
              <w:top w:val="nil"/>
              <w:left w:val="nil"/>
              <w:bottom w:val="nil"/>
              <w:right w:val="nil"/>
            </w:tcBorders>
            <w:noWrap/>
            <w:vAlign w:val="bottom"/>
            <w:hideMark/>
          </w:tcPr>
          <w:p w14:paraId="08CE26BC"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0.00069</w:t>
            </w:r>
          </w:p>
        </w:tc>
        <w:tc>
          <w:tcPr>
            <w:tcW w:w="301" w:type="pct"/>
            <w:tcBorders>
              <w:top w:val="nil"/>
              <w:left w:val="nil"/>
              <w:bottom w:val="nil"/>
              <w:right w:val="nil"/>
            </w:tcBorders>
            <w:noWrap/>
            <w:vAlign w:val="bottom"/>
            <w:hideMark/>
          </w:tcPr>
          <w:p w14:paraId="67B0BFA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0.009138</w:t>
            </w:r>
          </w:p>
        </w:tc>
        <w:tc>
          <w:tcPr>
            <w:tcW w:w="287" w:type="pct"/>
            <w:tcBorders>
              <w:top w:val="nil"/>
              <w:left w:val="nil"/>
              <w:bottom w:val="nil"/>
              <w:right w:val="nil"/>
            </w:tcBorders>
            <w:noWrap/>
            <w:vAlign w:val="bottom"/>
            <w:hideMark/>
          </w:tcPr>
          <w:p w14:paraId="02B657B2"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0.008714</w:t>
            </w:r>
          </w:p>
        </w:tc>
        <w:tc>
          <w:tcPr>
            <w:tcW w:w="307" w:type="pct"/>
            <w:tcBorders>
              <w:top w:val="nil"/>
              <w:left w:val="nil"/>
              <w:bottom w:val="nil"/>
              <w:right w:val="nil"/>
            </w:tcBorders>
            <w:noWrap/>
            <w:vAlign w:val="bottom"/>
            <w:hideMark/>
          </w:tcPr>
          <w:p w14:paraId="284F0734"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0.009571</w:t>
            </w:r>
          </w:p>
        </w:tc>
        <w:tc>
          <w:tcPr>
            <w:tcW w:w="317" w:type="pct"/>
            <w:tcBorders>
              <w:top w:val="nil"/>
              <w:left w:val="nil"/>
              <w:bottom w:val="nil"/>
              <w:right w:val="nil"/>
            </w:tcBorders>
            <w:noWrap/>
            <w:vAlign w:val="bottom"/>
            <w:hideMark/>
          </w:tcPr>
          <w:p w14:paraId="7AD430ED"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80.04688</w:t>
            </w:r>
          </w:p>
        </w:tc>
        <w:tc>
          <w:tcPr>
            <w:tcW w:w="335" w:type="pct"/>
            <w:tcBorders>
              <w:top w:val="nil"/>
              <w:left w:val="nil"/>
              <w:bottom w:val="nil"/>
              <w:right w:val="nil"/>
            </w:tcBorders>
            <w:noWrap/>
            <w:vAlign w:val="bottom"/>
            <w:hideMark/>
          </w:tcPr>
          <w:p w14:paraId="3965FF8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72.58286</w:t>
            </w:r>
          </w:p>
        </w:tc>
        <w:tc>
          <w:tcPr>
            <w:tcW w:w="345" w:type="pct"/>
            <w:tcBorders>
              <w:top w:val="nil"/>
              <w:left w:val="nil"/>
              <w:bottom w:val="nil"/>
              <w:right w:val="nil"/>
            </w:tcBorders>
            <w:noWrap/>
            <w:vAlign w:val="bottom"/>
            <w:hideMark/>
          </w:tcPr>
          <w:p w14:paraId="19092C5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86.34857</w:t>
            </w:r>
          </w:p>
        </w:tc>
        <w:tc>
          <w:tcPr>
            <w:tcW w:w="333" w:type="pct"/>
            <w:tcBorders>
              <w:top w:val="nil"/>
              <w:left w:val="nil"/>
              <w:bottom w:val="nil"/>
              <w:right w:val="nil"/>
            </w:tcBorders>
            <w:noWrap/>
            <w:vAlign w:val="bottom"/>
            <w:hideMark/>
          </w:tcPr>
          <w:p w14:paraId="0FF621C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0.098169</w:t>
            </w:r>
          </w:p>
        </w:tc>
        <w:tc>
          <w:tcPr>
            <w:tcW w:w="351" w:type="pct"/>
            <w:tcBorders>
              <w:top w:val="nil"/>
              <w:left w:val="nil"/>
              <w:bottom w:val="nil"/>
              <w:right w:val="nil"/>
            </w:tcBorders>
            <w:noWrap/>
            <w:vAlign w:val="bottom"/>
            <w:hideMark/>
          </w:tcPr>
          <w:p w14:paraId="707B9168"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0.089016</w:t>
            </w:r>
          </w:p>
        </w:tc>
        <w:tc>
          <w:tcPr>
            <w:tcW w:w="362" w:type="pct"/>
            <w:tcBorders>
              <w:top w:val="nil"/>
              <w:left w:val="nil"/>
              <w:bottom w:val="nil"/>
              <w:right w:val="nil"/>
            </w:tcBorders>
            <w:noWrap/>
            <w:vAlign w:val="bottom"/>
            <w:hideMark/>
          </w:tcPr>
          <w:p w14:paraId="4F863E1D"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0.105898</w:t>
            </w:r>
          </w:p>
        </w:tc>
        <w:tc>
          <w:tcPr>
            <w:tcW w:w="325" w:type="pct"/>
            <w:tcBorders>
              <w:top w:val="nil"/>
              <w:left w:val="nil"/>
              <w:bottom w:val="nil"/>
              <w:right w:val="nil"/>
            </w:tcBorders>
            <w:noWrap/>
            <w:vAlign w:val="bottom"/>
            <w:hideMark/>
          </w:tcPr>
          <w:p w14:paraId="6C09B7C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0.343593</w:t>
            </w:r>
          </w:p>
        </w:tc>
        <w:tc>
          <w:tcPr>
            <w:tcW w:w="343" w:type="pct"/>
            <w:tcBorders>
              <w:top w:val="nil"/>
              <w:left w:val="nil"/>
              <w:bottom w:val="nil"/>
              <w:right w:val="nil"/>
            </w:tcBorders>
            <w:noWrap/>
            <w:vAlign w:val="bottom"/>
            <w:hideMark/>
          </w:tcPr>
          <w:p w14:paraId="4BDC0D95"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0.311555</w:t>
            </w:r>
          </w:p>
        </w:tc>
        <w:tc>
          <w:tcPr>
            <w:tcW w:w="353" w:type="pct"/>
            <w:tcBorders>
              <w:top w:val="nil"/>
              <w:left w:val="nil"/>
              <w:bottom w:val="nil"/>
              <w:right w:val="nil"/>
            </w:tcBorders>
            <w:noWrap/>
            <w:vAlign w:val="bottom"/>
            <w:hideMark/>
          </w:tcPr>
          <w:p w14:paraId="5401E14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0.370643</w:t>
            </w:r>
          </w:p>
        </w:tc>
        <w:tc>
          <w:tcPr>
            <w:tcW w:w="171" w:type="pct"/>
            <w:tcBorders>
              <w:top w:val="nil"/>
              <w:left w:val="nil"/>
              <w:bottom w:val="nil"/>
              <w:right w:val="nil"/>
            </w:tcBorders>
            <w:noWrap/>
            <w:vAlign w:val="bottom"/>
            <w:hideMark/>
          </w:tcPr>
          <w:p w14:paraId="672C1398" w14:textId="77777777" w:rsidR="00A707E7" w:rsidRPr="00A707E7" w:rsidRDefault="00A707E7" w:rsidP="00A707E7">
            <w:pPr>
              <w:spacing w:after="0" w:line="240" w:lineRule="auto"/>
              <w:jc w:val="right"/>
              <w:rPr>
                <w:rFonts w:ascii="Calibri" w:eastAsia="Times New Roman" w:hAnsi="Calibri" w:cs="Calibri"/>
                <w:color w:val="000000"/>
              </w:rPr>
            </w:pPr>
          </w:p>
        </w:tc>
      </w:tr>
      <w:tr w:rsidR="00A707E7" w:rsidRPr="00A707E7" w14:paraId="7F417851" w14:textId="77777777" w:rsidTr="00A707E7">
        <w:trPr>
          <w:trHeight w:val="300"/>
        </w:trPr>
        <w:tc>
          <w:tcPr>
            <w:tcW w:w="307" w:type="pct"/>
            <w:tcBorders>
              <w:top w:val="nil"/>
              <w:left w:val="nil"/>
              <w:bottom w:val="nil"/>
              <w:right w:val="nil"/>
            </w:tcBorders>
            <w:noWrap/>
            <w:vAlign w:val="bottom"/>
            <w:hideMark/>
          </w:tcPr>
          <w:p w14:paraId="7A68AF08" w14:textId="77777777" w:rsidR="00A707E7" w:rsidRPr="00A707E7" w:rsidRDefault="00A707E7" w:rsidP="00A707E7">
            <w:pPr>
              <w:spacing w:after="0" w:line="240" w:lineRule="auto"/>
              <w:rPr>
                <w:rFonts w:ascii="Calibri" w:eastAsia="Times New Roman" w:hAnsi="Calibri" w:cs="Calibri"/>
                <w:color w:val="000000"/>
              </w:rPr>
            </w:pPr>
            <w:proofErr w:type="spellStart"/>
            <w:r w:rsidRPr="00A707E7">
              <w:rPr>
                <w:rFonts w:ascii="Calibri" w:eastAsia="Times New Roman" w:hAnsi="Calibri" w:cs="Calibri"/>
                <w:color w:val="000000"/>
              </w:rPr>
              <w:t>Ozoro</w:t>
            </w:r>
            <w:proofErr w:type="spellEnd"/>
            <w:r w:rsidRPr="00A707E7">
              <w:rPr>
                <w:rFonts w:ascii="Calibri" w:eastAsia="Times New Roman" w:hAnsi="Calibri" w:cs="Calibri"/>
                <w:color w:val="000000"/>
              </w:rPr>
              <w:t xml:space="preserve"> - Campus</w:t>
            </w:r>
          </w:p>
        </w:tc>
        <w:tc>
          <w:tcPr>
            <w:tcW w:w="171" w:type="pct"/>
            <w:tcBorders>
              <w:top w:val="nil"/>
              <w:left w:val="nil"/>
              <w:bottom w:val="nil"/>
              <w:right w:val="nil"/>
            </w:tcBorders>
            <w:noWrap/>
            <w:vAlign w:val="bottom"/>
            <w:hideMark/>
          </w:tcPr>
          <w:p w14:paraId="1D0FB720"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7</w:t>
            </w:r>
          </w:p>
        </w:tc>
        <w:tc>
          <w:tcPr>
            <w:tcW w:w="204" w:type="pct"/>
            <w:tcBorders>
              <w:top w:val="nil"/>
              <w:left w:val="nil"/>
              <w:bottom w:val="nil"/>
              <w:right w:val="nil"/>
            </w:tcBorders>
            <w:noWrap/>
            <w:vAlign w:val="bottom"/>
            <w:hideMark/>
          </w:tcPr>
          <w:p w14:paraId="7EF10BC8"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0.009714</w:t>
            </w:r>
          </w:p>
        </w:tc>
        <w:tc>
          <w:tcPr>
            <w:tcW w:w="187" w:type="pct"/>
            <w:tcBorders>
              <w:top w:val="nil"/>
              <w:left w:val="nil"/>
              <w:bottom w:val="nil"/>
              <w:right w:val="nil"/>
            </w:tcBorders>
            <w:noWrap/>
            <w:vAlign w:val="bottom"/>
            <w:hideMark/>
          </w:tcPr>
          <w:p w14:paraId="005DEA9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0.001496</w:t>
            </w:r>
          </w:p>
        </w:tc>
        <w:tc>
          <w:tcPr>
            <w:tcW w:w="301" w:type="pct"/>
            <w:tcBorders>
              <w:top w:val="nil"/>
              <w:left w:val="nil"/>
              <w:bottom w:val="nil"/>
              <w:right w:val="nil"/>
            </w:tcBorders>
            <w:noWrap/>
            <w:vAlign w:val="bottom"/>
            <w:hideMark/>
          </w:tcPr>
          <w:p w14:paraId="2DFDBBA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0.009692</w:t>
            </w:r>
          </w:p>
        </w:tc>
        <w:tc>
          <w:tcPr>
            <w:tcW w:w="287" w:type="pct"/>
            <w:tcBorders>
              <w:top w:val="nil"/>
              <w:left w:val="nil"/>
              <w:bottom w:val="nil"/>
              <w:right w:val="nil"/>
            </w:tcBorders>
            <w:noWrap/>
            <w:vAlign w:val="bottom"/>
            <w:hideMark/>
          </w:tcPr>
          <w:p w14:paraId="7A141DB3"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0.008714</w:t>
            </w:r>
          </w:p>
        </w:tc>
        <w:tc>
          <w:tcPr>
            <w:tcW w:w="307" w:type="pct"/>
            <w:tcBorders>
              <w:top w:val="nil"/>
              <w:left w:val="nil"/>
              <w:bottom w:val="nil"/>
              <w:right w:val="nil"/>
            </w:tcBorders>
            <w:noWrap/>
            <w:vAlign w:val="bottom"/>
            <w:hideMark/>
          </w:tcPr>
          <w:p w14:paraId="70C4612C"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0.010714</w:t>
            </w:r>
          </w:p>
        </w:tc>
        <w:tc>
          <w:tcPr>
            <w:tcW w:w="317" w:type="pct"/>
            <w:tcBorders>
              <w:top w:val="nil"/>
              <w:left w:val="nil"/>
              <w:bottom w:val="nil"/>
              <w:right w:val="nil"/>
            </w:tcBorders>
            <w:noWrap/>
            <w:vAlign w:val="bottom"/>
            <w:hideMark/>
          </w:tcPr>
          <w:p w14:paraId="38D0CCA5"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84.89792</w:t>
            </w:r>
          </w:p>
        </w:tc>
        <w:tc>
          <w:tcPr>
            <w:tcW w:w="335" w:type="pct"/>
            <w:tcBorders>
              <w:top w:val="nil"/>
              <w:left w:val="nil"/>
              <w:bottom w:val="nil"/>
              <w:right w:val="nil"/>
            </w:tcBorders>
            <w:noWrap/>
            <w:vAlign w:val="bottom"/>
            <w:hideMark/>
          </w:tcPr>
          <w:p w14:paraId="3D47B2EE"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70.08</w:t>
            </w:r>
          </w:p>
        </w:tc>
        <w:tc>
          <w:tcPr>
            <w:tcW w:w="345" w:type="pct"/>
            <w:tcBorders>
              <w:top w:val="nil"/>
              <w:left w:val="nil"/>
              <w:bottom w:val="nil"/>
              <w:right w:val="nil"/>
            </w:tcBorders>
            <w:noWrap/>
            <w:vAlign w:val="bottom"/>
            <w:hideMark/>
          </w:tcPr>
          <w:p w14:paraId="02A817E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100.1143</w:t>
            </w:r>
          </w:p>
        </w:tc>
        <w:tc>
          <w:tcPr>
            <w:tcW w:w="333" w:type="pct"/>
            <w:tcBorders>
              <w:top w:val="nil"/>
              <w:left w:val="nil"/>
              <w:bottom w:val="nil"/>
              <w:right w:val="nil"/>
            </w:tcBorders>
            <w:noWrap/>
            <w:vAlign w:val="bottom"/>
            <w:hideMark/>
          </w:tcPr>
          <w:p w14:paraId="05A99851"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0.104119</w:t>
            </w:r>
          </w:p>
        </w:tc>
        <w:tc>
          <w:tcPr>
            <w:tcW w:w="351" w:type="pct"/>
            <w:tcBorders>
              <w:top w:val="nil"/>
              <w:left w:val="nil"/>
              <w:bottom w:val="nil"/>
              <w:right w:val="nil"/>
            </w:tcBorders>
            <w:noWrap/>
            <w:vAlign w:val="bottom"/>
            <w:hideMark/>
          </w:tcPr>
          <w:p w14:paraId="5645130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0.085946</w:t>
            </w:r>
          </w:p>
        </w:tc>
        <w:tc>
          <w:tcPr>
            <w:tcW w:w="362" w:type="pct"/>
            <w:tcBorders>
              <w:top w:val="nil"/>
              <w:left w:val="nil"/>
              <w:bottom w:val="nil"/>
              <w:right w:val="nil"/>
            </w:tcBorders>
            <w:noWrap/>
            <w:vAlign w:val="bottom"/>
            <w:hideMark/>
          </w:tcPr>
          <w:p w14:paraId="32F7B579"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0.12278</w:t>
            </w:r>
          </w:p>
        </w:tc>
        <w:tc>
          <w:tcPr>
            <w:tcW w:w="325" w:type="pct"/>
            <w:tcBorders>
              <w:top w:val="nil"/>
              <w:left w:val="nil"/>
              <w:bottom w:val="nil"/>
              <w:right w:val="nil"/>
            </w:tcBorders>
            <w:noWrap/>
            <w:vAlign w:val="bottom"/>
            <w:hideMark/>
          </w:tcPr>
          <w:p w14:paraId="63F9A784"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0.364416</w:t>
            </w:r>
          </w:p>
        </w:tc>
        <w:tc>
          <w:tcPr>
            <w:tcW w:w="343" w:type="pct"/>
            <w:tcBorders>
              <w:top w:val="nil"/>
              <w:left w:val="nil"/>
              <w:bottom w:val="nil"/>
              <w:right w:val="nil"/>
            </w:tcBorders>
            <w:noWrap/>
            <w:vAlign w:val="bottom"/>
            <w:hideMark/>
          </w:tcPr>
          <w:p w14:paraId="7B9C5482"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0.300811</w:t>
            </w:r>
          </w:p>
        </w:tc>
        <w:tc>
          <w:tcPr>
            <w:tcW w:w="353" w:type="pct"/>
            <w:tcBorders>
              <w:top w:val="nil"/>
              <w:left w:val="nil"/>
              <w:bottom w:val="nil"/>
              <w:right w:val="nil"/>
            </w:tcBorders>
            <w:noWrap/>
            <w:vAlign w:val="bottom"/>
            <w:hideMark/>
          </w:tcPr>
          <w:p w14:paraId="3762EC19"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0.429731</w:t>
            </w:r>
          </w:p>
        </w:tc>
        <w:tc>
          <w:tcPr>
            <w:tcW w:w="171" w:type="pct"/>
            <w:tcBorders>
              <w:top w:val="nil"/>
              <w:left w:val="nil"/>
              <w:bottom w:val="nil"/>
              <w:right w:val="nil"/>
            </w:tcBorders>
            <w:noWrap/>
            <w:vAlign w:val="bottom"/>
            <w:hideMark/>
          </w:tcPr>
          <w:p w14:paraId="69085212" w14:textId="77777777" w:rsidR="00A707E7" w:rsidRPr="00A707E7" w:rsidRDefault="00A707E7" w:rsidP="00A707E7">
            <w:pPr>
              <w:spacing w:after="0" w:line="240" w:lineRule="auto"/>
              <w:jc w:val="right"/>
              <w:rPr>
                <w:rFonts w:ascii="Calibri" w:eastAsia="Times New Roman" w:hAnsi="Calibri" w:cs="Calibri"/>
                <w:color w:val="000000"/>
              </w:rPr>
            </w:pPr>
          </w:p>
        </w:tc>
      </w:tr>
      <w:tr w:rsidR="00A707E7" w:rsidRPr="00A707E7" w14:paraId="1B6C9C20" w14:textId="77777777" w:rsidTr="00A707E7">
        <w:trPr>
          <w:trHeight w:val="300"/>
        </w:trPr>
        <w:tc>
          <w:tcPr>
            <w:tcW w:w="307" w:type="pct"/>
            <w:tcBorders>
              <w:top w:val="nil"/>
              <w:left w:val="nil"/>
              <w:bottom w:val="nil"/>
              <w:right w:val="nil"/>
            </w:tcBorders>
            <w:noWrap/>
            <w:vAlign w:val="bottom"/>
            <w:hideMark/>
          </w:tcPr>
          <w:p w14:paraId="0DB1BE54" w14:textId="77777777" w:rsidR="00A707E7" w:rsidRPr="00A707E7" w:rsidRDefault="00A707E7" w:rsidP="00A707E7">
            <w:pPr>
              <w:spacing w:after="0" w:line="240" w:lineRule="auto"/>
              <w:rPr>
                <w:rFonts w:ascii="Calibri" w:eastAsia="Times New Roman" w:hAnsi="Calibri" w:cs="Calibri"/>
                <w:color w:val="000000"/>
              </w:rPr>
            </w:pPr>
            <w:proofErr w:type="spellStart"/>
            <w:r w:rsidRPr="00A707E7">
              <w:rPr>
                <w:rFonts w:ascii="Calibri" w:eastAsia="Times New Roman" w:hAnsi="Calibri" w:cs="Calibri"/>
                <w:color w:val="000000"/>
              </w:rPr>
              <w:t>Ozoro</w:t>
            </w:r>
            <w:proofErr w:type="spellEnd"/>
            <w:r w:rsidRPr="00A707E7">
              <w:rPr>
                <w:rFonts w:ascii="Calibri" w:eastAsia="Times New Roman" w:hAnsi="Calibri" w:cs="Calibri"/>
                <w:color w:val="000000"/>
              </w:rPr>
              <w:t xml:space="preserve"> - Residential</w:t>
            </w:r>
          </w:p>
        </w:tc>
        <w:tc>
          <w:tcPr>
            <w:tcW w:w="171" w:type="pct"/>
            <w:tcBorders>
              <w:top w:val="nil"/>
              <w:left w:val="nil"/>
              <w:bottom w:val="nil"/>
              <w:right w:val="nil"/>
            </w:tcBorders>
            <w:noWrap/>
            <w:vAlign w:val="bottom"/>
            <w:hideMark/>
          </w:tcPr>
          <w:p w14:paraId="76DF5C94"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7</w:t>
            </w:r>
          </w:p>
        </w:tc>
        <w:tc>
          <w:tcPr>
            <w:tcW w:w="204" w:type="pct"/>
            <w:tcBorders>
              <w:top w:val="nil"/>
              <w:left w:val="nil"/>
              <w:bottom w:val="nil"/>
              <w:right w:val="nil"/>
            </w:tcBorders>
            <w:noWrap/>
            <w:vAlign w:val="bottom"/>
            <w:hideMark/>
          </w:tcPr>
          <w:p w14:paraId="71EF7F3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0.010571</w:t>
            </w:r>
          </w:p>
        </w:tc>
        <w:tc>
          <w:tcPr>
            <w:tcW w:w="187" w:type="pct"/>
            <w:tcBorders>
              <w:top w:val="nil"/>
              <w:left w:val="nil"/>
              <w:bottom w:val="nil"/>
              <w:right w:val="nil"/>
            </w:tcBorders>
            <w:noWrap/>
            <w:vAlign w:val="bottom"/>
            <w:hideMark/>
          </w:tcPr>
          <w:p w14:paraId="0BF05F17"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0.001272</w:t>
            </w:r>
          </w:p>
        </w:tc>
        <w:tc>
          <w:tcPr>
            <w:tcW w:w="301" w:type="pct"/>
            <w:tcBorders>
              <w:top w:val="nil"/>
              <w:left w:val="nil"/>
              <w:bottom w:val="nil"/>
              <w:right w:val="nil"/>
            </w:tcBorders>
            <w:noWrap/>
            <w:vAlign w:val="bottom"/>
            <w:hideMark/>
          </w:tcPr>
          <w:p w14:paraId="1F7C9D72"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0.010595</w:t>
            </w:r>
          </w:p>
        </w:tc>
        <w:tc>
          <w:tcPr>
            <w:tcW w:w="287" w:type="pct"/>
            <w:tcBorders>
              <w:top w:val="nil"/>
              <w:left w:val="nil"/>
              <w:bottom w:val="nil"/>
              <w:right w:val="nil"/>
            </w:tcBorders>
            <w:noWrap/>
            <w:vAlign w:val="bottom"/>
            <w:hideMark/>
          </w:tcPr>
          <w:p w14:paraId="0AB0D8B6"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0.009857</w:t>
            </w:r>
          </w:p>
        </w:tc>
        <w:tc>
          <w:tcPr>
            <w:tcW w:w="307" w:type="pct"/>
            <w:tcBorders>
              <w:top w:val="nil"/>
              <w:left w:val="nil"/>
              <w:bottom w:val="nil"/>
              <w:right w:val="nil"/>
            </w:tcBorders>
            <w:noWrap/>
            <w:vAlign w:val="bottom"/>
            <w:hideMark/>
          </w:tcPr>
          <w:p w14:paraId="3D767DBB"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0.011571</w:t>
            </w:r>
          </w:p>
        </w:tc>
        <w:tc>
          <w:tcPr>
            <w:tcW w:w="317" w:type="pct"/>
            <w:tcBorders>
              <w:top w:val="nil"/>
              <w:left w:val="nil"/>
              <w:bottom w:val="nil"/>
              <w:right w:val="nil"/>
            </w:tcBorders>
            <w:noWrap/>
            <w:vAlign w:val="bottom"/>
            <w:hideMark/>
          </w:tcPr>
          <w:p w14:paraId="05C250F2"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92.8107</w:t>
            </w:r>
          </w:p>
        </w:tc>
        <w:tc>
          <w:tcPr>
            <w:tcW w:w="335" w:type="pct"/>
            <w:tcBorders>
              <w:top w:val="nil"/>
              <w:left w:val="nil"/>
              <w:bottom w:val="nil"/>
              <w:right w:val="nil"/>
            </w:tcBorders>
            <w:noWrap/>
            <w:vAlign w:val="bottom"/>
            <w:hideMark/>
          </w:tcPr>
          <w:p w14:paraId="0AA7F782"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81.34286</w:t>
            </w:r>
          </w:p>
        </w:tc>
        <w:tc>
          <w:tcPr>
            <w:tcW w:w="345" w:type="pct"/>
            <w:tcBorders>
              <w:top w:val="nil"/>
              <w:left w:val="nil"/>
              <w:bottom w:val="nil"/>
              <w:right w:val="nil"/>
            </w:tcBorders>
            <w:noWrap/>
            <w:vAlign w:val="bottom"/>
            <w:hideMark/>
          </w:tcPr>
          <w:p w14:paraId="68CEF46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108.8743</w:t>
            </w:r>
          </w:p>
        </w:tc>
        <w:tc>
          <w:tcPr>
            <w:tcW w:w="333" w:type="pct"/>
            <w:tcBorders>
              <w:top w:val="nil"/>
              <w:left w:val="nil"/>
              <w:bottom w:val="nil"/>
              <w:right w:val="nil"/>
            </w:tcBorders>
            <w:noWrap/>
            <w:vAlign w:val="bottom"/>
            <w:hideMark/>
          </w:tcPr>
          <w:p w14:paraId="66837D91"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0.113823</w:t>
            </w:r>
          </w:p>
        </w:tc>
        <w:tc>
          <w:tcPr>
            <w:tcW w:w="351" w:type="pct"/>
            <w:tcBorders>
              <w:top w:val="nil"/>
              <w:left w:val="nil"/>
              <w:bottom w:val="nil"/>
              <w:right w:val="nil"/>
            </w:tcBorders>
            <w:noWrap/>
            <w:vAlign w:val="bottom"/>
            <w:hideMark/>
          </w:tcPr>
          <w:p w14:paraId="5D751591"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0.099759</w:t>
            </w:r>
          </w:p>
        </w:tc>
        <w:tc>
          <w:tcPr>
            <w:tcW w:w="362" w:type="pct"/>
            <w:tcBorders>
              <w:top w:val="nil"/>
              <w:left w:val="nil"/>
              <w:bottom w:val="nil"/>
              <w:right w:val="nil"/>
            </w:tcBorders>
            <w:noWrap/>
            <w:vAlign w:val="bottom"/>
            <w:hideMark/>
          </w:tcPr>
          <w:p w14:paraId="6FC9391C"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0.133523</w:t>
            </w:r>
          </w:p>
        </w:tc>
        <w:tc>
          <w:tcPr>
            <w:tcW w:w="325" w:type="pct"/>
            <w:tcBorders>
              <w:top w:val="nil"/>
              <w:left w:val="nil"/>
              <w:bottom w:val="nil"/>
              <w:right w:val="nil"/>
            </w:tcBorders>
            <w:noWrap/>
            <w:vAlign w:val="bottom"/>
            <w:hideMark/>
          </w:tcPr>
          <w:p w14:paraId="15A0D46C"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0.398381</w:t>
            </w:r>
          </w:p>
        </w:tc>
        <w:tc>
          <w:tcPr>
            <w:tcW w:w="343" w:type="pct"/>
            <w:tcBorders>
              <w:top w:val="nil"/>
              <w:left w:val="nil"/>
              <w:bottom w:val="nil"/>
              <w:right w:val="nil"/>
            </w:tcBorders>
            <w:noWrap/>
            <w:vAlign w:val="bottom"/>
            <w:hideMark/>
          </w:tcPr>
          <w:p w14:paraId="5601E06A"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0.349156</w:t>
            </w:r>
          </w:p>
        </w:tc>
        <w:tc>
          <w:tcPr>
            <w:tcW w:w="353" w:type="pct"/>
            <w:tcBorders>
              <w:top w:val="nil"/>
              <w:left w:val="nil"/>
              <w:bottom w:val="nil"/>
              <w:right w:val="nil"/>
            </w:tcBorders>
            <w:noWrap/>
            <w:vAlign w:val="bottom"/>
            <w:hideMark/>
          </w:tcPr>
          <w:p w14:paraId="210B30A8" w14:textId="77777777" w:rsidR="00A707E7" w:rsidRPr="00A707E7" w:rsidRDefault="00A707E7" w:rsidP="00A707E7">
            <w:pPr>
              <w:spacing w:after="0" w:line="240" w:lineRule="auto"/>
              <w:jc w:val="right"/>
              <w:rPr>
                <w:rFonts w:ascii="Calibri" w:eastAsia="Times New Roman" w:hAnsi="Calibri" w:cs="Calibri"/>
                <w:color w:val="000000"/>
              </w:rPr>
            </w:pPr>
            <w:r w:rsidRPr="00A707E7">
              <w:rPr>
                <w:rFonts w:ascii="Calibri" w:eastAsia="Times New Roman" w:hAnsi="Calibri" w:cs="Calibri"/>
                <w:color w:val="000000"/>
              </w:rPr>
              <w:t>0.467332</w:t>
            </w:r>
          </w:p>
        </w:tc>
        <w:tc>
          <w:tcPr>
            <w:tcW w:w="171" w:type="pct"/>
            <w:tcBorders>
              <w:top w:val="nil"/>
              <w:left w:val="nil"/>
              <w:bottom w:val="nil"/>
              <w:right w:val="nil"/>
            </w:tcBorders>
            <w:noWrap/>
            <w:vAlign w:val="bottom"/>
            <w:hideMark/>
          </w:tcPr>
          <w:p w14:paraId="455650F5" w14:textId="77777777" w:rsidR="00A707E7" w:rsidRPr="00A707E7" w:rsidRDefault="00A707E7" w:rsidP="00A707E7">
            <w:pPr>
              <w:spacing w:after="0" w:line="240" w:lineRule="auto"/>
              <w:jc w:val="right"/>
              <w:rPr>
                <w:rFonts w:ascii="Calibri" w:eastAsia="Times New Roman" w:hAnsi="Calibri" w:cs="Calibri"/>
                <w:color w:val="000000"/>
              </w:rPr>
            </w:pPr>
          </w:p>
        </w:tc>
      </w:tr>
    </w:tbl>
    <w:p w14:paraId="59247030" w14:textId="77777777" w:rsidR="00A707E7" w:rsidRDefault="00A707E7" w:rsidP="001475AC">
      <w:pPr>
        <w:spacing w:line="360" w:lineRule="auto"/>
        <w:jc w:val="both"/>
        <w:rPr>
          <w:rFonts w:ascii="Times New Roman" w:hAnsi="Times New Roman" w:cs="Times New Roman"/>
          <w:b/>
        </w:rPr>
        <w:sectPr w:rsidR="00A707E7" w:rsidSect="00A707E7">
          <w:pgSz w:w="15840" w:h="12240" w:orient="landscape"/>
          <w:pgMar w:top="1440" w:right="1440" w:bottom="1440" w:left="1440" w:header="720" w:footer="720" w:gutter="0"/>
          <w:cols w:space="720"/>
          <w:docGrid w:linePitch="360"/>
        </w:sectPr>
      </w:pPr>
    </w:p>
    <w:p w14:paraId="22856578" w14:textId="77777777" w:rsidR="00A707E7" w:rsidRPr="003D095B" w:rsidRDefault="00A707E7" w:rsidP="001475AC">
      <w:pPr>
        <w:spacing w:line="360" w:lineRule="auto"/>
        <w:jc w:val="both"/>
        <w:rPr>
          <w:rFonts w:ascii="Times New Roman" w:hAnsi="Times New Roman" w:cs="Times New Roman"/>
          <w:b/>
        </w:rPr>
      </w:pPr>
    </w:p>
    <w:sectPr w:rsidR="00A707E7" w:rsidRPr="003D09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3F1C3" w14:textId="77777777" w:rsidR="00217768" w:rsidRDefault="00217768" w:rsidP="00DA3FA1">
      <w:pPr>
        <w:spacing w:after="0" w:line="240" w:lineRule="auto"/>
      </w:pPr>
      <w:r>
        <w:separator/>
      </w:r>
    </w:p>
  </w:endnote>
  <w:endnote w:type="continuationSeparator" w:id="0">
    <w:p w14:paraId="321389A8" w14:textId="77777777" w:rsidR="00217768" w:rsidRDefault="00217768" w:rsidP="00DA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F8D08" w14:textId="77777777" w:rsidR="00DA3FA1" w:rsidRDefault="00DA3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1B93" w14:textId="77777777" w:rsidR="00DA3FA1" w:rsidRDefault="00DA3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53AD7" w14:textId="77777777" w:rsidR="00DA3FA1" w:rsidRDefault="00DA3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67079" w14:textId="77777777" w:rsidR="00217768" w:rsidRDefault="00217768" w:rsidP="00DA3FA1">
      <w:pPr>
        <w:spacing w:after="0" w:line="240" w:lineRule="auto"/>
      </w:pPr>
      <w:r>
        <w:separator/>
      </w:r>
    </w:p>
  </w:footnote>
  <w:footnote w:type="continuationSeparator" w:id="0">
    <w:p w14:paraId="74A15A51" w14:textId="77777777" w:rsidR="00217768" w:rsidRDefault="00217768" w:rsidP="00DA3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69D18" w14:textId="0BEFC924" w:rsidR="00DA3FA1" w:rsidRDefault="00DA3FA1">
    <w:pPr>
      <w:pStyle w:val="Header"/>
    </w:pPr>
    <w:r>
      <w:rPr>
        <w:noProof/>
      </w:rPr>
      <w:pict w14:anchorId="3BA03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09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C235" w14:textId="2A762B32" w:rsidR="00DA3FA1" w:rsidRDefault="00DA3FA1">
    <w:pPr>
      <w:pStyle w:val="Header"/>
    </w:pPr>
    <w:r>
      <w:rPr>
        <w:noProof/>
      </w:rPr>
      <w:pict w14:anchorId="4C030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09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8ED6" w14:textId="7DFE244F" w:rsidR="00DA3FA1" w:rsidRDefault="00DA3FA1">
    <w:pPr>
      <w:pStyle w:val="Header"/>
    </w:pPr>
    <w:r>
      <w:rPr>
        <w:noProof/>
      </w:rPr>
      <w:pict w14:anchorId="6E1A3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09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F51ED"/>
    <w:multiLevelType w:val="multilevel"/>
    <w:tmpl w:val="8AA2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212B9"/>
    <w:multiLevelType w:val="hybridMultilevel"/>
    <w:tmpl w:val="88F0FC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63050"/>
    <w:multiLevelType w:val="hybridMultilevel"/>
    <w:tmpl w:val="5470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wtzQxNTMyBDLNTJV0lIJTi4sz8/NACgxrAU/+9JssAAAA"/>
  </w:docVars>
  <w:rsids>
    <w:rsidRoot w:val="001E6601"/>
    <w:rsid w:val="00084EF1"/>
    <w:rsid w:val="000C1493"/>
    <w:rsid w:val="000E5774"/>
    <w:rsid w:val="0012543D"/>
    <w:rsid w:val="001475AC"/>
    <w:rsid w:val="001B484F"/>
    <w:rsid w:val="001C740B"/>
    <w:rsid w:val="001D3274"/>
    <w:rsid w:val="001E6601"/>
    <w:rsid w:val="00217768"/>
    <w:rsid w:val="002D2986"/>
    <w:rsid w:val="002F4BAA"/>
    <w:rsid w:val="00302521"/>
    <w:rsid w:val="0030655F"/>
    <w:rsid w:val="00347DB9"/>
    <w:rsid w:val="0036031E"/>
    <w:rsid w:val="003B631A"/>
    <w:rsid w:val="003B7928"/>
    <w:rsid w:val="003D095B"/>
    <w:rsid w:val="003E288A"/>
    <w:rsid w:val="00427469"/>
    <w:rsid w:val="004622B3"/>
    <w:rsid w:val="004D3F0A"/>
    <w:rsid w:val="00606961"/>
    <w:rsid w:val="00672EAA"/>
    <w:rsid w:val="00686CE5"/>
    <w:rsid w:val="006C222A"/>
    <w:rsid w:val="006D1645"/>
    <w:rsid w:val="006E1FEE"/>
    <w:rsid w:val="006E6DBD"/>
    <w:rsid w:val="007064DB"/>
    <w:rsid w:val="00707AB6"/>
    <w:rsid w:val="0077236F"/>
    <w:rsid w:val="007C39D9"/>
    <w:rsid w:val="007D1756"/>
    <w:rsid w:val="00800897"/>
    <w:rsid w:val="00806B74"/>
    <w:rsid w:val="00875A53"/>
    <w:rsid w:val="008F4862"/>
    <w:rsid w:val="009020F4"/>
    <w:rsid w:val="00911945"/>
    <w:rsid w:val="00930969"/>
    <w:rsid w:val="0096224A"/>
    <w:rsid w:val="00995B81"/>
    <w:rsid w:val="009E2F4F"/>
    <w:rsid w:val="00A2074A"/>
    <w:rsid w:val="00A707E7"/>
    <w:rsid w:val="00AE3995"/>
    <w:rsid w:val="00BB7782"/>
    <w:rsid w:val="00BD5BF2"/>
    <w:rsid w:val="00C123CD"/>
    <w:rsid w:val="00C14E98"/>
    <w:rsid w:val="00C263D0"/>
    <w:rsid w:val="00C5004E"/>
    <w:rsid w:val="00C80067"/>
    <w:rsid w:val="00CC67DB"/>
    <w:rsid w:val="00CD5D3F"/>
    <w:rsid w:val="00D17234"/>
    <w:rsid w:val="00D93B06"/>
    <w:rsid w:val="00DA3FA1"/>
    <w:rsid w:val="00E772EC"/>
    <w:rsid w:val="00E971B2"/>
    <w:rsid w:val="00EA4BA0"/>
    <w:rsid w:val="00F354B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ACF4B8"/>
  <w15:chartTrackingRefBased/>
  <w15:docId w15:val="{B4FF3DDA-DD8B-47D6-AE0E-8B99491C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E66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11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A4B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6601"/>
    <w:rPr>
      <w:rFonts w:ascii="Times New Roman" w:eastAsia="Times New Roman" w:hAnsi="Times New Roman" w:cs="Times New Roman"/>
      <w:b/>
      <w:bCs/>
      <w:sz w:val="36"/>
      <w:szCs w:val="36"/>
    </w:rPr>
  </w:style>
  <w:style w:type="paragraph" w:styleId="NormalWeb">
    <w:name w:val="Normal (Web)"/>
    <w:basedOn w:val="Normal"/>
    <w:uiPriority w:val="99"/>
    <w:unhideWhenUsed/>
    <w:rsid w:val="001E66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862"/>
    <w:rPr>
      <w:b/>
      <w:bCs/>
    </w:rPr>
  </w:style>
  <w:style w:type="character" w:customStyle="1" w:styleId="Heading3Char">
    <w:name w:val="Heading 3 Char"/>
    <w:basedOn w:val="DefaultParagraphFont"/>
    <w:link w:val="Heading3"/>
    <w:uiPriority w:val="9"/>
    <w:rsid w:val="00911945"/>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11945"/>
    <w:rPr>
      <w:i/>
      <w:iCs/>
    </w:rPr>
  </w:style>
  <w:style w:type="character" w:customStyle="1" w:styleId="katex-mathml">
    <w:name w:val="katex-mathml"/>
    <w:basedOn w:val="DefaultParagraphFont"/>
    <w:rsid w:val="00CC67DB"/>
  </w:style>
  <w:style w:type="character" w:customStyle="1" w:styleId="mord">
    <w:name w:val="mord"/>
    <w:basedOn w:val="DefaultParagraphFont"/>
    <w:rsid w:val="00CC67DB"/>
  </w:style>
  <w:style w:type="character" w:customStyle="1" w:styleId="mclose">
    <w:name w:val="mclose"/>
    <w:basedOn w:val="DefaultParagraphFont"/>
    <w:rsid w:val="00CC67DB"/>
  </w:style>
  <w:style w:type="character" w:customStyle="1" w:styleId="mrel">
    <w:name w:val="mrel"/>
    <w:basedOn w:val="DefaultParagraphFont"/>
    <w:rsid w:val="00CC67DB"/>
  </w:style>
  <w:style w:type="character" w:customStyle="1" w:styleId="mbin">
    <w:name w:val="mbin"/>
    <w:basedOn w:val="DefaultParagraphFont"/>
    <w:rsid w:val="00CC67DB"/>
  </w:style>
  <w:style w:type="character" w:customStyle="1" w:styleId="vlist-s">
    <w:name w:val="vlist-s"/>
    <w:basedOn w:val="DefaultParagraphFont"/>
    <w:rsid w:val="00CC67DB"/>
  </w:style>
  <w:style w:type="character" w:customStyle="1" w:styleId="mopen">
    <w:name w:val="mopen"/>
    <w:basedOn w:val="DefaultParagraphFont"/>
    <w:rsid w:val="00CC67DB"/>
  </w:style>
  <w:style w:type="character" w:styleId="HTMLCode">
    <w:name w:val="HTML Code"/>
    <w:basedOn w:val="DefaultParagraphFont"/>
    <w:uiPriority w:val="99"/>
    <w:semiHidden/>
    <w:unhideWhenUsed/>
    <w:rsid w:val="002D2986"/>
    <w:rPr>
      <w:rFonts w:ascii="Courier New" w:eastAsia="Times New Roman" w:hAnsi="Courier New" w:cs="Courier New"/>
      <w:sz w:val="20"/>
      <w:szCs w:val="20"/>
    </w:rPr>
  </w:style>
  <w:style w:type="table" w:styleId="TableGrid">
    <w:name w:val="Table Grid"/>
    <w:basedOn w:val="TableNormal"/>
    <w:uiPriority w:val="39"/>
    <w:rsid w:val="0042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A4BA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1B484F"/>
    <w:rPr>
      <w:color w:val="0563C1" w:themeColor="hyperlink"/>
      <w:u w:val="single"/>
    </w:rPr>
  </w:style>
  <w:style w:type="character" w:customStyle="1" w:styleId="UnresolvedMention1">
    <w:name w:val="Unresolved Mention1"/>
    <w:basedOn w:val="DefaultParagraphFont"/>
    <w:uiPriority w:val="99"/>
    <w:semiHidden/>
    <w:unhideWhenUsed/>
    <w:rsid w:val="007D1756"/>
    <w:rPr>
      <w:color w:val="605E5C"/>
      <w:shd w:val="clear" w:color="auto" w:fill="E1DFDD"/>
    </w:rPr>
  </w:style>
  <w:style w:type="paragraph" w:styleId="ListParagraph">
    <w:name w:val="List Paragraph"/>
    <w:basedOn w:val="Normal"/>
    <w:uiPriority w:val="34"/>
    <w:qFormat/>
    <w:rsid w:val="0036031E"/>
    <w:pPr>
      <w:ind w:left="720"/>
      <w:contextualSpacing/>
    </w:pPr>
  </w:style>
  <w:style w:type="character" w:styleId="UnresolvedMention">
    <w:name w:val="Unresolved Mention"/>
    <w:basedOn w:val="DefaultParagraphFont"/>
    <w:uiPriority w:val="99"/>
    <w:semiHidden/>
    <w:unhideWhenUsed/>
    <w:rsid w:val="001C740B"/>
    <w:rPr>
      <w:color w:val="605E5C"/>
      <w:shd w:val="clear" w:color="auto" w:fill="E1DFDD"/>
    </w:rPr>
  </w:style>
  <w:style w:type="paragraph" w:styleId="Header">
    <w:name w:val="header"/>
    <w:basedOn w:val="Normal"/>
    <w:link w:val="HeaderChar"/>
    <w:uiPriority w:val="99"/>
    <w:unhideWhenUsed/>
    <w:rsid w:val="00DA3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FA1"/>
  </w:style>
  <w:style w:type="paragraph" w:styleId="Footer">
    <w:name w:val="footer"/>
    <w:basedOn w:val="Normal"/>
    <w:link w:val="FooterChar"/>
    <w:uiPriority w:val="99"/>
    <w:unhideWhenUsed/>
    <w:rsid w:val="00DA3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0816">
      <w:bodyDiv w:val="1"/>
      <w:marLeft w:val="0"/>
      <w:marRight w:val="0"/>
      <w:marTop w:val="0"/>
      <w:marBottom w:val="0"/>
      <w:divBdr>
        <w:top w:val="none" w:sz="0" w:space="0" w:color="auto"/>
        <w:left w:val="none" w:sz="0" w:space="0" w:color="auto"/>
        <w:bottom w:val="none" w:sz="0" w:space="0" w:color="auto"/>
        <w:right w:val="none" w:sz="0" w:space="0" w:color="auto"/>
      </w:divBdr>
    </w:div>
    <w:div w:id="529875586">
      <w:bodyDiv w:val="1"/>
      <w:marLeft w:val="0"/>
      <w:marRight w:val="0"/>
      <w:marTop w:val="0"/>
      <w:marBottom w:val="0"/>
      <w:divBdr>
        <w:top w:val="none" w:sz="0" w:space="0" w:color="auto"/>
        <w:left w:val="none" w:sz="0" w:space="0" w:color="auto"/>
        <w:bottom w:val="none" w:sz="0" w:space="0" w:color="auto"/>
        <w:right w:val="none" w:sz="0" w:space="0" w:color="auto"/>
      </w:divBdr>
    </w:div>
    <w:div w:id="815608626">
      <w:bodyDiv w:val="1"/>
      <w:marLeft w:val="0"/>
      <w:marRight w:val="0"/>
      <w:marTop w:val="0"/>
      <w:marBottom w:val="0"/>
      <w:divBdr>
        <w:top w:val="none" w:sz="0" w:space="0" w:color="auto"/>
        <w:left w:val="none" w:sz="0" w:space="0" w:color="auto"/>
        <w:bottom w:val="none" w:sz="0" w:space="0" w:color="auto"/>
        <w:right w:val="none" w:sz="0" w:space="0" w:color="auto"/>
      </w:divBdr>
    </w:div>
    <w:div w:id="864903189">
      <w:bodyDiv w:val="1"/>
      <w:marLeft w:val="0"/>
      <w:marRight w:val="0"/>
      <w:marTop w:val="0"/>
      <w:marBottom w:val="0"/>
      <w:divBdr>
        <w:top w:val="none" w:sz="0" w:space="0" w:color="auto"/>
        <w:left w:val="none" w:sz="0" w:space="0" w:color="auto"/>
        <w:bottom w:val="none" w:sz="0" w:space="0" w:color="auto"/>
        <w:right w:val="none" w:sz="0" w:space="0" w:color="auto"/>
      </w:divBdr>
    </w:div>
    <w:div w:id="1028339057">
      <w:bodyDiv w:val="1"/>
      <w:marLeft w:val="0"/>
      <w:marRight w:val="0"/>
      <w:marTop w:val="0"/>
      <w:marBottom w:val="0"/>
      <w:divBdr>
        <w:top w:val="none" w:sz="0" w:space="0" w:color="auto"/>
        <w:left w:val="none" w:sz="0" w:space="0" w:color="auto"/>
        <w:bottom w:val="none" w:sz="0" w:space="0" w:color="auto"/>
        <w:right w:val="none" w:sz="0" w:space="0" w:color="auto"/>
      </w:divBdr>
    </w:div>
    <w:div w:id="1285505480">
      <w:bodyDiv w:val="1"/>
      <w:marLeft w:val="0"/>
      <w:marRight w:val="0"/>
      <w:marTop w:val="0"/>
      <w:marBottom w:val="0"/>
      <w:divBdr>
        <w:top w:val="none" w:sz="0" w:space="0" w:color="auto"/>
        <w:left w:val="none" w:sz="0" w:space="0" w:color="auto"/>
        <w:bottom w:val="none" w:sz="0" w:space="0" w:color="auto"/>
        <w:right w:val="none" w:sz="0" w:space="0" w:color="auto"/>
      </w:divBdr>
    </w:div>
    <w:div w:id="1350253183">
      <w:bodyDiv w:val="1"/>
      <w:marLeft w:val="0"/>
      <w:marRight w:val="0"/>
      <w:marTop w:val="0"/>
      <w:marBottom w:val="0"/>
      <w:divBdr>
        <w:top w:val="none" w:sz="0" w:space="0" w:color="auto"/>
        <w:left w:val="none" w:sz="0" w:space="0" w:color="auto"/>
        <w:bottom w:val="none" w:sz="0" w:space="0" w:color="auto"/>
        <w:right w:val="none" w:sz="0" w:space="0" w:color="auto"/>
      </w:divBdr>
    </w:div>
    <w:div w:id="1553350740">
      <w:bodyDiv w:val="1"/>
      <w:marLeft w:val="0"/>
      <w:marRight w:val="0"/>
      <w:marTop w:val="0"/>
      <w:marBottom w:val="0"/>
      <w:divBdr>
        <w:top w:val="none" w:sz="0" w:space="0" w:color="auto"/>
        <w:left w:val="none" w:sz="0" w:space="0" w:color="auto"/>
        <w:bottom w:val="none" w:sz="0" w:space="0" w:color="auto"/>
        <w:right w:val="none" w:sz="0" w:space="0" w:color="auto"/>
      </w:divBdr>
    </w:div>
    <w:div w:id="1682276272">
      <w:bodyDiv w:val="1"/>
      <w:marLeft w:val="0"/>
      <w:marRight w:val="0"/>
      <w:marTop w:val="0"/>
      <w:marBottom w:val="0"/>
      <w:divBdr>
        <w:top w:val="none" w:sz="0" w:space="0" w:color="auto"/>
        <w:left w:val="none" w:sz="0" w:space="0" w:color="auto"/>
        <w:bottom w:val="none" w:sz="0" w:space="0" w:color="auto"/>
        <w:right w:val="none" w:sz="0" w:space="0" w:color="auto"/>
      </w:divBdr>
    </w:div>
    <w:div w:id="1713774080">
      <w:bodyDiv w:val="1"/>
      <w:marLeft w:val="0"/>
      <w:marRight w:val="0"/>
      <w:marTop w:val="0"/>
      <w:marBottom w:val="0"/>
      <w:divBdr>
        <w:top w:val="none" w:sz="0" w:space="0" w:color="auto"/>
        <w:left w:val="none" w:sz="0" w:space="0" w:color="auto"/>
        <w:bottom w:val="none" w:sz="0" w:space="0" w:color="auto"/>
        <w:right w:val="none" w:sz="0" w:space="0" w:color="auto"/>
      </w:divBdr>
    </w:div>
    <w:div w:id="1838571039">
      <w:bodyDiv w:val="1"/>
      <w:marLeft w:val="0"/>
      <w:marRight w:val="0"/>
      <w:marTop w:val="0"/>
      <w:marBottom w:val="0"/>
      <w:divBdr>
        <w:top w:val="none" w:sz="0" w:space="0" w:color="auto"/>
        <w:left w:val="none" w:sz="0" w:space="0" w:color="auto"/>
        <w:bottom w:val="none" w:sz="0" w:space="0" w:color="auto"/>
        <w:right w:val="none" w:sz="0" w:space="0" w:color="auto"/>
      </w:divBdr>
    </w:div>
    <w:div w:id="21290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repository.futo.edu.ng/handle/20.500.14562/1636" TargetMode="External"/><Relationship Id="rId26" Type="http://schemas.openxmlformats.org/officeDocument/2006/relationships/hyperlink" Target="https://doi.org/10.1007/s12665-024-04554-3" TargetMode="External"/><Relationship Id="rId39" Type="http://schemas.openxmlformats.org/officeDocument/2006/relationships/hyperlink" Target="https://doi.org/10.18576/jrna/080206" TargetMode="External"/><Relationship Id="rId21" Type="http://schemas.openxmlformats.org/officeDocument/2006/relationships/hyperlink" Target="https://doi.org/10.1080/15275922.2020.1836079" TargetMode="External"/><Relationship Id="rId34" Type="http://schemas.openxmlformats.org/officeDocument/2006/relationships/hyperlink" Target="https://doi.org/10.9734/ajr2p/2025/v9i1179" TargetMode="External"/><Relationship Id="rId42" Type="http://schemas.openxmlformats.org/officeDocument/2006/relationships/hyperlink" Target="https://www.unscear.org/unscear/en/publications/2008_1.html"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doi.org/10.5194/gmd-18-1989-2025" TargetMode="External"/><Relationship Id="rId11" Type="http://schemas.openxmlformats.org/officeDocument/2006/relationships/oleObject" Target="embeddings/oleObject2.bin"/><Relationship Id="rId24" Type="http://schemas.openxmlformats.org/officeDocument/2006/relationships/hyperlink" Target="https://doi.org/10.1016/j.radmeas.2017.01.005" TargetMode="External"/><Relationship Id="rId32" Type="http://schemas.openxmlformats.org/officeDocument/2006/relationships/hyperlink" Target="https://www.iaea.org/publications/15085/radiation-protection-and-management-of-norm-residues-in-the-phosphate-industry" TargetMode="External"/><Relationship Id="rId37" Type="http://schemas.openxmlformats.org/officeDocument/2006/relationships/hyperlink" Target="https://www.laujet.com/index.php/laujet/article/view/733" TargetMode="External"/><Relationship Id="rId40" Type="http://schemas.openxmlformats.org/officeDocument/2006/relationships/hyperlink" Target="https://doi.org/10.1080/15275922.2021.1892881"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15244/pjoes/151584" TargetMode="External"/><Relationship Id="rId28" Type="http://schemas.openxmlformats.org/officeDocument/2006/relationships/hyperlink" Target="https://doi.org/10.1007/s10661-024-12634-5" TargetMode="External"/><Relationship Id="rId36" Type="http://schemas.openxmlformats.org/officeDocument/2006/relationships/hyperlink" Target="https://catalog.ihsn.org/index.php/catalog/3340" TargetMode="External"/><Relationship Id="rId49"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doi.org/10.26480/gbr.02.2020.54.62" TargetMode="External"/><Relationship Id="rId31" Type="http://schemas.openxmlformats.org/officeDocument/2006/relationships/hyperlink" Target="https://www.iaea.org/publications/15085" TargetMode="External"/><Relationship Id="rId44" Type="http://schemas.openxmlformats.org/officeDocument/2006/relationships/hyperlink" Target="https://doi.org/10.1093/rpd/ncp26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hyperlink" Target="https://doi.org/10.1016/j.radphyschem.2023.110765" TargetMode="External"/><Relationship Id="rId27" Type="http://schemas.openxmlformats.org/officeDocument/2006/relationships/hyperlink" Target="https://doi.org/10.4236/wjnst.2024.144011" TargetMode="External"/><Relationship Id="rId30" Type="http://schemas.openxmlformats.org/officeDocument/2006/relationships/hyperlink" Target="https://doi.org/10.21275/sr23709133736" TargetMode="External"/><Relationship Id="rId35" Type="http://schemas.openxmlformats.org/officeDocument/2006/relationships/hyperlink" Target="https://ncrponline.org/publications/reports/ncrp-report-116/" TargetMode="External"/><Relationship Id="rId43" Type="http://schemas.openxmlformats.org/officeDocument/2006/relationships/hyperlink" Target="https://www.unscear.org/unscear/en/publications/scientific_reports.html"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repository.futo.edu.ng/server/api/core/bitstreams/60605f7f-e70d-4d12-ad4c-98b95a6d3a53/content" TargetMode="External"/><Relationship Id="rId25" Type="http://schemas.openxmlformats.org/officeDocument/2006/relationships/hyperlink" Target="https://doi.org/10.62292/njtep.v3i1.2025.66" TargetMode="External"/><Relationship Id="rId33" Type="http://schemas.openxmlformats.org/officeDocument/2006/relationships/hyperlink" Target="https://doi.org/10.1016/j.icrp.2007.10.003" TargetMode="External"/><Relationship Id="rId38" Type="http://schemas.openxmlformats.org/officeDocument/2006/relationships/hyperlink" Target="https://doi.org/10.1007/s11356-023-29025-6" TargetMode="External"/><Relationship Id="rId46" Type="http://schemas.openxmlformats.org/officeDocument/2006/relationships/header" Target="header2.xml"/><Relationship Id="rId20" Type="http://schemas.openxmlformats.org/officeDocument/2006/relationships/hyperlink" Target="https://doi.org/10.1016/j.jtusci.2016.03.007" TargetMode="External"/><Relationship Id="rId41" Type="http://schemas.openxmlformats.org/officeDocument/2006/relationships/hyperlink" Target="https://www.unscear.org/unscear/en/publications/2000_Report_VolI.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A153-F260-41A8-9DF1-3466BC0F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24</Pages>
  <Words>6105</Words>
  <Characters>34800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66</cp:revision>
  <dcterms:created xsi:type="dcterms:W3CDTF">2025-11-03T06:42:00Z</dcterms:created>
  <dcterms:modified xsi:type="dcterms:W3CDTF">2026-01-05T12:29:00Z</dcterms:modified>
</cp:coreProperties>
</file>