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ADB21F" w14:textId="1C1421B9" w:rsidR="00A9219F" w:rsidRPr="009418E7" w:rsidRDefault="001E4A3A" w:rsidP="001E4A3A">
      <w:pPr>
        <w:spacing w:line="276" w:lineRule="auto"/>
        <w:jc w:val="center"/>
        <w:rPr>
          <w:rFonts w:asciiTheme="majorBidi" w:hAnsiTheme="majorBidi" w:cstheme="majorBidi"/>
          <w:b/>
          <w:bCs/>
        </w:rPr>
      </w:pPr>
      <w:r w:rsidRPr="009418E7">
        <w:rPr>
          <w:rFonts w:asciiTheme="majorBidi" w:hAnsiTheme="majorBidi" w:cstheme="majorBidi"/>
          <w:b/>
          <w:bCs/>
        </w:rPr>
        <w:t>PREVALENCE OF FLATFOOT PRIMARY SCHOOL CHILDREN AND ITS RELATIONSHIP WITH BMI AND GENDER</w:t>
      </w:r>
    </w:p>
    <w:p w14:paraId="754159CA" w14:textId="77898E56" w:rsidR="00A429F1" w:rsidRDefault="00A429F1" w:rsidP="001136E3">
      <w:pPr>
        <w:spacing w:line="360" w:lineRule="auto"/>
        <w:jc w:val="both"/>
        <w:rPr>
          <w:rFonts w:asciiTheme="majorBidi" w:hAnsiTheme="majorBidi" w:cstheme="majorBidi"/>
          <w:b/>
          <w:bCs/>
        </w:rPr>
      </w:pPr>
    </w:p>
    <w:p w14:paraId="732675EC" w14:textId="77777777" w:rsidR="002E6567" w:rsidRPr="009418E7" w:rsidRDefault="002E6567" w:rsidP="001136E3">
      <w:pPr>
        <w:spacing w:line="360" w:lineRule="auto"/>
        <w:jc w:val="both"/>
        <w:rPr>
          <w:rFonts w:asciiTheme="majorBidi" w:hAnsiTheme="majorBidi" w:cstheme="majorBidi"/>
          <w:b/>
          <w:bCs/>
        </w:rPr>
      </w:pPr>
    </w:p>
    <w:p w14:paraId="70CB283B" w14:textId="66CD83AC" w:rsidR="00DE492B" w:rsidRPr="009418E7" w:rsidRDefault="00DE492B" w:rsidP="001136E3">
      <w:pPr>
        <w:spacing w:line="360" w:lineRule="auto"/>
        <w:jc w:val="both"/>
        <w:rPr>
          <w:rFonts w:asciiTheme="majorBidi" w:hAnsiTheme="majorBidi" w:cstheme="majorBidi"/>
          <w:b/>
          <w:bCs/>
        </w:rPr>
      </w:pPr>
      <w:r w:rsidRPr="009418E7">
        <w:rPr>
          <w:rFonts w:asciiTheme="majorBidi" w:hAnsiTheme="majorBidi" w:cstheme="majorBidi"/>
          <w:b/>
          <w:bCs/>
        </w:rPr>
        <w:t>Abstract</w:t>
      </w:r>
    </w:p>
    <w:p w14:paraId="27CA8D7C" w14:textId="77777777" w:rsidR="00DE492B" w:rsidRPr="009418E7" w:rsidRDefault="00DE492B" w:rsidP="001136E3">
      <w:pPr>
        <w:spacing w:after="200" w:line="360" w:lineRule="auto"/>
        <w:jc w:val="both"/>
        <w:rPr>
          <w:rFonts w:asciiTheme="majorBidi" w:eastAsia="Calibri" w:hAnsiTheme="majorBidi" w:cstheme="majorBidi"/>
          <w:bCs/>
        </w:rPr>
      </w:pPr>
      <w:r w:rsidRPr="009418E7">
        <w:rPr>
          <w:rFonts w:asciiTheme="majorBidi" w:eastAsia="Calibri" w:hAnsiTheme="majorBidi" w:cstheme="majorBidi"/>
          <w:bCs/>
        </w:rPr>
        <w:t xml:space="preserve">Flatfoot is a morphological medical condition of the feet caused by fallen MLA or no MLA at all. Each person at the tender toddler ages of life and it becomes a concern if it persists in a child older than 6 years old. The aim of this study was to determine the prevalence of flatfoot in </w:t>
      </w:r>
      <w:proofErr w:type="spellStart"/>
      <w:r w:rsidRPr="009418E7">
        <w:rPr>
          <w:rFonts w:asciiTheme="majorBidi" w:eastAsia="Calibri" w:hAnsiTheme="majorBidi" w:cstheme="majorBidi"/>
          <w:bCs/>
        </w:rPr>
        <w:t>Obio-Apkor</w:t>
      </w:r>
      <w:proofErr w:type="spellEnd"/>
      <w:r w:rsidRPr="009418E7">
        <w:rPr>
          <w:rFonts w:asciiTheme="majorBidi" w:eastAsia="Calibri" w:hAnsiTheme="majorBidi" w:cstheme="majorBidi"/>
          <w:bCs/>
        </w:rPr>
        <w:t xml:space="preserve"> local government area, rivers State, Nigeria and its relationship with BMI and Gender. 480 primary school children from over 10 randomly selected schools participated in this study. Demographic data and footprints from which flatfoot was determined by calculating with Staheli Plantar Arch index method was obtained. Result gotten showed that the prevalence of flatfoot was 13.33% (64 participants). The males had more incidence of flatfoot than the females in the ratio </w:t>
      </w:r>
      <w:proofErr w:type="gramStart"/>
      <w:r w:rsidRPr="009418E7">
        <w:rPr>
          <w:rFonts w:asciiTheme="majorBidi" w:eastAsia="Calibri" w:hAnsiTheme="majorBidi" w:cstheme="majorBidi"/>
          <w:bCs/>
        </w:rPr>
        <w:t>52 :</w:t>
      </w:r>
      <w:proofErr w:type="gramEnd"/>
      <w:r w:rsidRPr="009418E7">
        <w:rPr>
          <w:rFonts w:asciiTheme="majorBidi" w:eastAsia="Calibri" w:hAnsiTheme="majorBidi" w:cstheme="majorBidi"/>
          <w:bCs/>
        </w:rPr>
        <w:t xml:space="preserve"> 12 which was 21.67% and 5% respectively. Unilateral flatfoot was more than bilateral flatfoot. There were strong positive significant correlations between BMIM and BMIF (r = 0.946, p ≤ 0.01), PAIRLF and PAILLF (r = 0.662, p ≤ 0.01) and between PAIRLM and PAILLM (r = 0.759, p ≤ 0.01). Nonetheless, there was a significant difference between PAIF and PAIM and no significance between PAI and BMI. In conclusion, schools are the best and right place to investigate the prevalence of flatfoot in children. Many works show that boys have been found to have more of flatfoot condition than girls. Flatfoot in children is mostly flexible and should not be treated at all but if it persists till teenage years of a child immediate treatment measures should be taken to reverse the situation.</w:t>
      </w:r>
    </w:p>
    <w:p w14:paraId="7BC16296" w14:textId="77777777" w:rsidR="00DE492B" w:rsidRPr="009418E7" w:rsidRDefault="00DE492B" w:rsidP="001136E3">
      <w:pPr>
        <w:spacing w:line="360" w:lineRule="auto"/>
        <w:jc w:val="both"/>
        <w:rPr>
          <w:rFonts w:asciiTheme="majorBidi" w:hAnsiTheme="majorBidi" w:cstheme="majorBidi"/>
          <w:b/>
          <w:bCs/>
        </w:rPr>
      </w:pPr>
    </w:p>
    <w:p w14:paraId="1A5B7E41" w14:textId="0D9E11B3" w:rsidR="00DE492B" w:rsidRPr="009418E7" w:rsidRDefault="00DE492B" w:rsidP="001136E3">
      <w:pPr>
        <w:spacing w:line="360" w:lineRule="auto"/>
        <w:jc w:val="both"/>
        <w:rPr>
          <w:rFonts w:asciiTheme="majorBidi" w:hAnsiTheme="majorBidi" w:cstheme="majorBidi"/>
          <w:b/>
          <w:bCs/>
        </w:rPr>
      </w:pPr>
      <w:r w:rsidRPr="009418E7">
        <w:rPr>
          <w:rFonts w:asciiTheme="majorBidi" w:hAnsiTheme="majorBidi" w:cstheme="majorBidi"/>
          <w:b/>
          <w:bCs/>
        </w:rPr>
        <w:t>Introduction</w:t>
      </w:r>
    </w:p>
    <w:p w14:paraId="5F228F08" w14:textId="3350B725" w:rsidR="00DE492B" w:rsidRPr="009418E7" w:rsidRDefault="00DE492B" w:rsidP="001136E3">
      <w:pPr>
        <w:pStyle w:val="NoSpacing"/>
        <w:spacing w:line="360" w:lineRule="auto"/>
        <w:ind w:left="0"/>
        <w:rPr>
          <w:rFonts w:asciiTheme="majorBidi" w:hAnsiTheme="majorBidi" w:cstheme="majorBidi"/>
          <w:sz w:val="22"/>
        </w:rPr>
      </w:pPr>
      <w:r w:rsidRPr="009418E7">
        <w:rPr>
          <w:rFonts w:asciiTheme="majorBidi" w:hAnsiTheme="majorBidi" w:cstheme="majorBidi"/>
          <w:sz w:val="22"/>
        </w:rPr>
        <w:t xml:space="preserve">The human foot, the foundation of bipedal locomotion, is a highly complex multi bone structure with 26 bones majorly and more than 30 synovial joints. It gives support to the body in standing, resilient while walking and accommodation to various surfaces on which it is placed (Oladipo </w:t>
      </w:r>
      <w:r w:rsidRPr="009418E7">
        <w:rPr>
          <w:rFonts w:asciiTheme="majorBidi" w:hAnsiTheme="majorBidi" w:cstheme="majorBidi"/>
          <w:i/>
          <w:iCs/>
          <w:sz w:val="22"/>
        </w:rPr>
        <w:t>et al.,</w:t>
      </w:r>
      <w:r w:rsidRPr="009418E7">
        <w:rPr>
          <w:rFonts w:asciiTheme="majorBidi" w:hAnsiTheme="majorBidi" w:cstheme="majorBidi"/>
          <w:sz w:val="22"/>
        </w:rPr>
        <w:t xml:space="preserve"> 2008</w:t>
      </w:r>
      <w:r w:rsidR="00BF4E77" w:rsidRPr="009418E7">
        <w:rPr>
          <w:rFonts w:asciiTheme="majorBidi" w:hAnsiTheme="majorBidi" w:cstheme="majorBidi"/>
          <w:sz w:val="22"/>
        </w:rPr>
        <w:t xml:space="preserve">; Bob-Manuel and </w:t>
      </w:r>
      <w:proofErr w:type="spellStart"/>
      <w:r w:rsidR="00BF4E77" w:rsidRPr="009418E7">
        <w:rPr>
          <w:rFonts w:asciiTheme="majorBidi" w:hAnsiTheme="majorBidi" w:cstheme="majorBidi"/>
          <w:sz w:val="22"/>
        </w:rPr>
        <w:t>Ogoun</w:t>
      </w:r>
      <w:proofErr w:type="spellEnd"/>
      <w:r w:rsidR="00BF4E77" w:rsidRPr="009418E7">
        <w:rPr>
          <w:rFonts w:asciiTheme="majorBidi" w:hAnsiTheme="majorBidi" w:cstheme="majorBidi"/>
          <w:sz w:val="22"/>
        </w:rPr>
        <w:t>, 2021</w:t>
      </w:r>
      <w:r w:rsidRPr="009418E7">
        <w:rPr>
          <w:rFonts w:asciiTheme="majorBidi" w:hAnsiTheme="majorBidi" w:cstheme="majorBidi"/>
          <w:sz w:val="22"/>
        </w:rPr>
        <w:t>). The human foot shows a great variation in length and breadth and both in males and females</w:t>
      </w:r>
      <w:r w:rsidR="00BF4E77" w:rsidRPr="009418E7">
        <w:rPr>
          <w:rFonts w:asciiTheme="majorBidi" w:hAnsiTheme="majorBidi" w:cstheme="majorBidi"/>
          <w:sz w:val="22"/>
        </w:rPr>
        <w:t xml:space="preserve"> (Bob-Manuel and Didia, 2008</w:t>
      </w:r>
      <w:r w:rsidR="009418E7" w:rsidRPr="009418E7">
        <w:rPr>
          <w:rFonts w:asciiTheme="majorBidi" w:hAnsiTheme="majorBidi" w:cstheme="majorBidi"/>
          <w:sz w:val="22"/>
        </w:rPr>
        <w:t>).</w:t>
      </w:r>
      <w:r w:rsidRPr="009418E7">
        <w:rPr>
          <w:rFonts w:asciiTheme="majorBidi" w:hAnsiTheme="majorBidi" w:cstheme="majorBidi"/>
          <w:sz w:val="22"/>
        </w:rPr>
        <w:t xml:space="preserve"> The development of lower limb and foot structural modification makes a firm and stable posture that distinguishes humans from other mammalian species (Rithanya </w:t>
      </w:r>
      <w:r w:rsidRPr="009418E7">
        <w:rPr>
          <w:rFonts w:asciiTheme="majorBidi" w:hAnsiTheme="majorBidi" w:cstheme="majorBidi"/>
          <w:i/>
          <w:iCs/>
          <w:sz w:val="22"/>
        </w:rPr>
        <w:t>et al.,</w:t>
      </w:r>
      <w:r w:rsidRPr="009418E7">
        <w:rPr>
          <w:rFonts w:asciiTheme="majorBidi" w:hAnsiTheme="majorBidi" w:cstheme="majorBidi"/>
          <w:sz w:val="22"/>
        </w:rPr>
        <w:t xml:space="preserve"> 2018). The foot is able to carry the weight of the human body because of how the three arches of the foot intercorrelate (</w:t>
      </w:r>
      <w:proofErr w:type="spellStart"/>
      <w:r w:rsidRPr="009418E7">
        <w:rPr>
          <w:rFonts w:asciiTheme="majorBidi" w:hAnsiTheme="majorBidi" w:cstheme="majorBidi"/>
          <w:sz w:val="22"/>
        </w:rPr>
        <w:t>Gwani</w:t>
      </w:r>
      <w:proofErr w:type="spellEnd"/>
      <w:r w:rsidRPr="009418E7">
        <w:rPr>
          <w:rFonts w:asciiTheme="majorBidi" w:hAnsiTheme="majorBidi" w:cstheme="majorBidi"/>
          <w:sz w:val="22"/>
        </w:rPr>
        <w:t xml:space="preserve"> </w:t>
      </w:r>
      <w:r w:rsidRPr="009418E7">
        <w:rPr>
          <w:rFonts w:asciiTheme="majorBidi" w:hAnsiTheme="majorBidi" w:cstheme="majorBidi"/>
          <w:i/>
          <w:iCs/>
          <w:sz w:val="22"/>
        </w:rPr>
        <w:t>et al.,</w:t>
      </w:r>
      <w:r w:rsidRPr="009418E7">
        <w:rPr>
          <w:rFonts w:asciiTheme="majorBidi" w:hAnsiTheme="majorBidi" w:cstheme="majorBidi"/>
          <w:sz w:val="22"/>
        </w:rPr>
        <w:t xml:space="preserve"> 2017). When one of the arches is no longer an arch but deformed in morphology </w:t>
      </w:r>
      <w:r w:rsidRPr="009418E7">
        <w:rPr>
          <w:rFonts w:asciiTheme="majorBidi" w:hAnsiTheme="majorBidi" w:cstheme="majorBidi"/>
          <w:sz w:val="22"/>
        </w:rPr>
        <w:lastRenderedPageBreak/>
        <w:t>due to one incidence or the other then the individual begins to have trouble with gait and balance affecting the persons supposed normal way of life.</w:t>
      </w:r>
    </w:p>
    <w:p w14:paraId="5DB213A6" w14:textId="28EA4D64" w:rsidR="002B310D" w:rsidRPr="009418E7" w:rsidRDefault="002B310D" w:rsidP="001136E3">
      <w:pPr>
        <w:pStyle w:val="NoSpacing"/>
        <w:spacing w:line="360" w:lineRule="auto"/>
        <w:rPr>
          <w:rFonts w:asciiTheme="majorBidi" w:hAnsiTheme="majorBidi" w:cstheme="majorBidi"/>
          <w:sz w:val="22"/>
        </w:rPr>
      </w:pPr>
      <w:r w:rsidRPr="009418E7">
        <w:rPr>
          <w:rFonts w:asciiTheme="majorBidi" w:hAnsiTheme="majorBidi" w:cstheme="majorBidi"/>
          <w:sz w:val="22"/>
        </w:rPr>
        <w:t xml:space="preserve">The medial longitudinal arch is the arch of importance and relevant as it concerns flat foot (Heba </w:t>
      </w:r>
      <w:r w:rsidRPr="009418E7">
        <w:rPr>
          <w:rFonts w:asciiTheme="majorBidi" w:hAnsiTheme="majorBidi" w:cstheme="majorBidi"/>
          <w:i/>
          <w:iCs/>
          <w:sz w:val="22"/>
        </w:rPr>
        <w:t>et al.,</w:t>
      </w:r>
      <w:r w:rsidRPr="009418E7">
        <w:rPr>
          <w:rFonts w:asciiTheme="majorBidi" w:hAnsiTheme="majorBidi" w:cstheme="majorBidi"/>
          <w:sz w:val="22"/>
        </w:rPr>
        <w:t xml:space="preserve"> 2015). It is also of great importance to determine pes rectus and pes </w:t>
      </w:r>
      <w:proofErr w:type="spellStart"/>
      <w:r w:rsidRPr="009418E7">
        <w:rPr>
          <w:rFonts w:asciiTheme="majorBidi" w:hAnsiTheme="majorBidi" w:cstheme="majorBidi"/>
          <w:sz w:val="22"/>
        </w:rPr>
        <w:t>cavus</w:t>
      </w:r>
      <w:proofErr w:type="spellEnd"/>
      <w:r w:rsidRPr="009418E7">
        <w:rPr>
          <w:rFonts w:asciiTheme="majorBidi" w:hAnsiTheme="majorBidi" w:cstheme="majorBidi"/>
          <w:sz w:val="22"/>
        </w:rPr>
        <w:t xml:space="preserve">. Flatfoot is also known as pes planus; pes rectus connotes a normally aligned foot while the pes </w:t>
      </w:r>
      <w:proofErr w:type="spellStart"/>
      <w:r w:rsidRPr="009418E7">
        <w:rPr>
          <w:rFonts w:asciiTheme="majorBidi" w:hAnsiTheme="majorBidi" w:cstheme="majorBidi"/>
          <w:sz w:val="22"/>
        </w:rPr>
        <w:t>cavus</w:t>
      </w:r>
      <w:proofErr w:type="spellEnd"/>
      <w:r w:rsidRPr="009418E7">
        <w:rPr>
          <w:rFonts w:asciiTheme="majorBidi" w:hAnsiTheme="majorBidi" w:cstheme="majorBidi"/>
          <w:sz w:val="22"/>
        </w:rPr>
        <w:t xml:space="preserve"> is characterized with an abnormally high arched foot with an inverted calcaneus. Flatfoot is a condition of a decrease in the medial longitudinal arch (MLA) of the foot (Heba </w:t>
      </w:r>
      <w:r w:rsidRPr="009418E7">
        <w:rPr>
          <w:rFonts w:asciiTheme="majorBidi" w:hAnsiTheme="majorBidi" w:cstheme="majorBidi"/>
          <w:i/>
          <w:iCs/>
          <w:sz w:val="22"/>
        </w:rPr>
        <w:t>et al.,</w:t>
      </w:r>
      <w:r w:rsidRPr="009418E7">
        <w:rPr>
          <w:rFonts w:asciiTheme="majorBidi" w:hAnsiTheme="majorBidi" w:cstheme="majorBidi"/>
          <w:sz w:val="22"/>
        </w:rPr>
        <w:t xml:space="preserve"> 2015). It is common in infants and children and often resolves by adolescence. Thus, flatfoot is described as physiologic because it usually is flexible, painless and of no functional consequence which usually restructures and resolves at adolescence. In rare cases flatfoot can become painful or rigid which may be a sign of an underlying foot pathology including arthritis or tarsal coalition (James </w:t>
      </w:r>
      <w:r w:rsidRPr="009418E7">
        <w:rPr>
          <w:rFonts w:asciiTheme="majorBidi" w:hAnsiTheme="majorBidi" w:cstheme="majorBidi"/>
          <w:i/>
          <w:iCs/>
          <w:sz w:val="22"/>
        </w:rPr>
        <w:t>et al.,</w:t>
      </w:r>
      <w:r w:rsidRPr="009418E7">
        <w:rPr>
          <w:rFonts w:asciiTheme="majorBidi" w:hAnsiTheme="majorBidi" w:cstheme="majorBidi"/>
          <w:sz w:val="22"/>
        </w:rPr>
        <w:t xml:space="preserve"> 2016)</w:t>
      </w:r>
    </w:p>
    <w:p w14:paraId="23B79ED1" w14:textId="77777777" w:rsidR="00D40583" w:rsidRPr="009418E7" w:rsidRDefault="002B310D" w:rsidP="001136E3">
      <w:pPr>
        <w:spacing w:line="360" w:lineRule="auto"/>
        <w:jc w:val="both"/>
        <w:rPr>
          <w:rFonts w:asciiTheme="majorBidi" w:hAnsiTheme="majorBidi" w:cstheme="majorBidi"/>
        </w:rPr>
      </w:pPr>
      <w:r w:rsidRPr="009418E7">
        <w:rPr>
          <w:rFonts w:asciiTheme="majorBidi" w:hAnsiTheme="majorBidi" w:cstheme="majorBidi"/>
        </w:rPr>
        <w:t>Flatfoot can be categorized into two that is flexible or rigid</w:t>
      </w:r>
      <w:r w:rsidR="00764D94" w:rsidRPr="009418E7">
        <w:rPr>
          <w:rFonts w:asciiTheme="majorBidi" w:hAnsiTheme="majorBidi" w:cstheme="majorBidi"/>
        </w:rPr>
        <w:t xml:space="preserve"> </w:t>
      </w:r>
      <w:r w:rsidR="00D71842" w:rsidRPr="009418E7">
        <w:rPr>
          <w:rFonts w:asciiTheme="majorBidi" w:hAnsiTheme="majorBidi" w:cstheme="majorBidi"/>
        </w:rPr>
        <w:t>flatfoot. Flexible flatfoot is asymptomatic and when there is no weight bearing it tends to have a foot arch body. Upon standing or weight bearing the flexible flatfoot loses its arch. This is not the case for rigid flatfoot. Rigid flatfoot conditions are usually symptomatic with pain and discomfort (</w:t>
      </w:r>
      <w:proofErr w:type="spellStart"/>
      <w:r w:rsidR="00D71842" w:rsidRPr="009418E7">
        <w:rPr>
          <w:rFonts w:asciiTheme="majorBidi" w:hAnsiTheme="majorBidi" w:cstheme="majorBidi"/>
        </w:rPr>
        <w:t>Witari</w:t>
      </w:r>
      <w:proofErr w:type="spellEnd"/>
      <w:r w:rsidR="00D71842" w:rsidRPr="009418E7">
        <w:rPr>
          <w:rFonts w:asciiTheme="majorBidi" w:hAnsiTheme="majorBidi" w:cstheme="majorBidi"/>
        </w:rPr>
        <w:t xml:space="preserve"> </w:t>
      </w:r>
      <w:r w:rsidR="00D71842" w:rsidRPr="009418E7">
        <w:rPr>
          <w:rFonts w:asciiTheme="majorBidi" w:hAnsiTheme="majorBidi" w:cstheme="majorBidi"/>
          <w:i/>
          <w:iCs/>
        </w:rPr>
        <w:t>et al.,</w:t>
      </w:r>
      <w:r w:rsidR="00D71842" w:rsidRPr="009418E7">
        <w:rPr>
          <w:rFonts w:asciiTheme="majorBidi" w:hAnsiTheme="majorBidi" w:cstheme="majorBidi"/>
        </w:rPr>
        <w:t xml:space="preserve">2018). </w:t>
      </w:r>
      <w:r w:rsidR="00D40583" w:rsidRPr="009418E7">
        <w:rPr>
          <w:rFonts w:asciiTheme="majorBidi" w:hAnsiTheme="majorBidi" w:cstheme="majorBidi"/>
        </w:rPr>
        <w:t>Rigid flatfoot</w:t>
      </w:r>
      <w:r w:rsidR="00D71842" w:rsidRPr="009418E7">
        <w:rPr>
          <w:rFonts w:asciiTheme="majorBidi" w:hAnsiTheme="majorBidi" w:cstheme="majorBidi"/>
        </w:rPr>
        <w:t xml:space="preserve"> is a pathological </w:t>
      </w:r>
      <w:r w:rsidR="00D40583" w:rsidRPr="009418E7">
        <w:rPr>
          <w:rFonts w:asciiTheme="majorBidi" w:hAnsiTheme="majorBidi" w:cstheme="majorBidi"/>
        </w:rPr>
        <w:t xml:space="preserve">foot condition that may arise from congenital or acquired causes ranging from structural abnormalities, collagen disorder, musculoskeletal abnormalities, trauma, spastic condition or neuromuscular conditions. Flexible flatfoot does not require treatment but rigid flatfoot does (Ezema </w:t>
      </w:r>
      <w:r w:rsidR="00D40583" w:rsidRPr="009418E7">
        <w:rPr>
          <w:rFonts w:asciiTheme="majorBidi" w:hAnsiTheme="majorBidi" w:cstheme="majorBidi"/>
          <w:i/>
          <w:iCs/>
        </w:rPr>
        <w:t xml:space="preserve">et al., </w:t>
      </w:r>
      <w:r w:rsidR="00D40583" w:rsidRPr="009418E7">
        <w:rPr>
          <w:rFonts w:asciiTheme="majorBidi" w:hAnsiTheme="majorBidi" w:cstheme="majorBidi"/>
        </w:rPr>
        <w:t xml:space="preserve">2013). </w:t>
      </w:r>
      <w:bookmarkStart w:id="0" w:name="_Hlk83278835"/>
      <w:r w:rsidR="00D40583" w:rsidRPr="009418E7">
        <w:rPr>
          <w:rFonts w:asciiTheme="majorBidi" w:hAnsiTheme="majorBidi" w:cstheme="majorBidi"/>
        </w:rPr>
        <w:t>This study is aimed at determining the prevalence to flat foot using PAI and its relationship with BMI.</w:t>
      </w:r>
    </w:p>
    <w:bookmarkEnd w:id="0"/>
    <w:p w14:paraId="320DC045" w14:textId="56546FAC" w:rsidR="00DE492B" w:rsidRPr="009418E7" w:rsidRDefault="00DE492B" w:rsidP="001136E3">
      <w:pPr>
        <w:pStyle w:val="NoSpacing"/>
        <w:spacing w:line="360" w:lineRule="auto"/>
        <w:ind w:left="0"/>
        <w:rPr>
          <w:rFonts w:asciiTheme="majorBidi" w:hAnsiTheme="majorBidi" w:cstheme="majorBidi"/>
          <w:sz w:val="22"/>
        </w:rPr>
      </w:pPr>
    </w:p>
    <w:p w14:paraId="36B5A547" w14:textId="71926FFA" w:rsidR="00D40583" w:rsidRPr="009418E7" w:rsidRDefault="00D40583" w:rsidP="001136E3">
      <w:pPr>
        <w:pStyle w:val="NoSpacing"/>
        <w:spacing w:line="360" w:lineRule="auto"/>
        <w:ind w:left="0"/>
        <w:rPr>
          <w:rFonts w:asciiTheme="majorBidi" w:hAnsiTheme="majorBidi" w:cstheme="majorBidi"/>
          <w:sz w:val="22"/>
        </w:rPr>
      </w:pPr>
    </w:p>
    <w:p w14:paraId="19DECC33" w14:textId="1F89FEE9" w:rsidR="00D40583" w:rsidRPr="009418E7" w:rsidRDefault="00D40583" w:rsidP="001136E3">
      <w:pPr>
        <w:pStyle w:val="NoSpacing"/>
        <w:spacing w:line="360" w:lineRule="auto"/>
        <w:ind w:left="0"/>
        <w:rPr>
          <w:rFonts w:asciiTheme="majorBidi" w:hAnsiTheme="majorBidi" w:cstheme="majorBidi"/>
          <w:b/>
          <w:bCs/>
          <w:sz w:val="22"/>
        </w:rPr>
      </w:pPr>
      <w:r w:rsidRPr="009418E7">
        <w:rPr>
          <w:rFonts w:asciiTheme="majorBidi" w:hAnsiTheme="majorBidi" w:cstheme="majorBidi"/>
          <w:b/>
          <w:bCs/>
          <w:sz w:val="22"/>
        </w:rPr>
        <w:t>Method</w:t>
      </w:r>
    </w:p>
    <w:p w14:paraId="6CDCA192" w14:textId="516E04AA" w:rsidR="00D40583" w:rsidRPr="009418E7" w:rsidRDefault="00D40583" w:rsidP="001136E3">
      <w:pPr>
        <w:pStyle w:val="NoSpacing"/>
        <w:spacing w:line="360" w:lineRule="auto"/>
        <w:ind w:left="0"/>
        <w:rPr>
          <w:rFonts w:asciiTheme="majorBidi" w:hAnsiTheme="majorBidi" w:cstheme="majorBidi"/>
          <w:sz w:val="22"/>
        </w:rPr>
      </w:pPr>
      <w:r w:rsidRPr="009418E7">
        <w:rPr>
          <w:rFonts w:asciiTheme="majorBidi" w:hAnsiTheme="majorBidi" w:cstheme="majorBidi"/>
          <w:sz w:val="22"/>
        </w:rPr>
        <w:t xml:space="preserve">The research design was a </w:t>
      </w:r>
      <w:r w:rsidR="00796940" w:rsidRPr="009418E7">
        <w:rPr>
          <w:rFonts w:asciiTheme="majorBidi" w:hAnsiTheme="majorBidi" w:cstheme="majorBidi"/>
          <w:sz w:val="22"/>
        </w:rPr>
        <w:t>cross-sectional study and was conducted from February to September 2021</w:t>
      </w:r>
      <w:r w:rsidR="0009250F" w:rsidRPr="009418E7">
        <w:rPr>
          <w:rFonts w:asciiTheme="majorBidi" w:hAnsiTheme="majorBidi" w:cstheme="majorBidi"/>
          <w:sz w:val="22"/>
        </w:rPr>
        <w:t xml:space="preserve"> in</w:t>
      </w:r>
      <w:r w:rsidR="00796940" w:rsidRPr="009418E7">
        <w:rPr>
          <w:rFonts w:asciiTheme="majorBidi" w:hAnsiTheme="majorBidi" w:cstheme="majorBidi"/>
          <w:sz w:val="22"/>
        </w:rPr>
        <w:t xml:space="preserve"> </w:t>
      </w:r>
      <w:r w:rsidR="0009250F" w:rsidRPr="009418E7">
        <w:rPr>
          <w:rFonts w:asciiTheme="majorBidi" w:hAnsiTheme="majorBidi" w:cstheme="majorBidi"/>
          <w:sz w:val="22"/>
        </w:rPr>
        <w:t>t</w:t>
      </w:r>
      <w:r w:rsidR="00796940" w:rsidRPr="009418E7">
        <w:rPr>
          <w:rFonts w:asciiTheme="majorBidi" w:hAnsiTheme="majorBidi" w:cstheme="majorBidi"/>
          <w:sz w:val="22"/>
        </w:rPr>
        <w:t>en primary schools located in Obio-Akpor LGA</w:t>
      </w:r>
      <w:r w:rsidR="00A4368F" w:rsidRPr="009418E7">
        <w:rPr>
          <w:rFonts w:asciiTheme="majorBidi" w:hAnsiTheme="majorBidi" w:cstheme="majorBidi"/>
          <w:sz w:val="22"/>
        </w:rPr>
        <w:t>.</w:t>
      </w:r>
      <w:r w:rsidR="0009250F" w:rsidRPr="009418E7">
        <w:rPr>
          <w:rFonts w:asciiTheme="majorBidi" w:hAnsiTheme="majorBidi" w:cstheme="majorBidi"/>
          <w:sz w:val="22"/>
        </w:rPr>
        <w:t xml:space="preserve"> Simple random sampling technique was used and according to Taro-Yamane’s formula 1997, sample size required for this study was 400.</w:t>
      </w:r>
      <w:r w:rsidR="00A4368F" w:rsidRPr="009418E7">
        <w:rPr>
          <w:rFonts w:asciiTheme="majorBidi" w:hAnsiTheme="majorBidi" w:cstheme="majorBidi"/>
          <w:sz w:val="22"/>
        </w:rPr>
        <w:t xml:space="preserve"> </w:t>
      </w:r>
      <w:r w:rsidR="00796940" w:rsidRPr="009418E7">
        <w:rPr>
          <w:rFonts w:asciiTheme="majorBidi" w:hAnsiTheme="majorBidi" w:cstheme="majorBidi"/>
          <w:sz w:val="22"/>
        </w:rPr>
        <w:t xml:space="preserve">480 </w:t>
      </w:r>
      <w:r w:rsidR="0009250F" w:rsidRPr="009418E7">
        <w:rPr>
          <w:rFonts w:asciiTheme="majorBidi" w:hAnsiTheme="majorBidi" w:cstheme="majorBidi"/>
          <w:sz w:val="22"/>
        </w:rPr>
        <w:t>students who consented participated</w:t>
      </w:r>
      <w:r w:rsidR="00796940" w:rsidRPr="009418E7">
        <w:rPr>
          <w:rFonts w:asciiTheme="majorBidi" w:hAnsiTheme="majorBidi" w:cstheme="majorBidi"/>
          <w:sz w:val="22"/>
        </w:rPr>
        <w:t xml:space="preserve"> in</w:t>
      </w:r>
      <w:r w:rsidR="00A4368F" w:rsidRPr="009418E7">
        <w:rPr>
          <w:rFonts w:asciiTheme="majorBidi" w:hAnsiTheme="majorBidi" w:cstheme="majorBidi"/>
          <w:sz w:val="22"/>
        </w:rPr>
        <w:t xml:space="preserve"> the stu</w:t>
      </w:r>
      <w:r w:rsidR="0009250F" w:rsidRPr="009418E7">
        <w:rPr>
          <w:rFonts w:asciiTheme="majorBidi" w:hAnsiTheme="majorBidi" w:cstheme="majorBidi"/>
          <w:sz w:val="22"/>
        </w:rPr>
        <w:t>dy. Approval was obtained from the Faculty of Basic Medical Sciences University of Port Harcourt.</w:t>
      </w:r>
    </w:p>
    <w:p w14:paraId="39D47655" w14:textId="23B245D4" w:rsidR="00AA6FEB" w:rsidRPr="009418E7" w:rsidRDefault="00AA6FEB" w:rsidP="001136E3">
      <w:pPr>
        <w:spacing w:after="0" w:line="360" w:lineRule="auto"/>
        <w:jc w:val="both"/>
        <w:rPr>
          <w:rFonts w:asciiTheme="majorBidi" w:hAnsiTheme="majorBidi" w:cstheme="majorBidi"/>
        </w:rPr>
      </w:pPr>
      <w:r w:rsidRPr="009418E7">
        <w:rPr>
          <w:rFonts w:asciiTheme="majorBidi" w:hAnsiTheme="majorBidi" w:cstheme="majorBidi"/>
        </w:rPr>
        <w:t>The inclusion criteria involved pupils within ages 3-9 in the randomly selected schools. Pupils with no form of limb paralysis, accident or deformity, injury and with no history of foot surgery. Exclusion criteria included sick children and those who did not meet up with the inclusion criteria</w:t>
      </w:r>
      <w:r w:rsidR="00FF1DD8" w:rsidRPr="009418E7">
        <w:rPr>
          <w:rFonts w:asciiTheme="majorBidi" w:hAnsiTheme="majorBidi" w:cstheme="majorBidi"/>
        </w:rPr>
        <w:t xml:space="preserve">. Demographic data of every participant was taken. The height of each subject was measured to the nearest 0.01m while standing in anatomical position with back resting on the wall, using a measuring tape. The weight was also measured </w:t>
      </w:r>
      <w:r w:rsidR="00BE668E" w:rsidRPr="009418E7">
        <w:rPr>
          <w:rFonts w:asciiTheme="majorBidi" w:hAnsiTheme="majorBidi" w:cstheme="majorBidi"/>
        </w:rPr>
        <w:t xml:space="preserve">to the nearest 0.5kg </w:t>
      </w:r>
      <w:r w:rsidR="00FF1DD8" w:rsidRPr="009418E7">
        <w:rPr>
          <w:rFonts w:asciiTheme="majorBidi" w:hAnsiTheme="majorBidi" w:cstheme="majorBidi"/>
        </w:rPr>
        <w:t>using a s</w:t>
      </w:r>
      <w:r w:rsidR="00BE668E" w:rsidRPr="009418E7">
        <w:rPr>
          <w:rFonts w:asciiTheme="majorBidi" w:hAnsiTheme="majorBidi" w:cstheme="majorBidi"/>
        </w:rPr>
        <w:t>cale</w:t>
      </w:r>
      <w:r w:rsidR="00FF1DD8" w:rsidRPr="009418E7">
        <w:rPr>
          <w:rFonts w:asciiTheme="majorBidi" w:hAnsiTheme="majorBidi" w:cstheme="majorBidi"/>
        </w:rPr>
        <w:t xml:space="preserve"> </w:t>
      </w:r>
      <w:r w:rsidR="00BE668E" w:rsidRPr="009418E7">
        <w:rPr>
          <w:rFonts w:asciiTheme="majorBidi" w:hAnsiTheme="majorBidi" w:cstheme="majorBidi"/>
        </w:rPr>
        <w:t>with the subject on bare foot both for the weight and height measuring procedures. The subject was considered underweight if the BMI was less than 18.5kg/m</w:t>
      </w:r>
      <w:r w:rsidR="00BE668E" w:rsidRPr="009418E7">
        <w:rPr>
          <w:rFonts w:asciiTheme="majorBidi" w:hAnsiTheme="majorBidi" w:cstheme="majorBidi"/>
          <w:vertAlign w:val="superscript"/>
        </w:rPr>
        <w:t xml:space="preserve">2, </w:t>
      </w:r>
      <w:r w:rsidR="00BE668E" w:rsidRPr="009418E7">
        <w:rPr>
          <w:rFonts w:asciiTheme="majorBidi" w:hAnsiTheme="majorBidi" w:cstheme="majorBidi"/>
        </w:rPr>
        <w:t xml:space="preserve">normal weight if </w:t>
      </w:r>
      <w:r w:rsidR="00BE668E" w:rsidRPr="009418E7">
        <w:rPr>
          <w:rFonts w:asciiTheme="majorBidi" w:hAnsiTheme="majorBidi" w:cstheme="majorBidi"/>
        </w:rPr>
        <w:lastRenderedPageBreak/>
        <w:t>between 18.5 and 24.9kg/m</w:t>
      </w:r>
      <w:r w:rsidR="00BE668E" w:rsidRPr="009418E7">
        <w:rPr>
          <w:rFonts w:asciiTheme="majorBidi" w:hAnsiTheme="majorBidi" w:cstheme="majorBidi"/>
          <w:vertAlign w:val="superscript"/>
        </w:rPr>
        <w:t>2</w:t>
      </w:r>
      <w:r w:rsidR="00BE668E" w:rsidRPr="009418E7">
        <w:rPr>
          <w:rFonts w:asciiTheme="majorBidi" w:hAnsiTheme="majorBidi" w:cstheme="majorBidi"/>
        </w:rPr>
        <w:t xml:space="preserve"> overweight if BMI was between 25 and 29.9kg/m</w:t>
      </w:r>
      <w:r w:rsidR="00BE668E" w:rsidRPr="009418E7">
        <w:rPr>
          <w:rFonts w:asciiTheme="majorBidi" w:hAnsiTheme="majorBidi" w:cstheme="majorBidi"/>
          <w:vertAlign w:val="superscript"/>
        </w:rPr>
        <w:t>2</w:t>
      </w:r>
      <w:r w:rsidR="00BE668E" w:rsidRPr="009418E7">
        <w:rPr>
          <w:rFonts w:asciiTheme="majorBidi" w:hAnsiTheme="majorBidi" w:cstheme="majorBidi"/>
        </w:rPr>
        <w:t xml:space="preserve"> and obese if it was greater than 30kg/m</w:t>
      </w:r>
      <w:r w:rsidR="00BE668E" w:rsidRPr="009418E7">
        <w:rPr>
          <w:rFonts w:asciiTheme="majorBidi" w:hAnsiTheme="majorBidi" w:cstheme="majorBidi"/>
          <w:vertAlign w:val="superscript"/>
        </w:rPr>
        <w:t>2</w:t>
      </w:r>
      <w:r w:rsidR="00BE668E" w:rsidRPr="009418E7">
        <w:rPr>
          <w:rFonts w:asciiTheme="majorBidi" w:hAnsiTheme="majorBidi" w:cstheme="majorBidi"/>
        </w:rPr>
        <w:t>.</w:t>
      </w:r>
    </w:p>
    <w:p w14:paraId="2EC0488E" w14:textId="69BA6584" w:rsidR="00630BC9" w:rsidRPr="009418E7" w:rsidRDefault="00BE668E" w:rsidP="001136E3">
      <w:pPr>
        <w:spacing w:after="0" w:line="360" w:lineRule="auto"/>
        <w:jc w:val="both"/>
        <w:rPr>
          <w:rFonts w:asciiTheme="majorBidi" w:hAnsiTheme="majorBidi" w:cstheme="majorBidi"/>
        </w:rPr>
      </w:pPr>
      <w:r w:rsidRPr="009418E7">
        <w:rPr>
          <w:rFonts w:asciiTheme="majorBidi" w:hAnsiTheme="majorBidi" w:cstheme="majorBidi"/>
        </w:rPr>
        <w:t xml:space="preserve">The flatfoot evaluation was obtained by means of the foot print and </w:t>
      </w:r>
      <w:r w:rsidR="008E2395" w:rsidRPr="009418E7">
        <w:rPr>
          <w:rFonts w:asciiTheme="majorBidi" w:hAnsiTheme="majorBidi" w:cstheme="majorBidi"/>
        </w:rPr>
        <w:t xml:space="preserve">Staheli Plantar Arch Index </w:t>
      </w:r>
      <w:r w:rsidRPr="009418E7">
        <w:rPr>
          <w:rFonts w:asciiTheme="majorBidi" w:hAnsiTheme="majorBidi" w:cstheme="majorBidi"/>
        </w:rPr>
        <w:t xml:space="preserve">which establishes the ratio between the central and posterior regions of the foot print. The foot after imprinted on the A4 paper shall be graded using the Staheli Plantar arch index method (PI). </w:t>
      </w:r>
      <w:r w:rsidR="00630BC9" w:rsidRPr="009418E7">
        <w:rPr>
          <w:rFonts w:asciiTheme="majorBidi" w:hAnsiTheme="majorBidi" w:cstheme="majorBidi"/>
        </w:rPr>
        <w:t>Using a lead pencil, a line was drawn tangent to the medial fore foot edge of the heel region. The mid-point of this line was determined. From this point a perpendicular line was drawn crossing the foot print. The same procedure was repeated for the heel tangency point. The perpendicular distance (A the perpendicular line representing the width covered by the ink from the medial edge to the lateral</w:t>
      </w:r>
    </w:p>
    <w:p w14:paraId="21AC3F76" w14:textId="77777777" w:rsidR="00630BC9" w:rsidRPr="009418E7" w:rsidRDefault="00630BC9" w:rsidP="001136E3">
      <w:pPr>
        <w:spacing w:after="0" w:line="360" w:lineRule="auto"/>
        <w:jc w:val="both"/>
        <w:rPr>
          <w:rFonts w:asciiTheme="majorBidi" w:hAnsiTheme="majorBidi" w:cstheme="majorBidi"/>
        </w:rPr>
      </w:pPr>
      <w:r w:rsidRPr="009418E7">
        <w:rPr>
          <w:rFonts w:asciiTheme="majorBidi" w:hAnsiTheme="majorBidi" w:cstheme="majorBidi"/>
        </w:rPr>
        <w:t xml:space="preserve">edge of the midfoot) was measured. Also, a second perpendicular distance (B the perpendicular line representing the width covered by the ink from the medial edge to the lateral edge of the rearfoot). The PI was then calculated by dividing the value of A by the value of B. An individual was considered to have flat foot, if his\her PI value was &gt;1.15. This is well validated method of measuring the PI. Adopted from Ezema </w:t>
      </w:r>
      <w:r w:rsidRPr="009418E7">
        <w:rPr>
          <w:rFonts w:asciiTheme="majorBidi" w:hAnsiTheme="majorBidi" w:cstheme="majorBidi"/>
          <w:i/>
          <w:iCs/>
        </w:rPr>
        <w:t>et al.,</w:t>
      </w:r>
      <w:r w:rsidRPr="009418E7">
        <w:rPr>
          <w:rFonts w:asciiTheme="majorBidi" w:hAnsiTheme="majorBidi" w:cstheme="majorBidi"/>
        </w:rPr>
        <w:t xml:space="preserve"> (2013) and many other researchers.</w:t>
      </w:r>
    </w:p>
    <w:p w14:paraId="4C2A22C0" w14:textId="77777777" w:rsidR="00630BC9" w:rsidRPr="009418E7" w:rsidRDefault="00630BC9" w:rsidP="001136E3">
      <w:pPr>
        <w:spacing w:after="0" w:line="360" w:lineRule="auto"/>
        <w:jc w:val="both"/>
        <w:rPr>
          <w:rFonts w:asciiTheme="majorBidi" w:hAnsiTheme="majorBidi" w:cstheme="majorBidi"/>
        </w:rPr>
      </w:pPr>
      <w:r w:rsidRPr="009418E7">
        <w:rPr>
          <w:rFonts w:asciiTheme="majorBidi" w:hAnsiTheme="majorBidi" w:cstheme="majorBidi"/>
        </w:rPr>
        <w:t>Descriptive statistics of mean and standard deviation is used to establish cut-offs and social demographic variables shall be analyzed. Categorical variables were analyzed using T-test analysis and ANOVA. The gender variability of participants was also grouped and compared with the prevalence of flatfoot. All these were analyzed using Statistical Package for Social Sciences (SPSS) version 23.0.</w:t>
      </w:r>
    </w:p>
    <w:p w14:paraId="65316041" w14:textId="7DCCFEF3" w:rsidR="00DE492B" w:rsidRPr="009418E7" w:rsidRDefault="00DE492B" w:rsidP="001136E3">
      <w:pPr>
        <w:spacing w:line="360" w:lineRule="auto"/>
        <w:jc w:val="both"/>
        <w:rPr>
          <w:rFonts w:asciiTheme="majorBidi" w:hAnsiTheme="majorBidi" w:cstheme="majorBidi"/>
        </w:rPr>
      </w:pPr>
    </w:p>
    <w:p w14:paraId="3C5DAEC2" w14:textId="6687DF82" w:rsidR="001136E3" w:rsidRPr="009418E7" w:rsidRDefault="001136E3" w:rsidP="001136E3">
      <w:pPr>
        <w:spacing w:line="360" w:lineRule="auto"/>
        <w:jc w:val="both"/>
        <w:rPr>
          <w:rFonts w:asciiTheme="majorBidi" w:hAnsiTheme="majorBidi" w:cstheme="majorBidi"/>
          <w:b/>
          <w:bCs/>
        </w:rPr>
      </w:pPr>
      <w:r w:rsidRPr="009418E7">
        <w:rPr>
          <w:rFonts w:asciiTheme="majorBidi" w:hAnsiTheme="majorBidi" w:cstheme="majorBidi"/>
          <w:b/>
          <w:bCs/>
        </w:rPr>
        <w:t>Results</w:t>
      </w:r>
    </w:p>
    <w:p w14:paraId="75CE3E0C" w14:textId="477B4DEF" w:rsidR="001136E3" w:rsidRPr="009418E7" w:rsidRDefault="001136E3" w:rsidP="001136E3">
      <w:pPr>
        <w:spacing w:line="360" w:lineRule="auto"/>
        <w:jc w:val="both"/>
        <w:rPr>
          <w:rFonts w:asciiTheme="majorBidi" w:hAnsiTheme="majorBidi" w:cstheme="majorBidi"/>
        </w:rPr>
      </w:pPr>
      <w:r w:rsidRPr="009418E7">
        <w:rPr>
          <w:rFonts w:asciiTheme="majorBidi" w:hAnsiTheme="majorBidi" w:cstheme="majorBidi"/>
        </w:rPr>
        <w:t xml:space="preserve">There were 240 (50%) female participants and 240 (50%) male participants totaling 480 participants. 228 (95%) girls had normal feet, 8 (3.33%) had unilateral flatfoot condition of either the left or right foot while 4 (1.67%) had bilateral flatfoot giving a total of 12 (5%) flatfoot incidence in the females. 188 (78.33%) boys had normal feet, 36 (15.00%) had unilateral flatfoot condition of either the left or right foot while 16 (6.67%) had bilateral flatfoot giving a total of 52 (21.67%) boys with flatfoot incidence. Of the total 480 (100%) participants, 416 (86.67%) were free from flatfoot, 44 (9.17%) had unilateral flatfoot and 20 (4.17%) had bilateral flatfoot condition giving a total of 64 (13.33%) flatfoot incidence.  </w:t>
      </w:r>
    </w:p>
    <w:p w14:paraId="4F70A5AA" w14:textId="77777777" w:rsidR="005C3CB6" w:rsidRPr="009418E7" w:rsidRDefault="005C3CB6" w:rsidP="005C3CB6">
      <w:pPr>
        <w:spacing w:line="360" w:lineRule="auto"/>
        <w:jc w:val="both"/>
        <w:rPr>
          <w:rFonts w:asciiTheme="majorBidi" w:hAnsiTheme="majorBidi" w:cstheme="majorBidi"/>
          <w:b/>
          <w:bCs/>
        </w:rPr>
      </w:pPr>
      <w:r w:rsidRPr="009418E7">
        <w:rPr>
          <w:rFonts w:asciiTheme="majorBidi" w:hAnsiTheme="majorBidi" w:cstheme="majorBidi"/>
          <w:b/>
          <w:bCs/>
        </w:rPr>
        <w:t>Table 1 showing the percentage distribution of Normal foot, Unilateral flatfoot, Bilateral flatfoot and Total flatfoot.</w:t>
      </w:r>
    </w:p>
    <w:tbl>
      <w:tblPr>
        <w:tblW w:w="9360" w:type="dxa"/>
        <w:tblLook w:val="04A0" w:firstRow="1" w:lastRow="0" w:firstColumn="1" w:lastColumn="0" w:noHBand="0" w:noVBand="1"/>
      </w:tblPr>
      <w:tblGrid>
        <w:gridCol w:w="1152"/>
        <w:gridCol w:w="548"/>
        <w:gridCol w:w="1059"/>
        <w:gridCol w:w="676"/>
        <w:gridCol w:w="921"/>
        <w:gridCol w:w="437"/>
        <w:gridCol w:w="1320"/>
        <w:gridCol w:w="437"/>
        <w:gridCol w:w="1224"/>
        <w:gridCol w:w="437"/>
        <w:gridCol w:w="1149"/>
      </w:tblGrid>
      <w:tr w:rsidR="004E3B83" w:rsidRPr="009418E7" w14:paraId="6F560B7A" w14:textId="77777777" w:rsidTr="004E3B83">
        <w:trPr>
          <w:trHeight w:val="358"/>
        </w:trPr>
        <w:tc>
          <w:tcPr>
            <w:tcW w:w="1104" w:type="dxa"/>
            <w:vMerge w:val="restart"/>
            <w:tcBorders>
              <w:top w:val="single" w:sz="4" w:space="0" w:color="auto"/>
              <w:left w:val="nil"/>
              <w:bottom w:val="single" w:sz="4" w:space="0" w:color="000000"/>
              <w:right w:val="nil"/>
            </w:tcBorders>
            <w:noWrap/>
            <w:vAlign w:val="center"/>
            <w:hideMark/>
          </w:tcPr>
          <w:p w14:paraId="467B2D75" w14:textId="77777777" w:rsidR="004E3B83" w:rsidRPr="009418E7" w:rsidRDefault="004E3B83" w:rsidP="004E3B83">
            <w:pPr>
              <w:spacing w:after="0" w:line="240" w:lineRule="auto"/>
              <w:jc w:val="center"/>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GENDER</w:t>
            </w:r>
          </w:p>
        </w:tc>
        <w:tc>
          <w:tcPr>
            <w:tcW w:w="1616" w:type="dxa"/>
            <w:gridSpan w:val="2"/>
            <w:tcBorders>
              <w:top w:val="single" w:sz="4" w:space="0" w:color="auto"/>
              <w:left w:val="nil"/>
              <w:bottom w:val="nil"/>
              <w:right w:val="nil"/>
            </w:tcBorders>
            <w:noWrap/>
            <w:vAlign w:val="bottom"/>
            <w:hideMark/>
          </w:tcPr>
          <w:p w14:paraId="7E8BB831" w14:textId="77777777" w:rsidR="004E3B83" w:rsidRPr="009418E7" w:rsidRDefault="004E3B83" w:rsidP="004E3B83">
            <w:pPr>
              <w:spacing w:after="0" w:line="240" w:lineRule="auto"/>
              <w:jc w:val="center"/>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Frequency</w:t>
            </w:r>
          </w:p>
        </w:tc>
        <w:tc>
          <w:tcPr>
            <w:tcW w:w="1606" w:type="dxa"/>
            <w:gridSpan w:val="2"/>
            <w:tcBorders>
              <w:top w:val="single" w:sz="4" w:space="0" w:color="auto"/>
              <w:left w:val="nil"/>
              <w:bottom w:val="nil"/>
              <w:right w:val="nil"/>
            </w:tcBorders>
            <w:noWrap/>
            <w:vAlign w:val="bottom"/>
            <w:hideMark/>
          </w:tcPr>
          <w:p w14:paraId="51263612"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NORMAL FOOT</w:t>
            </w:r>
          </w:p>
        </w:tc>
        <w:tc>
          <w:tcPr>
            <w:tcW w:w="1768" w:type="dxa"/>
            <w:gridSpan w:val="2"/>
            <w:tcBorders>
              <w:top w:val="single" w:sz="4" w:space="0" w:color="auto"/>
              <w:left w:val="nil"/>
              <w:bottom w:val="nil"/>
              <w:right w:val="nil"/>
            </w:tcBorders>
            <w:noWrap/>
            <w:vAlign w:val="bottom"/>
            <w:hideMark/>
          </w:tcPr>
          <w:p w14:paraId="41F53D8F"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UNILATERAL FLATFOOT</w:t>
            </w:r>
          </w:p>
        </w:tc>
        <w:tc>
          <w:tcPr>
            <w:tcW w:w="1671" w:type="dxa"/>
            <w:gridSpan w:val="2"/>
            <w:tcBorders>
              <w:top w:val="single" w:sz="4" w:space="0" w:color="auto"/>
              <w:left w:val="nil"/>
              <w:bottom w:val="nil"/>
              <w:right w:val="nil"/>
            </w:tcBorders>
            <w:noWrap/>
            <w:vAlign w:val="bottom"/>
            <w:hideMark/>
          </w:tcPr>
          <w:p w14:paraId="78477BCD"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BILATERAL FLATFOOT</w:t>
            </w:r>
          </w:p>
        </w:tc>
        <w:tc>
          <w:tcPr>
            <w:tcW w:w="1595" w:type="dxa"/>
            <w:gridSpan w:val="2"/>
            <w:tcBorders>
              <w:top w:val="single" w:sz="4" w:space="0" w:color="auto"/>
              <w:left w:val="nil"/>
              <w:bottom w:val="nil"/>
              <w:right w:val="nil"/>
            </w:tcBorders>
            <w:noWrap/>
            <w:vAlign w:val="bottom"/>
            <w:hideMark/>
          </w:tcPr>
          <w:p w14:paraId="6965540B"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TOTAL FLATFOOT</w:t>
            </w:r>
          </w:p>
        </w:tc>
      </w:tr>
      <w:tr w:rsidR="004E3B83" w:rsidRPr="009418E7" w14:paraId="3DFAFFE0" w14:textId="77777777" w:rsidTr="004E3B83">
        <w:trPr>
          <w:trHeight w:val="358"/>
        </w:trPr>
        <w:tc>
          <w:tcPr>
            <w:tcW w:w="1104" w:type="dxa"/>
            <w:vMerge/>
            <w:tcBorders>
              <w:top w:val="single" w:sz="4" w:space="0" w:color="auto"/>
              <w:left w:val="nil"/>
              <w:bottom w:val="single" w:sz="4" w:space="0" w:color="000000"/>
              <w:right w:val="nil"/>
            </w:tcBorders>
            <w:vAlign w:val="center"/>
            <w:hideMark/>
          </w:tcPr>
          <w:p w14:paraId="53032D39" w14:textId="77777777" w:rsidR="004E3B83" w:rsidRPr="009418E7" w:rsidRDefault="004E3B83" w:rsidP="004E3B83">
            <w:pPr>
              <w:spacing w:after="0" w:line="240" w:lineRule="auto"/>
              <w:rPr>
                <w:rFonts w:asciiTheme="majorBidi" w:eastAsia="Times New Roman" w:hAnsiTheme="majorBidi" w:cstheme="majorBidi"/>
                <w:b/>
                <w:bCs/>
                <w:color w:val="000000"/>
              </w:rPr>
            </w:pPr>
          </w:p>
        </w:tc>
        <w:tc>
          <w:tcPr>
            <w:tcW w:w="550" w:type="dxa"/>
            <w:tcBorders>
              <w:top w:val="single" w:sz="4" w:space="0" w:color="auto"/>
              <w:left w:val="nil"/>
              <w:bottom w:val="single" w:sz="4" w:space="0" w:color="auto"/>
              <w:right w:val="nil"/>
            </w:tcBorders>
            <w:noWrap/>
            <w:vAlign w:val="bottom"/>
            <w:hideMark/>
          </w:tcPr>
          <w:p w14:paraId="3BEABEBF" w14:textId="77777777" w:rsidR="004E3B83" w:rsidRPr="009418E7" w:rsidRDefault="004E3B83" w:rsidP="004E3B83">
            <w:pPr>
              <w:spacing w:after="0" w:line="240" w:lineRule="auto"/>
              <w:jc w:val="center"/>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N</w:t>
            </w:r>
          </w:p>
        </w:tc>
        <w:tc>
          <w:tcPr>
            <w:tcW w:w="1066" w:type="dxa"/>
            <w:tcBorders>
              <w:top w:val="single" w:sz="4" w:space="0" w:color="auto"/>
              <w:left w:val="nil"/>
              <w:bottom w:val="single" w:sz="4" w:space="0" w:color="auto"/>
              <w:right w:val="nil"/>
            </w:tcBorders>
            <w:noWrap/>
            <w:vAlign w:val="bottom"/>
            <w:hideMark/>
          </w:tcPr>
          <w:p w14:paraId="37A47376" w14:textId="109F8355"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w:t>
            </w:r>
          </w:p>
        </w:tc>
        <w:tc>
          <w:tcPr>
            <w:tcW w:w="680" w:type="dxa"/>
            <w:tcBorders>
              <w:top w:val="single" w:sz="4" w:space="0" w:color="auto"/>
              <w:left w:val="nil"/>
              <w:bottom w:val="single" w:sz="4" w:space="0" w:color="auto"/>
              <w:right w:val="nil"/>
            </w:tcBorders>
            <w:noWrap/>
            <w:vAlign w:val="bottom"/>
            <w:hideMark/>
          </w:tcPr>
          <w:p w14:paraId="3AEE5A0C"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N</w:t>
            </w:r>
          </w:p>
        </w:tc>
        <w:tc>
          <w:tcPr>
            <w:tcW w:w="926" w:type="dxa"/>
            <w:tcBorders>
              <w:top w:val="single" w:sz="4" w:space="0" w:color="auto"/>
              <w:left w:val="nil"/>
              <w:bottom w:val="single" w:sz="4" w:space="0" w:color="auto"/>
              <w:right w:val="nil"/>
            </w:tcBorders>
            <w:noWrap/>
            <w:vAlign w:val="bottom"/>
            <w:hideMark/>
          </w:tcPr>
          <w:p w14:paraId="65015294" w14:textId="49938CB8"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w:t>
            </w:r>
          </w:p>
        </w:tc>
        <w:tc>
          <w:tcPr>
            <w:tcW w:w="439" w:type="dxa"/>
            <w:tcBorders>
              <w:top w:val="single" w:sz="4" w:space="0" w:color="auto"/>
              <w:left w:val="nil"/>
              <w:bottom w:val="single" w:sz="4" w:space="0" w:color="auto"/>
              <w:right w:val="nil"/>
            </w:tcBorders>
            <w:noWrap/>
            <w:vAlign w:val="bottom"/>
            <w:hideMark/>
          </w:tcPr>
          <w:p w14:paraId="7EC9D7E5"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N</w:t>
            </w:r>
          </w:p>
        </w:tc>
        <w:tc>
          <w:tcPr>
            <w:tcW w:w="1329" w:type="dxa"/>
            <w:tcBorders>
              <w:top w:val="single" w:sz="4" w:space="0" w:color="auto"/>
              <w:left w:val="nil"/>
              <w:bottom w:val="single" w:sz="4" w:space="0" w:color="auto"/>
              <w:right w:val="nil"/>
            </w:tcBorders>
            <w:noWrap/>
            <w:vAlign w:val="bottom"/>
            <w:hideMark/>
          </w:tcPr>
          <w:p w14:paraId="206C6E1F" w14:textId="21358630"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w:t>
            </w:r>
          </w:p>
        </w:tc>
        <w:tc>
          <w:tcPr>
            <w:tcW w:w="439" w:type="dxa"/>
            <w:tcBorders>
              <w:top w:val="single" w:sz="4" w:space="0" w:color="auto"/>
              <w:left w:val="nil"/>
              <w:bottom w:val="single" w:sz="4" w:space="0" w:color="auto"/>
              <w:right w:val="nil"/>
            </w:tcBorders>
            <w:noWrap/>
            <w:vAlign w:val="bottom"/>
            <w:hideMark/>
          </w:tcPr>
          <w:p w14:paraId="7AC94D89"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N</w:t>
            </w:r>
          </w:p>
        </w:tc>
        <w:tc>
          <w:tcPr>
            <w:tcW w:w="1232" w:type="dxa"/>
            <w:tcBorders>
              <w:top w:val="single" w:sz="4" w:space="0" w:color="auto"/>
              <w:left w:val="nil"/>
              <w:bottom w:val="single" w:sz="4" w:space="0" w:color="auto"/>
              <w:right w:val="nil"/>
            </w:tcBorders>
            <w:noWrap/>
            <w:vAlign w:val="bottom"/>
            <w:hideMark/>
          </w:tcPr>
          <w:p w14:paraId="17B07C67" w14:textId="7702037F"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w:t>
            </w:r>
          </w:p>
        </w:tc>
        <w:tc>
          <w:tcPr>
            <w:tcW w:w="439" w:type="dxa"/>
            <w:tcBorders>
              <w:top w:val="single" w:sz="4" w:space="0" w:color="auto"/>
              <w:left w:val="nil"/>
              <w:bottom w:val="single" w:sz="4" w:space="0" w:color="auto"/>
              <w:right w:val="nil"/>
            </w:tcBorders>
            <w:noWrap/>
            <w:vAlign w:val="bottom"/>
            <w:hideMark/>
          </w:tcPr>
          <w:p w14:paraId="68A14A2A"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N</w:t>
            </w:r>
          </w:p>
        </w:tc>
        <w:tc>
          <w:tcPr>
            <w:tcW w:w="1156" w:type="dxa"/>
            <w:tcBorders>
              <w:top w:val="single" w:sz="4" w:space="0" w:color="auto"/>
              <w:left w:val="nil"/>
              <w:bottom w:val="single" w:sz="4" w:space="0" w:color="auto"/>
              <w:right w:val="nil"/>
            </w:tcBorders>
            <w:noWrap/>
            <w:vAlign w:val="bottom"/>
            <w:hideMark/>
          </w:tcPr>
          <w:p w14:paraId="0EA729CB" w14:textId="5D0C2891"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w:t>
            </w:r>
          </w:p>
        </w:tc>
      </w:tr>
      <w:tr w:rsidR="004E3B83" w:rsidRPr="009418E7" w14:paraId="497EC061" w14:textId="77777777" w:rsidTr="004E3B83">
        <w:trPr>
          <w:trHeight w:val="358"/>
        </w:trPr>
        <w:tc>
          <w:tcPr>
            <w:tcW w:w="1104" w:type="dxa"/>
            <w:tcBorders>
              <w:top w:val="nil"/>
              <w:left w:val="nil"/>
              <w:bottom w:val="nil"/>
              <w:right w:val="nil"/>
            </w:tcBorders>
            <w:noWrap/>
            <w:vAlign w:val="bottom"/>
            <w:hideMark/>
          </w:tcPr>
          <w:p w14:paraId="613717E1" w14:textId="3D8D1431" w:rsidR="004E3B83" w:rsidRPr="009418E7" w:rsidRDefault="004E3B83" w:rsidP="004E3B83">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 xml:space="preserve">Female </w:t>
            </w:r>
          </w:p>
        </w:tc>
        <w:tc>
          <w:tcPr>
            <w:tcW w:w="550" w:type="dxa"/>
            <w:tcBorders>
              <w:top w:val="nil"/>
              <w:left w:val="nil"/>
              <w:bottom w:val="nil"/>
              <w:right w:val="nil"/>
            </w:tcBorders>
            <w:noWrap/>
            <w:vAlign w:val="bottom"/>
            <w:hideMark/>
          </w:tcPr>
          <w:p w14:paraId="199BF4F9" w14:textId="77777777" w:rsidR="004E3B83" w:rsidRPr="009418E7" w:rsidRDefault="004E3B83" w:rsidP="004E3B83">
            <w:pPr>
              <w:spacing w:after="0" w:line="240" w:lineRule="auto"/>
              <w:jc w:val="center"/>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240</w:t>
            </w:r>
          </w:p>
        </w:tc>
        <w:tc>
          <w:tcPr>
            <w:tcW w:w="1066" w:type="dxa"/>
            <w:tcBorders>
              <w:top w:val="nil"/>
              <w:left w:val="nil"/>
              <w:bottom w:val="nil"/>
              <w:right w:val="nil"/>
            </w:tcBorders>
            <w:noWrap/>
            <w:vAlign w:val="bottom"/>
            <w:hideMark/>
          </w:tcPr>
          <w:p w14:paraId="0F11ACF5"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50.00</w:t>
            </w:r>
          </w:p>
        </w:tc>
        <w:tc>
          <w:tcPr>
            <w:tcW w:w="680" w:type="dxa"/>
            <w:tcBorders>
              <w:top w:val="nil"/>
              <w:left w:val="nil"/>
              <w:bottom w:val="nil"/>
              <w:right w:val="nil"/>
            </w:tcBorders>
            <w:noWrap/>
            <w:vAlign w:val="bottom"/>
            <w:hideMark/>
          </w:tcPr>
          <w:p w14:paraId="3424E4D5"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228</w:t>
            </w:r>
          </w:p>
        </w:tc>
        <w:tc>
          <w:tcPr>
            <w:tcW w:w="926" w:type="dxa"/>
            <w:tcBorders>
              <w:top w:val="nil"/>
              <w:left w:val="nil"/>
              <w:bottom w:val="nil"/>
              <w:right w:val="nil"/>
            </w:tcBorders>
            <w:noWrap/>
            <w:vAlign w:val="bottom"/>
            <w:hideMark/>
          </w:tcPr>
          <w:p w14:paraId="066B9134"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95.00</w:t>
            </w:r>
          </w:p>
        </w:tc>
        <w:tc>
          <w:tcPr>
            <w:tcW w:w="439" w:type="dxa"/>
            <w:tcBorders>
              <w:top w:val="nil"/>
              <w:left w:val="nil"/>
              <w:bottom w:val="nil"/>
              <w:right w:val="nil"/>
            </w:tcBorders>
            <w:noWrap/>
            <w:vAlign w:val="bottom"/>
            <w:hideMark/>
          </w:tcPr>
          <w:p w14:paraId="67AE38DA"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8</w:t>
            </w:r>
          </w:p>
        </w:tc>
        <w:tc>
          <w:tcPr>
            <w:tcW w:w="1329" w:type="dxa"/>
            <w:tcBorders>
              <w:top w:val="nil"/>
              <w:left w:val="nil"/>
              <w:bottom w:val="nil"/>
              <w:right w:val="nil"/>
            </w:tcBorders>
            <w:noWrap/>
            <w:vAlign w:val="bottom"/>
            <w:hideMark/>
          </w:tcPr>
          <w:p w14:paraId="21C7EF8B"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3.33</w:t>
            </w:r>
          </w:p>
        </w:tc>
        <w:tc>
          <w:tcPr>
            <w:tcW w:w="439" w:type="dxa"/>
            <w:tcBorders>
              <w:top w:val="nil"/>
              <w:left w:val="nil"/>
              <w:bottom w:val="nil"/>
              <w:right w:val="nil"/>
            </w:tcBorders>
            <w:noWrap/>
            <w:vAlign w:val="bottom"/>
            <w:hideMark/>
          </w:tcPr>
          <w:p w14:paraId="0E3D7400"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4</w:t>
            </w:r>
          </w:p>
        </w:tc>
        <w:tc>
          <w:tcPr>
            <w:tcW w:w="1232" w:type="dxa"/>
            <w:tcBorders>
              <w:top w:val="nil"/>
              <w:left w:val="nil"/>
              <w:bottom w:val="nil"/>
              <w:right w:val="nil"/>
            </w:tcBorders>
            <w:noWrap/>
            <w:vAlign w:val="bottom"/>
            <w:hideMark/>
          </w:tcPr>
          <w:p w14:paraId="6697E8EF"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1.67</w:t>
            </w:r>
          </w:p>
        </w:tc>
        <w:tc>
          <w:tcPr>
            <w:tcW w:w="439" w:type="dxa"/>
            <w:tcBorders>
              <w:top w:val="nil"/>
              <w:left w:val="nil"/>
              <w:bottom w:val="nil"/>
              <w:right w:val="nil"/>
            </w:tcBorders>
            <w:noWrap/>
            <w:vAlign w:val="bottom"/>
            <w:hideMark/>
          </w:tcPr>
          <w:p w14:paraId="6CCFF6DB"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12</w:t>
            </w:r>
          </w:p>
        </w:tc>
        <w:tc>
          <w:tcPr>
            <w:tcW w:w="1156" w:type="dxa"/>
            <w:tcBorders>
              <w:top w:val="nil"/>
              <w:left w:val="nil"/>
              <w:bottom w:val="nil"/>
              <w:right w:val="nil"/>
            </w:tcBorders>
            <w:noWrap/>
            <w:vAlign w:val="bottom"/>
            <w:hideMark/>
          </w:tcPr>
          <w:p w14:paraId="013E2E31"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5.00</w:t>
            </w:r>
          </w:p>
        </w:tc>
      </w:tr>
      <w:tr w:rsidR="004E3B83" w:rsidRPr="009418E7" w14:paraId="5379C039" w14:textId="77777777" w:rsidTr="004E3B83">
        <w:trPr>
          <w:trHeight w:val="358"/>
        </w:trPr>
        <w:tc>
          <w:tcPr>
            <w:tcW w:w="1104" w:type="dxa"/>
            <w:tcBorders>
              <w:top w:val="single" w:sz="4" w:space="0" w:color="auto"/>
              <w:left w:val="nil"/>
              <w:bottom w:val="single" w:sz="4" w:space="0" w:color="auto"/>
              <w:right w:val="nil"/>
            </w:tcBorders>
            <w:noWrap/>
            <w:vAlign w:val="bottom"/>
            <w:hideMark/>
          </w:tcPr>
          <w:p w14:paraId="1EA71405" w14:textId="77777777" w:rsidR="004E3B83" w:rsidRPr="009418E7" w:rsidRDefault="004E3B83" w:rsidP="004E3B83">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lastRenderedPageBreak/>
              <w:t>Male</w:t>
            </w:r>
          </w:p>
        </w:tc>
        <w:tc>
          <w:tcPr>
            <w:tcW w:w="550" w:type="dxa"/>
            <w:tcBorders>
              <w:top w:val="single" w:sz="4" w:space="0" w:color="auto"/>
              <w:left w:val="nil"/>
              <w:bottom w:val="single" w:sz="4" w:space="0" w:color="auto"/>
              <w:right w:val="nil"/>
            </w:tcBorders>
            <w:noWrap/>
            <w:vAlign w:val="bottom"/>
            <w:hideMark/>
          </w:tcPr>
          <w:p w14:paraId="0AB7CD66" w14:textId="77777777" w:rsidR="004E3B83" w:rsidRPr="009418E7" w:rsidRDefault="004E3B83" w:rsidP="004E3B83">
            <w:pPr>
              <w:spacing w:after="0" w:line="240" w:lineRule="auto"/>
              <w:jc w:val="center"/>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240</w:t>
            </w:r>
          </w:p>
        </w:tc>
        <w:tc>
          <w:tcPr>
            <w:tcW w:w="1066" w:type="dxa"/>
            <w:tcBorders>
              <w:top w:val="single" w:sz="4" w:space="0" w:color="auto"/>
              <w:left w:val="nil"/>
              <w:bottom w:val="single" w:sz="4" w:space="0" w:color="auto"/>
              <w:right w:val="nil"/>
            </w:tcBorders>
            <w:noWrap/>
            <w:vAlign w:val="bottom"/>
            <w:hideMark/>
          </w:tcPr>
          <w:p w14:paraId="484F83C4"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50.00</w:t>
            </w:r>
          </w:p>
        </w:tc>
        <w:tc>
          <w:tcPr>
            <w:tcW w:w="680" w:type="dxa"/>
            <w:tcBorders>
              <w:top w:val="single" w:sz="4" w:space="0" w:color="auto"/>
              <w:left w:val="nil"/>
              <w:bottom w:val="single" w:sz="4" w:space="0" w:color="auto"/>
              <w:right w:val="nil"/>
            </w:tcBorders>
            <w:noWrap/>
            <w:vAlign w:val="bottom"/>
            <w:hideMark/>
          </w:tcPr>
          <w:p w14:paraId="2D7EDB82"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188</w:t>
            </w:r>
          </w:p>
        </w:tc>
        <w:tc>
          <w:tcPr>
            <w:tcW w:w="926" w:type="dxa"/>
            <w:tcBorders>
              <w:top w:val="single" w:sz="4" w:space="0" w:color="auto"/>
              <w:left w:val="nil"/>
              <w:bottom w:val="single" w:sz="4" w:space="0" w:color="auto"/>
              <w:right w:val="nil"/>
            </w:tcBorders>
            <w:noWrap/>
            <w:vAlign w:val="bottom"/>
            <w:hideMark/>
          </w:tcPr>
          <w:p w14:paraId="76B7D3E1"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78.33</w:t>
            </w:r>
          </w:p>
        </w:tc>
        <w:tc>
          <w:tcPr>
            <w:tcW w:w="439" w:type="dxa"/>
            <w:tcBorders>
              <w:top w:val="single" w:sz="4" w:space="0" w:color="auto"/>
              <w:left w:val="nil"/>
              <w:bottom w:val="single" w:sz="4" w:space="0" w:color="auto"/>
              <w:right w:val="nil"/>
            </w:tcBorders>
            <w:noWrap/>
            <w:vAlign w:val="bottom"/>
            <w:hideMark/>
          </w:tcPr>
          <w:p w14:paraId="05484DC9"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36</w:t>
            </w:r>
          </w:p>
        </w:tc>
        <w:tc>
          <w:tcPr>
            <w:tcW w:w="1329" w:type="dxa"/>
            <w:tcBorders>
              <w:top w:val="single" w:sz="4" w:space="0" w:color="auto"/>
              <w:left w:val="nil"/>
              <w:bottom w:val="single" w:sz="4" w:space="0" w:color="auto"/>
              <w:right w:val="nil"/>
            </w:tcBorders>
            <w:noWrap/>
            <w:vAlign w:val="bottom"/>
            <w:hideMark/>
          </w:tcPr>
          <w:p w14:paraId="41DCD2FD"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15.00</w:t>
            </w:r>
          </w:p>
        </w:tc>
        <w:tc>
          <w:tcPr>
            <w:tcW w:w="439" w:type="dxa"/>
            <w:tcBorders>
              <w:top w:val="single" w:sz="4" w:space="0" w:color="auto"/>
              <w:left w:val="nil"/>
              <w:bottom w:val="single" w:sz="4" w:space="0" w:color="auto"/>
              <w:right w:val="nil"/>
            </w:tcBorders>
            <w:noWrap/>
            <w:vAlign w:val="bottom"/>
            <w:hideMark/>
          </w:tcPr>
          <w:p w14:paraId="4F970BE0"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16</w:t>
            </w:r>
          </w:p>
        </w:tc>
        <w:tc>
          <w:tcPr>
            <w:tcW w:w="1232" w:type="dxa"/>
            <w:tcBorders>
              <w:top w:val="single" w:sz="4" w:space="0" w:color="auto"/>
              <w:left w:val="nil"/>
              <w:bottom w:val="single" w:sz="4" w:space="0" w:color="auto"/>
              <w:right w:val="nil"/>
            </w:tcBorders>
            <w:noWrap/>
            <w:vAlign w:val="bottom"/>
            <w:hideMark/>
          </w:tcPr>
          <w:p w14:paraId="70AF73A7"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6.67</w:t>
            </w:r>
          </w:p>
        </w:tc>
        <w:tc>
          <w:tcPr>
            <w:tcW w:w="439" w:type="dxa"/>
            <w:tcBorders>
              <w:top w:val="single" w:sz="4" w:space="0" w:color="auto"/>
              <w:left w:val="nil"/>
              <w:bottom w:val="single" w:sz="4" w:space="0" w:color="auto"/>
              <w:right w:val="nil"/>
            </w:tcBorders>
            <w:noWrap/>
            <w:vAlign w:val="bottom"/>
            <w:hideMark/>
          </w:tcPr>
          <w:p w14:paraId="15F4C15C"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52</w:t>
            </w:r>
          </w:p>
        </w:tc>
        <w:tc>
          <w:tcPr>
            <w:tcW w:w="1156" w:type="dxa"/>
            <w:tcBorders>
              <w:top w:val="single" w:sz="4" w:space="0" w:color="auto"/>
              <w:left w:val="nil"/>
              <w:bottom w:val="single" w:sz="4" w:space="0" w:color="auto"/>
              <w:right w:val="nil"/>
            </w:tcBorders>
            <w:noWrap/>
            <w:vAlign w:val="bottom"/>
            <w:hideMark/>
          </w:tcPr>
          <w:p w14:paraId="69AAAB47"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21.67</w:t>
            </w:r>
          </w:p>
        </w:tc>
      </w:tr>
      <w:tr w:rsidR="004E3B83" w:rsidRPr="009418E7" w14:paraId="24486371" w14:textId="77777777" w:rsidTr="004E3B83">
        <w:trPr>
          <w:trHeight w:val="358"/>
        </w:trPr>
        <w:tc>
          <w:tcPr>
            <w:tcW w:w="1104" w:type="dxa"/>
            <w:tcBorders>
              <w:top w:val="nil"/>
              <w:left w:val="nil"/>
              <w:bottom w:val="single" w:sz="4" w:space="0" w:color="auto"/>
              <w:right w:val="nil"/>
            </w:tcBorders>
            <w:noWrap/>
            <w:vAlign w:val="bottom"/>
            <w:hideMark/>
          </w:tcPr>
          <w:p w14:paraId="00D02719" w14:textId="77777777" w:rsidR="004E3B83" w:rsidRPr="009418E7" w:rsidRDefault="004E3B83" w:rsidP="004E3B83">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 xml:space="preserve">TOTAL </w:t>
            </w:r>
          </w:p>
        </w:tc>
        <w:tc>
          <w:tcPr>
            <w:tcW w:w="550" w:type="dxa"/>
            <w:tcBorders>
              <w:top w:val="nil"/>
              <w:left w:val="nil"/>
              <w:bottom w:val="single" w:sz="4" w:space="0" w:color="auto"/>
              <w:right w:val="nil"/>
            </w:tcBorders>
            <w:noWrap/>
            <w:vAlign w:val="bottom"/>
            <w:hideMark/>
          </w:tcPr>
          <w:p w14:paraId="4C789C22" w14:textId="77777777" w:rsidR="004E3B83" w:rsidRPr="009418E7" w:rsidRDefault="004E3B83" w:rsidP="004E3B83">
            <w:pPr>
              <w:spacing w:after="0" w:line="240" w:lineRule="auto"/>
              <w:jc w:val="center"/>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480</w:t>
            </w:r>
          </w:p>
        </w:tc>
        <w:tc>
          <w:tcPr>
            <w:tcW w:w="1066" w:type="dxa"/>
            <w:tcBorders>
              <w:top w:val="nil"/>
              <w:left w:val="nil"/>
              <w:bottom w:val="single" w:sz="4" w:space="0" w:color="auto"/>
              <w:right w:val="nil"/>
            </w:tcBorders>
            <w:noWrap/>
            <w:vAlign w:val="bottom"/>
            <w:hideMark/>
          </w:tcPr>
          <w:p w14:paraId="4A0AAB14"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100.00</w:t>
            </w:r>
          </w:p>
        </w:tc>
        <w:tc>
          <w:tcPr>
            <w:tcW w:w="680" w:type="dxa"/>
            <w:tcBorders>
              <w:top w:val="nil"/>
              <w:left w:val="nil"/>
              <w:bottom w:val="single" w:sz="4" w:space="0" w:color="auto"/>
              <w:right w:val="nil"/>
            </w:tcBorders>
            <w:noWrap/>
            <w:vAlign w:val="bottom"/>
            <w:hideMark/>
          </w:tcPr>
          <w:p w14:paraId="165204B2"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416</w:t>
            </w:r>
          </w:p>
        </w:tc>
        <w:tc>
          <w:tcPr>
            <w:tcW w:w="926" w:type="dxa"/>
            <w:tcBorders>
              <w:top w:val="nil"/>
              <w:left w:val="nil"/>
              <w:bottom w:val="single" w:sz="4" w:space="0" w:color="auto"/>
              <w:right w:val="nil"/>
            </w:tcBorders>
            <w:noWrap/>
            <w:vAlign w:val="bottom"/>
            <w:hideMark/>
          </w:tcPr>
          <w:p w14:paraId="638ADFC0"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86.67</w:t>
            </w:r>
          </w:p>
        </w:tc>
        <w:tc>
          <w:tcPr>
            <w:tcW w:w="439" w:type="dxa"/>
            <w:tcBorders>
              <w:top w:val="nil"/>
              <w:left w:val="nil"/>
              <w:bottom w:val="single" w:sz="4" w:space="0" w:color="auto"/>
              <w:right w:val="nil"/>
            </w:tcBorders>
            <w:noWrap/>
            <w:vAlign w:val="bottom"/>
            <w:hideMark/>
          </w:tcPr>
          <w:p w14:paraId="61B6C6B4"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44</w:t>
            </w:r>
          </w:p>
        </w:tc>
        <w:tc>
          <w:tcPr>
            <w:tcW w:w="1329" w:type="dxa"/>
            <w:tcBorders>
              <w:top w:val="nil"/>
              <w:left w:val="nil"/>
              <w:bottom w:val="single" w:sz="4" w:space="0" w:color="auto"/>
              <w:right w:val="nil"/>
            </w:tcBorders>
            <w:noWrap/>
            <w:vAlign w:val="bottom"/>
            <w:hideMark/>
          </w:tcPr>
          <w:p w14:paraId="3BF1CE31"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9.17</w:t>
            </w:r>
          </w:p>
        </w:tc>
        <w:tc>
          <w:tcPr>
            <w:tcW w:w="439" w:type="dxa"/>
            <w:tcBorders>
              <w:top w:val="nil"/>
              <w:left w:val="nil"/>
              <w:bottom w:val="single" w:sz="4" w:space="0" w:color="auto"/>
              <w:right w:val="nil"/>
            </w:tcBorders>
            <w:noWrap/>
            <w:vAlign w:val="bottom"/>
            <w:hideMark/>
          </w:tcPr>
          <w:p w14:paraId="46800FBB"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20</w:t>
            </w:r>
          </w:p>
        </w:tc>
        <w:tc>
          <w:tcPr>
            <w:tcW w:w="1232" w:type="dxa"/>
            <w:tcBorders>
              <w:top w:val="nil"/>
              <w:left w:val="nil"/>
              <w:bottom w:val="single" w:sz="4" w:space="0" w:color="auto"/>
              <w:right w:val="nil"/>
            </w:tcBorders>
            <w:noWrap/>
            <w:vAlign w:val="bottom"/>
            <w:hideMark/>
          </w:tcPr>
          <w:p w14:paraId="39E86249"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4.17</w:t>
            </w:r>
          </w:p>
        </w:tc>
        <w:tc>
          <w:tcPr>
            <w:tcW w:w="439" w:type="dxa"/>
            <w:tcBorders>
              <w:top w:val="nil"/>
              <w:left w:val="nil"/>
              <w:bottom w:val="single" w:sz="4" w:space="0" w:color="auto"/>
              <w:right w:val="nil"/>
            </w:tcBorders>
            <w:noWrap/>
            <w:vAlign w:val="bottom"/>
            <w:hideMark/>
          </w:tcPr>
          <w:p w14:paraId="230F4CD5"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64</w:t>
            </w:r>
          </w:p>
        </w:tc>
        <w:tc>
          <w:tcPr>
            <w:tcW w:w="1156" w:type="dxa"/>
            <w:tcBorders>
              <w:top w:val="nil"/>
              <w:left w:val="nil"/>
              <w:bottom w:val="single" w:sz="4" w:space="0" w:color="auto"/>
              <w:right w:val="nil"/>
            </w:tcBorders>
            <w:noWrap/>
            <w:vAlign w:val="bottom"/>
            <w:hideMark/>
          </w:tcPr>
          <w:p w14:paraId="1D0357B4"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13.33</w:t>
            </w:r>
          </w:p>
        </w:tc>
      </w:tr>
    </w:tbl>
    <w:p w14:paraId="3D71918E" w14:textId="77777777" w:rsidR="004E3B83" w:rsidRPr="009418E7" w:rsidRDefault="004E3B83" w:rsidP="005C3CB6">
      <w:pPr>
        <w:spacing w:line="360" w:lineRule="auto"/>
        <w:jc w:val="both"/>
        <w:rPr>
          <w:rFonts w:asciiTheme="majorBidi" w:hAnsiTheme="majorBidi" w:cstheme="majorBidi"/>
        </w:rPr>
      </w:pPr>
    </w:p>
    <w:p w14:paraId="6069A1CA" w14:textId="77777777" w:rsidR="005C3CB6" w:rsidRPr="009418E7" w:rsidRDefault="005C3CB6" w:rsidP="001136E3">
      <w:pPr>
        <w:spacing w:line="360" w:lineRule="auto"/>
        <w:jc w:val="both"/>
        <w:rPr>
          <w:rFonts w:asciiTheme="majorBidi" w:hAnsiTheme="majorBidi" w:cstheme="majorBidi"/>
        </w:rPr>
      </w:pPr>
    </w:p>
    <w:p w14:paraId="036A682F" w14:textId="242B74A5" w:rsidR="001136E3" w:rsidRPr="009418E7" w:rsidRDefault="001136E3" w:rsidP="001136E3">
      <w:pPr>
        <w:spacing w:line="360" w:lineRule="auto"/>
        <w:jc w:val="both"/>
        <w:rPr>
          <w:rFonts w:asciiTheme="majorBidi" w:hAnsiTheme="majorBidi" w:cstheme="majorBidi"/>
        </w:rPr>
      </w:pPr>
    </w:p>
    <w:p w14:paraId="2F36AC16" w14:textId="7DECA6B2" w:rsidR="001136E3" w:rsidRPr="009418E7" w:rsidRDefault="001136E3" w:rsidP="001136E3">
      <w:pPr>
        <w:spacing w:line="360" w:lineRule="auto"/>
        <w:jc w:val="both"/>
        <w:rPr>
          <w:rFonts w:asciiTheme="majorBidi" w:hAnsiTheme="majorBidi" w:cstheme="majorBidi"/>
          <w:b/>
          <w:bCs/>
        </w:rPr>
      </w:pPr>
      <w:r w:rsidRPr="009418E7">
        <w:rPr>
          <w:rFonts w:asciiTheme="majorBidi" w:hAnsiTheme="majorBidi" w:cstheme="majorBidi"/>
          <w:noProof/>
        </w:rPr>
        <w:drawing>
          <wp:inline distT="0" distB="0" distL="0" distR="0" wp14:anchorId="286D8D8E" wp14:editId="514DED69">
            <wp:extent cx="6024282" cy="2022438"/>
            <wp:effectExtent l="0" t="0" r="14605" b="16510"/>
            <wp:docPr id="4" name="Chart 4">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992664B" w14:textId="5A17DD98" w:rsidR="001136E3" w:rsidRPr="009418E7" w:rsidRDefault="001136E3" w:rsidP="001136E3">
      <w:pPr>
        <w:rPr>
          <w:rFonts w:asciiTheme="majorBidi" w:hAnsiTheme="majorBidi" w:cstheme="majorBidi"/>
        </w:rPr>
      </w:pPr>
      <w:r w:rsidRPr="009418E7">
        <w:rPr>
          <w:rFonts w:asciiTheme="majorBidi" w:hAnsiTheme="majorBidi" w:cstheme="majorBidi"/>
        </w:rPr>
        <w:t>Fig. 1. Bar chart showing a pictorial description of table</w:t>
      </w:r>
      <w:r w:rsidR="00945F20">
        <w:rPr>
          <w:rFonts w:asciiTheme="majorBidi" w:hAnsiTheme="majorBidi" w:cstheme="majorBidi"/>
        </w:rPr>
        <w:t xml:space="preserve"> 1</w:t>
      </w:r>
      <w:r w:rsidRPr="009418E7">
        <w:rPr>
          <w:rFonts w:asciiTheme="majorBidi" w:hAnsiTheme="majorBidi" w:cstheme="majorBidi"/>
        </w:rPr>
        <w:t xml:space="preserve">. </w:t>
      </w:r>
    </w:p>
    <w:p w14:paraId="7AC401FB" w14:textId="2F8968CD" w:rsidR="001136E3" w:rsidRPr="009418E7" w:rsidRDefault="001136E3" w:rsidP="001136E3">
      <w:pPr>
        <w:spacing w:line="360" w:lineRule="auto"/>
        <w:jc w:val="both"/>
        <w:rPr>
          <w:rFonts w:asciiTheme="majorBidi" w:hAnsiTheme="majorBidi" w:cstheme="majorBidi"/>
          <w:b/>
          <w:bCs/>
        </w:rPr>
      </w:pPr>
    </w:p>
    <w:p w14:paraId="15AA956E" w14:textId="02AEA661" w:rsidR="004E3B83" w:rsidRPr="009418E7" w:rsidRDefault="004E3B83" w:rsidP="001136E3">
      <w:pPr>
        <w:spacing w:line="360" w:lineRule="auto"/>
        <w:jc w:val="both"/>
        <w:rPr>
          <w:rFonts w:asciiTheme="majorBidi" w:hAnsiTheme="majorBidi" w:cstheme="majorBidi"/>
          <w:b/>
          <w:bCs/>
        </w:rPr>
      </w:pPr>
      <w:r w:rsidRPr="009418E7">
        <w:rPr>
          <w:rFonts w:asciiTheme="majorBidi" w:hAnsiTheme="majorBidi" w:cstheme="majorBidi"/>
          <w:b/>
          <w:bCs/>
        </w:rPr>
        <w:t xml:space="preserve">Table </w:t>
      </w:r>
      <w:r w:rsidR="00945F20">
        <w:rPr>
          <w:rFonts w:asciiTheme="majorBidi" w:hAnsiTheme="majorBidi" w:cstheme="majorBidi"/>
          <w:b/>
          <w:bCs/>
        </w:rPr>
        <w:t>2</w:t>
      </w:r>
      <w:r w:rsidR="001E4A3A" w:rsidRPr="009418E7">
        <w:rPr>
          <w:rFonts w:asciiTheme="majorBidi" w:hAnsiTheme="majorBidi" w:cstheme="majorBidi"/>
          <w:b/>
          <w:bCs/>
        </w:rPr>
        <w:t>:</w:t>
      </w:r>
      <w:r w:rsidRPr="009418E7">
        <w:rPr>
          <w:rFonts w:asciiTheme="majorBidi" w:hAnsiTheme="majorBidi" w:cstheme="majorBidi"/>
          <w:b/>
          <w:bCs/>
        </w:rPr>
        <w:t xml:space="preserve"> Descriptive Statistics </w:t>
      </w:r>
      <w:r w:rsidR="001E4A3A" w:rsidRPr="009418E7">
        <w:rPr>
          <w:rFonts w:asciiTheme="majorBidi" w:hAnsiTheme="majorBidi" w:cstheme="majorBidi"/>
          <w:b/>
          <w:bCs/>
        </w:rPr>
        <w:t xml:space="preserve">of </w:t>
      </w:r>
      <w:r w:rsidRPr="009418E7">
        <w:rPr>
          <w:rFonts w:asciiTheme="majorBidi" w:hAnsiTheme="majorBidi" w:cstheme="majorBidi"/>
          <w:b/>
          <w:bCs/>
        </w:rPr>
        <w:t>FEMALE DEMOGRAPHIC DATA</w:t>
      </w:r>
    </w:p>
    <w:tbl>
      <w:tblPr>
        <w:tblW w:w="6300" w:type="dxa"/>
        <w:tblLook w:val="04A0" w:firstRow="1" w:lastRow="0" w:firstColumn="1" w:lastColumn="0" w:noHBand="0" w:noVBand="1"/>
      </w:tblPr>
      <w:tblGrid>
        <w:gridCol w:w="2268"/>
        <w:gridCol w:w="752"/>
        <w:gridCol w:w="1160"/>
        <w:gridCol w:w="960"/>
        <w:gridCol w:w="1160"/>
      </w:tblGrid>
      <w:tr w:rsidR="008742D5" w:rsidRPr="009418E7" w14:paraId="7CCBC285" w14:textId="77777777" w:rsidTr="008742D5">
        <w:trPr>
          <w:trHeight w:val="300"/>
        </w:trPr>
        <w:tc>
          <w:tcPr>
            <w:tcW w:w="2268" w:type="dxa"/>
            <w:tcBorders>
              <w:top w:val="single" w:sz="4" w:space="0" w:color="auto"/>
              <w:left w:val="nil"/>
              <w:bottom w:val="single" w:sz="4" w:space="0" w:color="auto"/>
              <w:right w:val="nil"/>
            </w:tcBorders>
            <w:noWrap/>
            <w:vAlign w:val="bottom"/>
            <w:hideMark/>
          </w:tcPr>
          <w:p w14:paraId="0E76C601" w14:textId="77777777" w:rsidR="008742D5" w:rsidRPr="009418E7" w:rsidRDefault="008742D5" w:rsidP="008742D5">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Parameters (N = 240)</w:t>
            </w:r>
          </w:p>
        </w:tc>
        <w:tc>
          <w:tcPr>
            <w:tcW w:w="752" w:type="dxa"/>
            <w:tcBorders>
              <w:top w:val="single" w:sz="4" w:space="0" w:color="auto"/>
              <w:left w:val="nil"/>
              <w:bottom w:val="single" w:sz="4" w:space="0" w:color="auto"/>
              <w:right w:val="nil"/>
            </w:tcBorders>
            <w:noWrap/>
            <w:vAlign w:val="bottom"/>
            <w:hideMark/>
          </w:tcPr>
          <w:p w14:paraId="7D96D420" w14:textId="77777777" w:rsidR="008742D5" w:rsidRPr="009418E7" w:rsidRDefault="008742D5" w:rsidP="008742D5">
            <w:pPr>
              <w:spacing w:after="0" w:line="240" w:lineRule="auto"/>
              <w:jc w:val="center"/>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MIN</w:t>
            </w:r>
          </w:p>
        </w:tc>
        <w:tc>
          <w:tcPr>
            <w:tcW w:w="1160" w:type="dxa"/>
            <w:tcBorders>
              <w:top w:val="single" w:sz="4" w:space="0" w:color="auto"/>
              <w:left w:val="nil"/>
              <w:bottom w:val="single" w:sz="4" w:space="0" w:color="auto"/>
              <w:right w:val="nil"/>
            </w:tcBorders>
            <w:noWrap/>
            <w:vAlign w:val="bottom"/>
            <w:hideMark/>
          </w:tcPr>
          <w:p w14:paraId="1E54BF92" w14:textId="77777777" w:rsidR="008742D5" w:rsidRPr="009418E7" w:rsidRDefault="008742D5" w:rsidP="008742D5">
            <w:pPr>
              <w:spacing w:after="0" w:line="240" w:lineRule="auto"/>
              <w:jc w:val="center"/>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MAX</w:t>
            </w:r>
          </w:p>
        </w:tc>
        <w:tc>
          <w:tcPr>
            <w:tcW w:w="960" w:type="dxa"/>
            <w:tcBorders>
              <w:top w:val="single" w:sz="4" w:space="0" w:color="auto"/>
              <w:left w:val="nil"/>
              <w:bottom w:val="single" w:sz="4" w:space="0" w:color="auto"/>
              <w:right w:val="nil"/>
            </w:tcBorders>
            <w:noWrap/>
            <w:vAlign w:val="bottom"/>
            <w:hideMark/>
          </w:tcPr>
          <w:p w14:paraId="344605E7" w14:textId="77777777" w:rsidR="008742D5" w:rsidRPr="009418E7" w:rsidRDefault="008742D5" w:rsidP="008742D5">
            <w:pPr>
              <w:spacing w:after="0" w:line="240" w:lineRule="auto"/>
              <w:jc w:val="center"/>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Mean</w:t>
            </w:r>
          </w:p>
        </w:tc>
        <w:tc>
          <w:tcPr>
            <w:tcW w:w="1160" w:type="dxa"/>
            <w:tcBorders>
              <w:top w:val="single" w:sz="4" w:space="0" w:color="auto"/>
              <w:left w:val="nil"/>
              <w:bottom w:val="single" w:sz="4" w:space="0" w:color="auto"/>
              <w:right w:val="nil"/>
            </w:tcBorders>
            <w:noWrap/>
            <w:vAlign w:val="bottom"/>
            <w:hideMark/>
          </w:tcPr>
          <w:p w14:paraId="7D5D3BCA" w14:textId="77777777" w:rsidR="008742D5" w:rsidRPr="009418E7" w:rsidRDefault="008742D5" w:rsidP="008742D5">
            <w:pPr>
              <w:spacing w:after="0" w:line="240" w:lineRule="auto"/>
              <w:jc w:val="center"/>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SD</w:t>
            </w:r>
          </w:p>
        </w:tc>
      </w:tr>
      <w:tr w:rsidR="008742D5" w:rsidRPr="009418E7" w14:paraId="747A41E5" w14:textId="77777777" w:rsidTr="008742D5">
        <w:trPr>
          <w:trHeight w:val="300"/>
        </w:trPr>
        <w:tc>
          <w:tcPr>
            <w:tcW w:w="2268" w:type="dxa"/>
            <w:tcBorders>
              <w:top w:val="nil"/>
              <w:left w:val="nil"/>
              <w:bottom w:val="nil"/>
              <w:right w:val="nil"/>
            </w:tcBorders>
            <w:noWrap/>
            <w:vAlign w:val="bottom"/>
            <w:hideMark/>
          </w:tcPr>
          <w:p w14:paraId="2FF25830" w14:textId="77777777" w:rsidR="008742D5" w:rsidRPr="009418E7" w:rsidRDefault="008742D5" w:rsidP="008742D5">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AGE</w:t>
            </w:r>
          </w:p>
        </w:tc>
        <w:tc>
          <w:tcPr>
            <w:tcW w:w="752" w:type="dxa"/>
            <w:tcBorders>
              <w:top w:val="nil"/>
              <w:left w:val="nil"/>
              <w:bottom w:val="nil"/>
              <w:right w:val="nil"/>
            </w:tcBorders>
            <w:noWrap/>
            <w:vAlign w:val="bottom"/>
            <w:hideMark/>
          </w:tcPr>
          <w:p w14:paraId="7F2DE441"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3.00</w:t>
            </w:r>
          </w:p>
        </w:tc>
        <w:tc>
          <w:tcPr>
            <w:tcW w:w="1160" w:type="dxa"/>
            <w:tcBorders>
              <w:top w:val="nil"/>
              <w:left w:val="nil"/>
              <w:bottom w:val="nil"/>
              <w:right w:val="nil"/>
            </w:tcBorders>
            <w:noWrap/>
            <w:vAlign w:val="bottom"/>
            <w:hideMark/>
          </w:tcPr>
          <w:p w14:paraId="1E9A8202"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9.00</w:t>
            </w:r>
          </w:p>
        </w:tc>
        <w:tc>
          <w:tcPr>
            <w:tcW w:w="960" w:type="dxa"/>
            <w:tcBorders>
              <w:top w:val="nil"/>
              <w:left w:val="nil"/>
              <w:bottom w:val="nil"/>
              <w:right w:val="nil"/>
            </w:tcBorders>
            <w:noWrap/>
            <w:vAlign w:val="bottom"/>
            <w:hideMark/>
          </w:tcPr>
          <w:p w14:paraId="287A4BE3"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6.08</w:t>
            </w:r>
          </w:p>
        </w:tc>
        <w:tc>
          <w:tcPr>
            <w:tcW w:w="1160" w:type="dxa"/>
            <w:tcBorders>
              <w:top w:val="nil"/>
              <w:left w:val="nil"/>
              <w:bottom w:val="nil"/>
              <w:right w:val="nil"/>
            </w:tcBorders>
            <w:noWrap/>
            <w:vAlign w:val="bottom"/>
            <w:hideMark/>
          </w:tcPr>
          <w:p w14:paraId="76BE100A"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1.87</w:t>
            </w:r>
          </w:p>
        </w:tc>
      </w:tr>
      <w:tr w:rsidR="008742D5" w:rsidRPr="009418E7" w14:paraId="50C431B1" w14:textId="77777777" w:rsidTr="008742D5">
        <w:trPr>
          <w:trHeight w:val="300"/>
        </w:trPr>
        <w:tc>
          <w:tcPr>
            <w:tcW w:w="2268" w:type="dxa"/>
            <w:tcBorders>
              <w:top w:val="single" w:sz="4" w:space="0" w:color="auto"/>
              <w:left w:val="nil"/>
              <w:bottom w:val="single" w:sz="4" w:space="0" w:color="auto"/>
              <w:right w:val="nil"/>
            </w:tcBorders>
            <w:noWrap/>
            <w:vAlign w:val="bottom"/>
            <w:hideMark/>
          </w:tcPr>
          <w:p w14:paraId="113EEE8C" w14:textId="77777777" w:rsidR="008742D5" w:rsidRPr="009418E7" w:rsidRDefault="008742D5" w:rsidP="008742D5">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HEIGHT</w:t>
            </w:r>
          </w:p>
        </w:tc>
        <w:tc>
          <w:tcPr>
            <w:tcW w:w="752" w:type="dxa"/>
            <w:tcBorders>
              <w:top w:val="single" w:sz="4" w:space="0" w:color="auto"/>
              <w:left w:val="nil"/>
              <w:bottom w:val="single" w:sz="4" w:space="0" w:color="auto"/>
              <w:right w:val="nil"/>
            </w:tcBorders>
            <w:noWrap/>
            <w:vAlign w:val="bottom"/>
            <w:hideMark/>
          </w:tcPr>
          <w:p w14:paraId="36522A2E"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0.90</w:t>
            </w:r>
          </w:p>
        </w:tc>
        <w:tc>
          <w:tcPr>
            <w:tcW w:w="1160" w:type="dxa"/>
            <w:tcBorders>
              <w:top w:val="single" w:sz="4" w:space="0" w:color="auto"/>
              <w:left w:val="nil"/>
              <w:bottom w:val="single" w:sz="4" w:space="0" w:color="auto"/>
              <w:right w:val="nil"/>
            </w:tcBorders>
            <w:noWrap/>
            <w:vAlign w:val="bottom"/>
            <w:hideMark/>
          </w:tcPr>
          <w:p w14:paraId="0928FED5"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1.41</w:t>
            </w:r>
          </w:p>
        </w:tc>
        <w:tc>
          <w:tcPr>
            <w:tcW w:w="960" w:type="dxa"/>
            <w:tcBorders>
              <w:top w:val="single" w:sz="4" w:space="0" w:color="auto"/>
              <w:left w:val="nil"/>
              <w:bottom w:val="single" w:sz="4" w:space="0" w:color="auto"/>
              <w:right w:val="nil"/>
            </w:tcBorders>
            <w:noWrap/>
            <w:vAlign w:val="bottom"/>
            <w:hideMark/>
          </w:tcPr>
          <w:p w14:paraId="04C4D5DF"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1.16</w:t>
            </w:r>
          </w:p>
        </w:tc>
        <w:tc>
          <w:tcPr>
            <w:tcW w:w="1160" w:type="dxa"/>
            <w:tcBorders>
              <w:top w:val="single" w:sz="4" w:space="0" w:color="auto"/>
              <w:left w:val="nil"/>
              <w:bottom w:val="single" w:sz="4" w:space="0" w:color="auto"/>
              <w:right w:val="nil"/>
            </w:tcBorders>
            <w:noWrap/>
            <w:vAlign w:val="bottom"/>
            <w:hideMark/>
          </w:tcPr>
          <w:p w14:paraId="0E4D9119"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0.13</w:t>
            </w:r>
          </w:p>
        </w:tc>
      </w:tr>
      <w:tr w:rsidR="008742D5" w:rsidRPr="009418E7" w14:paraId="1B89D276" w14:textId="77777777" w:rsidTr="008742D5">
        <w:trPr>
          <w:trHeight w:val="300"/>
        </w:trPr>
        <w:tc>
          <w:tcPr>
            <w:tcW w:w="2268" w:type="dxa"/>
            <w:tcBorders>
              <w:top w:val="nil"/>
              <w:left w:val="nil"/>
              <w:bottom w:val="single" w:sz="4" w:space="0" w:color="auto"/>
              <w:right w:val="nil"/>
            </w:tcBorders>
            <w:noWrap/>
            <w:vAlign w:val="bottom"/>
            <w:hideMark/>
          </w:tcPr>
          <w:p w14:paraId="11B32354" w14:textId="77777777" w:rsidR="008742D5" w:rsidRPr="009418E7" w:rsidRDefault="008742D5" w:rsidP="008742D5">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WEIGHT</w:t>
            </w:r>
          </w:p>
        </w:tc>
        <w:tc>
          <w:tcPr>
            <w:tcW w:w="752" w:type="dxa"/>
            <w:tcBorders>
              <w:top w:val="nil"/>
              <w:left w:val="nil"/>
              <w:bottom w:val="single" w:sz="4" w:space="0" w:color="auto"/>
              <w:right w:val="nil"/>
            </w:tcBorders>
            <w:noWrap/>
            <w:vAlign w:val="bottom"/>
            <w:hideMark/>
          </w:tcPr>
          <w:p w14:paraId="205F00B2"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10.00</w:t>
            </w:r>
          </w:p>
        </w:tc>
        <w:tc>
          <w:tcPr>
            <w:tcW w:w="1160" w:type="dxa"/>
            <w:tcBorders>
              <w:top w:val="nil"/>
              <w:left w:val="nil"/>
              <w:bottom w:val="single" w:sz="4" w:space="0" w:color="auto"/>
              <w:right w:val="nil"/>
            </w:tcBorders>
            <w:noWrap/>
            <w:vAlign w:val="bottom"/>
            <w:hideMark/>
          </w:tcPr>
          <w:p w14:paraId="77AA6276"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32.00</w:t>
            </w:r>
          </w:p>
        </w:tc>
        <w:tc>
          <w:tcPr>
            <w:tcW w:w="960" w:type="dxa"/>
            <w:tcBorders>
              <w:top w:val="nil"/>
              <w:left w:val="nil"/>
              <w:bottom w:val="single" w:sz="4" w:space="0" w:color="auto"/>
              <w:right w:val="nil"/>
            </w:tcBorders>
            <w:noWrap/>
            <w:vAlign w:val="bottom"/>
            <w:hideMark/>
          </w:tcPr>
          <w:p w14:paraId="5E9032BD"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19.00</w:t>
            </w:r>
          </w:p>
        </w:tc>
        <w:tc>
          <w:tcPr>
            <w:tcW w:w="1160" w:type="dxa"/>
            <w:tcBorders>
              <w:top w:val="nil"/>
              <w:left w:val="nil"/>
              <w:bottom w:val="single" w:sz="4" w:space="0" w:color="auto"/>
              <w:right w:val="nil"/>
            </w:tcBorders>
            <w:noWrap/>
            <w:vAlign w:val="bottom"/>
            <w:hideMark/>
          </w:tcPr>
          <w:p w14:paraId="5CF76FD3"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4.92</w:t>
            </w:r>
          </w:p>
        </w:tc>
      </w:tr>
      <w:tr w:rsidR="008742D5" w:rsidRPr="009418E7" w14:paraId="289E15FE" w14:textId="77777777" w:rsidTr="008742D5">
        <w:trPr>
          <w:trHeight w:val="300"/>
        </w:trPr>
        <w:tc>
          <w:tcPr>
            <w:tcW w:w="2268" w:type="dxa"/>
            <w:tcBorders>
              <w:top w:val="nil"/>
              <w:left w:val="nil"/>
              <w:bottom w:val="single" w:sz="4" w:space="0" w:color="auto"/>
              <w:right w:val="nil"/>
            </w:tcBorders>
            <w:noWrap/>
            <w:vAlign w:val="bottom"/>
            <w:hideMark/>
          </w:tcPr>
          <w:p w14:paraId="115BC66C" w14:textId="77777777" w:rsidR="008742D5" w:rsidRPr="009418E7" w:rsidRDefault="008742D5" w:rsidP="008742D5">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BMI</w:t>
            </w:r>
          </w:p>
        </w:tc>
        <w:tc>
          <w:tcPr>
            <w:tcW w:w="752" w:type="dxa"/>
            <w:tcBorders>
              <w:top w:val="nil"/>
              <w:left w:val="nil"/>
              <w:bottom w:val="single" w:sz="4" w:space="0" w:color="auto"/>
              <w:right w:val="nil"/>
            </w:tcBorders>
            <w:noWrap/>
            <w:vAlign w:val="bottom"/>
            <w:hideMark/>
          </w:tcPr>
          <w:p w14:paraId="08D7D0A4"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8.73</w:t>
            </w:r>
          </w:p>
        </w:tc>
        <w:tc>
          <w:tcPr>
            <w:tcW w:w="1160" w:type="dxa"/>
            <w:tcBorders>
              <w:top w:val="nil"/>
              <w:left w:val="nil"/>
              <w:bottom w:val="single" w:sz="4" w:space="0" w:color="auto"/>
              <w:right w:val="nil"/>
            </w:tcBorders>
            <w:noWrap/>
            <w:vAlign w:val="bottom"/>
            <w:hideMark/>
          </w:tcPr>
          <w:p w14:paraId="5A6BC7EB"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21.15</w:t>
            </w:r>
          </w:p>
        </w:tc>
        <w:tc>
          <w:tcPr>
            <w:tcW w:w="960" w:type="dxa"/>
            <w:tcBorders>
              <w:top w:val="nil"/>
              <w:left w:val="nil"/>
              <w:bottom w:val="single" w:sz="4" w:space="0" w:color="auto"/>
              <w:right w:val="nil"/>
            </w:tcBorders>
            <w:noWrap/>
            <w:vAlign w:val="bottom"/>
            <w:hideMark/>
          </w:tcPr>
          <w:p w14:paraId="73E15FE1"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13.88</w:t>
            </w:r>
          </w:p>
        </w:tc>
        <w:tc>
          <w:tcPr>
            <w:tcW w:w="1160" w:type="dxa"/>
            <w:tcBorders>
              <w:top w:val="nil"/>
              <w:left w:val="nil"/>
              <w:bottom w:val="single" w:sz="4" w:space="0" w:color="auto"/>
              <w:right w:val="nil"/>
            </w:tcBorders>
            <w:noWrap/>
            <w:vAlign w:val="bottom"/>
            <w:hideMark/>
          </w:tcPr>
          <w:p w14:paraId="28282EF4"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1.96</w:t>
            </w:r>
          </w:p>
        </w:tc>
      </w:tr>
    </w:tbl>
    <w:p w14:paraId="09F3F813" w14:textId="77777777" w:rsidR="001136E3" w:rsidRPr="009418E7" w:rsidRDefault="001136E3" w:rsidP="001136E3">
      <w:pPr>
        <w:rPr>
          <w:rFonts w:asciiTheme="majorBidi" w:hAnsiTheme="majorBidi" w:cstheme="majorBidi"/>
        </w:rPr>
      </w:pPr>
    </w:p>
    <w:p w14:paraId="6F80B60F" w14:textId="77777777" w:rsidR="001136E3" w:rsidRPr="009418E7" w:rsidRDefault="001136E3" w:rsidP="005C3CB6">
      <w:pPr>
        <w:tabs>
          <w:tab w:val="left" w:pos="1127"/>
        </w:tabs>
        <w:spacing w:line="360" w:lineRule="auto"/>
        <w:jc w:val="both"/>
        <w:rPr>
          <w:rFonts w:asciiTheme="majorBidi" w:eastAsiaTheme="minorEastAsia" w:hAnsiTheme="majorBidi" w:cstheme="majorBidi"/>
        </w:rPr>
      </w:pPr>
      <w:r w:rsidRPr="009418E7">
        <w:rPr>
          <w:rFonts w:asciiTheme="majorBidi" w:hAnsiTheme="majorBidi" w:cstheme="majorBidi"/>
        </w:rPr>
        <w:t>Female demographic data involving 240 respondents with measured weight, height and BMI. The mean age was 6.08</w:t>
      </w:r>
      <m:oMath>
        <m:r>
          <w:rPr>
            <w:rFonts w:ascii="Cambria Math" w:hAnsi="Cambria Math" w:cstheme="majorBidi"/>
          </w:rPr>
          <m:t xml:space="preserve"> ± 1.87</m:t>
        </m:r>
      </m:oMath>
      <w:r w:rsidRPr="009418E7">
        <w:rPr>
          <w:rFonts w:asciiTheme="majorBidi" w:hAnsiTheme="majorBidi" w:cstheme="majorBidi"/>
        </w:rPr>
        <w:t xml:space="preserve"> years and range were 3.00 - 9.00. The mean height was 1.16</w:t>
      </w:r>
      <m:oMath>
        <m:r>
          <w:rPr>
            <w:rFonts w:ascii="Cambria Math" w:hAnsi="Cambria Math" w:cstheme="majorBidi"/>
          </w:rPr>
          <m:t xml:space="preserve"> ± 0.13m</m:t>
        </m:r>
      </m:oMath>
      <w:r w:rsidRPr="009418E7">
        <w:rPr>
          <w:rFonts w:asciiTheme="majorBidi" w:eastAsiaTheme="minorEastAsia" w:hAnsiTheme="majorBidi" w:cstheme="majorBidi"/>
          <w:iCs/>
        </w:rPr>
        <w:t xml:space="preserve"> and range was 0.90 - 1.41m. Mean weight was 19.00</w:t>
      </w:r>
      <m:oMath>
        <m:r>
          <w:rPr>
            <w:rFonts w:ascii="Cambria Math" w:eastAsiaTheme="minorEastAsia" w:hAnsi="Cambria Math" w:cstheme="majorBidi"/>
          </w:rPr>
          <m:t xml:space="preserve"> </m:t>
        </m:r>
        <m:r>
          <w:rPr>
            <w:rFonts w:ascii="Cambria Math" w:hAnsi="Cambria Math" w:cstheme="majorBidi"/>
          </w:rPr>
          <m:t>± 4.92kg</m:t>
        </m:r>
      </m:oMath>
      <w:r w:rsidRPr="009418E7">
        <w:rPr>
          <w:rFonts w:asciiTheme="majorBidi" w:hAnsiTheme="majorBidi" w:cstheme="majorBidi"/>
          <w:iCs/>
        </w:rPr>
        <w:t xml:space="preserve"> and range was 10.00 - 32.00kg. The mean of BMI was 13.88</w:t>
      </w:r>
      <m:oMath>
        <m:r>
          <w:rPr>
            <w:rFonts w:ascii="Cambria Math" w:hAnsi="Cambria Math" w:cstheme="majorBidi"/>
          </w:rPr>
          <m:t xml:space="preserve"> ± 1.96kg/</m:t>
        </m:r>
        <m:sSup>
          <m:sSupPr>
            <m:ctrlPr>
              <w:rPr>
                <w:rFonts w:ascii="Cambria Math" w:hAnsi="Cambria Math" w:cstheme="majorBidi"/>
                <w:i/>
              </w:rPr>
            </m:ctrlPr>
          </m:sSupPr>
          <m:e>
            <m:r>
              <w:rPr>
                <w:rFonts w:ascii="Cambria Math" w:hAnsi="Cambria Math" w:cstheme="majorBidi"/>
              </w:rPr>
              <m:t>m</m:t>
            </m:r>
          </m:e>
          <m:sup>
            <m:r>
              <w:rPr>
                <w:rFonts w:ascii="Cambria Math" w:hAnsi="Cambria Math" w:cstheme="majorBidi"/>
              </w:rPr>
              <m:t>2</m:t>
            </m:r>
          </m:sup>
        </m:sSup>
      </m:oMath>
      <w:r w:rsidRPr="009418E7">
        <w:rPr>
          <w:rFonts w:asciiTheme="majorBidi" w:eastAsiaTheme="minorEastAsia" w:hAnsiTheme="majorBidi" w:cstheme="majorBidi"/>
        </w:rPr>
        <w:t xml:space="preserve"> and range was 8.73 - 21.15</w:t>
      </w:r>
      <m:oMath>
        <m:r>
          <w:rPr>
            <w:rFonts w:ascii="Cambria Math" w:hAnsi="Cambria Math" w:cstheme="majorBidi"/>
          </w:rPr>
          <m:t xml:space="preserve"> kg/</m:t>
        </m:r>
        <m:sSup>
          <m:sSupPr>
            <m:ctrlPr>
              <w:rPr>
                <w:rFonts w:ascii="Cambria Math" w:hAnsi="Cambria Math" w:cstheme="majorBidi"/>
                <w:i/>
              </w:rPr>
            </m:ctrlPr>
          </m:sSupPr>
          <m:e>
            <m:r>
              <w:rPr>
                <w:rFonts w:ascii="Cambria Math" w:hAnsi="Cambria Math" w:cstheme="majorBidi"/>
              </w:rPr>
              <m:t>m</m:t>
            </m:r>
          </m:e>
          <m:sup>
            <m:r>
              <w:rPr>
                <w:rFonts w:ascii="Cambria Math" w:hAnsi="Cambria Math" w:cstheme="majorBidi"/>
              </w:rPr>
              <m:t>2</m:t>
            </m:r>
          </m:sup>
        </m:sSup>
      </m:oMath>
      <w:r w:rsidRPr="009418E7">
        <w:rPr>
          <w:rFonts w:asciiTheme="majorBidi" w:eastAsiaTheme="minorEastAsia" w:hAnsiTheme="majorBidi" w:cstheme="majorBidi"/>
        </w:rPr>
        <w:t>.</w:t>
      </w:r>
    </w:p>
    <w:p w14:paraId="624619BB" w14:textId="77777777" w:rsidR="001E4A3A" w:rsidRPr="009418E7" w:rsidRDefault="001E4A3A" w:rsidP="005C3CB6">
      <w:pPr>
        <w:tabs>
          <w:tab w:val="left" w:pos="1127"/>
        </w:tabs>
        <w:spacing w:line="360" w:lineRule="auto"/>
        <w:jc w:val="both"/>
        <w:rPr>
          <w:rFonts w:asciiTheme="majorBidi" w:eastAsiaTheme="minorEastAsia" w:hAnsiTheme="majorBidi" w:cstheme="majorBidi"/>
        </w:rPr>
      </w:pPr>
    </w:p>
    <w:p w14:paraId="021FD832" w14:textId="77777777" w:rsidR="001E4A3A" w:rsidRPr="009418E7" w:rsidRDefault="001E4A3A" w:rsidP="005C3CB6">
      <w:pPr>
        <w:tabs>
          <w:tab w:val="left" w:pos="1127"/>
        </w:tabs>
        <w:spacing w:line="360" w:lineRule="auto"/>
        <w:jc w:val="both"/>
        <w:rPr>
          <w:rFonts w:asciiTheme="majorBidi" w:eastAsiaTheme="minorEastAsia" w:hAnsiTheme="majorBidi" w:cstheme="majorBidi"/>
        </w:rPr>
      </w:pPr>
    </w:p>
    <w:p w14:paraId="464549BC" w14:textId="77777777" w:rsidR="001E4A3A" w:rsidRPr="009418E7" w:rsidRDefault="001E4A3A" w:rsidP="005C3CB6">
      <w:pPr>
        <w:tabs>
          <w:tab w:val="left" w:pos="1127"/>
        </w:tabs>
        <w:spacing w:line="360" w:lineRule="auto"/>
        <w:jc w:val="both"/>
        <w:rPr>
          <w:rFonts w:asciiTheme="majorBidi" w:eastAsiaTheme="minorEastAsia" w:hAnsiTheme="majorBidi" w:cstheme="majorBidi"/>
        </w:rPr>
      </w:pPr>
    </w:p>
    <w:p w14:paraId="5B1164E9" w14:textId="77777777" w:rsidR="001E4A3A" w:rsidRPr="009418E7" w:rsidRDefault="001E4A3A" w:rsidP="005C3CB6">
      <w:pPr>
        <w:tabs>
          <w:tab w:val="left" w:pos="1127"/>
        </w:tabs>
        <w:spacing w:line="360" w:lineRule="auto"/>
        <w:jc w:val="both"/>
        <w:rPr>
          <w:rFonts w:asciiTheme="majorBidi" w:eastAsiaTheme="minorEastAsia" w:hAnsiTheme="majorBidi" w:cstheme="majorBidi"/>
        </w:rPr>
      </w:pPr>
    </w:p>
    <w:p w14:paraId="3C89F0D7" w14:textId="013183D3" w:rsidR="008742D5" w:rsidRPr="009418E7" w:rsidRDefault="008742D5" w:rsidP="005C3CB6">
      <w:pPr>
        <w:tabs>
          <w:tab w:val="left" w:pos="1127"/>
        </w:tabs>
        <w:spacing w:line="360" w:lineRule="auto"/>
        <w:jc w:val="both"/>
        <w:rPr>
          <w:rFonts w:asciiTheme="majorBidi" w:eastAsiaTheme="minorEastAsia" w:hAnsiTheme="majorBidi" w:cstheme="majorBidi"/>
          <w:b/>
          <w:bCs/>
          <w:iCs/>
        </w:rPr>
      </w:pPr>
      <w:r w:rsidRPr="009418E7">
        <w:rPr>
          <w:rFonts w:asciiTheme="majorBidi" w:eastAsiaTheme="minorEastAsia" w:hAnsiTheme="majorBidi" w:cstheme="majorBidi"/>
          <w:b/>
          <w:bCs/>
          <w:iCs/>
        </w:rPr>
        <w:lastRenderedPageBreak/>
        <w:t xml:space="preserve">Table.3 Descriptive Statistics </w:t>
      </w:r>
      <w:r w:rsidR="001E4A3A" w:rsidRPr="009418E7">
        <w:rPr>
          <w:rFonts w:asciiTheme="majorBidi" w:eastAsiaTheme="minorEastAsia" w:hAnsiTheme="majorBidi" w:cstheme="majorBidi"/>
          <w:b/>
          <w:bCs/>
          <w:iCs/>
        </w:rPr>
        <w:t xml:space="preserve">of </w:t>
      </w:r>
      <w:r w:rsidRPr="009418E7">
        <w:rPr>
          <w:rFonts w:asciiTheme="majorBidi" w:eastAsiaTheme="minorEastAsia" w:hAnsiTheme="majorBidi" w:cstheme="majorBidi"/>
          <w:b/>
          <w:bCs/>
          <w:iCs/>
        </w:rPr>
        <w:t>MALE DEMOGRAPHIC DATA</w:t>
      </w:r>
    </w:p>
    <w:tbl>
      <w:tblPr>
        <w:tblW w:w="5680" w:type="dxa"/>
        <w:tblLook w:val="04A0" w:firstRow="1" w:lastRow="0" w:firstColumn="1" w:lastColumn="0" w:noHBand="0" w:noVBand="1"/>
      </w:tblPr>
      <w:tblGrid>
        <w:gridCol w:w="1304"/>
        <w:gridCol w:w="1100"/>
        <w:gridCol w:w="1160"/>
        <w:gridCol w:w="960"/>
        <w:gridCol w:w="1160"/>
      </w:tblGrid>
      <w:tr w:rsidR="008742D5" w:rsidRPr="009418E7" w14:paraId="7DB3DB9D" w14:textId="77777777" w:rsidTr="008742D5">
        <w:trPr>
          <w:trHeight w:val="300"/>
        </w:trPr>
        <w:tc>
          <w:tcPr>
            <w:tcW w:w="1300" w:type="dxa"/>
            <w:tcBorders>
              <w:top w:val="single" w:sz="4" w:space="0" w:color="auto"/>
              <w:left w:val="nil"/>
              <w:bottom w:val="single" w:sz="4" w:space="0" w:color="auto"/>
              <w:right w:val="nil"/>
            </w:tcBorders>
            <w:noWrap/>
            <w:vAlign w:val="bottom"/>
            <w:hideMark/>
          </w:tcPr>
          <w:p w14:paraId="6DAE4CFC" w14:textId="77777777" w:rsidR="008742D5" w:rsidRPr="009418E7" w:rsidRDefault="008742D5" w:rsidP="008742D5">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Parameters (N = 240)</w:t>
            </w:r>
          </w:p>
        </w:tc>
        <w:tc>
          <w:tcPr>
            <w:tcW w:w="1100" w:type="dxa"/>
            <w:tcBorders>
              <w:top w:val="single" w:sz="4" w:space="0" w:color="auto"/>
              <w:left w:val="nil"/>
              <w:bottom w:val="single" w:sz="4" w:space="0" w:color="auto"/>
              <w:right w:val="nil"/>
            </w:tcBorders>
            <w:noWrap/>
            <w:vAlign w:val="bottom"/>
            <w:hideMark/>
          </w:tcPr>
          <w:p w14:paraId="52CC4D77" w14:textId="77777777" w:rsidR="008742D5" w:rsidRPr="009418E7" w:rsidRDefault="008742D5" w:rsidP="008742D5">
            <w:pPr>
              <w:spacing w:after="0" w:line="240" w:lineRule="auto"/>
              <w:jc w:val="center"/>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MIN</w:t>
            </w:r>
          </w:p>
        </w:tc>
        <w:tc>
          <w:tcPr>
            <w:tcW w:w="1160" w:type="dxa"/>
            <w:tcBorders>
              <w:top w:val="single" w:sz="4" w:space="0" w:color="auto"/>
              <w:left w:val="nil"/>
              <w:bottom w:val="single" w:sz="4" w:space="0" w:color="auto"/>
              <w:right w:val="nil"/>
            </w:tcBorders>
            <w:noWrap/>
            <w:vAlign w:val="bottom"/>
            <w:hideMark/>
          </w:tcPr>
          <w:p w14:paraId="02C4BA0E" w14:textId="77777777" w:rsidR="008742D5" w:rsidRPr="009418E7" w:rsidRDefault="008742D5" w:rsidP="008742D5">
            <w:pPr>
              <w:spacing w:after="0" w:line="240" w:lineRule="auto"/>
              <w:jc w:val="center"/>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MAX</w:t>
            </w:r>
          </w:p>
        </w:tc>
        <w:tc>
          <w:tcPr>
            <w:tcW w:w="960" w:type="dxa"/>
            <w:tcBorders>
              <w:top w:val="single" w:sz="4" w:space="0" w:color="auto"/>
              <w:left w:val="nil"/>
              <w:bottom w:val="single" w:sz="4" w:space="0" w:color="auto"/>
              <w:right w:val="nil"/>
            </w:tcBorders>
            <w:noWrap/>
            <w:vAlign w:val="bottom"/>
            <w:hideMark/>
          </w:tcPr>
          <w:p w14:paraId="50226D2C" w14:textId="77777777" w:rsidR="008742D5" w:rsidRPr="009418E7" w:rsidRDefault="008742D5" w:rsidP="008742D5">
            <w:pPr>
              <w:spacing w:after="0" w:line="240" w:lineRule="auto"/>
              <w:jc w:val="center"/>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Mean</w:t>
            </w:r>
          </w:p>
        </w:tc>
        <w:tc>
          <w:tcPr>
            <w:tcW w:w="1160" w:type="dxa"/>
            <w:tcBorders>
              <w:top w:val="single" w:sz="4" w:space="0" w:color="auto"/>
              <w:left w:val="nil"/>
              <w:bottom w:val="single" w:sz="4" w:space="0" w:color="auto"/>
              <w:right w:val="nil"/>
            </w:tcBorders>
            <w:noWrap/>
            <w:vAlign w:val="bottom"/>
            <w:hideMark/>
          </w:tcPr>
          <w:p w14:paraId="53C312C4" w14:textId="77777777" w:rsidR="008742D5" w:rsidRPr="009418E7" w:rsidRDefault="008742D5" w:rsidP="008742D5">
            <w:pPr>
              <w:spacing w:after="0" w:line="240" w:lineRule="auto"/>
              <w:jc w:val="center"/>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SD</w:t>
            </w:r>
          </w:p>
        </w:tc>
      </w:tr>
      <w:tr w:rsidR="008742D5" w:rsidRPr="009418E7" w14:paraId="5CB535EC" w14:textId="77777777" w:rsidTr="008742D5">
        <w:trPr>
          <w:trHeight w:val="300"/>
        </w:trPr>
        <w:tc>
          <w:tcPr>
            <w:tcW w:w="1300" w:type="dxa"/>
            <w:tcBorders>
              <w:top w:val="nil"/>
              <w:left w:val="nil"/>
              <w:bottom w:val="nil"/>
              <w:right w:val="nil"/>
            </w:tcBorders>
            <w:noWrap/>
            <w:vAlign w:val="bottom"/>
            <w:hideMark/>
          </w:tcPr>
          <w:p w14:paraId="77FD243F" w14:textId="77777777" w:rsidR="008742D5" w:rsidRPr="009418E7" w:rsidRDefault="008742D5" w:rsidP="008742D5">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AGE</w:t>
            </w:r>
          </w:p>
        </w:tc>
        <w:tc>
          <w:tcPr>
            <w:tcW w:w="1100" w:type="dxa"/>
            <w:tcBorders>
              <w:top w:val="nil"/>
              <w:left w:val="nil"/>
              <w:bottom w:val="nil"/>
              <w:right w:val="nil"/>
            </w:tcBorders>
            <w:noWrap/>
            <w:vAlign w:val="bottom"/>
            <w:hideMark/>
          </w:tcPr>
          <w:p w14:paraId="45647BCC"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3.00</w:t>
            </w:r>
          </w:p>
        </w:tc>
        <w:tc>
          <w:tcPr>
            <w:tcW w:w="1160" w:type="dxa"/>
            <w:tcBorders>
              <w:top w:val="nil"/>
              <w:left w:val="nil"/>
              <w:bottom w:val="nil"/>
              <w:right w:val="nil"/>
            </w:tcBorders>
            <w:noWrap/>
            <w:vAlign w:val="bottom"/>
            <w:hideMark/>
          </w:tcPr>
          <w:p w14:paraId="3AEE2524"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9.00</w:t>
            </w:r>
          </w:p>
        </w:tc>
        <w:tc>
          <w:tcPr>
            <w:tcW w:w="960" w:type="dxa"/>
            <w:tcBorders>
              <w:top w:val="nil"/>
              <w:left w:val="nil"/>
              <w:bottom w:val="nil"/>
              <w:right w:val="nil"/>
            </w:tcBorders>
            <w:noWrap/>
            <w:vAlign w:val="bottom"/>
            <w:hideMark/>
          </w:tcPr>
          <w:p w14:paraId="5D139C5C"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5.78</w:t>
            </w:r>
          </w:p>
        </w:tc>
        <w:tc>
          <w:tcPr>
            <w:tcW w:w="1160" w:type="dxa"/>
            <w:tcBorders>
              <w:top w:val="nil"/>
              <w:left w:val="nil"/>
              <w:bottom w:val="nil"/>
              <w:right w:val="nil"/>
            </w:tcBorders>
            <w:noWrap/>
            <w:vAlign w:val="bottom"/>
            <w:hideMark/>
          </w:tcPr>
          <w:p w14:paraId="54625DCC"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1.98</w:t>
            </w:r>
          </w:p>
        </w:tc>
      </w:tr>
      <w:tr w:rsidR="008742D5" w:rsidRPr="009418E7" w14:paraId="5AD7660F" w14:textId="77777777" w:rsidTr="008742D5">
        <w:trPr>
          <w:trHeight w:val="300"/>
        </w:trPr>
        <w:tc>
          <w:tcPr>
            <w:tcW w:w="1300" w:type="dxa"/>
            <w:tcBorders>
              <w:top w:val="single" w:sz="4" w:space="0" w:color="auto"/>
              <w:left w:val="nil"/>
              <w:bottom w:val="single" w:sz="4" w:space="0" w:color="auto"/>
              <w:right w:val="nil"/>
            </w:tcBorders>
            <w:noWrap/>
            <w:vAlign w:val="bottom"/>
            <w:hideMark/>
          </w:tcPr>
          <w:p w14:paraId="2EE27E45" w14:textId="77777777" w:rsidR="008742D5" w:rsidRPr="009418E7" w:rsidRDefault="008742D5" w:rsidP="008742D5">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HEIGHT</w:t>
            </w:r>
          </w:p>
        </w:tc>
        <w:tc>
          <w:tcPr>
            <w:tcW w:w="1100" w:type="dxa"/>
            <w:tcBorders>
              <w:top w:val="single" w:sz="4" w:space="0" w:color="auto"/>
              <w:left w:val="nil"/>
              <w:bottom w:val="single" w:sz="4" w:space="0" w:color="auto"/>
              <w:right w:val="nil"/>
            </w:tcBorders>
            <w:noWrap/>
            <w:vAlign w:val="bottom"/>
            <w:hideMark/>
          </w:tcPr>
          <w:p w14:paraId="4212E73F"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0.95</w:t>
            </w:r>
          </w:p>
        </w:tc>
        <w:tc>
          <w:tcPr>
            <w:tcW w:w="1160" w:type="dxa"/>
            <w:tcBorders>
              <w:top w:val="single" w:sz="4" w:space="0" w:color="auto"/>
              <w:left w:val="nil"/>
              <w:bottom w:val="single" w:sz="4" w:space="0" w:color="auto"/>
              <w:right w:val="nil"/>
            </w:tcBorders>
            <w:noWrap/>
            <w:vAlign w:val="bottom"/>
            <w:hideMark/>
          </w:tcPr>
          <w:p w14:paraId="6A3E2EFB"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1.77</w:t>
            </w:r>
          </w:p>
        </w:tc>
        <w:tc>
          <w:tcPr>
            <w:tcW w:w="960" w:type="dxa"/>
            <w:tcBorders>
              <w:top w:val="single" w:sz="4" w:space="0" w:color="auto"/>
              <w:left w:val="nil"/>
              <w:bottom w:val="single" w:sz="4" w:space="0" w:color="auto"/>
              <w:right w:val="nil"/>
            </w:tcBorders>
            <w:noWrap/>
            <w:vAlign w:val="bottom"/>
            <w:hideMark/>
          </w:tcPr>
          <w:p w14:paraId="6E9D3DE1"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1.17</w:t>
            </w:r>
          </w:p>
        </w:tc>
        <w:tc>
          <w:tcPr>
            <w:tcW w:w="1160" w:type="dxa"/>
            <w:tcBorders>
              <w:top w:val="single" w:sz="4" w:space="0" w:color="auto"/>
              <w:left w:val="nil"/>
              <w:bottom w:val="single" w:sz="4" w:space="0" w:color="auto"/>
              <w:right w:val="nil"/>
            </w:tcBorders>
            <w:noWrap/>
            <w:vAlign w:val="bottom"/>
            <w:hideMark/>
          </w:tcPr>
          <w:p w14:paraId="215BD3C1"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0.14</w:t>
            </w:r>
          </w:p>
        </w:tc>
      </w:tr>
      <w:tr w:rsidR="008742D5" w:rsidRPr="009418E7" w14:paraId="62B4BDBC" w14:textId="77777777" w:rsidTr="008742D5">
        <w:trPr>
          <w:trHeight w:val="300"/>
        </w:trPr>
        <w:tc>
          <w:tcPr>
            <w:tcW w:w="1300" w:type="dxa"/>
            <w:tcBorders>
              <w:top w:val="nil"/>
              <w:left w:val="nil"/>
              <w:bottom w:val="nil"/>
              <w:right w:val="nil"/>
            </w:tcBorders>
            <w:noWrap/>
            <w:vAlign w:val="bottom"/>
            <w:hideMark/>
          </w:tcPr>
          <w:p w14:paraId="14732A37" w14:textId="77777777" w:rsidR="008742D5" w:rsidRPr="009418E7" w:rsidRDefault="008742D5" w:rsidP="008742D5">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WEIGHT</w:t>
            </w:r>
          </w:p>
        </w:tc>
        <w:tc>
          <w:tcPr>
            <w:tcW w:w="1100" w:type="dxa"/>
            <w:tcBorders>
              <w:top w:val="nil"/>
              <w:left w:val="nil"/>
              <w:bottom w:val="nil"/>
              <w:right w:val="nil"/>
            </w:tcBorders>
            <w:noWrap/>
            <w:vAlign w:val="bottom"/>
            <w:hideMark/>
          </w:tcPr>
          <w:p w14:paraId="21272E83"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10.00</w:t>
            </w:r>
          </w:p>
        </w:tc>
        <w:tc>
          <w:tcPr>
            <w:tcW w:w="1160" w:type="dxa"/>
            <w:tcBorders>
              <w:top w:val="nil"/>
              <w:left w:val="nil"/>
              <w:bottom w:val="nil"/>
              <w:right w:val="nil"/>
            </w:tcBorders>
            <w:noWrap/>
            <w:vAlign w:val="bottom"/>
            <w:hideMark/>
          </w:tcPr>
          <w:p w14:paraId="773029B5"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30.00</w:t>
            </w:r>
          </w:p>
        </w:tc>
        <w:tc>
          <w:tcPr>
            <w:tcW w:w="960" w:type="dxa"/>
            <w:tcBorders>
              <w:top w:val="nil"/>
              <w:left w:val="nil"/>
              <w:bottom w:val="nil"/>
              <w:right w:val="nil"/>
            </w:tcBorders>
            <w:noWrap/>
            <w:vAlign w:val="bottom"/>
            <w:hideMark/>
          </w:tcPr>
          <w:p w14:paraId="0DBD07F5"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18.90</w:t>
            </w:r>
          </w:p>
        </w:tc>
        <w:tc>
          <w:tcPr>
            <w:tcW w:w="1160" w:type="dxa"/>
            <w:tcBorders>
              <w:top w:val="nil"/>
              <w:left w:val="nil"/>
              <w:bottom w:val="nil"/>
              <w:right w:val="nil"/>
            </w:tcBorders>
            <w:noWrap/>
            <w:vAlign w:val="bottom"/>
            <w:hideMark/>
          </w:tcPr>
          <w:p w14:paraId="27E6F794"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4.83</w:t>
            </w:r>
          </w:p>
        </w:tc>
      </w:tr>
      <w:tr w:rsidR="008742D5" w:rsidRPr="009418E7" w14:paraId="0F4CA7A5" w14:textId="77777777" w:rsidTr="008742D5">
        <w:trPr>
          <w:trHeight w:val="300"/>
        </w:trPr>
        <w:tc>
          <w:tcPr>
            <w:tcW w:w="1300" w:type="dxa"/>
            <w:tcBorders>
              <w:top w:val="single" w:sz="4" w:space="0" w:color="auto"/>
              <w:left w:val="nil"/>
              <w:bottom w:val="single" w:sz="4" w:space="0" w:color="auto"/>
              <w:right w:val="nil"/>
            </w:tcBorders>
            <w:noWrap/>
            <w:vAlign w:val="bottom"/>
            <w:hideMark/>
          </w:tcPr>
          <w:p w14:paraId="4ADFAE63" w14:textId="77777777" w:rsidR="008742D5" w:rsidRPr="009418E7" w:rsidRDefault="008742D5" w:rsidP="008742D5">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BMI</w:t>
            </w:r>
          </w:p>
        </w:tc>
        <w:tc>
          <w:tcPr>
            <w:tcW w:w="1100" w:type="dxa"/>
            <w:tcBorders>
              <w:top w:val="single" w:sz="4" w:space="0" w:color="auto"/>
              <w:left w:val="nil"/>
              <w:bottom w:val="single" w:sz="4" w:space="0" w:color="auto"/>
              <w:right w:val="nil"/>
            </w:tcBorders>
            <w:noWrap/>
            <w:vAlign w:val="bottom"/>
            <w:hideMark/>
          </w:tcPr>
          <w:p w14:paraId="0231E4AF"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5.11</w:t>
            </w:r>
          </w:p>
        </w:tc>
        <w:tc>
          <w:tcPr>
            <w:tcW w:w="1160" w:type="dxa"/>
            <w:tcBorders>
              <w:top w:val="single" w:sz="4" w:space="0" w:color="auto"/>
              <w:left w:val="nil"/>
              <w:bottom w:val="single" w:sz="4" w:space="0" w:color="auto"/>
              <w:right w:val="nil"/>
            </w:tcBorders>
            <w:noWrap/>
            <w:vAlign w:val="bottom"/>
            <w:hideMark/>
          </w:tcPr>
          <w:p w14:paraId="4F1EC372"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19.20</w:t>
            </w:r>
          </w:p>
        </w:tc>
        <w:tc>
          <w:tcPr>
            <w:tcW w:w="960" w:type="dxa"/>
            <w:tcBorders>
              <w:top w:val="single" w:sz="4" w:space="0" w:color="auto"/>
              <w:left w:val="nil"/>
              <w:bottom w:val="single" w:sz="4" w:space="0" w:color="auto"/>
              <w:right w:val="nil"/>
            </w:tcBorders>
            <w:noWrap/>
            <w:vAlign w:val="bottom"/>
            <w:hideMark/>
          </w:tcPr>
          <w:p w14:paraId="6A3CDD42"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13.82</w:t>
            </w:r>
          </w:p>
        </w:tc>
        <w:tc>
          <w:tcPr>
            <w:tcW w:w="1160" w:type="dxa"/>
            <w:tcBorders>
              <w:top w:val="single" w:sz="4" w:space="0" w:color="auto"/>
              <w:left w:val="nil"/>
              <w:bottom w:val="single" w:sz="4" w:space="0" w:color="auto"/>
              <w:right w:val="nil"/>
            </w:tcBorders>
            <w:noWrap/>
            <w:vAlign w:val="bottom"/>
            <w:hideMark/>
          </w:tcPr>
          <w:p w14:paraId="3C010C96"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2.01</w:t>
            </w:r>
          </w:p>
        </w:tc>
      </w:tr>
    </w:tbl>
    <w:p w14:paraId="194EB5B1" w14:textId="77777777" w:rsidR="008742D5" w:rsidRPr="009418E7" w:rsidRDefault="008742D5" w:rsidP="005C3CB6">
      <w:pPr>
        <w:tabs>
          <w:tab w:val="left" w:pos="1127"/>
        </w:tabs>
        <w:spacing w:line="360" w:lineRule="auto"/>
        <w:jc w:val="both"/>
        <w:rPr>
          <w:rFonts w:asciiTheme="majorBidi" w:hAnsiTheme="majorBidi" w:cstheme="majorBidi"/>
          <w:iCs/>
        </w:rPr>
      </w:pPr>
    </w:p>
    <w:p w14:paraId="084B16A4" w14:textId="77777777" w:rsidR="005C3CB6" w:rsidRPr="009418E7" w:rsidRDefault="005C3CB6" w:rsidP="005C3CB6">
      <w:pPr>
        <w:tabs>
          <w:tab w:val="left" w:pos="1127"/>
        </w:tabs>
        <w:spacing w:line="360" w:lineRule="auto"/>
        <w:jc w:val="both"/>
        <w:rPr>
          <w:rFonts w:asciiTheme="majorBidi" w:eastAsiaTheme="minorEastAsia" w:hAnsiTheme="majorBidi" w:cstheme="majorBidi"/>
        </w:rPr>
      </w:pPr>
      <w:r w:rsidRPr="009418E7">
        <w:rPr>
          <w:rFonts w:asciiTheme="majorBidi" w:hAnsiTheme="majorBidi" w:cstheme="majorBidi"/>
        </w:rPr>
        <w:t>Male demographic data involving 240 respondents with measured weight, height and BMI. The mean age was 5.78</w:t>
      </w:r>
      <m:oMath>
        <m:r>
          <w:rPr>
            <w:rFonts w:ascii="Cambria Math" w:hAnsi="Cambria Math" w:cstheme="majorBidi"/>
          </w:rPr>
          <m:t xml:space="preserve"> ± 1.98 years</m:t>
        </m:r>
      </m:oMath>
      <w:r w:rsidRPr="009418E7">
        <w:rPr>
          <w:rFonts w:asciiTheme="majorBidi" w:hAnsiTheme="majorBidi" w:cstheme="majorBidi"/>
        </w:rPr>
        <w:t xml:space="preserve"> and range was 3.00-9.00. The mean height was 1.17</w:t>
      </w:r>
      <m:oMath>
        <m:r>
          <w:rPr>
            <w:rFonts w:ascii="Cambria Math" w:hAnsi="Cambria Math" w:cstheme="majorBidi"/>
          </w:rPr>
          <m:t xml:space="preserve"> ± 0.14m</m:t>
        </m:r>
      </m:oMath>
      <w:r w:rsidRPr="009418E7">
        <w:rPr>
          <w:rFonts w:asciiTheme="majorBidi" w:eastAsiaTheme="minorEastAsia" w:hAnsiTheme="majorBidi" w:cstheme="majorBidi"/>
          <w:iCs/>
        </w:rPr>
        <w:t xml:space="preserve"> and range was 0.95 - 1.77m. Mean weight was 18.90</w:t>
      </w:r>
      <m:oMath>
        <m:r>
          <w:rPr>
            <w:rFonts w:ascii="Cambria Math" w:eastAsiaTheme="minorEastAsia" w:hAnsi="Cambria Math" w:cstheme="majorBidi"/>
          </w:rPr>
          <m:t xml:space="preserve"> </m:t>
        </m:r>
        <m:r>
          <w:rPr>
            <w:rFonts w:ascii="Cambria Math" w:hAnsi="Cambria Math" w:cstheme="majorBidi"/>
          </w:rPr>
          <m:t>± 4.83kg</m:t>
        </m:r>
      </m:oMath>
      <w:r w:rsidRPr="009418E7">
        <w:rPr>
          <w:rFonts w:asciiTheme="majorBidi" w:hAnsiTheme="majorBidi" w:cstheme="majorBidi"/>
          <w:iCs/>
        </w:rPr>
        <w:t xml:space="preserve"> and range was 10.00 - 30.00kg. The mean of BMI was 13.82</w:t>
      </w:r>
      <m:oMath>
        <m:r>
          <w:rPr>
            <w:rFonts w:ascii="Cambria Math" w:hAnsi="Cambria Math" w:cstheme="majorBidi"/>
          </w:rPr>
          <m:t xml:space="preserve"> ± 2.01kg/</m:t>
        </m:r>
        <m:sSup>
          <m:sSupPr>
            <m:ctrlPr>
              <w:rPr>
                <w:rFonts w:ascii="Cambria Math" w:hAnsi="Cambria Math" w:cstheme="majorBidi"/>
                <w:i/>
              </w:rPr>
            </m:ctrlPr>
          </m:sSupPr>
          <m:e>
            <m:r>
              <w:rPr>
                <w:rFonts w:ascii="Cambria Math" w:hAnsi="Cambria Math" w:cstheme="majorBidi"/>
              </w:rPr>
              <m:t>m</m:t>
            </m:r>
          </m:e>
          <m:sup>
            <m:r>
              <w:rPr>
                <w:rFonts w:ascii="Cambria Math" w:hAnsi="Cambria Math" w:cstheme="majorBidi"/>
              </w:rPr>
              <m:t>2</m:t>
            </m:r>
          </m:sup>
        </m:sSup>
      </m:oMath>
      <w:r w:rsidRPr="009418E7">
        <w:rPr>
          <w:rFonts w:asciiTheme="majorBidi" w:eastAsiaTheme="minorEastAsia" w:hAnsiTheme="majorBidi" w:cstheme="majorBidi"/>
        </w:rPr>
        <w:t xml:space="preserve"> and range was 5.11 - 21.15</w:t>
      </w:r>
      <m:oMath>
        <m:r>
          <w:rPr>
            <w:rFonts w:ascii="Cambria Math" w:hAnsi="Cambria Math" w:cstheme="majorBidi"/>
          </w:rPr>
          <m:t xml:space="preserve"> kg/</m:t>
        </m:r>
        <m:sSup>
          <m:sSupPr>
            <m:ctrlPr>
              <w:rPr>
                <w:rFonts w:ascii="Cambria Math" w:hAnsi="Cambria Math" w:cstheme="majorBidi"/>
                <w:i/>
              </w:rPr>
            </m:ctrlPr>
          </m:sSupPr>
          <m:e>
            <m:r>
              <w:rPr>
                <w:rFonts w:ascii="Cambria Math" w:hAnsi="Cambria Math" w:cstheme="majorBidi"/>
              </w:rPr>
              <m:t>m</m:t>
            </m:r>
          </m:e>
          <m:sup>
            <m:r>
              <w:rPr>
                <w:rFonts w:ascii="Cambria Math" w:hAnsi="Cambria Math" w:cstheme="majorBidi"/>
              </w:rPr>
              <m:t>2</m:t>
            </m:r>
          </m:sup>
        </m:sSup>
      </m:oMath>
      <w:r w:rsidRPr="009418E7">
        <w:rPr>
          <w:rFonts w:asciiTheme="majorBidi" w:eastAsiaTheme="minorEastAsia" w:hAnsiTheme="majorBidi" w:cstheme="majorBidi"/>
        </w:rPr>
        <w:t>.</w:t>
      </w:r>
    </w:p>
    <w:p w14:paraId="1EACB2CA" w14:textId="77777777" w:rsidR="001E4A3A" w:rsidRPr="009418E7" w:rsidRDefault="001E4A3A" w:rsidP="005C3CB6">
      <w:pPr>
        <w:tabs>
          <w:tab w:val="left" w:pos="1127"/>
        </w:tabs>
        <w:spacing w:line="360" w:lineRule="auto"/>
        <w:jc w:val="both"/>
        <w:rPr>
          <w:rFonts w:asciiTheme="majorBidi" w:eastAsiaTheme="minorEastAsia" w:hAnsiTheme="majorBidi" w:cstheme="majorBidi"/>
        </w:rPr>
      </w:pPr>
    </w:p>
    <w:p w14:paraId="3B830475" w14:textId="639AEC0D" w:rsidR="002C0835" w:rsidRPr="009418E7" w:rsidRDefault="002C0835" w:rsidP="005C3CB6">
      <w:pPr>
        <w:tabs>
          <w:tab w:val="left" w:pos="1127"/>
        </w:tabs>
        <w:spacing w:line="360" w:lineRule="auto"/>
        <w:jc w:val="both"/>
        <w:rPr>
          <w:rFonts w:asciiTheme="majorBidi" w:eastAsia="Times New Roman" w:hAnsiTheme="majorBidi" w:cstheme="majorBidi"/>
          <w:b/>
          <w:bCs/>
          <w:color w:val="000000"/>
        </w:rPr>
      </w:pPr>
      <w:r w:rsidRPr="009418E7">
        <w:rPr>
          <w:rFonts w:asciiTheme="majorBidi" w:hAnsiTheme="majorBidi" w:cstheme="majorBidi"/>
        </w:rPr>
        <w:t xml:space="preserve">Table 4 </w:t>
      </w:r>
      <w:r w:rsidRPr="009418E7">
        <w:rPr>
          <w:rFonts w:asciiTheme="majorBidi" w:eastAsia="Times New Roman" w:hAnsiTheme="majorBidi" w:cstheme="majorBidi"/>
          <w:b/>
          <w:bCs/>
          <w:color w:val="000000"/>
        </w:rPr>
        <w:t>Correlations between measured parameters</w:t>
      </w:r>
    </w:p>
    <w:tbl>
      <w:tblPr>
        <w:tblW w:w="8700" w:type="dxa"/>
        <w:tblLook w:val="04A0" w:firstRow="1" w:lastRow="0" w:firstColumn="1" w:lastColumn="0" w:noHBand="0" w:noVBand="1"/>
      </w:tblPr>
      <w:tblGrid>
        <w:gridCol w:w="1106"/>
        <w:gridCol w:w="2087"/>
        <w:gridCol w:w="958"/>
        <w:gridCol w:w="958"/>
        <w:gridCol w:w="1032"/>
        <w:gridCol w:w="1106"/>
        <w:gridCol w:w="1020"/>
        <w:gridCol w:w="1093"/>
      </w:tblGrid>
      <w:tr w:rsidR="004E3B83" w:rsidRPr="009418E7" w14:paraId="7392E9D0" w14:textId="77777777" w:rsidTr="004E3B83">
        <w:trPr>
          <w:trHeight w:val="300"/>
        </w:trPr>
        <w:tc>
          <w:tcPr>
            <w:tcW w:w="2940" w:type="dxa"/>
            <w:gridSpan w:val="2"/>
            <w:tcBorders>
              <w:top w:val="single" w:sz="4" w:space="0" w:color="auto"/>
              <w:left w:val="nil"/>
              <w:bottom w:val="single" w:sz="4" w:space="0" w:color="auto"/>
              <w:right w:val="nil"/>
            </w:tcBorders>
            <w:noWrap/>
            <w:vAlign w:val="bottom"/>
            <w:hideMark/>
          </w:tcPr>
          <w:p w14:paraId="7F8DB31F" w14:textId="77777777" w:rsidR="004E3B83" w:rsidRPr="009418E7" w:rsidRDefault="004E3B83" w:rsidP="004E3B83">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 Parameters</w:t>
            </w:r>
          </w:p>
        </w:tc>
        <w:tc>
          <w:tcPr>
            <w:tcW w:w="960" w:type="dxa"/>
            <w:tcBorders>
              <w:top w:val="single" w:sz="4" w:space="0" w:color="auto"/>
              <w:left w:val="nil"/>
              <w:bottom w:val="single" w:sz="4" w:space="0" w:color="auto"/>
              <w:right w:val="nil"/>
            </w:tcBorders>
            <w:noWrap/>
            <w:vAlign w:val="bottom"/>
            <w:hideMark/>
          </w:tcPr>
          <w:p w14:paraId="7A1DA14C" w14:textId="77777777" w:rsidR="004E3B83" w:rsidRPr="009418E7" w:rsidRDefault="004E3B83" w:rsidP="004E3B83">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BMIF</w:t>
            </w:r>
          </w:p>
        </w:tc>
        <w:tc>
          <w:tcPr>
            <w:tcW w:w="960" w:type="dxa"/>
            <w:tcBorders>
              <w:top w:val="single" w:sz="4" w:space="0" w:color="auto"/>
              <w:left w:val="nil"/>
              <w:bottom w:val="single" w:sz="4" w:space="0" w:color="auto"/>
              <w:right w:val="nil"/>
            </w:tcBorders>
            <w:noWrap/>
            <w:vAlign w:val="bottom"/>
            <w:hideMark/>
          </w:tcPr>
          <w:p w14:paraId="5DC1D652" w14:textId="77777777" w:rsidR="004E3B83" w:rsidRPr="009418E7" w:rsidRDefault="004E3B83" w:rsidP="004E3B83">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BMIM</w:t>
            </w:r>
          </w:p>
        </w:tc>
        <w:tc>
          <w:tcPr>
            <w:tcW w:w="960" w:type="dxa"/>
            <w:tcBorders>
              <w:top w:val="single" w:sz="4" w:space="0" w:color="auto"/>
              <w:left w:val="nil"/>
              <w:bottom w:val="single" w:sz="4" w:space="0" w:color="auto"/>
              <w:right w:val="nil"/>
            </w:tcBorders>
            <w:noWrap/>
            <w:vAlign w:val="bottom"/>
            <w:hideMark/>
          </w:tcPr>
          <w:p w14:paraId="7047EF6A" w14:textId="77777777" w:rsidR="004E3B83" w:rsidRPr="009418E7" w:rsidRDefault="004E3B83" w:rsidP="004E3B83">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PAIRLF</w:t>
            </w:r>
          </w:p>
        </w:tc>
        <w:tc>
          <w:tcPr>
            <w:tcW w:w="960" w:type="dxa"/>
            <w:tcBorders>
              <w:top w:val="single" w:sz="4" w:space="0" w:color="auto"/>
              <w:left w:val="nil"/>
              <w:bottom w:val="single" w:sz="4" w:space="0" w:color="auto"/>
              <w:right w:val="nil"/>
            </w:tcBorders>
            <w:noWrap/>
            <w:vAlign w:val="bottom"/>
            <w:hideMark/>
          </w:tcPr>
          <w:p w14:paraId="12B8975E" w14:textId="77777777" w:rsidR="004E3B83" w:rsidRPr="009418E7" w:rsidRDefault="004E3B83" w:rsidP="004E3B83">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PAIRLM</w:t>
            </w:r>
          </w:p>
        </w:tc>
        <w:tc>
          <w:tcPr>
            <w:tcW w:w="960" w:type="dxa"/>
            <w:tcBorders>
              <w:top w:val="single" w:sz="4" w:space="0" w:color="auto"/>
              <w:left w:val="nil"/>
              <w:bottom w:val="single" w:sz="4" w:space="0" w:color="auto"/>
              <w:right w:val="nil"/>
            </w:tcBorders>
            <w:noWrap/>
            <w:vAlign w:val="bottom"/>
            <w:hideMark/>
          </w:tcPr>
          <w:p w14:paraId="4E93AD51" w14:textId="77777777" w:rsidR="004E3B83" w:rsidRPr="009418E7" w:rsidRDefault="004E3B83" w:rsidP="004E3B83">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PAILLF</w:t>
            </w:r>
          </w:p>
        </w:tc>
        <w:tc>
          <w:tcPr>
            <w:tcW w:w="960" w:type="dxa"/>
            <w:tcBorders>
              <w:top w:val="single" w:sz="4" w:space="0" w:color="auto"/>
              <w:left w:val="nil"/>
              <w:bottom w:val="single" w:sz="4" w:space="0" w:color="auto"/>
              <w:right w:val="nil"/>
            </w:tcBorders>
            <w:noWrap/>
            <w:vAlign w:val="bottom"/>
            <w:hideMark/>
          </w:tcPr>
          <w:p w14:paraId="126CD0CC" w14:textId="77777777" w:rsidR="004E3B83" w:rsidRPr="009418E7" w:rsidRDefault="004E3B83" w:rsidP="004E3B83">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PAILLM</w:t>
            </w:r>
          </w:p>
        </w:tc>
      </w:tr>
      <w:tr w:rsidR="004E3B83" w:rsidRPr="009418E7" w14:paraId="61655747" w14:textId="77777777" w:rsidTr="004E3B83">
        <w:trPr>
          <w:trHeight w:val="300"/>
        </w:trPr>
        <w:tc>
          <w:tcPr>
            <w:tcW w:w="847" w:type="dxa"/>
            <w:vMerge w:val="restart"/>
            <w:tcBorders>
              <w:top w:val="nil"/>
              <w:left w:val="nil"/>
              <w:bottom w:val="nil"/>
              <w:right w:val="nil"/>
            </w:tcBorders>
            <w:noWrap/>
            <w:vAlign w:val="bottom"/>
            <w:hideMark/>
          </w:tcPr>
          <w:p w14:paraId="6620CA3E" w14:textId="77777777" w:rsidR="004E3B83" w:rsidRPr="009418E7" w:rsidRDefault="004E3B83" w:rsidP="004E3B83">
            <w:pPr>
              <w:spacing w:after="0" w:line="240" w:lineRule="auto"/>
              <w:jc w:val="center"/>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BMIF</w:t>
            </w:r>
          </w:p>
        </w:tc>
        <w:tc>
          <w:tcPr>
            <w:tcW w:w="2093" w:type="dxa"/>
            <w:tcBorders>
              <w:top w:val="nil"/>
              <w:left w:val="nil"/>
              <w:bottom w:val="nil"/>
              <w:right w:val="nil"/>
            </w:tcBorders>
            <w:noWrap/>
            <w:vAlign w:val="bottom"/>
            <w:hideMark/>
          </w:tcPr>
          <w:p w14:paraId="12FBAC21" w14:textId="77777777" w:rsidR="004E3B83" w:rsidRPr="009418E7" w:rsidRDefault="004E3B83" w:rsidP="004E3B83">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Pearson Correlation</w:t>
            </w:r>
          </w:p>
        </w:tc>
        <w:tc>
          <w:tcPr>
            <w:tcW w:w="960" w:type="dxa"/>
            <w:tcBorders>
              <w:top w:val="nil"/>
              <w:left w:val="nil"/>
              <w:bottom w:val="nil"/>
              <w:right w:val="nil"/>
            </w:tcBorders>
            <w:noWrap/>
            <w:vAlign w:val="bottom"/>
            <w:hideMark/>
          </w:tcPr>
          <w:p w14:paraId="5C072E46"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1.000</w:t>
            </w:r>
          </w:p>
        </w:tc>
        <w:tc>
          <w:tcPr>
            <w:tcW w:w="960" w:type="dxa"/>
            <w:tcBorders>
              <w:top w:val="nil"/>
              <w:left w:val="nil"/>
              <w:bottom w:val="nil"/>
              <w:right w:val="nil"/>
            </w:tcBorders>
            <w:noWrap/>
            <w:vAlign w:val="bottom"/>
            <w:hideMark/>
          </w:tcPr>
          <w:p w14:paraId="1A872DCA"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.946**</w:t>
            </w:r>
          </w:p>
        </w:tc>
        <w:tc>
          <w:tcPr>
            <w:tcW w:w="960" w:type="dxa"/>
            <w:tcBorders>
              <w:top w:val="nil"/>
              <w:left w:val="nil"/>
              <w:bottom w:val="nil"/>
              <w:right w:val="nil"/>
            </w:tcBorders>
            <w:noWrap/>
            <w:vAlign w:val="bottom"/>
            <w:hideMark/>
          </w:tcPr>
          <w:p w14:paraId="4EF4699C"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-0.066</w:t>
            </w:r>
          </w:p>
        </w:tc>
        <w:tc>
          <w:tcPr>
            <w:tcW w:w="960" w:type="dxa"/>
            <w:tcBorders>
              <w:top w:val="nil"/>
              <w:left w:val="nil"/>
              <w:bottom w:val="nil"/>
              <w:right w:val="nil"/>
            </w:tcBorders>
            <w:noWrap/>
            <w:vAlign w:val="bottom"/>
            <w:hideMark/>
          </w:tcPr>
          <w:p w14:paraId="11846D9A"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0.224</w:t>
            </w:r>
          </w:p>
        </w:tc>
        <w:tc>
          <w:tcPr>
            <w:tcW w:w="960" w:type="dxa"/>
            <w:tcBorders>
              <w:top w:val="nil"/>
              <w:left w:val="nil"/>
              <w:bottom w:val="nil"/>
              <w:right w:val="nil"/>
            </w:tcBorders>
            <w:noWrap/>
            <w:vAlign w:val="bottom"/>
            <w:hideMark/>
          </w:tcPr>
          <w:p w14:paraId="206D5DF3"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-0.043</w:t>
            </w:r>
          </w:p>
        </w:tc>
        <w:tc>
          <w:tcPr>
            <w:tcW w:w="960" w:type="dxa"/>
            <w:tcBorders>
              <w:top w:val="nil"/>
              <w:left w:val="nil"/>
              <w:bottom w:val="nil"/>
              <w:right w:val="nil"/>
            </w:tcBorders>
            <w:noWrap/>
            <w:vAlign w:val="bottom"/>
            <w:hideMark/>
          </w:tcPr>
          <w:p w14:paraId="1EBA052D"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0.223</w:t>
            </w:r>
          </w:p>
        </w:tc>
      </w:tr>
      <w:tr w:rsidR="004E3B83" w:rsidRPr="009418E7" w14:paraId="153F9BB2" w14:textId="77777777" w:rsidTr="004E3B83">
        <w:trPr>
          <w:trHeight w:val="300"/>
        </w:trPr>
        <w:tc>
          <w:tcPr>
            <w:tcW w:w="847" w:type="dxa"/>
            <w:vMerge/>
            <w:tcBorders>
              <w:top w:val="nil"/>
              <w:left w:val="nil"/>
              <w:bottom w:val="nil"/>
              <w:right w:val="nil"/>
            </w:tcBorders>
            <w:vAlign w:val="center"/>
            <w:hideMark/>
          </w:tcPr>
          <w:p w14:paraId="07D22706" w14:textId="77777777" w:rsidR="004E3B83" w:rsidRPr="009418E7" w:rsidRDefault="004E3B83" w:rsidP="004E3B83">
            <w:pPr>
              <w:spacing w:after="0" w:line="240" w:lineRule="auto"/>
              <w:rPr>
                <w:rFonts w:asciiTheme="majorBidi" w:eastAsia="Times New Roman" w:hAnsiTheme="majorBidi" w:cstheme="majorBidi"/>
                <w:b/>
                <w:bCs/>
                <w:color w:val="000000"/>
              </w:rPr>
            </w:pPr>
          </w:p>
        </w:tc>
        <w:tc>
          <w:tcPr>
            <w:tcW w:w="2093" w:type="dxa"/>
            <w:tcBorders>
              <w:top w:val="nil"/>
              <w:left w:val="nil"/>
              <w:bottom w:val="nil"/>
              <w:right w:val="nil"/>
            </w:tcBorders>
            <w:noWrap/>
            <w:vAlign w:val="bottom"/>
            <w:hideMark/>
          </w:tcPr>
          <w:p w14:paraId="242FB7B2" w14:textId="77777777" w:rsidR="004E3B83" w:rsidRPr="009418E7" w:rsidRDefault="004E3B83" w:rsidP="004E3B83">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Sig. (2-tailed)</w:t>
            </w:r>
          </w:p>
        </w:tc>
        <w:tc>
          <w:tcPr>
            <w:tcW w:w="960" w:type="dxa"/>
            <w:tcBorders>
              <w:top w:val="nil"/>
              <w:left w:val="nil"/>
              <w:bottom w:val="nil"/>
              <w:right w:val="nil"/>
            </w:tcBorders>
            <w:noWrap/>
            <w:vAlign w:val="bottom"/>
            <w:hideMark/>
          </w:tcPr>
          <w:p w14:paraId="55A6E913" w14:textId="77777777" w:rsidR="004E3B83" w:rsidRPr="009418E7" w:rsidRDefault="004E3B83" w:rsidP="004E3B83">
            <w:pPr>
              <w:spacing w:after="0" w:line="240" w:lineRule="auto"/>
              <w:rPr>
                <w:rFonts w:asciiTheme="majorBidi" w:eastAsia="Times New Roman" w:hAnsiTheme="majorBidi" w:cstheme="majorBidi"/>
                <w:b/>
                <w:bCs/>
                <w:color w:val="000000"/>
              </w:rPr>
            </w:pPr>
          </w:p>
        </w:tc>
        <w:tc>
          <w:tcPr>
            <w:tcW w:w="960" w:type="dxa"/>
            <w:tcBorders>
              <w:top w:val="nil"/>
              <w:left w:val="nil"/>
              <w:bottom w:val="nil"/>
              <w:right w:val="nil"/>
            </w:tcBorders>
            <w:noWrap/>
            <w:vAlign w:val="bottom"/>
            <w:hideMark/>
          </w:tcPr>
          <w:p w14:paraId="7F486DB1"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0.000</w:t>
            </w:r>
          </w:p>
        </w:tc>
        <w:tc>
          <w:tcPr>
            <w:tcW w:w="960" w:type="dxa"/>
            <w:tcBorders>
              <w:top w:val="nil"/>
              <w:left w:val="nil"/>
              <w:bottom w:val="nil"/>
              <w:right w:val="nil"/>
            </w:tcBorders>
            <w:noWrap/>
            <w:vAlign w:val="bottom"/>
            <w:hideMark/>
          </w:tcPr>
          <w:p w14:paraId="18A51FCE"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0.619</w:t>
            </w:r>
          </w:p>
        </w:tc>
        <w:tc>
          <w:tcPr>
            <w:tcW w:w="960" w:type="dxa"/>
            <w:tcBorders>
              <w:top w:val="nil"/>
              <w:left w:val="nil"/>
              <w:bottom w:val="nil"/>
              <w:right w:val="nil"/>
            </w:tcBorders>
            <w:noWrap/>
            <w:vAlign w:val="bottom"/>
            <w:hideMark/>
          </w:tcPr>
          <w:p w14:paraId="11C1E919"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0.085</w:t>
            </w:r>
          </w:p>
        </w:tc>
        <w:tc>
          <w:tcPr>
            <w:tcW w:w="960" w:type="dxa"/>
            <w:tcBorders>
              <w:top w:val="nil"/>
              <w:left w:val="nil"/>
              <w:bottom w:val="nil"/>
              <w:right w:val="nil"/>
            </w:tcBorders>
            <w:noWrap/>
            <w:vAlign w:val="bottom"/>
            <w:hideMark/>
          </w:tcPr>
          <w:p w14:paraId="57180D97"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0.745</w:t>
            </w:r>
          </w:p>
        </w:tc>
        <w:tc>
          <w:tcPr>
            <w:tcW w:w="960" w:type="dxa"/>
            <w:tcBorders>
              <w:top w:val="nil"/>
              <w:left w:val="nil"/>
              <w:bottom w:val="nil"/>
              <w:right w:val="nil"/>
            </w:tcBorders>
            <w:noWrap/>
            <w:vAlign w:val="bottom"/>
            <w:hideMark/>
          </w:tcPr>
          <w:p w14:paraId="50CE4BD2"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0.087</w:t>
            </w:r>
          </w:p>
        </w:tc>
      </w:tr>
      <w:tr w:rsidR="004E3B83" w:rsidRPr="009418E7" w14:paraId="7DDAB905" w14:textId="77777777" w:rsidTr="004E3B83">
        <w:trPr>
          <w:trHeight w:val="300"/>
        </w:trPr>
        <w:tc>
          <w:tcPr>
            <w:tcW w:w="847" w:type="dxa"/>
            <w:vMerge w:val="restart"/>
            <w:tcBorders>
              <w:top w:val="single" w:sz="4" w:space="0" w:color="auto"/>
              <w:left w:val="nil"/>
              <w:bottom w:val="single" w:sz="4" w:space="0" w:color="000000"/>
              <w:right w:val="nil"/>
            </w:tcBorders>
            <w:noWrap/>
            <w:vAlign w:val="bottom"/>
            <w:hideMark/>
          </w:tcPr>
          <w:p w14:paraId="4444BE6D" w14:textId="77777777" w:rsidR="004E3B83" w:rsidRPr="009418E7" w:rsidRDefault="004E3B83" w:rsidP="004E3B83">
            <w:pPr>
              <w:spacing w:after="0" w:line="240" w:lineRule="auto"/>
              <w:jc w:val="center"/>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BMIM</w:t>
            </w:r>
          </w:p>
        </w:tc>
        <w:tc>
          <w:tcPr>
            <w:tcW w:w="2093" w:type="dxa"/>
            <w:tcBorders>
              <w:top w:val="single" w:sz="4" w:space="0" w:color="auto"/>
              <w:left w:val="nil"/>
              <w:bottom w:val="nil"/>
              <w:right w:val="nil"/>
            </w:tcBorders>
            <w:noWrap/>
            <w:vAlign w:val="bottom"/>
            <w:hideMark/>
          </w:tcPr>
          <w:p w14:paraId="1C4A2F5F" w14:textId="77777777" w:rsidR="004E3B83" w:rsidRPr="009418E7" w:rsidRDefault="004E3B83" w:rsidP="004E3B83">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Pearson Correlation</w:t>
            </w:r>
          </w:p>
        </w:tc>
        <w:tc>
          <w:tcPr>
            <w:tcW w:w="960" w:type="dxa"/>
            <w:tcBorders>
              <w:top w:val="single" w:sz="4" w:space="0" w:color="auto"/>
              <w:left w:val="nil"/>
              <w:bottom w:val="nil"/>
              <w:right w:val="nil"/>
            </w:tcBorders>
            <w:noWrap/>
            <w:vAlign w:val="bottom"/>
            <w:hideMark/>
          </w:tcPr>
          <w:p w14:paraId="650805D5"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.946**</w:t>
            </w:r>
          </w:p>
        </w:tc>
        <w:tc>
          <w:tcPr>
            <w:tcW w:w="960" w:type="dxa"/>
            <w:tcBorders>
              <w:top w:val="single" w:sz="4" w:space="0" w:color="auto"/>
              <w:left w:val="nil"/>
              <w:bottom w:val="nil"/>
              <w:right w:val="nil"/>
            </w:tcBorders>
            <w:noWrap/>
            <w:vAlign w:val="bottom"/>
            <w:hideMark/>
          </w:tcPr>
          <w:p w14:paraId="7FD4B0AA"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1.000</w:t>
            </w:r>
          </w:p>
        </w:tc>
        <w:tc>
          <w:tcPr>
            <w:tcW w:w="960" w:type="dxa"/>
            <w:tcBorders>
              <w:top w:val="single" w:sz="4" w:space="0" w:color="auto"/>
              <w:left w:val="nil"/>
              <w:bottom w:val="nil"/>
              <w:right w:val="nil"/>
            </w:tcBorders>
            <w:noWrap/>
            <w:vAlign w:val="bottom"/>
            <w:hideMark/>
          </w:tcPr>
          <w:p w14:paraId="1D8A665E"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-0.061</w:t>
            </w:r>
          </w:p>
        </w:tc>
        <w:tc>
          <w:tcPr>
            <w:tcW w:w="960" w:type="dxa"/>
            <w:tcBorders>
              <w:top w:val="single" w:sz="4" w:space="0" w:color="auto"/>
              <w:left w:val="nil"/>
              <w:bottom w:val="nil"/>
              <w:right w:val="nil"/>
            </w:tcBorders>
            <w:noWrap/>
            <w:vAlign w:val="bottom"/>
            <w:hideMark/>
          </w:tcPr>
          <w:p w14:paraId="6185DA52"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0.164</w:t>
            </w:r>
          </w:p>
        </w:tc>
        <w:tc>
          <w:tcPr>
            <w:tcW w:w="960" w:type="dxa"/>
            <w:tcBorders>
              <w:top w:val="single" w:sz="4" w:space="0" w:color="auto"/>
              <w:left w:val="nil"/>
              <w:bottom w:val="nil"/>
              <w:right w:val="nil"/>
            </w:tcBorders>
            <w:noWrap/>
            <w:vAlign w:val="bottom"/>
            <w:hideMark/>
          </w:tcPr>
          <w:p w14:paraId="67156224"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0.015</w:t>
            </w:r>
          </w:p>
        </w:tc>
        <w:tc>
          <w:tcPr>
            <w:tcW w:w="960" w:type="dxa"/>
            <w:tcBorders>
              <w:top w:val="single" w:sz="4" w:space="0" w:color="auto"/>
              <w:left w:val="nil"/>
              <w:bottom w:val="nil"/>
              <w:right w:val="nil"/>
            </w:tcBorders>
            <w:noWrap/>
            <w:vAlign w:val="bottom"/>
            <w:hideMark/>
          </w:tcPr>
          <w:p w14:paraId="3A62DD90"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0.165</w:t>
            </w:r>
          </w:p>
        </w:tc>
      </w:tr>
      <w:tr w:rsidR="004E3B83" w:rsidRPr="009418E7" w14:paraId="2365D94A" w14:textId="77777777" w:rsidTr="004E3B83">
        <w:trPr>
          <w:trHeight w:val="300"/>
        </w:trPr>
        <w:tc>
          <w:tcPr>
            <w:tcW w:w="847" w:type="dxa"/>
            <w:vMerge/>
            <w:tcBorders>
              <w:top w:val="single" w:sz="4" w:space="0" w:color="auto"/>
              <w:left w:val="nil"/>
              <w:bottom w:val="single" w:sz="4" w:space="0" w:color="000000"/>
              <w:right w:val="nil"/>
            </w:tcBorders>
            <w:vAlign w:val="center"/>
            <w:hideMark/>
          </w:tcPr>
          <w:p w14:paraId="4AF9019B" w14:textId="77777777" w:rsidR="004E3B83" w:rsidRPr="009418E7" w:rsidRDefault="004E3B83" w:rsidP="004E3B83">
            <w:pPr>
              <w:spacing w:after="0" w:line="240" w:lineRule="auto"/>
              <w:rPr>
                <w:rFonts w:asciiTheme="majorBidi" w:eastAsia="Times New Roman" w:hAnsiTheme="majorBidi" w:cstheme="majorBidi"/>
                <w:b/>
                <w:bCs/>
                <w:color w:val="000000"/>
              </w:rPr>
            </w:pPr>
          </w:p>
        </w:tc>
        <w:tc>
          <w:tcPr>
            <w:tcW w:w="2093" w:type="dxa"/>
            <w:tcBorders>
              <w:top w:val="nil"/>
              <w:left w:val="nil"/>
              <w:bottom w:val="single" w:sz="4" w:space="0" w:color="auto"/>
              <w:right w:val="nil"/>
            </w:tcBorders>
            <w:noWrap/>
            <w:vAlign w:val="bottom"/>
            <w:hideMark/>
          </w:tcPr>
          <w:p w14:paraId="4DBF7CD6" w14:textId="77777777" w:rsidR="004E3B83" w:rsidRPr="009418E7" w:rsidRDefault="004E3B83" w:rsidP="004E3B83">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Sig. (2-tailed)</w:t>
            </w:r>
          </w:p>
        </w:tc>
        <w:tc>
          <w:tcPr>
            <w:tcW w:w="960" w:type="dxa"/>
            <w:tcBorders>
              <w:top w:val="nil"/>
              <w:left w:val="nil"/>
              <w:bottom w:val="single" w:sz="4" w:space="0" w:color="auto"/>
              <w:right w:val="nil"/>
            </w:tcBorders>
            <w:noWrap/>
            <w:vAlign w:val="bottom"/>
            <w:hideMark/>
          </w:tcPr>
          <w:p w14:paraId="4624FC4D"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0.000</w:t>
            </w:r>
          </w:p>
        </w:tc>
        <w:tc>
          <w:tcPr>
            <w:tcW w:w="960" w:type="dxa"/>
            <w:tcBorders>
              <w:top w:val="nil"/>
              <w:left w:val="nil"/>
              <w:bottom w:val="single" w:sz="4" w:space="0" w:color="auto"/>
              <w:right w:val="nil"/>
            </w:tcBorders>
            <w:noWrap/>
            <w:vAlign w:val="bottom"/>
            <w:hideMark/>
          </w:tcPr>
          <w:p w14:paraId="13EFF8A8"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 </w:t>
            </w:r>
          </w:p>
        </w:tc>
        <w:tc>
          <w:tcPr>
            <w:tcW w:w="960" w:type="dxa"/>
            <w:tcBorders>
              <w:top w:val="nil"/>
              <w:left w:val="nil"/>
              <w:bottom w:val="single" w:sz="4" w:space="0" w:color="auto"/>
              <w:right w:val="nil"/>
            </w:tcBorders>
            <w:noWrap/>
            <w:vAlign w:val="bottom"/>
            <w:hideMark/>
          </w:tcPr>
          <w:p w14:paraId="782300F9"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0.644</w:t>
            </w:r>
          </w:p>
        </w:tc>
        <w:tc>
          <w:tcPr>
            <w:tcW w:w="960" w:type="dxa"/>
            <w:tcBorders>
              <w:top w:val="nil"/>
              <w:left w:val="nil"/>
              <w:bottom w:val="single" w:sz="4" w:space="0" w:color="auto"/>
              <w:right w:val="nil"/>
            </w:tcBorders>
            <w:noWrap/>
            <w:vAlign w:val="bottom"/>
            <w:hideMark/>
          </w:tcPr>
          <w:p w14:paraId="71E93648"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0.212</w:t>
            </w:r>
          </w:p>
        </w:tc>
        <w:tc>
          <w:tcPr>
            <w:tcW w:w="960" w:type="dxa"/>
            <w:tcBorders>
              <w:top w:val="nil"/>
              <w:left w:val="nil"/>
              <w:bottom w:val="single" w:sz="4" w:space="0" w:color="auto"/>
              <w:right w:val="nil"/>
            </w:tcBorders>
            <w:noWrap/>
            <w:vAlign w:val="bottom"/>
            <w:hideMark/>
          </w:tcPr>
          <w:p w14:paraId="1AD462AB"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0.907</w:t>
            </w:r>
          </w:p>
        </w:tc>
        <w:tc>
          <w:tcPr>
            <w:tcW w:w="960" w:type="dxa"/>
            <w:tcBorders>
              <w:top w:val="nil"/>
              <w:left w:val="nil"/>
              <w:bottom w:val="single" w:sz="4" w:space="0" w:color="auto"/>
              <w:right w:val="nil"/>
            </w:tcBorders>
            <w:noWrap/>
            <w:vAlign w:val="bottom"/>
            <w:hideMark/>
          </w:tcPr>
          <w:p w14:paraId="60D9ECFF"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0.206</w:t>
            </w:r>
          </w:p>
        </w:tc>
      </w:tr>
      <w:tr w:rsidR="004E3B83" w:rsidRPr="009418E7" w14:paraId="2ACB3D0B" w14:textId="77777777" w:rsidTr="004E3B83">
        <w:trPr>
          <w:trHeight w:val="300"/>
        </w:trPr>
        <w:tc>
          <w:tcPr>
            <w:tcW w:w="847" w:type="dxa"/>
            <w:vMerge w:val="restart"/>
            <w:tcBorders>
              <w:top w:val="nil"/>
              <w:left w:val="nil"/>
              <w:bottom w:val="nil"/>
              <w:right w:val="nil"/>
            </w:tcBorders>
            <w:noWrap/>
            <w:vAlign w:val="bottom"/>
            <w:hideMark/>
          </w:tcPr>
          <w:p w14:paraId="154DBFE1" w14:textId="77777777" w:rsidR="004E3B83" w:rsidRPr="009418E7" w:rsidRDefault="004E3B83" w:rsidP="004E3B83">
            <w:pPr>
              <w:spacing w:after="0" w:line="240" w:lineRule="auto"/>
              <w:jc w:val="center"/>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PAIRLF</w:t>
            </w:r>
          </w:p>
        </w:tc>
        <w:tc>
          <w:tcPr>
            <w:tcW w:w="2093" w:type="dxa"/>
            <w:tcBorders>
              <w:top w:val="nil"/>
              <w:left w:val="nil"/>
              <w:bottom w:val="nil"/>
              <w:right w:val="nil"/>
            </w:tcBorders>
            <w:noWrap/>
            <w:vAlign w:val="bottom"/>
            <w:hideMark/>
          </w:tcPr>
          <w:p w14:paraId="62C6E5F7" w14:textId="77777777" w:rsidR="004E3B83" w:rsidRPr="009418E7" w:rsidRDefault="004E3B83" w:rsidP="004E3B83">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Pearson Correlation</w:t>
            </w:r>
          </w:p>
        </w:tc>
        <w:tc>
          <w:tcPr>
            <w:tcW w:w="960" w:type="dxa"/>
            <w:tcBorders>
              <w:top w:val="nil"/>
              <w:left w:val="nil"/>
              <w:bottom w:val="nil"/>
              <w:right w:val="nil"/>
            </w:tcBorders>
            <w:noWrap/>
            <w:vAlign w:val="bottom"/>
            <w:hideMark/>
          </w:tcPr>
          <w:p w14:paraId="03711CA9"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-0.066</w:t>
            </w:r>
          </w:p>
        </w:tc>
        <w:tc>
          <w:tcPr>
            <w:tcW w:w="960" w:type="dxa"/>
            <w:tcBorders>
              <w:top w:val="nil"/>
              <w:left w:val="nil"/>
              <w:bottom w:val="nil"/>
              <w:right w:val="nil"/>
            </w:tcBorders>
            <w:noWrap/>
            <w:vAlign w:val="bottom"/>
            <w:hideMark/>
          </w:tcPr>
          <w:p w14:paraId="25653066"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-0.061</w:t>
            </w:r>
          </w:p>
        </w:tc>
        <w:tc>
          <w:tcPr>
            <w:tcW w:w="960" w:type="dxa"/>
            <w:tcBorders>
              <w:top w:val="nil"/>
              <w:left w:val="nil"/>
              <w:bottom w:val="nil"/>
              <w:right w:val="nil"/>
            </w:tcBorders>
            <w:noWrap/>
            <w:vAlign w:val="bottom"/>
            <w:hideMark/>
          </w:tcPr>
          <w:p w14:paraId="35FE8AF4"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1.000</w:t>
            </w:r>
          </w:p>
        </w:tc>
        <w:tc>
          <w:tcPr>
            <w:tcW w:w="960" w:type="dxa"/>
            <w:tcBorders>
              <w:top w:val="nil"/>
              <w:left w:val="nil"/>
              <w:bottom w:val="nil"/>
              <w:right w:val="nil"/>
            </w:tcBorders>
            <w:noWrap/>
            <w:vAlign w:val="bottom"/>
            <w:hideMark/>
          </w:tcPr>
          <w:p w14:paraId="01257A93"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-0.107</w:t>
            </w:r>
          </w:p>
        </w:tc>
        <w:tc>
          <w:tcPr>
            <w:tcW w:w="960" w:type="dxa"/>
            <w:tcBorders>
              <w:top w:val="nil"/>
              <w:left w:val="nil"/>
              <w:bottom w:val="nil"/>
              <w:right w:val="nil"/>
            </w:tcBorders>
            <w:noWrap/>
            <w:vAlign w:val="bottom"/>
            <w:hideMark/>
          </w:tcPr>
          <w:p w14:paraId="15DC1B44"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.662**</w:t>
            </w:r>
          </w:p>
        </w:tc>
        <w:tc>
          <w:tcPr>
            <w:tcW w:w="960" w:type="dxa"/>
            <w:tcBorders>
              <w:top w:val="nil"/>
              <w:left w:val="nil"/>
              <w:bottom w:val="nil"/>
              <w:right w:val="nil"/>
            </w:tcBorders>
            <w:noWrap/>
            <w:vAlign w:val="bottom"/>
            <w:hideMark/>
          </w:tcPr>
          <w:p w14:paraId="380ECC95"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0.049</w:t>
            </w:r>
          </w:p>
        </w:tc>
      </w:tr>
      <w:tr w:rsidR="004E3B83" w:rsidRPr="009418E7" w14:paraId="4987DDA9" w14:textId="77777777" w:rsidTr="004E3B83">
        <w:trPr>
          <w:trHeight w:val="300"/>
        </w:trPr>
        <w:tc>
          <w:tcPr>
            <w:tcW w:w="847" w:type="dxa"/>
            <w:vMerge/>
            <w:tcBorders>
              <w:top w:val="nil"/>
              <w:left w:val="nil"/>
              <w:bottom w:val="nil"/>
              <w:right w:val="nil"/>
            </w:tcBorders>
            <w:vAlign w:val="center"/>
            <w:hideMark/>
          </w:tcPr>
          <w:p w14:paraId="51F1A71C" w14:textId="77777777" w:rsidR="004E3B83" w:rsidRPr="009418E7" w:rsidRDefault="004E3B83" w:rsidP="004E3B83">
            <w:pPr>
              <w:spacing w:after="0" w:line="240" w:lineRule="auto"/>
              <w:rPr>
                <w:rFonts w:asciiTheme="majorBidi" w:eastAsia="Times New Roman" w:hAnsiTheme="majorBidi" w:cstheme="majorBidi"/>
                <w:b/>
                <w:bCs/>
                <w:color w:val="000000"/>
              </w:rPr>
            </w:pPr>
          </w:p>
        </w:tc>
        <w:tc>
          <w:tcPr>
            <w:tcW w:w="2093" w:type="dxa"/>
            <w:tcBorders>
              <w:top w:val="nil"/>
              <w:left w:val="nil"/>
              <w:bottom w:val="nil"/>
              <w:right w:val="nil"/>
            </w:tcBorders>
            <w:noWrap/>
            <w:vAlign w:val="bottom"/>
            <w:hideMark/>
          </w:tcPr>
          <w:p w14:paraId="3EA4CE64" w14:textId="77777777" w:rsidR="004E3B83" w:rsidRPr="009418E7" w:rsidRDefault="004E3B83" w:rsidP="004E3B83">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Sig. (2-tailed)</w:t>
            </w:r>
          </w:p>
        </w:tc>
        <w:tc>
          <w:tcPr>
            <w:tcW w:w="960" w:type="dxa"/>
            <w:tcBorders>
              <w:top w:val="nil"/>
              <w:left w:val="nil"/>
              <w:bottom w:val="nil"/>
              <w:right w:val="nil"/>
            </w:tcBorders>
            <w:noWrap/>
            <w:vAlign w:val="bottom"/>
            <w:hideMark/>
          </w:tcPr>
          <w:p w14:paraId="538E9769"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0.619</w:t>
            </w:r>
          </w:p>
        </w:tc>
        <w:tc>
          <w:tcPr>
            <w:tcW w:w="960" w:type="dxa"/>
            <w:tcBorders>
              <w:top w:val="nil"/>
              <w:left w:val="nil"/>
              <w:bottom w:val="nil"/>
              <w:right w:val="nil"/>
            </w:tcBorders>
            <w:noWrap/>
            <w:vAlign w:val="bottom"/>
            <w:hideMark/>
          </w:tcPr>
          <w:p w14:paraId="2053831E"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0.644</w:t>
            </w:r>
          </w:p>
        </w:tc>
        <w:tc>
          <w:tcPr>
            <w:tcW w:w="960" w:type="dxa"/>
            <w:tcBorders>
              <w:top w:val="nil"/>
              <w:left w:val="nil"/>
              <w:bottom w:val="nil"/>
              <w:right w:val="nil"/>
            </w:tcBorders>
            <w:noWrap/>
            <w:vAlign w:val="bottom"/>
            <w:hideMark/>
          </w:tcPr>
          <w:p w14:paraId="3ED9E5EC" w14:textId="77777777" w:rsidR="004E3B83" w:rsidRPr="009418E7" w:rsidRDefault="004E3B83" w:rsidP="004E3B83">
            <w:pPr>
              <w:spacing w:after="0" w:line="240" w:lineRule="auto"/>
              <w:jc w:val="center"/>
              <w:rPr>
                <w:rFonts w:asciiTheme="majorBidi" w:eastAsia="Times New Roman" w:hAnsiTheme="majorBidi" w:cstheme="majorBidi"/>
                <w:color w:val="000000"/>
              </w:rPr>
            </w:pPr>
          </w:p>
        </w:tc>
        <w:tc>
          <w:tcPr>
            <w:tcW w:w="960" w:type="dxa"/>
            <w:tcBorders>
              <w:top w:val="nil"/>
              <w:left w:val="nil"/>
              <w:bottom w:val="nil"/>
              <w:right w:val="nil"/>
            </w:tcBorders>
            <w:noWrap/>
            <w:vAlign w:val="bottom"/>
            <w:hideMark/>
          </w:tcPr>
          <w:p w14:paraId="48566846"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0.417</w:t>
            </w:r>
          </w:p>
        </w:tc>
        <w:tc>
          <w:tcPr>
            <w:tcW w:w="960" w:type="dxa"/>
            <w:tcBorders>
              <w:top w:val="nil"/>
              <w:left w:val="nil"/>
              <w:bottom w:val="nil"/>
              <w:right w:val="nil"/>
            </w:tcBorders>
            <w:noWrap/>
            <w:vAlign w:val="bottom"/>
            <w:hideMark/>
          </w:tcPr>
          <w:p w14:paraId="35EB2198"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0.000</w:t>
            </w:r>
          </w:p>
        </w:tc>
        <w:tc>
          <w:tcPr>
            <w:tcW w:w="960" w:type="dxa"/>
            <w:tcBorders>
              <w:top w:val="nil"/>
              <w:left w:val="nil"/>
              <w:bottom w:val="nil"/>
              <w:right w:val="nil"/>
            </w:tcBorders>
            <w:noWrap/>
            <w:vAlign w:val="bottom"/>
            <w:hideMark/>
          </w:tcPr>
          <w:p w14:paraId="187487BB"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0.712</w:t>
            </w:r>
          </w:p>
        </w:tc>
      </w:tr>
      <w:tr w:rsidR="004E3B83" w:rsidRPr="009418E7" w14:paraId="669DA2DB" w14:textId="77777777" w:rsidTr="004E3B83">
        <w:trPr>
          <w:trHeight w:val="300"/>
        </w:trPr>
        <w:tc>
          <w:tcPr>
            <w:tcW w:w="847" w:type="dxa"/>
            <w:vMerge w:val="restart"/>
            <w:tcBorders>
              <w:top w:val="single" w:sz="4" w:space="0" w:color="auto"/>
              <w:left w:val="nil"/>
              <w:bottom w:val="single" w:sz="4" w:space="0" w:color="000000"/>
              <w:right w:val="nil"/>
            </w:tcBorders>
            <w:noWrap/>
            <w:vAlign w:val="bottom"/>
            <w:hideMark/>
          </w:tcPr>
          <w:p w14:paraId="7C4F763B" w14:textId="77777777" w:rsidR="004E3B83" w:rsidRPr="009418E7" w:rsidRDefault="004E3B83" w:rsidP="004E3B83">
            <w:pPr>
              <w:spacing w:after="0" w:line="240" w:lineRule="auto"/>
              <w:jc w:val="center"/>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PAIRLM</w:t>
            </w:r>
          </w:p>
        </w:tc>
        <w:tc>
          <w:tcPr>
            <w:tcW w:w="2093" w:type="dxa"/>
            <w:tcBorders>
              <w:top w:val="single" w:sz="4" w:space="0" w:color="auto"/>
              <w:left w:val="nil"/>
              <w:bottom w:val="nil"/>
              <w:right w:val="nil"/>
            </w:tcBorders>
            <w:noWrap/>
            <w:vAlign w:val="bottom"/>
            <w:hideMark/>
          </w:tcPr>
          <w:p w14:paraId="0F77AD79" w14:textId="77777777" w:rsidR="004E3B83" w:rsidRPr="009418E7" w:rsidRDefault="004E3B83" w:rsidP="004E3B83">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Pearson Correlation</w:t>
            </w:r>
          </w:p>
        </w:tc>
        <w:tc>
          <w:tcPr>
            <w:tcW w:w="960" w:type="dxa"/>
            <w:tcBorders>
              <w:top w:val="single" w:sz="4" w:space="0" w:color="auto"/>
              <w:left w:val="nil"/>
              <w:bottom w:val="nil"/>
              <w:right w:val="nil"/>
            </w:tcBorders>
            <w:noWrap/>
            <w:vAlign w:val="bottom"/>
            <w:hideMark/>
          </w:tcPr>
          <w:p w14:paraId="7D46AE21"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0.224</w:t>
            </w:r>
          </w:p>
        </w:tc>
        <w:tc>
          <w:tcPr>
            <w:tcW w:w="960" w:type="dxa"/>
            <w:tcBorders>
              <w:top w:val="single" w:sz="4" w:space="0" w:color="auto"/>
              <w:left w:val="nil"/>
              <w:bottom w:val="nil"/>
              <w:right w:val="nil"/>
            </w:tcBorders>
            <w:noWrap/>
            <w:vAlign w:val="bottom"/>
            <w:hideMark/>
          </w:tcPr>
          <w:p w14:paraId="1B932A84"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0.164</w:t>
            </w:r>
          </w:p>
        </w:tc>
        <w:tc>
          <w:tcPr>
            <w:tcW w:w="960" w:type="dxa"/>
            <w:tcBorders>
              <w:top w:val="single" w:sz="4" w:space="0" w:color="auto"/>
              <w:left w:val="nil"/>
              <w:bottom w:val="nil"/>
              <w:right w:val="nil"/>
            </w:tcBorders>
            <w:noWrap/>
            <w:vAlign w:val="bottom"/>
            <w:hideMark/>
          </w:tcPr>
          <w:p w14:paraId="77D2CD9C"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-0.107</w:t>
            </w:r>
          </w:p>
        </w:tc>
        <w:tc>
          <w:tcPr>
            <w:tcW w:w="960" w:type="dxa"/>
            <w:tcBorders>
              <w:top w:val="single" w:sz="4" w:space="0" w:color="auto"/>
              <w:left w:val="nil"/>
              <w:bottom w:val="nil"/>
              <w:right w:val="nil"/>
            </w:tcBorders>
            <w:noWrap/>
            <w:vAlign w:val="bottom"/>
            <w:hideMark/>
          </w:tcPr>
          <w:p w14:paraId="6D26DAB2"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1.000</w:t>
            </w:r>
          </w:p>
        </w:tc>
        <w:tc>
          <w:tcPr>
            <w:tcW w:w="960" w:type="dxa"/>
            <w:tcBorders>
              <w:top w:val="single" w:sz="4" w:space="0" w:color="auto"/>
              <w:left w:val="nil"/>
              <w:bottom w:val="nil"/>
              <w:right w:val="nil"/>
            </w:tcBorders>
            <w:noWrap/>
            <w:vAlign w:val="bottom"/>
            <w:hideMark/>
          </w:tcPr>
          <w:p w14:paraId="06A0D6C7"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-0.228</w:t>
            </w:r>
          </w:p>
        </w:tc>
        <w:tc>
          <w:tcPr>
            <w:tcW w:w="960" w:type="dxa"/>
            <w:tcBorders>
              <w:top w:val="single" w:sz="4" w:space="0" w:color="auto"/>
              <w:left w:val="nil"/>
              <w:bottom w:val="nil"/>
              <w:right w:val="nil"/>
            </w:tcBorders>
            <w:noWrap/>
            <w:vAlign w:val="bottom"/>
            <w:hideMark/>
          </w:tcPr>
          <w:p w14:paraId="635C4A5C"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.759**</w:t>
            </w:r>
          </w:p>
        </w:tc>
      </w:tr>
      <w:tr w:rsidR="004E3B83" w:rsidRPr="009418E7" w14:paraId="48AF5CEA" w14:textId="77777777" w:rsidTr="004E3B83">
        <w:trPr>
          <w:trHeight w:val="300"/>
        </w:trPr>
        <w:tc>
          <w:tcPr>
            <w:tcW w:w="847" w:type="dxa"/>
            <w:vMerge/>
            <w:tcBorders>
              <w:top w:val="single" w:sz="4" w:space="0" w:color="auto"/>
              <w:left w:val="nil"/>
              <w:bottom w:val="single" w:sz="4" w:space="0" w:color="000000"/>
              <w:right w:val="nil"/>
            </w:tcBorders>
            <w:vAlign w:val="center"/>
            <w:hideMark/>
          </w:tcPr>
          <w:p w14:paraId="487D99EE" w14:textId="77777777" w:rsidR="004E3B83" w:rsidRPr="009418E7" w:rsidRDefault="004E3B83" w:rsidP="004E3B83">
            <w:pPr>
              <w:spacing w:after="0" w:line="240" w:lineRule="auto"/>
              <w:rPr>
                <w:rFonts w:asciiTheme="majorBidi" w:eastAsia="Times New Roman" w:hAnsiTheme="majorBidi" w:cstheme="majorBidi"/>
                <w:b/>
                <w:bCs/>
                <w:color w:val="000000"/>
              </w:rPr>
            </w:pPr>
          </w:p>
        </w:tc>
        <w:tc>
          <w:tcPr>
            <w:tcW w:w="2093" w:type="dxa"/>
            <w:tcBorders>
              <w:top w:val="nil"/>
              <w:left w:val="nil"/>
              <w:bottom w:val="single" w:sz="4" w:space="0" w:color="auto"/>
              <w:right w:val="nil"/>
            </w:tcBorders>
            <w:noWrap/>
            <w:vAlign w:val="bottom"/>
            <w:hideMark/>
          </w:tcPr>
          <w:p w14:paraId="1587084B" w14:textId="77777777" w:rsidR="004E3B83" w:rsidRPr="009418E7" w:rsidRDefault="004E3B83" w:rsidP="004E3B83">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Sig. (2-tailed)</w:t>
            </w:r>
          </w:p>
        </w:tc>
        <w:tc>
          <w:tcPr>
            <w:tcW w:w="960" w:type="dxa"/>
            <w:tcBorders>
              <w:top w:val="nil"/>
              <w:left w:val="nil"/>
              <w:bottom w:val="single" w:sz="4" w:space="0" w:color="auto"/>
              <w:right w:val="nil"/>
            </w:tcBorders>
            <w:noWrap/>
            <w:vAlign w:val="bottom"/>
            <w:hideMark/>
          </w:tcPr>
          <w:p w14:paraId="7855EE00"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0.085</w:t>
            </w:r>
          </w:p>
        </w:tc>
        <w:tc>
          <w:tcPr>
            <w:tcW w:w="960" w:type="dxa"/>
            <w:tcBorders>
              <w:top w:val="nil"/>
              <w:left w:val="nil"/>
              <w:bottom w:val="single" w:sz="4" w:space="0" w:color="auto"/>
              <w:right w:val="nil"/>
            </w:tcBorders>
            <w:noWrap/>
            <w:vAlign w:val="bottom"/>
            <w:hideMark/>
          </w:tcPr>
          <w:p w14:paraId="13985E27"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0.212</w:t>
            </w:r>
          </w:p>
        </w:tc>
        <w:tc>
          <w:tcPr>
            <w:tcW w:w="960" w:type="dxa"/>
            <w:tcBorders>
              <w:top w:val="nil"/>
              <w:left w:val="nil"/>
              <w:bottom w:val="single" w:sz="4" w:space="0" w:color="auto"/>
              <w:right w:val="nil"/>
            </w:tcBorders>
            <w:noWrap/>
            <w:vAlign w:val="bottom"/>
            <w:hideMark/>
          </w:tcPr>
          <w:p w14:paraId="5760C43A"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0.417</w:t>
            </w:r>
          </w:p>
        </w:tc>
        <w:tc>
          <w:tcPr>
            <w:tcW w:w="960" w:type="dxa"/>
            <w:tcBorders>
              <w:top w:val="nil"/>
              <w:left w:val="nil"/>
              <w:bottom w:val="single" w:sz="4" w:space="0" w:color="auto"/>
              <w:right w:val="nil"/>
            </w:tcBorders>
            <w:noWrap/>
            <w:vAlign w:val="bottom"/>
            <w:hideMark/>
          </w:tcPr>
          <w:p w14:paraId="3654B88B"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 </w:t>
            </w:r>
          </w:p>
        </w:tc>
        <w:tc>
          <w:tcPr>
            <w:tcW w:w="960" w:type="dxa"/>
            <w:tcBorders>
              <w:top w:val="nil"/>
              <w:left w:val="nil"/>
              <w:bottom w:val="single" w:sz="4" w:space="0" w:color="auto"/>
              <w:right w:val="nil"/>
            </w:tcBorders>
            <w:noWrap/>
            <w:vAlign w:val="bottom"/>
            <w:hideMark/>
          </w:tcPr>
          <w:p w14:paraId="6B386D4F"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0.079</w:t>
            </w:r>
          </w:p>
        </w:tc>
        <w:tc>
          <w:tcPr>
            <w:tcW w:w="960" w:type="dxa"/>
            <w:tcBorders>
              <w:top w:val="nil"/>
              <w:left w:val="nil"/>
              <w:bottom w:val="single" w:sz="4" w:space="0" w:color="auto"/>
              <w:right w:val="nil"/>
            </w:tcBorders>
            <w:noWrap/>
            <w:vAlign w:val="bottom"/>
            <w:hideMark/>
          </w:tcPr>
          <w:p w14:paraId="6EC64E1B"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0.000</w:t>
            </w:r>
          </w:p>
        </w:tc>
      </w:tr>
      <w:tr w:rsidR="004E3B83" w:rsidRPr="009418E7" w14:paraId="434E8D9C" w14:textId="77777777" w:rsidTr="004E3B83">
        <w:trPr>
          <w:trHeight w:val="300"/>
        </w:trPr>
        <w:tc>
          <w:tcPr>
            <w:tcW w:w="847" w:type="dxa"/>
            <w:vMerge w:val="restart"/>
            <w:tcBorders>
              <w:top w:val="nil"/>
              <w:left w:val="nil"/>
              <w:bottom w:val="nil"/>
              <w:right w:val="nil"/>
            </w:tcBorders>
            <w:noWrap/>
            <w:vAlign w:val="bottom"/>
            <w:hideMark/>
          </w:tcPr>
          <w:p w14:paraId="0A8C67A2" w14:textId="77777777" w:rsidR="004E3B83" w:rsidRPr="009418E7" w:rsidRDefault="004E3B83" w:rsidP="004E3B83">
            <w:pPr>
              <w:spacing w:after="0" w:line="240" w:lineRule="auto"/>
              <w:jc w:val="center"/>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PAILLF</w:t>
            </w:r>
          </w:p>
        </w:tc>
        <w:tc>
          <w:tcPr>
            <w:tcW w:w="2093" w:type="dxa"/>
            <w:tcBorders>
              <w:top w:val="nil"/>
              <w:left w:val="nil"/>
              <w:bottom w:val="nil"/>
              <w:right w:val="nil"/>
            </w:tcBorders>
            <w:noWrap/>
            <w:vAlign w:val="bottom"/>
            <w:hideMark/>
          </w:tcPr>
          <w:p w14:paraId="47707789" w14:textId="77777777" w:rsidR="004E3B83" w:rsidRPr="009418E7" w:rsidRDefault="004E3B83" w:rsidP="004E3B83">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Pearson Correlation</w:t>
            </w:r>
          </w:p>
        </w:tc>
        <w:tc>
          <w:tcPr>
            <w:tcW w:w="960" w:type="dxa"/>
            <w:tcBorders>
              <w:top w:val="nil"/>
              <w:left w:val="nil"/>
              <w:bottom w:val="nil"/>
              <w:right w:val="nil"/>
            </w:tcBorders>
            <w:noWrap/>
            <w:vAlign w:val="bottom"/>
            <w:hideMark/>
          </w:tcPr>
          <w:p w14:paraId="40A699C3"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-0.043</w:t>
            </w:r>
          </w:p>
        </w:tc>
        <w:tc>
          <w:tcPr>
            <w:tcW w:w="960" w:type="dxa"/>
            <w:tcBorders>
              <w:top w:val="nil"/>
              <w:left w:val="nil"/>
              <w:bottom w:val="nil"/>
              <w:right w:val="nil"/>
            </w:tcBorders>
            <w:noWrap/>
            <w:vAlign w:val="bottom"/>
            <w:hideMark/>
          </w:tcPr>
          <w:p w14:paraId="5265A342"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0.015</w:t>
            </w:r>
          </w:p>
        </w:tc>
        <w:tc>
          <w:tcPr>
            <w:tcW w:w="960" w:type="dxa"/>
            <w:tcBorders>
              <w:top w:val="nil"/>
              <w:left w:val="nil"/>
              <w:bottom w:val="nil"/>
              <w:right w:val="nil"/>
            </w:tcBorders>
            <w:noWrap/>
            <w:vAlign w:val="bottom"/>
            <w:hideMark/>
          </w:tcPr>
          <w:p w14:paraId="2034F784"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.662**</w:t>
            </w:r>
          </w:p>
        </w:tc>
        <w:tc>
          <w:tcPr>
            <w:tcW w:w="960" w:type="dxa"/>
            <w:tcBorders>
              <w:top w:val="nil"/>
              <w:left w:val="nil"/>
              <w:bottom w:val="nil"/>
              <w:right w:val="nil"/>
            </w:tcBorders>
            <w:noWrap/>
            <w:vAlign w:val="bottom"/>
            <w:hideMark/>
          </w:tcPr>
          <w:p w14:paraId="2B0842F2"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-0.228</w:t>
            </w:r>
          </w:p>
        </w:tc>
        <w:tc>
          <w:tcPr>
            <w:tcW w:w="960" w:type="dxa"/>
            <w:tcBorders>
              <w:top w:val="nil"/>
              <w:left w:val="nil"/>
              <w:bottom w:val="nil"/>
              <w:right w:val="nil"/>
            </w:tcBorders>
            <w:noWrap/>
            <w:vAlign w:val="bottom"/>
            <w:hideMark/>
          </w:tcPr>
          <w:p w14:paraId="76FCF608"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1.000</w:t>
            </w:r>
          </w:p>
        </w:tc>
        <w:tc>
          <w:tcPr>
            <w:tcW w:w="960" w:type="dxa"/>
            <w:tcBorders>
              <w:top w:val="nil"/>
              <w:left w:val="nil"/>
              <w:bottom w:val="nil"/>
              <w:right w:val="nil"/>
            </w:tcBorders>
            <w:noWrap/>
            <w:vAlign w:val="bottom"/>
            <w:hideMark/>
          </w:tcPr>
          <w:p w14:paraId="617792FB"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-0.048</w:t>
            </w:r>
          </w:p>
        </w:tc>
      </w:tr>
      <w:tr w:rsidR="004E3B83" w:rsidRPr="009418E7" w14:paraId="560F1479" w14:textId="77777777" w:rsidTr="004E3B83">
        <w:trPr>
          <w:trHeight w:val="300"/>
        </w:trPr>
        <w:tc>
          <w:tcPr>
            <w:tcW w:w="847" w:type="dxa"/>
            <w:vMerge/>
            <w:tcBorders>
              <w:top w:val="nil"/>
              <w:left w:val="nil"/>
              <w:bottom w:val="nil"/>
              <w:right w:val="nil"/>
            </w:tcBorders>
            <w:vAlign w:val="center"/>
            <w:hideMark/>
          </w:tcPr>
          <w:p w14:paraId="379B7F20" w14:textId="77777777" w:rsidR="004E3B83" w:rsidRPr="009418E7" w:rsidRDefault="004E3B83" w:rsidP="004E3B83">
            <w:pPr>
              <w:spacing w:after="0" w:line="240" w:lineRule="auto"/>
              <w:rPr>
                <w:rFonts w:asciiTheme="majorBidi" w:eastAsia="Times New Roman" w:hAnsiTheme="majorBidi" w:cstheme="majorBidi"/>
                <w:b/>
                <w:bCs/>
                <w:color w:val="000000"/>
              </w:rPr>
            </w:pPr>
          </w:p>
        </w:tc>
        <w:tc>
          <w:tcPr>
            <w:tcW w:w="2093" w:type="dxa"/>
            <w:tcBorders>
              <w:top w:val="nil"/>
              <w:left w:val="nil"/>
              <w:bottom w:val="nil"/>
              <w:right w:val="nil"/>
            </w:tcBorders>
            <w:noWrap/>
            <w:vAlign w:val="bottom"/>
            <w:hideMark/>
          </w:tcPr>
          <w:p w14:paraId="6368C637" w14:textId="77777777" w:rsidR="004E3B83" w:rsidRPr="009418E7" w:rsidRDefault="004E3B83" w:rsidP="004E3B83">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Sig. (2-tailed)</w:t>
            </w:r>
          </w:p>
        </w:tc>
        <w:tc>
          <w:tcPr>
            <w:tcW w:w="960" w:type="dxa"/>
            <w:tcBorders>
              <w:top w:val="nil"/>
              <w:left w:val="nil"/>
              <w:bottom w:val="nil"/>
              <w:right w:val="nil"/>
            </w:tcBorders>
            <w:noWrap/>
            <w:vAlign w:val="bottom"/>
            <w:hideMark/>
          </w:tcPr>
          <w:p w14:paraId="458912C8"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0.745</w:t>
            </w:r>
          </w:p>
        </w:tc>
        <w:tc>
          <w:tcPr>
            <w:tcW w:w="960" w:type="dxa"/>
            <w:tcBorders>
              <w:top w:val="nil"/>
              <w:left w:val="nil"/>
              <w:bottom w:val="nil"/>
              <w:right w:val="nil"/>
            </w:tcBorders>
            <w:noWrap/>
            <w:vAlign w:val="bottom"/>
            <w:hideMark/>
          </w:tcPr>
          <w:p w14:paraId="36A26497"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0.907</w:t>
            </w:r>
          </w:p>
        </w:tc>
        <w:tc>
          <w:tcPr>
            <w:tcW w:w="960" w:type="dxa"/>
            <w:tcBorders>
              <w:top w:val="nil"/>
              <w:left w:val="nil"/>
              <w:bottom w:val="nil"/>
              <w:right w:val="nil"/>
            </w:tcBorders>
            <w:noWrap/>
            <w:vAlign w:val="bottom"/>
            <w:hideMark/>
          </w:tcPr>
          <w:p w14:paraId="0EF9B7D8"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0.000</w:t>
            </w:r>
          </w:p>
        </w:tc>
        <w:tc>
          <w:tcPr>
            <w:tcW w:w="960" w:type="dxa"/>
            <w:tcBorders>
              <w:top w:val="nil"/>
              <w:left w:val="nil"/>
              <w:bottom w:val="nil"/>
              <w:right w:val="nil"/>
            </w:tcBorders>
            <w:noWrap/>
            <w:vAlign w:val="bottom"/>
            <w:hideMark/>
          </w:tcPr>
          <w:p w14:paraId="1D0E9BC8"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0.079</w:t>
            </w:r>
          </w:p>
        </w:tc>
        <w:tc>
          <w:tcPr>
            <w:tcW w:w="960" w:type="dxa"/>
            <w:tcBorders>
              <w:top w:val="nil"/>
              <w:left w:val="nil"/>
              <w:bottom w:val="nil"/>
              <w:right w:val="nil"/>
            </w:tcBorders>
            <w:noWrap/>
            <w:vAlign w:val="bottom"/>
            <w:hideMark/>
          </w:tcPr>
          <w:p w14:paraId="547B17FA" w14:textId="77777777" w:rsidR="004E3B83" w:rsidRPr="009418E7" w:rsidRDefault="004E3B83" w:rsidP="004E3B83">
            <w:pPr>
              <w:spacing w:after="0" w:line="240" w:lineRule="auto"/>
              <w:jc w:val="center"/>
              <w:rPr>
                <w:rFonts w:asciiTheme="majorBidi" w:eastAsia="Times New Roman" w:hAnsiTheme="majorBidi" w:cstheme="majorBidi"/>
                <w:color w:val="000000"/>
              </w:rPr>
            </w:pPr>
          </w:p>
        </w:tc>
        <w:tc>
          <w:tcPr>
            <w:tcW w:w="960" w:type="dxa"/>
            <w:tcBorders>
              <w:top w:val="nil"/>
              <w:left w:val="nil"/>
              <w:bottom w:val="nil"/>
              <w:right w:val="nil"/>
            </w:tcBorders>
            <w:noWrap/>
            <w:vAlign w:val="bottom"/>
            <w:hideMark/>
          </w:tcPr>
          <w:p w14:paraId="1153C73C"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0.714</w:t>
            </w:r>
          </w:p>
        </w:tc>
      </w:tr>
      <w:tr w:rsidR="004E3B83" w:rsidRPr="009418E7" w14:paraId="377F0CD9" w14:textId="77777777" w:rsidTr="004E3B83">
        <w:trPr>
          <w:trHeight w:val="300"/>
        </w:trPr>
        <w:tc>
          <w:tcPr>
            <w:tcW w:w="847" w:type="dxa"/>
            <w:vMerge w:val="restart"/>
            <w:tcBorders>
              <w:top w:val="single" w:sz="4" w:space="0" w:color="auto"/>
              <w:left w:val="nil"/>
              <w:bottom w:val="single" w:sz="4" w:space="0" w:color="000000"/>
              <w:right w:val="nil"/>
            </w:tcBorders>
            <w:noWrap/>
            <w:vAlign w:val="bottom"/>
            <w:hideMark/>
          </w:tcPr>
          <w:p w14:paraId="1B915155" w14:textId="77777777" w:rsidR="004E3B83" w:rsidRPr="009418E7" w:rsidRDefault="004E3B83" w:rsidP="004E3B83">
            <w:pPr>
              <w:spacing w:after="0" w:line="240" w:lineRule="auto"/>
              <w:jc w:val="center"/>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PAILLM</w:t>
            </w:r>
          </w:p>
        </w:tc>
        <w:tc>
          <w:tcPr>
            <w:tcW w:w="2093" w:type="dxa"/>
            <w:tcBorders>
              <w:top w:val="single" w:sz="4" w:space="0" w:color="auto"/>
              <w:left w:val="nil"/>
              <w:bottom w:val="nil"/>
              <w:right w:val="nil"/>
            </w:tcBorders>
            <w:noWrap/>
            <w:vAlign w:val="bottom"/>
            <w:hideMark/>
          </w:tcPr>
          <w:p w14:paraId="30E9E885" w14:textId="77777777" w:rsidR="004E3B83" w:rsidRPr="009418E7" w:rsidRDefault="004E3B83" w:rsidP="004E3B83">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Pearson Correlation</w:t>
            </w:r>
          </w:p>
        </w:tc>
        <w:tc>
          <w:tcPr>
            <w:tcW w:w="960" w:type="dxa"/>
            <w:tcBorders>
              <w:top w:val="single" w:sz="4" w:space="0" w:color="auto"/>
              <w:left w:val="nil"/>
              <w:bottom w:val="nil"/>
              <w:right w:val="nil"/>
            </w:tcBorders>
            <w:noWrap/>
            <w:vAlign w:val="bottom"/>
            <w:hideMark/>
          </w:tcPr>
          <w:p w14:paraId="188A0A77"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0.223</w:t>
            </w:r>
          </w:p>
        </w:tc>
        <w:tc>
          <w:tcPr>
            <w:tcW w:w="960" w:type="dxa"/>
            <w:tcBorders>
              <w:top w:val="single" w:sz="4" w:space="0" w:color="auto"/>
              <w:left w:val="nil"/>
              <w:bottom w:val="nil"/>
              <w:right w:val="nil"/>
            </w:tcBorders>
            <w:noWrap/>
            <w:vAlign w:val="bottom"/>
            <w:hideMark/>
          </w:tcPr>
          <w:p w14:paraId="02C02A09"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0.165</w:t>
            </w:r>
          </w:p>
        </w:tc>
        <w:tc>
          <w:tcPr>
            <w:tcW w:w="960" w:type="dxa"/>
            <w:tcBorders>
              <w:top w:val="single" w:sz="4" w:space="0" w:color="auto"/>
              <w:left w:val="nil"/>
              <w:bottom w:val="nil"/>
              <w:right w:val="nil"/>
            </w:tcBorders>
            <w:noWrap/>
            <w:vAlign w:val="bottom"/>
            <w:hideMark/>
          </w:tcPr>
          <w:p w14:paraId="21195498"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0.049</w:t>
            </w:r>
          </w:p>
        </w:tc>
        <w:tc>
          <w:tcPr>
            <w:tcW w:w="960" w:type="dxa"/>
            <w:tcBorders>
              <w:top w:val="single" w:sz="4" w:space="0" w:color="auto"/>
              <w:left w:val="nil"/>
              <w:bottom w:val="nil"/>
              <w:right w:val="nil"/>
            </w:tcBorders>
            <w:noWrap/>
            <w:vAlign w:val="bottom"/>
            <w:hideMark/>
          </w:tcPr>
          <w:p w14:paraId="63CEFCF9"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.759**</w:t>
            </w:r>
          </w:p>
        </w:tc>
        <w:tc>
          <w:tcPr>
            <w:tcW w:w="960" w:type="dxa"/>
            <w:tcBorders>
              <w:top w:val="single" w:sz="4" w:space="0" w:color="auto"/>
              <w:left w:val="nil"/>
              <w:bottom w:val="nil"/>
              <w:right w:val="nil"/>
            </w:tcBorders>
            <w:noWrap/>
            <w:vAlign w:val="bottom"/>
            <w:hideMark/>
          </w:tcPr>
          <w:p w14:paraId="16CBBE51"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-0.048</w:t>
            </w:r>
          </w:p>
        </w:tc>
        <w:tc>
          <w:tcPr>
            <w:tcW w:w="960" w:type="dxa"/>
            <w:tcBorders>
              <w:top w:val="single" w:sz="4" w:space="0" w:color="auto"/>
              <w:left w:val="nil"/>
              <w:bottom w:val="nil"/>
              <w:right w:val="nil"/>
            </w:tcBorders>
            <w:noWrap/>
            <w:vAlign w:val="bottom"/>
            <w:hideMark/>
          </w:tcPr>
          <w:p w14:paraId="2150E572"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1.000</w:t>
            </w:r>
          </w:p>
        </w:tc>
      </w:tr>
      <w:tr w:rsidR="004E3B83" w:rsidRPr="009418E7" w14:paraId="0782CD49" w14:textId="77777777" w:rsidTr="004E3B83">
        <w:trPr>
          <w:trHeight w:val="300"/>
        </w:trPr>
        <w:tc>
          <w:tcPr>
            <w:tcW w:w="847" w:type="dxa"/>
            <w:vMerge/>
            <w:tcBorders>
              <w:top w:val="single" w:sz="4" w:space="0" w:color="auto"/>
              <w:left w:val="nil"/>
              <w:bottom w:val="single" w:sz="4" w:space="0" w:color="000000"/>
              <w:right w:val="nil"/>
            </w:tcBorders>
            <w:vAlign w:val="center"/>
            <w:hideMark/>
          </w:tcPr>
          <w:p w14:paraId="201CB0C8" w14:textId="77777777" w:rsidR="004E3B83" w:rsidRPr="009418E7" w:rsidRDefault="004E3B83" w:rsidP="004E3B83">
            <w:pPr>
              <w:spacing w:after="0" w:line="240" w:lineRule="auto"/>
              <w:rPr>
                <w:rFonts w:asciiTheme="majorBidi" w:eastAsia="Times New Roman" w:hAnsiTheme="majorBidi" w:cstheme="majorBidi"/>
                <w:b/>
                <w:bCs/>
                <w:color w:val="000000"/>
              </w:rPr>
            </w:pPr>
          </w:p>
        </w:tc>
        <w:tc>
          <w:tcPr>
            <w:tcW w:w="2093" w:type="dxa"/>
            <w:tcBorders>
              <w:top w:val="nil"/>
              <w:left w:val="nil"/>
              <w:bottom w:val="single" w:sz="4" w:space="0" w:color="auto"/>
              <w:right w:val="nil"/>
            </w:tcBorders>
            <w:noWrap/>
            <w:vAlign w:val="bottom"/>
            <w:hideMark/>
          </w:tcPr>
          <w:p w14:paraId="07B6BB3B" w14:textId="77777777" w:rsidR="004E3B83" w:rsidRPr="009418E7" w:rsidRDefault="004E3B83" w:rsidP="004E3B83">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Sig. (2-tailed)</w:t>
            </w:r>
          </w:p>
        </w:tc>
        <w:tc>
          <w:tcPr>
            <w:tcW w:w="960" w:type="dxa"/>
            <w:tcBorders>
              <w:top w:val="nil"/>
              <w:left w:val="nil"/>
              <w:bottom w:val="single" w:sz="4" w:space="0" w:color="auto"/>
              <w:right w:val="nil"/>
            </w:tcBorders>
            <w:noWrap/>
            <w:vAlign w:val="bottom"/>
            <w:hideMark/>
          </w:tcPr>
          <w:p w14:paraId="0839805B"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0.087</w:t>
            </w:r>
          </w:p>
        </w:tc>
        <w:tc>
          <w:tcPr>
            <w:tcW w:w="960" w:type="dxa"/>
            <w:tcBorders>
              <w:top w:val="nil"/>
              <w:left w:val="nil"/>
              <w:bottom w:val="single" w:sz="4" w:space="0" w:color="auto"/>
              <w:right w:val="nil"/>
            </w:tcBorders>
            <w:noWrap/>
            <w:vAlign w:val="bottom"/>
            <w:hideMark/>
          </w:tcPr>
          <w:p w14:paraId="20FDE632"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0.206</w:t>
            </w:r>
          </w:p>
        </w:tc>
        <w:tc>
          <w:tcPr>
            <w:tcW w:w="960" w:type="dxa"/>
            <w:tcBorders>
              <w:top w:val="nil"/>
              <w:left w:val="nil"/>
              <w:bottom w:val="single" w:sz="4" w:space="0" w:color="auto"/>
              <w:right w:val="nil"/>
            </w:tcBorders>
            <w:noWrap/>
            <w:vAlign w:val="bottom"/>
            <w:hideMark/>
          </w:tcPr>
          <w:p w14:paraId="4774DC6A"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0.712</w:t>
            </w:r>
          </w:p>
        </w:tc>
        <w:tc>
          <w:tcPr>
            <w:tcW w:w="960" w:type="dxa"/>
            <w:tcBorders>
              <w:top w:val="nil"/>
              <w:left w:val="nil"/>
              <w:bottom w:val="single" w:sz="4" w:space="0" w:color="auto"/>
              <w:right w:val="nil"/>
            </w:tcBorders>
            <w:noWrap/>
            <w:vAlign w:val="bottom"/>
            <w:hideMark/>
          </w:tcPr>
          <w:p w14:paraId="69389696"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0.000</w:t>
            </w:r>
          </w:p>
        </w:tc>
        <w:tc>
          <w:tcPr>
            <w:tcW w:w="960" w:type="dxa"/>
            <w:tcBorders>
              <w:top w:val="nil"/>
              <w:left w:val="nil"/>
              <w:bottom w:val="single" w:sz="4" w:space="0" w:color="auto"/>
              <w:right w:val="nil"/>
            </w:tcBorders>
            <w:noWrap/>
            <w:vAlign w:val="bottom"/>
            <w:hideMark/>
          </w:tcPr>
          <w:p w14:paraId="3AF5EEA8"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0.714</w:t>
            </w:r>
          </w:p>
        </w:tc>
        <w:tc>
          <w:tcPr>
            <w:tcW w:w="960" w:type="dxa"/>
            <w:tcBorders>
              <w:top w:val="nil"/>
              <w:left w:val="nil"/>
              <w:bottom w:val="single" w:sz="4" w:space="0" w:color="auto"/>
              <w:right w:val="nil"/>
            </w:tcBorders>
            <w:noWrap/>
            <w:vAlign w:val="bottom"/>
            <w:hideMark/>
          </w:tcPr>
          <w:p w14:paraId="07D167AB"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 </w:t>
            </w:r>
          </w:p>
        </w:tc>
      </w:tr>
      <w:tr w:rsidR="004E3B83" w:rsidRPr="009418E7" w14:paraId="6B2AE454" w14:textId="77777777" w:rsidTr="004E3B83">
        <w:trPr>
          <w:trHeight w:val="300"/>
        </w:trPr>
        <w:tc>
          <w:tcPr>
            <w:tcW w:w="2940" w:type="dxa"/>
            <w:gridSpan w:val="2"/>
            <w:tcBorders>
              <w:top w:val="nil"/>
              <w:left w:val="nil"/>
              <w:bottom w:val="nil"/>
              <w:right w:val="nil"/>
            </w:tcBorders>
            <w:noWrap/>
            <w:vAlign w:val="bottom"/>
            <w:hideMark/>
          </w:tcPr>
          <w:p w14:paraId="400A2BE8" w14:textId="77777777" w:rsidR="004E3B83" w:rsidRPr="009418E7" w:rsidRDefault="004E3B83" w:rsidP="004E3B83">
            <w:pPr>
              <w:spacing w:after="0" w:line="240" w:lineRule="auto"/>
              <w:jc w:val="center"/>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N</w:t>
            </w:r>
          </w:p>
        </w:tc>
        <w:tc>
          <w:tcPr>
            <w:tcW w:w="5760" w:type="dxa"/>
            <w:gridSpan w:val="6"/>
            <w:tcBorders>
              <w:top w:val="single" w:sz="4" w:space="0" w:color="auto"/>
              <w:left w:val="nil"/>
              <w:bottom w:val="single" w:sz="4" w:space="0" w:color="auto"/>
              <w:right w:val="nil"/>
            </w:tcBorders>
            <w:noWrap/>
            <w:vAlign w:val="bottom"/>
            <w:hideMark/>
          </w:tcPr>
          <w:p w14:paraId="61433A92"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240</w:t>
            </w:r>
          </w:p>
        </w:tc>
      </w:tr>
      <w:tr w:rsidR="004E3B83" w:rsidRPr="009418E7" w14:paraId="28A7FE63" w14:textId="77777777" w:rsidTr="004E3B83">
        <w:trPr>
          <w:trHeight w:val="300"/>
        </w:trPr>
        <w:tc>
          <w:tcPr>
            <w:tcW w:w="8700" w:type="dxa"/>
            <w:gridSpan w:val="8"/>
            <w:tcBorders>
              <w:top w:val="single" w:sz="4" w:space="0" w:color="auto"/>
              <w:left w:val="nil"/>
              <w:bottom w:val="single" w:sz="4" w:space="0" w:color="auto"/>
              <w:right w:val="nil"/>
            </w:tcBorders>
            <w:noWrap/>
            <w:vAlign w:val="bottom"/>
            <w:hideMark/>
          </w:tcPr>
          <w:p w14:paraId="67865CEE" w14:textId="77777777" w:rsidR="004E3B83" w:rsidRPr="009418E7" w:rsidRDefault="004E3B83" w:rsidP="004E3B83">
            <w:pPr>
              <w:spacing w:after="0" w:line="240" w:lineRule="auto"/>
              <w:jc w:val="center"/>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 Correlation is significant at the 0.01 level (2-tailed).</w:t>
            </w:r>
          </w:p>
        </w:tc>
      </w:tr>
    </w:tbl>
    <w:p w14:paraId="37B8D8EB" w14:textId="49D63481" w:rsidR="005C3CB6" w:rsidRPr="009418E7" w:rsidRDefault="005C3CB6" w:rsidP="002C0835">
      <w:pPr>
        <w:spacing w:line="240" w:lineRule="auto"/>
        <w:jc w:val="both"/>
        <w:rPr>
          <w:rFonts w:asciiTheme="majorBidi" w:hAnsiTheme="majorBidi" w:cstheme="majorBidi"/>
          <w:i/>
          <w:iCs/>
        </w:rPr>
      </w:pPr>
      <w:r w:rsidRPr="009418E7">
        <w:rPr>
          <w:rFonts w:asciiTheme="majorBidi" w:hAnsiTheme="majorBidi" w:cstheme="majorBidi"/>
          <w:i/>
          <w:iCs/>
        </w:rPr>
        <w:t>BMIF: Body mass index female, BMIM: Body mass index male, PAIRLF: Plantar arch index right leg</w:t>
      </w:r>
      <w:r w:rsidR="002C0835" w:rsidRPr="009418E7">
        <w:rPr>
          <w:rFonts w:asciiTheme="majorBidi" w:hAnsiTheme="majorBidi" w:cstheme="majorBidi"/>
          <w:i/>
          <w:iCs/>
        </w:rPr>
        <w:t xml:space="preserve"> </w:t>
      </w:r>
      <w:r w:rsidRPr="009418E7">
        <w:rPr>
          <w:rFonts w:asciiTheme="majorBidi" w:hAnsiTheme="majorBidi" w:cstheme="majorBidi"/>
          <w:i/>
          <w:iCs/>
        </w:rPr>
        <w:t>female, PAIRLM: Plantar arch index right leg male, PAILLF: Plantar arch index left leg female, PAILLM: Plantar arch index left leg male.</w:t>
      </w:r>
    </w:p>
    <w:p w14:paraId="2B7FE22E" w14:textId="77777777" w:rsidR="002C0835" w:rsidRPr="009418E7" w:rsidRDefault="002C0835" w:rsidP="002C0835">
      <w:pPr>
        <w:spacing w:line="240" w:lineRule="auto"/>
        <w:jc w:val="both"/>
        <w:rPr>
          <w:rFonts w:asciiTheme="majorBidi" w:hAnsiTheme="majorBidi" w:cstheme="majorBidi"/>
          <w:i/>
          <w:iCs/>
        </w:rPr>
      </w:pPr>
    </w:p>
    <w:p w14:paraId="5CDCD57B" w14:textId="4D5E5559" w:rsidR="00991175" w:rsidRPr="009418E7" w:rsidRDefault="00991175" w:rsidP="00991175">
      <w:pPr>
        <w:tabs>
          <w:tab w:val="left" w:pos="6860"/>
        </w:tabs>
        <w:spacing w:line="480" w:lineRule="auto"/>
        <w:jc w:val="both"/>
        <w:rPr>
          <w:rFonts w:asciiTheme="majorBidi" w:hAnsiTheme="majorBidi" w:cstheme="majorBidi"/>
        </w:rPr>
      </w:pPr>
      <w:r w:rsidRPr="009418E7">
        <w:rPr>
          <w:rFonts w:asciiTheme="majorBidi" w:hAnsiTheme="majorBidi" w:cstheme="majorBidi"/>
        </w:rPr>
        <w:lastRenderedPageBreak/>
        <w:t>From table</w:t>
      </w:r>
      <w:r w:rsidR="00945F20">
        <w:rPr>
          <w:rFonts w:asciiTheme="majorBidi" w:hAnsiTheme="majorBidi" w:cstheme="majorBidi"/>
        </w:rPr>
        <w:t xml:space="preserve"> </w:t>
      </w:r>
      <w:r w:rsidRPr="009418E7">
        <w:rPr>
          <w:rFonts w:asciiTheme="majorBidi" w:hAnsiTheme="majorBidi" w:cstheme="majorBidi"/>
        </w:rPr>
        <w:t xml:space="preserve">4 above, there was a strong positive correlation between BMIF and BMIM (r=0.946, p=0.000). PAIRLF also had a strong positive correlation with PAILLF (r=0.662, p=0.000). Finally, there was a strong positive correlation between PAIRLM and PAILLM (r=0.759, p=0.000). </w:t>
      </w:r>
    </w:p>
    <w:p w14:paraId="5869FF5D" w14:textId="36FD08C8" w:rsidR="008742D5" w:rsidRPr="009418E7" w:rsidRDefault="008742D5" w:rsidP="005C3CB6">
      <w:pPr>
        <w:tabs>
          <w:tab w:val="left" w:pos="6860"/>
        </w:tabs>
        <w:jc w:val="both"/>
        <w:rPr>
          <w:rFonts w:asciiTheme="majorBidi" w:hAnsiTheme="majorBidi" w:cstheme="majorBidi"/>
          <w:b/>
          <w:bCs/>
        </w:rPr>
      </w:pPr>
      <w:r w:rsidRPr="009418E7">
        <w:rPr>
          <w:rFonts w:asciiTheme="majorBidi" w:hAnsiTheme="majorBidi" w:cstheme="majorBidi"/>
          <w:b/>
          <w:bCs/>
        </w:rPr>
        <w:t>Table 5 Paired t-test analysis of paired measurements</w:t>
      </w:r>
    </w:p>
    <w:tbl>
      <w:tblPr>
        <w:tblW w:w="9053" w:type="dxa"/>
        <w:tblLook w:val="04A0" w:firstRow="1" w:lastRow="0" w:firstColumn="1" w:lastColumn="0" w:noHBand="0" w:noVBand="1"/>
      </w:tblPr>
      <w:tblGrid>
        <w:gridCol w:w="921"/>
        <w:gridCol w:w="999"/>
        <w:gridCol w:w="960"/>
        <w:gridCol w:w="960"/>
        <w:gridCol w:w="960"/>
        <w:gridCol w:w="960"/>
        <w:gridCol w:w="960"/>
        <w:gridCol w:w="960"/>
        <w:gridCol w:w="1373"/>
      </w:tblGrid>
      <w:tr w:rsidR="008742D5" w:rsidRPr="009418E7" w14:paraId="7F39B0D8" w14:textId="77777777" w:rsidTr="008742D5">
        <w:trPr>
          <w:trHeight w:val="300"/>
        </w:trPr>
        <w:tc>
          <w:tcPr>
            <w:tcW w:w="1920" w:type="dxa"/>
            <w:gridSpan w:val="2"/>
            <w:tcBorders>
              <w:top w:val="single" w:sz="4" w:space="0" w:color="auto"/>
              <w:left w:val="nil"/>
              <w:bottom w:val="single" w:sz="4" w:space="0" w:color="auto"/>
              <w:right w:val="nil"/>
            </w:tcBorders>
            <w:noWrap/>
            <w:vAlign w:val="bottom"/>
            <w:hideMark/>
          </w:tcPr>
          <w:p w14:paraId="073E5EE1" w14:textId="77777777" w:rsidR="008742D5" w:rsidRPr="009418E7" w:rsidRDefault="008742D5" w:rsidP="008742D5">
            <w:pPr>
              <w:spacing w:after="0" w:line="240" w:lineRule="auto"/>
              <w:jc w:val="center"/>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Parameter (N = 240)</w:t>
            </w:r>
          </w:p>
        </w:tc>
        <w:tc>
          <w:tcPr>
            <w:tcW w:w="960" w:type="dxa"/>
            <w:tcBorders>
              <w:top w:val="single" w:sz="4" w:space="0" w:color="auto"/>
              <w:left w:val="nil"/>
              <w:bottom w:val="single" w:sz="4" w:space="0" w:color="auto"/>
              <w:right w:val="nil"/>
            </w:tcBorders>
            <w:noWrap/>
            <w:vAlign w:val="center"/>
            <w:hideMark/>
          </w:tcPr>
          <w:p w14:paraId="7ECA806D" w14:textId="77777777" w:rsidR="008742D5" w:rsidRPr="009418E7" w:rsidRDefault="008742D5" w:rsidP="008742D5">
            <w:pPr>
              <w:spacing w:after="0" w:line="240" w:lineRule="auto"/>
              <w:jc w:val="center"/>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Mean</w:t>
            </w:r>
          </w:p>
        </w:tc>
        <w:tc>
          <w:tcPr>
            <w:tcW w:w="960" w:type="dxa"/>
            <w:tcBorders>
              <w:top w:val="single" w:sz="4" w:space="0" w:color="auto"/>
              <w:left w:val="nil"/>
              <w:bottom w:val="single" w:sz="4" w:space="0" w:color="auto"/>
              <w:right w:val="nil"/>
            </w:tcBorders>
            <w:noWrap/>
            <w:vAlign w:val="center"/>
            <w:hideMark/>
          </w:tcPr>
          <w:p w14:paraId="39ADD99F" w14:textId="77777777" w:rsidR="008742D5" w:rsidRPr="009418E7" w:rsidRDefault="008742D5" w:rsidP="008742D5">
            <w:pPr>
              <w:spacing w:after="0" w:line="240" w:lineRule="auto"/>
              <w:jc w:val="center"/>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SD</w:t>
            </w:r>
          </w:p>
        </w:tc>
        <w:tc>
          <w:tcPr>
            <w:tcW w:w="960" w:type="dxa"/>
            <w:tcBorders>
              <w:top w:val="single" w:sz="4" w:space="0" w:color="auto"/>
              <w:left w:val="nil"/>
              <w:bottom w:val="single" w:sz="4" w:space="0" w:color="auto"/>
              <w:right w:val="nil"/>
            </w:tcBorders>
            <w:noWrap/>
            <w:vAlign w:val="center"/>
            <w:hideMark/>
          </w:tcPr>
          <w:p w14:paraId="5D8284B2" w14:textId="77777777" w:rsidR="008742D5" w:rsidRPr="009418E7" w:rsidRDefault="008742D5" w:rsidP="008742D5">
            <w:pPr>
              <w:spacing w:after="0" w:line="240" w:lineRule="auto"/>
              <w:jc w:val="center"/>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SEM</w:t>
            </w:r>
          </w:p>
        </w:tc>
        <w:tc>
          <w:tcPr>
            <w:tcW w:w="960" w:type="dxa"/>
            <w:tcBorders>
              <w:top w:val="single" w:sz="4" w:space="0" w:color="auto"/>
              <w:left w:val="nil"/>
              <w:bottom w:val="single" w:sz="4" w:space="0" w:color="auto"/>
              <w:right w:val="nil"/>
            </w:tcBorders>
            <w:noWrap/>
            <w:vAlign w:val="center"/>
            <w:hideMark/>
          </w:tcPr>
          <w:p w14:paraId="73299BFE" w14:textId="77777777" w:rsidR="008742D5" w:rsidRPr="009418E7" w:rsidRDefault="008742D5" w:rsidP="008742D5">
            <w:pPr>
              <w:spacing w:after="0" w:line="240" w:lineRule="auto"/>
              <w:jc w:val="center"/>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t</w:t>
            </w:r>
          </w:p>
        </w:tc>
        <w:tc>
          <w:tcPr>
            <w:tcW w:w="960" w:type="dxa"/>
            <w:tcBorders>
              <w:top w:val="single" w:sz="4" w:space="0" w:color="auto"/>
              <w:left w:val="nil"/>
              <w:bottom w:val="single" w:sz="4" w:space="0" w:color="auto"/>
              <w:right w:val="nil"/>
            </w:tcBorders>
            <w:noWrap/>
            <w:vAlign w:val="center"/>
            <w:hideMark/>
          </w:tcPr>
          <w:p w14:paraId="1E525EBB" w14:textId="77777777" w:rsidR="008742D5" w:rsidRPr="009418E7" w:rsidRDefault="008742D5" w:rsidP="008742D5">
            <w:pPr>
              <w:spacing w:after="0" w:line="240" w:lineRule="auto"/>
              <w:jc w:val="center"/>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Df</w:t>
            </w:r>
          </w:p>
        </w:tc>
        <w:tc>
          <w:tcPr>
            <w:tcW w:w="960" w:type="dxa"/>
            <w:tcBorders>
              <w:top w:val="single" w:sz="4" w:space="0" w:color="auto"/>
              <w:left w:val="nil"/>
              <w:bottom w:val="single" w:sz="4" w:space="0" w:color="auto"/>
              <w:right w:val="nil"/>
            </w:tcBorders>
            <w:noWrap/>
            <w:vAlign w:val="center"/>
            <w:hideMark/>
          </w:tcPr>
          <w:p w14:paraId="5908DE5C" w14:textId="77777777" w:rsidR="008742D5" w:rsidRPr="009418E7" w:rsidRDefault="008742D5" w:rsidP="008742D5">
            <w:pPr>
              <w:spacing w:after="0" w:line="240" w:lineRule="auto"/>
              <w:jc w:val="center"/>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Sig. (2. tailed)</w:t>
            </w:r>
          </w:p>
        </w:tc>
        <w:tc>
          <w:tcPr>
            <w:tcW w:w="1373" w:type="dxa"/>
            <w:tcBorders>
              <w:top w:val="single" w:sz="4" w:space="0" w:color="auto"/>
              <w:left w:val="nil"/>
              <w:bottom w:val="single" w:sz="4" w:space="0" w:color="auto"/>
              <w:right w:val="nil"/>
            </w:tcBorders>
            <w:noWrap/>
            <w:vAlign w:val="center"/>
            <w:hideMark/>
          </w:tcPr>
          <w:p w14:paraId="444752A1" w14:textId="77777777" w:rsidR="008742D5" w:rsidRPr="009418E7" w:rsidRDefault="008742D5" w:rsidP="008742D5">
            <w:pPr>
              <w:spacing w:after="0" w:line="240" w:lineRule="auto"/>
              <w:jc w:val="center"/>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Inference</w:t>
            </w:r>
          </w:p>
        </w:tc>
      </w:tr>
      <w:tr w:rsidR="008742D5" w:rsidRPr="009418E7" w14:paraId="628F2255" w14:textId="77777777" w:rsidTr="008742D5">
        <w:trPr>
          <w:trHeight w:val="300"/>
        </w:trPr>
        <w:tc>
          <w:tcPr>
            <w:tcW w:w="921" w:type="dxa"/>
            <w:vMerge w:val="restart"/>
            <w:tcBorders>
              <w:top w:val="nil"/>
              <w:left w:val="nil"/>
              <w:bottom w:val="nil"/>
              <w:right w:val="nil"/>
            </w:tcBorders>
            <w:noWrap/>
            <w:vAlign w:val="bottom"/>
            <w:hideMark/>
          </w:tcPr>
          <w:p w14:paraId="63423DCF" w14:textId="77777777" w:rsidR="008742D5" w:rsidRPr="009418E7" w:rsidRDefault="008742D5" w:rsidP="008742D5">
            <w:pPr>
              <w:spacing w:after="0" w:line="240" w:lineRule="auto"/>
              <w:jc w:val="center"/>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Pair 1</w:t>
            </w:r>
          </w:p>
        </w:tc>
        <w:tc>
          <w:tcPr>
            <w:tcW w:w="999" w:type="dxa"/>
            <w:tcBorders>
              <w:top w:val="nil"/>
              <w:left w:val="nil"/>
              <w:bottom w:val="nil"/>
              <w:right w:val="nil"/>
            </w:tcBorders>
            <w:noWrap/>
            <w:vAlign w:val="bottom"/>
            <w:hideMark/>
          </w:tcPr>
          <w:p w14:paraId="7F4A2B67" w14:textId="77777777" w:rsidR="008742D5" w:rsidRPr="009418E7" w:rsidRDefault="008742D5" w:rsidP="008742D5">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BMIF</w:t>
            </w:r>
          </w:p>
        </w:tc>
        <w:tc>
          <w:tcPr>
            <w:tcW w:w="960" w:type="dxa"/>
            <w:tcBorders>
              <w:top w:val="nil"/>
              <w:left w:val="nil"/>
              <w:bottom w:val="nil"/>
              <w:right w:val="nil"/>
            </w:tcBorders>
            <w:noWrap/>
            <w:vAlign w:val="center"/>
            <w:hideMark/>
          </w:tcPr>
          <w:p w14:paraId="5B6FFC43"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13.88</w:t>
            </w:r>
          </w:p>
        </w:tc>
        <w:tc>
          <w:tcPr>
            <w:tcW w:w="960" w:type="dxa"/>
            <w:tcBorders>
              <w:top w:val="nil"/>
              <w:left w:val="nil"/>
              <w:bottom w:val="nil"/>
              <w:right w:val="nil"/>
            </w:tcBorders>
            <w:noWrap/>
            <w:vAlign w:val="center"/>
            <w:hideMark/>
          </w:tcPr>
          <w:p w14:paraId="722D7B44"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1.95</w:t>
            </w:r>
          </w:p>
        </w:tc>
        <w:tc>
          <w:tcPr>
            <w:tcW w:w="960" w:type="dxa"/>
            <w:tcBorders>
              <w:top w:val="nil"/>
              <w:left w:val="nil"/>
              <w:bottom w:val="nil"/>
              <w:right w:val="nil"/>
            </w:tcBorders>
            <w:noWrap/>
            <w:vAlign w:val="center"/>
            <w:hideMark/>
          </w:tcPr>
          <w:p w14:paraId="55DED33E"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0.18</w:t>
            </w:r>
          </w:p>
        </w:tc>
        <w:tc>
          <w:tcPr>
            <w:tcW w:w="960" w:type="dxa"/>
            <w:vMerge w:val="restart"/>
            <w:tcBorders>
              <w:top w:val="nil"/>
              <w:left w:val="nil"/>
              <w:bottom w:val="nil"/>
              <w:right w:val="nil"/>
            </w:tcBorders>
            <w:noWrap/>
            <w:vAlign w:val="center"/>
            <w:hideMark/>
          </w:tcPr>
          <w:p w14:paraId="605ACEF5"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0.921</w:t>
            </w:r>
          </w:p>
        </w:tc>
        <w:tc>
          <w:tcPr>
            <w:tcW w:w="960" w:type="dxa"/>
            <w:vMerge w:val="restart"/>
            <w:tcBorders>
              <w:top w:val="nil"/>
              <w:left w:val="nil"/>
              <w:bottom w:val="nil"/>
              <w:right w:val="nil"/>
            </w:tcBorders>
            <w:noWrap/>
            <w:vAlign w:val="center"/>
            <w:hideMark/>
          </w:tcPr>
          <w:p w14:paraId="16C27A41"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239</w:t>
            </w:r>
          </w:p>
        </w:tc>
        <w:tc>
          <w:tcPr>
            <w:tcW w:w="960" w:type="dxa"/>
            <w:vMerge w:val="restart"/>
            <w:tcBorders>
              <w:top w:val="nil"/>
              <w:left w:val="nil"/>
              <w:bottom w:val="nil"/>
              <w:right w:val="nil"/>
            </w:tcBorders>
            <w:noWrap/>
            <w:vAlign w:val="center"/>
            <w:hideMark/>
          </w:tcPr>
          <w:p w14:paraId="3DD8BCA5"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0.359</w:t>
            </w:r>
          </w:p>
        </w:tc>
        <w:tc>
          <w:tcPr>
            <w:tcW w:w="1373" w:type="dxa"/>
            <w:vMerge w:val="restart"/>
            <w:tcBorders>
              <w:top w:val="nil"/>
              <w:left w:val="nil"/>
              <w:bottom w:val="nil"/>
              <w:right w:val="nil"/>
            </w:tcBorders>
            <w:noWrap/>
            <w:vAlign w:val="center"/>
            <w:hideMark/>
          </w:tcPr>
          <w:p w14:paraId="3EC9E626"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 Not significant</w:t>
            </w:r>
          </w:p>
        </w:tc>
      </w:tr>
      <w:tr w:rsidR="008742D5" w:rsidRPr="009418E7" w14:paraId="574F0621" w14:textId="77777777" w:rsidTr="008742D5">
        <w:trPr>
          <w:trHeight w:val="300"/>
        </w:trPr>
        <w:tc>
          <w:tcPr>
            <w:tcW w:w="921" w:type="dxa"/>
            <w:vMerge/>
            <w:tcBorders>
              <w:top w:val="nil"/>
              <w:left w:val="nil"/>
              <w:bottom w:val="nil"/>
              <w:right w:val="nil"/>
            </w:tcBorders>
            <w:vAlign w:val="center"/>
            <w:hideMark/>
          </w:tcPr>
          <w:p w14:paraId="2825119D" w14:textId="77777777" w:rsidR="008742D5" w:rsidRPr="009418E7" w:rsidRDefault="008742D5" w:rsidP="008742D5">
            <w:pPr>
              <w:spacing w:after="0" w:line="240" w:lineRule="auto"/>
              <w:rPr>
                <w:rFonts w:asciiTheme="majorBidi" w:eastAsia="Times New Roman" w:hAnsiTheme="majorBidi" w:cstheme="majorBidi"/>
                <w:b/>
                <w:bCs/>
                <w:color w:val="000000"/>
              </w:rPr>
            </w:pPr>
          </w:p>
        </w:tc>
        <w:tc>
          <w:tcPr>
            <w:tcW w:w="999" w:type="dxa"/>
            <w:tcBorders>
              <w:top w:val="nil"/>
              <w:left w:val="nil"/>
              <w:bottom w:val="nil"/>
              <w:right w:val="nil"/>
            </w:tcBorders>
            <w:noWrap/>
            <w:vAlign w:val="bottom"/>
            <w:hideMark/>
          </w:tcPr>
          <w:p w14:paraId="31217BBE" w14:textId="77777777" w:rsidR="008742D5" w:rsidRPr="009418E7" w:rsidRDefault="008742D5" w:rsidP="008742D5">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BMIM</w:t>
            </w:r>
          </w:p>
        </w:tc>
        <w:tc>
          <w:tcPr>
            <w:tcW w:w="960" w:type="dxa"/>
            <w:tcBorders>
              <w:top w:val="nil"/>
              <w:left w:val="nil"/>
              <w:bottom w:val="nil"/>
              <w:right w:val="nil"/>
            </w:tcBorders>
            <w:noWrap/>
            <w:vAlign w:val="center"/>
            <w:hideMark/>
          </w:tcPr>
          <w:p w14:paraId="6C94FB57"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13.82</w:t>
            </w:r>
          </w:p>
        </w:tc>
        <w:tc>
          <w:tcPr>
            <w:tcW w:w="960" w:type="dxa"/>
            <w:tcBorders>
              <w:top w:val="nil"/>
              <w:left w:val="nil"/>
              <w:bottom w:val="nil"/>
              <w:right w:val="nil"/>
            </w:tcBorders>
            <w:noWrap/>
            <w:vAlign w:val="center"/>
            <w:hideMark/>
          </w:tcPr>
          <w:p w14:paraId="2A7B3836"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2.00</w:t>
            </w:r>
          </w:p>
        </w:tc>
        <w:tc>
          <w:tcPr>
            <w:tcW w:w="960" w:type="dxa"/>
            <w:tcBorders>
              <w:top w:val="nil"/>
              <w:left w:val="nil"/>
              <w:bottom w:val="nil"/>
              <w:right w:val="nil"/>
            </w:tcBorders>
            <w:noWrap/>
            <w:vAlign w:val="center"/>
            <w:hideMark/>
          </w:tcPr>
          <w:p w14:paraId="54282FFB"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0.18</w:t>
            </w:r>
          </w:p>
        </w:tc>
        <w:tc>
          <w:tcPr>
            <w:tcW w:w="960" w:type="dxa"/>
            <w:vMerge/>
            <w:tcBorders>
              <w:top w:val="nil"/>
              <w:left w:val="nil"/>
              <w:bottom w:val="nil"/>
              <w:right w:val="nil"/>
            </w:tcBorders>
            <w:vAlign w:val="center"/>
            <w:hideMark/>
          </w:tcPr>
          <w:p w14:paraId="24C58B26" w14:textId="77777777" w:rsidR="008742D5" w:rsidRPr="009418E7" w:rsidRDefault="008742D5" w:rsidP="008742D5">
            <w:pPr>
              <w:spacing w:after="0" w:line="240" w:lineRule="auto"/>
              <w:rPr>
                <w:rFonts w:asciiTheme="majorBidi" w:eastAsia="Times New Roman" w:hAnsiTheme="majorBidi" w:cstheme="majorBidi"/>
                <w:color w:val="000000"/>
              </w:rPr>
            </w:pPr>
          </w:p>
        </w:tc>
        <w:tc>
          <w:tcPr>
            <w:tcW w:w="960" w:type="dxa"/>
            <w:vMerge/>
            <w:tcBorders>
              <w:top w:val="nil"/>
              <w:left w:val="nil"/>
              <w:bottom w:val="nil"/>
              <w:right w:val="nil"/>
            </w:tcBorders>
            <w:vAlign w:val="center"/>
            <w:hideMark/>
          </w:tcPr>
          <w:p w14:paraId="4977F7E9" w14:textId="77777777" w:rsidR="008742D5" w:rsidRPr="009418E7" w:rsidRDefault="008742D5" w:rsidP="008742D5">
            <w:pPr>
              <w:spacing w:after="0" w:line="240" w:lineRule="auto"/>
              <w:rPr>
                <w:rFonts w:asciiTheme="majorBidi" w:eastAsia="Times New Roman" w:hAnsiTheme="majorBidi" w:cstheme="majorBidi"/>
                <w:color w:val="000000"/>
              </w:rPr>
            </w:pPr>
          </w:p>
        </w:tc>
        <w:tc>
          <w:tcPr>
            <w:tcW w:w="960" w:type="dxa"/>
            <w:vMerge/>
            <w:tcBorders>
              <w:top w:val="nil"/>
              <w:left w:val="nil"/>
              <w:bottom w:val="nil"/>
              <w:right w:val="nil"/>
            </w:tcBorders>
            <w:vAlign w:val="center"/>
            <w:hideMark/>
          </w:tcPr>
          <w:p w14:paraId="1A6E8DF3" w14:textId="77777777" w:rsidR="008742D5" w:rsidRPr="009418E7" w:rsidRDefault="008742D5" w:rsidP="008742D5">
            <w:pPr>
              <w:spacing w:after="0" w:line="240" w:lineRule="auto"/>
              <w:rPr>
                <w:rFonts w:asciiTheme="majorBidi" w:eastAsia="Times New Roman" w:hAnsiTheme="majorBidi" w:cstheme="majorBidi"/>
                <w:color w:val="000000"/>
              </w:rPr>
            </w:pPr>
          </w:p>
        </w:tc>
        <w:tc>
          <w:tcPr>
            <w:tcW w:w="1373" w:type="dxa"/>
            <w:vMerge/>
            <w:tcBorders>
              <w:top w:val="nil"/>
              <w:left w:val="nil"/>
              <w:bottom w:val="nil"/>
              <w:right w:val="nil"/>
            </w:tcBorders>
            <w:vAlign w:val="center"/>
            <w:hideMark/>
          </w:tcPr>
          <w:p w14:paraId="1E4850C3" w14:textId="77777777" w:rsidR="008742D5" w:rsidRPr="009418E7" w:rsidRDefault="008742D5" w:rsidP="008742D5">
            <w:pPr>
              <w:spacing w:after="0" w:line="240" w:lineRule="auto"/>
              <w:rPr>
                <w:rFonts w:asciiTheme="majorBidi" w:eastAsia="Times New Roman" w:hAnsiTheme="majorBidi" w:cstheme="majorBidi"/>
                <w:color w:val="000000"/>
              </w:rPr>
            </w:pPr>
          </w:p>
        </w:tc>
      </w:tr>
      <w:tr w:rsidR="008742D5" w:rsidRPr="009418E7" w14:paraId="66FFD6E3" w14:textId="77777777" w:rsidTr="008742D5">
        <w:trPr>
          <w:trHeight w:val="300"/>
        </w:trPr>
        <w:tc>
          <w:tcPr>
            <w:tcW w:w="921" w:type="dxa"/>
            <w:vMerge w:val="restart"/>
            <w:tcBorders>
              <w:top w:val="single" w:sz="4" w:space="0" w:color="auto"/>
              <w:left w:val="nil"/>
              <w:bottom w:val="single" w:sz="4" w:space="0" w:color="000000"/>
              <w:right w:val="nil"/>
            </w:tcBorders>
            <w:noWrap/>
            <w:vAlign w:val="bottom"/>
            <w:hideMark/>
          </w:tcPr>
          <w:p w14:paraId="0DAB1029" w14:textId="77777777" w:rsidR="008742D5" w:rsidRPr="009418E7" w:rsidRDefault="008742D5" w:rsidP="008742D5">
            <w:pPr>
              <w:spacing w:after="0" w:line="240" w:lineRule="auto"/>
              <w:jc w:val="center"/>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Pair 2</w:t>
            </w:r>
          </w:p>
        </w:tc>
        <w:tc>
          <w:tcPr>
            <w:tcW w:w="999" w:type="dxa"/>
            <w:tcBorders>
              <w:top w:val="single" w:sz="4" w:space="0" w:color="auto"/>
              <w:left w:val="nil"/>
              <w:bottom w:val="nil"/>
              <w:right w:val="nil"/>
            </w:tcBorders>
            <w:noWrap/>
            <w:vAlign w:val="bottom"/>
            <w:hideMark/>
          </w:tcPr>
          <w:p w14:paraId="7697A525" w14:textId="77777777" w:rsidR="008742D5" w:rsidRPr="009418E7" w:rsidRDefault="008742D5" w:rsidP="008742D5">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PAIF</w:t>
            </w:r>
          </w:p>
        </w:tc>
        <w:tc>
          <w:tcPr>
            <w:tcW w:w="960" w:type="dxa"/>
            <w:tcBorders>
              <w:top w:val="single" w:sz="4" w:space="0" w:color="auto"/>
              <w:left w:val="nil"/>
              <w:bottom w:val="nil"/>
              <w:right w:val="nil"/>
            </w:tcBorders>
            <w:noWrap/>
            <w:vAlign w:val="center"/>
            <w:hideMark/>
          </w:tcPr>
          <w:p w14:paraId="32A77BBF"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0.81</w:t>
            </w:r>
          </w:p>
        </w:tc>
        <w:tc>
          <w:tcPr>
            <w:tcW w:w="960" w:type="dxa"/>
            <w:tcBorders>
              <w:top w:val="single" w:sz="4" w:space="0" w:color="auto"/>
              <w:left w:val="nil"/>
              <w:bottom w:val="nil"/>
              <w:right w:val="nil"/>
            </w:tcBorders>
            <w:noWrap/>
            <w:vAlign w:val="center"/>
            <w:hideMark/>
          </w:tcPr>
          <w:p w14:paraId="5E43193D"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0.22</w:t>
            </w:r>
          </w:p>
        </w:tc>
        <w:tc>
          <w:tcPr>
            <w:tcW w:w="960" w:type="dxa"/>
            <w:tcBorders>
              <w:top w:val="single" w:sz="4" w:space="0" w:color="auto"/>
              <w:left w:val="nil"/>
              <w:bottom w:val="nil"/>
              <w:right w:val="nil"/>
            </w:tcBorders>
            <w:noWrap/>
            <w:vAlign w:val="center"/>
            <w:hideMark/>
          </w:tcPr>
          <w:p w14:paraId="4F2C249B"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0.02</w:t>
            </w:r>
          </w:p>
        </w:tc>
        <w:tc>
          <w:tcPr>
            <w:tcW w:w="960" w:type="dxa"/>
            <w:vMerge w:val="restart"/>
            <w:tcBorders>
              <w:top w:val="single" w:sz="4" w:space="0" w:color="auto"/>
              <w:left w:val="nil"/>
              <w:bottom w:val="single" w:sz="4" w:space="0" w:color="000000"/>
              <w:right w:val="nil"/>
            </w:tcBorders>
            <w:noWrap/>
            <w:vAlign w:val="center"/>
            <w:hideMark/>
          </w:tcPr>
          <w:p w14:paraId="6B853A47"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-3.128</w:t>
            </w:r>
          </w:p>
        </w:tc>
        <w:tc>
          <w:tcPr>
            <w:tcW w:w="960" w:type="dxa"/>
            <w:vMerge w:val="restart"/>
            <w:tcBorders>
              <w:top w:val="single" w:sz="4" w:space="0" w:color="auto"/>
              <w:left w:val="nil"/>
              <w:bottom w:val="single" w:sz="4" w:space="0" w:color="000000"/>
              <w:right w:val="nil"/>
            </w:tcBorders>
            <w:noWrap/>
            <w:vAlign w:val="center"/>
            <w:hideMark/>
          </w:tcPr>
          <w:p w14:paraId="7119AC2D"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239</w:t>
            </w:r>
          </w:p>
        </w:tc>
        <w:tc>
          <w:tcPr>
            <w:tcW w:w="960" w:type="dxa"/>
            <w:vMerge w:val="restart"/>
            <w:tcBorders>
              <w:top w:val="single" w:sz="4" w:space="0" w:color="auto"/>
              <w:left w:val="nil"/>
              <w:bottom w:val="single" w:sz="4" w:space="0" w:color="000000"/>
              <w:right w:val="nil"/>
            </w:tcBorders>
            <w:noWrap/>
            <w:vAlign w:val="center"/>
            <w:hideMark/>
          </w:tcPr>
          <w:p w14:paraId="00EF3A41"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0.002</w:t>
            </w:r>
          </w:p>
        </w:tc>
        <w:tc>
          <w:tcPr>
            <w:tcW w:w="1373" w:type="dxa"/>
            <w:vMerge w:val="restart"/>
            <w:tcBorders>
              <w:top w:val="single" w:sz="4" w:space="0" w:color="auto"/>
              <w:left w:val="nil"/>
              <w:bottom w:val="single" w:sz="4" w:space="0" w:color="000000"/>
              <w:right w:val="nil"/>
            </w:tcBorders>
            <w:noWrap/>
            <w:vAlign w:val="center"/>
            <w:hideMark/>
          </w:tcPr>
          <w:p w14:paraId="749A857C"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Significant</w:t>
            </w:r>
          </w:p>
        </w:tc>
      </w:tr>
      <w:tr w:rsidR="008742D5" w:rsidRPr="009418E7" w14:paraId="3D618FE3" w14:textId="77777777" w:rsidTr="008742D5">
        <w:trPr>
          <w:trHeight w:val="300"/>
        </w:trPr>
        <w:tc>
          <w:tcPr>
            <w:tcW w:w="921" w:type="dxa"/>
            <w:vMerge/>
            <w:tcBorders>
              <w:top w:val="single" w:sz="4" w:space="0" w:color="auto"/>
              <w:left w:val="nil"/>
              <w:bottom w:val="single" w:sz="4" w:space="0" w:color="000000"/>
              <w:right w:val="nil"/>
            </w:tcBorders>
            <w:vAlign w:val="center"/>
            <w:hideMark/>
          </w:tcPr>
          <w:p w14:paraId="7FE3BCF8" w14:textId="77777777" w:rsidR="008742D5" w:rsidRPr="009418E7" w:rsidRDefault="008742D5" w:rsidP="008742D5">
            <w:pPr>
              <w:spacing w:after="0" w:line="240" w:lineRule="auto"/>
              <w:rPr>
                <w:rFonts w:asciiTheme="majorBidi" w:eastAsia="Times New Roman" w:hAnsiTheme="majorBidi" w:cstheme="majorBidi"/>
                <w:b/>
                <w:bCs/>
                <w:color w:val="000000"/>
              </w:rPr>
            </w:pPr>
          </w:p>
        </w:tc>
        <w:tc>
          <w:tcPr>
            <w:tcW w:w="999" w:type="dxa"/>
            <w:tcBorders>
              <w:top w:val="nil"/>
              <w:left w:val="nil"/>
              <w:bottom w:val="single" w:sz="4" w:space="0" w:color="auto"/>
              <w:right w:val="nil"/>
            </w:tcBorders>
            <w:noWrap/>
            <w:vAlign w:val="bottom"/>
            <w:hideMark/>
          </w:tcPr>
          <w:p w14:paraId="5ED5759F" w14:textId="77777777" w:rsidR="008742D5" w:rsidRPr="009418E7" w:rsidRDefault="008742D5" w:rsidP="008742D5">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PAIM</w:t>
            </w:r>
          </w:p>
        </w:tc>
        <w:tc>
          <w:tcPr>
            <w:tcW w:w="960" w:type="dxa"/>
            <w:tcBorders>
              <w:top w:val="nil"/>
              <w:left w:val="nil"/>
              <w:bottom w:val="single" w:sz="4" w:space="0" w:color="auto"/>
              <w:right w:val="nil"/>
            </w:tcBorders>
            <w:noWrap/>
            <w:vAlign w:val="center"/>
            <w:hideMark/>
          </w:tcPr>
          <w:p w14:paraId="3E0E3498"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0.91</w:t>
            </w:r>
          </w:p>
        </w:tc>
        <w:tc>
          <w:tcPr>
            <w:tcW w:w="960" w:type="dxa"/>
            <w:tcBorders>
              <w:top w:val="nil"/>
              <w:left w:val="nil"/>
              <w:bottom w:val="single" w:sz="4" w:space="0" w:color="auto"/>
              <w:right w:val="nil"/>
            </w:tcBorders>
            <w:noWrap/>
            <w:vAlign w:val="center"/>
            <w:hideMark/>
          </w:tcPr>
          <w:p w14:paraId="42049145"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0.22</w:t>
            </w:r>
          </w:p>
        </w:tc>
        <w:tc>
          <w:tcPr>
            <w:tcW w:w="960" w:type="dxa"/>
            <w:tcBorders>
              <w:top w:val="nil"/>
              <w:left w:val="nil"/>
              <w:bottom w:val="single" w:sz="4" w:space="0" w:color="auto"/>
              <w:right w:val="nil"/>
            </w:tcBorders>
            <w:noWrap/>
            <w:vAlign w:val="center"/>
            <w:hideMark/>
          </w:tcPr>
          <w:p w14:paraId="4445ED0A"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0.02</w:t>
            </w:r>
          </w:p>
        </w:tc>
        <w:tc>
          <w:tcPr>
            <w:tcW w:w="960" w:type="dxa"/>
            <w:vMerge/>
            <w:tcBorders>
              <w:top w:val="single" w:sz="4" w:space="0" w:color="auto"/>
              <w:left w:val="nil"/>
              <w:bottom w:val="single" w:sz="4" w:space="0" w:color="000000"/>
              <w:right w:val="nil"/>
            </w:tcBorders>
            <w:vAlign w:val="center"/>
            <w:hideMark/>
          </w:tcPr>
          <w:p w14:paraId="49A384D4" w14:textId="77777777" w:rsidR="008742D5" w:rsidRPr="009418E7" w:rsidRDefault="008742D5" w:rsidP="008742D5">
            <w:pPr>
              <w:spacing w:after="0" w:line="240" w:lineRule="auto"/>
              <w:rPr>
                <w:rFonts w:asciiTheme="majorBidi" w:eastAsia="Times New Roman" w:hAnsiTheme="majorBidi" w:cstheme="majorBidi"/>
                <w:color w:val="000000"/>
              </w:rPr>
            </w:pPr>
          </w:p>
        </w:tc>
        <w:tc>
          <w:tcPr>
            <w:tcW w:w="960" w:type="dxa"/>
            <w:vMerge/>
            <w:tcBorders>
              <w:top w:val="single" w:sz="4" w:space="0" w:color="auto"/>
              <w:left w:val="nil"/>
              <w:bottom w:val="single" w:sz="4" w:space="0" w:color="000000"/>
              <w:right w:val="nil"/>
            </w:tcBorders>
            <w:vAlign w:val="center"/>
            <w:hideMark/>
          </w:tcPr>
          <w:p w14:paraId="212B9DF2" w14:textId="77777777" w:rsidR="008742D5" w:rsidRPr="009418E7" w:rsidRDefault="008742D5" w:rsidP="008742D5">
            <w:pPr>
              <w:spacing w:after="0" w:line="240" w:lineRule="auto"/>
              <w:rPr>
                <w:rFonts w:asciiTheme="majorBidi" w:eastAsia="Times New Roman" w:hAnsiTheme="majorBidi" w:cstheme="majorBidi"/>
                <w:color w:val="000000"/>
              </w:rPr>
            </w:pPr>
          </w:p>
        </w:tc>
        <w:tc>
          <w:tcPr>
            <w:tcW w:w="960" w:type="dxa"/>
            <w:vMerge/>
            <w:tcBorders>
              <w:top w:val="single" w:sz="4" w:space="0" w:color="auto"/>
              <w:left w:val="nil"/>
              <w:bottom w:val="single" w:sz="4" w:space="0" w:color="000000"/>
              <w:right w:val="nil"/>
            </w:tcBorders>
            <w:vAlign w:val="center"/>
            <w:hideMark/>
          </w:tcPr>
          <w:p w14:paraId="21571A18" w14:textId="77777777" w:rsidR="008742D5" w:rsidRPr="009418E7" w:rsidRDefault="008742D5" w:rsidP="008742D5">
            <w:pPr>
              <w:spacing w:after="0" w:line="240" w:lineRule="auto"/>
              <w:rPr>
                <w:rFonts w:asciiTheme="majorBidi" w:eastAsia="Times New Roman" w:hAnsiTheme="majorBidi" w:cstheme="majorBidi"/>
                <w:color w:val="000000"/>
              </w:rPr>
            </w:pPr>
          </w:p>
        </w:tc>
        <w:tc>
          <w:tcPr>
            <w:tcW w:w="1373" w:type="dxa"/>
            <w:vMerge/>
            <w:tcBorders>
              <w:top w:val="single" w:sz="4" w:space="0" w:color="auto"/>
              <w:left w:val="nil"/>
              <w:bottom w:val="single" w:sz="4" w:space="0" w:color="000000"/>
              <w:right w:val="nil"/>
            </w:tcBorders>
            <w:vAlign w:val="center"/>
            <w:hideMark/>
          </w:tcPr>
          <w:p w14:paraId="2590C1A5" w14:textId="77777777" w:rsidR="008742D5" w:rsidRPr="009418E7" w:rsidRDefault="008742D5" w:rsidP="008742D5">
            <w:pPr>
              <w:spacing w:after="0" w:line="240" w:lineRule="auto"/>
              <w:rPr>
                <w:rFonts w:asciiTheme="majorBidi" w:eastAsia="Times New Roman" w:hAnsiTheme="majorBidi" w:cstheme="majorBidi"/>
                <w:color w:val="000000"/>
              </w:rPr>
            </w:pPr>
          </w:p>
        </w:tc>
      </w:tr>
    </w:tbl>
    <w:p w14:paraId="2FCF47DB" w14:textId="77777777" w:rsidR="008742D5" w:rsidRPr="009418E7" w:rsidRDefault="008742D5" w:rsidP="005C3CB6">
      <w:pPr>
        <w:tabs>
          <w:tab w:val="left" w:pos="6860"/>
        </w:tabs>
        <w:jc w:val="both"/>
        <w:rPr>
          <w:rFonts w:asciiTheme="majorBidi" w:hAnsiTheme="majorBidi" w:cstheme="majorBidi"/>
        </w:rPr>
      </w:pPr>
    </w:p>
    <w:p w14:paraId="05EE7FFB" w14:textId="77777777" w:rsidR="00991175" w:rsidRPr="009418E7" w:rsidRDefault="00991175" w:rsidP="00991175">
      <w:pPr>
        <w:tabs>
          <w:tab w:val="left" w:pos="6860"/>
        </w:tabs>
        <w:spacing w:line="480" w:lineRule="auto"/>
        <w:jc w:val="both"/>
        <w:rPr>
          <w:rFonts w:asciiTheme="majorBidi" w:hAnsiTheme="majorBidi" w:cstheme="majorBidi"/>
        </w:rPr>
      </w:pPr>
      <w:r w:rsidRPr="009418E7">
        <w:rPr>
          <w:rFonts w:asciiTheme="majorBidi" w:hAnsiTheme="majorBidi" w:cstheme="majorBidi"/>
        </w:rPr>
        <w:t>Table showing paired T- test of paired samples. There was a significant difference between PAIF and PAIM. There was no significant difference between BMIF and BMIM.</w:t>
      </w:r>
    </w:p>
    <w:p w14:paraId="07B68B95" w14:textId="77777777" w:rsidR="001E4A3A" w:rsidRPr="009418E7" w:rsidRDefault="001E4A3A" w:rsidP="00781881">
      <w:pPr>
        <w:tabs>
          <w:tab w:val="left" w:pos="6860"/>
        </w:tabs>
        <w:spacing w:line="360" w:lineRule="auto"/>
        <w:jc w:val="both"/>
        <w:rPr>
          <w:rFonts w:asciiTheme="majorBidi" w:hAnsiTheme="majorBidi" w:cstheme="majorBidi"/>
          <w:b/>
          <w:bCs/>
        </w:rPr>
      </w:pPr>
    </w:p>
    <w:p w14:paraId="325DF408" w14:textId="77777777" w:rsidR="001E4A3A" w:rsidRPr="009418E7" w:rsidRDefault="001E4A3A" w:rsidP="00781881">
      <w:pPr>
        <w:tabs>
          <w:tab w:val="left" w:pos="6860"/>
        </w:tabs>
        <w:spacing w:line="360" w:lineRule="auto"/>
        <w:jc w:val="both"/>
        <w:rPr>
          <w:rFonts w:asciiTheme="majorBidi" w:hAnsiTheme="majorBidi" w:cstheme="majorBidi"/>
          <w:b/>
          <w:bCs/>
        </w:rPr>
      </w:pPr>
    </w:p>
    <w:p w14:paraId="340FBE44" w14:textId="01158A0E" w:rsidR="00781881" w:rsidRPr="009418E7" w:rsidRDefault="00781881" w:rsidP="00781881">
      <w:pPr>
        <w:tabs>
          <w:tab w:val="left" w:pos="6860"/>
        </w:tabs>
        <w:spacing w:line="360" w:lineRule="auto"/>
        <w:jc w:val="both"/>
        <w:rPr>
          <w:rFonts w:asciiTheme="majorBidi" w:hAnsiTheme="majorBidi" w:cstheme="majorBidi"/>
        </w:rPr>
      </w:pPr>
      <w:r w:rsidRPr="009418E7">
        <w:rPr>
          <w:rFonts w:asciiTheme="majorBidi" w:hAnsiTheme="majorBidi" w:cstheme="majorBidi"/>
          <w:b/>
          <w:bCs/>
        </w:rPr>
        <w:t>DISCUSSION</w:t>
      </w:r>
    </w:p>
    <w:p w14:paraId="1365BACA" w14:textId="3849A856" w:rsidR="00781881" w:rsidRPr="009418E7" w:rsidRDefault="00781881" w:rsidP="00781881">
      <w:pPr>
        <w:spacing w:line="360" w:lineRule="auto"/>
        <w:jc w:val="both"/>
        <w:rPr>
          <w:rFonts w:asciiTheme="majorBidi" w:hAnsiTheme="majorBidi" w:cstheme="majorBidi"/>
        </w:rPr>
      </w:pPr>
      <w:r w:rsidRPr="009418E7">
        <w:rPr>
          <w:rFonts w:asciiTheme="majorBidi" w:hAnsiTheme="majorBidi" w:cstheme="majorBidi"/>
        </w:rPr>
        <w:t>This present study was conducted to know the prevalence of flatfoot among primary school children in Obio/Akpor LGA, Rivers State and to investigate its relationship with BMI and gender. The male participants were 240 same as females with an age range 3 – 9 years with mean values 6.08 ± 1.87. the prevalence of flatfoot in this study was 13.33% (64 children). It was found to be higher in males than in females by 16.67% (21.67</w:t>
      </w:r>
      <w:proofErr w:type="gramStart"/>
      <w:r w:rsidRPr="009418E7">
        <w:rPr>
          <w:rFonts w:asciiTheme="majorBidi" w:hAnsiTheme="majorBidi" w:cstheme="majorBidi"/>
        </w:rPr>
        <w:t>% :</w:t>
      </w:r>
      <w:proofErr w:type="gramEnd"/>
      <w:r w:rsidRPr="009418E7">
        <w:rPr>
          <w:rFonts w:asciiTheme="majorBidi" w:hAnsiTheme="majorBidi" w:cstheme="majorBidi"/>
        </w:rPr>
        <w:t xml:space="preserve"> 5.00% respectively). This study agrees with Bordin </w:t>
      </w:r>
      <w:r w:rsidRPr="009418E7">
        <w:rPr>
          <w:rFonts w:asciiTheme="majorBidi" w:hAnsiTheme="majorBidi" w:cstheme="majorBidi"/>
          <w:i/>
          <w:iCs/>
        </w:rPr>
        <w:t>et al.,</w:t>
      </w:r>
      <w:r w:rsidRPr="009418E7">
        <w:rPr>
          <w:rFonts w:asciiTheme="majorBidi" w:hAnsiTheme="majorBidi" w:cstheme="majorBidi"/>
        </w:rPr>
        <w:t xml:space="preserve"> (2001) in Italy who reported that flatfoot was more in boys than in girls in the ratio 18</w:t>
      </w:r>
      <w:proofErr w:type="gramStart"/>
      <w:r w:rsidRPr="009418E7">
        <w:rPr>
          <w:rFonts w:asciiTheme="majorBidi" w:hAnsiTheme="majorBidi" w:cstheme="majorBidi"/>
        </w:rPr>
        <w:t>% :</w:t>
      </w:r>
      <w:proofErr w:type="gramEnd"/>
      <w:r w:rsidRPr="009418E7">
        <w:rPr>
          <w:rFonts w:asciiTheme="majorBidi" w:hAnsiTheme="majorBidi" w:cstheme="majorBidi"/>
        </w:rPr>
        <w:t xml:space="preserve"> 14.6%</w:t>
      </w:r>
      <w:r w:rsidR="00404519" w:rsidRPr="009418E7">
        <w:rPr>
          <w:rFonts w:asciiTheme="majorBidi" w:hAnsiTheme="majorBidi" w:cstheme="majorBidi"/>
        </w:rPr>
        <w:t xml:space="preserve"> also with </w:t>
      </w:r>
      <w:proofErr w:type="spellStart"/>
      <w:r w:rsidRPr="009418E7">
        <w:rPr>
          <w:rFonts w:asciiTheme="majorBidi" w:hAnsiTheme="majorBidi" w:cstheme="majorBidi"/>
        </w:rPr>
        <w:t>Moshen</w:t>
      </w:r>
      <w:proofErr w:type="spellEnd"/>
      <w:r w:rsidRPr="009418E7">
        <w:rPr>
          <w:rFonts w:asciiTheme="majorBidi" w:hAnsiTheme="majorBidi" w:cstheme="majorBidi"/>
        </w:rPr>
        <w:t xml:space="preserve"> </w:t>
      </w:r>
      <w:r w:rsidRPr="009418E7">
        <w:rPr>
          <w:rFonts w:asciiTheme="majorBidi" w:hAnsiTheme="majorBidi" w:cstheme="majorBidi"/>
          <w:i/>
          <w:iCs/>
        </w:rPr>
        <w:t>et al.,</w:t>
      </w:r>
      <w:r w:rsidRPr="009418E7">
        <w:rPr>
          <w:rFonts w:asciiTheme="majorBidi" w:hAnsiTheme="majorBidi" w:cstheme="majorBidi"/>
        </w:rPr>
        <w:t xml:space="preserve"> (2016) in Iran</w:t>
      </w:r>
      <w:r w:rsidR="00404519" w:rsidRPr="009418E7">
        <w:rPr>
          <w:rFonts w:asciiTheme="majorBidi" w:hAnsiTheme="majorBidi" w:cstheme="majorBidi"/>
        </w:rPr>
        <w:t>,</w:t>
      </w:r>
      <w:r w:rsidRPr="009418E7">
        <w:rPr>
          <w:rFonts w:asciiTheme="majorBidi" w:hAnsiTheme="majorBidi" w:cstheme="majorBidi"/>
        </w:rPr>
        <w:t xml:space="preserve"> </w:t>
      </w:r>
      <w:proofErr w:type="spellStart"/>
      <w:r w:rsidRPr="009418E7">
        <w:rPr>
          <w:rFonts w:asciiTheme="majorBidi" w:hAnsiTheme="majorBidi" w:cstheme="majorBidi"/>
        </w:rPr>
        <w:t>Witari</w:t>
      </w:r>
      <w:proofErr w:type="spellEnd"/>
      <w:r w:rsidRPr="009418E7">
        <w:rPr>
          <w:rFonts w:asciiTheme="majorBidi" w:hAnsiTheme="majorBidi" w:cstheme="majorBidi"/>
        </w:rPr>
        <w:t xml:space="preserve"> </w:t>
      </w:r>
      <w:r w:rsidRPr="009418E7">
        <w:rPr>
          <w:rFonts w:asciiTheme="majorBidi" w:hAnsiTheme="majorBidi" w:cstheme="majorBidi"/>
          <w:i/>
          <w:iCs/>
        </w:rPr>
        <w:t>et al.,</w:t>
      </w:r>
      <w:r w:rsidRPr="009418E7">
        <w:rPr>
          <w:rFonts w:asciiTheme="majorBidi" w:hAnsiTheme="majorBidi" w:cstheme="majorBidi"/>
        </w:rPr>
        <w:t xml:space="preserve"> (2018) in Indonesia</w:t>
      </w:r>
      <w:r w:rsidR="00404519" w:rsidRPr="009418E7">
        <w:rPr>
          <w:rFonts w:asciiTheme="majorBidi" w:hAnsiTheme="majorBidi" w:cstheme="majorBidi"/>
        </w:rPr>
        <w:t xml:space="preserve"> and </w:t>
      </w:r>
      <w:r w:rsidRPr="009418E7">
        <w:rPr>
          <w:rFonts w:asciiTheme="majorBidi" w:hAnsiTheme="majorBidi" w:cstheme="majorBidi"/>
        </w:rPr>
        <w:t xml:space="preserve">Umar </w:t>
      </w:r>
      <w:r w:rsidR="00404519" w:rsidRPr="009418E7">
        <w:rPr>
          <w:rFonts w:asciiTheme="majorBidi" w:hAnsiTheme="majorBidi" w:cstheme="majorBidi"/>
        </w:rPr>
        <w:t xml:space="preserve">and Paul (2010) </w:t>
      </w:r>
      <w:r w:rsidRPr="009418E7">
        <w:rPr>
          <w:rFonts w:asciiTheme="majorBidi" w:hAnsiTheme="majorBidi" w:cstheme="majorBidi"/>
        </w:rPr>
        <w:t xml:space="preserve">in </w:t>
      </w:r>
      <w:proofErr w:type="spellStart"/>
      <w:r w:rsidRPr="009418E7">
        <w:rPr>
          <w:rFonts w:asciiTheme="majorBidi" w:hAnsiTheme="majorBidi" w:cstheme="majorBidi"/>
        </w:rPr>
        <w:t>Nigeia</w:t>
      </w:r>
      <w:proofErr w:type="spellEnd"/>
      <w:r w:rsidR="00404519" w:rsidRPr="009418E7">
        <w:rPr>
          <w:rFonts w:asciiTheme="majorBidi" w:hAnsiTheme="majorBidi" w:cstheme="majorBidi"/>
        </w:rPr>
        <w:t xml:space="preserve">. </w:t>
      </w:r>
      <w:r w:rsidRPr="009418E7">
        <w:rPr>
          <w:rFonts w:asciiTheme="majorBidi" w:hAnsiTheme="majorBidi" w:cstheme="majorBidi"/>
        </w:rPr>
        <w:t xml:space="preserve">Consequently, Kamali </w:t>
      </w:r>
      <w:r w:rsidRPr="009418E7">
        <w:rPr>
          <w:rFonts w:asciiTheme="majorBidi" w:hAnsiTheme="majorBidi" w:cstheme="majorBidi"/>
          <w:i/>
          <w:iCs/>
        </w:rPr>
        <w:t>et al.,</w:t>
      </w:r>
      <w:r w:rsidRPr="009418E7">
        <w:rPr>
          <w:rFonts w:asciiTheme="majorBidi" w:hAnsiTheme="majorBidi" w:cstheme="majorBidi"/>
        </w:rPr>
        <w:t xml:space="preserve"> (2008) had results showing that females were prevalent by 11.8%. This current study showed that flatfoot was more in boys than in girls. There was more unilateral flatfoot incidence than bilateral in the ratio 36:16 in males. The same occurred in female subject but in the ratio 8:4 respectively. Therefore, the total flatfoot prevalence in this study was more unilateral that is on either foot than on both feet (bilateral). Female demographic data was observed to be higher in value than in male subjects especially in weight and BMI. Mean weight for females was 19.00 ± 4.92kg with range 10.00 – 32.00kg compared to males 18.90 ± 4.83kg for mean and ranges from 10.00 – 30.00kg. BMI for female was also found to be higher than the male participants. This is highly contradictory to the flatfoot prevalence amongst this same population. BMI for </w:t>
      </w:r>
      <w:r w:rsidRPr="009418E7">
        <w:rPr>
          <w:rFonts w:asciiTheme="majorBidi" w:hAnsiTheme="majorBidi" w:cstheme="majorBidi"/>
        </w:rPr>
        <w:lastRenderedPageBreak/>
        <w:t>female participants had a range of 8.37 – 21.15kg/m</w:t>
      </w:r>
      <w:r w:rsidRPr="009418E7">
        <w:rPr>
          <w:rFonts w:asciiTheme="majorBidi" w:hAnsiTheme="majorBidi" w:cstheme="majorBidi"/>
          <w:vertAlign w:val="superscript"/>
        </w:rPr>
        <w:t xml:space="preserve">2 </w:t>
      </w:r>
      <w:r w:rsidRPr="009418E7">
        <w:rPr>
          <w:rFonts w:asciiTheme="majorBidi" w:hAnsiTheme="majorBidi" w:cstheme="majorBidi"/>
        </w:rPr>
        <w:t>with mean of 13.88 ± 1.96kg/m</w:t>
      </w:r>
      <w:r w:rsidRPr="009418E7">
        <w:rPr>
          <w:rFonts w:asciiTheme="majorBidi" w:hAnsiTheme="majorBidi" w:cstheme="majorBidi"/>
          <w:vertAlign w:val="superscript"/>
        </w:rPr>
        <w:t xml:space="preserve">2 </w:t>
      </w:r>
      <w:r w:rsidRPr="009418E7">
        <w:rPr>
          <w:rFonts w:asciiTheme="majorBidi" w:hAnsiTheme="majorBidi" w:cstheme="majorBidi"/>
        </w:rPr>
        <w:t>compared to males with range 5.11 – 19.20kg/m</w:t>
      </w:r>
      <w:r w:rsidRPr="009418E7">
        <w:rPr>
          <w:rFonts w:asciiTheme="majorBidi" w:hAnsiTheme="majorBidi" w:cstheme="majorBidi"/>
          <w:vertAlign w:val="superscript"/>
        </w:rPr>
        <w:t xml:space="preserve">2 </w:t>
      </w:r>
      <w:r w:rsidRPr="009418E7">
        <w:rPr>
          <w:rFonts w:asciiTheme="majorBidi" w:hAnsiTheme="majorBidi" w:cstheme="majorBidi"/>
        </w:rPr>
        <w:t>and mean values 13.82 ± 2.01kg/m</w:t>
      </w:r>
      <w:r w:rsidRPr="009418E7">
        <w:rPr>
          <w:rFonts w:asciiTheme="majorBidi" w:hAnsiTheme="majorBidi" w:cstheme="majorBidi"/>
          <w:vertAlign w:val="superscript"/>
        </w:rPr>
        <w:t>2</w:t>
      </w:r>
      <w:r w:rsidRPr="009418E7">
        <w:rPr>
          <w:rFonts w:asciiTheme="majorBidi" w:hAnsiTheme="majorBidi" w:cstheme="majorBidi"/>
        </w:rPr>
        <w:t>. Paired t-test analysis showed a significant difference between PAIF and PAIM but there was no significant difference between BMIF and BMIM.</w:t>
      </w:r>
    </w:p>
    <w:p w14:paraId="40BB9C2B" w14:textId="77777777" w:rsidR="00781881" w:rsidRPr="009418E7" w:rsidRDefault="00781881" w:rsidP="00781881">
      <w:pPr>
        <w:spacing w:line="360" w:lineRule="auto"/>
        <w:jc w:val="both"/>
        <w:rPr>
          <w:rFonts w:asciiTheme="majorBidi" w:hAnsiTheme="majorBidi" w:cstheme="majorBidi"/>
        </w:rPr>
      </w:pPr>
      <w:r w:rsidRPr="009418E7">
        <w:rPr>
          <w:rFonts w:asciiTheme="majorBidi" w:hAnsiTheme="majorBidi" w:cstheme="majorBidi"/>
        </w:rPr>
        <w:t xml:space="preserve">There was no significant correlation between PAI and BMI at p ≤ 0.01 but there was a strong significant positive correlation between BMIM and BMIF (r = 0.946, p ≤ 0.01). PAIRLF had a strong positive correlation with PAILLF (r = 0.662, p ≤ 0.01). Likewise, PAIRLM had a strong significant positive correlation with PAILLM (r = 0.759, p ≤ 0.01). Heba </w:t>
      </w:r>
      <w:r w:rsidRPr="009418E7">
        <w:rPr>
          <w:rFonts w:asciiTheme="majorBidi" w:hAnsiTheme="majorBidi" w:cstheme="majorBidi"/>
          <w:i/>
          <w:iCs/>
        </w:rPr>
        <w:t>et al.,</w:t>
      </w:r>
      <w:r w:rsidRPr="009418E7">
        <w:rPr>
          <w:rFonts w:asciiTheme="majorBidi" w:hAnsiTheme="majorBidi" w:cstheme="majorBidi"/>
        </w:rPr>
        <w:t xml:space="preserve"> (2015) reported too that there was a significant positive correlation (r = 0.70, p≤0.05) for BMI in males and females within ages 8 – 10 years. This was the same case; a positive significant correlation (r = 0.57, p≤0.05) for PAIR between males and females of ages 8 – 10 years. A significant positive correlation (r = 0.79, p≤0.05) was recorded for PAIL of both male and female participants between ages 8 – 10 years. At ages 10 – 12 years there was no significant correlation for BMI but there was a positive significant correlation in PAIR (r = 0.69, p≤0.05) and in PAIL (r = 0.66, p≤0.05). Also, at ages 12 – 14 years BMI for both male and female participants showed positive strong significant correlation (r = 0.76, p≤0.05). PAIR also had a strong positive significant strong correlation (r = 0.78, p≤0.05), PAIL was also significantly correlating (r = 0.77, p≤0.05) for male and female participants in age range 12 – 14 years. </w:t>
      </w:r>
    </w:p>
    <w:p w14:paraId="2F27472F" w14:textId="10E2A63B" w:rsidR="00991175" w:rsidRPr="009418E7" w:rsidRDefault="00781881" w:rsidP="00781881">
      <w:pPr>
        <w:spacing w:line="360" w:lineRule="auto"/>
        <w:jc w:val="both"/>
        <w:rPr>
          <w:rFonts w:asciiTheme="majorBidi" w:hAnsiTheme="majorBidi" w:cstheme="majorBidi"/>
        </w:rPr>
      </w:pPr>
      <w:r w:rsidRPr="009418E7">
        <w:rPr>
          <w:rFonts w:asciiTheme="majorBidi" w:hAnsiTheme="majorBidi" w:cstheme="majorBidi"/>
        </w:rPr>
        <w:t xml:space="preserve">This current study showed that there was a strong correlation between the right and left foot of any individual in that geographic location. Arnaldo </w:t>
      </w:r>
      <w:r w:rsidRPr="009418E7">
        <w:rPr>
          <w:rFonts w:asciiTheme="majorBidi" w:hAnsiTheme="majorBidi" w:cstheme="majorBidi"/>
          <w:i/>
          <w:iCs/>
        </w:rPr>
        <w:t>et al.,</w:t>
      </w:r>
      <w:r w:rsidRPr="009418E7">
        <w:rPr>
          <w:rFonts w:asciiTheme="majorBidi" w:hAnsiTheme="majorBidi" w:cstheme="majorBidi"/>
        </w:rPr>
        <w:t xml:space="preserve"> (2007) reports that there was no significant difference found in plantar indexes for different ages, this was in agreement to this study. Also, there was no significant difference in the study of planter arch indexes between genders. </w:t>
      </w:r>
    </w:p>
    <w:p w14:paraId="5B8330BC" w14:textId="3BDC077A" w:rsidR="00781881" w:rsidRPr="009418E7" w:rsidRDefault="00781881" w:rsidP="00781881">
      <w:pPr>
        <w:spacing w:line="360" w:lineRule="auto"/>
        <w:jc w:val="both"/>
        <w:rPr>
          <w:rFonts w:asciiTheme="majorBidi" w:hAnsiTheme="majorBidi" w:cstheme="majorBidi"/>
          <w:b/>
          <w:bCs/>
        </w:rPr>
      </w:pPr>
      <w:r w:rsidRPr="009418E7">
        <w:rPr>
          <w:rFonts w:asciiTheme="majorBidi" w:hAnsiTheme="majorBidi" w:cstheme="majorBidi"/>
          <w:b/>
          <w:bCs/>
        </w:rPr>
        <w:t>CONCLUSION</w:t>
      </w:r>
    </w:p>
    <w:p w14:paraId="52F1868B" w14:textId="77777777" w:rsidR="00781881" w:rsidRPr="009418E7" w:rsidRDefault="00781881" w:rsidP="000151D7">
      <w:pPr>
        <w:spacing w:line="360" w:lineRule="auto"/>
        <w:jc w:val="both"/>
        <w:rPr>
          <w:rFonts w:asciiTheme="majorBidi" w:hAnsiTheme="majorBidi" w:cstheme="majorBidi"/>
        </w:rPr>
      </w:pPr>
      <w:r w:rsidRPr="009418E7">
        <w:rPr>
          <w:rFonts w:asciiTheme="majorBidi" w:hAnsiTheme="majorBidi" w:cstheme="majorBidi"/>
        </w:rPr>
        <w:t>Schools are the right place to evaluate the prevalence of flatfoot in children. Foot prints has been found to be cost effective and if measurements are carefully taken it will yield an accurate result. The prevalence of flat foot varies from one geographical location to another although most studies including this current study have found males to be higher in prevalence, this should not be a yard stick to classifying other populations until verified and carefully conducted research is done. There was sexual dimorphism between selected measured parameters but there was no relationship between BMI and PAI</w:t>
      </w:r>
    </w:p>
    <w:p w14:paraId="4586530B" w14:textId="5D044B0F" w:rsidR="001136E3" w:rsidRPr="009418E7" w:rsidRDefault="00242D05" w:rsidP="00781881">
      <w:pPr>
        <w:spacing w:line="360" w:lineRule="auto"/>
        <w:jc w:val="both"/>
        <w:rPr>
          <w:rFonts w:asciiTheme="majorBidi" w:hAnsiTheme="majorBidi" w:cstheme="majorBidi"/>
          <w:b/>
          <w:bCs/>
        </w:rPr>
      </w:pPr>
      <w:bookmarkStart w:id="1" w:name="_GoBack"/>
      <w:bookmarkEnd w:id="1"/>
      <w:r w:rsidRPr="009418E7">
        <w:rPr>
          <w:rFonts w:asciiTheme="majorBidi" w:hAnsiTheme="majorBidi" w:cstheme="majorBidi"/>
          <w:b/>
          <w:bCs/>
        </w:rPr>
        <w:t>References</w:t>
      </w:r>
    </w:p>
    <w:p w14:paraId="08C06FAB" w14:textId="77777777" w:rsidR="00242D05" w:rsidRPr="009418E7" w:rsidRDefault="00242D05" w:rsidP="00242D05">
      <w:pPr>
        <w:pStyle w:val="Bibliography"/>
        <w:spacing w:line="480" w:lineRule="auto"/>
        <w:ind w:left="720" w:hanging="720"/>
        <w:rPr>
          <w:rFonts w:asciiTheme="majorBidi" w:hAnsiTheme="majorBidi" w:cstheme="majorBidi"/>
          <w:noProof/>
        </w:rPr>
      </w:pPr>
      <w:r w:rsidRPr="009418E7">
        <w:rPr>
          <w:rFonts w:asciiTheme="majorBidi" w:hAnsiTheme="majorBidi" w:cstheme="majorBidi"/>
          <w:noProof/>
        </w:rPr>
        <w:t xml:space="preserve">Arnold JH, Luiz KK, Marcus HF and Edimar F (2007). Calculation of Staheli’s Plantar Arch index and prevalence of flatfoot: a study with 100 children aged 5-9 years. </w:t>
      </w:r>
      <w:r w:rsidRPr="009418E7">
        <w:rPr>
          <w:rFonts w:asciiTheme="majorBidi" w:hAnsiTheme="majorBidi" w:cstheme="majorBidi"/>
          <w:i/>
          <w:iCs/>
          <w:noProof/>
        </w:rPr>
        <w:t>Acta Ortop Bras.</w:t>
      </w:r>
      <w:r w:rsidRPr="009418E7">
        <w:rPr>
          <w:rFonts w:asciiTheme="majorBidi" w:hAnsiTheme="majorBidi" w:cstheme="majorBidi"/>
          <w:noProof/>
        </w:rPr>
        <w:t xml:space="preserve"> 15(2): 68-71. </w:t>
      </w:r>
    </w:p>
    <w:p w14:paraId="64949233" w14:textId="77777777" w:rsidR="009418E7" w:rsidRPr="009418E7" w:rsidRDefault="009418E7" w:rsidP="009418E7">
      <w:pPr>
        <w:ind w:left="709" w:hanging="709"/>
        <w:rPr>
          <w:rFonts w:asciiTheme="majorBidi" w:hAnsiTheme="majorBidi" w:cstheme="majorBidi"/>
        </w:rPr>
      </w:pPr>
      <w:r w:rsidRPr="009418E7">
        <w:rPr>
          <w:rFonts w:asciiTheme="majorBidi" w:hAnsiTheme="majorBidi" w:cstheme="majorBidi"/>
        </w:rPr>
        <w:lastRenderedPageBreak/>
        <w:t>Bob-Manuel I and Didia B. Sexual dimorphism in foot dimensions among adult Nigerians. The Internet Journal of Biological Anthropology. 2008 Volume 3 Number 1.</w:t>
      </w:r>
    </w:p>
    <w:p w14:paraId="1256A8D6" w14:textId="1626A7FE" w:rsidR="009418E7" w:rsidRPr="009418E7" w:rsidRDefault="009418E7" w:rsidP="009418E7">
      <w:pPr>
        <w:ind w:left="709" w:hanging="709"/>
        <w:rPr>
          <w:rFonts w:asciiTheme="majorBidi" w:hAnsiTheme="majorBidi" w:cstheme="majorBidi"/>
        </w:rPr>
      </w:pPr>
      <w:r w:rsidRPr="009418E7">
        <w:rPr>
          <w:rFonts w:asciiTheme="majorBidi" w:hAnsiTheme="majorBidi" w:cstheme="majorBidi"/>
        </w:rPr>
        <w:t xml:space="preserve">Bob-Manuel, IF, and </w:t>
      </w:r>
      <w:proofErr w:type="spellStart"/>
      <w:r w:rsidRPr="009418E7">
        <w:rPr>
          <w:rFonts w:asciiTheme="majorBidi" w:hAnsiTheme="majorBidi" w:cstheme="majorBidi"/>
        </w:rPr>
        <w:t>Ogoun</w:t>
      </w:r>
      <w:proofErr w:type="spellEnd"/>
      <w:r w:rsidRPr="009418E7">
        <w:rPr>
          <w:rFonts w:asciiTheme="majorBidi" w:hAnsiTheme="majorBidi" w:cstheme="majorBidi"/>
        </w:rPr>
        <w:t xml:space="preserve">, TR (2021). Effect of BMI on Foot Dimensions in Different Weight Bearing Conditions of </w:t>
      </w:r>
      <w:proofErr w:type="spellStart"/>
      <w:r w:rsidRPr="009418E7">
        <w:rPr>
          <w:rFonts w:asciiTheme="majorBidi" w:hAnsiTheme="majorBidi" w:cstheme="majorBidi"/>
        </w:rPr>
        <w:t>Obokwe</w:t>
      </w:r>
      <w:proofErr w:type="spellEnd"/>
      <w:r w:rsidRPr="009418E7">
        <w:rPr>
          <w:rFonts w:asciiTheme="majorBidi" w:hAnsiTheme="majorBidi" w:cstheme="majorBidi"/>
        </w:rPr>
        <w:t xml:space="preserve"> Indigenes in Imo State. International Journal of Scientific Advance. Volume: 2 | Issue: 6 | Nov - Dec 2021.</w:t>
      </w:r>
    </w:p>
    <w:p w14:paraId="5988B834" w14:textId="6711017B" w:rsidR="00242D05" w:rsidRPr="009418E7" w:rsidRDefault="00242D05" w:rsidP="00242D05">
      <w:pPr>
        <w:pStyle w:val="Bibliography"/>
        <w:spacing w:line="480" w:lineRule="auto"/>
        <w:ind w:left="720" w:hanging="720"/>
        <w:rPr>
          <w:rFonts w:asciiTheme="majorBidi" w:hAnsiTheme="majorBidi" w:cstheme="majorBidi"/>
          <w:noProof/>
        </w:rPr>
      </w:pPr>
      <w:r w:rsidRPr="009418E7">
        <w:rPr>
          <w:rFonts w:asciiTheme="majorBidi" w:hAnsiTheme="majorBidi" w:cstheme="majorBidi"/>
          <w:noProof/>
        </w:rPr>
        <w:t xml:space="preserve">Bordin D, Girrogi GD, Mazacco G and Rigon F (2001). Flat and cavus foot, indexes of obesity and overweight in a population of primary school children. </w:t>
      </w:r>
      <w:r w:rsidRPr="009418E7">
        <w:rPr>
          <w:rFonts w:asciiTheme="majorBidi" w:hAnsiTheme="majorBidi" w:cstheme="majorBidi"/>
          <w:i/>
          <w:iCs/>
          <w:noProof/>
        </w:rPr>
        <w:t>Mineva Pediat. 53</w:t>
      </w:r>
      <w:r w:rsidRPr="009418E7">
        <w:rPr>
          <w:rFonts w:asciiTheme="majorBidi" w:hAnsiTheme="majorBidi" w:cstheme="majorBidi"/>
          <w:noProof/>
        </w:rPr>
        <w:t>: 7-13.</w:t>
      </w:r>
    </w:p>
    <w:p w14:paraId="59049523" w14:textId="77777777" w:rsidR="00242D05" w:rsidRPr="009418E7" w:rsidRDefault="00242D05" w:rsidP="00242D05">
      <w:pPr>
        <w:pStyle w:val="Bibliography"/>
        <w:spacing w:line="480" w:lineRule="auto"/>
        <w:ind w:left="720" w:hanging="720"/>
        <w:rPr>
          <w:rFonts w:asciiTheme="majorBidi" w:hAnsiTheme="majorBidi" w:cstheme="majorBidi"/>
          <w:noProof/>
        </w:rPr>
      </w:pPr>
      <w:r w:rsidRPr="009418E7">
        <w:rPr>
          <w:rFonts w:asciiTheme="majorBidi" w:hAnsiTheme="majorBidi" w:cstheme="majorBidi"/>
          <w:noProof/>
        </w:rPr>
        <w:t xml:space="preserve">Ezema CI, Abaraogu UO and Okafor GO (2013). Flatfoot and associated factors among primary school children: A cross-sectional study. </w:t>
      </w:r>
      <w:r w:rsidRPr="009418E7">
        <w:rPr>
          <w:rFonts w:asciiTheme="majorBidi" w:hAnsiTheme="majorBidi" w:cstheme="majorBidi"/>
          <w:i/>
          <w:iCs/>
          <w:noProof/>
        </w:rPr>
        <w:t>Hong Kong Physiotherapy Journal. 32</w:t>
      </w:r>
      <w:r w:rsidRPr="009418E7">
        <w:rPr>
          <w:rFonts w:asciiTheme="majorBidi" w:hAnsiTheme="majorBidi" w:cstheme="majorBidi"/>
          <w:noProof/>
        </w:rPr>
        <w:t>(1): 1-8. Retrieved from http://dx.doi.org/10. 1016/j.hkpj.2013.05.001</w:t>
      </w:r>
    </w:p>
    <w:p w14:paraId="11CD8F09" w14:textId="77777777" w:rsidR="00242D05" w:rsidRPr="009418E7" w:rsidRDefault="00242D05" w:rsidP="00242D05">
      <w:pPr>
        <w:pStyle w:val="Bibliography"/>
        <w:spacing w:line="480" w:lineRule="auto"/>
        <w:ind w:left="720" w:hanging="720"/>
        <w:rPr>
          <w:rFonts w:asciiTheme="majorBidi" w:hAnsiTheme="majorBidi" w:cstheme="majorBidi"/>
          <w:noProof/>
        </w:rPr>
      </w:pPr>
      <w:r w:rsidRPr="009418E7">
        <w:rPr>
          <w:rFonts w:asciiTheme="majorBidi" w:hAnsiTheme="majorBidi" w:cstheme="majorBidi"/>
          <w:noProof/>
        </w:rPr>
        <w:t xml:space="preserve">Gwani AS, Asari MA and Ismail ZIM (2017). How three arches of the foot intercorrelate. </w:t>
      </w:r>
      <w:r w:rsidRPr="009418E7">
        <w:rPr>
          <w:rFonts w:asciiTheme="majorBidi" w:hAnsiTheme="majorBidi" w:cstheme="majorBidi"/>
          <w:i/>
          <w:iCs/>
          <w:noProof/>
        </w:rPr>
        <w:t>Folla morphologica , Via Medica</w:t>
      </w:r>
      <w:r w:rsidRPr="009418E7">
        <w:rPr>
          <w:rFonts w:asciiTheme="majorBidi" w:hAnsiTheme="majorBidi" w:cstheme="majorBidi"/>
          <w:noProof/>
        </w:rPr>
        <w:t>. 682-688. doi:10.5603/FM.a2017.0049</w:t>
      </w:r>
    </w:p>
    <w:p w14:paraId="0FA0616B" w14:textId="77777777" w:rsidR="00242D05" w:rsidRPr="009418E7" w:rsidRDefault="00242D05" w:rsidP="00242D05">
      <w:pPr>
        <w:pStyle w:val="Bibliography"/>
        <w:spacing w:line="480" w:lineRule="auto"/>
        <w:ind w:left="720" w:hanging="720"/>
        <w:rPr>
          <w:rFonts w:asciiTheme="majorBidi" w:hAnsiTheme="majorBidi" w:cstheme="majorBidi"/>
          <w:noProof/>
        </w:rPr>
      </w:pPr>
      <w:r w:rsidRPr="009418E7">
        <w:rPr>
          <w:rFonts w:asciiTheme="majorBidi" w:hAnsiTheme="majorBidi" w:cstheme="majorBidi"/>
          <w:noProof/>
        </w:rPr>
        <w:t xml:space="preserve">Heba HH, Gela HE, Safaa EA and Mohamed BB (2015). Correlation between gender and age in obese Children. </w:t>
      </w:r>
      <w:r w:rsidRPr="009418E7">
        <w:rPr>
          <w:rFonts w:asciiTheme="majorBidi" w:hAnsiTheme="majorBidi" w:cstheme="majorBidi"/>
          <w:i/>
          <w:iCs/>
          <w:noProof/>
        </w:rPr>
        <w:t>Academic Journals Inc. Trends in Applied Sciences Research. 10</w:t>
      </w:r>
      <w:r w:rsidRPr="009418E7">
        <w:rPr>
          <w:rFonts w:asciiTheme="majorBidi" w:hAnsiTheme="majorBidi" w:cstheme="majorBidi"/>
          <w:noProof/>
        </w:rPr>
        <w:t>(4): 207-215.</w:t>
      </w:r>
    </w:p>
    <w:p w14:paraId="16C5F41B" w14:textId="77777777" w:rsidR="00242D05" w:rsidRPr="009418E7" w:rsidRDefault="00242D05" w:rsidP="00242D05">
      <w:pPr>
        <w:pStyle w:val="Bibliography"/>
        <w:spacing w:line="480" w:lineRule="auto"/>
        <w:ind w:left="720" w:hanging="720"/>
        <w:rPr>
          <w:rFonts w:asciiTheme="majorBidi" w:hAnsiTheme="majorBidi" w:cstheme="majorBidi"/>
          <w:noProof/>
        </w:rPr>
      </w:pPr>
      <w:r w:rsidRPr="009418E7">
        <w:rPr>
          <w:rFonts w:asciiTheme="majorBidi" w:hAnsiTheme="majorBidi" w:cstheme="majorBidi"/>
          <w:noProof/>
        </w:rPr>
        <w:t xml:space="preserve">James BC, Scot Y and Leigh AL (2016). Pediatric Pes Planus: A-State-Of-The-Art-Review. </w:t>
      </w:r>
      <w:r w:rsidRPr="009418E7">
        <w:rPr>
          <w:rFonts w:asciiTheme="majorBidi" w:hAnsiTheme="majorBidi" w:cstheme="majorBidi"/>
          <w:i/>
          <w:iCs/>
          <w:noProof/>
        </w:rPr>
        <w:t>Pediatrics. 137</w:t>
      </w:r>
      <w:r w:rsidRPr="009418E7">
        <w:rPr>
          <w:rFonts w:asciiTheme="majorBidi" w:hAnsiTheme="majorBidi" w:cstheme="majorBidi"/>
          <w:noProof/>
        </w:rPr>
        <w:t>(3): 1-8.</w:t>
      </w:r>
    </w:p>
    <w:p w14:paraId="7F821467" w14:textId="77777777" w:rsidR="00242D05" w:rsidRPr="009418E7" w:rsidRDefault="00242D05" w:rsidP="00242D05">
      <w:pPr>
        <w:pStyle w:val="Bibliography"/>
        <w:spacing w:line="480" w:lineRule="auto"/>
        <w:ind w:left="720" w:hanging="720"/>
        <w:rPr>
          <w:rFonts w:asciiTheme="majorBidi" w:hAnsiTheme="majorBidi" w:cstheme="majorBidi"/>
          <w:noProof/>
        </w:rPr>
      </w:pPr>
      <w:r w:rsidRPr="009418E7">
        <w:rPr>
          <w:rFonts w:asciiTheme="majorBidi" w:hAnsiTheme="majorBidi" w:cstheme="majorBidi"/>
          <w:noProof/>
        </w:rPr>
        <w:t xml:space="preserve">Kamali N, Hajiahmadi M, Janmohammadi N and Kamali AA (2008). Prevalence of flatfoot in elementary guidiance and high school students. </w:t>
      </w:r>
      <w:r w:rsidRPr="009418E7">
        <w:rPr>
          <w:rFonts w:asciiTheme="majorBidi" w:hAnsiTheme="majorBidi" w:cstheme="majorBidi"/>
          <w:i/>
          <w:iCs/>
          <w:noProof/>
        </w:rPr>
        <w:t>Journal of Babol University of Medical Sciences. 9</w:t>
      </w:r>
      <w:r w:rsidRPr="009418E7">
        <w:rPr>
          <w:rFonts w:asciiTheme="majorBidi" w:hAnsiTheme="majorBidi" w:cstheme="majorBidi"/>
          <w:noProof/>
        </w:rPr>
        <w:t>(6): 50-54.</w:t>
      </w:r>
    </w:p>
    <w:p w14:paraId="261B89AB" w14:textId="77777777" w:rsidR="00242D05" w:rsidRPr="009418E7" w:rsidRDefault="00242D05" w:rsidP="00242D05">
      <w:pPr>
        <w:pStyle w:val="Bibliography"/>
        <w:spacing w:line="480" w:lineRule="auto"/>
        <w:ind w:left="720" w:hanging="720"/>
        <w:rPr>
          <w:rFonts w:asciiTheme="majorBidi" w:hAnsiTheme="majorBidi" w:cstheme="majorBidi"/>
          <w:noProof/>
        </w:rPr>
      </w:pPr>
      <w:r w:rsidRPr="009418E7">
        <w:rPr>
          <w:rFonts w:asciiTheme="majorBidi" w:hAnsiTheme="majorBidi" w:cstheme="majorBidi"/>
          <w:noProof/>
        </w:rPr>
        <w:t xml:space="preserve">Moshen P, Nematollah K, Mehrdad F and Nabiollah S (2016). Prevalence of flat foot among school students and its relationship with BMI. </w:t>
      </w:r>
      <w:r w:rsidRPr="009418E7">
        <w:rPr>
          <w:rFonts w:asciiTheme="majorBidi" w:hAnsiTheme="majorBidi" w:cstheme="majorBidi"/>
          <w:i/>
          <w:iCs/>
          <w:noProof/>
        </w:rPr>
        <w:t>Acta Orthopedica et Traumatologica Turcica. 50</w:t>
      </w:r>
      <w:r w:rsidRPr="009418E7">
        <w:rPr>
          <w:rFonts w:asciiTheme="majorBidi" w:hAnsiTheme="majorBidi" w:cstheme="majorBidi"/>
          <w:noProof/>
        </w:rPr>
        <w:t>: 554-557.</w:t>
      </w:r>
    </w:p>
    <w:p w14:paraId="3DEF707F" w14:textId="77777777" w:rsidR="00242D05" w:rsidRPr="009418E7" w:rsidRDefault="00242D05" w:rsidP="00242D05">
      <w:pPr>
        <w:pStyle w:val="Bibliography"/>
        <w:spacing w:line="480" w:lineRule="auto"/>
        <w:ind w:left="720" w:hanging="720"/>
        <w:rPr>
          <w:rFonts w:asciiTheme="majorBidi" w:hAnsiTheme="majorBidi" w:cstheme="majorBidi"/>
          <w:noProof/>
        </w:rPr>
      </w:pPr>
      <w:r w:rsidRPr="009418E7">
        <w:rPr>
          <w:rFonts w:asciiTheme="majorBidi" w:hAnsiTheme="majorBidi" w:cstheme="majorBidi"/>
          <w:noProof/>
        </w:rPr>
        <w:t xml:space="preserve">Oladipo G, Bob-Manuel I, Ezenatein G. (2008). Quantitative Compose of foot anthropometry under different weight bearing conditions amongst Nigerians. </w:t>
      </w:r>
      <w:r w:rsidRPr="009418E7">
        <w:rPr>
          <w:rFonts w:asciiTheme="majorBidi" w:hAnsiTheme="majorBidi" w:cstheme="majorBidi"/>
          <w:i/>
          <w:iCs/>
          <w:noProof/>
        </w:rPr>
        <w:t>The Internet Journal of Biological Anthropology. 3</w:t>
      </w:r>
      <w:r w:rsidRPr="009418E7">
        <w:rPr>
          <w:rFonts w:asciiTheme="majorBidi" w:hAnsiTheme="majorBidi" w:cstheme="majorBidi"/>
          <w:noProof/>
        </w:rPr>
        <w:t>(1): 1-7.</w:t>
      </w:r>
    </w:p>
    <w:p w14:paraId="1DD1ECE9" w14:textId="77777777" w:rsidR="00242D05" w:rsidRPr="009418E7" w:rsidRDefault="00242D05" w:rsidP="00242D05">
      <w:pPr>
        <w:spacing w:line="480" w:lineRule="auto"/>
        <w:ind w:left="720" w:hanging="720"/>
        <w:rPr>
          <w:rFonts w:asciiTheme="majorBidi" w:hAnsiTheme="majorBidi" w:cstheme="majorBidi"/>
        </w:rPr>
      </w:pPr>
      <w:r w:rsidRPr="009418E7">
        <w:rPr>
          <w:rFonts w:asciiTheme="majorBidi" w:hAnsiTheme="majorBidi" w:cstheme="majorBidi"/>
        </w:rPr>
        <w:lastRenderedPageBreak/>
        <w:t xml:space="preserve">Rithanya P, Yuvaraj B and Karthik GM (2018). Assessment of flatfoot by plantar arch index using footprint in aged population. </w:t>
      </w:r>
      <w:r w:rsidRPr="009418E7">
        <w:rPr>
          <w:rFonts w:asciiTheme="majorBidi" w:hAnsiTheme="majorBidi" w:cstheme="majorBidi"/>
          <w:i/>
          <w:iCs/>
        </w:rPr>
        <w:t>Drug Invention Today.</w:t>
      </w:r>
      <w:r w:rsidRPr="009418E7">
        <w:rPr>
          <w:rFonts w:asciiTheme="majorBidi" w:hAnsiTheme="majorBidi" w:cstheme="majorBidi"/>
        </w:rPr>
        <w:t xml:space="preserve"> 10(11): 2142-2145.</w:t>
      </w:r>
    </w:p>
    <w:p w14:paraId="05174BC7" w14:textId="77777777" w:rsidR="00242D05" w:rsidRPr="009418E7" w:rsidRDefault="00242D05" w:rsidP="00242D05">
      <w:pPr>
        <w:pStyle w:val="Bibliography"/>
        <w:spacing w:line="480" w:lineRule="auto"/>
        <w:ind w:left="720" w:hanging="720"/>
        <w:rPr>
          <w:rFonts w:asciiTheme="majorBidi" w:hAnsiTheme="majorBidi" w:cstheme="majorBidi"/>
          <w:noProof/>
        </w:rPr>
      </w:pPr>
      <w:r w:rsidRPr="009418E7">
        <w:rPr>
          <w:rFonts w:asciiTheme="majorBidi" w:hAnsiTheme="majorBidi" w:cstheme="majorBidi"/>
          <w:noProof/>
        </w:rPr>
        <w:t xml:space="preserve">Witari NPD, Cahyawati PN and Lestarina A. (2018). Prevalence of flatfoot in primary school. </w:t>
      </w:r>
      <w:r w:rsidRPr="009418E7">
        <w:rPr>
          <w:rFonts w:asciiTheme="majorBidi" w:hAnsiTheme="majorBidi" w:cstheme="majorBidi"/>
          <w:i/>
          <w:iCs/>
          <w:noProof/>
        </w:rPr>
        <w:t>Annual Applied Science and Engineering Conference (AASEC 2018). 434</w:t>
      </w:r>
      <w:r w:rsidRPr="009418E7">
        <w:rPr>
          <w:rFonts w:asciiTheme="majorBidi" w:hAnsiTheme="majorBidi" w:cstheme="majorBidi"/>
          <w:noProof/>
        </w:rPr>
        <w:t>(3). doi:10.1088/1757-899X/1/012029</w:t>
      </w:r>
    </w:p>
    <w:p w14:paraId="404546E7" w14:textId="77777777" w:rsidR="00242D05" w:rsidRPr="009418E7" w:rsidRDefault="00242D05" w:rsidP="00781881">
      <w:pPr>
        <w:spacing w:line="360" w:lineRule="auto"/>
        <w:jc w:val="both"/>
        <w:rPr>
          <w:rFonts w:asciiTheme="majorBidi" w:hAnsiTheme="majorBidi" w:cstheme="majorBidi"/>
        </w:rPr>
      </w:pPr>
    </w:p>
    <w:sectPr w:rsidR="00242D05" w:rsidRPr="009418E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3BD96" w14:textId="77777777" w:rsidR="00A15B20" w:rsidRDefault="00A15B20" w:rsidP="00F26475">
      <w:pPr>
        <w:spacing w:after="0" w:line="240" w:lineRule="auto"/>
      </w:pPr>
      <w:r>
        <w:separator/>
      </w:r>
    </w:p>
  </w:endnote>
  <w:endnote w:type="continuationSeparator" w:id="0">
    <w:p w14:paraId="5FBD5646" w14:textId="77777777" w:rsidR="00A15B20" w:rsidRDefault="00A15B20" w:rsidP="00F26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801B1" w14:textId="77777777" w:rsidR="00F26475" w:rsidRDefault="00F264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0816F" w14:textId="77777777" w:rsidR="00F26475" w:rsidRDefault="00F264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919B2" w14:textId="77777777" w:rsidR="00F26475" w:rsidRDefault="00F264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8B1AE1" w14:textId="77777777" w:rsidR="00A15B20" w:rsidRDefault="00A15B20" w:rsidP="00F26475">
      <w:pPr>
        <w:spacing w:after="0" w:line="240" w:lineRule="auto"/>
      </w:pPr>
      <w:r>
        <w:separator/>
      </w:r>
    </w:p>
  </w:footnote>
  <w:footnote w:type="continuationSeparator" w:id="0">
    <w:p w14:paraId="03AD739D" w14:textId="77777777" w:rsidR="00A15B20" w:rsidRDefault="00A15B20" w:rsidP="00F264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ECCF5" w14:textId="6364FC58" w:rsidR="00F26475" w:rsidRDefault="00F26475">
    <w:pPr>
      <w:pStyle w:val="Header"/>
    </w:pPr>
    <w:r>
      <w:rPr>
        <w:noProof/>
      </w:rPr>
      <w:pict w14:anchorId="4F49F5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90587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55A5E" w14:textId="0F105A55" w:rsidR="00F26475" w:rsidRDefault="00F26475">
    <w:pPr>
      <w:pStyle w:val="Header"/>
    </w:pPr>
    <w:r>
      <w:rPr>
        <w:noProof/>
      </w:rPr>
      <w:pict w14:anchorId="22220B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90587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9FAAA" w14:textId="17FB2CE3" w:rsidR="00F26475" w:rsidRDefault="00F26475">
    <w:pPr>
      <w:pStyle w:val="Header"/>
    </w:pPr>
    <w:r>
      <w:rPr>
        <w:noProof/>
      </w:rPr>
      <w:pict w14:anchorId="3DB3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90587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hybridMultilevel"/>
    <w:tmpl w:val="1188EA92"/>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92B"/>
    <w:rsid w:val="000151D7"/>
    <w:rsid w:val="000152A9"/>
    <w:rsid w:val="0009250F"/>
    <w:rsid w:val="001136E3"/>
    <w:rsid w:val="001E4A3A"/>
    <w:rsid w:val="00242D05"/>
    <w:rsid w:val="00260289"/>
    <w:rsid w:val="002B310D"/>
    <w:rsid w:val="002C0835"/>
    <w:rsid w:val="002E6567"/>
    <w:rsid w:val="003F4614"/>
    <w:rsid w:val="00404519"/>
    <w:rsid w:val="004871FB"/>
    <w:rsid w:val="004E3B83"/>
    <w:rsid w:val="00547596"/>
    <w:rsid w:val="00583FAE"/>
    <w:rsid w:val="005C3CB6"/>
    <w:rsid w:val="0060404E"/>
    <w:rsid w:val="00630BC9"/>
    <w:rsid w:val="006D78FC"/>
    <w:rsid w:val="00764D94"/>
    <w:rsid w:val="00781881"/>
    <w:rsid w:val="00796940"/>
    <w:rsid w:val="0082413D"/>
    <w:rsid w:val="008271F6"/>
    <w:rsid w:val="008520F3"/>
    <w:rsid w:val="008742D5"/>
    <w:rsid w:val="00876857"/>
    <w:rsid w:val="008E2395"/>
    <w:rsid w:val="0094176D"/>
    <w:rsid w:val="009418E7"/>
    <w:rsid w:val="00945F20"/>
    <w:rsid w:val="00991175"/>
    <w:rsid w:val="00A15B20"/>
    <w:rsid w:val="00A429F1"/>
    <w:rsid w:val="00A4368F"/>
    <w:rsid w:val="00A9219F"/>
    <w:rsid w:val="00AA6FEB"/>
    <w:rsid w:val="00BE12BF"/>
    <w:rsid w:val="00BE668E"/>
    <w:rsid w:val="00BF4E77"/>
    <w:rsid w:val="00C01FEB"/>
    <w:rsid w:val="00D40583"/>
    <w:rsid w:val="00D71842"/>
    <w:rsid w:val="00DA27EC"/>
    <w:rsid w:val="00DC075B"/>
    <w:rsid w:val="00DC50DE"/>
    <w:rsid w:val="00DE492B"/>
    <w:rsid w:val="00E322BB"/>
    <w:rsid w:val="00E359E5"/>
    <w:rsid w:val="00EA008D"/>
    <w:rsid w:val="00F26475"/>
    <w:rsid w:val="00FF1D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367CF7"/>
  <w15:chartTrackingRefBased/>
  <w15:docId w15:val="{667B4DE5-0305-4961-8DB3-2CD89C6C0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DE492B"/>
    <w:pPr>
      <w:spacing w:after="0" w:line="480" w:lineRule="auto"/>
      <w:ind w:left="65"/>
      <w:jc w:val="both"/>
    </w:pPr>
    <w:rPr>
      <w:rFonts w:ascii="Times New Roman" w:eastAsiaTheme="minorEastAsia" w:hAnsi="Times New Roman"/>
      <w:sz w:val="24"/>
      <w:lang w:val="en-GB" w:eastAsia="en-GB"/>
    </w:rPr>
  </w:style>
  <w:style w:type="paragraph" w:styleId="ListParagraph">
    <w:name w:val="List Paragraph"/>
    <w:basedOn w:val="Normal"/>
    <w:uiPriority w:val="34"/>
    <w:qFormat/>
    <w:rsid w:val="00AA6FEB"/>
    <w:pPr>
      <w:ind w:left="720"/>
      <w:contextualSpacing/>
    </w:pPr>
    <w:rPr>
      <w:rFonts w:eastAsiaTheme="minorEastAsia"/>
      <w:lang w:val="en-GB" w:eastAsia="en-GB"/>
    </w:rPr>
  </w:style>
  <w:style w:type="character" w:styleId="PlaceholderText">
    <w:name w:val="Placeholder Text"/>
    <w:basedOn w:val="DefaultParagraphFont"/>
    <w:uiPriority w:val="99"/>
    <w:semiHidden/>
    <w:rsid w:val="00BE668E"/>
    <w:rPr>
      <w:color w:val="808080"/>
    </w:rPr>
  </w:style>
  <w:style w:type="paragraph" w:styleId="Bibliography">
    <w:name w:val="Bibliography"/>
    <w:basedOn w:val="Normal"/>
    <w:next w:val="Normal"/>
    <w:uiPriority w:val="37"/>
    <w:unhideWhenUsed/>
    <w:rsid w:val="00242D05"/>
  </w:style>
  <w:style w:type="paragraph" w:styleId="Header">
    <w:name w:val="header"/>
    <w:basedOn w:val="Normal"/>
    <w:link w:val="HeaderChar"/>
    <w:uiPriority w:val="99"/>
    <w:unhideWhenUsed/>
    <w:rsid w:val="00F264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6475"/>
  </w:style>
  <w:style w:type="paragraph" w:styleId="Footer">
    <w:name w:val="footer"/>
    <w:basedOn w:val="Normal"/>
    <w:link w:val="FooterChar"/>
    <w:uiPriority w:val="99"/>
    <w:unhideWhenUsed/>
    <w:rsid w:val="00F264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64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C.S.%20PATRICK\Desktop\PROJECT\CURRENT\READY\Result%20for%20project%20peace-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'C:\Users\C.S. PATRICK\Desktop\PROJECT\CURRENT\READY\[project%20data%20for%20analysis%20Peace.xlsx]flatfoot'!$P$148</c:f>
              <c:strCache>
                <c:ptCount val="1"/>
                <c:pt idx="0">
                  <c:v>female</c:v>
                </c:pt>
              </c:strCache>
            </c:strRef>
          </c:tx>
          <c:spPr>
            <a:solidFill>
              <a:schemeClr val="accent1"/>
            </a:solidFill>
            <a:ln>
              <a:noFill/>
            </a:ln>
            <a:effectLst/>
          </c:spPr>
          <c:invertIfNegative val="0"/>
          <c:cat>
            <c:multiLvlStrRef>
              <c:f>[1]flatfoot!$Q$146:$U$147</c:f>
              <c:multiLvlStrCache>
                <c:ptCount val="5"/>
                <c:lvl>
                  <c:pt idx="0">
                    <c:v>FREQUENCY</c:v>
                  </c:pt>
                  <c:pt idx="1">
                    <c:v>NORMAL</c:v>
                  </c:pt>
                  <c:pt idx="2">
                    <c:v>UNILATERAL</c:v>
                  </c:pt>
                  <c:pt idx="3">
                    <c:v>BILATERAL</c:v>
                  </c:pt>
                  <c:pt idx="4">
                    <c:v>TOTAL FF</c:v>
                  </c:pt>
                </c:lvl>
                <c:lvl>
                  <c:pt idx="0">
                    <c:v>PERCENTAGE</c:v>
                  </c:pt>
                </c:lvl>
              </c:multiLvlStrCache>
            </c:multiLvlStrRef>
          </c:cat>
          <c:val>
            <c:numRef>
              <c:f>[1]flatfoot!$Q$148:$U$148</c:f>
              <c:numCache>
                <c:formatCode>General</c:formatCode>
                <c:ptCount val="5"/>
                <c:pt idx="0">
                  <c:v>50</c:v>
                </c:pt>
                <c:pt idx="1">
                  <c:v>95</c:v>
                </c:pt>
                <c:pt idx="2">
                  <c:v>3.33</c:v>
                </c:pt>
                <c:pt idx="3">
                  <c:v>1.67</c:v>
                </c:pt>
                <c:pt idx="4">
                  <c:v>5</c:v>
                </c:pt>
              </c:numCache>
            </c:numRef>
          </c:val>
          <c:extLst>
            <c:ext xmlns:c16="http://schemas.microsoft.com/office/drawing/2014/chart" uri="{C3380CC4-5D6E-409C-BE32-E72D297353CC}">
              <c16:uniqueId val="{00000000-C274-4628-B0B1-9C91FBCF5725}"/>
            </c:ext>
          </c:extLst>
        </c:ser>
        <c:ser>
          <c:idx val="1"/>
          <c:order val="1"/>
          <c:tx>
            <c:strRef>
              <c:f>'C:\Users\C.S. PATRICK\Desktop\PROJECT\CURRENT\READY\[project%20data%20for%20analysis%20Peace.xlsx]flatfoot'!$P$149</c:f>
              <c:strCache>
                <c:ptCount val="1"/>
                <c:pt idx="0">
                  <c:v>male</c:v>
                </c:pt>
              </c:strCache>
            </c:strRef>
          </c:tx>
          <c:spPr>
            <a:solidFill>
              <a:schemeClr val="accent2"/>
            </a:solidFill>
            <a:ln>
              <a:noFill/>
            </a:ln>
            <a:effectLst/>
          </c:spPr>
          <c:invertIfNegative val="0"/>
          <c:cat>
            <c:multiLvlStrRef>
              <c:f>[1]flatfoot!$Q$146:$U$147</c:f>
              <c:multiLvlStrCache>
                <c:ptCount val="5"/>
                <c:lvl>
                  <c:pt idx="0">
                    <c:v>FREQUENCY</c:v>
                  </c:pt>
                  <c:pt idx="1">
                    <c:v>NORMAL</c:v>
                  </c:pt>
                  <c:pt idx="2">
                    <c:v>UNILATERAL</c:v>
                  </c:pt>
                  <c:pt idx="3">
                    <c:v>BILATERAL</c:v>
                  </c:pt>
                  <c:pt idx="4">
                    <c:v>TOTAL FF</c:v>
                  </c:pt>
                </c:lvl>
                <c:lvl>
                  <c:pt idx="0">
                    <c:v>PERCENTAGE</c:v>
                  </c:pt>
                </c:lvl>
              </c:multiLvlStrCache>
            </c:multiLvlStrRef>
          </c:cat>
          <c:val>
            <c:numRef>
              <c:f>[1]flatfoot!$Q$149:$U$149</c:f>
              <c:numCache>
                <c:formatCode>General</c:formatCode>
                <c:ptCount val="5"/>
                <c:pt idx="0">
                  <c:v>50</c:v>
                </c:pt>
                <c:pt idx="1">
                  <c:v>78.33</c:v>
                </c:pt>
                <c:pt idx="2">
                  <c:v>15</c:v>
                </c:pt>
                <c:pt idx="3">
                  <c:v>6.67</c:v>
                </c:pt>
                <c:pt idx="4">
                  <c:v>21.67</c:v>
                </c:pt>
              </c:numCache>
            </c:numRef>
          </c:val>
          <c:extLst>
            <c:ext xmlns:c16="http://schemas.microsoft.com/office/drawing/2014/chart" uri="{C3380CC4-5D6E-409C-BE32-E72D297353CC}">
              <c16:uniqueId val="{00000001-C274-4628-B0B1-9C91FBCF5725}"/>
            </c:ext>
          </c:extLst>
        </c:ser>
        <c:ser>
          <c:idx val="2"/>
          <c:order val="2"/>
          <c:tx>
            <c:strRef>
              <c:f>'C:\Users\C.S. PATRICK\Desktop\PROJECT\CURRENT\READY\[project%20data%20for%20analysis%20Peace.xlsx]flatfoot'!$P$150</c:f>
              <c:strCache>
                <c:ptCount val="1"/>
                <c:pt idx="0">
                  <c:v>TOTAL</c:v>
                </c:pt>
              </c:strCache>
            </c:strRef>
          </c:tx>
          <c:spPr>
            <a:solidFill>
              <a:schemeClr val="accent3"/>
            </a:solidFill>
            <a:ln>
              <a:noFill/>
            </a:ln>
            <a:effectLst/>
          </c:spPr>
          <c:invertIfNegative val="0"/>
          <c:cat>
            <c:multiLvlStrRef>
              <c:f>[1]flatfoot!$Q$146:$U$147</c:f>
              <c:multiLvlStrCache>
                <c:ptCount val="5"/>
                <c:lvl>
                  <c:pt idx="0">
                    <c:v>FREQUENCY</c:v>
                  </c:pt>
                  <c:pt idx="1">
                    <c:v>NORMAL</c:v>
                  </c:pt>
                  <c:pt idx="2">
                    <c:v>UNILATERAL</c:v>
                  </c:pt>
                  <c:pt idx="3">
                    <c:v>BILATERAL</c:v>
                  </c:pt>
                  <c:pt idx="4">
                    <c:v>TOTAL FF</c:v>
                  </c:pt>
                </c:lvl>
                <c:lvl>
                  <c:pt idx="0">
                    <c:v>PERCENTAGE</c:v>
                  </c:pt>
                </c:lvl>
              </c:multiLvlStrCache>
            </c:multiLvlStrRef>
          </c:cat>
          <c:val>
            <c:numRef>
              <c:f>[1]flatfoot!$Q$150:$U$150</c:f>
              <c:numCache>
                <c:formatCode>General</c:formatCode>
                <c:ptCount val="5"/>
                <c:pt idx="0">
                  <c:v>100</c:v>
                </c:pt>
                <c:pt idx="1">
                  <c:v>86.67</c:v>
                </c:pt>
                <c:pt idx="2">
                  <c:v>9.17</c:v>
                </c:pt>
                <c:pt idx="3">
                  <c:v>4.17</c:v>
                </c:pt>
                <c:pt idx="4">
                  <c:v>13.33</c:v>
                </c:pt>
              </c:numCache>
            </c:numRef>
          </c:val>
          <c:extLst>
            <c:ext xmlns:c16="http://schemas.microsoft.com/office/drawing/2014/chart" uri="{C3380CC4-5D6E-409C-BE32-E72D297353CC}">
              <c16:uniqueId val="{00000002-C274-4628-B0B1-9C91FBCF5725}"/>
            </c:ext>
          </c:extLst>
        </c:ser>
        <c:dLbls>
          <c:showLegendKey val="0"/>
          <c:showVal val="0"/>
          <c:showCatName val="0"/>
          <c:showSerName val="0"/>
          <c:showPercent val="0"/>
          <c:showBubbleSize val="0"/>
        </c:dLbls>
        <c:gapWidth val="219"/>
        <c:overlap val="-27"/>
        <c:axId val="259961728"/>
        <c:axId val="259961336"/>
      </c:barChart>
      <c:catAx>
        <c:axId val="259961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9961336"/>
        <c:crosses val="autoZero"/>
        <c:auto val="1"/>
        <c:lblAlgn val="ctr"/>
        <c:lblOffset val="100"/>
        <c:noMultiLvlLbl val="0"/>
      </c:catAx>
      <c:valAx>
        <c:axId val="259961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9961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2686</Words>
  <Characters>15313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PC 1170</cp:lastModifiedBy>
  <cp:revision>15</cp:revision>
  <dcterms:created xsi:type="dcterms:W3CDTF">2026-02-23T06:00:00Z</dcterms:created>
  <dcterms:modified xsi:type="dcterms:W3CDTF">2026-02-23T09:15:00Z</dcterms:modified>
</cp:coreProperties>
</file>