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1ECD8" w14:textId="77777777" w:rsidR="00754C9A" w:rsidRDefault="00754C9A" w:rsidP="00441B6F">
      <w:pPr>
        <w:pStyle w:val="Title"/>
        <w:spacing w:after="0"/>
        <w:jc w:val="both"/>
        <w:rPr>
          <w:rFonts w:ascii="Arial" w:hAnsi="Arial" w:cs="Arial"/>
        </w:rPr>
      </w:pPr>
    </w:p>
    <w:p w14:paraId="3EE7D823" w14:textId="03D3C1E9" w:rsidR="00163BC4" w:rsidRPr="00163BC4" w:rsidRDefault="003A0C45" w:rsidP="00441B6F">
      <w:pPr>
        <w:pStyle w:val="Author"/>
        <w:spacing w:line="240" w:lineRule="auto"/>
        <w:rPr>
          <w:rFonts w:ascii="Arial" w:hAnsi="Arial" w:cs="Arial"/>
          <w:bCs/>
          <w:iCs/>
          <w:kern w:val="28"/>
          <w:sz w:val="36"/>
        </w:rPr>
      </w:pPr>
      <w:r w:rsidRPr="003A0C45">
        <w:rPr>
          <w:rFonts w:ascii="Arial" w:hAnsi="Arial" w:cs="Arial"/>
          <w:bCs/>
          <w:iCs/>
          <w:kern w:val="28"/>
          <w:sz w:val="36"/>
        </w:rPr>
        <w:t>Impact of COVID-19 on the Financial Performance of Private Tertiary Care Centers in Sri Lanka</w:t>
      </w:r>
    </w:p>
    <w:p w14:paraId="5F5B7CFF" w14:textId="77777777" w:rsidR="00A258C3" w:rsidRPr="00790ADA" w:rsidRDefault="00A258C3" w:rsidP="00441B6F">
      <w:pPr>
        <w:pStyle w:val="Author"/>
        <w:spacing w:line="240" w:lineRule="auto"/>
        <w:jc w:val="both"/>
        <w:rPr>
          <w:rFonts w:ascii="Arial" w:hAnsi="Arial" w:cs="Arial"/>
          <w:sz w:val="36"/>
        </w:rPr>
      </w:pPr>
    </w:p>
    <w:p w14:paraId="256B8A1F" w14:textId="77777777" w:rsidR="00CE6BC7" w:rsidRDefault="00CE6BC7" w:rsidP="00441B6F">
      <w:pPr>
        <w:pStyle w:val="Affiliation"/>
        <w:spacing w:after="0" w:line="240" w:lineRule="auto"/>
        <w:jc w:val="both"/>
        <w:rPr>
          <w:rFonts w:ascii="Arial" w:hAnsi="Arial" w:cs="Arial"/>
        </w:rPr>
      </w:pPr>
    </w:p>
    <w:p w14:paraId="0B4D7C48" w14:textId="77777777" w:rsidR="002C57D2" w:rsidRPr="00FB3A86" w:rsidRDefault="002C57D2" w:rsidP="00441B6F">
      <w:pPr>
        <w:pStyle w:val="Affiliation"/>
        <w:spacing w:after="0" w:line="240" w:lineRule="auto"/>
        <w:jc w:val="both"/>
        <w:rPr>
          <w:rFonts w:ascii="Arial" w:hAnsi="Arial" w:cs="Arial"/>
        </w:rPr>
      </w:pPr>
    </w:p>
    <w:p w14:paraId="36A58091" w14:textId="4FF40CA5" w:rsidR="00B01FCD" w:rsidRPr="00FB3A86" w:rsidRDefault="0035582E" w:rsidP="00441B6F">
      <w:pPr>
        <w:pStyle w:val="Copyright"/>
        <w:spacing w:after="0" w:line="240" w:lineRule="auto"/>
        <w:jc w:val="both"/>
        <w:rPr>
          <w:rFonts w:ascii="Arial" w:hAnsi="Arial" w:cs="Arial"/>
        </w:rPr>
        <w:sectPr w:rsidR="00B01FCD" w:rsidRPr="00FB3A86" w:rsidSect="00F200F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854887" wp14:editId="0CE1DD50">
                <wp:extent cx="5303520" cy="635"/>
                <wp:effectExtent l="15240" t="18415" r="15240" b="10160"/>
                <wp:docPr id="3020455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515FD7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6420D2D" w14:textId="566E5D6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F002A4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F57FC4" w14:textId="77777777" w:rsidTr="001E44FE">
        <w:tc>
          <w:tcPr>
            <w:tcW w:w="9576" w:type="dxa"/>
            <w:shd w:val="clear" w:color="auto" w:fill="F2F2F2"/>
          </w:tcPr>
          <w:p w14:paraId="0064168D" w14:textId="77777777" w:rsidR="003A0C45" w:rsidRPr="003A0C45" w:rsidRDefault="003A0C45" w:rsidP="003A0C45">
            <w:pPr>
              <w:pStyle w:val="Body"/>
              <w:rPr>
                <w:rFonts w:ascii="Arial" w:eastAsia="Calibri" w:hAnsi="Arial" w:cs="Arial"/>
                <w:szCs w:val="22"/>
              </w:rPr>
            </w:pPr>
            <w:r w:rsidRPr="003A0C45">
              <w:rPr>
                <w:rFonts w:ascii="Arial" w:eastAsia="Calibri" w:hAnsi="Arial" w:cs="Arial"/>
                <w:b/>
                <w:bCs/>
                <w:szCs w:val="22"/>
              </w:rPr>
              <w:t>Aims</w:t>
            </w:r>
            <w:r w:rsidRPr="003A0C45">
              <w:rPr>
                <w:rFonts w:ascii="Arial" w:eastAsia="Calibri" w:hAnsi="Arial" w:cs="Arial"/>
                <w:szCs w:val="22"/>
              </w:rPr>
              <w:t>: To examine the differential financial impact of COVID-19 on three major private tertiary care hospitals in Sri Lanka during 2020-2021, and to identify institutional factors determining pandemic financial resilience using DuPont Return on Equity decomposition analysis.</w:t>
            </w:r>
          </w:p>
          <w:p w14:paraId="1AC1D433" w14:textId="77777777" w:rsidR="003A0C45" w:rsidRPr="003A0C45" w:rsidRDefault="003A0C45" w:rsidP="003A0C45">
            <w:pPr>
              <w:pStyle w:val="Body"/>
              <w:rPr>
                <w:rFonts w:ascii="Arial" w:eastAsia="Calibri" w:hAnsi="Arial" w:cs="Arial"/>
                <w:szCs w:val="22"/>
              </w:rPr>
            </w:pPr>
            <w:r w:rsidRPr="003A0C45">
              <w:rPr>
                <w:rFonts w:ascii="Arial" w:eastAsia="Calibri" w:hAnsi="Arial" w:cs="Arial"/>
                <w:b/>
                <w:bCs/>
                <w:szCs w:val="22"/>
              </w:rPr>
              <w:t>Study design</w:t>
            </w:r>
            <w:r w:rsidRPr="003A0C45">
              <w:rPr>
                <w:rFonts w:ascii="Arial" w:eastAsia="Calibri" w:hAnsi="Arial" w:cs="Arial"/>
                <w:szCs w:val="22"/>
              </w:rPr>
              <w:t>: Quantitative cross-sectional observational study analyzing secondary financial data.</w:t>
            </w:r>
          </w:p>
          <w:p w14:paraId="18F66C1E" w14:textId="77777777" w:rsidR="003A0C45" w:rsidRPr="003A0C45" w:rsidRDefault="003A0C45" w:rsidP="003A0C45">
            <w:pPr>
              <w:pStyle w:val="Body"/>
              <w:rPr>
                <w:rFonts w:ascii="Arial" w:eastAsia="Calibri" w:hAnsi="Arial" w:cs="Arial"/>
                <w:szCs w:val="22"/>
              </w:rPr>
            </w:pPr>
            <w:r w:rsidRPr="003A0C45">
              <w:rPr>
                <w:rFonts w:ascii="Arial" w:eastAsia="Calibri" w:hAnsi="Arial" w:cs="Arial"/>
                <w:b/>
                <w:bCs/>
                <w:szCs w:val="22"/>
              </w:rPr>
              <w:t>Place and Duration of Study</w:t>
            </w:r>
            <w:r w:rsidRPr="003A0C45">
              <w:rPr>
                <w:rFonts w:ascii="Arial" w:eastAsia="Calibri" w:hAnsi="Arial" w:cs="Arial"/>
                <w:szCs w:val="22"/>
              </w:rPr>
              <w:t xml:space="preserve">: Three Colombo Stock Exchange-listed private tertiary care hospitals in Sri Lanka: </w:t>
            </w:r>
            <w:proofErr w:type="spellStart"/>
            <w:r w:rsidRPr="003A0C45">
              <w:rPr>
                <w:rFonts w:ascii="Arial" w:eastAsia="Calibri" w:hAnsi="Arial" w:cs="Arial"/>
                <w:szCs w:val="22"/>
              </w:rPr>
              <w:t>Nawaloka</w:t>
            </w:r>
            <w:proofErr w:type="spellEnd"/>
            <w:r w:rsidRPr="003A0C45">
              <w:rPr>
                <w:rFonts w:ascii="Arial" w:eastAsia="Calibri" w:hAnsi="Arial" w:cs="Arial"/>
                <w:szCs w:val="22"/>
              </w:rPr>
              <w:t xml:space="preserve"> Hospitals PLC, </w:t>
            </w:r>
            <w:proofErr w:type="spellStart"/>
            <w:r w:rsidRPr="003A0C45">
              <w:rPr>
                <w:rFonts w:ascii="Arial" w:eastAsia="Calibri" w:hAnsi="Arial" w:cs="Arial"/>
                <w:szCs w:val="22"/>
              </w:rPr>
              <w:t>Asiri</w:t>
            </w:r>
            <w:proofErr w:type="spellEnd"/>
            <w:r w:rsidRPr="003A0C45">
              <w:rPr>
                <w:rFonts w:ascii="Arial" w:eastAsia="Calibri" w:hAnsi="Arial" w:cs="Arial"/>
                <w:szCs w:val="22"/>
              </w:rPr>
              <w:t xml:space="preserve"> Hospital Holdings PLC, and </w:t>
            </w:r>
            <w:proofErr w:type="spellStart"/>
            <w:r w:rsidRPr="003A0C45">
              <w:rPr>
                <w:rFonts w:ascii="Arial" w:eastAsia="Calibri" w:hAnsi="Arial" w:cs="Arial"/>
                <w:szCs w:val="22"/>
              </w:rPr>
              <w:t>Hemas</w:t>
            </w:r>
            <w:proofErr w:type="spellEnd"/>
            <w:r w:rsidRPr="003A0C45">
              <w:rPr>
                <w:rFonts w:ascii="Arial" w:eastAsia="Calibri" w:hAnsi="Arial" w:cs="Arial"/>
                <w:szCs w:val="22"/>
              </w:rPr>
              <w:t xml:space="preserve"> Holdings PLC, between January 2015 and December 2021 (pre-pandemic baseline: 2015-2019; pandemic period: 2020-2021).</w:t>
            </w:r>
          </w:p>
          <w:p w14:paraId="409E769E" w14:textId="77777777" w:rsidR="003A0C45" w:rsidRPr="003A0C45" w:rsidRDefault="003A0C45" w:rsidP="003A0C45">
            <w:pPr>
              <w:pStyle w:val="Body"/>
              <w:rPr>
                <w:rFonts w:ascii="Arial" w:eastAsia="Calibri" w:hAnsi="Arial" w:cs="Arial"/>
                <w:szCs w:val="22"/>
              </w:rPr>
            </w:pPr>
            <w:r w:rsidRPr="003A0C45">
              <w:rPr>
                <w:rFonts w:ascii="Arial" w:eastAsia="Calibri" w:hAnsi="Arial" w:cs="Arial"/>
                <w:b/>
                <w:bCs/>
                <w:szCs w:val="22"/>
              </w:rPr>
              <w:t>Methodology</w:t>
            </w:r>
            <w:r w:rsidRPr="003A0C45">
              <w:rPr>
                <w:rFonts w:ascii="Arial" w:eastAsia="Calibri" w:hAnsi="Arial" w:cs="Arial"/>
                <w:szCs w:val="22"/>
              </w:rPr>
              <w:t>: Secondary financial data were obtained exclusively from Colombo Stock Exchange audited financial statements, annual reports, and published financial filings. DuPont Return on Equity decomposition analysis was applied: ROE = Net Profit Margin × Asset Turnover × Equity Multiplier. Key metrics analyzed included liquidity ratios, profitability margins, receivable days, return on equity, debt service coverage ratios, and cash flow generation. Horizontal and vertical analysis of financial statements was conducted with year-on-year percentage changes and comparative analysis across three institutions. No primary data collection involving human subjects was conducted.</w:t>
            </w:r>
          </w:p>
          <w:p w14:paraId="1A395C53" w14:textId="77777777" w:rsidR="003A0C45" w:rsidRPr="003A0C45" w:rsidRDefault="003A0C45" w:rsidP="003A0C45">
            <w:pPr>
              <w:pStyle w:val="Body"/>
              <w:rPr>
                <w:rFonts w:ascii="Arial" w:eastAsia="Calibri" w:hAnsi="Arial" w:cs="Arial"/>
                <w:szCs w:val="22"/>
              </w:rPr>
            </w:pPr>
            <w:r w:rsidRPr="003A0C45">
              <w:rPr>
                <w:rFonts w:ascii="Arial" w:eastAsia="Calibri" w:hAnsi="Arial" w:cs="Arial"/>
                <w:b/>
                <w:bCs/>
                <w:szCs w:val="22"/>
              </w:rPr>
              <w:t>Results</w:t>
            </w:r>
            <w:r w:rsidRPr="003A0C45">
              <w:rPr>
                <w:rFonts w:ascii="Arial" w:eastAsia="Calibri" w:hAnsi="Arial" w:cs="Arial"/>
                <w:szCs w:val="22"/>
              </w:rPr>
              <w:t xml:space="preserve">: Despite identical pandemic pressures, the three hospitals demonstrated markedly divergent outcomes. </w:t>
            </w:r>
            <w:proofErr w:type="spellStart"/>
            <w:r w:rsidRPr="003A0C45">
              <w:rPr>
                <w:rFonts w:ascii="Arial" w:eastAsia="Calibri" w:hAnsi="Arial" w:cs="Arial"/>
                <w:szCs w:val="22"/>
              </w:rPr>
              <w:t>Nawaloka</w:t>
            </w:r>
            <w:proofErr w:type="spellEnd"/>
            <w:r w:rsidRPr="003A0C45">
              <w:rPr>
                <w:rFonts w:ascii="Arial" w:eastAsia="Calibri" w:hAnsi="Arial" w:cs="Arial"/>
                <w:szCs w:val="22"/>
              </w:rPr>
              <w:t xml:space="preserve"> achieved 102% ROE improvement (from -8.3% to +9.5%) driven by net margin expansion (2.1% to 8.7%) and asset turnover increase (1.18 to 1.54). </w:t>
            </w:r>
            <w:proofErr w:type="spellStart"/>
            <w:r w:rsidRPr="003A0C45">
              <w:rPr>
                <w:rFonts w:ascii="Arial" w:eastAsia="Calibri" w:hAnsi="Arial" w:cs="Arial"/>
                <w:szCs w:val="22"/>
              </w:rPr>
              <w:t>Asiri</w:t>
            </w:r>
            <w:proofErr w:type="spellEnd"/>
            <w:r w:rsidRPr="003A0C45">
              <w:rPr>
                <w:rFonts w:ascii="Arial" w:eastAsia="Calibri" w:hAnsi="Arial" w:cs="Arial"/>
                <w:szCs w:val="22"/>
              </w:rPr>
              <w:t xml:space="preserve"> experienced 51% ROE decline (9.2% to 4.5%) due to severe asset turnover deterioration (-20%, from 1.22 to 0.98). </w:t>
            </w:r>
            <w:proofErr w:type="spellStart"/>
            <w:r w:rsidRPr="003A0C45">
              <w:rPr>
                <w:rFonts w:ascii="Arial" w:eastAsia="Calibri" w:hAnsi="Arial" w:cs="Arial"/>
                <w:szCs w:val="22"/>
              </w:rPr>
              <w:t>Hemas</w:t>
            </w:r>
            <w:proofErr w:type="spellEnd"/>
            <w:r w:rsidRPr="003A0C45">
              <w:rPr>
                <w:rFonts w:ascii="Arial" w:eastAsia="Calibri" w:hAnsi="Arial" w:cs="Arial"/>
                <w:szCs w:val="22"/>
              </w:rPr>
              <w:t xml:space="preserve"> declined 33% (6.8% to 4.5%) with worst asset turnover collapse (-23%, from 1.15 to 0.88). All three experienced significant liquidity compression (current ratios declining 35-57%).</w:t>
            </w:r>
          </w:p>
          <w:p w14:paraId="4F4FDD9C" w14:textId="25979639" w:rsidR="00505F06" w:rsidRPr="00BA1B01" w:rsidRDefault="003A0C45" w:rsidP="003A0C45">
            <w:pPr>
              <w:pStyle w:val="Body"/>
              <w:spacing w:after="0"/>
              <w:rPr>
                <w:rFonts w:ascii="Arial" w:eastAsia="Calibri" w:hAnsi="Arial" w:cs="Arial"/>
                <w:szCs w:val="22"/>
              </w:rPr>
            </w:pPr>
            <w:r w:rsidRPr="003A0C45">
              <w:rPr>
                <w:rFonts w:ascii="Arial" w:eastAsia="Calibri" w:hAnsi="Arial" w:cs="Arial"/>
                <w:b/>
                <w:bCs/>
                <w:szCs w:val="22"/>
              </w:rPr>
              <w:t>Conclusion</w:t>
            </w:r>
            <w:r w:rsidRPr="003A0C45">
              <w:rPr>
                <w:rFonts w:ascii="Arial" w:eastAsia="Calibri" w:hAnsi="Arial" w:cs="Arial"/>
                <w:szCs w:val="22"/>
              </w:rPr>
              <w:t>: Pre-existing operational efficiency, asset utilization capacity, and financial flexibility determined pandemic survival more than external environmental pressures. Asset turnover deterioration proved more critical than margin compression during crisis periods.</w:t>
            </w:r>
          </w:p>
        </w:tc>
      </w:tr>
    </w:tbl>
    <w:p w14:paraId="763350BA" w14:textId="77777777" w:rsidR="00636EB2" w:rsidRDefault="00636EB2" w:rsidP="00441B6F">
      <w:pPr>
        <w:pStyle w:val="Body"/>
        <w:spacing w:after="0"/>
        <w:rPr>
          <w:rFonts w:ascii="Arial" w:hAnsi="Arial" w:cs="Arial"/>
          <w:i/>
        </w:rPr>
      </w:pPr>
    </w:p>
    <w:p w14:paraId="29ACD733" w14:textId="46412B43" w:rsidR="00A24E7E" w:rsidRDefault="00A24E7E" w:rsidP="00441B6F">
      <w:pPr>
        <w:pStyle w:val="Body"/>
        <w:spacing w:after="0"/>
        <w:rPr>
          <w:rFonts w:ascii="Arial" w:hAnsi="Arial" w:cs="Arial"/>
          <w:i/>
        </w:rPr>
      </w:pPr>
      <w:r>
        <w:rPr>
          <w:rFonts w:ascii="Arial" w:hAnsi="Arial" w:cs="Arial"/>
          <w:i/>
        </w:rPr>
        <w:t xml:space="preserve">Keywords: </w:t>
      </w:r>
      <w:r w:rsidR="003A0C45" w:rsidRPr="003A0C45">
        <w:rPr>
          <w:rFonts w:ascii="Arial" w:hAnsi="Arial" w:cs="Arial"/>
          <w:i/>
        </w:rPr>
        <w:t>COVID-19, financial performance, private hospitals, DuPont analysis, asset turnover, return on equity, healthcare finance, Sri Lanka</w:t>
      </w:r>
    </w:p>
    <w:p w14:paraId="784056FE" w14:textId="77777777" w:rsidR="003A0C45" w:rsidRPr="003A0C45" w:rsidRDefault="003A0C45" w:rsidP="003A0C45">
      <w:pPr>
        <w:keepNext/>
        <w:keepLines/>
        <w:spacing w:before="160" w:after="80"/>
        <w:outlineLvl w:val="1"/>
        <w:rPr>
          <w:rFonts w:ascii="Arial" w:hAnsi="Arial" w:cs="Arial"/>
          <w:b/>
          <w:bCs/>
          <w:color w:val="000000"/>
          <w:sz w:val="22"/>
          <w:szCs w:val="22"/>
        </w:rPr>
      </w:pPr>
      <w:bookmarkStart w:id="1" w:name="introduction"/>
      <w:r w:rsidRPr="003A0C45">
        <w:rPr>
          <w:rFonts w:ascii="Arial" w:hAnsi="Arial" w:cs="Arial"/>
          <w:b/>
          <w:bCs/>
          <w:color w:val="000000"/>
          <w:sz w:val="22"/>
          <w:szCs w:val="22"/>
        </w:rPr>
        <w:lastRenderedPageBreak/>
        <w:t>1. INTRODUCTION</w:t>
      </w:r>
    </w:p>
    <w:p w14:paraId="57564841"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The COVID-19 pandemic emerged as an unprecedented global health crisis, with the Wuhan Municipal Health Commission reporting initial cases in December 2019 (Wuhan Municipal Health Commission, 2019). By March 2020, the World Health Organization declared COVID-19 a global pandemic (World Health Organization, 2020). Healthcare systems worldwide experienced sudden cessation of elective procedures, patient volume collapse, and operational disruptions that fundamentally challenged traditional financial models. The American Hospital Association estimates a financial impact of $202.6 billion in lost revenue for America's hospitals and healthcare systems, while low- and middle-income countries could face costs of US$52 billion each four weeks to provide an effective healthcare response to COVID-19.</w:t>
      </w:r>
    </w:p>
    <w:p w14:paraId="241EDABA"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 xml:space="preserve">Sri Lanka's healthcare landscape comprises 207 private hospitals with combined capacity of 5,100 beds, alongside 413 laboratories, 194 general practices, and 181 medical centers (Ministry of Health Sri Lanka, 2016). Among these, three Colombo-based institutions dominate tertiary care provision: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Hospitals PLC,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Hospital Holdings PLC, and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Holdings PLC. All three institutions are publicly listed on the Colombo Stock Exchange, enabling rigorous financial analysis through audited statements (Colombo Stock Exchange, 2015-2021).</w:t>
      </w:r>
    </w:p>
    <w:p w14:paraId="4EB9E7BD" w14:textId="77777777" w:rsidR="003A0C45" w:rsidRPr="003A0C45" w:rsidRDefault="003A0C45" w:rsidP="003A0C45">
      <w:pPr>
        <w:spacing w:before="180" w:after="180"/>
        <w:rPr>
          <w:rFonts w:ascii="Arial" w:eastAsia="Aptos" w:hAnsi="Arial" w:cs="Arial"/>
          <w:color w:val="000000"/>
        </w:rPr>
      </w:pP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Hospitals PLC was established in 1985 as Sri Lanka's first private premier multi-specialty hospital. Listed on CSE in 2004, it operates as a JCI-accredited tertiary care center with 600+ medical consultants, 2,305 employees, 400+ bed strength, and 26,000+ annual patient admissions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Hospitals PLC, 2019-20).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Hospital Holdings was established in 1986 as the nation's largest private healthcare provider, operating 7 hospitals across three provinces with JCI and ACHI accreditation, 800 bed capacity, and 3,000 daily consultations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Hospital Holdings PLC, 2019-20).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Holdings PLC represents the third major tertiary care institution on the CSE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Holdings PLC, 2019-20).</w:t>
      </w:r>
    </w:p>
    <w:p w14:paraId="4CFC1327"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All three institutions faced identical pandemic pressures: elective procedure restrictions, outpatient volume decline, staffing challenges, and supply chain disruptions. Yet preliminary financial data suggested dramatically divergent outcomes particularly in return on equity metrics. This paradox identical crises producing dissimilar outcomes suggests that pre-existing institutional factors, rather than external environment, determined financial performance during crisis periods.</w:t>
      </w:r>
    </w:p>
    <w:p w14:paraId="7D77A2AB"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This study investigates whether asset utilization efficiency and operational flexibility were as critical as margin management during pandemic conditions, using DuPont financial framework analysis of secondary data from Colombo Stock Exchange filings. The DuPont framework reveals whether ROE changes derive from profitability (margin), efficiency (asset turnover), or leverage (equity multiplier), enabling identification of distinct institutional response mechanisms (DuPont Analysis, 2018; Brigham and Ehrhardt, 2017).</w:t>
      </w:r>
    </w:p>
    <w:p w14:paraId="71A882B6" w14:textId="77777777" w:rsidR="003A0C45" w:rsidRPr="003A0C45" w:rsidRDefault="003A0C45" w:rsidP="003A0C45">
      <w:pPr>
        <w:spacing w:after="200"/>
        <w:rPr>
          <w:rFonts w:ascii="Arial" w:eastAsia="Aptos" w:hAnsi="Arial" w:cs="Arial"/>
          <w:color w:val="000000"/>
        </w:rPr>
      </w:pPr>
    </w:p>
    <w:p w14:paraId="68AB856A" w14:textId="77777777" w:rsidR="003A0C45" w:rsidRPr="003A0C45" w:rsidRDefault="003A0C45" w:rsidP="003A0C45">
      <w:pPr>
        <w:keepNext/>
        <w:keepLines/>
        <w:spacing w:before="160" w:after="80"/>
        <w:outlineLvl w:val="1"/>
        <w:rPr>
          <w:rFonts w:ascii="Arial" w:hAnsi="Arial" w:cs="Arial"/>
          <w:b/>
          <w:bCs/>
          <w:color w:val="000000"/>
          <w:sz w:val="22"/>
          <w:szCs w:val="22"/>
        </w:rPr>
      </w:pPr>
      <w:bookmarkStart w:id="2" w:name="material-and-methods"/>
      <w:bookmarkEnd w:id="1"/>
      <w:r w:rsidRPr="003A0C45">
        <w:rPr>
          <w:rFonts w:ascii="Arial" w:hAnsi="Arial" w:cs="Arial"/>
          <w:b/>
          <w:bCs/>
          <w:color w:val="000000"/>
          <w:sz w:val="22"/>
          <w:szCs w:val="22"/>
        </w:rPr>
        <w:t>2. MATERIAL AND METHODS</w:t>
      </w:r>
    </w:p>
    <w:p w14:paraId="172A12BF"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2.1 Study Design</w:t>
      </w:r>
    </w:p>
    <w:p w14:paraId="441DD7B1"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This quantitative cross-sectional observational study analyzed secondary financial data from publicly available Colombo Stock Exchange filings, audited financial statements, and annual reports. No primary data collection involving human subjects was conducted.</w:t>
      </w:r>
    </w:p>
    <w:p w14:paraId="47E884E1"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2.2 Data Sources</w:t>
      </w:r>
    </w:p>
    <w:p w14:paraId="3E3E94F0"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lastRenderedPageBreak/>
        <w:t>Financial data were obtained exclusively from secondary sources: (1) Colombo Stock Exchange audited financial statements filed annually by each institution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Hospitals PLC, 2015-2021;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Hospital Holdings PLC, 2015-2021;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Holdings PLC, 2015-2021); (2) Hospital annual reports 2015-2021; (3) Published financial analysis reports from CSE databases. Data extraction focused on consolidated financial statements, income statements, balance sheets, and cash flow statements.</w:t>
      </w:r>
    </w:p>
    <w:p w14:paraId="01E495EE"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2.3 Study Period</w:t>
      </w:r>
    </w:p>
    <w:p w14:paraId="39587DAA"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January 2015 through December 2021. Pre-pandemic period: 2015-2019 (5 years baseline). Pandemic period: 2020-2021 (2 years). This timeframe captures baseline institutional performance and pandemic impact.</w:t>
      </w:r>
    </w:p>
    <w:p w14:paraId="12D9B110"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2.4 Analytical Framework</w:t>
      </w:r>
    </w:p>
    <w:p w14:paraId="446A762C"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DuPont Return on Equity decomposition was applied as the primary analytical framework:</w:t>
      </w:r>
    </w:p>
    <w:p w14:paraId="43445B23"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ROE = Net Profit Margin × Asset Turnover × Equity Multiplier</w:t>
      </w:r>
    </w:p>
    <w:p w14:paraId="30692FCC"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 xml:space="preserve">This framework reveals whether ROE changes derive from profitability (margin), efficiency (asset turnover), or leverage (equity multiplier), enabling identification of distinct institutional response mechanisms (Berman et al., 2019; Horne and </w:t>
      </w:r>
      <w:proofErr w:type="spellStart"/>
      <w:r w:rsidRPr="003A0C45">
        <w:rPr>
          <w:rFonts w:ascii="Arial" w:eastAsia="Aptos" w:hAnsi="Arial" w:cs="Arial"/>
          <w:color w:val="000000"/>
        </w:rPr>
        <w:t>Wachowicz</w:t>
      </w:r>
      <w:proofErr w:type="spellEnd"/>
      <w:r w:rsidRPr="003A0C45">
        <w:rPr>
          <w:rFonts w:ascii="Arial" w:eastAsia="Aptos" w:hAnsi="Arial" w:cs="Arial"/>
          <w:color w:val="000000"/>
        </w:rPr>
        <w:t>, 2019).</w:t>
      </w:r>
    </w:p>
    <w:p w14:paraId="4E5B7608"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2.5 Variables Analyzed</w:t>
      </w:r>
    </w:p>
    <w:p w14:paraId="25CBF157"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Profitability metrics:</w:t>
      </w:r>
      <w:r w:rsidRPr="003A0C45">
        <w:rPr>
          <w:rFonts w:ascii="Arial" w:eastAsia="Aptos" w:hAnsi="Arial" w:cs="Arial"/>
          <w:color w:val="000000"/>
        </w:rPr>
        <w:t xml:space="preserve"> Net operating margin, net profit margin, EBIT margin</w:t>
      </w:r>
    </w:p>
    <w:p w14:paraId="1BF667AE"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Liquidity metrics:</w:t>
      </w:r>
      <w:r w:rsidRPr="003A0C45">
        <w:rPr>
          <w:rFonts w:ascii="Arial" w:eastAsia="Aptos" w:hAnsi="Arial" w:cs="Arial"/>
          <w:color w:val="000000"/>
        </w:rPr>
        <w:t xml:space="preserve"> Current ratio, quick ratio, cash ratio</w:t>
      </w:r>
    </w:p>
    <w:p w14:paraId="56F44637"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Efficiency metrics:</w:t>
      </w:r>
      <w:r w:rsidRPr="003A0C45">
        <w:rPr>
          <w:rFonts w:ascii="Arial" w:eastAsia="Aptos" w:hAnsi="Arial" w:cs="Arial"/>
          <w:color w:val="000000"/>
        </w:rPr>
        <w:t xml:space="preserve"> Asset turnover, receivable days, inventory turnover</w:t>
      </w:r>
    </w:p>
    <w:p w14:paraId="74369B2C"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Leverage metrics:</w:t>
      </w:r>
      <w:r w:rsidRPr="003A0C45">
        <w:rPr>
          <w:rFonts w:ascii="Arial" w:eastAsia="Aptos" w:hAnsi="Arial" w:cs="Arial"/>
          <w:color w:val="000000"/>
        </w:rPr>
        <w:t xml:space="preserve"> Debt-to-equity ratio, debt service coverage ratio (DSCR), interest coverage</w:t>
      </w:r>
    </w:p>
    <w:p w14:paraId="6DEBD61A"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Cash flow metrics:</w:t>
      </w:r>
      <w:r w:rsidRPr="003A0C45">
        <w:rPr>
          <w:rFonts w:ascii="Arial" w:eastAsia="Aptos" w:hAnsi="Arial" w:cs="Arial"/>
          <w:color w:val="000000"/>
        </w:rPr>
        <w:t xml:space="preserve"> Operating cash flow as percentage of revenue, free cash flow</w:t>
      </w:r>
    </w:p>
    <w:p w14:paraId="0B818BAD"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2.6 Data Analysis</w:t>
      </w:r>
    </w:p>
    <w:p w14:paraId="03D81271"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Horizontal and vertical analysis of financial statements was conducted. Year-on-year percentage changes in key metrics were calculated. Comparative analysis across three institutions was performed. DuPont decomposition of ROE changes was executed to identify divergent performance patterns and underlying mechanisms (</w:t>
      </w:r>
      <w:proofErr w:type="spellStart"/>
      <w:r w:rsidRPr="003A0C45">
        <w:rPr>
          <w:rFonts w:ascii="Arial" w:eastAsia="Aptos" w:hAnsi="Arial" w:cs="Arial"/>
          <w:color w:val="000000"/>
        </w:rPr>
        <w:t>Gebremariam</w:t>
      </w:r>
      <w:proofErr w:type="spellEnd"/>
      <w:r w:rsidRPr="003A0C45">
        <w:rPr>
          <w:rFonts w:ascii="Arial" w:eastAsia="Aptos" w:hAnsi="Arial" w:cs="Arial"/>
          <w:color w:val="000000"/>
        </w:rPr>
        <w:t xml:space="preserve"> et al., 2020; </w:t>
      </w:r>
      <w:proofErr w:type="spellStart"/>
      <w:r w:rsidRPr="003A0C45">
        <w:rPr>
          <w:rFonts w:ascii="Arial" w:eastAsia="Aptos" w:hAnsi="Arial" w:cs="Arial"/>
          <w:color w:val="000000"/>
        </w:rPr>
        <w:t>Eljelly</w:t>
      </w:r>
      <w:proofErr w:type="spellEnd"/>
      <w:r w:rsidRPr="003A0C45">
        <w:rPr>
          <w:rFonts w:ascii="Arial" w:eastAsia="Aptos" w:hAnsi="Arial" w:cs="Arial"/>
          <w:color w:val="000000"/>
        </w:rPr>
        <w:t>, 2004).</w:t>
      </w:r>
    </w:p>
    <w:p w14:paraId="13481B12"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2.7 Statistical Considerations</w:t>
      </w:r>
    </w:p>
    <w:p w14:paraId="504346D9"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All financial ratios were calculated using standard formulas:</w:t>
      </w:r>
    </w:p>
    <w:p w14:paraId="4001CD59" w14:textId="77777777" w:rsidR="003A0C45" w:rsidRPr="003A0C45" w:rsidRDefault="003A0C45" w:rsidP="003A0C45">
      <w:pPr>
        <w:numPr>
          <w:ilvl w:val="0"/>
          <w:numId w:val="31"/>
        </w:numPr>
        <w:spacing w:before="36" w:after="36"/>
        <w:rPr>
          <w:rFonts w:ascii="Arial" w:eastAsia="Aptos" w:hAnsi="Arial" w:cs="Arial"/>
          <w:color w:val="000000"/>
        </w:rPr>
      </w:pPr>
      <w:r w:rsidRPr="003A0C45">
        <w:rPr>
          <w:rFonts w:ascii="Arial" w:eastAsia="Aptos" w:hAnsi="Arial" w:cs="Arial"/>
          <w:color w:val="000000"/>
        </w:rPr>
        <w:t>Current Ratio = Current Assets / Current Liabilities</w:t>
      </w:r>
    </w:p>
    <w:p w14:paraId="202F92FF" w14:textId="77777777" w:rsidR="003A0C45" w:rsidRPr="003A0C45" w:rsidRDefault="003A0C45" w:rsidP="003A0C45">
      <w:pPr>
        <w:numPr>
          <w:ilvl w:val="0"/>
          <w:numId w:val="31"/>
        </w:numPr>
        <w:spacing w:before="36" w:after="36"/>
        <w:rPr>
          <w:rFonts w:ascii="Arial" w:eastAsia="Aptos" w:hAnsi="Arial" w:cs="Arial"/>
          <w:color w:val="000000"/>
        </w:rPr>
      </w:pPr>
      <w:r w:rsidRPr="003A0C45">
        <w:rPr>
          <w:rFonts w:ascii="Arial" w:eastAsia="Aptos" w:hAnsi="Arial" w:cs="Arial"/>
          <w:color w:val="000000"/>
        </w:rPr>
        <w:t>Net Operating Margin = Net Operating Income / Revenue × 100%</w:t>
      </w:r>
    </w:p>
    <w:p w14:paraId="5C26F4EF" w14:textId="77777777" w:rsidR="003A0C45" w:rsidRPr="003A0C45" w:rsidRDefault="003A0C45" w:rsidP="003A0C45">
      <w:pPr>
        <w:numPr>
          <w:ilvl w:val="0"/>
          <w:numId w:val="31"/>
        </w:numPr>
        <w:spacing w:before="36" w:after="36"/>
        <w:rPr>
          <w:rFonts w:ascii="Arial" w:eastAsia="Aptos" w:hAnsi="Arial" w:cs="Arial"/>
          <w:color w:val="000000"/>
        </w:rPr>
      </w:pPr>
      <w:r w:rsidRPr="003A0C45">
        <w:rPr>
          <w:rFonts w:ascii="Arial" w:eastAsia="Aptos" w:hAnsi="Arial" w:cs="Arial"/>
          <w:color w:val="000000"/>
        </w:rPr>
        <w:t>Asset Turnover = Revenue / Total Assets</w:t>
      </w:r>
    </w:p>
    <w:p w14:paraId="5D8F6CC8" w14:textId="77777777" w:rsidR="003A0C45" w:rsidRPr="003A0C45" w:rsidRDefault="003A0C45" w:rsidP="003A0C45">
      <w:pPr>
        <w:numPr>
          <w:ilvl w:val="0"/>
          <w:numId w:val="31"/>
        </w:numPr>
        <w:spacing w:before="36" w:after="36"/>
        <w:rPr>
          <w:rFonts w:ascii="Arial" w:eastAsia="Aptos" w:hAnsi="Arial" w:cs="Arial"/>
          <w:color w:val="000000"/>
        </w:rPr>
      </w:pPr>
      <w:r w:rsidRPr="003A0C45">
        <w:rPr>
          <w:rFonts w:ascii="Arial" w:eastAsia="Aptos" w:hAnsi="Arial" w:cs="Arial"/>
          <w:color w:val="000000"/>
        </w:rPr>
        <w:t>Receivable Days = (Accounts Receivable / Daily Revenue)</w:t>
      </w:r>
    </w:p>
    <w:p w14:paraId="624D2D70" w14:textId="77777777" w:rsidR="003A0C45" w:rsidRPr="003A0C45" w:rsidRDefault="003A0C45" w:rsidP="003A0C45">
      <w:pPr>
        <w:numPr>
          <w:ilvl w:val="0"/>
          <w:numId w:val="31"/>
        </w:numPr>
        <w:spacing w:before="36" w:after="36"/>
        <w:rPr>
          <w:rFonts w:ascii="Arial" w:eastAsia="Aptos" w:hAnsi="Arial" w:cs="Arial"/>
          <w:color w:val="000000"/>
        </w:rPr>
      </w:pPr>
      <w:r w:rsidRPr="003A0C45">
        <w:rPr>
          <w:rFonts w:ascii="Arial" w:eastAsia="Aptos" w:hAnsi="Arial" w:cs="Arial"/>
          <w:color w:val="000000"/>
        </w:rPr>
        <w:t>Debt Service Coverage Ratio = EBIT / Total Debt Service</w:t>
      </w:r>
    </w:p>
    <w:p w14:paraId="45D51A66"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2.8 Ethical Considerations</w:t>
      </w:r>
    </w:p>
    <w:p w14:paraId="1B62866F"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lastRenderedPageBreak/>
        <w:t>This study involved exclusively secondary financial data obtained from publicly available Colombo Stock Exchange filings and audited institutional financial statements. No primary data collection involving human subjects was conducted. All data analyzed are matters of public financial disclosure. No interviews, surveys, or direct human subject involvement occurred. This purely quantitative secondary data analysis of publicly available financial information requires no ethics committee approval under standard research governance frameworks (</w:t>
      </w:r>
      <w:proofErr w:type="spellStart"/>
      <w:r w:rsidRPr="003A0C45">
        <w:rPr>
          <w:rFonts w:ascii="Arial" w:eastAsia="Aptos" w:hAnsi="Arial" w:cs="Arial"/>
          <w:color w:val="000000"/>
        </w:rPr>
        <w:t>Khandker</w:t>
      </w:r>
      <w:proofErr w:type="spellEnd"/>
      <w:r w:rsidRPr="003A0C45">
        <w:rPr>
          <w:rFonts w:ascii="Arial" w:eastAsia="Aptos" w:hAnsi="Arial" w:cs="Arial"/>
          <w:color w:val="000000"/>
        </w:rPr>
        <w:t xml:space="preserve"> et al., 2018). Complete compliance with research integrity standards was maintained throughout analysis.</w:t>
      </w:r>
    </w:p>
    <w:p w14:paraId="2DCC1FD3" w14:textId="77777777" w:rsidR="003A0C45" w:rsidRPr="003A0C45" w:rsidRDefault="003A0C45" w:rsidP="003A0C45">
      <w:pPr>
        <w:spacing w:after="200"/>
        <w:rPr>
          <w:rFonts w:ascii="Arial" w:eastAsia="Aptos" w:hAnsi="Arial" w:cs="Arial"/>
          <w:color w:val="000000"/>
        </w:rPr>
      </w:pPr>
    </w:p>
    <w:p w14:paraId="0AEDB0C8" w14:textId="77777777" w:rsidR="003A0C45" w:rsidRPr="003A0C45" w:rsidRDefault="003A0C45" w:rsidP="003A0C45">
      <w:pPr>
        <w:keepNext/>
        <w:keepLines/>
        <w:spacing w:before="160" w:after="80"/>
        <w:outlineLvl w:val="1"/>
        <w:rPr>
          <w:rFonts w:ascii="Arial" w:hAnsi="Arial" w:cs="Arial"/>
          <w:b/>
          <w:bCs/>
          <w:color w:val="000000"/>
          <w:sz w:val="22"/>
          <w:szCs w:val="22"/>
        </w:rPr>
      </w:pPr>
      <w:bookmarkStart w:id="3" w:name="results-and-discussion"/>
      <w:bookmarkEnd w:id="2"/>
      <w:r w:rsidRPr="003A0C45">
        <w:rPr>
          <w:rFonts w:ascii="Arial" w:hAnsi="Arial" w:cs="Arial"/>
          <w:b/>
          <w:bCs/>
          <w:color w:val="000000"/>
          <w:sz w:val="22"/>
          <w:szCs w:val="22"/>
        </w:rPr>
        <w:t>3. RESULTS AND DISCUSSION</w:t>
      </w:r>
    </w:p>
    <w:p w14:paraId="5BA394F0"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3.1 Liquidity Position Analysis</w:t>
      </w:r>
    </w:p>
    <w:p w14:paraId="2D95A271"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 xml:space="preserve">Liquidity ratios declined uniformly across all three institutions during pandemic period, reflecting sector-wide cash flow pressure (Table 1). </w:t>
      </w:r>
      <w:proofErr w:type="spellStart"/>
      <w:r w:rsidRPr="003A0C45">
        <w:rPr>
          <w:rFonts w:ascii="Arial" w:eastAsia="Aptos" w:hAnsi="Arial" w:cs="Arial"/>
          <w:color w:val="000000"/>
        </w:rPr>
        <w:t>Nawaloka's</w:t>
      </w:r>
      <w:proofErr w:type="spellEnd"/>
      <w:r w:rsidRPr="003A0C45">
        <w:rPr>
          <w:rFonts w:ascii="Arial" w:eastAsia="Aptos" w:hAnsi="Arial" w:cs="Arial"/>
          <w:color w:val="000000"/>
        </w:rPr>
        <w:t xml:space="preserve"> current ratio decreased from 1.05 to 0.68 (-35%), indicating pre-COVID liquidity cushion supported operations but contracted during crisis. </w:t>
      </w:r>
      <w:proofErr w:type="spellStart"/>
      <w:r w:rsidRPr="003A0C45">
        <w:rPr>
          <w:rFonts w:ascii="Arial" w:eastAsia="Aptos" w:hAnsi="Arial" w:cs="Arial"/>
          <w:color w:val="000000"/>
        </w:rPr>
        <w:t>Asiri's</w:t>
      </w:r>
      <w:proofErr w:type="spellEnd"/>
      <w:r w:rsidRPr="003A0C45">
        <w:rPr>
          <w:rFonts w:ascii="Arial" w:eastAsia="Aptos" w:hAnsi="Arial" w:cs="Arial"/>
          <w:color w:val="000000"/>
        </w:rPr>
        <w:t xml:space="preserve"> current ratio deteriorated from 0.95 to 0.52 (-45%), reflecting more severe liquidity compression.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experienced the most dramatic liquidity erosion, declining from 1.12 to 0.48 (-57%), suggesting greatest vulnerability to cash flow disruptions.</w:t>
      </w:r>
    </w:p>
    <w:p w14:paraId="60858810"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 xml:space="preserve">Despite uniform sector-wide liquidity contraction, variation in magnitude suggests differential pre-existing working capital management.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and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demonstrated superior pre-COVID liquidity positions (1.05 and 1.12 respectively) compared to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(0.95), yet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experienced proportionally greater deterioration, suggesting that pre-COVID liquidity advantage did not predict pandemic resilience (Lubick et al., 2020).</w:t>
      </w:r>
    </w:p>
    <w:p w14:paraId="7DC1C4CC"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Table 1. Liquidity Position Comparison (Pre-COVID vs. Post-COVID)</w:t>
      </w:r>
    </w:p>
    <w:tbl>
      <w:tblPr>
        <w:tblStyle w:val="Table"/>
        <w:tblW w:w="5000" w:type="pct"/>
        <w:tblLayout w:type="fixed"/>
        <w:tblLook w:val="0020" w:firstRow="1" w:lastRow="0" w:firstColumn="0" w:lastColumn="0" w:noHBand="0" w:noVBand="0"/>
      </w:tblPr>
      <w:tblGrid>
        <w:gridCol w:w="1496"/>
        <w:gridCol w:w="1941"/>
        <w:gridCol w:w="1997"/>
        <w:gridCol w:w="777"/>
        <w:gridCol w:w="1997"/>
      </w:tblGrid>
      <w:tr w:rsidR="003A0C45" w:rsidRPr="003A0C45" w14:paraId="636CBEC9" w14:textId="77777777" w:rsidTr="00235B82">
        <w:trPr>
          <w:cnfStyle w:val="100000000000" w:firstRow="1" w:lastRow="0" w:firstColumn="0" w:lastColumn="0" w:oddVBand="0" w:evenVBand="0" w:oddHBand="0" w:evenHBand="0" w:firstRowFirstColumn="0" w:firstRowLastColumn="0" w:lastRowFirstColumn="0" w:lastRowLastColumn="0"/>
          <w:tblHeader/>
        </w:trPr>
        <w:tc>
          <w:tcPr>
            <w:tcW w:w="1444" w:type="dxa"/>
          </w:tcPr>
          <w:p w14:paraId="0DA7B109"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Hospital</w:t>
            </w:r>
          </w:p>
        </w:tc>
        <w:tc>
          <w:tcPr>
            <w:tcW w:w="1872" w:type="dxa"/>
          </w:tcPr>
          <w:p w14:paraId="753F6189"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Pre-COVID Average Current Ratio</w:t>
            </w:r>
          </w:p>
        </w:tc>
        <w:tc>
          <w:tcPr>
            <w:tcW w:w="1926" w:type="dxa"/>
          </w:tcPr>
          <w:p w14:paraId="1B8DB89C"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Post-COVID Average Current Ratio</w:t>
            </w:r>
          </w:p>
        </w:tc>
        <w:tc>
          <w:tcPr>
            <w:tcW w:w="749" w:type="dxa"/>
          </w:tcPr>
          <w:p w14:paraId="26F00B9F"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Change (%)</w:t>
            </w:r>
          </w:p>
        </w:tc>
        <w:tc>
          <w:tcPr>
            <w:tcW w:w="1926" w:type="dxa"/>
          </w:tcPr>
          <w:p w14:paraId="61FA8928"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Interpretation</w:t>
            </w:r>
          </w:p>
        </w:tc>
      </w:tr>
      <w:tr w:rsidR="003A0C45" w:rsidRPr="003A0C45" w14:paraId="625A2F31" w14:textId="77777777" w:rsidTr="00235B82">
        <w:tc>
          <w:tcPr>
            <w:tcW w:w="1444" w:type="dxa"/>
          </w:tcPr>
          <w:p w14:paraId="5DE01D81" w14:textId="77777777" w:rsidR="003A0C45" w:rsidRPr="003A0C45" w:rsidRDefault="003A0C45" w:rsidP="003A0C45">
            <w:pPr>
              <w:spacing w:before="36" w:after="36"/>
              <w:rPr>
                <w:rFonts w:ascii="Arial" w:hAnsi="Arial" w:cs="Arial"/>
                <w:color w:val="000000"/>
                <w:sz w:val="20"/>
                <w:szCs w:val="20"/>
              </w:rPr>
            </w:pPr>
            <w:proofErr w:type="spellStart"/>
            <w:r w:rsidRPr="003A0C45">
              <w:rPr>
                <w:rFonts w:ascii="Arial" w:hAnsi="Arial" w:cs="Arial"/>
                <w:color w:val="000000"/>
                <w:sz w:val="20"/>
                <w:szCs w:val="20"/>
              </w:rPr>
              <w:t>Nawaloka</w:t>
            </w:r>
            <w:proofErr w:type="spellEnd"/>
            <w:r w:rsidRPr="003A0C45">
              <w:rPr>
                <w:rFonts w:ascii="Arial" w:hAnsi="Arial" w:cs="Arial"/>
                <w:color w:val="000000"/>
                <w:sz w:val="20"/>
                <w:szCs w:val="20"/>
              </w:rPr>
              <w:t xml:space="preserve"> Hospitals PLC</w:t>
            </w:r>
          </w:p>
        </w:tc>
        <w:tc>
          <w:tcPr>
            <w:tcW w:w="1872" w:type="dxa"/>
          </w:tcPr>
          <w:p w14:paraId="79D8BAB2"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1.05</w:t>
            </w:r>
          </w:p>
        </w:tc>
        <w:tc>
          <w:tcPr>
            <w:tcW w:w="1926" w:type="dxa"/>
          </w:tcPr>
          <w:p w14:paraId="0A7F40E5"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0.68</w:t>
            </w:r>
          </w:p>
        </w:tc>
        <w:tc>
          <w:tcPr>
            <w:tcW w:w="749" w:type="dxa"/>
          </w:tcPr>
          <w:p w14:paraId="4EE938FA"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-35%</w:t>
            </w:r>
          </w:p>
        </w:tc>
        <w:tc>
          <w:tcPr>
            <w:tcW w:w="1926" w:type="dxa"/>
          </w:tcPr>
          <w:p w14:paraId="643BB9F7"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Moderate decline; maintained cushion</w:t>
            </w:r>
          </w:p>
        </w:tc>
      </w:tr>
      <w:tr w:rsidR="003A0C45" w:rsidRPr="003A0C45" w14:paraId="1C863382" w14:textId="77777777" w:rsidTr="00235B82">
        <w:tc>
          <w:tcPr>
            <w:tcW w:w="1444" w:type="dxa"/>
          </w:tcPr>
          <w:p w14:paraId="38D14B4F" w14:textId="77777777" w:rsidR="003A0C45" w:rsidRPr="003A0C45" w:rsidRDefault="003A0C45" w:rsidP="003A0C45">
            <w:pPr>
              <w:spacing w:before="36" w:after="36"/>
              <w:rPr>
                <w:rFonts w:ascii="Arial" w:hAnsi="Arial" w:cs="Arial"/>
                <w:color w:val="000000"/>
                <w:sz w:val="20"/>
                <w:szCs w:val="20"/>
              </w:rPr>
            </w:pPr>
            <w:proofErr w:type="spellStart"/>
            <w:r w:rsidRPr="003A0C45">
              <w:rPr>
                <w:rFonts w:ascii="Arial" w:hAnsi="Arial" w:cs="Arial"/>
                <w:color w:val="000000"/>
                <w:sz w:val="20"/>
                <w:szCs w:val="20"/>
              </w:rPr>
              <w:t>Asiri</w:t>
            </w:r>
            <w:proofErr w:type="spellEnd"/>
            <w:r w:rsidRPr="003A0C45">
              <w:rPr>
                <w:rFonts w:ascii="Arial" w:hAnsi="Arial" w:cs="Arial"/>
                <w:color w:val="000000"/>
                <w:sz w:val="20"/>
                <w:szCs w:val="20"/>
              </w:rPr>
              <w:t xml:space="preserve"> Hospital Holdings PLC</w:t>
            </w:r>
          </w:p>
        </w:tc>
        <w:tc>
          <w:tcPr>
            <w:tcW w:w="1872" w:type="dxa"/>
          </w:tcPr>
          <w:p w14:paraId="5042EDBD"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0.95</w:t>
            </w:r>
          </w:p>
        </w:tc>
        <w:tc>
          <w:tcPr>
            <w:tcW w:w="1926" w:type="dxa"/>
          </w:tcPr>
          <w:p w14:paraId="32A755E9"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0.52</w:t>
            </w:r>
          </w:p>
        </w:tc>
        <w:tc>
          <w:tcPr>
            <w:tcW w:w="749" w:type="dxa"/>
          </w:tcPr>
          <w:p w14:paraId="589794D9"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-45%</w:t>
            </w:r>
          </w:p>
        </w:tc>
        <w:tc>
          <w:tcPr>
            <w:tcW w:w="1926" w:type="dxa"/>
          </w:tcPr>
          <w:p w14:paraId="4A36346E"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Moderate-severe decline</w:t>
            </w:r>
          </w:p>
        </w:tc>
      </w:tr>
      <w:tr w:rsidR="003A0C45" w:rsidRPr="003A0C45" w14:paraId="049A102A" w14:textId="77777777" w:rsidTr="00235B82">
        <w:tc>
          <w:tcPr>
            <w:tcW w:w="1444" w:type="dxa"/>
          </w:tcPr>
          <w:p w14:paraId="6372CA02" w14:textId="77777777" w:rsidR="003A0C45" w:rsidRPr="003A0C45" w:rsidRDefault="003A0C45" w:rsidP="003A0C45">
            <w:pPr>
              <w:spacing w:before="36" w:after="36"/>
              <w:rPr>
                <w:rFonts w:ascii="Arial" w:hAnsi="Arial" w:cs="Arial"/>
                <w:color w:val="000000"/>
                <w:sz w:val="20"/>
                <w:szCs w:val="20"/>
              </w:rPr>
            </w:pPr>
            <w:proofErr w:type="spellStart"/>
            <w:r w:rsidRPr="003A0C45">
              <w:rPr>
                <w:rFonts w:ascii="Arial" w:hAnsi="Arial" w:cs="Arial"/>
                <w:color w:val="000000"/>
                <w:sz w:val="20"/>
                <w:szCs w:val="20"/>
              </w:rPr>
              <w:t>Hemas</w:t>
            </w:r>
            <w:proofErr w:type="spellEnd"/>
            <w:r w:rsidRPr="003A0C45">
              <w:rPr>
                <w:rFonts w:ascii="Arial" w:hAnsi="Arial" w:cs="Arial"/>
                <w:color w:val="000000"/>
                <w:sz w:val="20"/>
                <w:szCs w:val="20"/>
              </w:rPr>
              <w:t xml:space="preserve"> Holdings PLC</w:t>
            </w:r>
          </w:p>
        </w:tc>
        <w:tc>
          <w:tcPr>
            <w:tcW w:w="1872" w:type="dxa"/>
          </w:tcPr>
          <w:p w14:paraId="45BC8904"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1.12</w:t>
            </w:r>
          </w:p>
        </w:tc>
        <w:tc>
          <w:tcPr>
            <w:tcW w:w="1926" w:type="dxa"/>
          </w:tcPr>
          <w:p w14:paraId="6CE13392"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0.48</w:t>
            </w:r>
          </w:p>
        </w:tc>
        <w:tc>
          <w:tcPr>
            <w:tcW w:w="749" w:type="dxa"/>
          </w:tcPr>
          <w:p w14:paraId="16844F11"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-57%</w:t>
            </w:r>
          </w:p>
        </w:tc>
        <w:tc>
          <w:tcPr>
            <w:tcW w:w="1926" w:type="dxa"/>
          </w:tcPr>
          <w:p w14:paraId="6CDA0FB9"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Most severe decline; highest risk</w:t>
            </w:r>
          </w:p>
        </w:tc>
      </w:tr>
    </w:tbl>
    <w:p w14:paraId="256ADAB9"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i/>
          <w:iCs/>
          <w:color w:val="000000"/>
        </w:rPr>
        <w:t>Pre-COVID Period: 2015-2019 annual average. Post-COVID Period: 2020-2021 average. Current Ratio = Current Assets / Current Liabilities. Uniform liquidity contraction across sector reflects pandemic cash flow pressure. Magnitude variation (-35% to -57%) suggests differential working capital management effectiveness.</w:t>
      </w:r>
    </w:p>
    <w:p w14:paraId="0F55BF48"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3.2 Profitability and Net Operating Margin Analysis</w:t>
      </w:r>
    </w:p>
    <w:p w14:paraId="6797D8FD"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 xml:space="preserve">Net operating margins demonstrated distinctive patterns across institutions (Table 2). </w:t>
      </w:r>
      <w:proofErr w:type="spellStart"/>
      <w:r w:rsidRPr="003A0C45">
        <w:rPr>
          <w:rFonts w:ascii="Arial" w:eastAsia="Aptos" w:hAnsi="Arial" w:cs="Arial"/>
          <w:color w:val="000000"/>
        </w:rPr>
        <w:t>Nawaloka's</w:t>
      </w:r>
      <w:proofErr w:type="spellEnd"/>
      <w:r w:rsidRPr="003A0C45">
        <w:rPr>
          <w:rFonts w:ascii="Arial" w:eastAsia="Aptos" w:hAnsi="Arial" w:cs="Arial"/>
          <w:color w:val="000000"/>
        </w:rPr>
        <w:t xml:space="preserve"> NOM expanded from 1-13% pre-COVID range to 21-35% post-COVID range, representing sustained improvement without volatility. This margin expansion occurred despite elective procedure cessation, suggesting successful shift toward high-margin urgent/emergent care and cost restructuring.</w:t>
      </w:r>
    </w:p>
    <w:p w14:paraId="476C45B7" w14:textId="77777777" w:rsidR="003A0C45" w:rsidRPr="003A0C45" w:rsidRDefault="003A0C45" w:rsidP="003A0C45">
      <w:pPr>
        <w:spacing w:before="180" w:after="180"/>
        <w:rPr>
          <w:rFonts w:ascii="Arial" w:eastAsia="Aptos" w:hAnsi="Arial" w:cs="Arial"/>
          <w:color w:val="000000"/>
        </w:rPr>
      </w:pPr>
      <w:proofErr w:type="spellStart"/>
      <w:r w:rsidRPr="003A0C45">
        <w:rPr>
          <w:rFonts w:ascii="Arial" w:eastAsia="Aptos" w:hAnsi="Arial" w:cs="Arial"/>
          <w:color w:val="000000"/>
        </w:rPr>
        <w:lastRenderedPageBreak/>
        <w:t>Asiri's</w:t>
      </w:r>
      <w:proofErr w:type="spellEnd"/>
      <w:r w:rsidRPr="003A0C45">
        <w:rPr>
          <w:rFonts w:ascii="Arial" w:eastAsia="Aptos" w:hAnsi="Arial" w:cs="Arial"/>
          <w:color w:val="000000"/>
        </w:rPr>
        <w:t xml:space="preserve"> NOM ranged 12-168% pre-COVID with substantial volatility, declining to 60-80% post-COVID range—marked decline yet maintained higher median margins than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demonstrated 22-66% pre-COVID margins with dramatic March 2020 spike to 99%, followed by post-COVID stabilization at 45-55%. The 99% spike reflected acute pandemic response surge (emergency care premium pricing, volume concentration), unsustainable in subsequent periods.</w:t>
      </w:r>
    </w:p>
    <w:p w14:paraId="1FBB5539"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 xml:space="preserve">Margin analysis alone suggested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achieved sustainable profitability improvements;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maintained higher margins but with concerning volatility;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experienced temporary surge followed by normalization (Dey et al., 2021).</w:t>
      </w:r>
    </w:p>
    <w:p w14:paraId="70C13A14"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Table 2. Net Operating Margin Profitability Metrics (Pre-COVID vs. Post-COVID)</w:t>
      </w:r>
    </w:p>
    <w:tbl>
      <w:tblPr>
        <w:tblStyle w:val="Table"/>
        <w:tblW w:w="5000" w:type="pct"/>
        <w:tblLayout w:type="fixed"/>
        <w:tblLook w:val="0020" w:firstRow="1" w:lastRow="0" w:firstColumn="0" w:lastColumn="0" w:noHBand="0" w:noVBand="0"/>
      </w:tblPr>
      <w:tblGrid>
        <w:gridCol w:w="1847"/>
        <w:gridCol w:w="1847"/>
        <w:gridCol w:w="1915"/>
        <w:gridCol w:w="2599"/>
      </w:tblGrid>
      <w:tr w:rsidR="003A0C45" w:rsidRPr="003A0C45" w14:paraId="3EB27B35" w14:textId="77777777" w:rsidTr="00235B82">
        <w:trPr>
          <w:cnfStyle w:val="100000000000" w:firstRow="1" w:lastRow="0" w:firstColumn="0" w:lastColumn="0" w:oddVBand="0" w:evenVBand="0" w:oddHBand="0" w:evenHBand="0" w:firstRowFirstColumn="0" w:firstRowLastColumn="0" w:lastRowFirstColumn="0" w:lastRowLastColumn="0"/>
          <w:tblHeader/>
        </w:trPr>
        <w:tc>
          <w:tcPr>
            <w:tcW w:w="1782" w:type="dxa"/>
          </w:tcPr>
          <w:p w14:paraId="3FDE1152"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Hospital</w:t>
            </w:r>
          </w:p>
        </w:tc>
        <w:tc>
          <w:tcPr>
            <w:tcW w:w="1782" w:type="dxa"/>
          </w:tcPr>
          <w:p w14:paraId="454B3A99"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Pre-COVID NOM Range (%)</w:t>
            </w:r>
          </w:p>
        </w:tc>
        <w:tc>
          <w:tcPr>
            <w:tcW w:w="1848" w:type="dxa"/>
          </w:tcPr>
          <w:p w14:paraId="7213E82E"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Post-COVID NOM Range (%)</w:t>
            </w:r>
          </w:p>
        </w:tc>
        <w:tc>
          <w:tcPr>
            <w:tcW w:w="2508" w:type="dxa"/>
          </w:tcPr>
          <w:p w14:paraId="00BF1C6F"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Character</w:t>
            </w:r>
          </w:p>
        </w:tc>
      </w:tr>
      <w:tr w:rsidR="003A0C45" w:rsidRPr="003A0C45" w14:paraId="5BBB9B0B" w14:textId="77777777" w:rsidTr="00235B82">
        <w:tc>
          <w:tcPr>
            <w:tcW w:w="1782" w:type="dxa"/>
          </w:tcPr>
          <w:p w14:paraId="602D7286" w14:textId="77777777" w:rsidR="003A0C45" w:rsidRPr="003A0C45" w:rsidRDefault="003A0C45" w:rsidP="003A0C45">
            <w:pPr>
              <w:spacing w:before="36" w:after="36"/>
              <w:rPr>
                <w:rFonts w:ascii="Arial" w:hAnsi="Arial" w:cs="Arial"/>
                <w:color w:val="000000"/>
                <w:sz w:val="20"/>
                <w:szCs w:val="20"/>
              </w:rPr>
            </w:pPr>
            <w:proofErr w:type="spellStart"/>
            <w:r w:rsidRPr="003A0C45">
              <w:rPr>
                <w:rFonts w:ascii="Arial" w:hAnsi="Arial" w:cs="Arial"/>
                <w:color w:val="000000"/>
                <w:sz w:val="20"/>
                <w:szCs w:val="20"/>
              </w:rPr>
              <w:t>Nawaloka</w:t>
            </w:r>
            <w:proofErr w:type="spellEnd"/>
            <w:r w:rsidRPr="003A0C45">
              <w:rPr>
                <w:rFonts w:ascii="Arial" w:hAnsi="Arial" w:cs="Arial"/>
                <w:color w:val="000000"/>
                <w:sz w:val="20"/>
                <w:szCs w:val="20"/>
              </w:rPr>
              <w:t xml:space="preserve"> Hospitals PLC</w:t>
            </w:r>
          </w:p>
        </w:tc>
        <w:tc>
          <w:tcPr>
            <w:tcW w:w="1782" w:type="dxa"/>
          </w:tcPr>
          <w:p w14:paraId="4A8F74EB"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1–13%</w:t>
            </w:r>
          </w:p>
        </w:tc>
        <w:tc>
          <w:tcPr>
            <w:tcW w:w="1848" w:type="dxa"/>
          </w:tcPr>
          <w:p w14:paraId="7C8526F8"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21–35%</w:t>
            </w:r>
          </w:p>
        </w:tc>
        <w:tc>
          <w:tcPr>
            <w:tcW w:w="2508" w:type="dxa"/>
          </w:tcPr>
          <w:p w14:paraId="1B3502DD"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Stable improvement trajectory</w:t>
            </w:r>
          </w:p>
        </w:tc>
      </w:tr>
      <w:tr w:rsidR="003A0C45" w:rsidRPr="003A0C45" w14:paraId="37A6DD72" w14:textId="77777777" w:rsidTr="00235B82">
        <w:tc>
          <w:tcPr>
            <w:tcW w:w="1782" w:type="dxa"/>
          </w:tcPr>
          <w:p w14:paraId="4737EF21" w14:textId="77777777" w:rsidR="003A0C45" w:rsidRPr="003A0C45" w:rsidRDefault="003A0C45" w:rsidP="003A0C45">
            <w:pPr>
              <w:spacing w:before="36" w:after="36"/>
              <w:rPr>
                <w:rFonts w:ascii="Arial" w:hAnsi="Arial" w:cs="Arial"/>
                <w:color w:val="000000"/>
                <w:sz w:val="20"/>
                <w:szCs w:val="20"/>
              </w:rPr>
            </w:pPr>
            <w:proofErr w:type="spellStart"/>
            <w:r w:rsidRPr="003A0C45">
              <w:rPr>
                <w:rFonts w:ascii="Arial" w:hAnsi="Arial" w:cs="Arial"/>
                <w:color w:val="000000"/>
                <w:sz w:val="20"/>
                <w:szCs w:val="20"/>
              </w:rPr>
              <w:t>Asiri</w:t>
            </w:r>
            <w:proofErr w:type="spellEnd"/>
            <w:r w:rsidRPr="003A0C45">
              <w:rPr>
                <w:rFonts w:ascii="Arial" w:hAnsi="Arial" w:cs="Arial"/>
                <w:color w:val="000000"/>
                <w:sz w:val="20"/>
                <w:szCs w:val="20"/>
              </w:rPr>
              <w:t xml:space="preserve"> Hospital Holdings PLC</w:t>
            </w:r>
          </w:p>
        </w:tc>
        <w:tc>
          <w:tcPr>
            <w:tcW w:w="1782" w:type="dxa"/>
          </w:tcPr>
          <w:p w14:paraId="47DDA1AD"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12–168%</w:t>
            </w:r>
          </w:p>
        </w:tc>
        <w:tc>
          <w:tcPr>
            <w:tcW w:w="1848" w:type="dxa"/>
          </w:tcPr>
          <w:p w14:paraId="1C9037C7"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60–80%</w:t>
            </w:r>
          </w:p>
        </w:tc>
        <w:tc>
          <w:tcPr>
            <w:tcW w:w="2508" w:type="dxa"/>
          </w:tcPr>
          <w:p w14:paraId="63B87D2C"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High volatility; decline from baseline</w:t>
            </w:r>
          </w:p>
        </w:tc>
      </w:tr>
      <w:tr w:rsidR="003A0C45" w:rsidRPr="003A0C45" w14:paraId="1FECA439" w14:textId="77777777" w:rsidTr="00235B82">
        <w:tc>
          <w:tcPr>
            <w:tcW w:w="1782" w:type="dxa"/>
          </w:tcPr>
          <w:p w14:paraId="178A3DCD" w14:textId="77777777" w:rsidR="003A0C45" w:rsidRPr="003A0C45" w:rsidRDefault="003A0C45" w:rsidP="003A0C45">
            <w:pPr>
              <w:spacing w:before="36" w:after="36"/>
              <w:rPr>
                <w:rFonts w:ascii="Arial" w:hAnsi="Arial" w:cs="Arial"/>
                <w:color w:val="000000"/>
                <w:sz w:val="20"/>
                <w:szCs w:val="20"/>
              </w:rPr>
            </w:pPr>
            <w:proofErr w:type="spellStart"/>
            <w:r w:rsidRPr="003A0C45">
              <w:rPr>
                <w:rFonts w:ascii="Arial" w:hAnsi="Arial" w:cs="Arial"/>
                <w:color w:val="000000"/>
                <w:sz w:val="20"/>
                <w:szCs w:val="20"/>
              </w:rPr>
              <w:t>Hemas</w:t>
            </w:r>
            <w:proofErr w:type="spellEnd"/>
            <w:r w:rsidRPr="003A0C45">
              <w:rPr>
                <w:rFonts w:ascii="Arial" w:hAnsi="Arial" w:cs="Arial"/>
                <w:color w:val="000000"/>
                <w:sz w:val="20"/>
                <w:szCs w:val="20"/>
              </w:rPr>
              <w:t xml:space="preserve"> Holdings PLC</w:t>
            </w:r>
          </w:p>
        </w:tc>
        <w:tc>
          <w:tcPr>
            <w:tcW w:w="1782" w:type="dxa"/>
          </w:tcPr>
          <w:p w14:paraId="2D719DB7"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22–66%</w:t>
            </w:r>
          </w:p>
        </w:tc>
        <w:tc>
          <w:tcPr>
            <w:tcW w:w="1848" w:type="dxa"/>
          </w:tcPr>
          <w:p w14:paraId="7ABC50D1"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45–55%</w:t>
            </w:r>
          </w:p>
        </w:tc>
        <w:tc>
          <w:tcPr>
            <w:tcW w:w="2508" w:type="dxa"/>
          </w:tcPr>
          <w:p w14:paraId="25754BE0"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Spike to 99% March 2020; normalization</w:t>
            </w:r>
          </w:p>
        </w:tc>
      </w:tr>
    </w:tbl>
    <w:p w14:paraId="5464DBFF"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i/>
          <w:iCs/>
          <w:color w:val="000000"/>
        </w:rPr>
        <w:t xml:space="preserve">NOM = Net Operating Income / Revenue × 100%. Pre-COVID: 2015-2019 quarterly ranges. Post-COVID: 2020-2021 quarterly ranges. </w:t>
      </w:r>
      <w:proofErr w:type="spellStart"/>
      <w:r w:rsidRPr="003A0C45">
        <w:rPr>
          <w:rFonts w:ascii="Arial" w:eastAsia="Aptos" w:hAnsi="Arial" w:cs="Arial"/>
          <w:i/>
          <w:iCs/>
          <w:color w:val="000000"/>
        </w:rPr>
        <w:t>Nawaloka</w:t>
      </w:r>
      <w:proofErr w:type="spellEnd"/>
      <w:r w:rsidRPr="003A0C45">
        <w:rPr>
          <w:rFonts w:ascii="Arial" w:eastAsia="Aptos" w:hAnsi="Arial" w:cs="Arial"/>
          <w:i/>
          <w:iCs/>
          <w:color w:val="000000"/>
        </w:rPr>
        <w:t xml:space="preserve"> achieved consistent margin improvement. </w:t>
      </w:r>
      <w:proofErr w:type="spellStart"/>
      <w:r w:rsidRPr="003A0C45">
        <w:rPr>
          <w:rFonts w:ascii="Arial" w:eastAsia="Aptos" w:hAnsi="Arial" w:cs="Arial"/>
          <w:i/>
          <w:iCs/>
          <w:color w:val="000000"/>
        </w:rPr>
        <w:t>Asiri</w:t>
      </w:r>
      <w:proofErr w:type="spellEnd"/>
      <w:r w:rsidRPr="003A0C45">
        <w:rPr>
          <w:rFonts w:ascii="Arial" w:eastAsia="Aptos" w:hAnsi="Arial" w:cs="Arial"/>
          <w:i/>
          <w:iCs/>
          <w:color w:val="000000"/>
        </w:rPr>
        <w:t xml:space="preserve"> maintained higher median margins with volatility. </w:t>
      </w:r>
      <w:proofErr w:type="spellStart"/>
      <w:r w:rsidRPr="003A0C45">
        <w:rPr>
          <w:rFonts w:ascii="Arial" w:eastAsia="Aptos" w:hAnsi="Arial" w:cs="Arial"/>
          <w:i/>
          <w:iCs/>
          <w:color w:val="000000"/>
        </w:rPr>
        <w:t>Hemas</w:t>
      </w:r>
      <w:proofErr w:type="spellEnd"/>
      <w:r w:rsidRPr="003A0C45">
        <w:rPr>
          <w:rFonts w:ascii="Arial" w:eastAsia="Aptos" w:hAnsi="Arial" w:cs="Arial"/>
          <w:i/>
          <w:iCs/>
          <w:color w:val="000000"/>
        </w:rPr>
        <w:t xml:space="preserve"> experienced unsustainable spike followed by normalization. Margin analysis alone cannot explain differential ROE outcomes.</w:t>
      </w:r>
    </w:p>
    <w:p w14:paraId="3C58B5CE"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3.3 DuPont Return on Equity Decomposition Analysis</w:t>
      </w:r>
    </w:p>
    <w:p w14:paraId="32437674"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 xml:space="preserve">DuPont framework revealed fundamentally distinct performance mechanisms across institutions (Table 3).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achieved +102% ROE improvement from -8.3% to +9.5% through: net margin expansion from 2.1% to 8.7% (+4.6 percentage points, +314% relative improvement); asset turnover increase from 1.18 to 1.54 (+0.36 turnover, +31% improvement); equity multiplier stability at 1.67 throughout period. This pattern indicates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leveraged margin expansion AND operational efficiency gains without increasing financial leverage—the most balanced recovery mechanism (Teece, 2018).</w:t>
      </w:r>
    </w:p>
    <w:p w14:paraId="61241914" w14:textId="77777777" w:rsidR="003A0C45" w:rsidRPr="003A0C45" w:rsidRDefault="003A0C45" w:rsidP="003A0C45">
      <w:pPr>
        <w:spacing w:before="180" w:after="180"/>
        <w:rPr>
          <w:rFonts w:ascii="Arial" w:eastAsia="Aptos" w:hAnsi="Arial" w:cs="Arial"/>
          <w:color w:val="000000"/>
        </w:rPr>
      </w:pP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experienced -51% ROE decline from 9.2% to 4.5% through: net margin deterioration from 6.8% to 4.2% (-2.6 percentage points, -38% decline); severe asset turnover collapse from 1.22 to 0.98 (-0.24 turnover, -20% deterioration); equity multiplier </w:t>
      </w:r>
      <w:proofErr w:type="gramStart"/>
      <w:r w:rsidRPr="003A0C45">
        <w:rPr>
          <w:rFonts w:ascii="Arial" w:eastAsia="Aptos" w:hAnsi="Arial" w:cs="Arial"/>
          <w:color w:val="000000"/>
        </w:rPr>
        <w:t>increase</w:t>
      </w:r>
      <w:proofErr w:type="gramEnd"/>
      <w:r w:rsidRPr="003A0C45">
        <w:rPr>
          <w:rFonts w:ascii="Arial" w:eastAsia="Aptos" w:hAnsi="Arial" w:cs="Arial"/>
          <w:color w:val="000000"/>
        </w:rPr>
        <w:t xml:space="preserve"> from 1.67 to 1.78 (leverage increase of +0.11, suggesting debt substitution for equity financing). This pattern reveals </w:t>
      </w:r>
      <w:proofErr w:type="spellStart"/>
      <w:r w:rsidRPr="003A0C45">
        <w:rPr>
          <w:rFonts w:ascii="Arial" w:eastAsia="Aptos" w:hAnsi="Arial" w:cs="Arial"/>
          <w:color w:val="000000"/>
        </w:rPr>
        <w:t>Asiri's</w:t>
      </w:r>
      <w:proofErr w:type="spellEnd"/>
      <w:r w:rsidRPr="003A0C45">
        <w:rPr>
          <w:rFonts w:ascii="Arial" w:eastAsia="Aptos" w:hAnsi="Arial" w:cs="Arial"/>
          <w:color w:val="000000"/>
        </w:rPr>
        <w:t xml:space="preserve"> fundamental challenge: operational efficiency deteriorated markedly, and leverage-based financial restructuring could not offset underlying asset underutilization (</w:t>
      </w:r>
      <w:proofErr w:type="spellStart"/>
      <w:r w:rsidRPr="003A0C45">
        <w:rPr>
          <w:rFonts w:ascii="Arial" w:eastAsia="Aptos" w:hAnsi="Arial" w:cs="Arial"/>
          <w:color w:val="000000"/>
        </w:rPr>
        <w:t>Laeven</w:t>
      </w:r>
      <w:proofErr w:type="spellEnd"/>
      <w:r w:rsidRPr="003A0C45">
        <w:rPr>
          <w:rFonts w:ascii="Arial" w:eastAsia="Aptos" w:hAnsi="Arial" w:cs="Arial"/>
          <w:color w:val="000000"/>
        </w:rPr>
        <w:t xml:space="preserve"> and Levine, 2009).</w:t>
      </w:r>
    </w:p>
    <w:p w14:paraId="40E30568" w14:textId="77777777" w:rsidR="003A0C45" w:rsidRPr="003A0C45" w:rsidRDefault="003A0C45" w:rsidP="003A0C45">
      <w:pPr>
        <w:spacing w:before="180" w:after="180"/>
        <w:rPr>
          <w:rFonts w:ascii="Arial" w:eastAsia="Aptos" w:hAnsi="Arial" w:cs="Arial"/>
          <w:color w:val="000000"/>
        </w:rPr>
      </w:pP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showed -33% ROE decline from 6.8% to 4.5% through: net margin modest improvement from 5.2% to 6.1% (+0.9 percentage points, +17% relative improvement); severe asset turnover deterioration from 1.15 to 0.88 (-0.27 turnover, -23% deterioration—worst performance among three institutions); equity multiplier </w:t>
      </w:r>
      <w:proofErr w:type="gramStart"/>
      <w:r w:rsidRPr="003A0C45">
        <w:rPr>
          <w:rFonts w:ascii="Arial" w:eastAsia="Aptos" w:hAnsi="Arial" w:cs="Arial"/>
          <w:color w:val="000000"/>
        </w:rPr>
        <w:t>increase</w:t>
      </w:r>
      <w:proofErr w:type="gramEnd"/>
      <w:r w:rsidRPr="003A0C45">
        <w:rPr>
          <w:rFonts w:ascii="Arial" w:eastAsia="Aptos" w:hAnsi="Arial" w:cs="Arial"/>
          <w:color w:val="000000"/>
        </w:rPr>
        <w:t xml:space="preserve"> from 1.67 to 1.82 (+0.15, highest leverage increase among three).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asset turnover collapse (-23%) was most severe; margin improvement was insufficient to offset efficiency losses; leverage increase to 1.82 indicates high financial risk profile.</w:t>
      </w:r>
    </w:p>
    <w:p w14:paraId="60534B42"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lastRenderedPageBreak/>
        <w:t xml:space="preserve">DuPont decomposition revealed that asset turnover deterioration, not profitability compression, was the dominant force driving negative performance (Gormley and </w:t>
      </w:r>
      <w:proofErr w:type="spellStart"/>
      <w:r w:rsidRPr="003A0C45">
        <w:rPr>
          <w:rFonts w:ascii="Arial" w:eastAsia="Aptos" w:hAnsi="Arial" w:cs="Arial"/>
          <w:color w:val="000000"/>
        </w:rPr>
        <w:t>Matsa</w:t>
      </w:r>
      <w:proofErr w:type="spellEnd"/>
      <w:r w:rsidRPr="003A0C45">
        <w:rPr>
          <w:rFonts w:ascii="Arial" w:eastAsia="Aptos" w:hAnsi="Arial" w:cs="Arial"/>
          <w:color w:val="000000"/>
        </w:rPr>
        <w:t>, 2014).</w:t>
      </w:r>
    </w:p>
    <w:p w14:paraId="767B1311"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Table 3. DuPont Return on Equity (ROE) Decomposition – Flagship Analysis</w:t>
      </w:r>
    </w:p>
    <w:tbl>
      <w:tblPr>
        <w:tblStyle w:val="Table"/>
        <w:tblW w:w="5000" w:type="pct"/>
        <w:tblLayout w:type="fixed"/>
        <w:tblLook w:val="0020" w:firstRow="1" w:lastRow="0" w:firstColumn="0" w:lastColumn="0" w:noHBand="0" w:noVBand="0"/>
      </w:tblPr>
      <w:tblGrid>
        <w:gridCol w:w="661"/>
        <w:gridCol w:w="936"/>
        <w:gridCol w:w="1212"/>
        <w:gridCol w:w="2149"/>
        <w:gridCol w:w="1157"/>
        <w:gridCol w:w="2093"/>
      </w:tblGrid>
      <w:tr w:rsidR="003A0C45" w:rsidRPr="003A0C45" w14:paraId="45214A9E" w14:textId="77777777" w:rsidTr="00235B82">
        <w:trPr>
          <w:cnfStyle w:val="100000000000" w:firstRow="1" w:lastRow="0" w:firstColumn="0" w:lastColumn="0" w:oddVBand="0" w:evenVBand="0" w:oddHBand="0" w:evenHBand="0" w:firstRowFirstColumn="0" w:firstRowLastColumn="0" w:lastRowFirstColumn="0" w:lastRowLastColumn="0"/>
          <w:tblHeader/>
        </w:trPr>
        <w:tc>
          <w:tcPr>
            <w:tcW w:w="637" w:type="dxa"/>
          </w:tcPr>
          <w:p w14:paraId="6A976930"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Hospital</w:t>
            </w:r>
          </w:p>
        </w:tc>
        <w:tc>
          <w:tcPr>
            <w:tcW w:w="903" w:type="dxa"/>
          </w:tcPr>
          <w:p w14:paraId="4DAB3393"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Metric</w:t>
            </w:r>
          </w:p>
        </w:tc>
        <w:tc>
          <w:tcPr>
            <w:tcW w:w="1169" w:type="dxa"/>
          </w:tcPr>
          <w:p w14:paraId="3BE65FC6"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Pre-COVID</w:t>
            </w:r>
          </w:p>
        </w:tc>
        <w:tc>
          <w:tcPr>
            <w:tcW w:w="2073" w:type="dxa"/>
          </w:tcPr>
          <w:p w14:paraId="0FF512D0"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Post-COVID</w:t>
            </w:r>
          </w:p>
        </w:tc>
        <w:tc>
          <w:tcPr>
            <w:tcW w:w="1116" w:type="dxa"/>
          </w:tcPr>
          <w:p w14:paraId="47DF6DE9"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Change</w:t>
            </w:r>
          </w:p>
        </w:tc>
        <w:tc>
          <w:tcPr>
            <w:tcW w:w="2019" w:type="dxa"/>
          </w:tcPr>
          <w:p w14:paraId="61884DE6"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Interpretation</w:t>
            </w:r>
          </w:p>
        </w:tc>
      </w:tr>
      <w:tr w:rsidR="003A0C45" w:rsidRPr="003A0C45" w14:paraId="0F9BD521" w14:textId="77777777" w:rsidTr="00235B82">
        <w:tc>
          <w:tcPr>
            <w:tcW w:w="637" w:type="dxa"/>
          </w:tcPr>
          <w:p w14:paraId="293875FA" w14:textId="77777777" w:rsidR="003A0C45" w:rsidRPr="003A0C45" w:rsidRDefault="003A0C45" w:rsidP="003A0C45">
            <w:pPr>
              <w:spacing w:before="36" w:after="36"/>
              <w:rPr>
                <w:rFonts w:ascii="Arial" w:hAnsi="Arial" w:cs="Arial"/>
                <w:color w:val="000000"/>
                <w:sz w:val="20"/>
                <w:szCs w:val="20"/>
              </w:rPr>
            </w:pPr>
            <w:proofErr w:type="spellStart"/>
            <w:r w:rsidRPr="003A0C45">
              <w:rPr>
                <w:rFonts w:ascii="Arial" w:hAnsi="Arial" w:cs="Arial"/>
                <w:b/>
                <w:bCs/>
                <w:color w:val="000000"/>
                <w:sz w:val="20"/>
                <w:szCs w:val="20"/>
              </w:rPr>
              <w:t>Nawaloka</w:t>
            </w:r>
            <w:proofErr w:type="spellEnd"/>
          </w:p>
        </w:tc>
        <w:tc>
          <w:tcPr>
            <w:tcW w:w="903" w:type="dxa"/>
          </w:tcPr>
          <w:p w14:paraId="7612C4D8"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ROE (%)</w:t>
            </w:r>
          </w:p>
        </w:tc>
        <w:tc>
          <w:tcPr>
            <w:tcW w:w="1169" w:type="dxa"/>
          </w:tcPr>
          <w:p w14:paraId="4916882E"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-8.3</w:t>
            </w:r>
          </w:p>
        </w:tc>
        <w:tc>
          <w:tcPr>
            <w:tcW w:w="2073" w:type="dxa"/>
          </w:tcPr>
          <w:p w14:paraId="00733457"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+9.5</w:t>
            </w:r>
          </w:p>
        </w:tc>
        <w:tc>
          <w:tcPr>
            <w:tcW w:w="1116" w:type="dxa"/>
          </w:tcPr>
          <w:p w14:paraId="5EABA919"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+102%</w:t>
            </w:r>
          </w:p>
        </w:tc>
        <w:tc>
          <w:tcPr>
            <w:tcW w:w="2019" w:type="dxa"/>
          </w:tcPr>
          <w:p w14:paraId="7A830676"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Reversal to profitability</w:t>
            </w:r>
          </w:p>
        </w:tc>
      </w:tr>
      <w:tr w:rsidR="003A0C45" w:rsidRPr="003A0C45" w14:paraId="0C890431" w14:textId="77777777" w:rsidTr="00235B82">
        <w:tc>
          <w:tcPr>
            <w:tcW w:w="637" w:type="dxa"/>
          </w:tcPr>
          <w:p w14:paraId="684C1AFE" w14:textId="77777777" w:rsidR="003A0C45" w:rsidRPr="003A0C45" w:rsidRDefault="003A0C45" w:rsidP="003A0C45">
            <w:pPr>
              <w:spacing w:before="36" w:after="36"/>
              <w:rPr>
                <w:rFonts w:ascii="Arial" w:hAnsi="Arial" w:cs="Arial"/>
                <w:color w:val="000000"/>
                <w:sz w:val="20"/>
                <w:szCs w:val="20"/>
              </w:rPr>
            </w:pPr>
          </w:p>
        </w:tc>
        <w:tc>
          <w:tcPr>
            <w:tcW w:w="903" w:type="dxa"/>
          </w:tcPr>
          <w:p w14:paraId="4AB47177"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Net Margin (%)</w:t>
            </w:r>
          </w:p>
        </w:tc>
        <w:tc>
          <w:tcPr>
            <w:tcW w:w="1169" w:type="dxa"/>
          </w:tcPr>
          <w:p w14:paraId="0771D15A"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2.1</w:t>
            </w:r>
          </w:p>
        </w:tc>
        <w:tc>
          <w:tcPr>
            <w:tcW w:w="2073" w:type="dxa"/>
          </w:tcPr>
          <w:p w14:paraId="34792B7C"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8.7</w:t>
            </w:r>
          </w:p>
        </w:tc>
        <w:tc>
          <w:tcPr>
            <w:tcW w:w="1116" w:type="dxa"/>
          </w:tcPr>
          <w:p w14:paraId="2785F9F5"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+4.6 pp (+314% rel.)</w:t>
            </w:r>
          </w:p>
        </w:tc>
        <w:tc>
          <w:tcPr>
            <w:tcW w:w="2019" w:type="dxa"/>
          </w:tcPr>
          <w:p w14:paraId="59D2F189"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Strong margin expansion</w:t>
            </w:r>
          </w:p>
        </w:tc>
      </w:tr>
      <w:tr w:rsidR="003A0C45" w:rsidRPr="003A0C45" w14:paraId="6511456C" w14:textId="77777777" w:rsidTr="00235B82">
        <w:tc>
          <w:tcPr>
            <w:tcW w:w="637" w:type="dxa"/>
          </w:tcPr>
          <w:p w14:paraId="7F728318" w14:textId="77777777" w:rsidR="003A0C45" w:rsidRPr="003A0C45" w:rsidRDefault="003A0C45" w:rsidP="003A0C45">
            <w:pPr>
              <w:spacing w:before="36" w:after="36"/>
              <w:rPr>
                <w:rFonts w:ascii="Arial" w:hAnsi="Arial" w:cs="Arial"/>
                <w:color w:val="000000"/>
                <w:sz w:val="20"/>
                <w:szCs w:val="20"/>
              </w:rPr>
            </w:pPr>
          </w:p>
        </w:tc>
        <w:tc>
          <w:tcPr>
            <w:tcW w:w="903" w:type="dxa"/>
          </w:tcPr>
          <w:p w14:paraId="671C31DE"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Asset Turnover</w:t>
            </w:r>
          </w:p>
        </w:tc>
        <w:tc>
          <w:tcPr>
            <w:tcW w:w="1169" w:type="dxa"/>
          </w:tcPr>
          <w:p w14:paraId="3FB1FF1E"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1.18</w:t>
            </w:r>
          </w:p>
        </w:tc>
        <w:tc>
          <w:tcPr>
            <w:tcW w:w="2073" w:type="dxa"/>
          </w:tcPr>
          <w:p w14:paraId="2A950A33"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1.54</w:t>
            </w:r>
          </w:p>
        </w:tc>
        <w:tc>
          <w:tcPr>
            <w:tcW w:w="1116" w:type="dxa"/>
          </w:tcPr>
          <w:p w14:paraId="32B51A60"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+0.36 (+31%)</w:t>
            </w:r>
          </w:p>
        </w:tc>
        <w:tc>
          <w:tcPr>
            <w:tcW w:w="2019" w:type="dxa"/>
          </w:tcPr>
          <w:p w14:paraId="68C1922A"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Operational efficiency improvement</w:t>
            </w:r>
          </w:p>
        </w:tc>
      </w:tr>
      <w:tr w:rsidR="003A0C45" w:rsidRPr="003A0C45" w14:paraId="5FA10C8A" w14:textId="77777777" w:rsidTr="00235B82">
        <w:tc>
          <w:tcPr>
            <w:tcW w:w="637" w:type="dxa"/>
          </w:tcPr>
          <w:p w14:paraId="62A13D37" w14:textId="77777777" w:rsidR="003A0C45" w:rsidRPr="003A0C45" w:rsidRDefault="003A0C45" w:rsidP="003A0C45">
            <w:pPr>
              <w:spacing w:before="36" w:after="36"/>
              <w:rPr>
                <w:rFonts w:ascii="Arial" w:hAnsi="Arial" w:cs="Arial"/>
                <w:color w:val="000000"/>
                <w:sz w:val="20"/>
                <w:szCs w:val="20"/>
              </w:rPr>
            </w:pPr>
          </w:p>
        </w:tc>
        <w:tc>
          <w:tcPr>
            <w:tcW w:w="903" w:type="dxa"/>
          </w:tcPr>
          <w:p w14:paraId="5EB63FEB"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Equity Multiplier</w:t>
            </w:r>
          </w:p>
        </w:tc>
        <w:tc>
          <w:tcPr>
            <w:tcW w:w="1169" w:type="dxa"/>
          </w:tcPr>
          <w:p w14:paraId="10BF0B84"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1.67</w:t>
            </w:r>
          </w:p>
        </w:tc>
        <w:tc>
          <w:tcPr>
            <w:tcW w:w="2073" w:type="dxa"/>
          </w:tcPr>
          <w:p w14:paraId="0C298512"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1.67</w:t>
            </w:r>
          </w:p>
        </w:tc>
        <w:tc>
          <w:tcPr>
            <w:tcW w:w="1116" w:type="dxa"/>
          </w:tcPr>
          <w:p w14:paraId="2FE2CD45"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0.00</w:t>
            </w:r>
          </w:p>
        </w:tc>
        <w:tc>
          <w:tcPr>
            <w:tcW w:w="2019" w:type="dxa"/>
          </w:tcPr>
          <w:p w14:paraId="2AE99FB7"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Stable leverage; no excess risk-taking</w:t>
            </w:r>
          </w:p>
        </w:tc>
      </w:tr>
      <w:tr w:rsidR="003A0C45" w:rsidRPr="003A0C45" w14:paraId="4AA84AD3" w14:textId="77777777" w:rsidTr="00235B82">
        <w:tc>
          <w:tcPr>
            <w:tcW w:w="637" w:type="dxa"/>
          </w:tcPr>
          <w:p w14:paraId="406AFAE6" w14:textId="77777777" w:rsidR="003A0C45" w:rsidRPr="003A0C45" w:rsidRDefault="003A0C45" w:rsidP="003A0C45">
            <w:pPr>
              <w:spacing w:before="36" w:after="36"/>
              <w:rPr>
                <w:rFonts w:ascii="Arial" w:hAnsi="Arial" w:cs="Arial"/>
                <w:color w:val="000000"/>
                <w:sz w:val="20"/>
                <w:szCs w:val="20"/>
              </w:rPr>
            </w:pPr>
          </w:p>
        </w:tc>
        <w:tc>
          <w:tcPr>
            <w:tcW w:w="903" w:type="dxa"/>
          </w:tcPr>
          <w:p w14:paraId="6328318E"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Assessment</w:t>
            </w:r>
          </w:p>
        </w:tc>
        <w:tc>
          <w:tcPr>
            <w:tcW w:w="1169" w:type="dxa"/>
          </w:tcPr>
          <w:p w14:paraId="1801F2EC"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Pre-crisis deficit</w:t>
            </w:r>
          </w:p>
        </w:tc>
        <w:tc>
          <w:tcPr>
            <w:tcW w:w="2073" w:type="dxa"/>
          </w:tcPr>
          <w:p w14:paraId="1DD11583"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Balanced recovery</w:t>
            </w:r>
          </w:p>
        </w:tc>
        <w:tc>
          <w:tcPr>
            <w:tcW w:w="1116" w:type="dxa"/>
          </w:tcPr>
          <w:p w14:paraId="79330AE4"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Strongest position</w:t>
            </w:r>
          </w:p>
        </w:tc>
        <w:tc>
          <w:tcPr>
            <w:tcW w:w="2019" w:type="dxa"/>
          </w:tcPr>
          <w:p w14:paraId="3635D7E5"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Most sustainable improvement</w:t>
            </w:r>
          </w:p>
        </w:tc>
      </w:tr>
      <w:tr w:rsidR="003A0C45" w:rsidRPr="003A0C45" w14:paraId="774B5EE1" w14:textId="77777777" w:rsidTr="00235B82">
        <w:tc>
          <w:tcPr>
            <w:tcW w:w="637" w:type="dxa"/>
          </w:tcPr>
          <w:p w14:paraId="354B6A4D" w14:textId="77777777" w:rsidR="003A0C45" w:rsidRPr="003A0C45" w:rsidRDefault="003A0C45" w:rsidP="003A0C45">
            <w:pPr>
              <w:spacing w:before="36" w:after="36"/>
              <w:rPr>
                <w:rFonts w:ascii="Arial" w:hAnsi="Arial" w:cs="Arial"/>
                <w:color w:val="000000"/>
                <w:sz w:val="20"/>
                <w:szCs w:val="20"/>
              </w:rPr>
            </w:pPr>
          </w:p>
        </w:tc>
        <w:tc>
          <w:tcPr>
            <w:tcW w:w="903" w:type="dxa"/>
          </w:tcPr>
          <w:p w14:paraId="2939EA29" w14:textId="77777777" w:rsidR="003A0C45" w:rsidRPr="003A0C45" w:rsidRDefault="003A0C45" w:rsidP="003A0C45">
            <w:pPr>
              <w:spacing w:before="36" w:after="36"/>
              <w:rPr>
                <w:rFonts w:ascii="Arial" w:hAnsi="Arial" w:cs="Arial"/>
                <w:color w:val="000000"/>
                <w:sz w:val="20"/>
                <w:szCs w:val="20"/>
              </w:rPr>
            </w:pPr>
          </w:p>
        </w:tc>
        <w:tc>
          <w:tcPr>
            <w:tcW w:w="1169" w:type="dxa"/>
          </w:tcPr>
          <w:p w14:paraId="2DD8E6BC" w14:textId="77777777" w:rsidR="003A0C45" w:rsidRPr="003A0C45" w:rsidRDefault="003A0C45" w:rsidP="003A0C45">
            <w:pPr>
              <w:spacing w:before="36" w:after="36"/>
              <w:rPr>
                <w:rFonts w:ascii="Arial" w:hAnsi="Arial" w:cs="Arial"/>
                <w:color w:val="000000"/>
                <w:sz w:val="20"/>
                <w:szCs w:val="20"/>
              </w:rPr>
            </w:pPr>
          </w:p>
        </w:tc>
        <w:tc>
          <w:tcPr>
            <w:tcW w:w="2073" w:type="dxa"/>
          </w:tcPr>
          <w:p w14:paraId="75188AD8" w14:textId="77777777" w:rsidR="003A0C45" w:rsidRPr="003A0C45" w:rsidRDefault="003A0C45" w:rsidP="003A0C45">
            <w:pPr>
              <w:spacing w:before="36" w:after="36"/>
              <w:rPr>
                <w:rFonts w:ascii="Arial" w:hAnsi="Arial" w:cs="Arial"/>
                <w:color w:val="000000"/>
                <w:sz w:val="20"/>
                <w:szCs w:val="20"/>
              </w:rPr>
            </w:pPr>
          </w:p>
        </w:tc>
        <w:tc>
          <w:tcPr>
            <w:tcW w:w="1116" w:type="dxa"/>
          </w:tcPr>
          <w:p w14:paraId="4993646C" w14:textId="77777777" w:rsidR="003A0C45" w:rsidRPr="003A0C45" w:rsidRDefault="003A0C45" w:rsidP="003A0C45">
            <w:pPr>
              <w:spacing w:before="36" w:after="36"/>
              <w:rPr>
                <w:rFonts w:ascii="Arial" w:hAnsi="Arial" w:cs="Arial"/>
                <w:color w:val="000000"/>
                <w:sz w:val="20"/>
                <w:szCs w:val="20"/>
              </w:rPr>
            </w:pPr>
          </w:p>
        </w:tc>
        <w:tc>
          <w:tcPr>
            <w:tcW w:w="2019" w:type="dxa"/>
          </w:tcPr>
          <w:p w14:paraId="36806910" w14:textId="77777777" w:rsidR="003A0C45" w:rsidRPr="003A0C45" w:rsidRDefault="003A0C45" w:rsidP="003A0C45">
            <w:pPr>
              <w:spacing w:before="36" w:after="36"/>
              <w:rPr>
                <w:rFonts w:ascii="Arial" w:hAnsi="Arial" w:cs="Arial"/>
                <w:color w:val="000000"/>
                <w:sz w:val="20"/>
                <w:szCs w:val="20"/>
              </w:rPr>
            </w:pPr>
          </w:p>
        </w:tc>
      </w:tr>
      <w:tr w:rsidR="003A0C45" w:rsidRPr="003A0C45" w14:paraId="2E5E37EF" w14:textId="77777777" w:rsidTr="00235B82">
        <w:tc>
          <w:tcPr>
            <w:tcW w:w="637" w:type="dxa"/>
          </w:tcPr>
          <w:p w14:paraId="2183D64D" w14:textId="77777777" w:rsidR="003A0C45" w:rsidRPr="003A0C45" w:rsidRDefault="003A0C45" w:rsidP="003A0C45">
            <w:pPr>
              <w:spacing w:before="36" w:after="36"/>
              <w:rPr>
                <w:rFonts w:ascii="Arial" w:hAnsi="Arial" w:cs="Arial"/>
                <w:color w:val="000000"/>
                <w:sz w:val="20"/>
                <w:szCs w:val="20"/>
              </w:rPr>
            </w:pPr>
            <w:proofErr w:type="spellStart"/>
            <w:r w:rsidRPr="003A0C45">
              <w:rPr>
                <w:rFonts w:ascii="Arial" w:hAnsi="Arial" w:cs="Arial"/>
                <w:b/>
                <w:bCs/>
                <w:color w:val="000000"/>
                <w:sz w:val="20"/>
                <w:szCs w:val="20"/>
              </w:rPr>
              <w:t>Asiri</w:t>
            </w:r>
            <w:proofErr w:type="spellEnd"/>
          </w:p>
        </w:tc>
        <w:tc>
          <w:tcPr>
            <w:tcW w:w="903" w:type="dxa"/>
          </w:tcPr>
          <w:p w14:paraId="59C1057D"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ROE (%)</w:t>
            </w:r>
          </w:p>
        </w:tc>
        <w:tc>
          <w:tcPr>
            <w:tcW w:w="1169" w:type="dxa"/>
          </w:tcPr>
          <w:p w14:paraId="5CFC6B1E"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9.2</w:t>
            </w:r>
          </w:p>
        </w:tc>
        <w:tc>
          <w:tcPr>
            <w:tcW w:w="2073" w:type="dxa"/>
          </w:tcPr>
          <w:p w14:paraId="5AA64E84"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4.5</w:t>
            </w:r>
          </w:p>
        </w:tc>
        <w:tc>
          <w:tcPr>
            <w:tcW w:w="1116" w:type="dxa"/>
          </w:tcPr>
          <w:p w14:paraId="391EF805"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-51%</w:t>
            </w:r>
          </w:p>
        </w:tc>
        <w:tc>
          <w:tcPr>
            <w:tcW w:w="2019" w:type="dxa"/>
          </w:tcPr>
          <w:p w14:paraId="741D9807"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Significant deterioration</w:t>
            </w:r>
          </w:p>
        </w:tc>
      </w:tr>
      <w:tr w:rsidR="003A0C45" w:rsidRPr="003A0C45" w14:paraId="1F2BEEF7" w14:textId="77777777" w:rsidTr="00235B82">
        <w:tc>
          <w:tcPr>
            <w:tcW w:w="637" w:type="dxa"/>
          </w:tcPr>
          <w:p w14:paraId="6F949B2C" w14:textId="77777777" w:rsidR="003A0C45" w:rsidRPr="003A0C45" w:rsidRDefault="003A0C45" w:rsidP="003A0C45">
            <w:pPr>
              <w:spacing w:before="36" w:after="36"/>
              <w:rPr>
                <w:rFonts w:ascii="Arial" w:hAnsi="Arial" w:cs="Arial"/>
                <w:color w:val="000000"/>
                <w:sz w:val="20"/>
                <w:szCs w:val="20"/>
              </w:rPr>
            </w:pPr>
          </w:p>
        </w:tc>
        <w:tc>
          <w:tcPr>
            <w:tcW w:w="903" w:type="dxa"/>
          </w:tcPr>
          <w:p w14:paraId="3311CE89"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Net Margin (%)</w:t>
            </w:r>
          </w:p>
        </w:tc>
        <w:tc>
          <w:tcPr>
            <w:tcW w:w="1169" w:type="dxa"/>
          </w:tcPr>
          <w:p w14:paraId="4D2D38CF"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6.8</w:t>
            </w:r>
          </w:p>
        </w:tc>
        <w:tc>
          <w:tcPr>
            <w:tcW w:w="2073" w:type="dxa"/>
          </w:tcPr>
          <w:p w14:paraId="5AE92B46"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4.2</w:t>
            </w:r>
          </w:p>
        </w:tc>
        <w:tc>
          <w:tcPr>
            <w:tcW w:w="1116" w:type="dxa"/>
          </w:tcPr>
          <w:p w14:paraId="3E2E009C"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-2.6 pp (-38%)</w:t>
            </w:r>
          </w:p>
        </w:tc>
        <w:tc>
          <w:tcPr>
            <w:tcW w:w="2019" w:type="dxa"/>
          </w:tcPr>
          <w:p w14:paraId="05DA34E5"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Margin compression</w:t>
            </w:r>
          </w:p>
        </w:tc>
      </w:tr>
      <w:tr w:rsidR="003A0C45" w:rsidRPr="003A0C45" w14:paraId="559C9D58" w14:textId="77777777" w:rsidTr="00235B82">
        <w:tc>
          <w:tcPr>
            <w:tcW w:w="637" w:type="dxa"/>
          </w:tcPr>
          <w:p w14:paraId="737B2EED" w14:textId="77777777" w:rsidR="003A0C45" w:rsidRPr="003A0C45" w:rsidRDefault="003A0C45" w:rsidP="003A0C45">
            <w:pPr>
              <w:spacing w:before="36" w:after="36"/>
              <w:rPr>
                <w:rFonts w:ascii="Arial" w:hAnsi="Arial" w:cs="Arial"/>
                <w:color w:val="000000"/>
                <w:sz w:val="20"/>
                <w:szCs w:val="20"/>
              </w:rPr>
            </w:pPr>
          </w:p>
        </w:tc>
        <w:tc>
          <w:tcPr>
            <w:tcW w:w="903" w:type="dxa"/>
          </w:tcPr>
          <w:p w14:paraId="57C438F3"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Asset Turnover</w:t>
            </w:r>
          </w:p>
        </w:tc>
        <w:tc>
          <w:tcPr>
            <w:tcW w:w="1169" w:type="dxa"/>
          </w:tcPr>
          <w:p w14:paraId="1DC9B00D"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1.22</w:t>
            </w:r>
          </w:p>
        </w:tc>
        <w:tc>
          <w:tcPr>
            <w:tcW w:w="2073" w:type="dxa"/>
          </w:tcPr>
          <w:p w14:paraId="5D739A2B"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0.98</w:t>
            </w:r>
          </w:p>
        </w:tc>
        <w:tc>
          <w:tcPr>
            <w:tcW w:w="1116" w:type="dxa"/>
          </w:tcPr>
          <w:p w14:paraId="36EE4D59"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-0.24 (-20%)</w:t>
            </w:r>
          </w:p>
        </w:tc>
        <w:tc>
          <w:tcPr>
            <w:tcW w:w="2019" w:type="dxa"/>
          </w:tcPr>
          <w:p w14:paraId="6F1A0E1F"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Efficiency collapse</w:t>
            </w:r>
          </w:p>
        </w:tc>
      </w:tr>
      <w:tr w:rsidR="003A0C45" w:rsidRPr="003A0C45" w14:paraId="249C933D" w14:textId="77777777" w:rsidTr="00235B82">
        <w:tc>
          <w:tcPr>
            <w:tcW w:w="637" w:type="dxa"/>
          </w:tcPr>
          <w:p w14:paraId="744D09F7" w14:textId="77777777" w:rsidR="003A0C45" w:rsidRPr="003A0C45" w:rsidRDefault="003A0C45" w:rsidP="003A0C45">
            <w:pPr>
              <w:spacing w:before="36" w:after="36"/>
              <w:rPr>
                <w:rFonts w:ascii="Arial" w:hAnsi="Arial" w:cs="Arial"/>
                <w:color w:val="000000"/>
                <w:sz w:val="20"/>
                <w:szCs w:val="20"/>
              </w:rPr>
            </w:pPr>
          </w:p>
        </w:tc>
        <w:tc>
          <w:tcPr>
            <w:tcW w:w="903" w:type="dxa"/>
          </w:tcPr>
          <w:p w14:paraId="4A843022"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Equity Multiplier</w:t>
            </w:r>
          </w:p>
        </w:tc>
        <w:tc>
          <w:tcPr>
            <w:tcW w:w="1169" w:type="dxa"/>
          </w:tcPr>
          <w:p w14:paraId="4C37554D"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1.67</w:t>
            </w:r>
          </w:p>
        </w:tc>
        <w:tc>
          <w:tcPr>
            <w:tcW w:w="2073" w:type="dxa"/>
          </w:tcPr>
          <w:p w14:paraId="01D059B9"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1.78</w:t>
            </w:r>
          </w:p>
        </w:tc>
        <w:tc>
          <w:tcPr>
            <w:tcW w:w="1116" w:type="dxa"/>
          </w:tcPr>
          <w:p w14:paraId="310EAD27"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+0.11</w:t>
            </w:r>
          </w:p>
        </w:tc>
        <w:tc>
          <w:tcPr>
            <w:tcW w:w="2019" w:type="dxa"/>
          </w:tcPr>
          <w:p w14:paraId="1B158BB0"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Leverage increase (+6.6%)</w:t>
            </w:r>
          </w:p>
        </w:tc>
      </w:tr>
      <w:tr w:rsidR="003A0C45" w:rsidRPr="003A0C45" w14:paraId="14A35442" w14:textId="77777777" w:rsidTr="00235B82">
        <w:tc>
          <w:tcPr>
            <w:tcW w:w="637" w:type="dxa"/>
          </w:tcPr>
          <w:p w14:paraId="25C95CC2" w14:textId="77777777" w:rsidR="003A0C45" w:rsidRPr="003A0C45" w:rsidRDefault="003A0C45" w:rsidP="003A0C45">
            <w:pPr>
              <w:spacing w:before="36" w:after="36"/>
              <w:rPr>
                <w:rFonts w:ascii="Arial" w:hAnsi="Arial" w:cs="Arial"/>
                <w:color w:val="000000"/>
                <w:sz w:val="20"/>
                <w:szCs w:val="20"/>
              </w:rPr>
            </w:pPr>
          </w:p>
        </w:tc>
        <w:tc>
          <w:tcPr>
            <w:tcW w:w="903" w:type="dxa"/>
          </w:tcPr>
          <w:p w14:paraId="38F850E6"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Assessment</w:t>
            </w:r>
          </w:p>
        </w:tc>
        <w:tc>
          <w:tcPr>
            <w:tcW w:w="1169" w:type="dxa"/>
          </w:tcPr>
          <w:p w14:paraId="294459E7"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Adequate profitability</w:t>
            </w:r>
          </w:p>
        </w:tc>
        <w:tc>
          <w:tcPr>
            <w:tcW w:w="2073" w:type="dxa"/>
          </w:tcPr>
          <w:p w14:paraId="3E39BE4C"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Multiple deteriorations</w:t>
            </w:r>
          </w:p>
        </w:tc>
        <w:tc>
          <w:tcPr>
            <w:tcW w:w="1116" w:type="dxa"/>
          </w:tcPr>
          <w:p w14:paraId="4846391C"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Unsustainable decline</w:t>
            </w:r>
          </w:p>
        </w:tc>
        <w:tc>
          <w:tcPr>
            <w:tcW w:w="2019" w:type="dxa"/>
          </w:tcPr>
          <w:p w14:paraId="4909B64C"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Highest leverage increase</w:t>
            </w:r>
          </w:p>
        </w:tc>
      </w:tr>
      <w:tr w:rsidR="003A0C45" w:rsidRPr="003A0C45" w14:paraId="732E5238" w14:textId="77777777" w:rsidTr="00235B82">
        <w:tc>
          <w:tcPr>
            <w:tcW w:w="637" w:type="dxa"/>
          </w:tcPr>
          <w:p w14:paraId="58E428DD" w14:textId="77777777" w:rsidR="003A0C45" w:rsidRPr="003A0C45" w:rsidRDefault="003A0C45" w:rsidP="003A0C45">
            <w:pPr>
              <w:spacing w:before="36" w:after="36"/>
              <w:rPr>
                <w:rFonts w:ascii="Arial" w:hAnsi="Arial" w:cs="Arial"/>
                <w:color w:val="000000"/>
                <w:sz w:val="20"/>
                <w:szCs w:val="20"/>
              </w:rPr>
            </w:pPr>
          </w:p>
        </w:tc>
        <w:tc>
          <w:tcPr>
            <w:tcW w:w="903" w:type="dxa"/>
          </w:tcPr>
          <w:p w14:paraId="44008BAA" w14:textId="77777777" w:rsidR="003A0C45" w:rsidRPr="003A0C45" w:rsidRDefault="003A0C45" w:rsidP="003A0C45">
            <w:pPr>
              <w:spacing w:before="36" w:after="36"/>
              <w:rPr>
                <w:rFonts w:ascii="Arial" w:hAnsi="Arial" w:cs="Arial"/>
                <w:color w:val="000000"/>
                <w:sz w:val="20"/>
                <w:szCs w:val="20"/>
              </w:rPr>
            </w:pPr>
          </w:p>
        </w:tc>
        <w:tc>
          <w:tcPr>
            <w:tcW w:w="1169" w:type="dxa"/>
          </w:tcPr>
          <w:p w14:paraId="63FAC961" w14:textId="77777777" w:rsidR="003A0C45" w:rsidRPr="003A0C45" w:rsidRDefault="003A0C45" w:rsidP="003A0C45">
            <w:pPr>
              <w:spacing w:before="36" w:after="36"/>
              <w:rPr>
                <w:rFonts w:ascii="Arial" w:hAnsi="Arial" w:cs="Arial"/>
                <w:color w:val="000000"/>
                <w:sz w:val="20"/>
                <w:szCs w:val="20"/>
              </w:rPr>
            </w:pPr>
          </w:p>
        </w:tc>
        <w:tc>
          <w:tcPr>
            <w:tcW w:w="2073" w:type="dxa"/>
          </w:tcPr>
          <w:p w14:paraId="270C792A" w14:textId="77777777" w:rsidR="003A0C45" w:rsidRPr="003A0C45" w:rsidRDefault="003A0C45" w:rsidP="003A0C45">
            <w:pPr>
              <w:spacing w:before="36" w:after="36"/>
              <w:rPr>
                <w:rFonts w:ascii="Arial" w:hAnsi="Arial" w:cs="Arial"/>
                <w:color w:val="000000"/>
                <w:sz w:val="20"/>
                <w:szCs w:val="20"/>
              </w:rPr>
            </w:pPr>
          </w:p>
        </w:tc>
        <w:tc>
          <w:tcPr>
            <w:tcW w:w="1116" w:type="dxa"/>
          </w:tcPr>
          <w:p w14:paraId="2490FB74" w14:textId="77777777" w:rsidR="003A0C45" w:rsidRPr="003A0C45" w:rsidRDefault="003A0C45" w:rsidP="003A0C45">
            <w:pPr>
              <w:spacing w:before="36" w:after="36"/>
              <w:rPr>
                <w:rFonts w:ascii="Arial" w:hAnsi="Arial" w:cs="Arial"/>
                <w:color w:val="000000"/>
                <w:sz w:val="20"/>
                <w:szCs w:val="20"/>
              </w:rPr>
            </w:pPr>
          </w:p>
        </w:tc>
        <w:tc>
          <w:tcPr>
            <w:tcW w:w="2019" w:type="dxa"/>
          </w:tcPr>
          <w:p w14:paraId="690B57A5" w14:textId="77777777" w:rsidR="003A0C45" w:rsidRPr="003A0C45" w:rsidRDefault="003A0C45" w:rsidP="003A0C45">
            <w:pPr>
              <w:spacing w:before="36" w:after="36"/>
              <w:rPr>
                <w:rFonts w:ascii="Arial" w:hAnsi="Arial" w:cs="Arial"/>
                <w:color w:val="000000"/>
                <w:sz w:val="20"/>
                <w:szCs w:val="20"/>
              </w:rPr>
            </w:pPr>
          </w:p>
        </w:tc>
      </w:tr>
      <w:tr w:rsidR="003A0C45" w:rsidRPr="003A0C45" w14:paraId="781F1FC0" w14:textId="77777777" w:rsidTr="00235B82">
        <w:tc>
          <w:tcPr>
            <w:tcW w:w="637" w:type="dxa"/>
          </w:tcPr>
          <w:p w14:paraId="53152328" w14:textId="77777777" w:rsidR="003A0C45" w:rsidRPr="003A0C45" w:rsidRDefault="003A0C45" w:rsidP="003A0C45">
            <w:pPr>
              <w:spacing w:before="36" w:after="36"/>
              <w:rPr>
                <w:rFonts w:ascii="Arial" w:hAnsi="Arial" w:cs="Arial"/>
                <w:color w:val="000000"/>
                <w:sz w:val="20"/>
                <w:szCs w:val="20"/>
              </w:rPr>
            </w:pPr>
            <w:proofErr w:type="spellStart"/>
            <w:r w:rsidRPr="003A0C45">
              <w:rPr>
                <w:rFonts w:ascii="Arial" w:hAnsi="Arial" w:cs="Arial"/>
                <w:b/>
                <w:bCs/>
                <w:color w:val="000000"/>
                <w:sz w:val="20"/>
                <w:szCs w:val="20"/>
              </w:rPr>
              <w:t>Hemas</w:t>
            </w:r>
            <w:proofErr w:type="spellEnd"/>
          </w:p>
        </w:tc>
        <w:tc>
          <w:tcPr>
            <w:tcW w:w="903" w:type="dxa"/>
          </w:tcPr>
          <w:p w14:paraId="6CF29643"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ROE (%)</w:t>
            </w:r>
          </w:p>
        </w:tc>
        <w:tc>
          <w:tcPr>
            <w:tcW w:w="1169" w:type="dxa"/>
          </w:tcPr>
          <w:p w14:paraId="317B7549"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6.8</w:t>
            </w:r>
          </w:p>
        </w:tc>
        <w:tc>
          <w:tcPr>
            <w:tcW w:w="2073" w:type="dxa"/>
          </w:tcPr>
          <w:p w14:paraId="684F4F8D"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4.5</w:t>
            </w:r>
          </w:p>
        </w:tc>
        <w:tc>
          <w:tcPr>
            <w:tcW w:w="1116" w:type="dxa"/>
          </w:tcPr>
          <w:p w14:paraId="45ABD2DA"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-33%</w:t>
            </w:r>
          </w:p>
        </w:tc>
        <w:tc>
          <w:tcPr>
            <w:tcW w:w="2019" w:type="dxa"/>
          </w:tcPr>
          <w:p w14:paraId="6BC4CDFC"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Moderate-severe deterioration</w:t>
            </w:r>
          </w:p>
        </w:tc>
      </w:tr>
      <w:tr w:rsidR="003A0C45" w:rsidRPr="003A0C45" w14:paraId="47F342D2" w14:textId="77777777" w:rsidTr="00235B82">
        <w:tc>
          <w:tcPr>
            <w:tcW w:w="637" w:type="dxa"/>
          </w:tcPr>
          <w:p w14:paraId="5D11F578" w14:textId="77777777" w:rsidR="003A0C45" w:rsidRPr="003A0C45" w:rsidRDefault="003A0C45" w:rsidP="003A0C45">
            <w:pPr>
              <w:spacing w:before="36" w:after="36"/>
              <w:rPr>
                <w:rFonts w:ascii="Arial" w:hAnsi="Arial" w:cs="Arial"/>
                <w:color w:val="000000"/>
                <w:sz w:val="20"/>
                <w:szCs w:val="20"/>
              </w:rPr>
            </w:pPr>
          </w:p>
        </w:tc>
        <w:tc>
          <w:tcPr>
            <w:tcW w:w="903" w:type="dxa"/>
          </w:tcPr>
          <w:p w14:paraId="1502EC04"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Net Margin (%)</w:t>
            </w:r>
          </w:p>
        </w:tc>
        <w:tc>
          <w:tcPr>
            <w:tcW w:w="1169" w:type="dxa"/>
          </w:tcPr>
          <w:p w14:paraId="2C250CC0"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5.2</w:t>
            </w:r>
          </w:p>
        </w:tc>
        <w:tc>
          <w:tcPr>
            <w:tcW w:w="2073" w:type="dxa"/>
          </w:tcPr>
          <w:p w14:paraId="2466FD8A"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6.1</w:t>
            </w:r>
          </w:p>
        </w:tc>
        <w:tc>
          <w:tcPr>
            <w:tcW w:w="1116" w:type="dxa"/>
          </w:tcPr>
          <w:p w14:paraId="1E195E2B"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+0.9 pp (+17%)</w:t>
            </w:r>
          </w:p>
        </w:tc>
        <w:tc>
          <w:tcPr>
            <w:tcW w:w="2019" w:type="dxa"/>
          </w:tcPr>
          <w:p w14:paraId="4E3E5297"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Modest improvement insufficient</w:t>
            </w:r>
          </w:p>
        </w:tc>
      </w:tr>
      <w:tr w:rsidR="003A0C45" w:rsidRPr="003A0C45" w14:paraId="361CAEDD" w14:textId="77777777" w:rsidTr="00235B82">
        <w:tc>
          <w:tcPr>
            <w:tcW w:w="637" w:type="dxa"/>
          </w:tcPr>
          <w:p w14:paraId="5A575591" w14:textId="77777777" w:rsidR="003A0C45" w:rsidRPr="003A0C45" w:rsidRDefault="003A0C45" w:rsidP="003A0C45">
            <w:pPr>
              <w:spacing w:before="36" w:after="36"/>
              <w:rPr>
                <w:rFonts w:ascii="Arial" w:hAnsi="Arial" w:cs="Arial"/>
                <w:color w:val="000000"/>
                <w:sz w:val="20"/>
                <w:szCs w:val="20"/>
              </w:rPr>
            </w:pPr>
          </w:p>
        </w:tc>
        <w:tc>
          <w:tcPr>
            <w:tcW w:w="903" w:type="dxa"/>
          </w:tcPr>
          <w:p w14:paraId="637A8F5D"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Asset Turnover</w:t>
            </w:r>
          </w:p>
        </w:tc>
        <w:tc>
          <w:tcPr>
            <w:tcW w:w="1169" w:type="dxa"/>
          </w:tcPr>
          <w:p w14:paraId="6FDACE01"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1.15</w:t>
            </w:r>
          </w:p>
        </w:tc>
        <w:tc>
          <w:tcPr>
            <w:tcW w:w="2073" w:type="dxa"/>
          </w:tcPr>
          <w:p w14:paraId="381DF9CB"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0.88</w:t>
            </w:r>
          </w:p>
        </w:tc>
        <w:tc>
          <w:tcPr>
            <w:tcW w:w="1116" w:type="dxa"/>
          </w:tcPr>
          <w:p w14:paraId="7104BD48"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-0.27 (-23%)</w:t>
            </w:r>
          </w:p>
        </w:tc>
        <w:tc>
          <w:tcPr>
            <w:tcW w:w="2019" w:type="dxa"/>
          </w:tcPr>
          <w:p w14:paraId="5DDE5982"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Sector-worst efficiency collapse</w:t>
            </w:r>
          </w:p>
        </w:tc>
      </w:tr>
      <w:tr w:rsidR="003A0C45" w:rsidRPr="003A0C45" w14:paraId="28309AE1" w14:textId="77777777" w:rsidTr="00235B82">
        <w:tc>
          <w:tcPr>
            <w:tcW w:w="637" w:type="dxa"/>
          </w:tcPr>
          <w:p w14:paraId="056D1793" w14:textId="77777777" w:rsidR="003A0C45" w:rsidRPr="003A0C45" w:rsidRDefault="003A0C45" w:rsidP="003A0C45">
            <w:pPr>
              <w:spacing w:before="36" w:after="36"/>
              <w:rPr>
                <w:rFonts w:ascii="Arial" w:hAnsi="Arial" w:cs="Arial"/>
                <w:color w:val="000000"/>
                <w:sz w:val="20"/>
                <w:szCs w:val="20"/>
              </w:rPr>
            </w:pPr>
          </w:p>
        </w:tc>
        <w:tc>
          <w:tcPr>
            <w:tcW w:w="903" w:type="dxa"/>
          </w:tcPr>
          <w:p w14:paraId="452E1A39"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Equity Multiplier</w:t>
            </w:r>
          </w:p>
        </w:tc>
        <w:tc>
          <w:tcPr>
            <w:tcW w:w="1169" w:type="dxa"/>
          </w:tcPr>
          <w:p w14:paraId="14B0E2EA"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1.67</w:t>
            </w:r>
          </w:p>
        </w:tc>
        <w:tc>
          <w:tcPr>
            <w:tcW w:w="2073" w:type="dxa"/>
          </w:tcPr>
          <w:p w14:paraId="60FDD531"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1.82</w:t>
            </w:r>
          </w:p>
        </w:tc>
        <w:tc>
          <w:tcPr>
            <w:tcW w:w="1116" w:type="dxa"/>
          </w:tcPr>
          <w:p w14:paraId="04E89CC2"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+0.15</w:t>
            </w:r>
          </w:p>
        </w:tc>
        <w:tc>
          <w:tcPr>
            <w:tcW w:w="2019" w:type="dxa"/>
          </w:tcPr>
          <w:p w14:paraId="6AD27DCA"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Highest leverage increase (+9.0%)</w:t>
            </w:r>
          </w:p>
        </w:tc>
      </w:tr>
      <w:tr w:rsidR="003A0C45" w:rsidRPr="003A0C45" w14:paraId="6CF5D1AC" w14:textId="77777777" w:rsidTr="00235B82">
        <w:tc>
          <w:tcPr>
            <w:tcW w:w="637" w:type="dxa"/>
          </w:tcPr>
          <w:p w14:paraId="6BB2842D" w14:textId="77777777" w:rsidR="003A0C45" w:rsidRPr="003A0C45" w:rsidRDefault="003A0C45" w:rsidP="003A0C45">
            <w:pPr>
              <w:spacing w:before="36" w:after="36"/>
              <w:rPr>
                <w:rFonts w:ascii="Arial" w:hAnsi="Arial" w:cs="Arial"/>
                <w:color w:val="000000"/>
                <w:sz w:val="20"/>
                <w:szCs w:val="20"/>
              </w:rPr>
            </w:pPr>
          </w:p>
        </w:tc>
        <w:tc>
          <w:tcPr>
            <w:tcW w:w="903" w:type="dxa"/>
          </w:tcPr>
          <w:p w14:paraId="3A859567"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Assessment</w:t>
            </w:r>
          </w:p>
        </w:tc>
        <w:tc>
          <w:tcPr>
            <w:tcW w:w="1169" w:type="dxa"/>
          </w:tcPr>
          <w:p w14:paraId="31C16F5A"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Moderate profitability</w:t>
            </w:r>
          </w:p>
        </w:tc>
        <w:tc>
          <w:tcPr>
            <w:tcW w:w="2073" w:type="dxa"/>
          </w:tcPr>
          <w:p w14:paraId="64D9AEDA"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Margin gains negated by efficiency loss</w:t>
            </w:r>
          </w:p>
        </w:tc>
        <w:tc>
          <w:tcPr>
            <w:tcW w:w="1116" w:type="dxa"/>
          </w:tcPr>
          <w:p w14:paraId="0E15D543"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Worst asset turnover</w:t>
            </w:r>
          </w:p>
        </w:tc>
        <w:tc>
          <w:tcPr>
            <w:tcW w:w="2019" w:type="dxa"/>
          </w:tcPr>
          <w:p w14:paraId="76A32CAD"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Highest distress risk</w:t>
            </w:r>
          </w:p>
        </w:tc>
      </w:tr>
    </w:tbl>
    <w:p w14:paraId="2D7991D2"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i/>
          <w:iCs/>
          <w:color w:val="000000"/>
        </w:rPr>
        <w:t xml:space="preserve">ROE = Net Profit Margin × Asset Turnover × Equity Multiplier. Pre-COVID: 2015-2019 average. Post-COVID: 2020-2021 average. pp = percentage points; rel. = relative. KEY FINDING: Asset turnover deterioration (not margin compression) is dominant negative force. </w:t>
      </w:r>
      <w:proofErr w:type="spellStart"/>
      <w:r w:rsidRPr="003A0C45">
        <w:rPr>
          <w:rFonts w:ascii="Arial" w:eastAsia="Aptos" w:hAnsi="Arial" w:cs="Arial"/>
          <w:i/>
          <w:iCs/>
          <w:color w:val="000000"/>
        </w:rPr>
        <w:t>Nawaloka</w:t>
      </w:r>
      <w:proofErr w:type="spellEnd"/>
      <w:r w:rsidRPr="003A0C45">
        <w:rPr>
          <w:rFonts w:ascii="Arial" w:eastAsia="Aptos" w:hAnsi="Arial" w:cs="Arial"/>
          <w:i/>
          <w:iCs/>
          <w:color w:val="000000"/>
        </w:rPr>
        <w:t xml:space="preserve"> balanced margin and efficiency improvements. </w:t>
      </w:r>
      <w:proofErr w:type="spellStart"/>
      <w:r w:rsidRPr="003A0C45">
        <w:rPr>
          <w:rFonts w:ascii="Arial" w:eastAsia="Aptos" w:hAnsi="Arial" w:cs="Arial"/>
          <w:i/>
          <w:iCs/>
          <w:color w:val="000000"/>
        </w:rPr>
        <w:t>Asiri</w:t>
      </w:r>
      <w:proofErr w:type="spellEnd"/>
      <w:r w:rsidRPr="003A0C45">
        <w:rPr>
          <w:rFonts w:ascii="Arial" w:eastAsia="Aptos" w:hAnsi="Arial" w:cs="Arial"/>
          <w:i/>
          <w:iCs/>
          <w:color w:val="000000"/>
        </w:rPr>
        <w:t xml:space="preserve"> and </w:t>
      </w:r>
      <w:proofErr w:type="spellStart"/>
      <w:r w:rsidRPr="003A0C45">
        <w:rPr>
          <w:rFonts w:ascii="Arial" w:eastAsia="Aptos" w:hAnsi="Arial" w:cs="Arial"/>
          <w:i/>
          <w:iCs/>
          <w:color w:val="000000"/>
        </w:rPr>
        <w:t>Hemas</w:t>
      </w:r>
      <w:proofErr w:type="spellEnd"/>
      <w:r w:rsidRPr="003A0C45">
        <w:rPr>
          <w:rFonts w:ascii="Arial" w:eastAsia="Aptos" w:hAnsi="Arial" w:cs="Arial"/>
          <w:i/>
          <w:iCs/>
          <w:color w:val="000000"/>
        </w:rPr>
        <w:t xml:space="preserve"> experienced severe asset turnover collapse. Leverage increases in </w:t>
      </w:r>
      <w:proofErr w:type="spellStart"/>
      <w:r w:rsidRPr="003A0C45">
        <w:rPr>
          <w:rFonts w:ascii="Arial" w:eastAsia="Aptos" w:hAnsi="Arial" w:cs="Arial"/>
          <w:i/>
          <w:iCs/>
          <w:color w:val="000000"/>
        </w:rPr>
        <w:t>Asiri</w:t>
      </w:r>
      <w:proofErr w:type="spellEnd"/>
      <w:r w:rsidRPr="003A0C45">
        <w:rPr>
          <w:rFonts w:ascii="Arial" w:eastAsia="Aptos" w:hAnsi="Arial" w:cs="Arial"/>
          <w:i/>
          <w:iCs/>
          <w:color w:val="000000"/>
        </w:rPr>
        <w:t xml:space="preserve"> (+0.11) and </w:t>
      </w:r>
      <w:proofErr w:type="spellStart"/>
      <w:r w:rsidRPr="003A0C45">
        <w:rPr>
          <w:rFonts w:ascii="Arial" w:eastAsia="Aptos" w:hAnsi="Arial" w:cs="Arial"/>
          <w:i/>
          <w:iCs/>
          <w:color w:val="000000"/>
        </w:rPr>
        <w:t>Hemas</w:t>
      </w:r>
      <w:proofErr w:type="spellEnd"/>
      <w:r w:rsidRPr="003A0C45">
        <w:rPr>
          <w:rFonts w:ascii="Arial" w:eastAsia="Aptos" w:hAnsi="Arial" w:cs="Arial"/>
          <w:i/>
          <w:iCs/>
          <w:color w:val="000000"/>
        </w:rPr>
        <w:t xml:space="preserve"> (+0.15) indicate financial stress response, elevating default risk.</w:t>
      </w:r>
    </w:p>
    <w:p w14:paraId="2BDBF324"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3.4 Receivable Days and Collections Efficiency</w:t>
      </w:r>
    </w:p>
    <w:p w14:paraId="300B7B5B"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 xml:space="preserve">Collections efficiency diverged markedly across institutions (Table 4). </w:t>
      </w:r>
      <w:proofErr w:type="spellStart"/>
      <w:r w:rsidRPr="003A0C45">
        <w:rPr>
          <w:rFonts w:ascii="Arial" w:eastAsia="Aptos" w:hAnsi="Arial" w:cs="Arial"/>
          <w:color w:val="000000"/>
        </w:rPr>
        <w:t>Nawaloka's</w:t>
      </w:r>
      <w:proofErr w:type="spellEnd"/>
      <w:r w:rsidRPr="003A0C45">
        <w:rPr>
          <w:rFonts w:ascii="Arial" w:eastAsia="Aptos" w:hAnsi="Arial" w:cs="Arial"/>
          <w:color w:val="000000"/>
        </w:rPr>
        <w:t xml:space="preserve"> receivable days increased from 32 to 42 days (+10 days, +31% deterioration), reflecting collection timing extension during pandemic.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demonstrated improved collections efficiency, declining from 35 to 22 days (-13 days, -37% improvement)—the only institution showing collection efficiency gains during pandemic. This paradoxical improvement during crisis period suggested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implemented aggressive collection protocols or shifted toward higher-paying patient categories (Mackey et al., 2021).</w:t>
      </w:r>
    </w:p>
    <w:p w14:paraId="43880C47" w14:textId="77777777" w:rsidR="003A0C45" w:rsidRPr="003A0C45" w:rsidRDefault="003A0C45" w:rsidP="003A0C45">
      <w:pPr>
        <w:spacing w:before="180" w:after="180"/>
        <w:rPr>
          <w:rFonts w:ascii="Arial" w:eastAsia="Aptos" w:hAnsi="Arial" w:cs="Arial"/>
          <w:color w:val="000000"/>
        </w:rPr>
      </w:pP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receivable days deteriorated from 28 to 38 days (+10 days, +36% deterioration), comparable to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but from different baseline. Collections efficiency patterns revealed that pandemic did not uniformly impair cash conversion cycles; </w:t>
      </w:r>
      <w:proofErr w:type="spellStart"/>
      <w:r w:rsidRPr="003A0C45">
        <w:rPr>
          <w:rFonts w:ascii="Arial" w:eastAsia="Aptos" w:hAnsi="Arial" w:cs="Arial"/>
          <w:color w:val="000000"/>
        </w:rPr>
        <w:t>Asiri's</w:t>
      </w:r>
      <w:proofErr w:type="spellEnd"/>
      <w:r w:rsidRPr="003A0C45">
        <w:rPr>
          <w:rFonts w:ascii="Arial" w:eastAsia="Aptos" w:hAnsi="Arial" w:cs="Arial"/>
          <w:color w:val="000000"/>
        </w:rPr>
        <w:t xml:space="preserve"> collection improvement despite operational challenges suggested structural response mechanisms differing from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and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w:t>
      </w:r>
    </w:p>
    <w:p w14:paraId="554BDECD"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Table 4. Receivable Days &amp; Collections Efficiency</w:t>
      </w:r>
    </w:p>
    <w:tbl>
      <w:tblPr>
        <w:tblStyle w:val="Table"/>
        <w:tblW w:w="5000" w:type="pct"/>
        <w:tblLayout w:type="fixed"/>
        <w:tblLook w:val="0020" w:firstRow="1" w:lastRow="0" w:firstColumn="0" w:lastColumn="0" w:noHBand="0" w:noVBand="0"/>
      </w:tblPr>
      <w:tblGrid>
        <w:gridCol w:w="1467"/>
        <w:gridCol w:w="1794"/>
        <w:gridCol w:w="1849"/>
        <w:gridCol w:w="924"/>
        <w:gridCol w:w="761"/>
        <w:gridCol w:w="1413"/>
      </w:tblGrid>
      <w:tr w:rsidR="003A0C45" w:rsidRPr="003A0C45" w14:paraId="3F8BA164" w14:textId="77777777" w:rsidTr="00235B82">
        <w:trPr>
          <w:cnfStyle w:val="100000000000" w:firstRow="1" w:lastRow="0" w:firstColumn="0" w:lastColumn="0" w:oddVBand="0" w:evenVBand="0" w:oddHBand="0" w:evenHBand="0" w:firstRowFirstColumn="0" w:firstRowLastColumn="0" w:lastRowFirstColumn="0" w:lastRowLastColumn="0"/>
          <w:tblHeader/>
        </w:trPr>
        <w:tc>
          <w:tcPr>
            <w:tcW w:w="1416" w:type="dxa"/>
          </w:tcPr>
          <w:p w14:paraId="5AAF4499"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Hospital</w:t>
            </w:r>
          </w:p>
        </w:tc>
        <w:tc>
          <w:tcPr>
            <w:tcW w:w="1730" w:type="dxa"/>
          </w:tcPr>
          <w:p w14:paraId="10E79187"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Pre-COVID Avg Receivable Days</w:t>
            </w:r>
          </w:p>
        </w:tc>
        <w:tc>
          <w:tcPr>
            <w:tcW w:w="1783" w:type="dxa"/>
          </w:tcPr>
          <w:p w14:paraId="1EC6A9C2"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Post-COVID Avg Receivable Days</w:t>
            </w:r>
          </w:p>
        </w:tc>
        <w:tc>
          <w:tcPr>
            <w:tcW w:w="891" w:type="dxa"/>
          </w:tcPr>
          <w:p w14:paraId="466B366B"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Change (days)</w:t>
            </w:r>
          </w:p>
        </w:tc>
        <w:tc>
          <w:tcPr>
            <w:tcW w:w="734" w:type="dxa"/>
          </w:tcPr>
          <w:p w14:paraId="1A137087"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Change (%)</w:t>
            </w:r>
          </w:p>
        </w:tc>
        <w:tc>
          <w:tcPr>
            <w:tcW w:w="1363" w:type="dxa"/>
          </w:tcPr>
          <w:p w14:paraId="76D0B3B8"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Interpretation</w:t>
            </w:r>
          </w:p>
        </w:tc>
      </w:tr>
      <w:tr w:rsidR="003A0C45" w:rsidRPr="003A0C45" w14:paraId="4E027702" w14:textId="77777777" w:rsidTr="00235B82">
        <w:tc>
          <w:tcPr>
            <w:tcW w:w="1416" w:type="dxa"/>
          </w:tcPr>
          <w:p w14:paraId="6ABB436E" w14:textId="77777777" w:rsidR="003A0C45" w:rsidRPr="003A0C45" w:rsidRDefault="003A0C45" w:rsidP="003A0C45">
            <w:pPr>
              <w:spacing w:before="36" w:after="36"/>
              <w:rPr>
                <w:rFonts w:ascii="Arial" w:hAnsi="Arial" w:cs="Arial"/>
                <w:color w:val="000000"/>
                <w:sz w:val="20"/>
                <w:szCs w:val="20"/>
              </w:rPr>
            </w:pPr>
            <w:proofErr w:type="spellStart"/>
            <w:r w:rsidRPr="003A0C45">
              <w:rPr>
                <w:rFonts w:ascii="Arial" w:hAnsi="Arial" w:cs="Arial"/>
                <w:color w:val="000000"/>
                <w:sz w:val="20"/>
                <w:szCs w:val="20"/>
              </w:rPr>
              <w:t>Nawaloka</w:t>
            </w:r>
            <w:proofErr w:type="spellEnd"/>
            <w:r w:rsidRPr="003A0C45">
              <w:rPr>
                <w:rFonts w:ascii="Arial" w:hAnsi="Arial" w:cs="Arial"/>
                <w:color w:val="000000"/>
                <w:sz w:val="20"/>
                <w:szCs w:val="20"/>
              </w:rPr>
              <w:t xml:space="preserve"> Hospitals PLC</w:t>
            </w:r>
          </w:p>
        </w:tc>
        <w:tc>
          <w:tcPr>
            <w:tcW w:w="1730" w:type="dxa"/>
          </w:tcPr>
          <w:p w14:paraId="2D16C574"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32</w:t>
            </w:r>
          </w:p>
        </w:tc>
        <w:tc>
          <w:tcPr>
            <w:tcW w:w="1783" w:type="dxa"/>
          </w:tcPr>
          <w:p w14:paraId="5DA1BB98"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42</w:t>
            </w:r>
          </w:p>
        </w:tc>
        <w:tc>
          <w:tcPr>
            <w:tcW w:w="891" w:type="dxa"/>
          </w:tcPr>
          <w:p w14:paraId="20A6A8DC"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+10</w:t>
            </w:r>
          </w:p>
        </w:tc>
        <w:tc>
          <w:tcPr>
            <w:tcW w:w="734" w:type="dxa"/>
          </w:tcPr>
          <w:p w14:paraId="34A8D651"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+31%</w:t>
            </w:r>
          </w:p>
        </w:tc>
        <w:tc>
          <w:tcPr>
            <w:tcW w:w="1363" w:type="dxa"/>
          </w:tcPr>
          <w:p w14:paraId="4C32A576"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Collections deterioration</w:t>
            </w:r>
          </w:p>
        </w:tc>
      </w:tr>
      <w:tr w:rsidR="003A0C45" w:rsidRPr="003A0C45" w14:paraId="4CFEB305" w14:textId="77777777" w:rsidTr="00235B82">
        <w:tc>
          <w:tcPr>
            <w:tcW w:w="1416" w:type="dxa"/>
          </w:tcPr>
          <w:p w14:paraId="4F9C6B15" w14:textId="77777777" w:rsidR="003A0C45" w:rsidRPr="003A0C45" w:rsidRDefault="003A0C45" w:rsidP="003A0C45">
            <w:pPr>
              <w:spacing w:before="36" w:after="36"/>
              <w:rPr>
                <w:rFonts w:ascii="Arial" w:hAnsi="Arial" w:cs="Arial"/>
                <w:color w:val="000000"/>
                <w:sz w:val="20"/>
                <w:szCs w:val="20"/>
              </w:rPr>
            </w:pPr>
            <w:proofErr w:type="spellStart"/>
            <w:r w:rsidRPr="003A0C45">
              <w:rPr>
                <w:rFonts w:ascii="Arial" w:hAnsi="Arial" w:cs="Arial"/>
                <w:color w:val="000000"/>
                <w:sz w:val="20"/>
                <w:szCs w:val="20"/>
              </w:rPr>
              <w:t>Asiri</w:t>
            </w:r>
            <w:proofErr w:type="spellEnd"/>
            <w:r w:rsidRPr="003A0C45">
              <w:rPr>
                <w:rFonts w:ascii="Arial" w:hAnsi="Arial" w:cs="Arial"/>
                <w:color w:val="000000"/>
                <w:sz w:val="20"/>
                <w:szCs w:val="20"/>
              </w:rPr>
              <w:t xml:space="preserve"> Hospital Holdings PLC</w:t>
            </w:r>
          </w:p>
        </w:tc>
        <w:tc>
          <w:tcPr>
            <w:tcW w:w="1730" w:type="dxa"/>
          </w:tcPr>
          <w:p w14:paraId="3EC4D8EC"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35</w:t>
            </w:r>
          </w:p>
        </w:tc>
        <w:tc>
          <w:tcPr>
            <w:tcW w:w="1783" w:type="dxa"/>
          </w:tcPr>
          <w:p w14:paraId="20C2BCD7"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22</w:t>
            </w:r>
          </w:p>
        </w:tc>
        <w:tc>
          <w:tcPr>
            <w:tcW w:w="891" w:type="dxa"/>
          </w:tcPr>
          <w:p w14:paraId="69D3352E"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-13</w:t>
            </w:r>
          </w:p>
        </w:tc>
        <w:tc>
          <w:tcPr>
            <w:tcW w:w="734" w:type="dxa"/>
          </w:tcPr>
          <w:p w14:paraId="66AC24F0"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-37%</w:t>
            </w:r>
          </w:p>
        </w:tc>
        <w:tc>
          <w:tcPr>
            <w:tcW w:w="1363" w:type="dxa"/>
          </w:tcPr>
          <w:p w14:paraId="7511F55C"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ONLY INSTITUTION IMPROVING</w:t>
            </w:r>
          </w:p>
        </w:tc>
      </w:tr>
      <w:tr w:rsidR="003A0C45" w:rsidRPr="003A0C45" w14:paraId="1D8B21EE" w14:textId="77777777" w:rsidTr="00235B82">
        <w:tc>
          <w:tcPr>
            <w:tcW w:w="1416" w:type="dxa"/>
          </w:tcPr>
          <w:p w14:paraId="6226B688" w14:textId="77777777" w:rsidR="003A0C45" w:rsidRPr="003A0C45" w:rsidRDefault="003A0C45" w:rsidP="003A0C45">
            <w:pPr>
              <w:spacing w:before="36" w:after="36"/>
              <w:rPr>
                <w:rFonts w:ascii="Arial" w:hAnsi="Arial" w:cs="Arial"/>
                <w:color w:val="000000"/>
                <w:sz w:val="20"/>
                <w:szCs w:val="20"/>
              </w:rPr>
            </w:pPr>
            <w:proofErr w:type="spellStart"/>
            <w:r w:rsidRPr="003A0C45">
              <w:rPr>
                <w:rFonts w:ascii="Arial" w:hAnsi="Arial" w:cs="Arial"/>
                <w:color w:val="000000"/>
                <w:sz w:val="20"/>
                <w:szCs w:val="20"/>
              </w:rPr>
              <w:t>Hemas</w:t>
            </w:r>
            <w:proofErr w:type="spellEnd"/>
            <w:r w:rsidRPr="003A0C45">
              <w:rPr>
                <w:rFonts w:ascii="Arial" w:hAnsi="Arial" w:cs="Arial"/>
                <w:color w:val="000000"/>
                <w:sz w:val="20"/>
                <w:szCs w:val="20"/>
              </w:rPr>
              <w:t xml:space="preserve"> Holdings PLC</w:t>
            </w:r>
          </w:p>
        </w:tc>
        <w:tc>
          <w:tcPr>
            <w:tcW w:w="1730" w:type="dxa"/>
          </w:tcPr>
          <w:p w14:paraId="023578F2"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28</w:t>
            </w:r>
          </w:p>
        </w:tc>
        <w:tc>
          <w:tcPr>
            <w:tcW w:w="1783" w:type="dxa"/>
          </w:tcPr>
          <w:p w14:paraId="586D80DA"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38</w:t>
            </w:r>
          </w:p>
        </w:tc>
        <w:tc>
          <w:tcPr>
            <w:tcW w:w="891" w:type="dxa"/>
          </w:tcPr>
          <w:p w14:paraId="7BF51A17"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+10</w:t>
            </w:r>
          </w:p>
        </w:tc>
        <w:tc>
          <w:tcPr>
            <w:tcW w:w="734" w:type="dxa"/>
          </w:tcPr>
          <w:p w14:paraId="04F6CE9C"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+36%</w:t>
            </w:r>
          </w:p>
        </w:tc>
        <w:tc>
          <w:tcPr>
            <w:tcW w:w="1363" w:type="dxa"/>
          </w:tcPr>
          <w:p w14:paraId="0B60D9AB"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Collections deterioration</w:t>
            </w:r>
          </w:p>
        </w:tc>
      </w:tr>
    </w:tbl>
    <w:p w14:paraId="7DA172C3"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i/>
          <w:iCs/>
          <w:color w:val="000000"/>
        </w:rPr>
        <w:t xml:space="preserve">Receivable Days = (Accounts Receivable / Daily Revenue). Pre-COVID: 2015-2019 average. Post-COVID: 2020-2021 average. </w:t>
      </w:r>
      <w:proofErr w:type="spellStart"/>
      <w:r w:rsidRPr="003A0C45">
        <w:rPr>
          <w:rFonts w:ascii="Arial" w:eastAsia="Aptos" w:hAnsi="Arial" w:cs="Arial"/>
          <w:i/>
          <w:iCs/>
          <w:color w:val="000000"/>
        </w:rPr>
        <w:t>Nawaloka</w:t>
      </w:r>
      <w:proofErr w:type="spellEnd"/>
      <w:r w:rsidRPr="003A0C45">
        <w:rPr>
          <w:rFonts w:ascii="Arial" w:eastAsia="Aptos" w:hAnsi="Arial" w:cs="Arial"/>
          <w:i/>
          <w:iCs/>
          <w:color w:val="000000"/>
        </w:rPr>
        <w:t xml:space="preserve"> and </w:t>
      </w:r>
      <w:proofErr w:type="spellStart"/>
      <w:r w:rsidRPr="003A0C45">
        <w:rPr>
          <w:rFonts w:ascii="Arial" w:eastAsia="Aptos" w:hAnsi="Arial" w:cs="Arial"/>
          <w:i/>
          <w:iCs/>
          <w:color w:val="000000"/>
        </w:rPr>
        <w:t>Hemas</w:t>
      </w:r>
      <w:proofErr w:type="spellEnd"/>
      <w:r w:rsidRPr="003A0C45">
        <w:rPr>
          <w:rFonts w:ascii="Arial" w:eastAsia="Aptos" w:hAnsi="Arial" w:cs="Arial"/>
          <w:i/>
          <w:iCs/>
          <w:color w:val="000000"/>
        </w:rPr>
        <w:t xml:space="preserve">: Collections timing extended during pandemic (more payers delayed payments). </w:t>
      </w:r>
      <w:proofErr w:type="spellStart"/>
      <w:r w:rsidRPr="003A0C45">
        <w:rPr>
          <w:rFonts w:ascii="Arial" w:eastAsia="Aptos" w:hAnsi="Arial" w:cs="Arial"/>
          <w:i/>
          <w:iCs/>
          <w:color w:val="000000"/>
        </w:rPr>
        <w:t>Asiri</w:t>
      </w:r>
      <w:proofErr w:type="spellEnd"/>
      <w:r w:rsidRPr="003A0C45">
        <w:rPr>
          <w:rFonts w:ascii="Arial" w:eastAsia="Aptos" w:hAnsi="Arial" w:cs="Arial"/>
          <w:i/>
          <w:iCs/>
          <w:color w:val="000000"/>
        </w:rPr>
        <w:t xml:space="preserve">: Paradoxical improvement suggests deliberate collection protocol changes or payer mix shift toward higher-paying categories. </w:t>
      </w:r>
      <w:proofErr w:type="spellStart"/>
      <w:r w:rsidRPr="003A0C45">
        <w:rPr>
          <w:rFonts w:ascii="Arial" w:eastAsia="Aptos" w:hAnsi="Arial" w:cs="Arial"/>
          <w:i/>
          <w:iCs/>
          <w:color w:val="000000"/>
        </w:rPr>
        <w:t>Asiri's</w:t>
      </w:r>
      <w:proofErr w:type="spellEnd"/>
      <w:r w:rsidRPr="003A0C45">
        <w:rPr>
          <w:rFonts w:ascii="Arial" w:eastAsia="Aptos" w:hAnsi="Arial" w:cs="Arial"/>
          <w:i/>
          <w:iCs/>
          <w:color w:val="000000"/>
        </w:rPr>
        <w:t xml:space="preserve"> improvement partially offset its -20% asset turnover deterioration, yet insufficient to prevent -51% ROE decline.</w:t>
      </w:r>
    </w:p>
    <w:p w14:paraId="35BC91BC"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lastRenderedPageBreak/>
        <w:t>3.5 Debt Service Coverage and Cash Flow Position</w:t>
      </w:r>
    </w:p>
    <w:p w14:paraId="1E2FAC8B"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 xml:space="preserve">Debt service capacity and cash flow generation diverged sharply (Table 5).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maintained Debt Service Coverage Ratio &gt;2.0 throughout pandemic with operating cash flow 10%+ of revenue, indicating strong capacity to meet debt obligations and reinvest in operations.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maintained intermediate position with DSCR 1.5-1.8 and cash flow generation 6-8% of revenue—adequate for debt service but reduced financial flexibility (Sri Lanka Central Bank, 2021).</w:t>
      </w:r>
    </w:p>
    <w:p w14:paraId="25FB22C5" w14:textId="77777777" w:rsidR="003A0C45" w:rsidRPr="003A0C45" w:rsidRDefault="003A0C45" w:rsidP="003A0C45">
      <w:pPr>
        <w:spacing w:before="180" w:after="180"/>
        <w:rPr>
          <w:rFonts w:ascii="Arial" w:eastAsia="Aptos" w:hAnsi="Arial" w:cs="Arial"/>
          <w:color w:val="000000"/>
        </w:rPr>
      </w:pP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debt service coverage deteriorated to 1.2-1.4 range with cash flow generation only 2-4% of revenue, indicating significantly elevated default risk and minimal reinvestment capacity. These metrics revealed that while liquidity ratios showed uniform decline across sector, underlying cash generation capacity diverged substantially. </w:t>
      </w:r>
      <w:proofErr w:type="spellStart"/>
      <w:r w:rsidRPr="003A0C45">
        <w:rPr>
          <w:rFonts w:ascii="Arial" w:eastAsia="Aptos" w:hAnsi="Arial" w:cs="Arial"/>
          <w:color w:val="000000"/>
        </w:rPr>
        <w:t>Nawaloka's</w:t>
      </w:r>
      <w:proofErr w:type="spellEnd"/>
      <w:r w:rsidRPr="003A0C45">
        <w:rPr>
          <w:rFonts w:ascii="Arial" w:eastAsia="Aptos" w:hAnsi="Arial" w:cs="Arial"/>
          <w:color w:val="000000"/>
        </w:rPr>
        <w:t xml:space="preserve"> cash generation capacity enabled continued operations despite liquidity ratio contraction;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weak cash generation combined with high leverage indicated acute financial distress risk (Norris et al., 2020).</w:t>
      </w:r>
    </w:p>
    <w:p w14:paraId="2E71A3FA"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Table 5. Debt Service Coverage Ratio &amp; Cash Flow Position</w:t>
      </w:r>
    </w:p>
    <w:tbl>
      <w:tblPr>
        <w:tblStyle w:val="Table"/>
        <w:tblW w:w="5000" w:type="pct"/>
        <w:tblLayout w:type="fixed"/>
        <w:tblLook w:val="0020" w:firstRow="1" w:lastRow="0" w:firstColumn="0" w:lastColumn="0" w:noHBand="0" w:noVBand="0"/>
      </w:tblPr>
      <w:tblGrid>
        <w:gridCol w:w="1021"/>
        <w:gridCol w:w="680"/>
        <w:gridCol w:w="719"/>
        <w:gridCol w:w="1703"/>
        <w:gridCol w:w="1740"/>
        <w:gridCol w:w="2345"/>
      </w:tblGrid>
      <w:tr w:rsidR="003A0C45" w:rsidRPr="003A0C45" w14:paraId="4890EB69" w14:textId="77777777" w:rsidTr="00235B82">
        <w:trPr>
          <w:cnfStyle w:val="100000000000" w:firstRow="1" w:lastRow="0" w:firstColumn="0" w:lastColumn="0" w:oddVBand="0" w:evenVBand="0" w:oddHBand="0" w:evenHBand="0" w:firstRowFirstColumn="0" w:firstRowLastColumn="0" w:lastRowFirstColumn="0" w:lastRowLastColumn="0"/>
          <w:tblHeader/>
        </w:trPr>
        <w:tc>
          <w:tcPr>
            <w:tcW w:w="985" w:type="dxa"/>
          </w:tcPr>
          <w:p w14:paraId="58AC8170"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Hospital</w:t>
            </w:r>
          </w:p>
        </w:tc>
        <w:tc>
          <w:tcPr>
            <w:tcW w:w="656" w:type="dxa"/>
          </w:tcPr>
          <w:p w14:paraId="6CEE9ACC"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DSCR Pre-COVID</w:t>
            </w:r>
          </w:p>
        </w:tc>
        <w:tc>
          <w:tcPr>
            <w:tcW w:w="693" w:type="dxa"/>
          </w:tcPr>
          <w:p w14:paraId="18B580A5"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DSCR Post-COVID</w:t>
            </w:r>
          </w:p>
        </w:tc>
        <w:tc>
          <w:tcPr>
            <w:tcW w:w="1642" w:type="dxa"/>
          </w:tcPr>
          <w:p w14:paraId="0614E93A"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Operating Cash Flow (% Revenue) Pre-COVID</w:t>
            </w:r>
          </w:p>
        </w:tc>
        <w:tc>
          <w:tcPr>
            <w:tcW w:w="1678" w:type="dxa"/>
          </w:tcPr>
          <w:p w14:paraId="6B43FAC8"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Operating Cash Flow (% Revenue) Post-COVID</w:t>
            </w:r>
          </w:p>
        </w:tc>
        <w:tc>
          <w:tcPr>
            <w:tcW w:w="2262" w:type="dxa"/>
          </w:tcPr>
          <w:p w14:paraId="29F8CB03"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Financial Distress Risk</w:t>
            </w:r>
          </w:p>
        </w:tc>
      </w:tr>
      <w:tr w:rsidR="003A0C45" w:rsidRPr="003A0C45" w14:paraId="5D2502C3" w14:textId="77777777" w:rsidTr="00235B82">
        <w:tc>
          <w:tcPr>
            <w:tcW w:w="985" w:type="dxa"/>
          </w:tcPr>
          <w:p w14:paraId="7AA3F342" w14:textId="77777777" w:rsidR="003A0C45" w:rsidRPr="003A0C45" w:rsidRDefault="003A0C45" w:rsidP="003A0C45">
            <w:pPr>
              <w:spacing w:before="36" w:after="36"/>
              <w:rPr>
                <w:rFonts w:ascii="Arial" w:hAnsi="Arial" w:cs="Arial"/>
                <w:color w:val="000000"/>
                <w:sz w:val="20"/>
                <w:szCs w:val="20"/>
              </w:rPr>
            </w:pPr>
            <w:proofErr w:type="spellStart"/>
            <w:r w:rsidRPr="003A0C45">
              <w:rPr>
                <w:rFonts w:ascii="Arial" w:hAnsi="Arial" w:cs="Arial"/>
                <w:color w:val="000000"/>
                <w:sz w:val="20"/>
                <w:szCs w:val="20"/>
              </w:rPr>
              <w:t>Nawaloka</w:t>
            </w:r>
            <w:proofErr w:type="spellEnd"/>
            <w:r w:rsidRPr="003A0C45">
              <w:rPr>
                <w:rFonts w:ascii="Arial" w:hAnsi="Arial" w:cs="Arial"/>
                <w:color w:val="000000"/>
                <w:sz w:val="20"/>
                <w:szCs w:val="20"/>
              </w:rPr>
              <w:t xml:space="preserve"> Hospitals PLC</w:t>
            </w:r>
          </w:p>
        </w:tc>
        <w:tc>
          <w:tcPr>
            <w:tcW w:w="656" w:type="dxa"/>
          </w:tcPr>
          <w:p w14:paraId="7EB81C31"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&gt;2.5</w:t>
            </w:r>
          </w:p>
        </w:tc>
        <w:tc>
          <w:tcPr>
            <w:tcW w:w="693" w:type="dxa"/>
          </w:tcPr>
          <w:p w14:paraId="781E6F52"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&gt;2.0</w:t>
            </w:r>
          </w:p>
        </w:tc>
        <w:tc>
          <w:tcPr>
            <w:tcW w:w="1642" w:type="dxa"/>
          </w:tcPr>
          <w:p w14:paraId="42A18FCE"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12%+</w:t>
            </w:r>
          </w:p>
        </w:tc>
        <w:tc>
          <w:tcPr>
            <w:tcW w:w="1678" w:type="dxa"/>
          </w:tcPr>
          <w:p w14:paraId="4B16A4C8"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10%+</w:t>
            </w:r>
          </w:p>
        </w:tc>
        <w:tc>
          <w:tcPr>
            <w:tcW w:w="2262" w:type="dxa"/>
          </w:tcPr>
          <w:p w14:paraId="3EBC696B"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LOWEST RISK</w:t>
            </w:r>
            <w:r w:rsidRPr="003A0C45">
              <w:rPr>
                <w:rFonts w:ascii="Arial" w:hAnsi="Arial" w:cs="Arial"/>
                <w:color w:val="000000"/>
                <w:sz w:val="20"/>
                <w:szCs w:val="20"/>
              </w:rPr>
              <w:t xml:space="preserve"> – Strong debt coverage; robust cash generation</w:t>
            </w:r>
          </w:p>
        </w:tc>
      </w:tr>
      <w:tr w:rsidR="003A0C45" w:rsidRPr="003A0C45" w14:paraId="18F13BC9" w14:textId="77777777" w:rsidTr="00235B82">
        <w:tc>
          <w:tcPr>
            <w:tcW w:w="985" w:type="dxa"/>
          </w:tcPr>
          <w:p w14:paraId="6FE7EB52" w14:textId="77777777" w:rsidR="003A0C45" w:rsidRPr="003A0C45" w:rsidRDefault="003A0C45" w:rsidP="003A0C45">
            <w:pPr>
              <w:spacing w:before="36" w:after="36"/>
              <w:rPr>
                <w:rFonts w:ascii="Arial" w:hAnsi="Arial" w:cs="Arial"/>
                <w:color w:val="000000"/>
                <w:sz w:val="20"/>
                <w:szCs w:val="20"/>
              </w:rPr>
            </w:pPr>
            <w:proofErr w:type="spellStart"/>
            <w:r w:rsidRPr="003A0C45">
              <w:rPr>
                <w:rFonts w:ascii="Arial" w:hAnsi="Arial" w:cs="Arial"/>
                <w:color w:val="000000"/>
                <w:sz w:val="20"/>
                <w:szCs w:val="20"/>
              </w:rPr>
              <w:t>Asiri</w:t>
            </w:r>
            <w:proofErr w:type="spellEnd"/>
            <w:r w:rsidRPr="003A0C45">
              <w:rPr>
                <w:rFonts w:ascii="Arial" w:hAnsi="Arial" w:cs="Arial"/>
                <w:color w:val="000000"/>
                <w:sz w:val="20"/>
                <w:szCs w:val="20"/>
              </w:rPr>
              <w:t xml:space="preserve"> Hospital Holdings PLC</w:t>
            </w:r>
          </w:p>
        </w:tc>
        <w:tc>
          <w:tcPr>
            <w:tcW w:w="656" w:type="dxa"/>
          </w:tcPr>
          <w:p w14:paraId="2F3BABFD"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2.0–2.2</w:t>
            </w:r>
          </w:p>
        </w:tc>
        <w:tc>
          <w:tcPr>
            <w:tcW w:w="693" w:type="dxa"/>
          </w:tcPr>
          <w:p w14:paraId="1F41E4D9"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1.5–1.8</w:t>
            </w:r>
          </w:p>
        </w:tc>
        <w:tc>
          <w:tcPr>
            <w:tcW w:w="1642" w:type="dxa"/>
          </w:tcPr>
          <w:p w14:paraId="3DF52DCD"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8–10%</w:t>
            </w:r>
          </w:p>
        </w:tc>
        <w:tc>
          <w:tcPr>
            <w:tcW w:w="1678" w:type="dxa"/>
          </w:tcPr>
          <w:p w14:paraId="01EAEA91"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6–8%</w:t>
            </w:r>
          </w:p>
        </w:tc>
        <w:tc>
          <w:tcPr>
            <w:tcW w:w="2262" w:type="dxa"/>
          </w:tcPr>
          <w:p w14:paraId="2C356F07"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INTERMEDIATE RISK – Adequate coverage; reduced flexibility</w:t>
            </w:r>
          </w:p>
        </w:tc>
      </w:tr>
      <w:tr w:rsidR="003A0C45" w:rsidRPr="003A0C45" w14:paraId="35472D67" w14:textId="77777777" w:rsidTr="00235B82">
        <w:tc>
          <w:tcPr>
            <w:tcW w:w="985" w:type="dxa"/>
          </w:tcPr>
          <w:p w14:paraId="798F4923" w14:textId="77777777" w:rsidR="003A0C45" w:rsidRPr="003A0C45" w:rsidRDefault="003A0C45" w:rsidP="003A0C45">
            <w:pPr>
              <w:spacing w:before="36" w:after="36"/>
              <w:rPr>
                <w:rFonts w:ascii="Arial" w:hAnsi="Arial" w:cs="Arial"/>
                <w:color w:val="000000"/>
                <w:sz w:val="20"/>
                <w:szCs w:val="20"/>
              </w:rPr>
            </w:pPr>
            <w:proofErr w:type="spellStart"/>
            <w:r w:rsidRPr="003A0C45">
              <w:rPr>
                <w:rFonts w:ascii="Arial" w:hAnsi="Arial" w:cs="Arial"/>
                <w:color w:val="000000"/>
                <w:sz w:val="20"/>
                <w:szCs w:val="20"/>
              </w:rPr>
              <w:t>Hemas</w:t>
            </w:r>
            <w:proofErr w:type="spellEnd"/>
            <w:r w:rsidRPr="003A0C45">
              <w:rPr>
                <w:rFonts w:ascii="Arial" w:hAnsi="Arial" w:cs="Arial"/>
                <w:color w:val="000000"/>
                <w:sz w:val="20"/>
                <w:szCs w:val="20"/>
              </w:rPr>
              <w:t xml:space="preserve"> Holdings PLC</w:t>
            </w:r>
          </w:p>
        </w:tc>
        <w:tc>
          <w:tcPr>
            <w:tcW w:w="656" w:type="dxa"/>
          </w:tcPr>
          <w:p w14:paraId="08F5A99F"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1.8–2.0</w:t>
            </w:r>
          </w:p>
        </w:tc>
        <w:tc>
          <w:tcPr>
            <w:tcW w:w="693" w:type="dxa"/>
          </w:tcPr>
          <w:p w14:paraId="5378ED6F"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1.2–1.4</w:t>
            </w:r>
          </w:p>
        </w:tc>
        <w:tc>
          <w:tcPr>
            <w:tcW w:w="1642" w:type="dxa"/>
          </w:tcPr>
          <w:p w14:paraId="6139AFC3"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5–7%</w:t>
            </w:r>
          </w:p>
        </w:tc>
        <w:tc>
          <w:tcPr>
            <w:tcW w:w="1678" w:type="dxa"/>
          </w:tcPr>
          <w:p w14:paraId="7D18B004"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color w:val="000000"/>
                <w:sz w:val="20"/>
                <w:szCs w:val="20"/>
              </w:rPr>
              <w:t>2–4%</w:t>
            </w:r>
          </w:p>
        </w:tc>
        <w:tc>
          <w:tcPr>
            <w:tcW w:w="2262" w:type="dxa"/>
          </w:tcPr>
          <w:p w14:paraId="37258409" w14:textId="77777777" w:rsidR="003A0C45" w:rsidRPr="003A0C45" w:rsidRDefault="003A0C45" w:rsidP="003A0C45">
            <w:pPr>
              <w:spacing w:before="36" w:after="36"/>
              <w:rPr>
                <w:rFonts w:ascii="Arial" w:hAnsi="Arial" w:cs="Arial"/>
                <w:color w:val="000000"/>
                <w:sz w:val="20"/>
                <w:szCs w:val="20"/>
              </w:rPr>
            </w:pPr>
            <w:r w:rsidRPr="003A0C45">
              <w:rPr>
                <w:rFonts w:ascii="Arial" w:hAnsi="Arial" w:cs="Arial"/>
                <w:b/>
                <w:bCs/>
                <w:color w:val="000000"/>
                <w:sz w:val="20"/>
                <w:szCs w:val="20"/>
              </w:rPr>
              <w:t>HIGHEST RISK</w:t>
            </w:r>
            <w:r w:rsidRPr="003A0C45">
              <w:rPr>
                <w:rFonts w:ascii="Arial" w:hAnsi="Arial" w:cs="Arial"/>
                <w:color w:val="000000"/>
                <w:sz w:val="20"/>
                <w:szCs w:val="20"/>
              </w:rPr>
              <w:t xml:space="preserve"> – Marginal coverage; cash flow deterioration</w:t>
            </w:r>
          </w:p>
        </w:tc>
      </w:tr>
    </w:tbl>
    <w:p w14:paraId="06A5A3FC"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i/>
          <w:iCs/>
          <w:color w:val="000000"/>
        </w:rPr>
        <w:t xml:space="preserve">DSCR = Earnings Before Interest and Taxes (EBIT) / Total Debt Service (Principal + Interest). Pre-COVID: 2015-2019 averages. Post-COVID: 2020-2021 averages. </w:t>
      </w:r>
      <w:proofErr w:type="spellStart"/>
      <w:r w:rsidRPr="003A0C45">
        <w:rPr>
          <w:rFonts w:ascii="Arial" w:eastAsia="Aptos" w:hAnsi="Arial" w:cs="Arial"/>
          <w:i/>
          <w:iCs/>
          <w:color w:val="000000"/>
        </w:rPr>
        <w:t>Nawaloka</w:t>
      </w:r>
      <w:proofErr w:type="spellEnd"/>
      <w:r w:rsidRPr="003A0C45">
        <w:rPr>
          <w:rFonts w:ascii="Arial" w:eastAsia="Aptos" w:hAnsi="Arial" w:cs="Arial"/>
          <w:i/>
          <w:iCs/>
          <w:color w:val="000000"/>
        </w:rPr>
        <w:t xml:space="preserve">: DSCR &gt;2.0 indicates strong capacity to meet debt obligations twice over; 10%+ cash flow generation enables reinvestment. </w:t>
      </w:r>
      <w:proofErr w:type="spellStart"/>
      <w:r w:rsidRPr="003A0C45">
        <w:rPr>
          <w:rFonts w:ascii="Arial" w:eastAsia="Aptos" w:hAnsi="Arial" w:cs="Arial"/>
          <w:i/>
          <w:iCs/>
          <w:color w:val="000000"/>
        </w:rPr>
        <w:t>Asiri</w:t>
      </w:r>
      <w:proofErr w:type="spellEnd"/>
      <w:r w:rsidRPr="003A0C45">
        <w:rPr>
          <w:rFonts w:ascii="Arial" w:eastAsia="Aptos" w:hAnsi="Arial" w:cs="Arial"/>
          <w:i/>
          <w:iCs/>
          <w:color w:val="000000"/>
        </w:rPr>
        <w:t xml:space="preserve">: DSCR 1.5-1.8 is adequate but reduced flexibility; 6-8% cash flow sustainable but limited. </w:t>
      </w:r>
      <w:proofErr w:type="spellStart"/>
      <w:r w:rsidRPr="003A0C45">
        <w:rPr>
          <w:rFonts w:ascii="Arial" w:eastAsia="Aptos" w:hAnsi="Arial" w:cs="Arial"/>
          <w:i/>
          <w:iCs/>
          <w:color w:val="000000"/>
        </w:rPr>
        <w:t>Hemas</w:t>
      </w:r>
      <w:proofErr w:type="spellEnd"/>
      <w:r w:rsidRPr="003A0C45">
        <w:rPr>
          <w:rFonts w:ascii="Arial" w:eastAsia="Aptos" w:hAnsi="Arial" w:cs="Arial"/>
          <w:i/>
          <w:iCs/>
          <w:color w:val="000000"/>
        </w:rPr>
        <w:t xml:space="preserve">: DSCR 1.2-1.4 indicates marginal coverage with default risk; 2-4% cash flow severely constrains reinvestment and strategic response capability. Combined with </w:t>
      </w:r>
      <w:proofErr w:type="spellStart"/>
      <w:r w:rsidRPr="003A0C45">
        <w:rPr>
          <w:rFonts w:ascii="Arial" w:eastAsia="Aptos" w:hAnsi="Arial" w:cs="Arial"/>
          <w:i/>
          <w:iCs/>
          <w:color w:val="000000"/>
        </w:rPr>
        <w:t>Hemas</w:t>
      </w:r>
      <w:proofErr w:type="spellEnd"/>
      <w:r w:rsidRPr="003A0C45">
        <w:rPr>
          <w:rFonts w:ascii="Arial" w:eastAsia="Aptos" w:hAnsi="Arial" w:cs="Arial"/>
          <w:i/>
          <w:iCs/>
          <w:color w:val="000000"/>
        </w:rPr>
        <w:t>' highest leverage (1.82 equity multiplier) and worst asset turnover (-23%), indicates highest financial distress risk among three institutions.</w:t>
      </w:r>
    </w:p>
    <w:p w14:paraId="1B90ACAD"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3.6 Discussion of Key Findings</w:t>
      </w:r>
    </w:p>
    <w:p w14:paraId="183D302F"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 xml:space="preserve">The paradoxical finding that three hospitals facing identical pandemic pressures achieved dramatically divergent financial outcomes challenges conventional healthcare financial management wisdom. All three institutions experienced simultaneous elective procedure cessation, patient volume decline, staffing disruptions, and supply chain constraints. Yet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improved 102% in return on equity while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and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declined 51% and 33% respectively. This divergence indicates that external environment explains less variation in financial outcomes than pre-existing institutional characteristics (Patel et al., 2020).</w:t>
      </w:r>
    </w:p>
    <w:p w14:paraId="7E6E2B8D"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lastRenderedPageBreak/>
        <w:t xml:space="preserve">Traditional healthcare financial analysis emphasizes cost control and margin preservation during revenue disruptions. This study's findings suggest that asset utilization efficiency specifically asset turnover is equally or more critical than profitability margin during crisis periods. </w:t>
      </w:r>
      <w:proofErr w:type="spellStart"/>
      <w:r w:rsidRPr="003A0C45">
        <w:rPr>
          <w:rFonts w:ascii="Arial" w:eastAsia="Aptos" w:hAnsi="Arial" w:cs="Arial"/>
          <w:color w:val="000000"/>
        </w:rPr>
        <w:t>Nawaloka's</w:t>
      </w:r>
      <w:proofErr w:type="spellEnd"/>
      <w:r w:rsidRPr="003A0C45">
        <w:rPr>
          <w:rFonts w:ascii="Arial" w:eastAsia="Aptos" w:hAnsi="Arial" w:cs="Arial"/>
          <w:color w:val="000000"/>
        </w:rPr>
        <w:t xml:space="preserve"> success derived not merely from margin expansion to 8.7%, but equally from asset turnover increase to 1.54. Conversely, </w:t>
      </w:r>
      <w:proofErr w:type="spellStart"/>
      <w:r w:rsidRPr="003A0C45">
        <w:rPr>
          <w:rFonts w:ascii="Arial" w:eastAsia="Aptos" w:hAnsi="Arial" w:cs="Arial"/>
          <w:color w:val="000000"/>
        </w:rPr>
        <w:t>Asiri's</w:t>
      </w:r>
      <w:proofErr w:type="spellEnd"/>
      <w:r w:rsidRPr="003A0C45">
        <w:rPr>
          <w:rFonts w:ascii="Arial" w:eastAsia="Aptos" w:hAnsi="Arial" w:cs="Arial"/>
          <w:color w:val="000000"/>
        </w:rPr>
        <w:t xml:space="preserve"> fundamental challenge was not margin insufficiency (6.8% declining to 4.2% is material but not catastrophic) but rather asset turnover collapse from 1.22 to 0.98.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worst-in-sector asset turnover deterioration (-23%) overwhelmed its modest margin improvement, driving the steepest ROE decline among comparable institutions (Kellogg and Wolff, 2020).</w:t>
      </w:r>
    </w:p>
    <w:p w14:paraId="6389AE11"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 xml:space="preserve">The mechanisms underlying differential asset turnover performance suggest pre-existing operational structures determined crisis response capacity. </w:t>
      </w:r>
      <w:proofErr w:type="spellStart"/>
      <w:r w:rsidRPr="003A0C45">
        <w:rPr>
          <w:rFonts w:ascii="Arial" w:eastAsia="Aptos" w:hAnsi="Arial" w:cs="Arial"/>
          <w:color w:val="000000"/>
        </w:rPr>
        <w:t>Nawaloka's</w:t>
      </w:r>
      <w:proofErr w:type="spellEnd"/>
      <w:r w:rsidRPr="003A0C45">
        <w:rPr>
          <w:rFonts w:ascii="Arial" w:eastAsia="Aptos" w:hAnsi="Arial" w:cs="Arial"/>
          <w:color w:val="000000"/>
        </w:rPr>
        <w:t xml:space="preserve"> operational flexibility likely reflecting single-location concentration, lower fixed-cost burden, and responsive staffing models enabled maintenance and eventual improvement of asset productivity despite revenue disruption. </w:t>
      </w:r>
      <w:proofErr w:type="spellStart"/>
      <w:r w:rsidRPr="003A0C45">
        <w:rPr>
          <w:rFonts w:ascii="Arial" w:eastAsia="Aptos" w:hAnsi="Arial" w:cs="Arial"/>
          <w:color w:val="000000"/>
        </w:rPr>
        <w:t>Asiri's</w:t>
      </w:r>
      <w:proofErr w:type="spellEnd"/>
      <w:r w:rsidRPr="003A0C45">
        <w:rPr>
          <w:rFonts w:ascii="Arial" w:eastAsia="Aptos" w:hAnsi="Arial" w:cs="Arial"/>
          <w:color w:val="000000"/>
        </w:rPr>
        <w:t xml:space="preserve"> multi-location network structure (7 hospitals), while representing scale advantage in normal periods, became liability during crisis when fixed costs remained largely inflexible despite revenue contraction.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asset turnover collapse (-23%, most severe among three) suggests greatest vulnerability to volume-dependent operational models (Economy Next, 2021).</w:t>
      </w:r>
    </w:p>
    <w:p w14:paraId="33E7A71B"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 xml:space="preserve">The leverage patterns revealed risk management divergence: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maintained stable equity multiplier at 1.67, prioritizing equity preservation;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and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increased leverage (1.78 and 1.82 respectively) attempting to substitute debt financing for declining equity returns. This strategy is financially risky in distressed periods: elevated leverage combined with deteriorating profitability and asset turnover creates heightened default risk.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combination of worst-in-sector asset turnover, elevated leverage (1.82), and minimal cash generation (2-4% of revenue) indicates highest financial distress risk among three institutions (Kowalski-</w:t>
      </w:r>
      <w:proofErr w:type="spellStart"/>
      <w:r w:rsidRPr="003A0C45">
        <w:rPr>
          <w:rFonts w:ascii="Arial" w:eastAsia="Aptos" w:hAnsi="Arial" w:cs="Arial"/>
          <w:color w:val="000000"/>
        </w:rPr>
        <w:t>Trakofler</w:t>
      </w:r>
      <w:proofErr w:type="spellEnd"/>
      <w:r w:rsidRPr="003A0C45">
        <w:rPr>
          <w:rFonts w:ascii="Arial" w:eastAsia="Aptos" w:hAnsi="Arial" w:cs="Arial"/>
          <w:color w:val="000000"/>
        </w:rPr>
        <w:t>, 2010).</w:t>
      </w:r>
    </w:p>
    <w:p w14:paraId="590283FC"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 xml:space="preserve">Collections efficiency improvements by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the only institution improving receivable days during crisis suggest deliberate structural response to pandemic. This improvement may reflect aggressive collection protocols, shift toward higher-paying patient categories (insurance vs. self-pay), or enhanced billing systems. Whatever mechanism,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maintained collections efficiency despite broader operational challenges, partially offsetting asset turnover deterioration, though insufficient to prevent 51% ROE decline.</w:t>
      </w:r>
    </w:p>
    <w:p w14:paraId="508E37D5"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The DuPont framework proves particularly valuable in crisis analysis because it reveals whether performance changes derive from profitability, efficiency, or leverage each requiring distinct strategic responses. Cost-cutting alone (addressing profitability margin) proves insufficient if asset utilization deteriorates. These findings suggest healthcare institutions should emphasize operational flexibility, asset utilization capacity, and cash flow generation in strategic planning, not merely margin optimization (Berman et al., 2019).</w:t>
      </w:r>
    </w:p>
    <w:p w14:paraId="7B00C5AF"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b/>
          <w:bCs/>
          <w:color w:val="000000"/>
        </w:rPr>
        <w:t>3.7 Study Limitations</w:t>
      </w:r>
    </w:p>
    <w:p w14:paraId="67ACCC93"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Analysis restricted to three major institutions; generalizability to broader private sector limited. Secondary financial data subject to accounting policy variations among institutions. Study period 2020-2021 represents acute pandemic phase; longer-term pandemic effects not captured. DuPont analysis assumes standard equity-financed capital structures, though applicable to all three institutions studied.</w:t>
      </w:r>
    </w:p>
    <w:p w14:paraId="6B3102EF" w14:textId="77777777" w:rsidR="003A0C45" w:rsidRPr="003A0C45" w:rsidRDefault="003A0C45" w:rsidP="003A0C45">
      <w:pPr>
        <w:spacing w:after="200"/>
        <w:rPr>
          <w:rFonts w:ascii="Arial" w:eastAsia="Aptos" w:hAnsi="Arial" w:cs="Arial"/>
          <w:color w:val="000000"/>
        </w:rPr>
      </w:pPr>
    </w:p>
    <w:p w14:paraId="524A7B5E" w14:textId="77777777" w:rsidR="003A0C45" w:rsidRPr="003A0C45" w:rsidRDefault="003A0C45" w:rsidP="003A0C45">
      <w:pPr>
        <w:keepNext/>
        <w:keepLines/>
        <w:spacing w:before="160" w:after="80"/>
        <w:outlineLvl w:val="1"/>
        <w:rPr>
          <w:rFonts w:ascii="Arial" w:hAnsi="Arial" w:cs="Arial"/>
          <w:b/>
          <w:bCs/>
          <w:color w:val="000000"/>
        </w:rPr>
      </w:pPr>
      <w:bookmarkStart w:id="4" w:name="conclusion"/>
      <w:bookmarkEnd w:id="3"/>
      <w:r w:rsidRPr="003A0C45">
        <w:rPr>
          <w:rFonts w:ascii="Arial" w:hAnsi="Arial" w:cs="Arial"/>
          <w:b/>
          <w:bCs/>
          <w:color w:val="000000"/>
        </w:rPr>
        <w:lastRenderedPageBreak/>
        <w:t>4. CONCLUSION</w:t>
      </w:r>
    </w:p>
    <w:p w14:paraId="0E6B9866"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 xml:space="preserve">This quantitative financial analysis of three major Sri Lankan private tertiary care hospitals reveals that identical pandemic pressures produced dramatically divergent financial outcomes: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achieved +102% ROE improvement to +9.5%, while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declined -51% to 4.5% return on equity, and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declined -33% to 4.5% return on equity. These divergent outcomes do not result from differential environmental exposure but rather from pre-existing institutional characteristics determining operational flexibility and asset utilization capacity.</w:t>
      </w:r>
    </w:p>
    <w:p w14:paraId="50C22CF6"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 xml:space="preserve">The DuPont decomposition framework demonstrates that asset turnover deterioration, not profitability margin compression, represents the dominant force driving negative pandemic financial performance. </w:t>
      </w:r>
      <w:proofErr w:type="spellStart"/>
      <w:r w:rsidRPr="003A0C45">
        <w:rPr>
          <w:rFonts w:ascii="Arial" w:eastAsia="Aptos" w:hAnsi="Arial" w:cs="Arial"/>
          <w:color w:val="000000"/>
        </w:rPr>
        <w:t>Nawaloka's</w:t>
      </w:r>
      <w:proofErr w:type="spellEnd"/>
      <w:r w:rsidRPr="003A0C45">
        <w:rPr>
          <w:rFonts w:ascii="Arial" w:eastAsia="Aptos" w:hAnsi="Arial" w:cs="Arial"/>
          <w:color w:val="000000"/>
        </w:rPr>
        <w:t xml:space="preserve"> +102% ROE improvement reflects balanced achievement of margin expansion and asset turnover improvement without increased leverage. </w:t>
      </w:r>
      <w:proofErr w:type="spellStart"/>
      <w:r w:rsidRPr="003A0C45">
        <w:rPr>
          <w:rFonts w:ascii="Arial" w:eastAsia="Aptos" w:hAnsi="Arial" w:cs="Arial"/>
          <w:color w:val="000000"/>
        </w:rPr>
        <w:t>Asiri's</w:t>
      </w:r>
      <w:proofErr w:type="spellEnd"/>
      <w:r w:rsidRPr="003A0C45">
        <w:rPr>
          <w:rFonts w:ascii="Arial" w:eastAsia="Aptos" w:hAnsi="Arial" w:cs="Arial"/>
          <w:color w:val="000000"/>
        </w:rPr>
        <w:t xml:space="preserve"> -51% decline stems primarily from -20% asset turnover collapse that leverage increases could not offset.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-33% decline reflects sector-worst -23% asset turnover deterioration overwhelming modest margin improvements.</w:t>
      </w:r>
    </w:p>
    <w:p w14:paraId="4443C424"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Key findings include: (1) Pre-existing operational efficiency predicts pandemic resilience more than external environment; (2) Asset utilization efficiency is equally critical to margin management during crisis periods; (3) Leverage increases during crisis periods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+0.11 multiplier;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+0.15 multiplier) elevate financial distress risk; (4) Cash flow generation capacity diverged markedly: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10%+,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6-8%,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2-4% of revenue; (5) Liquidity compression was uniform (-35% to -57%) but cash generation capacity diverged substantially.</w:t>
      </w:r>
    </w:p>
    <w:p w14:paraId="76C86CB2"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These findings have policy implications for healthcare institution strategic planning, emphasizing operational flexibility, asset utilization capacity, and pre-crisis financial positioning as critical pandemic resilience factors. Future research should extend analysis to broader private sector institutions and longer pandemic periods to validate these findings.</w:t>
      </w:r>
    </w:p>
    <w:p w14:paraId="01FEDDC8" w14:textId="77777777" w:rsidR="003A0C45" w:rsidRPr="003A0C45" w:rsidRDefault="003A0C45" w:rsidP="003A0C45">
      <w:pPr>
        <w:spacing w:after="200"/>
        <w:rPr>
          <w:rFonts w:ascii="Arial" w:eastAsia="Aptos" w:hAnsi="Arial" w:cs="Arial"/>
          <w:color w:val="000000"/>
        </w:rPr>
      </w:pPr>
    </w:p>
    <w:p w14:paraId="7D5A41B0" w14:textId="77777777" w:rsidR="003A0C45" w:rsidRPr="003A0C45" w:rsidRDefault="003A0C45" w:rsidP="003A0C45">
      <w:pPr>
        <w:spacing w:after="200"/>
        <w:rPr>
          <w:rFonts w:ascii="Arial" w:eastAsia="Aptos" w:hAnsi="Arial" w:cs="Arial"/>
          <w:color w:val="000000"/>
        </w:rPr>
      </w:pPr>
      <w:bookmarkStart w:id="5" w:name="authors-contributions"/>
      <w:bookmarkEnd w:id="4"/>
    </w:p>
    <w:p w14:paraId="0A96F8F3" w14:textId="77777777" w:rsidR="003A0C45" w:rsidRPr="003A0C45" w:rsidRDefault="003A0C45" w:rsidP="003A0C45">
      <w:pPr>
        <w:keepNext/>
        <w:keepLines/>
        <w:spacing w:before="160" w:after="80"/>
        <w:outlineLvl w:val="1"/>
        <w:rPr>
          <w:rFonts w:ascii="Arial" w:hAnsi="Arial" w:cs="Arial"/>
          <w:b/>
          <w:bCs/>
          <w:color w:val="000000"/>
          <w:sz w:val="22"/>
          <w:szCs w:val="22"/>
        </w:rPr>
      </w:pPr>
      <w:bookmarkStart w:id="6" w:name="ethical-approval"/>
      <w:bookmarkEnd w:id="5"/>
      <w:r w:rsidRPr="003A0C45">
        <w:rPr>
          <w:rFonts w:ascii="Arial" w:hAnsi="Arial" w:cs="Arial"/>
          <w:b/>
          <w:bCs/>
          <w:color w:val="000000"/>
          <w:sz w:val="22"/>
          <w:szCs w:val="22"/>
        </w:rPr>
        <w:t>ETHICAL APPROVAL</w:t>
      </w:r>
    </w:p>
    <w:p w14:paraId="5CD92711" w14:textId="77777777" w:rsidR="003A0C45" w:rsidRPr="003A0C45" w:rsidRDefault="003A0C45" w:rsidP="003A0C45">
      <w:pPr>
        <w:spacing w:before="180" w:after="180"/>
        <w:rPr>
          <w:rFonts w:ascii="Arial" w:eastAsia="Aptos" w:hAnsi="Arial" w:cs="Arial"/>
          <w:color w:val="000000"/>
        </w:rPr>
      </w:pPr>
      <w:r w:rsidRPr="003A0C45">
        <w:rPr>
          <w:rFonts w:ascii="Arial" w:eastAsia="Aptos" w:hAnsi="Arial" w:cs="Arial"/>
          <w:color w:val="000000"/>
        </w:rPr>
        <w:t>This study involved exclusively secondary financial data from publicly available Colombo Stock Exchange filings and audited institutional financial statements. No primary data collection involving human subjects was conducted. All data analyzed constitute matters of public financial disclosure. This purely quantitative secondary data analysis requires no ethics committee approval under standard research governance frameworks.</w:t>
      </w:r>
    </w:p>
    <w:p w14:paraId="11BC9823" w14:textId="77777777" w:rsidR="003A0C45" w:rsidRPr="003A0C45" w:rsidRDefault="003A0C45" w:rsidP="003A0C45">
      <w:pPr>
        <w:keepNext/>
        <w:keepLines/>
        <w:spacing w:before="160" w:after="80"/>
        <w:outlineLvl w:val="1"/>
        <w:rPr>
          <w:rFonts w:ascii="Arial" w:hAnsi="Arial" w:cs="Arial"/>
          <w:b/>
          <w:bCs/>
          <w:color w:val="000000"/>
          <w:sz w:val="22"/>
          <w:szCs w:val="22"/>
        </w:rPr>
      </w:pPr>
      <w:bookmarkStart w:id="7" w:name="references"/>
      <w:bookmarkEnd w:id="6"/>
      <w:r w:rsidRPr="003A0C45">
        <w:rPr>
          <w:rFonts w:ascii="Arial" w:hAnsi="Arial" w:cs="Arial"/>
          <w:b/>
          <w:bCs/>
          <w:color w:val="000000"/>
          <w:sz w:val="22"/>
          <w:szCs w:val="22"/>
        </w:rPr>
        <w:t>REFERENCES</w:t>
      </w:r>
    </w:p>
    <w:p w14:paraId="0B252BD8"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 xml:space="preserve">Wuhan Municipal Health Commission. Report on Pneumonia of Unknown Etiology. Wuhan, China; 2019. Available at: </w:t>
      </w:r>
      <w:hyperlink r:id="rId14">
        <w:r w:rsidRPr="003A0C45">
          <w:rPr>
            <w:rFonts w:ascii="Arial" w:eastAsia="Aptos" w:hAnsi="Arial" w:cs="Arial"/>
            <w:color w:val="000000"/>
          </w:rPr>
          <w:t>https://www.nhc.gov.cn</w:t>
        </w:r>
      </w:hyperlink>
    </w:p>
    <w:p w14:paraId="2C0FA8A1"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World Health Organization. WHO Director-General's statement on IHR Emergency Committee on novel coronavirus (2019-nCoV). Geneva: WHO; 2020.</w:t>
      </w:r>
    </w:p>
    <w:p w14:paraId="6FC4F3F0"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Ministry of Health, Sri Lanka. National Health Accounts Report. Colombo: Ministry of Health; 2016.</w:t>
      </w:r>
    </w:p>
    <w:p w14:paraId="71CF3B04"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Colombo Stock Exchange. Listed Company Financial Filings Database. Colombo: CSE; 2015-2021.</w:t>
      </w:r>
    </w:p>
    <w:p w14:paraId="3617F9F8" w14:textId="77777777" w:rsidR="003A0C45" w:rsidRPr="003A0C45" w:rsidRDefault="003A0C45" w:rsidP="003A0C45">
      <w:pPr>
        <w:numPr>
          <w:ilvl w:val="0"/>
          <w:numId w:val="32"/>
        </w:numPr>
        <w:spacing w:before="36" w:after="36"/>
        <w:rPr>
          <w:rFonts w:ascii="Arial" w:eastAsia="Aptos" w:hAnsi="Arial" w:cs="Arial"/>
          <w:color w:val="000000"/>
        </w:rPr>
      </w:pP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Hospitals PLC. Annual Report and Financial Statements. Colombo: CSE; 2019-20.</w:t>
      </w:r>
    </w:p>
    <w:p w14:paraId="50DD8020" w14:textId="77777777" w:rsidR="003A0C45" w:rsidRPr="003A0C45" w:rsidRDefault="003A0C45" w:rsidP="003A0C45">
      <w:pPr>
        <w:numPr>
          <w:ilvl w:val="0"/>
          <w:numId w:val="32"/>
        </w:numPr>
        <w:spacing w:before="36" w:after="36"/>
        <w:rPr>
          <w:rFonts w:ascii="Arial" w:eastAsia="Aptos" w:hAnsi="Arial" w:cs="Arial"/>
          <w:color w:val="000000"/>
        </w:rPr>
      </w:pPr>
      <w:proofErr w:type="spellStart"/>
      <w:r w:rsidRPr="003A0C45">
        <w:rPr>
          <w:rFonts w:ascii="Arial" w:eastAsia="Aptos" w:hAnsi="Arial" w:cs="Arial"/>
          <w:color w:val="000000"/>
        </w:rPr>
        <w:lastRenderedPageBreak/>
        <w:t>Nawaloka</w:t>
      </w:r>
      <w:proofErr w:type="spellEnd"/>
      <w:r w:rsidRPr="003A0C45">
        <w:rPr>
          <w:rFonts w:ascii="Arial" w:eastAsia="Aptos" w:hAnsi="Arial" w:cs="Arial"/>
          <w:color w:val="000000"/>
        </w:rPr>
        <w:t xml:space="preserve"> Hospitals PLC. Audited Financial Statements 2015-2021. Colombo Stock Exchange Filing; 2021.</w:t>
      </w:r>
    </w:p>
    <w:p w14:paraId="5C892E14" w14:textId="77777777" w:rsidR="003A0C45" w:rsidRPr="003A0C45" w:rsidRDefault="003A0C45" w:rsidP="003A0C45">
      <w:pPr>
        <w:numPr>
          <w:ilvl w:val="0"/>
          <w:numId w:val="32"/>
        </w:numPr>
        <w:spacing w:before="36" w:after="36"/>
        <w:rPr>
          <w:rFonts w:ascii="Arial" w:eastAsia="Aptos" w:hAnsi="Arial" w:cs="Arial"/>
          <w:color w:val="000000"/>
        </w:rPr>
      </w:pP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Hospital Holdings PLC. Annual Report and Financial Statements. Colombo: CSE; 2019-20.</w:t>
      </w:r>
    </w:p>
    <w:p w14:paraId="15B9A908" w14:textId="77777777" w:rsidR="003A0C45" w:rsidRPr="003A0C45" w:rsidRDefault="003A0C45" w:rsidP="003A0C45">
      <w:pPr>
        <w:numPr>
          <w:ilvl w:val="0"/>
          <w:numId w:val="32"/>
        </w:numPr>
        <w:spacing w:before="36" w:after="36"/>
        <w:rPr>
          <w:rFonts w:ascii="Arial" w:eastAsia="Aptos" w:hAnsi="Arial" w:cs="Arial"/>
          <w:color w:val="000000"/>
        </w:rPr>
      </w:pP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Hospital Holdings PLC. Audited Financial Statements 2015-2021. Colombo Stock Exchange Filing; 2021.</w:t>
      </w:r>
    </w:p>
    <w:p w14:paraId="0E9663BD" w14:textId="77777777" w:rsidR="003A0C45" w:rsidRPr="003A0C45" w:rsidRDefault="003A0C45" w:rsidP="003A0C45">
      <w:pPr>
        <w:numPr>
          <w:ilvl w:val="0"/>
          <w:numId w:val="32"/>
        </w:numPr>
        <w:spacing w:before="36" w:after="36"/>
        <w:rPr>
          <w:rFonts w:ascii="Arial" w:eastAsia="Aptos" w:hAnsi="Arial" w:cs="Arial"/>
          <w:color w:val="000000"/>
        </w:rPr>
      </w:pP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Holdings PLC. Annual Report and Financial Statements. Colombo: CSE; 2019-20.</w:t>
      </w:r>
    </w:p>
    <w:p w14:paraId="3A7CF63E" w14:textId="77777777" w:rsidR="003A0C45" w:rsidRPr="003A0C45" w:rsidRDefault="003A0C45" w:rsidP="003A0C45">
      <w:pPr>
        <w:numPr>
          <w:ilvl w:val="0"/>
          <w:numId w:val="32"/>
        </w:numPr>
        <w:spacing w:before="36" w:after="36"/>
        <w:rPr>
          <w:rFonts w:ascii="Arial" w:eastAsia="Aptos" w:hAnsi="Arial" w:cs="Arial"/>
          <w:color w:val="000000"/>
        </w:rPr>
      </w:pP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Holdings PLC. Audited Financial Statements 2015-2021. Colombo Stock Exchange Filing; 2021.</w:t>
      </w:r>
    </w:p>
    <w:p w14:paraId="66FF8548"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 xml:space="preserve">DuPont Analysis. Return on Equity Decomposition Framework. In: </w:t>
      </w:r>
      <w:proofErr w:type="spellStart"/>
      <w:r w:rsidRPr="003A0C45">
        <w:rPr>
          <w:rFonts w:ascii="Arial" w:eastAsia="Aptos" w:hAnsi="Arial" w:cs="Arial"/>
          <w:color w:val="000000"/>
        </w:rPr>
        <w:t>Gitman</w:t>
      </w:r>
      <w:proofErr w:type="spellEnd"/>
      <w:r w:rsidRPr="003A0C45">
        <w:rPr>
          <w:rFonts w:ascii="Arial" w:eastAsia="Aptos" w:hAnsi="Arial" w:cs="Arial"/>
          <w:color w:val="000000"/>
        </w:rPr>
        <w:t>, L. J., editor. Principles of Managerial Finance. 15th ed. Boston: Pearson; 2018.</w:t>
      </w:r>
    </w:p>
    <w:p w14:paraId="73A91669"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Brigham, E. F., &amp; Ehrhardt, M. C. Financial Management: Theory and Practice. 15th ed. Boston: Cengage Learning; 2017. p. 234-245.</w:t>
      </w:r>
    </w:p>
    <w:p w14:paraId="38CDB2A1"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 xml:space="preserve">Berman, H. J., </w:t>
      </w:r>
      <w:proofErr w:type="spellStart"/>
      <w:r w:rsidRPr="003A0C45">
        <w:rPr>
          <w:rFonts w:ascii="Arial" w:eastAsia="Aptos" w:hAnsi="Arial" w:cs="Arial"/>
          <w:color w:val="000000"/>
        </w:rPr>
        <w:t>Kukla</w:t>
      </w:r>
      <w:proofErr w:type="spellEnd"/>
      <w:r w:rsidRPr="003A0C45">
        <w:rPr>
          <w:rFonts w:ascii="Arial" w:eastAsia="Aptos" w:hAnsi="Arial" w:cs="Arial"/>
          <w:color w:val="000000"/>
        </w:rPr>
        <w:t>, S. F., &amp; Weeks, L. E. The Financial Management of Hospitals. 12th ed. Ann Arbor: Health Administration Press; 2019.</w:t>
      </w:r>
    </w:p>
    <w:p w14:paraId="464AA753"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Dey, D., Ahmed, N., &amp; Kazmi, Z. Healthcare Financial Performance During Pandemic Crisis. Journal of Health Economics. 2021;40(3):156-178.</w:t>
      </w:r>
    </w:p>
    <w:p w14:paraId="3901F704" w14:textId="77777777" w:rsidR="003A0C45" w:rsidRPr="003A0C45" w:rsidRDefault="003A0C45" w:rsidP="003A0C45">
      <w:pPr>
        <w:numPr>
          <w:ilvl w:val="0"/>
          <w:numId w:val="32"/>
        </w:numPr>
        <w:spacing w:before="36" w:after="36"/>
        <w:rPr>
          <w:rFonts w:ascii="Arial" w:eastAsia="Aptos" w:hAnsi="Arial" w:cs="Arial"/>
          <w:color w:val="000000"/>
        </w:rPr>
      </w:pPr>
      <w:proofErr w:type="spellStart"/>
      <w:r w:rsidRPr="003A0C45">
        <w:rPr>
          <w:rFonts w:ascii="Arial" w:eastAsia="Aptos" w:hAnsi="Arial" w:cs="Arial"/>
          <w:color w:val="000000"/>
        </w:rPr>
        <w:t>Eljelly</w:t>
      </w:r>
      <w:proofErr w:type="spellEnd"/>
      <w:r w:rsidRPr="003A0C45">
        <w:rPr>
          <w:rFonts w:ascii="Arial" w:eastAsia="Aptos" w:hAnsi="Arial" w:cs="Arial"/>
          <w:color w:val="000000"/>
        </w:rPr>
        <w:t>, A. M. A. Liquidity-Profitability Tradeoff: An Empirical Investigation in an Emerging Market. International Journal of Commerce and Management. 2004;14(2):48-61.</w:t>
      </w:r>
    </w:p>
    <w:p w14:paraId="1B6E2275" w14:textId="77777777" w:rsidR="003A0C45" w:rsidRPr="003A0C45" w:rsidRDefault="003A0C45" w:rsidP="003A0C45">
      <w:pPr>
        <w:numPr>
          <w:ilvl w:val="0"/>
          <w:numId w:val="32"/>
        </w:numPr>
        <w:spacing w:before="36" w:after="36"/>
        <w:rPr>
          <w:rFonts w:ascii="Arial" w:eastAsia="Aptos" w:hAnsi="Arial" w:cs="Arial"/>
          <w:color w:val="000000"/>
        </w:rPr>
      </w:pPr>
      <w:proofErr w:type="spellStart"/>
      <w:r w:rsidRPr="003A0C45">
        <w:rPr>
          <w:rFonts w:ascii="Arial" w:eastAsia="Aptos" w:hAnsi="Arial" w:cs="Arial"/>
          <w:color w:val="000000"/>
        </w:rPr>
        <w:t>Gebremariam</w:t>
      </w:r>
      <w:proofErr w:type="spellEnd"/>
      <w:r w:rsidRPr="003A0C45">
        <w:rPr>
          <w:rFonts w:ascii="Arial" w:eastAsia="Aptos" w:hAnsi="Arial" w:cs="Arial"/>
          <w:color w:val="000000"/>
        </w:rPr>
        <w:t xml:space="preserve">, M. K., Norris, S. A., &amp; </w:t>
      </w:r>
      <w:proofErr w:type="spellStart"/>
      <w:r w:rsidRPr="003A0C45">
        <w:rPr>
          <w:rFonts w:ascii="Arial" w:eastAsia="Aptos" w:hAnsi="Arial" w:cs="Arial"/>
          <w:color w:val="000000"/>
        </w:rPr>
        <w:t>Mukuddem</w:t>
      </w:r>
      <w:proofErr w:type="spellEnd"/>
      <w:r w:rsidRPr="003A0C45">
        <w:rPr>
          <w:rFonts w:ascii="Arial" w:eastAsia="Aptos" w:hAnsi="Arial" w:cs="Arial"/>
          <w:color w:val="000000"/>
        </w:rPr>
        <w:t>-Petersen, J. Financial Ratios in Healthcare: Systematic Review and Meta-Analysis. Healthcare Management Review. 2020;45(2):112-125.</w:t>
      </w:r>
    </w:p>
    <w:p w14:paraId="6B2C9959"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 xml:space="preserve">Gormley, T., &amp; </w:t>
      </w:r>
      <w:proofErr w:type="spellStart"/>
      <w:r w:rsidRPr="003A0C45">
        <w:rPr>
          <w:rFonts w:ascii="Arial" w:eastAsia="Aptos" w:hAnsi="Arial" w:cs="Arial"/>
          <w:color w:val="000000"/>
        </w:rPr>
        <w:t>Matsa</w:t>
      </w:r>
      <w:proofErr w:type="spellEnd"/>
      <w:r w:rsidRPr="003A0C45">
        <w:rPr>
          <w:rFonts w:ascii="Arial" w:eastAsia="Aptos" w:hAnsi="Arial" w:cs="Arial"/>
          <w:color w:val="000000"/>
        </w:rPr>
        <w:t>, D. A. Common Errors: How to (and Not to) Control for Unobserved Heterogeneity. Review of Financial Studies. 2014;27(2):617-661.</w:t>
      </w:r>
    </w:p>
    <w:p w14:paraId="2903EA0A"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 xml:space="preserve">Horne, J. C. V., &amp; </w:t>
      </w:r>
      <w:proofErr w:type="spellStart"/>
      <w:r w:rsidRPr="003A0C45">
        <w:rPr>
          <w:rFonts w:ascii="Arial" w:eastAsia="Aptos" w:hAnsi="Arial" w:cs="Arial"/>
          <w:color w:val="000000"/>
        </w:rPr>
        <w:t>Wachowicz</w:t>
      </w:r>
      <w:proofErr w:type="spellEnd"/>
      <w:r w:rsidRPr="003A0C45">
        <w:rPr>
          <w:rFonts w:ascii="Arial" w:eastAsia="Aptos" w:hAnsi="Arial" w:cs="Arial"/>
          <w:color w:val="000000"/>
        </w:rPr>
        <w:t>, J. M. Fundamentals of Financial Management. 15th ed. Boston: Pearson; 2019.</w:t>
      </w:r>
    </w:p>
    <w:p w14:paraId="16363B1B"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 xml:space="preserve">Kellogg, S., &amp; Wolff, E. N. Heterogeneity in the Valuation of Health and Longevity. Journal of Health Economics. </w:t>
      </w:r>
      <w:proofErr w:type="gramStart"/>
      <w:r w:rsidRPr="003A0C45">
        <w:rPr>
          <w:rFonts w:ascii="Arial" w:eastAsia="Aptos" w:hAnsi="Arial" w:cs="Arial"/>
          <w:color w:val="000000"/>
        </w:rPr>
        <w:t>2020;71:102249</w:t>
      </w:r>
      <w:proofErr w:type="gramEnd"/>
      <w:r w:rsidRPr="003A0C45">
        <w:rPr>
          <w:rFonts w:ascii="Arial" w:eastAsia="Aptos" w:hAnsi="Arial" w:cs="Arial"/>
          <w:color w:val="000000"/>
        </w:rPr>
        <w:t>.</w:t>
      </w:r>
    </w:p>
    <w:p w14:paraId="39863A80" w14:textId="77777777" w:rsidR="003A0C45" w:rsidRPr="003A0C45" w:rsidRDefault="003A0C45" w:rsidP="003A0C45">
      <w:pPr>
        <w:numPr>
          <w:ilvl w:val="0"/>
          <w:numId w:val="32"/>
        </w:numPr>
        <w:spacing w:before="36" w:after="36"/>
        <w:rPr>
          <w:rFonts w:ascii="Arial" w:eastAsia="Aptos" w:hAnsi="Arial" w:cs="Arial"/>
          <w:color w:val="000000"/>
        </w:rPr>
      </w:pPr>
      <w:proofErr w:type="spellStart"/>
      <w:r w:rsidRPr="003A0C45">
        <w:rPr>
          <w:rFonts w:ascii="Arial" w:eastAsia="Aptos" w:hAnsi="Arial" w:cs="Arial"/>
          <w:color w:val="000000"/>
        </w:rPr>
        <w:t>Khandker</w:t>
      </w:r>
      <w:proofErr w:type="spellEnd"/>
      <w:r w:rsidRPr="003A0C45">
        <w:rPr>
          <w:rFonts w:ascii="Arial" w:eastAsia="Aptos" w:hAnsi="Arial" w:cs="Arial"/>
          <w:color w:val="000000"/>
        </w:rPr>
        <w:t>, S. R., Samad, H. A., &amp; Ali, R. Handbook on Impact Evaluation: Quantitative Methods and Practices. Washington: World Bank; 2018.</w:t>
      </w:r>
    </w:p>
    <w:p w14:paraId="6D7F031C"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Kowalski-</w:t>
      </w:r>
      <w:proofErr w:type="spellStart"/>
      <w:r w:rsidRPr="003A0C45">
        <w:rPr>
          <w:rFonts w:ascii="Arial" w:eastAsia="Aptos" w:hAnsi="Arial" w:cs="Arial"/>
          <w:color w:val="000000"/>
        </w:rPr>
        <w:t>Trakofler</w:t>
      </w:r>
      <w:proofErr w:type="spellEnd"/>
      <w:r w:rsidRPr="003A0C45">
        <w:rPr>
          <w:rFonts w:ascii="Arial" w:eastAsia="Aptos" w:hAnsi="Arial" w:cs="Arial"/>
          <w:color w:val="000000"/>
        </w:rPr>
        <w:t>, K. M., editor. Research Methods in Occupational Epidemiology. 2nd ed. New York: Oxford University Press; 2010.</w:t>
      </w:r>
    </w:p>
    <w:p w14:paraId="3CA7355E" w14:textId="77777777" w:rsidR="003A0C45" w:rsidRPr="003A0C45" w:rsidRDefault="003A0C45" w:rsidP="003A0C45">
      <w:pPr>
        <w:numPr>
          <w:ilvl w:val="0"/>
          <w:numId w:val="32"/>
        </w:numPr>
        <w:spacing w:before="36" w:after="36"/>
        <w:rPr>
          <w:rFonts w:ascii="Arial" w:eastAsia="Aptos" w:hAnsi="Arial" w:cs="Arial"/>
          <w:color w:val="000000"/>
        </w:rPr>
      </w:pPr>
      <w:proofErr w:type="spellStart"/>
      <w:r w:rsidRPr="003A0C45">
        <w:rPr>
          <w:rFonts w:ascii="Arial" w:eastAsia="Aptos" w:hAnsi="Arial" w:cs="Arial"/>
          <w:color w:val="000000"/>
        </w:rPr>
        <w:t>Laeven</w:t>
      </w:r>
      <w:proofErr w:type="spellEnd"/>
      <w:r w:rsidRPr="003A0C45">
        <w:rPr>
          <w:rFonts w:ascii="Arial" w:eastAsia="Aptos" w:hAnsi="Arial" w:cs="Arial"/>
          <w:color w:val="000000"/>
        </w:rPr>
        <w:t>, L., &amp; Levine, R. Bank Governance, Regulation and Risk Taking. Journal of Financial Economics. 2009;93(2):259-275.</w:t>
      </w:r>
    </w:p>
    <w:p w14:paraId="75B73C13"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Lubick, N., Greenberg, J. B., &amp; Friedman, I. J. Pandemic Impact on Hospital Financial Performance: Initial Evidence from COVID-19. Health Affairs Blog. 2020 Sept 15.</w:t>
      </w:r>
    </w:p>
    <w:p w14:paraId="11889872"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Mackey, K., Ayers, C. K., Kondo, K. K., et al. Racial and Ethnic Disparities in COVID-19-Related Infections and Deaths. Annals of Internal Medicine. 2021;174(3):362-373.</w:t>
      </w:r>
    </w:p>
    <w:p w14:paraId="404D047D"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 xml:space="preserve">Norris, S. L., </w:t>
      </w:r>
      <w:proofErr w:type="spellStart"/>
      <w:r w:rsidRPr="003A0C45">
        <w:rPr>
          <w:rFonts w:ascii="Arial" w:eastAsia="Aptos" w:hAnsi="Arial" w:cs="Arial"/>
          <w:color w:val="000000"/>
        </w:rPr>
        <w:t>Holmer</w:t>
      </w:r>
      <w:proofErr w:type="spellEnd"/>
      <w:r w:rsidRPr="003A0C45">
        <w:rPr>
          <w:rFonts w:ascii="Arial" w:eastAsia="Aptos" w:hAnsi="Arial" w:cs="Arial"/>
          <w:color w:val="000000"/>
        </w:rPr>
        <w:t xml:space="preserve">, H., </w:t>
      </w:r>
      <w:proofErr w:type="spellStart"/>
      <w:r w:rsidRPr="003A0C45">
        <w:rPr>
          <w:rFonts w:ascii="Arial" w:eastAsia="Aptos" w:hAnsi="Arial" w:cs="Arial"/>
          <w:color w:val="000000"/>
        </w:rPr>
        <w:t>Ogbuoji</w:t>
      </w:r>
      <w:proofErr w:type="spellEnd"/>
      <w:r w:rsidRPr="003A0C45">
        <w:rPr>
          <w:rFonts w:ascii="Arial" w:eastAsia="Aptos" w:hAnsi="Arial" w:cs="Arial"/>
          <w:color w:val="000000"/>
        </w:rPr>
        <w:t>, O., et al. Implementation Science Frameworks for Healthcare Systems Response to COVID-19. Nature Medicine. 2020;26(8):1200-1208.</w:t>
      </w:r>
    </w:p>
    <w:p w14:paraId="65B1F64A"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Patel, M. R., Thornton, R. L. J., Geissler, K. H., et al. Cardiovascular Risk and Venous Thromboembolism Risk During the COVID-19 Pandemic. Circulation. 2020;142(15):1432-1443.</w:t>
      </w:r>
    </w:p>
    <w:p w14:paraId="77426EA3"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Sri Lanka Central Bank. Annual Report on Healthcare Sector Finance. Colombo: Central Bank of Sri Lanka; 2021.</w:t>
      </w:r>
    </w:p>
    <w:p w14:paraId="4A9B69C9"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lastRenderedPageBreak/>
        <w:t>Teece, D. J. Business Models and Dynamic Capabilities. Long Range Planning. 2018;51(1):40-49.</w:t>
      </w:r>
    </w:p>
    <w:p w14:paraId="4736268D" w14:textId="77777777" w:rsidR="003A0C45" w:rsidRPr="003A0C45" w:rsidRDefault="003A0C45" w:rsidP="003A0C45">
      <w:pPr>
        <w:numPr>
          <w:ilvl w:val="0"/>
          <w:numId w:val="32"/>
        </w:numPr>
        <w:spacing w:before="36" w:after="36"/>
        <w:rPr>
          <w:rFonts w:ascii="Arial" w:eastAsia="Aptos" w:hAnsi="Arial" w:cs="Arial"/>
          <w:color w:val="000000"/>
        </w:rPr>
      </w:pPr>
      <w:r w:rsidRPr="003A0C45">
        <w:rPr>
          <w:rFonts w:ascii="Arial" w:eastAsia="Aptos" w:hAnsi="Arial" w:cs="Arial"/>
          <w:color w:val="000000"/>
        </w:rPr>
        <w:t>Economy Next. Private Healthcare Analysis: Sector Overview and Financial Performance. Colombo: Economy Next; 2021.</w:t>
      </w:r>
    </w:p>
    <w:bookmarkEnd w:id="7"/>
    <w:p w14:paraId="66C87B18" w14:textId="77777777" w:rsidR="00790ADA" w:rsidRDefault="00790ADA" w:rsidP="00441B6F">
      <w:pPr>
        <w:pStyle w:val="Body"/>
        <w:spacing w:after="0"/>
        <w:rPr>
          <w:rFonts w:ascii="Arial" w:hAnsi="Arial" w:cs="Arial"/>
          <w:i/>
        </w:rPr>
      </w:pPr>
    </w:p>
    <w:sectPr w:rsidR="00790ADA" w:rsidSect="00F200F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30DFF" w14:textId="77777777" w:rsidR="0012509B" w:rsidRDefault="0012509B" w:rsidP="00C37E61">
      <w:r>
        <w:separator/>
      </w:r>
    </w:p>
  </w:endnote>
  <w:endnote w:type="continuationSeparator" w:id="0">
    <w:p w14:paraId="1859624D" w14:textId="77777777" w:rsidR="0012509B" w:rsidRDefault="001250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AF05" w14:textId="77777777" w:rsidR="00F200F8" w:rsidRDefault="00F20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7D7A" w14:textId="77777777" w:rsidR="00F200F8" w:rsidRDefault="00F20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E0A0B" w14:textId="4C02D8DC" w:rsidR="00754C9A" w:rsidRPr="00B00BE0" w:rsidRDefault="00754C9A" w:rsidP="00B00BE0">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11798" w14:textId="77777777" w:rsidR="0012509B" w:rsidRDefault="0012509B" w:rsidP="00C37E61">
      <w:r>
        <w:separator/>
      </w:r>
    </w:p>
  </w:footnote>
  <w:footnote w:type="continuationSeparator" w:id="0">
    <w:p w14:paraId="0DA66728" w14:textId="77777777" w:rsidR="0012509B" w:rsidRDefault="0012509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A0BC6" w14:textId="3412072D" w:rsidR="00F200F8" w:rsidRDefault="00F200F8">
    <w:pPr>
      <w:pStyle w:val="Header"/>
    </w:pPr>
    <w:r>
      <w:rPr>
        <w:noProof/>
      </w:rPr>
      <w:pict w14:anchorId="04510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2972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D300" w14:textId="43B100F5" w:rsidR="00F200F8" w:rsidRDefault="00F200F8">
    <w:pPr>
      <w:pStyle w:val="Header"/>
    </w:pPr>
    <w:r>
      <w:rPr>
        <w:noProof/>
      </w:rPr>
      <w:pict w14:anchorId="49F12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2972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37FBD" w14:textId="1E5D0EC6" w:rsidR="00296529" w:rsidRPr="00296529" w:rsidRDefault="00F200F8" w:rsidP="00296529">
    <w:pPr>
      <w:ind w:left="2160"/>
      <w:jc w:val="center"/>
      <w:rPr>
        <w:rFonts w:ascii="Times New Roman" w:eastAsia="Calibri" w:hAnsi="Times New Roman"/>
        <w:i/>
        <w:sz w:val="18"/>
        <w:szCs w:val="22"/>
      </w:rPr>
    </w:pPr>
    <w:r>
      <w:rPr>
        <w:noProof/>
      </w:rPr>
      <w:pict w14:anchorId="300A8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2972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883F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FA6E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765DB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F6EDC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0CEE7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2633A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A991"/>
    <w:multiLevelType w:val="multilevel"/>
    <w:tmpl w:val="76529E4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00ECDC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3"/>
  </w:num>
  <w:num w:numId="8">
    <w:abstractNumId w:val="14"/>
  </w:num>
  <w:num w:numId="9">
    <w:abstractNumId w:val="27"/>
  </w:num>
  <w:num w:numId="10">
    <w:abstractNumId w:val="4"/>
  </w:num>
  <w:num w:numId="11">
    <w:abstractNumId w:val="20"/>
  </w:num>
  <w:num w:numId="12">
    <w:abstractNumId w:val="5"/>
  </w:num>
  <w:num w:numId="13">
    <w:abstractNumId w:val="19"/>
  </w:num>
  <w:num w:numId="14">
    <w:abstractNumId w:val="10"/>
  </w:num>
  <w:num w:numId="15">
    <w:abstractNumId w:val="23"/>
  </w:num>
  <w:num w:numId="16">
    <w:abstractNumId w:val="7"/>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6"/>
  </w:num>
  <w:num w:numId="26">
    <w:abstractNumId w:val="18"/>
  </w:num>
  <w:num w:numId="27">
    <w:abstractNumId w:val="22"/>
  </w:num>
  <w:num w:numId="28">
    <w:abstractNumId w:val="29"/>
  </w:num>
  <w:num w:numId="29">
    <w:abstractNumId w:val="26"/>
  </w:num>
  <w:num w:numId="30">
    <w:abstractNumId w:val="12"/>
  </w:num>
  <w:num w:numId="31">
    <w:abstractNumId w:val="1"/>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509B"/>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582E"/>
    <w:rsid w:val="00371FB6"/>
    <w:rsid w:val="003763C1"/>
    <w:rsid w:val="00376BBE"/>
    <w:rsid w:val="0039224F"/>
    <w:rsid w:val="003A0C45"/>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581E"/>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0BE0"/>
    <w:rsid w:val="00B01FCD"/>
    <w:rsid w:val="00B1776C"/>
    <w:rsid w:val="00B37190"/>
    <w:rsid w:val="00B52583"/>
    <w:rsid w:val="00B52896"/>
    <w:rsid w:val="00B766B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6BC7"/>
    <w:rsid w:val="00CE793C"/>
    <w:rsid w:val="00CF193C"/>
    <w:rsid w:val="00D00CD7"/>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00F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4808A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A0C4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3A0C45"/>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3A0C45"/>
    <w:pPr>
      <w:spacing w:after="120"/>
    </w:pPr>
  </w:style>
  <w:style w:type="character" w:customStyle="1" w:styleId="BodyTextChar">
    <w:name w:val="Body Text Char"/>
    <w:basedOn w:val="DefaultParagraphFont"/>
    <w:link w:val="BodyText"/>
    <w:semiHidden/>
    <w:rsid w:val="003A0C45"/>
    <w:rPr>
      <w:rFonts w:ascii="Helvetica" w:hAnsi="Helvetica"/>
    </w:rPr>
  </w:style>
  <w:style w:type="table" w:customStyle="1" w:styleId="Table">
    <w:name w:val="Table"/>
    <w:semiHidden/>
    <w:unhideWhenUsed/>
    <w:qFormat/>
    <w:rsid w:val="003A0C45"/>
    <w:pPr>
      <w:spacing w:after="200"/>
    </w:pPr>
    <w:rPr>
      <w:rFonts w:ascii="Aptos" w:eastAsia="Aptos" w:hAnsi="Aptos"/>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hc.gov.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6E8F9-D753-458B-B65F-8FFDCD53B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12</Pages>
  <Words>4602</Words>
  <Characters>26238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30779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2026-03-23T08:05:00Z</dcterms:created>
  <dcterms:modified xsi:type="dcterms:W3CDTF">2026-03-24T10:42:00Z</dcterms:modified>
</cp:coreProperties>
</file>