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4F62D" w14:textId="77777777" w:rsidR="00D30CE6" w:rsidRDefault="00D30CE6">
      <w:pPr>
        <w:spacing w:after="140"/>
        <w:jc w:val="center"/>
        <w:rPr>
          <w:b/>
          <w:bCs/>
          <w:sz w:val="36"/>
          <w:szCs w:val="36"/>
        </w:rPr>
      </w:pPr>
      <w:r w:rsidRPr="00D30CE6">
        <w:rPr>
          <w:b/>
          <w:bCs/>
          <w:sz w:val="36"/>
          <w:szCs w:val="36"/>
        </w:rPr>
        <w:t>Review Article</w:t>
      </w:r>
    </w:p>
    <w:p w14:paraId="4282CDDB" w14:textId="77777777" w:rsidR="00D30CE6" w:rsidRDefault="00D30CE6">
      <w:pPr>
        <w:spacing w:after="140"/>
        <w:jc w:val="center"/>
        <w:rPr>
          <w:b/>
          <w:bCs/>
          <w:sz w:val="36"/>
          <w:szCs w:val="36"/>
        </w:rPr>
      </w:pPr>
    </w:p>
    <w:p w14:paraId="2D327E2F" w14:textId="5104DC43" w:rsidR="00FC017C" w:rsidRPr="009A7D26" w:rsidRDefault="003C0B17">
      <w:pPr>
        <w:spacing w:after="140"/>
        <w:jc w:val="center"/>
        <w:rPr>
          <w:sz w:val="36"/>
          <w:szCs w:val="36"/>
        </w:rPr>
      </w:pPr>
      <w:r w:rsidRPr="009A7D26">
        <w:rPr>
          <w:b/>
          <w:bCs/>
          <w:sz w:val="36"/>
          <w:szCs w:val="36"/>
        </w:rPr>
        <w:t>Tumor Microenvironment and Drug Response: A Pathology–Pharmacology Perspective on Mechanisms of Therapeutic Resistance</w:t>
      </w:r>
    </w:p>
    <w:p w14:paraId="20BC936D" w14:textId="77777777" w:rsidR="007E6015" w:rsidRDefault="007E6015">
      <w:pPr>
        <w:spacing w:before="220" w:after="100"/>
        <w:rPr>
          <w:b/>
          <w:bCs/>
          <w:sz w:val="24"/>
          <w:szCs w:val="24"/>
          <w:lang w:val="sv-SE"/>
        </w:rPr>
      </w:pPr>
    </w:p>
    <w:p w14:paraId="291AE226" w14:textId="4BA1FEE6" w:rsidR="00FC017C" w:rsidRDefault="003C0B17">
      <w:pPr>
        <w:spacing w:before="220" w:after="100"/>
      </w:pPr>
      <w:r>
        <w:rPr>
          <w:b/>
          <w:bCs/>
          <w:sz w:val="22"/>
          <w:szCs w:val="22"/>
        </w:rPr>
        <w:t>ABSTRACT</w:t>
      </w:r>
    </w:p>
    <w:p w14:paraId="0762861A" w14:textId="77777777" w:rsidR="00FC017C" w:rsidRDefault="003C0B17">
      <w:pPr>
        <w:spacing w:before="100" w:after="100" w:line="253" w:lineRule="auto"/>
        <w:jc w:val="both"/>
      </w:pPr>
      <w:r>
        <w:rPr>
          <w:b/>
          <w:bCs/>
        </w:rPr>
        <w:t xml:space="preserve">Aims: </w:t>
      </w:r>
      <w:r>
        <w:t xml:space="preserve">To provide an integrated review of tumor microenvironment (TME) architecture and its influence on pharmacologic response, with emphasis on mechanisms of therapeutic resistance </w:t>
      </w:r>
      <w:r>
        <w:t>and translational implications for precision oncology.</w:t>
      </w:r>
    </w:p>
    <w:p w14:paraId="69BF530F" w14:textId="77777777" w:rsidR="00FC017C" w:rsidRDefault="003C0B17">
      <w:pPr>
        <w:spacing w:before="100" w:after="100" w:line="253" w:lineRule="auto"/>
        <w:jc w:val="both"/>
      </w:pPr>
      <w:r>
        <w:rPr>
          <w:b/>
          <w:bCs/>
        </w:rPr>
        <w:t xml:space="preserve">Study Design: </w:t>
      </w:r>
      <w:r>
        <w:t>Narrative review of contemporary biomedical literature.</w:t>
      </w:r>
    </w:p>
    <w:p w14:paraId="6BE24874" w14:textId="77777777" w:rsidR="00FC017C" w:rsidRDefault="003C0B17">
      <w:pPr>
        <w:spacing w:before="100" w:after="100" w:line="253" w:lineRule="auto"/>
        <w:jc w:val="both"/>
      </w:pPr>
      <w:r>
        <w:rPr>
          <w:b/>
          <w:bCs/>
        </w:rPr>
        <w:t xml:space="preserve">Methodology: </w:t>
      </w:r>
      <w:r>
        <w:t>Peer-reviewed articles indexed in major biomedical databases (PubMed, MEDLINE, Scopus, Web of Science, ClinicalTrials.</w:t>
      </w:r>
      <w:r>
        <w:t>gov) were analyzed with focus on tumor stroma biology, immune modulation, drug penetration dynamics, hypoxia-mediated resistance, and checkpoint pharmacodynamics. Emphasis was placed on landmark publications and high-impact studies from the last two decade</w:t>
      </w:r>
      <w:r>
        <w:t>s (2000–2024).</w:t>
      </w:r>
    </w:p>
    <w:p w14:paraId="63027A75" w14:textId="77777777" w:rsidR="00FC017C" w:rsidRDefault="003C0B17">
      <w:pPr>
        <w:spacing w:before="100" w:after="100" w:line="253" w:lineRule="auto"/>
        <w:jc w:val="both"/>
      </w:pPr>
      <w:r>
        <w:rPr>
          <w:b/>
          <w:bCs/>
        </w:rPr>
        <w:t xml:space="preserve">Results: </w:t>
      </w:r>
      <w:r>
        <w:t>The tumor microenvironment consists of cancer-associated fibroblasts, diverse immune infiltrates, extracellular matrix components, and structurally abnormal vasculature that collectively create physical and biological barriers to dr</w:t>
      </w:r>
      <w:r>
        <w:t>ug delivery and response. Stromal fibrosis elevates interstitial fluid pressure, limiting the diffusion of macromolecular therapeutics. Hypoxia stabilizes hypoxia-inducible factors, promoting survival signaling and conferring resistance to chemotherapy and</w:t>
      </w:r>
      <w:r>
        <w:t xml:space="preserve"> radiotherapy. Immune checkpoint expression modifies response to immunotherapy in a context-dependent manner. Histopathological biomarkers—including </w:t>
      </w:r>
      <w:proofErr w:type="spellStart"/>
      <w:r>
        <w:t>Immunoscore</w:t>
      </w:r>
      <w:proofErr w:type="spellEnd"/>
      <w:r>
        <w:t>, tumor mutational burden, and HIF-1α expression—serve as critical determinants in therapeutic s</w:t>
      </w:r>
      <w:r>
        <w:t>tratification. Emerging combinatorial strategies targeting multiple TME components offer promising avenues for overcoming resistance.</w:t>
      </w:r>
    </w:p>
    <w:p w14:paraId="7120BF21" w14:textId="77777777" w:rsidR="00FC017C" w:rsidRDefault="003C0B17">
      <w:pPr>
        <w:spacing w:before="100" w:after="100" w:line="253" w:lineRule="auto"/>
        <w:jc w:val="both"/>
      </w:pPr>
      <w:r>
        <w:rPr>
          <w:b/>
          <w:bCs/>
        </w:rPr>
        <w:t xml:space="preserve">Conclusion: </w:t>
      </w:r>
      <w:r>
        <w:t>Therapeutic resistance is multidimensionally shaped by microenvironmental dynamics extending well beyond tumor</w:t>
      </w:r>
      <w:r>
        <w:t xml:space="preserve"> cell-intrinsic genomic alterations. Integrating pathological evaluation with pharmacologic understanding is essential for advancing precision oncology strategies and supports genuinely interdisciplinary translational medicine.</w:t>
      </w:r>
    </w:p>
    <w:p w14:paraId="10515305" w14:textId="77777777" w:rsidR="00FC017C" w:rsidRDefault="003C0B17">
      <w:pPr>
        <w:spacing w:before="100" w:after="100" w:line="253" w:lineRule="auto"/>
        <w:jc w:val="both"/>
      </w:pPr>
      <w:r>
        <w:rPr>
          <w:b/>
          <w:bCs/>
        </w:rPr>
        <w:t xml:space="preserve">Keywords: </w:t>
      </w:r>
      <w:r>
        <w:rPr>
          <w:i/>
          <w:iCs/>
        </w:rPr>
        <w:t>Tumor microenviron</w:t>
      </w:r>
      <w:r>
        <w:rPr>
          <w:i/>
          <w:iCs/>
        </w:rPr>
        <w:t>ment; Drug resistance; Hypoxia; Immunotherapy; Precision oncology; Cancer stroma; Cancer-associated fibroblasts; Immune checkpoint; Vascular normalization</w:t>
      </w:r>
    </w:p>
    <w:p w14:paraId="38305E42" w14:textId="77777777" w:rsidR="00FC017C" w:rsidRDefault="003C0B17">
      <w:pPr>
        <w:spacing w:before="220" w:after="100"/>
      </w:pPr>
      <w:r>
        <w:rPr>
          <w:b/>
          <w:bCs/>
          <w:sz w:val="22"/>
          <w:szCs w:val="22"/>
        </w:rPr>
        <w:t>1. INTRODUCTION</w:t>
      </w:r>
    </w:p>
    <w:p w14:paraId="329CEB76" w14:textId="77777777" w:rsidR="00FC017C" w:rsidRDefault="003C0B17">
      <w:pPr>
        <w:spacing w:before="100" w:after="100" w:line="253" w:lineRule="auto"/>
        <w:jc w:val="both"/>
      </w:pPr>
      <w:r>
        <w:t>Cancer remains one of the foremost causes of mortality worldwide, accounting for an e</w:t>
      </w:r>
      <w:r>
        <w:t>stimated 10 million deaths annually and representing a profound and persistent burden on healthcare systems globally. Despite remarkable advances in molecular oncology, targeted therapy, and immunotherapy over the past two decades, therapeutic failure cont</w:t>
      </w:r>
      <w:r>
        <w:t>inues to affect a substantial proportion of patients across all major cancer types. The prevailing paradigm for decades focused predominantly on tumor cell-intrinsic mechanisms—somatic mutations, chromosomal instability, and oncogenic driver alterations—as</w:t>
      </w:r>
      <w:r>
        <w:t xml:space="preserve"> the primary determinants of drug sensitivity and resistance. While these molecular features are undeniably important, this cell-centric view has proven insufficient to fully explain the heterogeneity of therapeutic outcomes observed in clinical practice [</w:t>
      </w:r>
      <w:r>
        <w:t>1,2].</w:t>
      </w:r>
    </w:p>
    <w:p w14:paraId="4901CD68" w14:textId="77777777" w:rsidR="00FC017C" w:rsidRDefault="003C0B17">
      <w:pPr>
        <w:spacing w:before="100" w:after="100" w:line="253" w:lineRule="auto"/>
        <w:jc w:val="both"/>
      </w:pPr>
      <w:r>
        <w:t>An evolving and increasingly compelling body of evidence places the tumor microenvironment (TME) at the center of cancer biology. The TME is a complex, dynamic, and heterogeneous ecosystem that surrounds and interpenetrates malignant cell populations</w:t>
      </w:r>
      <w:r>
        <w:t>. Far from being a passive bystander to tumor progression, the microenvironment actively participates in regulating tumor growth, invasion, metastasis, and—critically—response and resistance to therapeutic intervention [2,3]. This ecological perspective on</w:t>
      </w:r>
      <w:r>
        <w:t xml:space="preserve"> cancer recognizes that the behavior of malignant cells is inseparable from the biological milieu in which they reside.</w:t>
      </w:r>
    </w:p>
    <w:p w14:paraId="6531E9D1" w14:textId="77777777" w:rsidR="00FC017C" w:rsidRDefault="003C0B17">
      <w:pPr>
        <w:spacing w:before="100" w:after="100" w:line="253" w:lineRule="auto"/>
        <w:jc w:val="both"/>
      </w:pPr>
      <w:r>
        <w:lastRenderedPageBreak/>
        <w:t xml:space="preserve">The cellular constituents of the TME are diverse and include cancer-associated fibroblasts (CAFs), tumor-associated macrophages (TAMs), </w:t>
      </w:r>
      <w:r>
        <w:t>regulatory T cells (Tregs), natural killer (NK) cells, myeloid-derived suppressor cells (MDSCs), endothelial cells, pericytes, and various other immune infiltrates. These cells are embedded within a non-cellular matrix composed of collagen, fibronectin, la</w:t>
      </w:r>
      <w:r>
        <w:t>minin, proteoglycans, and an array of soluble mediators including cytokines, chemokines, growth factors, and metabolites [3,4]. The crosstalk between these constituents and tumor cells—mediated through direct contact and paracrine signaling—establishes the</w:t>
      </w:r>
      <w:r>
        <w:t xml:space="preserve"> conditions that either restrain or promote malignant progression.</w:t>
      </w:r>
    </w:p>
    <w:p w14:paraId="46E3EB5D" w14:textId="77777777" w:rsidR="00FC017C" w:rsidRDefault="003C0B17">
      <w:pPr>
        <w:spacing w:before="100" w:after="100" w:line="253" w:lineRule="auto"/>
        <w:jc w:val="both"/>
      </w:pPr>
      <w:r>
        <w:t>From a pharmacologic perspective, the TME profoundly alters the distribution and activity of therapeutic agents in ways that are not captured by conventional pharmacokinetic models predicat</w:t>
      </w:r>
      <w:r>
        <w:t>ed on homogeneous tissue distribution. Elevated interstitial fluid pressure driven by stromal fibrosis, spatially heterogeneous oxygen tensions generated by abnormal vasculature, and immunosuppressive cytokine networks that blunt the activity of both innat</w:t>
      </w:r>
      <w:r>
        <w:t>e and adaptive effector cells collectively translate into a microenvironmental landscape that imposes steep pharmacodynamic barriers [5,7]. Small-molecule chemotherapeutic agents, large biologic molecules including monoclonal antibodies and antibody-drug c</w:t>
      </w:r>
      <w:r>
        <w:t>onjugates, and cellular immunotherapies all encounter these barriers with consequences that meaningfully diminish their clinical efficacy.</w:t>
      </w:r>
    </w:p>
    <w:p w14:paraId="30C932F7" w14:textId="77777777" w:rsidR="00FC017C" w:rsidRDefault="003C0B17">
      <w:pPr>
        <w:spacing w:before="100" w:after="100" w:line="253" w:lineRule="auto"/>
        <w:jc w:val="both"/>
      </w:pPr>
      <w:r>
        <w:t>The intersection of pathology and pharmacology provides a particularly powerful lens through which to study these phe</w:t>
      </w:r>
      <w:r>
        <w:t>nomena. Histopathological evaluation of tumor specimens—long the cornerstone of cancer diagnosis and staging—offers direct morphological readouts of TME composition and organization. The density of stromal fibrosis visible on hematoxylin and eosin staining</w:t>
      </w:r>
      <w:r>
        <w:t xml:space="preserve">, the spatial distribution of immune infiltrates assessable through immunohistochemistry, and the expression of hypoxia markers detectable through targeted assays together constitute a tissue-level pharmacologic map that can inform treatment selection and </w:t>
      </w:r>
      <w:r>
        <w:t>prognostic stratification [24,25]. The emergence of digital pathology, multiplex immunohistochemistry, and spatially resolved transcriptomics is expanding the precision and depth with which this map can be drawn.</w:t>
      </w:r>
    </w:p>
    <w:p w14:paraId="31B501F3" w14:textId="77777777" w:rsidR="00FC017C" w:rsidRDefault="003C0B17">
      <w:pPr>
        <w:spacing w:before="100" w:after="100" w:line="253" w:lineRule="auto"/>
        <w:jc w:val="both"/>
      </w:pPr>
      <w:r>
        <w:t>This review synthesizes current evidence on</w:t>
      </w:r>
      <w:r>
        <w:t xml:space="preserve"> the mechanisms through which the TME mediates therapeutic resistance, organized according to the principal biological axes through which resistance is generated: structural and physical barriers to drug penetration, hypoxia-driven resistance pathways, imm</w:t>
      </w:r>
      <w:r>
        <w:t>une modulation and checkpoint pharmacodynamics, and the metabolic reprogramming that links hypoxia to immune evasion. Translational implications—including biomarker strategies and combinatorial therapeutic approaches—are discussed throughout, with the goal</w:t>
      </w:r>
      <w:r>
        <w:t xml:space="preserve"> of providing an integrated framework relevant to both basic scientists and clinicians engaged in precision oncology.</w:t>
      </w:r>
    </w:p>
    <w:p w14:paraId="0818A76A" w14:textId="77777777" w:rsidR="00FC017C" w:rsidRDefault="003C0B17">
      <w:pPr>
        <w:spacing w:before="220" w:after="100"/>
      </w:pPr>
      <w:r>
        <w:rPr>
          <w:b/>
          <w:bCs/>
          <w:sz w:val="22"/>
          <w:szCs w:val="22"/>
        </w:rPr>
        <w:t>2. METHODOLOGY</w:t>
      </w:r>
    </w:p>
    <w:p w14:paraId="34DB42B5" w14:textId="77777777" w:rsidR="00FC017C" w:rsidRDefault="003C0B17">
      <w:pPr>
        <w:spacing w:before="100" w:after="100" w:line="253" w:lineRule="auto"/>
        <w:jc w:val="both"/>
      </w:pPr>
      <w:r>
        <w:t>This narrative review was conducted through systematic exploration of indexed biomedical literature. Databases interrogated</w:t>
      </w:r>
      <w:r>
        <w:t xml:space="preserve"> included PubMed, MEDLINE, Scopus, Web of Science, and ClinicalTrials.gov. The primary search terms used, individually and in combination, included: “tumor microenvironment,” “drug resistance,” “therapeutic resistance,” “hypoxia,” “hypoxia-inducible factor</w:t>
      </w:r>
      <w:r>
        <w:t>,” “cancer-associated fibroblasts,” “immune checkpoint pharmacology,” “tumor-associated macrophages,” “regulatory T cells,” “tumor vasculature,” “vascular normalization,” “extracellular matrix cancer,” “interstitial fluid pressure,” “</w:t>
      </w:r>
      <w:proofErr w:type="spellStart"/>
      <w:r>
        <w:t>immunoscore</w:t>
      </w:r>
      <w:proofErr w:type="spellEnd"/>
      <w:r>
        <w:t>,” “tumor m</w:t>
      </w:r>
      <w:r>
        <w:t>utational burden,” “PD-L1,” “anti-angiogenic therapy,” “spatially resolved transcriptomics,” and “multiplex immunohistochemistry.”</w:t>
      </w:r>
    </w:p>
    <w:p w14:paraId="5A9AF23E" w14:textId="77777777" w:rsidR="00FC017C" w:rsidRDefault="003C0B17">
      <w:pPr>
        <w:spacing w:before="100" w:after="100" w:line="253" w:lineRule="auto"/>
        <w:jc w:val="both"/>
      </w:pPr>
      <w:r>
        <w:t xml:space="preserve">Landmark studies, seminal mechanistic papers, systematic reviews, meta-analyses, and recent clinical trial reports published </w:t>
      </w:r>
      <w:r>
        <w:t>between 2000 and 2024 were prioritized for inclusion. Priority was given to publications in high-impact peer-reviewed journals and to studies that provided mechanistic insight or direct clinical translational relevance. Studies were reviewed for methodolog</w:t>
      </w:r>
      <w:r>
        <w:t>ical rigor, and data from preclinical models were contextualized against available clinical evidence where possible. The review synthesizes pathologic, molecular, and pharmacologic evidence from the selected literature to construct an interdisciplinary per</w:t>
      </w:r>
      <w:r>
        <w:t>spective on TME-mediated therapeutic resistance.</w:t>
      </w:r>
    </w:p>
    <w:p w14:paraId="054C2239" w14:textId="77777777" w:rsidR="00FC017C" w:rsidRDefault="003C0B17">
      <w:pPr>
        <w:spacing w:before="220" w:after="100"/>
      </w:pPr>
      <w:r>
        <w:rPr>
          <w:b/>
          <w:bCs/>
          <w:sz w:val="22"/>
          <w:szCs w:val="22"/>
        </w:rPr>
        <w:t>3. THE TUMOR MICROENVIRONMENT: ARCHITECTURE AND CELLULAR COMPOSITION</w:t>
      </w:r>
    </w:p>
    <w:p w14:paraId="54C9952F" w14:textId="77777777" w:rsidR="00FC017C" w:rsidRDefault="003C0B17">
      <w:pPr>
        <w:spacing w:before="100" w:after="100" w:line="253" w:lineRule="auto"/>
        <w:jc w:val="both"/>
      </w:pPr>
      <w:r>
        <w:t>Before examining specific mechanisms of therapeutic resistance, it is essential to appreciate the organizational complexity of the TME. Th</w:t>
      </w:r>
      <w:r>
        <w:t>e TME should not be conceptualized as a static backdrop to tumor biology but rather as a dynamically evolving tissue compartment that co-evolves with tumor cell populations through reciprocal signaling [3,27]. This co-evolution is a defining feature of tum</w:t>
      </w:r>
      <w:r>
        <w:t>or progression and therapeutic response alike.</w:t>
      </w:r>
    </w:p>
    <w:p w14:paraId="3849BEFF" w14:textId="77777777" w:rsidR="00A45E4B" w:rsidRDefault="00A45E4B">
      <w:pPr>
        <w:spacing w:before="160" w:after="80"/>
        <w:rPr>
          <w:b/>
          <w:bCs/>
          <w:i/>
          <w:iCs/>
          <w:sz w:val="22"/>
          <w:szCs w:val="22"/>
        </w:rPr>
      </w:pPr>
    </w:p>
    <w:p w14:paraId="546D19EB" w14:textId="3E9D6C1F" w:rsidR="00FC017C" w:rsidRDefault="003C0B17">
      <w:pPr>
        <w:spacing w:before="160" w:after="80"/>
      </w:pPr>
      <w:r>
        <w:rPr>
          <w:b/>
          <w:bCs/>
          <w:i/>
          <w:iCs/>
          <w:sz w:val="22"/>
          <w:szCs w:val="22"/>
        </w:rPr>
        <w:lastRenderedPageBreak/>
        <w:t>3.1 Stromal Fibroblasts and Extracellular Matrix</w:t>
      </w:r>
    </w:p>
    <w:p w14:paraId="78883126" w14:textId="77777777" w:rsidR="00FC017C" w:rsidRDefault="003C0B17">
      <w:pPr>
        <w:spacing w:before="100" w:after="100" w:line="253" w:lineRule="auto"/>
        <w:jc w:val="both"/>
      </w:pPr>
      <w:r>
        <w:t xml:space="preserve">Cancer-associated fibroblasts represent one of the dominant cellular populations within the TME of most solid tumors. Derived from tissue-resident fibroblasts, </w:t>
      </w:r>
      <w:r>
        <w:t xml:space="preserve">bone marrow mesenchymal progenitors, and cells that have undergone epithelial-to-mesenchymal transition (EMT), CAFs are activated by tumor-derived TGF-β, PDGF, and FGF signaling. Once activated, they acquire a myofibroblast-like phenotype characterized by </w:t>
      </w:r>
      <w:r>
        <w:t>expression of α-smooth muscle actin (α-SMA) and a high capacity for extracellular matrix synthesis [9].</w:t>
      </w:r>
    </w:p>
    <w:p w14:paraId="1BD26469" w14:textId="77777777" w:rsidR="00FC017C" w:rsidRDefault="003C0B17">
      <w:pPr>
        <w:spacing w:before="100" w:after="100" w:line="253" w:lineRule="auto"/>
        <w:jc w:val="both"/>
      </w:pPr>
      <w:r>
        <w:t xml:space="preserve">CAFs remodel the ECM extensively, secreting abundant collagen type I and III, fibronectin, hyaluronan, and various matrix metalloproteases. </w:t>
      </w:r>
      <w:proofErr w:type="spellStart"/>
      <w:r>
        <w:t>Lysyl</w:t>
      </w:r>
      <w:proofErr w:type="spellEnd"/>
      <w:r>
        <w:t xml:space="preserve"> oxidas</w:t>
      </w:r>
      <w:r>
        <w:t>e (LOX), secreted by both CAFs and tumor cells in response to hypoxic and oncogenic stimuli, catalyzes the cross-linking of collagen fibrils, dramatically increasing matrix stiffness [8]. This mechanically rigid ECM activates integrin-mediated signaling ca</w:t>
      </w:r>
      <w:r>
        <w:t>scades within tumor cells—principally the FAK/PI3K/Akt and RAS/MAPK pathways—that promote cell survival, proliferation, and resistance to apoptosis [10]. From a pharmacologic standpoint, the dense, cross-linked collagenous matrix substantially increases in</w:t>
      </w:r>
      <w:r>
        <w:t>terstitial fluid pressure (IFP) and reduces the hydraulic conductivity of tumor tissue, creating a hostile diffusion environment for drug molecules of all sizes.</w:t>
      </w:r>
    </w:p>
    <w:p w14:paraId="7162CF4E" w14:textId="77777777" w:rsidR="00FC017C" w:rsidRDefault="003C0B17">
      <w:pPr>
        <w:spacing w:before="100" w:after="100" w:line="253" w:lineRule="auto"/>
        <w:jc w:val="both"/>
      </w:pPr>
      <w:r>
        <w:t>Beyond their structural contributions, CAFs fulfill important paracrine signaling roles. CAF-s</w:t>
      </w:r>
      <w:r>
        <w:t xml:space="preserve">ecreted hepatocyte growth factor (HGF) activates the MET receptor on tumor cells, driving resistance to EGFR inhibitors in non-small cell lung cancer and colorectal cancer. Stromal-derived factor-1 (SDF-1/CXCL12) secreted by CAFs attracts CXCR4-expressing </w:t>
      </w:r>
      <w:r>
        <w:t>tumor cells and immunosuppressive myeloid cells, reinforcing both tumor cell survival and the immunosuppressive tone of the TME [9,29].</w:t>
      </w:r>
    </w:p>
    <w:p w14:paraId="76B7E841" w14:textId="77777777" w:rsidR="00FC017C" w:rsidRDefault="003C0B17">
      <w:pPr>
        <w:spacing w:before="160" w:after="80"/>
      </w:pPr>
      <w:r>
        <w:rPr>
          <w:b/>
          <w:bCs/>
          <w:i/>
          <w:iCs/>
          <w:sz w:val="22"/>
          <w:szCs w:val="22"/>
        </w:rPr>
        <w:t>3.2 Vascular Architecture and Tumor Perfusion</w:t>
      </w:r>
    </w:p>
    <w:p w14:paraId="08560ED0" w14:textId="77777777" w:rsidR="00FC017C" w:rsidRDefault="003C0B17">
      <w:pPr>
        <w:spacing w:before="100" w:after="100" w:line="253" w:lineRule="auto"/>
        <w:jc w:val="both"/>
      </w:pPr>
      <w:r>
        <w:t>The vascular network within solid tumors diverges fundamentally from the o</w:t>
      </w:r>
      <w:r>
        <w:t>rganized, hierarchical vasculature of normal tissues. Driven by persistent and dysregulated pro-angiogenic signaling—primarily through vascular endothelial growth factor (VEGF), fibroblast growth factor (FGF), and platelet-derived growth factor (PDGF)—tumo</w:t>
      </w:r>
      <w:r>
        <w:t xml:space="preserve">r </w:t>
      </w:r>
      <w:proofErr w:type="spellStart"/>
      <w:r>
        <w:t>neovessels</w:t>
      </w:r>
      <w:proofErr w:type="spellEnd"/>
      <w:r>
        <w:t xml:space="preserve"> are morphologically chaotic [5]. They are characterized by irregular branching, poor pericyte coverage, fenestrated endothelium, and arteriovenous shunting. These abnormalities collectively result in heterogeneous and often intermittent blood </w:t>
      </w:r>
      <w:r>
        <w:t>flow, such that substantial regions within a tumor mass may receive transiently or persistently inadequate perfusion despite the overall high vascular density visible histologically.</w:t>
      </w:r>
    </w:p>
    <w:p w14:paraId="6882E527" w14:textId="77777777" w:rsidR="00FC017C" w:rsidRDefault="003C0B17">
      <w:pPr>
        <w:spacing w:before="100" w:after="100" w:line="253" w:lineRule="auto"/>
        <w:jc w:val="both"/>
      </w:pPr>
      <w:r>
        <w:t>The consequences for drug delivery are profound. Pharmacokinetic models c</w:t>
      </w:r>
      <w:r>
        <w:t>onventionally assume a reasonable degree of tissue perfusion homogeneity; in the tumor context, this assumption fails categorically. Inadequately perfused regions receive subtherapeutic drug concentrations, providing survival shelter for potentially resist</w:t>
      </w:r>
      <w:r>
        <w:t xml:space="preserve">ant tumor cell clones that can subsequently repopulate the tumor after therapy-induced cytoreduction [7]. Large macromolecular agents—including monoclonal antibodies (IgG, ~150 </w:t>
      </w:r>
      <w:proofErr w:type="spellStart"/>
      <w:r>
        <w:t>kDa</w:t>
      </w:r>
      <w:proofErr w:type="spellEnd"/>
      <w:r>
        <w:t>), antibody-drug conjugates, and liposomal formulations—are particularly imp</w:t>
      </w:r>
      <w:r>
        <w:t>eded by elevated IFP and poor convective transport, explaining in part the limited depth of response even when surface tumors show regression [8].</w:t>
      </w:r>
    </w:p>
    <w:p w14:paraId="009DEDBA" w14:textId="77777777" w:rsidR="00FC017C" w:rsidRDefault="003C0B17">
      <w:pPr>
        <w:spacing w:before="160" w:after="80"/>
      </w:pPr>
      <w:r>
        <w:rPr>
          <w:b/>
          <w:bCs/>
          <w:i/>
          <w:iCs/>
          <w:sz w:val="22"/>
          <w:szCs w:val="22"/>
        </w:rPr>
        <w:t>3.3 Immune Infiltrates and the Immunosuppressive Milieu</w:t>
      </w:r>
    </w:p>
    <w:p w14:paraId="45B5A2E8" w14:textId="77777777" w:rsidR="00FC017C" w:rsidRDefault="003C0B17">
      <w:pPr>
        <w:spacing w:before="100" w:after="100" w:line="253" w:lineRule="auto"/>
        <w:jc w:val="both"/>
      </w:pPr>
      <w:r>
        <w:t>The immune compartment within tumors is extraordinari</w:t>
      </w:r>
      <w:r>
        <w:t>ly complex and is now recognized as one of the principal determinants of both spontaneous tumor control and therapeutic response to immunotherapy. Tumor-infiltrating lymphocytes (TILs), particularly CD8⁺ cytotoxic T lymphocytes (CTLs), represent the primar</w:t>
      </w:r>
      <w:r>
        <w:t>y effectors of adaptive anti-tumor immunity. High TIL density—particularly at the invasive margin and tumor core—is associated with improved outcomes across multiple cancer types including colorectal, breast, lung, and melanoma [20,24].</w:t>
      </w:r>
    </w:p>
    <w:p w14:paraId="643769CF" w14:textId="77777777" w:rsidR="00FC017C" w:rsidRDefault="003C0B17">
      <w:pPr>
        <w:spacing w:before="100" w:after="100" w:line="253" w:lineRule="auto"/>
        <w:jc w:val="both"/>
      </w:pPr>
      <w:r>
        <w:t>However, the TME is</w:t>
      </w:r>
      <w:r>
        <w:t xml:space="preserve"> far from uniformly permissive to effector T cell function. Tumor-associated macrophages exist along a functional continuum. Classically activated (M1) macrophages exhibit pro-inflammatory and cytotoxic activity, while alternatively activated (M2) macropha</w:t>
      </w:r>
      <w:r>
        <w:t>ges—the predominant phenotype induced by TME signals such as IL-4, IL-13, IL-10, and M-CSF—suppress cytotoxic immunity, promote angiogenesis, facilitate ECM remodeling, and secrete TGF-β and IL-10 [18]. TAM-mediated immunosuppression is a major determinant</w:t>
      </w:r>
      <w:r>
        <w:t xml:space="preserve"> of resistance to immune checkpoint inhibitors, and high TAM density correlates inversely with outcomes in many cancer types.</w:t>
      </w:r>
    </w:p>
    <w:p w14:paraId="3CE31319" w14:textId="77777777" w:rsidR="00FC017C" w:rsidRDefault="003C0B17">
      <w:pPr>
        <w:spacing w:before="100" w:after="100" w:line="253" w:lineRule="auto"/>
        <w:jc w:val="both"/>
      </w:pPr>
      <w:r>
        <w:t>Regulatory T cells (Tregs), recruited to the TME through chemokine gradients (particularly CCL22 and CCL17), suppress effector T c</w:t>
      </w:r>
      <w:r>
        <w:t>ells through multiple mechanisms including IL-10 and TGF-β secretion, IL-2 consumption, and expression of CTLA-4 which outcompetes CD28 for B7 ligand binding on antigen-presenting cells. Myeloid-derived suppressor cells—a heterogeneous population of immatu</w:t>
      </w:r>
      <w:r>
        <w:t>re myeloid cells mobilized from bone marrow by tumor-</w:t>
      </w:r>
      <w:r>
        <w:lastRenderedPageBreak/>
        <w:t>derived G-CSF and M-CSF—similarly suppress T cell activation through arginase-1-mediated arginine depletion, reactive oxygen species production, and TGF-β release [19,20].</w:t>
      </w:r>
    </w:p>
    <w:p w14:paraId="6E608B4F" w14:textId="77777777" w:rsidR="00FC017C" w:rsidRDefault="003C0B17">
      <w:pPr>
        <w:spacing w:before="220" w:after="100"/>
      </w:pPr>
      <w:r>
        <w:rPr>
          <w:b/>
          <w:bCs/>
          <w:sz w:val="22"/>
          <w:szCs w:val="22"/>
        </w:rPr>
        <w:t xml:space="preserve">4. STRUCTURAL BARRIERS TO DRUG </w:t>
      </w:r>
      <w:r>
        <w:rPr>
          <w:b/>
          <w:bCs/>
          <w:sz w:val="22"/>
          <w:szCs w:val="22"/>
        </w:rPr>
        <w:t>PENETRATION</w:t>
      </w:r>
    </w:p>
    <w:p w14:paraId="08CD3EC1" w14:textId="77777777" w:rsidR="00FC017C" w:rsidRDefault="003C0B17">
      <w:pPr>
        <w:spacing w:before="100" w:after="100" w:line="253" w:lineRule="auto"/>
        <w:jc w:val="both"/>
      </w:pPr>
      <w:r>
        <w:t>The physical architecture of the TME creates formidable barriers to drug delivery that operate at multiple scales—from the macroscopic level of tumor perfusion to the microscopic scale of molecular diffusion within the interstitial space.</w:t>
      </w:r>
    </w:p>
    <w:p w14:paraId="44ED18B4" w14:textId="77777777" w:rsidR="00FC017C" w:rsidRDefault="003C0B17">
      <w:pPr>
        <w:spacing w:before="160" w:after="80"/>
      </w:pPr>
      <w:r>
        <w:rPr>
          <w:b/>
          <w:bCs/>
          <w:i/>
          <w:iCs/>
          <w:sz w:val="22"/>
          <w:szCs w:val="22"/>
        </w:rPr>
        <w:t>4.1 E</w:t>
      </w:r>
      <w:r>
        <w:rPr>
          <w:b/>
          <w:bCs/>
          <w:i/>
          <w:iCs/>
          <w:sz w:val="22"/>
          <w:szCs w:val="22"/>
        </w:rPr>
        <w:t>levated Interstitial Fluid Pressure</w:t>
      </w:r>
    </w:p>
    <w:p w14:paraId="56D979C5" w14:textId="77777777" w:rsidR="00FC017C" w:rsidRDefault="003C0B17">
      <w:pPr>
        <w:spacing w:before="100" w:after="100" w:line="253" w:lineRule="auto"/>
        <w:jc w:val="both"/>
      </w:pPr>
      <w:r>
        <w:t>One of the most consistently documented pharmacokinetic obstacles in solid tumor therapy is elevated interstitial fluid pressure (IFP). In contrast to normal tissues, where IFP is maintained near zero or slightly negativ</w:t>
      </w:r>
      <w:r>
        <w:t xml:space="preserve">e, solid tumors exhibit IFP values ranging from 10 to greater than 100 mmHg depending on tumor type, size, and stromal composition [7]. This pressure elevation arises from converging mechanisms: the leaky, </w:t>
      </w:r>
      <w:proofErr w:type="spellStart"/>
      <w:r>
        <w:t>hyperpermeabilized</w:t>
      </w:r>
      <w:proofErr w:type="spellEnd"/>
      <w:r>
        <w:t xml:space="preserve"> tumor vasculature allows plasma</w:t>
      </w:r>
      <w:r>
        <w:t xml:space="preserve"> fluid to extravasate at high rates, while the absence of functional lymphatic drainage within the tumor core prevents its clearance. The resulting interstitial hydrostatic pressure gradient paradoxically opposes further extravasation of drug-containing pl</w:t>
      </w:r>
      <w:r>
        <w:t xml:space="preserve">asma, reducing the convective driving force for drug transport across the vascular wall and into the </w:t>
      </w:r>
      <w:proofErr w:type="spellStart"/>
      <w:r>
        <w:t>interstitium</w:t>
      </w:r>
      <w:proofErr w:type="spellEnd"/>
      <w:r>
        <w:t>.</w:t>
      </w:r>
    </w:p>
    <w:p w14:paraId="7021663C" w14:textId="77777777" w:rsidR="00FC017C" w:rsidRDefault="003C0B17">
      <w:pPr>
        <w:spacing w:before="100" w:after="100" w:line="253" w:lineRule="auto"/>
        <w:jc w:val="both"/>
      </w:pPr>
      <w:r>
        <w:t>The dense, cross-linked ECM further reduces drug diffusion by limiting molecular mobility within the gel-like interstitial compartment. Mathe</w:t>
      </w:r>
      <w:r>
        <w:t>matical models of drug transport in tumors have demonstrated that even small changes in interstitial diffusion coefficients—driven by collagen density and cross-linking—translate into large gradients in drug concentration across the tumor cross-section, wi</w:t>
      </w:r>
      <w:r>
        <w:t>th central regions receiving a fraction of the concentration achieved at the tumor periphery [7,8]. This creates spatially defined regions of pharmacologic sanctuary within the tumor mass.</w:t>
      </w:r>
    </w:p>
    <w:p w14:paraId="4C5C0CAC" w14:textId="77777777" w:rsidR="00FC017C" w:rsidRDefault="003C0B17">
      <w:pPr>
        <w:spacing w:before="160" w:after="80"/>
      </w:pPr>
      <w:r>
        <w:rPr>
          <w:b/>
          <w:bCs/>
          <w:i/>
          <w:iCs/>
          <w:sz w:val="22"/>
          <w:szCs w:val="22"/>
        </w:rPr>
        <w:t>4.2 ECM as a Physical and Signaling Barrier</w:t>
      </w:r>
    </w:p>
    <w:p w14:paraId="025F0C83" w14:textId="77777777" w:rsidR="00FC017C" w:rsidRDefault="003C0B17">
      <w:pPr>
        <w:spacing w:before="100" w:after="100" w:line="253" w:lineRule="auto"/>
        <w:jc w:val="both"/>
      </w:pPr>
      <w:r>
        <w:t>Beyond its role in esta</w:t>
      </w:r>
      <w:r>
        <w:t>blishing IFP, the ECM directly impedes drug penetration through its physical density and through non-specific drug binding. Highly negatively charged matrix components, including hyaluronan and heparan sulfate proteoglycans, can electrostatically bind posi</w:t>
      </w:r>
      <w:r>
        <w:t>tively charged drug molecules and large biologic agents, reducing their free interstitial concentration [10]. This is particularly relevant for cationic lipid nanoparticles, polycationic gene delivery vectors, and some cytotoxic agents.</w:t>
      </w:r>
    </w:p>
    <w:p w14:paraId="136FB1E5" w14:textId="77777777" w:rsidR="00FC017C" w:rsidRDefault="003C0B17">
      <w:pPr>
        <w:spacing w:before="100" w:after="100" w:line="253" w:lineRule="auto"/>
        <w:jc w:val="both"/>
      </w:pPr>
      <w:r>
        <w:t>The ECM also serves</w:t>
      </w:r>
      <w:r>
        <w:t xml:space="preserve"> as a reservoir for growth factors and cytokines that are sequestered in their latent or active forms. Heparan sulfate proteoglycans bind and present FGF, VEGF, and HGF to their cognate receptors on tumor and stromal cells, maintaining constitutive pro-sur</w:t>
      </w:r>
      <w:r>
        <w:t>vival signaling even in the absence of autocrine tumor cell secretion [10,25]. This represents an ECM-mediated resistance mechanism that operates independently of drug diffusion constraints.</w:t>
      </w:r>
    </w:p>
    <w:p w14:paraId="3F08496E" w14:textId="77777777" w:rsidR="00FC017C" w:rsidRDefault="003C0B17">
      <w:pPr>
        <w:spacing w:before="160" w:after="80"/>
      </w:pPr>
      <w:r>
        <w:rPr>
          <w:b/>
          <w:bCs/>
          <w:i/>
          <w:iCs/>
          <w:sz w:val="22"/>
          <w:szCs w:val="22"/>
        </w:rPr>
        <w:t>4.3 Cancer-Associated Fibroblasts as Resistance Mediators</w:t>
      </w:r>
    </w:p>
    <w:p w14:paraId="3BF5C406" w14:textId="77777777" w:rsidR="00FC017C" w:rsidRDefault="003C0B17">
      <w:pPr>
        <w:spacing w:before="100" w:after="100" w:line="253" w:lineRule="auto"/>
        <w:jc w:val="both"/>
      </w:pPr>
      <w:r>
        <w:t>The mul</w:t>
      </w:r>
      <w:r>
        <w:t>tifaceted contributions of CAFs to therapeutic resistance extend well beyond ECM production. In pancreatic ductal adenocarcinoma—one of the most stroma-rich and treatment-refractory human tumors—CAFs constitute up to 90% of the tumor volume and are believe</w:t>
      </w:r>
      <w:r>
        <w:t>d to be a principal driver of chemotherapy resistance [9]. Depletion of CAF populations in experimental models has improved drug delivery and reduced tumor burden in some contexts, though paradoxically complete CAF elimination can accelerate tumor dediffer</w:t>
      </w:r>
      <w:r>
        <w:t>entiation in certain models, underscoring the context-dependence of stromal targeting.</w:t>
      </w:r>
    </w:p>
    <w:p w14:paraId="5E6DE375" w14:textId="77777777" w:rsidR="00FC017C" w:rsidRDefault="003C0B17">
      <w:pPr>
        <w:spacing w:before="100" w:after="100" w:line="253" w:lineRule="auto"/>
        <w:jc w:val="both"/>
      </w:pPr>
      <w:r>
        <w:t xml:space="preserve">CAFs confer drug resistance through additional mechanisms beyond physical barrier creation. Secretion of the ECM glycoprotein </w:t>
      </w:r>
      <w:proofErr w:type="spellStart"/>
      <w:r>
        <w:t>periostin</w:t>
      </w:r>
      <w:proofErr w:type="spellEnd"/>
      <w:r>
        <w:t xml:space="preserve"> activates integrin-β1 signaling i</w:t>
      </w:r>
      <w:r>
        <w:t xml:space="preserve">n tumor cells, promoting resistance to multiple cytotoxic agents. CAF-derived exosomes containing non-coding RNAs and metabolic intermediates can reprogram tumor cell metabolism toward </w:t>
      </w:r>
      <w:proofErr w:type="spellStart"/>
      <w:r>
        <w:t>chemoresistant</w:t>
      </w:r>
      <w:proofErr w:type="spellEnd"/>
      <w:r>
        <w:t xml:space="preserve"> phenotypes [9,29]. CAF-mediated activation of the sonic </w:t>
      </w:r>
      <w:r>
        <w:t>hedgehog (SHH) pathway in pancreatic cancer has been demonstrated to maintain a fibrotic, drug-impermeable desmoplastic stroma, providing rationale for clinical investigation of hedgehog pathway inhibitors as stromal disruption agents.</w:t>
      </w:r>
    </w:p>
    <w:p w14:paraId="38BBF212" w14:textId="77777777" w:rsidR="00FC017C" w:rsidRDefault="003C0B17">
      <w:pPr>
        <w:spacing w:before="220" w:after="100"/>
      </w:pPr>
      <w:r>
        <w:rPr>
          <w:b/>
          <w:bCs/>
          <w:sz w:val="22"/>
          <w:szCs w:val="22"/>
        </w:rPr>
        <w:t xml:space="preserve">5. HYPOXIA-MEDIATED </w:t>
      </w:r>
      <w:r>
        <w:rPr>
          <w:b/>
          <w:bCs/>
          <w:sz w:val="22"/>
          <w:szCs w:val="22"/>
        </w:rPr>
        <w:t>RESISTANCE MECHANISMS</w:t>
      </w:r>
    </w:p>
    <w:p w14:paraId="1D426BF7" w14:textId="77777777" w:rsidR="00FC017C" w:rsidRDefault="003C0B17">
      <w:pPr>
        <w:spacing w:before="100" w:after="100" w:line="253" w:lineRule="auto"/>
        <w:jc w:val="both"/>
      </w:pPr>
      <w:r>
        <w:t xml:space="preserve">Hypoxia—defined as partial oxygen pressure below approximately 10 mmHg in the tumor tissue—is among the most thoroughly characterized resistance mechanisms operating through the TME. It emerges as an inevitable </w:t>
      </w:r>
      <w:r>
        <w:lastRenderedPageBreak/>
        <w:t xml:space="preserve">consequence of the </w:t>
      </w:r>
      <w:r>
        <w:t>mismatch between the high metabolic oxygen demand of rapidly proliferating tumor cells and the inadequate, irregular oxygen supply provided by the dysfunctional tumor vasculature [5,6].</w:t>
      </w:r>
    </w:p>
    <w:p w14:paraId="1834AAE4" w14:textId="77777777" w:rsidR="00FC017C" w:rsidRDefault="003C0B17">
      <w:pPr>
        <w:spacing w:before="160" w:after="80"/>
      </w:pPr>
      <w:r>
        <w:rPr>
          <w:b/>
          <w:bCs/>
          <w:i/>
          <w:iCs/>
          <w:sz w:val="22"/>
          <w:szCs w:val="22"/>
        </w:rPr>
        <w:t>5.1 HIF Signaling and Transcriptional Reprogramming</w:t>
      </w:r>
    </w:p>
    <w:p w14:paraId="378C9D3C" w14:textId="77777777" w:rsidR="00FC017C" w:rsidRDefault="003C0B17">
      <w:pPr>
        <w:spacing w:before="100" w:after="100" w:line="253" w:lineRule="auto"/>
        <w:jc w:val="both"/>
      </w:pPr>
      <w:r>
        <w:t xml:space="preserve">At the molecular heart of the hypoxic response lies the hypoxia-inducible factor (HIF) family of transcription factors, principally HIF-1α and HIF-2α. Under </w:t>
      </w:r>
      <w:proofErr w:type="spellStart"/>
      <w:r>
        <w:t>normoxic</w:t>
      </w:r>
      <w:proofErr w:type="spellEnd"/>
      <w:r>
        <w:t xml:space="preserve"> conditions, HIF-α subunits are constitutively expressed but are hydroxylated by prolyl hyd</w:t>
      </w:r>
      <w:r>
        <w:t>roxylase domain (PHD) enzymes, targeting them for polyubiquitination by the von Hippel-Lindau (VHL) E3 ligase complex and proteasomal degradation. Under hypoxic conditions, PHD activity is suppressed due to substrate (oxygen) limitation, allowing HIF-α sub</w:t>
      </w:r>
      <w:r>
        <w:t>units to accumulate, translocate to the nucleus, heterodimerize with the constitutively expressed HIF-1β/ARNT subunit, and bind hypoxia response elements (HREs) in the promoters of target genes [11].</w:t>
      </w:r>
    </w:p>
    <w:p w14:paraId="2878C750" w14:textId="77777777" w:rsidR="00FC017C" w:rsidRDefault="003C0B17">
      <w:pPr>
        <w:spacing w:before="100" w:after="100" w:line="253" w:lineRule="auto"/>
        <w:jc w:val="both"/>
      </w:pPr>
      <w:r>
        <w:t>The HIF transcriptional program is extraordinarily broad</w:t>
      </w:r>
      <w:r>
        <w:t xml:space="preserve">, regulating over 200 target genes involved in angiogenesis (VEGF-A, PDGF-B, angiopoietin-2), glucose metabolism (GLUT1, LDHA, PDK1), cell survival (BCL-2, </w:t>
      </w:r>
      <w:proofErr w:type="spellStart"/>
      <w:r>
        <w:t>survivin</w:t>
      </w:r>
      <w:proofErr w:type="spellEnd"/>
      <w:r>
        <w:t>, XIAP), invasion (MMP-2, MMP-9), and pH regulation (carbonic anhydrase IX). Collectively, t</w:t>
      </w:r>
      <w:r>
        <w:t>hese transcriptional responses enable tumor cells to survive and proliferate under conditions that would be lethal to normal cells [11,12].</w:t>
      </w:r>
    </w:p>
    <w:p w14:paraId="3C830A99" w14:textId="77777777" w:rsidR="00FC017C" w:rsidRDefault="003C0B17">
      <w:pPr>
        <w:spacing w:before="160" w:after="80"/>
      </w:pPr>
      <w:r>
        <w:rPr>
          <w:b/>
          <w:bCs/>
          <w:i/>
          <w:iCs/>
          <w:sz w:val="22"/>
          <w:szCs w:val="22"/>
        </w:rPr>
        <w:t>5.2 Resistance to Chemotherapy and Radiotherapy</w:t>
      </w:r>
    </w:p>
    <w:p w14:paraId="0A3A74D0" w14:textId="77777777" w:rsidR="00FC017C" w:rsidRDefault="003C0B17">
      <w:pPr>
        <w:spacing w:before="100" w:after="100" w:line="253" w:lineRule="auto"/>
        <w:jc w:val="both"/>
      </w:pPr>
      <w:r>
        <w:t>The mechanisms through which hypoxia confers resistance to conventio</w:t>
      </w:r>
      <w:r>
        <w:t xml:space="preserve">nal cancer therapeutics are multiple and mechanistically distinct. For radiotherapy, the oxygen enhancement ratio—the factor by which radiation dose must be increased in the absence of oxygen to achieve equivalent cell killing—is approximately 2.5–3.0 for </w:t>
      </w:r>
      <w:r>
        <w:t xml:space="preserve">X-ray radiation. This reflects the critical role of molecular oxygen in the fixation of radiation-induced DNA damage through the formation of organic peroxides at the site of the DNA radical. In hypoxic regions where </w:t>
      </w:r>
      <w:proofErr w:type="spellStart"/>
      <w:r>
        <w:t>pO</w:t>
      </w:r>
      <w:proofErr w:type="spellEnd"/>
      <w:r>
        <w:t>₂ is below 10 mmHg, this fixation rea</w:t>
      </w:r>
      <w:r>
        <w:t>ction is dramatically attenuated, and DNA damage is more efficiently repaired after irradiation, generating radioresistant clonogenic tumor cells [13].</w:t>
      </w:r>
    </w:p>
    <w:p w14:paraId="7FA0123F" w14:textId="77777777" w:rsidR="00FC017C" w:rsidRDefault="003C0B17">
      <w:pPr>
        <w:spacing w:before="100" w:after="100" w:line="253" w:lineRule="auto"/>
        <w:jc w:val="both"/>
      </w:pPr>
      <w:r>
        <w:t>For chemotherapy, hypoxia generates resistance through multiple simultaneous mechanisms. Suboptimal vasc</w:t>
      </w:r>
      <w:r>
        <w:t>ular perfusion means many agents reach subtherapeutic concentrations at hypoxic sites. Beyond pharmacokinetic explanations, hypoxia-driven transcriptional changes alter pharmacodynamics: HIF-1α upregulates the anti-apoptotic proteins BCL-2, BCL-XL, and MCL</w:t>
      </w:r>
      <w:r>
        <w:t>-1, raising the apoptotic threshold of hypoxic tumor cells [11,14]. Furthermore, hypoxic tumor cells frequently enter a quiescent, slow-cycling state, rendering cell cycle-active chemotherapeutics—including antimetabolites such as 5-fluorouracil and capeci</w:t>
      </w:r>
      <w:r>
        <w:t>tabine, taxanes, and vinca alkaloids—essentially ineffective [14].</w:t>
      </w:r>
    </w:p>
    <w:p w14:paraId="3AE8EE0D" w14:textId="77777777" w:rsidR="00FC017C" w:rsidRDefault="003C0B17">
      <w:pPr>
        <w:spacing w:before="160" w:after="80"/>
      </w:pPr>
      <w:r>
        <w:rPr>
          <w:b/>
          <w:bCs/>
          <w:i/>
          <w:iCs/>
          <w:sz w:val="22"/>
          <w:szCs w:val="22"/>
        </w:rPr>
        <w:t>5.3 Hypoxia, Metabolic Reprogramming, and Immune Evasion</w:t>
      </w:r>
    </w:p>
    <w:p w14:paraId="1501499C" w14:textId="77777777" w:rsidR="00FC017C" w:rsidRDefault="003C0B17">
      <w:pPr>
        <w:spacing w:before="100" w:after="100" w:line="253" w:lineRule="auto"/>
        <w:jc w:val="both"/>
      </w:pPr>
      <w:r>
        <w:t>HIF-1α-driven metabolic reprogramming shifts energy metabolism from mitochondrial oxidative phosphorylation to anaerobic glycolysis—</w:t>
      </w:r>
      <w:r>
        <w:t xml:space="preserve">the Warburg effect—through upregulation of glucose transporters (GLUT1, GLUT3) and glycolytic enzymes (hexokinase-2, phosphofructokinase, lactate dehydrogenase A) [12]. This metabolic shift generates abundant lactate, which is exported via monocarboxylate </w:t>
      </w:r>
      <w:r>
        <w:t xml:space="preserve">transporters (MCT4), acidifying the tumor microenvironment. The resulting extracellular acidosis directly impairs cytotoxic T lymphocyte function, suppresses NK cell activity, and promotes immunosuppressive macrophage polarization toward the M2 phenotype, </w:t>
      </w:r>
      <w:r>
        <w:t>establishing a bidirectional and self-reinforcing link between hypoxia, metabolism, and immune evasion [15].</w:t>
      </w:r>
    </w:p>
    <w:p w14:paraId="6D7193D3" w14:textId="77777777" w:rsidR="00FC017C" w:rsidRDefault="003C0B17">
      <w:pPr>
        <w:spacing w:before="100" w:after="100" w:line="253" w:lineRule="auto"/>
        <w:jc w:val="both"/>
      </w:pPr>
      <w:r>
        <w:t>HIF-driven metabolic reprogramming also upregulates PD-L1 expression on tumor cells and myeloid cells through direct transcriptional activation and</w:t>
      </w:r>
      <w:r>
        <w:t xml:space="preserve"> through post-translational stabilization, creating an additional mechanistic bridge between the hypoxic response and checkpoint-mediated immunosuppression [15]. This bidirectional hypoxia-immune axis explains why tumors with high hypoxic fractions show bo</w:t>
      </w:r>
      <w:r>
        <w:t>th chemotherapy resistance and poor responsiveness to PD-1/PD-L1 blockade, reinforcing the rationale for simultaneously targeting hypoxia and immune checkpoints.</w:t>
      </w:r>
    </w:p>
    <w:p w14:paraId="394101A9" w14:textId="77777777" w:rsidR="00FC017C" w:rsidRDefault="003C0B17">
      <w:pPr>
        <w:spacing w:before="220" w:after="100"/>
      </w:pPr>
      <w:r>
        <w:rPr>
          <w:b/>
          <w:bCs/>
          <w:sz w:val="22"/>
          <w:szCs w:val="22"/>
        </w:rPr>
        <w:t>6. IMMUNE MODULATION AND CHECKPOINT PHARMACODYNAMICS</w:t>
      </w:r>
    </w:p>
    <w:p w14:paraId="0DE97B8D" w14:textId="77777777" w:rsidR="00FC017C" w:rsidRDefault="003C0B17">
      <w:pPr>
        <w:spacing w:before="100" w:after="100" w:line="253" w:lineRule="auto"/>
        <w:jc w:val="both"/>
      </w:pPr>
      <w:r>
        <w:t>The immune system's relationship with tum</w:t>
      </w:r>
      <w:r>
        <w:t>ors is bidirectional and evolving—transitioning from immune surveillance and elimination in early oncogenesis toward equilibrium and eventual escape as tumors acquire the capacity to subvert immune effector mechanisms. The TME is the primary arena in which</w:t>
      </w:r>
      <w:r>
        <w:t xml:space="preserve"> this transition occurs, and its immunosuppressive remodeling constitutes one of the most clinically consequential resistance mechanisms in the era of immuno-oncology [16,17].</w:t>
      </w:r>
    </w:p>
    <w:p w14:paraId="51358AD1" w14:textId="77777777" w:rsidR="00FC017C" w:rsidRDefault="003C0B17">
      <w:pPr>
        <w:spacing w:before="160" w:after="80"/>
      </w:pPr>
      <w:r>
        <w:rPr>
          <w:b/>
          <w:bCs/>
          <w:i/>
          <w:iCs/>
          <w:sz w:val="22"/>
          <w:szCs w:val="22"/>
        </w:rPr>
        <w:lastRenderedPageBreak/>
        <w:t>6.1 PD-1/PD-L1 Axis and Its Regulation within the TME</w:t>
      </w:r>
    </w:p>
    <w:p w14:paraId="0E1B4F6B" w14:textId="77777777" w:rsidR="00FC017C" w:rsidRDefault="003C0B17">
      <w:pPr>
        <w:spacing w:before="100" w:after="100" w:line="253" w:lineRule="auto"/>
        <w:jc w:val="both"/>
      </w:pPr>
      <w:r>
        <w:t xml:space="preserve">Programmed death-ligand 1 </w:t>
      </w:r>
      <w:r>
        <w:t xml:space="preserve">(PD-L1) expression on tumor cells and tumor-infiltrating immune cells is the primary predictive biomarker for response to anti-PD-1 and anti-PD-L1 immune checkpoint inhibitors (ICIs). PD-L1 engages PD-1 on effector T cells, triggering inhibitory signaling </w:t>
      </w:r>
      <w:r>
        <w:t>that suppresses T cell proliferation, cytokine production, and cytolytic activity. Blockade of this axis with therapeutic antibodies (pembrolizumab, nivolumab, atezolizumab, durvalumab, and others) has produced durable responses in a subset of patients acr</w:t>
      </w:r>
      <w:r>
        <w:t>oss multiple cancer types [16,17].</w:t>
      </w:r>
    </w:p>
    <w:p w14:paraId="48C26708" w14:textId="77777777" w:rsidR="00FC017C" w:rsidRDefault="003C0B17">
      <w:pPr>
        <w:spacing w:before="100" w:after="100" w:line="253" w:lineRule="auto"/>
        <w:jc w:val="both"/>
      </w:pPr>
      <w:r>
        <w:t>However, the predictive value of PD-L1 expression as determined by immunohistochemistry is imperfect and context-dependent. PD-L1 expression is dynamically regulated by multiple stimuli within the TME: IFN-γ produced by a</w:t>
      </w:r>
      <w:r>
        <w:t>ctivated T cells is the most potent inducer of adaptive PD-L1 expression, while hypoxia, oncogenic EGFR and ALK signaling, PI3K/Akt pathway activation, and stromal cytokines including TNF-α and IL-6 also regulate expression [17]. This dynamic regulation me</w:t>
      </w:r>
      <w:r>
        <w:t>ans that a single snapshot measurement of PD-L1 expression may not reflect the true functional state of the PD-1/PD-L1 axis during therapy.</w:t>
      </w:r>
    </w:p>
    <w:p w14:paraId="64F7695B" w14:textId="77777777" w:rsidR="00FC017C" w:rsidRDefault="003C0B17">
      <w:pPr>
        <w:spacing w:before="160" w:after="80"/>
      </w:pPr>
      <w:r>
        <w:rPr>
          <w:b/>
          <w:bCs/>
          <w:i/>
          <w:iCs/>
          <w:sz w:val="22"/>
          <w:szCs w:val="22"/>
        </w:rPr>
        <w:t>6.2 Tumor-Associated Macrophages as Regulators of Immunotherapy Response</w:t>
      </w:r>
    </w:p>
    <w:p w14:paraId="0291C4E5" w14:textId="77777777" w:rsidR="00FC017C" w:rsidRDefault="003C0B17">
      <w:pPr>
        <w:spacing w:before="100" w:after="100" w:line="253" w:lineRule="auto"/>
        <w:jc w:val="both"/>
      </w:pPr>
      <w:r>
        <w:t xml:space="preserve">The density and polarization state of TAMs </w:t>
      </w:r>
      <w:r>
        <w:t>is increasingly recognized as a major modifier of ICI efficacy. M2-polarized TAMs directly suppress effector T cell function within the tumor through contact-dependent and soluble mechanisms. They express high levels of CD274 (PD-L1) and CD273 (PD-L2), dir</w:t>
      </w:r>
      <w:r>
        <w:t>ectly signaling through PD-1 on T cells. They secrete abundant IL-10 and TGF-β, which promote Treg differentiation and activity while suppressing CTL effector function [18].</w:t>
      </w:r>
    </w:p>
    <w:p w14:paraId="2D3B29D5" w14:textId="77777777" w:rsidR="00FC017C" w:rsidRDefault="003C0B17">
      <w:pPr>
        <w:spacing w:before="100" w:after="100" w:line="253" w:lineRule="auto"/>
        <w:jc w:val="both"/>
      </w:pPr>
      <w:r>
        <w:t>TAMs also express VEGF-A, facilitating tumor angiogenesis that perpetuates hypoxia</w:t>
      </w:r>
      <w:r>
        <w:t xml:space="preserve"> and immunosuppression in a self-reinforcing cycle. Therapeutic strategies targeting TAM recruitment—including inhibitors of the CCL2/CCR2 axis and the CSF-1/CSF-1R axis—have shown preclinical promise and are under clinical investigation as combination par</w:t>
      </w:r>
      <w:r>
        <w:t>tners with ICIs [18,23]. Notably, CSF-1R inhibitors have demonstrated the capacity to repolarize TAMs toward an M1-like state even without depleting them, potentially reconstituting anti-tumor immune surveillance.</w:t>
      </w:r>
    </w:p>
    <w:p w14:paraId="51C0A367" w14:textId="77777777" w:rsidR="00FC017C" w:rsidRDefault="003C0B17">
      <w:pPr>
        <w:spacing w:before="160" w:after="80"/>
      </w:pPr>
      <w:r>
        <w:rPr>
          <w:b/>
          <w:bCs/>
          <w:i/>
          <w:iCs/>
          <w:sz w:val="22"/>
          <w:szCs w:val="22"/>
        </w:rPr>
        <w:t>6.3 Tumor Mutational Burden and Neoantigen</w:t>
      </w:r>
      <w:r>
        <w:rPr>
          <w:b/>
          <w:bCs/>
          <w:i/>
          <w:iCs/>
          <w:sz w:val="22"/>
          <w:szCs w:val="22"/>
        </w:rPr>
        <w:t>-Mediated Immunity</w:t>
      </w:r>
    </w:p>
    <w:p w14:paraId="66497AC9" w14:textId="77777777" w:rsidR="00FC017C" w:rsidRDefault="003C0B17">
      <w:pPr>
        <w:spacing w:before="100" w:after="100" w:line="253" w:lineRule="auto"/>
        <w:jc w:val="both"/>
      </w:pPr>
      <w:r>
        <w:t>Tumor mutational burden (TMB), defined as the total number of somatic coding mutations per megabase of sequenced genomic DNA, has emerged as a histology-agnostic biomarker for ICI response [21]. The biological rationale is that high muta</w:t>
      </w:r>
      <w:r>
        <w:t>tional load generates a larger repertoire of tumor-specific neoantigens—peptide sequences arising from non-synonymous somatic mutations that are presented on MHC class I molecules and recognized by tumor-reactive T cell receptors. High TMB cancers—includin</w:t>
      </w:r>
      <w:r>
        <w:t>g microsatellite instability-high (MSI-H) tumors driven by deficient mismatch repair (</w:t>
      </w:r>
      <w:proofErr w:type="spellStart"/>
      <w:r>
        <w:t>dMMR</w:t>
      </w:r>
      <w:proofErr w:type="spellEnd"/>
      <w:r>
        <w:t>), polymerase ε-mutated tumors, and a subset of tobacco carcinogen-exposed lung cancers—show superior and more durable responses to anti-PD-1 therapy. The FDA approva</w:t>
      </w:r>
      <w:r>
        <w:t>l of pembrolizumab for TMB-high solid tumors (≥10 mutations/</w:t>
      </w:r>
      <w:proofErr w:type="spellStart"/>
      <w:r>
        <w:t>megabase</w:t>
      </w:r>
      <w:proofErr w:type="spellEnd"/>
      <w:r>
        <w:t xml:space="preserve">) across </w:t>
      </w:r>
      <w:proofErr w:type="spellStart"/>
      <w:r>
        <w:t>histologies</w:t>
      </w:r>
      <w:proofErr w:type="spellEnd"/>
      <w:r>
        <w:t xml:space="preserve"> in 2020 marked the first biomarker-driven agnostic approval in oncology [21].</w:t>
      </w:r>
    </w:p>
    <w:p w14:paraId="2BF85F17" w14:textId="77777777" w:rsidR="00FC017C" w:rsidRDefault="003C0B17">
      <w:pPr>
        <w:spacing w:before="160" w:after="80"/>
      </w:pPr>
      <w:r>
        <w:rPr>
          <w:b/>
          <w:bCs/>
          <w:i/>
          <w:iCs/>
          <w:sz w:val="22"/>
          <w:szCs w:val="22"/>
        </w:rPr>
        <w:t>6.4 Regulatory T Cells and MDSCs as Determinants of ICI Resistance</w:t>
      </w:r>
    </w:p>
    <w:p w14:paraId="7264C8AC" w14:textId="77777777" w:rsidR="00FC017C" w:rsidRDefault="003C0B17">
      <w:pPr>
        <w:spacing w:before="100" w:after="100" w:line="253" w:lineRule="auto"/>
        <w:jc w:val="both"/>
      </w:pPr>
      <w:r>
        <w:t>The presence of high i</w:t>
      </w:r>
      <w:r>
        <w:t>ntratumoral Treg density—quantifiable by FOXP3 immunohistochemistry—is associated with poor prognosis and ICI resistance across multiple cancer types [19]. Tregs suppress anti-tumor immunity through multiple mechanisms: high-affinity consumption of IL-2 th</w:t>
      </w:r>
      <w:r>
        <w:t>at would otherwise support CTL survival and expansion; CTLA-4-mediated downregulation of CD80/CD86 costimulatory ligands on dendritic cells; and secretion of immunosuppressive TGF-β and IL-35. MDSCs, expandable from bone marrow in response to tumor-derived</w:t>
      </w:r>
      <w:r>
        <w:t xml:space="preserve"> G-CSF, GM-CSF, M-CSF, and IL-6, accumulate in the peripheral blood and TME of cancer patients and correlate inversely with outcomes [19,20].</w:t>
      </w:r>
    </w:p>
    <w:p w14:paraId="1F736E17" w14:textId="77777777" w:rsidR="00FC017C" w:rsidRDefault="003C0B17">
      <w:pPr>
        <w:spacing w:before="220" w:after="100"/>
      </w:pPr>
      <w:r>
        <w:rPr>
          <w:b/>
          <w:bCs/>
          <w:sz w:val="22"/>
          <w:szCs w:val="22"/>
        </w:rPr>
        <w:t>7. VASCULAR NORMALIZATION: REENGINEERING THE TME FOR IMPROVED DRUG DELIVERY</w:t>
      </w:r>
    </w:p>
    <w:p w14:paraId="2A5328B8" w14:textId="77777777" w:rsidR="00FC017C" w:rsidRDefault="003C0B17">
      <w:pPr>
        <w:spacing w:before="100" w:after="100" w:line="253" w:lineRule="auto"/>
        <w:jc w:val="both"/>
      </w:pPr>
      <w:r>
        <w:t>The concept of vascular normalization—</w:t>
      </w:r>
      <w:r>
        <w:t>developed principally through the work of Jain and colleagues—proposes that rather than maximally destroying tumor vasculature, judicious low-dose anti-angiogenic treatment can transiently restructure abnormal tumor vessels toward a more anatomically and f</w:t>
      </w:r>
      <w:r>
        <w:t>unctionally normal state [22]. Normalized vessels exhibit better pericyte coverage, reduced permeability, more uniform perfusion, and lower IFP. The net effect is a paradoxical improvement in drug delivery and oxygenation, which enhances chemotherapy effic</w:t>
      </w:r>
      <w:r>
        <w:t>acy and reduces hypoxia-mediated resistance.</w:t>
      </w:r>
    </w:p>
    <w:p w14:paraId="534DF5CE" w14:textId="77777777" w:rsidR="00FC017C" w:rsidRDefault="003C0B17">
      <w:pPr>
        <w:spacing w:before="100" w:after="100" w:line="253" w:lineRule="auto"/>
        <w:jc w:val="both"/>
      </w:pPr>
      <w:r>
        <w:lastRenderedPageBreak/>
        <w:t>Clinically, this concept has been validated in part through the observation that bevacizumab (anti-VEGF monoclonal antibody) combined with chemotherapy improves outcomes over chemotherapy alone in multiple cance</w:t>
      </w:r>
      <w:r>
        <w:t xml:space="preserve">r types including colorectal, lung, and breast cancers [22]. Anti-VEGF-induced vascular normalization also reduces immunosuppressive signaling within the TME: lower VEGF levels attenuate the VEGF-mediated inhibition of dendritic cell maturation, improve T </w:t>
      </w:r>
      <w:r>
        <w:t>cell trafficking into tumors, and decrease the hypoxic induction of PD-L1 and Treg recruitment [23]. These mechanistic insights provided the scientific foundation for the clinical investigation of anti-angiogenic plus ICI combinations.</w:t>
      </w:r>
    </w:p>
    <w:p w14:paraId="70DBCD4E" w14:textId="77777777" w:rsidR="00FC017C" w:rsidRDefault="003C0B17">
      <w:pPr>
        <w:spacing w:before="100" w:after="100" w:line="253" w:lineRule="auto"/>
        <w:jc w:val="both"/>
      </w:pPr>
      <w:r>
        <w:t>The atezolizumab plu</w:t>
      </w:r>
      <w:r>
        <w:t xml:space="preserve">s bevacizumab combination received FDA approval for hepatocellular carcinoma in 2020, and the pembrolizumab plus </w:t>
      </w:r>
      <w:proofErr w:type="spellStart"/>
      <w:r>
        <w:t>lenvatinib</w:t>
      </w:r>
      <w:proofErr w:type="spellEnd"/>
      <w:r>
        <w:t xml:space="preserve"> combination has demonstrated efficacy in renal cell carcinoma, endometrial carcinoma, and non-small cell lung cancer [23]. These app</w:t>
      </w:r>
      <w:r>
        <w:t>rovals validate vascular normalization as a meaningful clinical strategy and illustrate how mechanistic TME understanding can directly translate into improved therapeutic design.</w:t>
      </w:r>
    </w:p>
    <w:p w14:paraId="3B6011A3" w14:textId="77777777" w:rsidR="00FC017C" w:rsidRDefault="003C0B17">
      <w:pPr>
        <w:spacing w:before="220" w:after="100"/>
      </w:pPr>
      <w:r>
        <w:rPr>
          <w:b/>
          <w:bCs/>
          <w:sz w:val="22"/>
          <w:szCs w:val="22"/>
        </w:rPr>
        <w:t>8. TRANSLATIONAL IMPLICATIONS: BIOMARKERS AND PRECISION ONCOLOGY</w:t>
      </w:r>
    </w:p>
    <w:p w14:paraId="6F916E0F" w14:textId="77777777" w:rsidR="00FC017C" w:rsidRDefault="003C0B17">
      <w:pPr>
        <w:spacing w:before="100" w:after="100" w:line="253" w:lineRule="auto"/>
        <w:jc w:val="both"/>
      </w:pPr>
      <w:r>
        <w:t xml:space="preserve">The </w:t>
      </w:r>
      <w:r>
        <w:t>preceding mechanistic discussion crystallizes into a set of translational imperatives: the need to develop reliable, clinically applicable biomarkers that capture TME status and predict therapeutic response; and the need to design combination therapeutic s</w:t>
      </w:r>
      <w:r>
        <w:t>trategies that simultaneously target multiple TME resistance axes.</w:t>
      </w:r>
    </w:p>
    <w:p w14:paraId="3938191B" w14:textId="77777777" w:rsidR="00FC017C" w:rsidRDefault="003C0B17">
      <w:pPr>
        <w:spacing w:before="160" w:after="80"/>
      </w:pPr>
      <w:r>
        <w:rPr>
          <w:b/>
          <w:bCs/>
          <w:i/>
          <w:iCs/>
          <w:sz w:val="22"/>
          <w:szCs w:val="22"/>
        </w:rPr>
        <w:t>8.1 Histopathological Biomarkers of TME Status</w:t>
      </w:r>
    </w:p>
    <w:p w14:paraId="3827EAC3" w14:textId="77777777" w:rsidR="00FC017C" w:rsidRDefault="003C0B17">
      <w:pPr>
        <w:spacing w:before="100" w:after="100" w:line="253" w:lineRule="auto"/>
        <w:jc w:val="both"/>
      </w:pPr>
      <w:r>
        <w:t>Histopathological examination of tumor biopsies—routinely performed and relatively inexpensive—provides rich information about TME composition</w:t>
      </w:r>
      <w:r>
        <w:t xml:space="preserve"> when appropriately interrogated. Stromal density scored on routine H&amp;E sections correlates with IFP, drug penetration, and outcome in pancreatic cancer and breast cancer [25,26]. The </w:t>
      </w:r>
      <w:proofErr w:type="spellStart"/>
      <w:r>
        <w:t>Immunoscore</w:t>
      </w:r>
      <w:proofErr w:type="spellEnd"/>
      <w:r>
        <w:t>—a standardized assay that quantifies the density of CD3⁺ T c</w:t>
      </w:r>
      <w:r>
        <w:t>ells and CD8⁺ cytotoxic T cells at the tumor core and invasive margin using immunohistochemistry—has been validated in large international cohorts as a prognostic biomarker in colorectal cancer that outperforms conventional TNM staging for prediction of di</w:t>
      </w:r>
      <w:r>
        <w:t>sease-specific survival [24].</w:t>
      </w:r>
    </w:p>
    <w:p w14:paraId="6E661F64" w14:textId="77777777" w:rsidR="00FC017C" w:rsidRDefault="003C0B17">
      <w:pPr>
        <w:spacing w:before="100" w:after="100" w:line="253" w:lineRule="auto"/>
        <w:jc w:val="both"/>
      </w:pPr>
      <w:r>
        <w:t xml:space="preserve">Hypoxia markers assessable by immunohistochemistry—including HIF-1α nuclear expression, carbonic anhydrase IX (CAIX) surface expression, and GLUT1 membrane expression—provide tissue-level surrogates of tumor hypoxic fraction. </w:t>
      </w:r>
      <w:r>
        <w:t xml:space="preserve">High CAIX expression has been validated as a prognostic biomarker in renal cell carcinoma and cervical cancer and may predict benefit from hypoxia-targeting agents [25]. PD-L1 combined positive score (CPS)—measuring PD-L1 positivity across tumor cells and </w:t>
      </w:r>
      <w:r>
        <w:t>infiltrating immune cells—remains a standard companion diagnostic for pembrolizumab in gastric and gastroesophageal junction cancers and head and neck squamous cell carcinoma [17].</w:t>
      </w:r>
    </w:p>
    <w:p w14:paraId="5ECF3663" w14:textId="77777777" w:rsidR="00FC017C" w:rsidRDefault="003C0B17">
      <w:pPr>
        <w:spacing w:before="160" w:after="80"/>
      </w:pPr>
      <w:r>
        <w:rPr>
          <w:b/>
          <w:bCs/>
          <w:i/>
          <w:iCs/>
          <w:sz w:val="22"/>
          <w:szCs w:val="22"/>
        </w:rPr>
        <w:t>8.2 Emerging Technologies for TME Profiling</w:t>
      </w:r>
    </w:p>
    <w:p w14:paraId="4E6665EE" w14:textId="77777777" w:rsidR="00FC017C" w:rsidRDefault="003C0B17">
      <w:pPr>
        <w:spacing w:before="100" w:after="100" w:line="253" w:lineRule="auto"/>
        <w:jc w:val="both"/>
      </w:pPr>
      <w:r>
        <w:t xml:space="preserve">Multiplex immunohistochemistry </w:t>
      </w:r>
      <w:r>
        <w:t>(</w:t>
      </w:r>
      <w:proofErr w:type="spellStart"/>
      <w:r>
        <w:t>mIHC</w:t>
      </w:r>
      <w:proofErr w:type="spellEnd"/>
      <w:r>
        <w:t>) and multiplex immunofluorescence (</w:t>
      </w:r>
      <w:proofErr w:type="spellStart"/>
      <w:r>
        <w:t>mIF</w:t>
      </w:r>
      <w:proofErr w:type="spellEnd"/>
      <w:r>
        <w:t>) platforms now enable the simultaneous detection of 7–40 protein markers on a single tissue section, allowing comprehensive characterization of TME cellular composition, spatial relationships, and functional sta</w:t>
      </w:r>
      <w:r>
        <w:t>tes [29,30]. Phenotypic characterization of immune infiltrate subpopulations—distinguishing activated from exhausted T cells, M1 from M2 macrophages, and identifying rare regulatory populations—within spatial context is yielding insights unavailable throug</w:t>
      </w:r>
      <w:r>
        <w:t>h single-marker IHC.</w:t>
      </w:r>
    </w:p>
    <w:p w14:paraId="49613FDD" w14:textId="77777777" w:rsidR="00FC017C" w:rsidRDefault="003C0B17">
      <w:pPr>
        <w:spacing w:before="100" w:after="100" w:line="253" w:lineRule="auto"/>
        <w:jc w:val="both"/>
      </w:pPr>
      <w:r>
        <w:t xml:space="preserve">Spatially resolved transcriptomics technologies—including the 10x </w:t>
      </w:r>
      <w:proofErr w:type="spellStart"/>
      <w:r>
        <w:t>Visium</w:t>
      </w:r>
      <w:proofErr w:type="spellEnd"/>
      <w:r>
        <w:t xml:space="preserve"> platform and emerging single-cell spatial sequencing approaches—enable gene expression profiling at near-cellular resolution while preserving spatial tissue archi</w:t>
      </w:r>
      <w:r>
        <w:t>tecture [26]. Applied to TME biology, these technologies have revealed spatially defined immunosuppressive niches within tumors—discrete microanatomic compartments characterized by concentrated Treg and MDSC infiltration and high checkpoint ligand expressi</w:t>
      </w:r>
      <w:r>
        <w:t>on that correspond to zones of T cell exclusion and functional impairment.</w:t>
      </w:r>
    </w:p>
    <w:p w14:paraId="32DBEA69" w14:textId="77777777" w:rsidR="00FC017C" w:rsidRDefault="003C0B17">
      <w:pPr>
        <w:spacing w:before="100" w:after="100" w:line="253" w:lineRule="auto"/>
        <w:jc w:val="both"/>
      </w:pPr>
      <w:r>
        <w:t>Artificial intelligence-assisted digital pathology is increasingly capable of extracting prognostic and predictive features from routine hematoxylin and eosin stained slides that ar</w:t>
      </w:r>
      <w:r>
        <w:t>e imperceptible to the human eye. Deep learning algorithms trained on large, annotated whole-slide imaging datasets have demonstrated the ability to predict molecular subtypes, MSI status, HER2 amplification, TMB, and immune infiltration patterns from morp</w:t>
      </w:r>
      <w:r>
        <w:t>hological features alone [26,34].</w:t>
      </w:r>
    </w:p>
    <w:p w14:paraId="72270D8D" w14:textId="77777777" w:rsidR="00F037AE" w:rsidRDefault="00F037AE">
      <w:pPr>
        <w:spacing w:before="160" w:after="80"/>
        <w:rPr>
          <w:b/>
          <w:bCs/>
          <w:i/>
          <w:iCs/>
          <w:sz w:val="22"/>
          <w:szCs w:val="22"/>
        </w:rPr>
      </w:pPr>
    </w:p>
    <w:p w14:paraId="39BC91EA" w14:textId="5BB2B718" w:rsidR="00FC017C" w:rsidRDefault="003C0B17">
      <w:pPr>
        <w:spacing w:before="160" w:after="80"/>
      </w:pPr>
      <w:r>
        <w:rPr>
          <w:b/>
          <w:bCs/>
          <w:i/>
          <w:iCs/>
          <w:sz w:val="22"/>
          <w:szCs w:val="22"/>
        </w:rPr>
        <w:lastRenderedPageBreak/>
        <w:t>8.3 Therapeutic Strategies Targeting TME Resistance</w:t>
      </w:r>
    </w:p>
    <w:p w14:paraId="12369AB2" w14:textId="77777777" w:rsidR="00FC017C" w:rsidRDefault="003C0B17">
      <w:pPr>
        <w:spacing w:before="100" w:after="100" w:line="253" w:lineRule="auto"/>
        <w:jc w:val="both"/>
      </w:pPr>
      <w:r>
        <w:t>Several therapeutic approaches directly targeting TME resistance mechanisms have reached or are approaching clinical application. Hyaluronidase-mediated ECM digestion—usi</w:t>
      </w:r>
      <w:r>
        <w:t>ng PEGPH20, a PEGylated hyaluronidase that degrades the abundant hyaluronan matrix in pancreatic cancer stroma—was investigated in clinical trials as a means of reducing IFP and improving gemcitabine delivery [9]. HIF-2α inhibitors represent a mechanistica</w:t>
      </w:r>
      <w:r>
        <w:t xml:space="preserve">lly distinct class of drugs that exploit a pocket in the HIF-2α PAS-B domain, disrupting HIF-2α/HIF-1β dimerization and blocking transcriptional activity. </w:t>
      </w:r>
      <w:proofErr w:type="spellStart"/>
      <w:r>
        <w:t>Belzutifan</w:t>
      </w:r>
      <w:proofErr w:type="spellEnd"/>
      <w:r>
        <w:t xml:space="preserve"> (MK-6482), a potent oral HIF-2α inhibitor, received FDA approval in 2021 for VHL disease-a</w:t>
      </w:r>
      <w:r>
        <w:t>ssociated renal cell carcinoma and is under investigation in sporadic clear cell RCC and other HIF-2α-dependent malignancies [11].</w:t>
      </w:r>
    </w:p>
    <w:p w14:paraId="53D96C97" w14:textId="77777777" w:rsidR="00FC017C" w:rsidRDefault="003C0B17">
      <w:pPr>
        <w:spacing w:before="100" w:after="100" w:line="253" w:lineRule="auto"/>
        <w:jc w:val="both"/>
      </w:pPr>
      <w:r>
        <w:t>CSF-1R inhibitors and CCR2 antagonists targeting TAM recruitment and repolarization are being investigated in combination wit</w:t>
      </w:r>
      <w:r>
        <w:t>h ICIs and chemotherapy, with early phase clinical trials demonstrating that CSF-1R inhibition can reduce TAM density and shift surviving macrophages toward a more inflammatory phenotype [18,28].</w:t>
      </w:r>
    </w:p>
    <w:p w14:paraId="5727B319" w14:textId="77777777" w:rsidR="00FC017C" w:rsidRDefault="003C0B17">
      <w:pPr>
        <w:spacing w:before="220" w:after="100"/>
      </w:pPr>
      <w:r>
        <w:rPr>
          <w:b/>
          <w:bCs/>
          <w:sz w:val="22"/>
          <w:szCs w:val="22"/>
        </w:rPr>
        <w:t>9. INTERDISCIPLINARY FRAMEWORK: INTEGRATING PATHOLOGY AND PH</w:t>
      </w:r>
      <w:r>
        <w:rPr>
          <w:b/>
          <w:bCs/>
          <w:sz w:val="22"/>
          <w:szCs w:val="22"/>
        </w:rPr>
        <w:t>ARMACOLOGY</w:t>
      </w:r>
    </w:p>
    <w:p w14:paraId="290EA28C" w14:textId="77777777" w:rsidR="00FC017C" w:rsidRDefault="003C0B17">
      <w:pPr>
        <w:spacing w:before="100" w:after="100" w:line="253" w:lineRule="auto"/>
        <w:jc w:val="both"/>
      </w:pPr>
      <w:r>
        <w:t>The preceding review underscores a central thesis: that the mechanisms of therapeutic resistance in solid tumors cannot be adequately understood or addressed through a pharmacologic framework that considers only the drug and the tumor cell in is</w:t>
      </w:r>
      <w:r>
        <w:t>olation. The TME introduces layers of complexity that require simultaneous input from pathology, cell biology, immunology, physiology, and pharmacokinetics.</w:t>
      </w:r>
    </w:p>
    <w:p w14:paraId="317E8DE2" w14:textId="77777777" w:rsidR="00FC017C" w:rsidRDefault="003C0B17">
      <w:pPr>
        <w:spacing w:before="100" w:after="100" w:line="253" w:lineRule="auto"/>
        <w:jc w:val="both"/>
      </w:pPr>
      <w:r>
        <w:t>From a clinical translational perspective, this interdisciplinary integration begins at the level o</w:t>
      </w:r>
      <w:r>
        <w:t>f tissue sampling and pathological evaluation. A tumor biopsy reviewed by an oncological pathologist can, with appropriate assays, yield information about stromal density and composition, immune contexture, hypoxia marker expression, and molecular driver a</w:t>
      </w:r>
      <w:r>
        <w:t>lterations. The integration of these multi-parametric pathological assessments with pharmacokinetic/pharmacodynamic (PK/PD) modeling enables a far more granular prediction of therapeutic outcome than any single biomarker alone [24,25].</w:t>
      </w:r>
    </w:p>
    <w:p w14:paraId="5F15D358" w14:textId="77777777" w:rsidR="00FC017C" w:rsidRDefault="003C0B17">
      <w:pPr>
        <w:spacing w:before="100" w:after="100" w:line="253" w:lineRule="auto"/>
        <w:jc w:val="both"/>
      </w:pPr>
      <w:r>
        <w:t>Computational approa</w:t>
      </w:r>
      <w:r>
        <w:t>ches are beginning to formalize this integration. Agent-based models of tumor tissue simulate the spatial distribution of drug molecules in the context of explicit vascular architecture, ECM density, and cellular populations, generating predictions about t</w:t>
      </w:r>
      <w:r>
        <w:t>he concentration-time profiles at different intratumoral locations [7,8]. Such personalized PK/PD models may eventually inform individualized dosing strategies designed to overcome specific TME barriers identified in a given patient's tumor biopsy.</w:t>
      </w:r>
    </w:p>
    <w:p w14:paraId="6359B24E" w14:textId="77777777" w:rsidR="00FC017C" w:rsidRDefault="003C0B17">
      <w:pPr>
        <w:spacing w:before="100" w:after="100" w:line="253" w:lineRule="auto"/>
        <w:jc w:val="both"/>
      </w:pPr>
      <w:r>
        <w:t>The dev</w:t>
      </w:r>
      <w:r>
        <w:t>elopment of three-dimensional ex vivo tumor organoid models incorporating patient-derived CAFs, immune cells, and endothelial cells embedded in physiologically relevant ECM formulations is creating new experimental systems for drug testing that better reca</w:t>
      </w:r>
      <w:r>
        <w:t>pitulate the TME barriers observed in vivo [34,35]. Drug response profiling in such TME-inclusive organoids shows improved predictive accuracy for clinical response compared to simple two-dimensional cell culture, offering a path toward more informative pr</w:t>
      </w:r>
      <w:r>
        <w:t>eclinical testing and personalized therapeutic selection.</w:t>
      </w:r>
    </w:p>
    <w:p w14:paraId="031A444A" w14:textId="77777777" w:rsidR="00FC017C" w:rsidRDefault="003C0B17">
      <w:pPr>
        <w:spacing w:before="220" w:after="100"/>
      </w:pPr>
      <w:r>
        <w:rPr>
          <w:b/>
          <w:bCs/>
          <w:sz w:val="22"/>
          <w:szCs w:val="22"/>
        </w:rPr>
        <w:t>10. CONCLUSION</w:t>
      </w:r>
    </w:p>
    <w:p w14:paraId="21BA7837" w14:textId="77777777" w:rsidR="00FC017C" w:rsidRDefault="003C0B17">
      <w:pPr>
        <w:spacing w:before="100" w:after="100" w:line="253" w:lineRule="auto"/>
        <w:jc w:val="both"/>
      </w:pPr>
      <w:r>
        <w:t>The tumor microenvironment is not merely the setting in which cancer therapy takes place—it is an active and decisive participant in determining therapeutic outcome. This review has t</w:t>
      </w:r>
      <w:r>
        <w:t>raced the multiple converging mechanisms through which the TME mediates therapeutic resistance: the physical barriers imposed by a fibrotic, high-pressure extracellular matrix [8,9,10]; the hypoxia-driven stabilization of HIF transcription factors that rep</w:t>
      </w:r>
      <w:r>
        <w:t>rograms tumor cell metabolism and survival signaling [11,12,13,14]; the immunosuppressive cellular networks of macrophages, regulatory T cells, and myeloid-derived suppressor cells that blunt immunotherapy efficacy [18,19,20]; and the dynamic regulation of</w:t>
      </w:r>
      <w:r>
        <w:t xml:space="preserve"> immune checkpoints by cytokines, hypoxia, and stromal signals that undermines the predictive value of single-marker biomarkers [15,16,17].</w:t>
      </w:r>
    </w:p>
    <w:p w14:paraId="09A2ABB4" w14:textId="77777777" w:rsidR="00FC017C" w:rsidRDefault="003C0B17">
      <w:pPr>
        <w:spacing w:before="100" w:after="100" w:line="253" w:lineRule="auto"/>
        <w:jc w:val="both"/>
      </w:pPr>
      <w:r>
        <w:t>Understanding these mechanisms at the intersection of pathology and pharmacology is not merely intellectually satisf</w:t>
      </w:r>
      <w:r>
        <w:t xml:space="preserve">ying but clinically imperative. The histopathological assessment of TME composition is one of the most information-rich, clinically accessible windows into the biology governing therapeutic response [24,25,26]. Enriching this assessment with quantitative, </w:t>
      </w:r>
      <w:r>
        <w:t>spatially resolved, and molecularly granular tools—</w:t>
      </w:r>
      <w:proofErr w:type="spellStart"/>
      <w:r>
        <w:t>Immunoscore</w:t>
      </w:r>
      <w:proofErr w:type="spellEnd"/>
      <w:r>
        <w:t>, multiplex immunohistochemistry, spatially resolved transcriptomics, and AI-assisted digital pathology—positions pathology as a central partner in the design of precision oncology strategies.</w:t>
      </w:r>
    </w:p>
    <w:p w14:paraId="40A1DB14" w14:textId="77777777" w:rsidR="00FC017C" w:rsidRDefault="003C0B17">
      <w:pPr>
        <w:spacing w:before="100" w:after="100" w:line="253" w:lineRule="auto"/>
        <w:jc w:val="both"/>
      </w:pPr>
      <w:r>
        <w:lastRenderedPageBreak/>
        <w:t>T</w:t>
      </w:r>
      <w:r>
        <w:t>he therapeutic implications are equally clear. Combination strategies that target tumor cell-intrinsic mechanisms alongside TME resistance axes—pairing cytotoxic or targeted therapy with stromal normalization [9], anti-angiogenic vascular normalization [22</w:t>
      </w:r>
      <w:r>
        <w:t>,23], hypoxia pathway inhibition [11,13], or immunosuppressive cell depletion [18,19]—represent the direction in which the field must continue to advance. Future progress will require continued investment in mechanistically grounded translational research,</w:t>
      </w:r>
      <w:r>
        <w:t xml:space="preserve"> development and prospective validation of multi-parametric TME biomarker panels, and innovative clinical trial designs capable of testing combination strategies in biomarker-selected populations.</w:t>
      </w:r>
    </w:p>
    <w:p w14:paraId="5E3D633B" w14:textId="77777777" w:rsidR="001E5EDE" w:rsidRDefault="001E5EDE">
      <w:pPr>
        <w:spacing w:before="100" w:after="100" w:line="253" w:lineRule="auto"/>
        <w:jc w:val="both"/>
        <w:rPr>
          <w:b/>
          <w:bCs/>
        </w:rPr>
      </w:pPr>
    </w:p>
    <w:p w14:paraId="237EB7E6" w14:textId="77777777" w:rsidR="00FC017C" w:rsidRDefault="003C0B17">
      <w:pPr>
        <w:spacing w:before="220" w:after="100"/>
      </w:pPr>
      <w:bookmarkStart w:id="0" w:name="_GoBack"/>
      <w:bookmarkEnd w:id="0"/>
      <w:r>
        <w:rPr>
          <w:b/>
          <w:bCs/>
          <w:sz w:val="22"/>
          <w:szCs w:val="22"/>
        </w:rPr>
        <w:t>REFERENCES</w:t>
      </w:r>
    </w:p>
    <w:p w14:paraId="4F61A608" w14:textId="77777777" w:rsidR="00FC017C" w:rsidRDefault="003C0B17">
      <w:pPr>
        <w:spacing w:before="50" w:after="50"/>
        <w:ind w:left="360" w:hanging="360"/>
        <w:jc w:val="both"/>
      </w:pPr>
      <w:r>
        <w:t>1.</w:t>
      </w:r>
      <w:r>
        <w:tab/>
        <w:t>Hanahan, D. (2022). Hallmarks of cancer: New dimensions. Cancer Discovery, 12(1), 31–46.</w:t>
      </w:r>
    </w:p>
    <w:p w14:paraId="702B5293" w14:textId="77777777" w:rsidR="00FC017C" w:rsidRDefault="003C0B17">
      <w:pPr>
        <w:spacing w:before="50" w:after="50"/>
        <w:ind w:left="360" w:hanging="360"/>
        <w:jc w:val="both"/>
      </w:pPr>
      <w:r>
        <w:t>2.</w:t>
      </w:r>
      <w:r>
        <w:tab/>
        <w:t xml:space="preserve">Junttila, M. R., &amp; de Sauvage, F. J. (2013). Influence of </w:t>
      </w:r>
      <w:proofErr w:type="spellStart"/>
      <w:r>
        <w:t>tumour</w:t>
      </w:r>
      <w:proofErr w:type="spellEnd"/>
      <w:r>
        <w:t xml:space="preserve"> micro-environment heterogeneity on therapeutic response. Nature, 501(7467), 346–354.</w:t>
      </w:r>
    </w:p>
    <w:p w14:paraId="490BD128" w14:textId="77777777" w:rsidR="00FC017C" w:rsidRDefault="003C0B17">
      <w:pPr>
        <w:spacing w:before="50" w:after="50"/>
        <w:ind w:left="360" w:hanging="360"/>
        <w:jc w:val="both"/>
      </w:pPr>
      <w:r>
        <w:t>3.</w:t>
      </w:r>
      <w:r>
        <w:tab/>
        <w:t>Quail, D. F., &amp; Joyce, J. A. (2013). Microenvironmental regulation of tumor progression and metastasis. Nature Medicine, 19(11), 1423–1437.</w:t>
      </w:r>
    </w:p>
    <w:p w14:paraId="6563B9D4" w14:textId="77777777" w:rsidR="00FC017C" w:rsidRDefault="003C0B17">
      <w:pPr>
        <w:spacing w:before="50" w:after="50"/>
        <w:ind w:left="360" w:hanging="360"/>
        <w:jc w:val="both"/>
      </w:pPr>
      <w:r>
        <w:t>4.</w:t>
      </w:r>
      <w:r>
        <w:tab/>
      </w:r>
      <w:proofErr w:type="spellStart"/>
      <w:r>
        <w:t>Binnewies</w:t>
      </w:r>
      <w:proofErr w:type="spellEnd"/>
      <w:r>
        <w:t xml:space="preserve">, M., Roberts, </w:t>
      </w:r>
      <w:r>
        <w:t>E. W., Kersten, K., et al. (2018). Understanding the tumor immune microenvironment. Nature Medicine, 24(5), 541–550.</w:t>
      </w:r>
    </w:p>
    <w:p w14:paraId="3DDCF31A" w14:textId="77777777" w:rsidR="00FC017C" w:rsidRDefault="003C0B17">
      <w:pPr>
        <w:spacing w:before="50" w:after="50"/>
        <w:ind w:left="360" w:hanging="360"/>
        <w:jc w:val="both"/>
      </w:pPr>
      <w:r>
        <w:t>5.</w:t>
      </w:r>
      <w:r>
        <w:tab/>
        <w:t>Jain, R. K. (2005). Normalization of tumor vasculature: An emerging concept in antiangiogenic therapy. Science, 307(5706), 58–62.</w:t>
      </w:r>
    </w:p>
    <w:p w14:paraId="6066F44D" w14:textId="77777777" w:rsidR="00FC017C" w:rsidRDefault="003C0B17">
      <w:pPr>
        <w:spacing w:before="50" w:after="50"/>
        <w:ind w:left="360" w:hanging="360"/>
        <w:jc w:val="both"/>
      </w:pPr>
      <w:r>
        <w:t>6.</w:t>
      </w:r>
      <w:r>
        <w:tab/>
        <w:t>Gil</w:t>
      </w:r>
      <w:r>
        <w:t xml:space="preserve">kes, D. M., Semenza, G. L., &amp; Wirtz, D. (2014). Hypoxia and the extracellular matrix: Drivers of </w:t>
      </w:r>
      <w:proofErr w:type="spellStart"/>
      <w:r>
        <w:t>tumour</w:t>
      </w:r>
      <w:proofErr w:type="spellEnd"/>
      <w:r>
        <w:t xml:space="preserve"> metastasis. Nature Reviews Cancer, 14(6), 430–439.</w:t>
      </w:r>
    </w:p>
    <w:p w14:paraId="68B70F3A" w14:textId="77777777" w:rsidR="00FC017C" w:rsidRDefault="003C0B17">
      <w:pPr>
        <w:spacing w:before="50" w:after="50"/>
        <w:ind w:left="360" w:hanging="360"/>
        <w:jc w:val="both"/>
      </w:pPr>
      <w:r>
        <w:t>7.</w:t>
      </w:r>
      <w:r>
        <w:tab/>
        <w:t>Holohan, C., Van Schaeybroeck, S., Longley, D. B., &amp; Johnston, P. G. (2013). Cancer drug resistanc</w:t>
      </w:r>
      <w:r>
        <w:t>e: An evolving paradigm. Nature Reviews Cancer, 13(10), 714–726.</w:t>
      </w:r>
    </w:p>
    <w:p w14:paraId="51D01B6E" w14:textId="77777777" w:rsidR="00FC017C" w:rsidRDefault="003C0B17">
      <w:pPr>
        <w:spacing w:before="50" w:after="50"/>
        <w:ind w:left="360" w:hanging="360"/>
        <w:jc w:val="both"/>
      </w:pPr>
      <w:r>
        <w:t>8.</w:t>
      </w:r>
      <w:r>
        <w:tab/>
      </w:r>
      <w:proofErr w:type="spellStart"/>
      <w:r>
        <w:t>Levental</w:t>
      </w:r>
      <w:proofErr w:type="spellEnd"/>
      <w:r>
        <w:t>, K. R., Yu, H., Kass, L., et al. (2009). Matrix crosslinking forces tumor progression. Cell, 139(5), 891–906.</w:t>
      </w:r>
    </w:p>
    <w:p w14:paraId="37B9325D" w14:textId="77777777" w:rsidR="00FC017C" w:rsidRDefault="003C0B17">
      <w:pPr>
        <w:spacing w:before="50" w:after="50"/>
        <w:ind w:left="360" w:hanging="360"/>
        <w:jc w:val="both"/>
      </w:pPr>
      <w:r>
        <w:t>9.</w:t>
      </w:r>
      <w:r>
        <w:tab/>
        <w:t>Kalluri, R. (2016). The biology and function of fibroblasts in can</w:t>
      </w:r>
      <w:r>
        <w:t>cer. Nature Reviews Cancer, 16(9), 582–598.</w:t>
      </w:r>
    </w:p>
    <w:p w14:paraId="56CDE6BC" w14:textId="77777777" w:rsidR="00FC017C" w:rsidRDefault="003C0B17">
      <w:pPr>
        <w:spacing w:before="50" w:after="50"/>
        <w:ind w:left="360" w:hanging="360"/>
        <w:jc w:val="both"/>
      </w:pPr>
      <w:r>
        <w:t>10.</w:t>
      </w:r>
      <w:r>
        <w:tab/>
        <w:t>Pickup, M. W., Mouw, J. K., &amp; Weaver, V. M. (2014). The extracellular matrix modulates the hallmarks of cancer. EMBO Reports, 15(12), 1243–1253.</w:t>
      </w:r>
    </w:p>
    <w:p w14:paraId="3419A90B" w14:textId="77777777" w:rsidR="00FC017C" w:rsidRDefault="003C0B17">
      <w:pPr>
        <w:spacing w:before="50" w:after="50"/>
        <w:ind w:left="360" w:hanging="360"/>
        <w:jc w:val="both"/>
      </w:pPr>
      <w:r>
        <w:t>11.</w:t>
      </w:r>
      <w:r>
        <w:tab/>
        <w:t>Semenza, G. L. (2012). Hypoxia-inducible factors in physiol</w:t>
      </w:r>
      <w:r>
        <w:t>ogy and medicine. Cell, 148(3), 399–408.</w:t>
      </w:r>
    </w:p>
    <w:p w14:paraId="5776D04E" w14:textId="77777777" w:rsidR="00FC017C" w:rsidRDefault="003C0B17">
      <w:pPr>
        <w:spacing w:before="50" w:after="50"/>
        <w:ind w:left="360" w:hanging="360"/>
        <w:jc w:val="both"/>
      </w:pPr>
      <w:r>
        <w:t>12.</w:t>
      </w:r>
      <w:r>
        <w:tab/>
        <w:t xml:space="preserve">Vaupel, P., &amp; </w:t>
      </w:r>
      <w:proofErr w:type="spellStart"/>
      <w:r>
        <w:t>Multhoff</w:t>
      </w:r>
      <w:proofErr w:type="spellEnd"/>
      <w:r>
        <w:t>, G. (2021). Revisiting the Warburg effect: Historical dogma versus current understanding. Journal of Physiology, 599(6), 1745–1757.</w:t>
      </w:r>
    </w:p>
    <w:p w14:paraId="04221ADA" w14:textId="77777777" w:rsidR="00FC017C" w:rsidRDefault="003C0B17">
      <w:pPr>
        <w:spacing w:before="50" w:after="50"/>
        <w:ind w:left="360" w:hanging="360"/>
        <w:jc w:val="both"/>
      </w:pPr>
      <w:r>
        <w:t>13.</w:t>
      </w:r>
      <w:r>
        <w:tab/>
        <w:t xml:space="preserve">Brown, J. M., &amp; Wilson, W. R. (2004). Exploiting </w:t>
      </w:r>
      <w:proofErr w:type="spellStart"/>
      <w:r>
        <w:t>tum</w:t>
      </w:r>
      <w:r>
        <w:t>our</w:t>
      </w:r>
      <w:proofErr w:type="spellEnd"/>
      <w:r>
        <w:t xml:space="preserve"> hypoxia in cancer treatment. Nature Reviews Cancer, 4(6), 437–447.</w:t>
      </w:r>
    </w:p>
    <w:p w14:paraId="2B6CE0DB" w14:textId="77777777" w:rsidR="00FC017C" w:rsidRDefault="003C0B17">
      <w:pPr>
        <w:spacing w:before="50" w:after="50"/>
        <w:ind w:left="360" w:hanging="360"/>
        <w:jc w:val="both"/>
      </w:pPr>
      <w:r>
        <w:t>14.</w:t>
      </w:r>
      <w:r>
        <w:tab/>
        <w:t>Tredan, O., Galmarini, C. M., Patel, K., &amp; Tannock, I. F. (2007). Drug resistance and the solid tumor microenvironment. Journal of the National Cancer Institute, 99(19), 1441–1454.</w:t>
      </w:r>
    </w:p>
    <w:p w14:paraId="0AFB0C3A" w14:textId="77777777" w:rsidR="00FC017C" w:rsidRDefault="003C0B17">
      <w:pPr>
        <w:spacing w:before="50" w:after="50"/>
        <w:ind w:left="360" w:hanging="360"/>
        <w:jc w:val="both"/>
      </w:pPr>
      <w:r>
        <w:t>15.</w:t>
      </w:r>
      <w:r>
        <w:tab/>
        <w:t xml:space="preserve">Noman, M. Z., </w:t>
      </w:r>
      <w:proofErr w:type="spellStart"/>
      <w:r>
        <w:t>Hasmim</w:t>
      </w:r>
      <w:proofErr w:type="spellEnd"/>
      <w:r>
        <w:t xml:space="preserve">, M., </w:t>
      </w:r>
      <w:proofErr w:type="spellStart"/>
      <w:r>
        <w:t>Lequeux</w:t>
      </w:r>
      <w:proofErr w:type="spellEnd"/>
      <w:r>
        <w:t>, A., et al. (2014). Hypoxia: A key player in antitumor immune response. Cancer Letters, 356(2), 310–319.</w:t>
      </w:r>
    </w:p>
    <w:p w14:paraId="5C10B84D" w14:textId="77777777" w:rsidR="00FC017C" w:rsidRDefault="003C0B17">
      <w:pPr>
        <w:spacing w:before="50" w:after="50"/>
        <w:ind w:left="360" w:hanging="360"/>
        <w:jc w:val="both"/>
      </w:pPr>
      <w:r>
        <w:t>16.</w:t>
      </w:r>
      <w:r>
        <w:tab/>
        <w:t>Sharma, P., &amp; Allison, J. P. (2015). The future of immune checkpoint therapy. Science, 348(6230), 56–61.</w:t>
      </w:r>
    </w:p>
    <w:p w14:paraId="087B5AC3" w14:textId="77777777" w:rsidR="00FC017C" w:rsidRDefault="003C0B17">
      <w:pPr>
        <w:spacing w:before="50" w:after="50"/>
        <w:ind w:left="360" w:hanging="360"/>
        <w:jc w:val="both"/>
      </w:pPr>
      <w:r>
        <w:t>17.</w:t>
      </w:r>
      <w:r>
        <w:tab/>
      </w:r>
      <w:r>
        <w:t>Chen, D. S., &amp; Mellman, I. (2017). Elements of cancer immunity and the cancer–immune set point. Nature, 541(7637), 321–330.</w:t>
      </w:r>
    </w:p>
    <w:p w14:paraId="7F5596D2" w14:textId="77777777" w:rsidR="00FC017C" w:rsidRDefault="003C0B17">
      <w:pPr>
        <w:spacing w:before="50" w:after="50"/>
        <w:ind w:left="360" w:hanging="360"/>
        <w:jc w:val="both"/>
      </w:pPr>
      <w:r>
        <w:t>18.</w:t>
      </w:r>
      <w:r>
        <w:tab/>
        <w:t>Joyce, J. A., &amp; Pollard, J. W. (2009). Microenvironmental regulation of metastasis. Nature Reviews Cancer, 9(4), 239–252.</w:t>
      </w:r>
    </w:p>
    <w:p w14:paraId="1187E809" w14:textId="77777777" w:rsidR="00FC017C" w:rsidRDefault="003C0B17">
      <w:pPr>
        <w:spacing w:before="50" w:after="50"/>
        <w:ind w:left="360" w:hanging="360"/>
        <w:jc w:val="both"/>
      </w:pPr>
      <w:r>
        <w:t>19.</w:t>
      </w:r>
      <w:r>
        <w:tab/>
        <w:t>He</w:t>
      </w:r>
      <w:r>
        <w:t>gde, P. S., &amp; Chen, D. S. (2020). Top 10 challenges in cancer immunotherapy. Immunity, 52(1), 17–35.</w:t>
      </w:r>
    </w:p>
    <w:p w14:paraId="25DD4A8F" w14:textId="77777777" w:rsidR="00FC017C" w:rsidRDefault="003C0B17">
      <w:pPr>
        <w:spacing w:before="50" w:after="50"/>
        <w:ind w:left="360" w:hanging="360"/>
        <w:jc w:val="both"/>
      </w:pPr>
      <w:r>
        <w:t>20.</w:t>
      </w:r>
      <w:r>
        <w:tab/>
        <w:t xml:space="preserve">Fridman, W. H., </w:t>
      </w:r>
      <w:proofErr w:type="spellStart"/>
      <w:r>
        <w:t>Pagès</w:t>
      </w:r>
      <w:proofErr w:type="spellEnd"/>
      <w:r>
        <w:t xml:space="preserve">, F., </w:t>
      </w:r>
      <w:proofErr w:type="spellStart"/>
      <w:r>
        <w:t>Sautès-Fridman</w:t>
      </w:r>
      <w:proofErr w:type="spellEnd"/>
      <w:r>
        <w:t xml:space="preserve">, C., &amp; Galon, J. (2012). The immune contexture in human </w:t>
      </w:r>
      <w:proofErr w:type="spellStart"/>
      <w:r>
        <w:t>tumours</w:t>
      </w:r>
      <w:proofErr w:type="spellEnd"/>
      <w:r>
        <w:t>. Nature Reviews Cancer, 12(4), 298–306.</w:t>
      </w:r>
    </w:p>
    <w:p w14:paraId="358206A6" w14:textId="77777777" w:rsidR="00FC017C" w:rsidRDefault="003C0B17">
      <w:pPr>
        <w:spacing w:before="50" w:after="50"/>
        <w:ind w:left="360" w:hanging="360"/>
        <w:jc w:val="both"/>
      </w:pPr>
      <w:r>
        <w:t>21.</w:t>
      </w:r>
      <w:r>
        <w:tab/>
        <w:t>Y</w:t>
      </w:r>
      <w:r>
        <w:t>archoan, M., Hopkins, A., &amp; Jaffee, E. M. (2017). Tumor mutational burden and response rate to PD-1 inhibition. New England Journal of Medicine, 377(25), 2500–2501.</w:t>
      </w:r>
    </w:p>
    <w:p w14:paraId="5845D8B5" w14:textId="77777777" w:rsidR="00FC017C" w:rsidRDefault="003C0B17">
      <w:pPr>
        <w:spacing w:before="50" w:after="50"/>
        <w:ind w:left="360" w:hanging="360"/>
        <w:jc w:val="both"/>
      </w:pPr>
      <w:r>
        <w:t>22.</w:t>
      </w:r>
      <w:r>
        <w:tab/>
        <w:t>Goel, S., Duda, D. G., Xu, L., et al. (2011). Normalization of the vasculature for trea</w:t>
      </w:r>
      <w:r>
        <w:t>tment of cancer and other diseases. Physiological Reviews, 91(3), 1071–1121.</w:t>
      </w:r>
    </w:p>
    <w:p w14:paraId="0A977FC2" w14:textId="77777777" w:rsidR="00FC017C" w:rsidRDefault="003C0B17">
      <w:pPr>
        <w:spacing w:before="50" w:after="50"/>
        <w:ind w:left="360" w:hanging="360"/>
        <w:jc w:val="both"/>
      </w:pPr>
      <w:r>
        <w:t>23.</w:t>
      </w:r>
      <w:r>
        <w:tab/>
        <w:t xml:space="preserve">Fukumura, D., Kloepper, J., </w:t>
      </w:r>
      <w:proofErr w:type="spellStart"/>
      <w:r>
        <w:t>Amoozgar</w:t>
      </w:r>
      <w:proofErr w:type="spellEnd"/>
      <w:r>
        <w:t>, Z., et al. (2018). Enhancing cancer immunotherapy using antiangiogenics. Nature Reviews Clinical Oncology, 15(5), 325–340.</w:t>
      </w:r>
    </w:p>
    <w:p w14:paraId="710CED72" w14:textId="77777777" w:rsidR="00FC017C" w:rsidRDefault="003C0B17">
      <w:pPr>
        <w:spacing w:before="50" w:after="50"/>
        <w:ind w:left="360" w:hanging="360"/>
        <w:jc w:val="both"/>
      </w:pPr>
      <w:r>
        <w:t>24.</w:t>
      </w:r>
      <w:r>
        <w:tab/>
      </w:r>
      <w:r>
        <w:t xml:space="preserve">Galon, J., &amp; Bruni, D. (2019). Approaches to treat immune hot, altered and cold </w:t>
      </w:r>
      <w:proofErr w:type="spellStart"/>
      <w:r>
        <w:t>tumours</w:t>
      </w:r>
      <w:proofErr w:type="spellEnd"/>
      <w:r>
        <w:t xml:space="preserve"> with combination immunotherapies. Nature Reviews Drug Discovery, 18(3), 197–218.</w:t>
      </w:r>
    </w:p>
    <w:p w14:paraId="17FE228E" w14:textId="77777777" w:rsidR="00FC017C" w:rsidRDefault="003C0B17">
      <w:pPr>
        <w:spacing w:before="50" w:after="50"/>
        <w:ind w:left="360" w:hanging="360"/>
        <w:jc w:val="both"/>
      </w:pPr>
      <w:r>
        <w:lastRenderedPageBreak/>
        <w:t>25.</w:t>
      </w:r>
      <w:r>
        <w:tab/>
        <w:t>Lu, P., Weaver, V. M., &amp; Werb, Z. (2012). The extracellular matrix: A dynamic niche</w:t>
      </w:r>
      <w:r>
        <w:t xml:space="preserve"> in cancer progression. Journal of Cell Biology, 196(4), 395–406.</w:t>
      </w:r>
    </w:p>
    <w:p w14:paraId="0B806A0C" w14:textId="77777777" w:rsidR="00FC017C" w:rsidRDefault="003C0B17">
      <w:pPr>
        <w:spacing w:before="50" w:after="50"/>
        <w:ind w:left="360" w:hanging="360"/>
        <w:jc w:val="both"/>
      </w:pPr>
      <w:r>
        <w:t>26.</w:t>
      </w:r>
      <w:r>
        <w:tab/>
        <w:t>Hinshaw, D. C., &amp; Shevde, L. A. (2019). The tumor microenvironment innately modulates cancer progression. Cancer Research, 79(18), 4557–4566.</w:t>
      </w:r>
    </w:p>
    <w:p w14:paraId="5870F446" w14:textId="77777777" w:rsidR="00FC017C" w:rsidRDefault="003C0B17">
      <w:pPr>
        <w:spacing w:before="50" w:after="50"/>
        <w:ind w:left="360" w:hanging="360"/>
        <w:jc w:val="both"/>
      </w:pPr>
      <w:r>
        <w:t>27.</w:t>
      </w:r>
      <w:r>
        <w:tab/>
        <w:t>Balkwill, F. R., Capasso, M., &amp; Hagemann</w:t>
      </w:r>
      <w:r>
        <w:t>, T. (2012). The tumor microenvironment at a glance. Journal of Cell Science, 125(23), 5591–5596.</w:t>
      </w:r>
    </w:p>
    <w:p w14:paraId="0057F7D4" w14:textId="77777777" w:rsidR="00FC017C" w:rsidRDefault="003C0B17">
      <w:pPr>
        <w:spacing w:before="50" w:after="50"/>
        <w:ind w:left="360" w:hanging="360"/>
        <w:jc w:val="both"/>
      </w:pPr>
      <w:r>
        <w:t>28.</w:t>
      </w:r>
      <w:r>
        <w:tab/>
        <w:t xml:space="preserve">Galluzzi, L., </w:t>
      </w:r>
      <w:proofErr w:type="spellStart"/>
      <w:r>
        <w:t>Buqué</w:t>
      </w:r>
      <w:proofErr w:type="spellEnd"/>
      <w:r>
        <w:t xml:space="preserve">, A., </w:t>
      </w:r>
      <w:proofErr w:type="spellStart"/>
      <w:r>
        <w:t>Kepp</w:t>
      </w:r>
      <w:proofErr w:type="spellEnd"/>
      <w:r>
        <w:t xml:space="preserve">, O., Zitvogel, L., &amp; Kroemer, G. (2015). Immunological effects of conventional chemotherapy and targeted anticancer agents. </w:t>
      </w:r>
      <w:r>
        <w:t>Cancer Cell, 28(6), 690–714.</w:t>
      </w:r>
    </w:p>
    <w:p w14:paraId="49CB1DB0" w14:textId="77777777" w:rsidR="00FC017C" w:rsidRDefault="003C0B17">
      <w:pPr>
        <w:spacing w:before="50" w:after="50"/>
        <w:ind w:left="360" w:hanging="360"/>
        <w:jc w:val="both"/>
      </w:pPr>
      <w:r>
        <w:t>29.</w:t>
      </w:r>
      <w:r>
        <w:tab/>
        <w:t xml:space="preserve">Turley, S. J., Cremasco, V., &amp; Astarita, J. L. (2015). Immunological hallmarks of stromal cells in the </w:t>
      </w:r>
      <w:proofErr w:type="spellStart"/>
      <w:r>
        <w:t>tumour</w:t>
      </w:r>
      <w:proofErr w:type="spellEnd"/>
      <w:r>
        <w:t xml:space="preserve"> microenvironment. Nature Reviews Immunology, 15(11), 669–682.</w:t>
      </w:r>
    </w:p>
    <w:p w14:paraId="103EC015" w14:textId="77777777" w:rsidR="00FC017C" w:rsidRDefault="003C0B17">
      <w:pPr>
        <w:spacing w:before="50" w:after="50"/>
        <w:ind w:left="360" w:hanging="360"/>
        <w:jc w:val="both"/>
      </w:pPr>
      <w:r>
        <w:t>30.</w:t>
      </w:r>
      <w:r>
        <w:tab/>
        <w:t xml:space="preserve">Salmon, H., Remark, R., </w:t>
      </w:r>
      <w:proofErr w:type="spellStart"/>
      <w:r>
        <w:t>Gnjatic</w:t>
      </w:r>
      <w:proofErr w:type="spellEnd"/>
      <w:r>
        <w:t>, S., &amp; Merad, M</w:t>
      </w:r>
      <w:r>
        <w:t xml:space="preserve">. (2019). Host tissue determinants of </w:t>
      </w:r>
      <w:proofErr w:type="spellStart"/>
      <w:r>
        <w:t>tumour</w:t>
      </w:r>
      <w:proofErr w:type="spellEnd"/>
      <w:r>
        <w:t xml:space="preserve"> immunity. Nature Reviews Cancer, 19(4), 215–227.</w:t>
      </w:r>
    </w:p>
    <w:p w14:paraId="525BB102" w14:textId="77777777" w:rsidR="00FC017C" w:rsidRDefault="003C0B17">
      <w:pPr>
        <w:spacing w:before="50" w:after="50"/>
        <w:ind w:left="360" w:hanging="360"/>
        <w:jc w:val="both"/>
      </w:pPr>
      <w:r>
        <w:t>31.</w:t>
      </w:r>
      <w:r>
        <w:tab/>
        <w:t>Bissell, M. J., &amp; Hines, W. C. (2011). Why don’t we get more cancer? A proposed role of the microenvironment in restraining cancer progression. Nature Medicin</w:t>
      </w:r>
      <w:r>
        <w:t>e, 17(3), 320–329.</w:t>
      </w:r>
    </w:p>
    <w:p w14:paraId="22A2693A" w14:textId="77777777" w:rsidR="00FC017C" w:rsidRDefault="003C0B17">
      <w:pPr>
        <w:spacing w:before="50" w:after="50"/>
        <w:ind w:left="360" w:hanging="360"/>
        <w:jc w:val="both"/>
      </w:pPr>
      <w:r>
        <w:t>32.</w:t>
      </w:r>
      <w:r>
        <w:tab/>
        <w:t>Maman, S., &amp; Witz, I. P. (2018). A history of exploring cancer in context. Nature Reviews Cancer, 18(6), 359–376.</w:t>
      </w:r>
    </w:p>
    <w:p w14:paraId="4BABA532" w14:textId="77777777" w:rsidR="00FC017C" w:rsidRDefault="003C0B17">
      <w:pPr>
        <w:spacing w:before="50" w:after="50"/>
        <w:ind w:left="360" w:hanging="360"/>
        <w:jc w:val="both"/>
      </w:pPr>
      <w:r>
        <w:t>33.</w:t>
      </w:r>
      <w:r>
        <w:tab/>
        <w:t xml:space="preserve">Ribatti, D., Nico, B., &amp; </w:t>
      </w:r>
      <w:proofErr w:type="spellStart"/>
      <w:r>
        <w:t>Crivellato</w:t>
      </w:r>
      <w:proofErr w:type="spellEnd"/>
      <w:r>
        <w:t xml:space="preserve">, E. (2010). The role of mast cells in </w:t>
      </w:r>
      <w:proofErr w:type="spellStart"/>
      <w:r>
        <w:t>tumour</w:t>
      </w:r>
      <w:proofErr w:type="spellEnd"/>
      <w:r>
        <w:t xml:space="preserve"> angiogenesis. British Journal of C</w:t>
      </w:r>
      <w:r>
        <w:t>ancer, 102(1), 11–16.</w:t>
      </w:r>
    </w:p>
    <w:p w14:paraId="12ED41D0" w14:textId="77777777" w:rsidR="00FC017C" w:rsidRDefault="003C0B17">
      <w:pPr>
        <w:spacing w:before="50" w:after="50"/>
        <w:ind w:left="360" w:hanging="360"/>
        <w:jc w:val="both"/>
      </w:pPr>
      <w:r>
        <w:t>34.</w:t>
      </w:r>
      <w:r>
        <w:tab/>
        <w:t>Roma-Rodrigues, C., Mendes, R., Baptista, P. V., &amp; Fernandes, A. R. (2019). Targeting tumor microenvironment for cancer therapy. International Journal of Molecular Sciences, 20(4), 840.</w:t>
      </w:r>
    </w:p>
    <w:p w14:paraId="33028974" w14:textId="77777777" w:rsidR="00FC017C" w:rsidRDefault="003C0B17">
      <w:pPr>
        <w:spacing w:before="50" w:after="50"/>
        <w:ind w:left="360" w:hanging="360"/>
        <w:jc w:val="both"/>
      </w:pPr>
      <w:r>
        <w:t>35.</w:t>
      </w:r>
      <w:r>
        <w:tab/>
        <w:t>Roma-Rodrigues, C., Heuer-Jungemann, A.,</w:t>
      </w:r>
      <w:r>
        <w:t xml:space="preserve"> Fernandes, A. R., et al. (2020). Targeting tumor microenvironment for cancer therapy. Advanced Drug Delivery Reviews, 159, 237–268.</w:t>
      </w:r>
    </w:p>
    <w:sectPr w:rsidR="00FC017C">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0CFE6" w14:textId="77777777" w:rsidR="003C0B17" w:rsidRDefault="003C0B17">
      <w:r>
        <w:separator/>
      </w:r>
    </w:p>
  </w:endnote>
  <w:endnote w:type="continuationSeparator" w:id="0">
    <w:p w14:paraId="4988246D" w14:textId="77777777" w:rsidR="003C0B17" w:rsidRDefault="003C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9310" w14:textId="77777777" w:rsidR="00A0615B" w:rsidRDefault="00A06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511AEF" w14:textId="3A5DD75A" w:rsidR="00FC017C" w:rsidRDefault="00FC017C">
    <w:pPr>
      <w:pBdr>
        <w:top w:val="single" w:sz="4" w:space="1" w:color="AAAAAA"/>
      </w:pBd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95BC7" w14:textId="77777777" w:rsidR="00A0615B" w:rsidRDefault="00A06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EA8B1" w14:textId="77777777" w:rsidR="003C0B17" w:rsidRDefault="003C0B17">
      <w:r>
        <w:separator/>
      </w:r>
    </w:p>
  </w:footnote>
  <w:footnote w:type="continuationSeparator" w:id="0">
    <w:p w14:paraId="4664F333" w14:textId="77777777" w:rsidR="003C0B17" w:rsidRDefault="003C0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4478" w14:textId="1FBD5FC7" w:rsidR="00A0615B" w:rsidRDefault="00A0615B">
    <w:pPr>
      <w:pStyle w:val="Header"/>
    </w:pPr>
    <w:r>
      <w:rPr>
        <w:noProof/>
      </w:rPr>
      <w:pict w14:anchorId="55119C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63407" o:spid="_x0000_s2050" type="#_x0000_t136" style="position:absolute;margin-left:0;margin-top:0;width:639.45pt;height:71.0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CE51C" w14:textId="2146F57F" w:rsidR="00FC017C" w:rsidRDefault="00A0615B">
    <w:pPr>
      <w:pBdr>
        <w:bottom w:val="single" w:sz="4" w:space="1" w:color="2E4057"/>
      </w:pBdr>
      <w:jc w:val="right"/>
    </w:pPr>
    <w:r>
      <w:rPr>
        <w:noProof/>
      </w:rPr>
      <w:pict w14:anchorId="218909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63408" o:spid="_x0000_s2051" type="#_x0000_t136" style="position:absolute;left:0;text-align:left;margin-left:0;margin-top:0;width:639.45pt;height:71.0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CF7B9" w14:textId="1447AC69" w:rsidR="00A0615B" w:rsidRDefault="00A0615B">
    <w:pPr>
      <w:pStyle w:val="Header"/>
    </w:pPr>
    <w:r>
      <w:rPr>
        <w:noProof/>
      </w:rPr>
      <w:pict w14:anchorId="19BD75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3463406" o:spid="_x0000_s2049" type="#_x0000_t136" style="position:absolute;margin-left:0;margin-top:0;width:639.45pt;height:71.0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5B3DD0"/>
    <w:multiLevelType w:val="hybridMultilevel"/>
    <w:tmpl w:val="10D6681C"/>
    <w:lvl w:ilvl="0" w:tplc="68CE3092">
      <w:start w:val="1"/>
      <w:numFmt w:val="bullet"/>
      <w:lvlText w:val="●"/>
      <w:lvlJc w:val="left"/>
      <w:pPr>
        <w:ind w:left="720" w:hanging="360"/>
      </w:pPr>
    </w:lvl>
    <w:lvl w:ilvl="1" w:tplc="E19CADBE">
      <w:start w:val="1"/>
      <w:numFmt w:val="bullet"/>
      <w:lvlText w:val="○"/>
      <w:lvlJc w:val="left"/>
      <w:pPr>
        <w:ind w:left="1440" w:hanging="360"/>
      </w:pPr>
    </w:lvl>
    <w:lvl w:ilvl="2" w:tplc="D9AE853E">
      <w:start w:val="1"/>
      <w:numFmt w:val="bullet"/>
      <w:lvlText w:val="■"/>
      <w:lvlJc w:val="left"/>
      <w:pPr>
        <w:ind w:left="2160" w:hanging="360"/>
      </w:pPr>
    </w:lvl>
    <w:lvl w:ilvl="3" w:tplc="022214A6">
      <w:start w:val="1"/>
      <w:numFmt w:val="bullet"/>
      <w:lvlText w:val="●"/>
      <w:lvlJc w:val="left"/>
      <w:pPr>
        <w:ind w:left="2880" w:hanging="360"/>
      </w:pPr>
    </w:lvl>
    <w:lvl w:ilvl="4" w:tplc="64A6C8AA">
      <w:start w:val="1"/>
      <w:numFmt w:val="bullet"/>
      <w:lvlText w:val="○"/>
      <w:lvlJc w:val="left"/>
      <w:pPr>
        <w:ind w:left="3600" w:hanging="360"/>
      </w:pPr>
    </w:lvl>
    <w:lvl w:ilvl="5" w:tplc="A526201C">
      <w:start w:val="1"/>
      <w:numFmt w:val="bullet"/>
      <w:lvlText w:val="■"/>
      <w:lvlJc w:val="left"/>
      <w:pPr>
        <w:ind w:left="4320" w:hanging="360"/>
      </w:pPr>
    </w:lvl>
    <w:lvl w:ilvl="6" w:tplc="45CE4344">
      <w:start w:val="1"/>
      <w:numFmt w:val="bullet"/>
      <w:lvlText w:val="●"/>
      <w:lvlJc w:val="left"/>
      <w:pPr>
        <w:ind w:left="5040" w:hanging="360"/>
      </w:pPr>
    </w:lvl>
    <w:lvl w:ilvl="7" w:tplc="0B98041C">
      <w:start w:val="1"/>
      <w:numFmt w:val="bullet"/>
      <w:lvlText w:val="●"/>
      <w:lvlJc w:val="left"/>
      <w:pPr>
        <w:ind w:left="5760" w:hanging="360"/>
      </w:pPr>
    </w:lvl>
    <w:lvl w:ilvl="8" w:tplc="FEF6C41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17C"/>
    <w:rsid w:val="00196223"/>
    <w:rsid w:val="001E5EDE"/>
    <w:rsid w:val="003C0B17"/>
    <w:rsid w:val="0057415E"/>
    <w:rsid w:val="006D0A0B"/>
    <w:rsid w:val="007C6CEF"/>
    <w:rsid w:val="007E6015"/>
    <w:rsid w:val="008A76B9"/>
    <w:rsid w:val="009A7D26"/>
    <w:rsid w:val="00A0615B"/>
    <w:rsid w:val="00A45E4B"/>
    <w:rsid w:val="00AF2986"/>
    <w:rsid w:val="00CE06B7"/>
    <w:rsid w:val="00D30CE6"/>
    <w:rsid w:val="00F037AE"/>
    <w:rsid w:val="00F54D6F"/>
    <w:rsid w:val="00FC0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CFF5B04"/>
  <w15:docId w15:val="{9BBDF16C-3DF2-46CB-9CC0-DA354C376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30CE6"/>
    <w:pPr>
      <w:tabs>
        <w:tab w:val="center" w:pos="4513"/>
        <w:tab w:val="right" w:pos="9026"/>
      </w:tabs>
    </w:pPr>
  </w:style>
  <w:style w:type="character" w:customStyle="1" w:styleId="HeaderChar">
    <w:name w:val="Header Char"/>
    <w:basedOn w:val="DefaultParagraphFont"/>
    <w:link w:val="Header"/>
    <w:uiPriority w:val="99"/>
    <w:rsid w:val="00D30CE6"/>
  </w:style>
  <w:style w:type="paragraph" w:styleId="Footer">
    <w:name w:val="footer"/>
    <w:basedOn w:val="Normal"/>
    <w:link w:val="FooterChar"/>
    <w:uiPriority w:val="99"/>
    <w:unhideWhenUsed/>
    <w:rsid w:val="00D30CE6"/>
    <w:pPr>
      <w:tabs>
        <w:tab w:val="center" w:pos="4513"/>
        <w:tab w:val="right" w:pos="9026"/>
      </w:tabs>
    </w:pPr>
  </w:style>
  <w:style w:type="character" w:customStyle="1" w:styleId="FooterChar">
    <w:name w:val="Footer Char"/>
    <w:basedOn w:val="DefaultParagraphFont"/>
    <w:link w:val="Footer"/>
    <w:uiPriority w:val="99"/>
    <w:rsid w:val="00D30CE6"/>
  </w:style>
  <w:style w:type="character" w:styleId="UnresolvedMention">
    <w:name w:val="Unresolved Mention"/>
    <w:basedOn w:val="DefaultParagraphFont"/>
    <w:uiPriority w:val="99"/>
    <w:semiHidden/>
    <w:unhideWhenUsed/>
    <w:rsid w:val="00D30C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6460</Words>
  <Characters>36826</Characters>
  <Application>Microsoft Office Word</Application>
  <DocSecurity>0</DocSecurity>
  <Lines>306</Lines>
  <Paragraphs>86</Paragraphs>
  <ScaleCrop>false</ScaleCrop>
  <Company/>
  <LinksUpToDate>false</LinksUpToDate>
  <CharactersWithSpaces>43200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26</cp:revision>
  <dcterms:created xsi:type="dcterms:W3CDTF">2026-03-08T00:04:00Z</dcterms:created>
  <dcterms:modified xsi:type="dcterms:W3CDTF">2026-03-10T07:13:00Z</dcterms:modified>
</cp:coreProperties>
</file>