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E0728" w14:textId="67E716E9" w:rsidR="005F75D8" w:rsidRDefault="005F75D8" w:rsidP="00124214">
      <w:pPr>
        <w:spacing w:line="360" w:lineRule="auto"/>
        <w:jc w:val="center"/>
        <w:rPr>
          <w:rFonts w:ascii="Times New Roman" w:hAnsi="Times New Roman" w:cs="Times New Roman"/>
          <w:b/>
          <w:bCs/>
        </w:rPr>
      </w:pPr>
      <w:r w:rsidRPr="005F75D8">
        <w:rPr>
          <w:rFonts w:ascii="Times New Roman" w:hAnsi="Times New Roman" w:cs="Times New Roman"/>
          <w:b/>
          <w:bCs/>
        </w:rPr>
        <w:t>Original Research Article</w:t>
      </w:r>
    </w:p>
    <w:p w14:paraId="57A5EDDF" w14:textId="582E27E9" w:rsidR="001D3C04" w:rsidRPr="00C1111A" w:rsidRDefault="001D3C04" w:rsidP="00124214">
      <w:pPr>
        <w:spacing w:line="360" w:lineRule="auto"/>
        <w:jc w:val="center"/>
        <w:rPr>
          <w:rFonts w:ascii="Times New Roman" w:hAnsi="Times New Roman" w:cs="Times New Roman"/>
          <w:b/>
          <w:bCs/>
        </w:rPr>
      </w:pPr>
      <w:r w:rsidRPr="00C1111A">
        <w:rPr>
          <w:rFonts w:ascii="Times New Roman" w:hAnsi="Times New Roman" w:cs="Times New Roman"/>
          <w:b/>
          <w:bCs/>
        </w:rPr>
        <w:t>Comparative (100 Cases) Endoscopic Septoplasty vs Conventional Septoplasty</w:t>
      </w:r>
    </w:p>
    <w:p w14:paraId="6F340B21" w14:textId="77777777" w:rsidR="002E221C" w:rsidRDefault="002E221C" w:rsidP="00124214">
      <w:pPr>
        <w:pStyle w:val="NormalWeb"/>
        <w:spacing w:line="360" w:lineRule="auto"/>
        <w:jc w:val="both"/>
        <w:rPr>
          <w:rStyle w:val="Strong"/>
          <w:rFonts w:eastAsiaTheme="majorEastAsia"/>
        </w:rPr>
      </w:pPr>
    </w:p>
    <w:p w14:paraId="1C0B0A40" w14:textId="5E8D5649" w:rsidR="001D3C04" w:rsidRPr="00C1111A" w:rsidRDefault="001D3C04" w:rsidP="00124214">
      <w:pPr>
        <w:pStyle w:val="NormalWeb"/>
        <w:spacing w:line="360" w:lineRule="auto"/>
        <w:jc w:val="both"/>
      </w:pPr>
      <w:bookmarkStart w:id="0" w:name="_GoBack"/>
      <w:bookmarkEnd w:id="0"/>
      <w:r w:rsidRPr="00C1111A">
        <w:rPr>
          <w:rStyle w:val="Strong"/>
          <w:rFonts w:eastAsiaTheme="majorEastAsia"/>
        </w:rPr>
        <w:t>Abstract</w:t>
      </w:r>
    </w:p>
    <w:p w14:paraId="6E94E9CD" w14:textId="77777777" w:rsidR="001D3C04" w:rsidRPr="00C1111A" w:rsidRDefault="001D3C04" w:rsidP="00124214">
      <w:pPr>
        <w:pStyle w:val="NormalWeb"/>
        <w:spacing w:line="360" w:lineRule="auto"/>
        <w:jc w:val="both"/>
      </w:pPr>
      <w:r w:rsidRPr="00C1111A">
        <w:rPr>
          <w:rStyle w:val="Strong"/>
          <w:rFonts w:eastAsiaTheme="majorEastAsia"/>
        </w:rPr>
        <w:t>Background:</w:t>
      </w:r>
      <w:r w:rsidRPr="00C1111A">
        <w:t xml:space="preserve"> Deviated nasal septum (DNS) is a common cause of nasal obstruction and is associated with symptoms such as nasal blockage, recurrent sinusitis, epistaxis, and headache. Septoplasty is the definitive surgical treatment, with conventional septoplasty widely practiced and endoscopic septoplasty offering enhanced visualization and precision, particularly for posterior or complex deviations.</w:t>
      </w:r>
    </w:p>
    <w:p w14:paraId="61DA5249" w14:textId="77777777" w:rsidR="001D3C04" w:rsidRPr="00C1111A" w:rsidRDefault="001D3C04" w:rsidP="00124214">
      <w:pPr>
        <w:pStyle w:val="NormalWeb"/>
        <w:spacing w:line="360" w:lineRule="auto"/>
        <w:jc w:val="both"/>
      </w:pPr>
      <w:r w:rsidRPr="00C1111A">
        <w:rPr>
          <w:rStyle w:val="Strong"/>
          <w:rFonts w:eastAsiaTheme="majorEastAsia"/>
        </w:rPr>
        <w:t>Objective:</w:t>
      </w:r>
      <w:r w:rsidRPr="00C1111A">
        <w:t xml:space="preserve"> This study aimed to compare the clinical and functional outcomes of conventional septoplasty versus endoscopic septoplasty in patients with symptomatic DNS.</w:t>
      </w:r>
    </w:p>
    <w:p w14:paraId="0F939B41" w14:textId="4BD1F9EF" w:rsidR="001D3C04" w:rsidRPr="00C1111A" w:rsidRDefault="001D3C04" w:rsidP="00124214">
      <w:pPr>
        <w:pStyle w:val="NormalWeb"/>
        <w:spacing w:line="360" w:lineRule="auto"/>
        <w:jc w:val="both"/>
      </w:pPr>
      <w:r w:rsidRPr="00C1111A">
        <w:rPr>
          <w:rStyle w:val="Strong"/>
          <w:rFonts w:eastAsiaTheme="majorEastAsia"/>
        </w:rPr>
        <w:t>Methods:</w:t>
      </w:r>
      <w:r w:rsidRPr="00C1111A">
        <w:t xml:space="preserve"> A prospective study was conducted at </w:t>
      </w:r>
      <w:r w:rsidR="00C1111A" w:rsidRPr="00C45A4F">
        <w:t>Malleus ENT Specialized Hospital Limited</w:t>
      </w:r>
      <w:r w:rsidR="00C1111A" w:rsidRPr="00C1111A">
        <w:t xml:space="preserve"> in Dhaka from June 2023 to</w:t>
      </w:r>
      <w:r w:rsidRPr="00C1111A">
        <w:t xml:space="preserve"> June 2024. One hundred patients with symptomatic DNS were randomly allocated into two equal groups: conventional septoplasty (n=50) and endoscopic septoplasty (n=50). Preoperative evaluation included detailed history, anterior rhinoscopy, endoscopic assessment, and objective nasal airflow measurement using the </w:t>
      </w:r>
      <w:proofErr w:type="spellStart"/>
      <w:r w:rsidRPr="00C1111A">
        <w:t>Gertner-Podoshin</w:t>
      </w:r>
      <w:proofErr w:type="spellEnd"/>
      <w:r w:rsidRPr="00C1111A">
        <w:t xml:space="preserve"> plate. Postoperative outcomes were assessed subjectively (symptom relief) and objectively (nasal airflow) at multiple follow-ups. Complications were also recorded.</w:t>
      </w:r>
    </w:p>
    <w:p w14:paraId="2CB7D332" w14:textId="77777777" w:rsidR="001D3C04" w:rsidRPr="00C1111A" w:rsidRDefault="001D3C04" w:rsidP="00124214">
      <w:pPr>
        <w:pStyle w:val="NormalWeb"/>
        <w:spacing w:line="360" w:lineRule="auto"/>
        <w:jc w:val="both"/>
      </w:pPr>
      <w:r w:rsidRPr="00C1111A">
        <w:rPr>
          <w:rStyle w:val="Strong"/>
          <w:rFonts w:eastAsiaTheme="majorEastAsia"/>
        </w:rPr>
        <w:t>Results:</w:t>
      </w:r>
      <w:r w:rsidRPr="00C1111A">
        <w:t xml:space="preserve"> The majority of patients were young adults (11–30 years), with male predominance in both groups (72% conventional vs 80% endoscopic). Preoperatively, nasal obstruction was universal (100%), with additional symptoms including nasal discharge, headache, sneezing, hyposmia, and epistaxis. Anterior rhinoscopy and endoscopy revealed right-sided DNS in 36–40% and left-sided DNS in 32% of cases, with hypertrophied inferior </w:t>
      </w:r>
      <w:proofErr w:type="spellStart"/>
      <w:r w:rsidRPr="00C1111A">
        <w:t>turbinates</w:t>
      </w:r>
      <w:proofErr w:type="spellEnd"/>
      <w:r w:rsidRPr="00C1111A">
        <w:t xml:space="preserve"> in 44–48%. Preoperative objective airflow was moderate in most patients (60–68%). Postoperatively, significant symptomatic improvement was observed in both groups: nasal obstruction relief was achieved in 88% of conventional and 96% of endoscopic cases, while complete resolution of nasal discharge, hyposmia, and epistaxis occurred in all patients. Endoscopic septoplasty demonstrated superior objective airflow improvement, with 48% of patients achieving optimal airflow (6–9 cm) compared to 20% in the conventional group. Complication rates were lower </w:t>
      </w:r>
      <w:r w:rsidRPr="00C1111A">
        <w:lastRenderedPageBreak/>
        <w:t>in the endoscopic group, including reduced hemorrhage, mucosal tears, and absence of synechiae.</w:t>
      </w:r>
    </w:p>
    <w:p w14:paraId="232E030D" w14:textId="77777777" w:rsidR="001D3C04" w:rsidRPr="00C1111A" w:rsidRDefault="001D3C04" w:rsidP="00124214">
      <w:pPr>
        <w:pStyle w:val="NormalWeb"/>
        <w:spacing w:line="360" w:lineRule="auto"/>
        <w:jc w:val="both"/>
      </w:pPr>
      <w:r w:rsidRPr="00C1111A">
        <w:rPr>
          <w:rStyle w:val="Strong"/>
          <w:rFonts w:eastAsiaTheme="majorEastAsia"/>
        </w:rPr>
        <w:t>Conclusion:</w:t>
      </w:r>
      <w:r w:rsidRPr="00C1111A">
        <w:t xml:space="preserve"> Both conventional and endoscopic septoplasty are safe and effective for treating symptomatic DNS. Endoscopic septoplasty offers slightly better functional outcomes, improved nasal airflow, and fewer complications, making it particularly advantageous for precise correction of complex septal deviations, while conventional septoplasty remains a reliable option for standard cases.</w:t>
      </w:r>
    </w:p>
    <w:p w14:paraId="3737D40D" w14:textId="3AF117BA" w:rsidR="001D3C04" w:rsidRPr="00C1111A" w:rsidRDefault="001D3C04" w:rsidP="00124214">
      <w:pPr>
        <w:pStyle w:val="NormalWeb"/>
        <w:spacing w:line="360" w:lineRule="auto"/>
        <w:jc w:val="both"/>
      </w:pPr>
      <w:r w:rsidRPr="00C1111A">
        <w:rPr>
          <w:rStyle w:val="Strong"/>
          <w:rFonts w:eastAsiaTheme="majorEastAsia"/>
        </w:rPr>
        <w:t>Keywords:</w:t>
      </w:r>
      <w:r w:rsidRPr="00C1111A">
        <w:t xml:space="preserve"> Deviated nasal septum, Septoplasty, Endoscopic septoplasty, Nasal obstruction, Nasal airflow.</w:t>
      </w:r>
    </w:p>
    <w:p w14:paraId="5AC9937C" w14:textId="6C7A6651" w:rsidR="00E43CC1" w:rsidRPr="00C1111A" w:rsidRDefault="00E43CC1" w:rsidP="00124214">
      <w:pPr>
        <w:spacing w:line="360" w:lineRule="auto"/>
        <w:jc w:val="both"/>
        <w:rPr>
          <w:rFonts w:ascii="Times New Roman" w:hAnsi="Times New Roman" w:cs="Times New Roman"/>
          <w:b/>
          <w:bCs/>
        </w:rPr>
      </w:pPr>
      <w:r w:rsidRPr="00C1111A">
        <w:rPr>
          <w:rFonts w:ascii="Times New Roman" w:hAnsi="Times New Roman" w:cs="Times New Roman"/>
          <w:b/>
          <w:bCs/>
        </w:rPr>
        <w:t>Introduction</w:t>
      </w:r>
    </w:p>
    <w:p w14:paraId="6862A3FF" w14:textId="242E6F06" w:rsidR="00E43CC1" w:rsidRPr="00C1111A" w:rsidRDefault="00E43CC1" w:rsidP="00124214">
      <w:pPr>
        <w:spacing w:line="360" w:lineRule="auto"/>
        <w:jc w:val="both"/>
        <w:rPr>
          <w:rFonts w:ascii="Times New Roman" w:hAnsi="Times New Roman" w:cs="Times New Roman"/>
        </w:rPr>
      </w:pPr>
      <w:r w:rsidRPr="00C1111A">
        <w:rPr>
          <w:rFonts w:ascii="Times New Roman" w:hAnsi="Times New Roman" w:cs="Times New Roman"/>
        </w:rPr>
        <w:t>Deviated nasal septum (DNS) is one of the most common anatomical causes of nasal obstruction and contributes significantly to chronic nasal symptoms, including nasal blockage, recurrent sinusitis, epistaxis, headache, and impaired quality of life. Septal deviation may be congenital or acquired due to trauma and often leads to altered nasal airflow and mucociliary dysfunction. Septoplasty remains the definitive surgical treatment for symptomatic DNS when medical management fails to provide adequate relief.</w:t>
      </w:r>
      <w:r w:rsidR="001D3C04" w:rsidRPr="00C1111A">
        <w:rPr>
          <w:rFonts w:ascii="Times New Roman" w:hAnsi="Times New Roman" w:cs="Times New Roman"/>
        </w:rPr>
        <w:t xml:space="preserve"> </w:t>
      </w:r>
      <w:r w:rsidR="001D3C04" w:rsidRPr="00C1111A">
        <w:rPr>
          <w:rFonts w:ascii="Times New Roman" w:hAnsi="Times New Roman" w:cs="Times New Roman"/>
          <w:vertAlign w:val="superscript"/>
        </w:rPr>
        <w:t>1-3</w:t>
      </w:r>
      <w:r w:rsidR="001D3C04" w:rsidRPr="00C1111A">
        <w:rPr>
          <w:rFonts w:ascii="Times New Roman" w:hAnsi="Times New Roman" w:cs="Times New Roman"/>
        </w:rPr>
        <w:t xml:space="preserve"> </w:t>
      </w:r>
    </w:p>
    <w:p w14:paraId="7659360B" w14:textId="773463AE" w:rsidR="00E43CC1" w:rsidRPr="00C1111A" w:rsidRDefault="00E43CC1" w:rsidP="00124214">
      <w:pPr>
        <w:spacing w:line="360" w:lineRule="auto"/>
        <w:jc w:val="both"/>
        <w:rPr>
          <w:rFonts w:ascii="Times New Roman" w:hAnsi="Times New Roman" w:cs="Times New Roman"/>
        </w:rPr>
      </w:pPr>
      <w:r w:rsidRPr="00C1111A">
        <w:rPr>
          <w:rFonts w:ascii="Times New Roman" w:hAnsi="Times New Roman" w:cs="Times New Roman"/>
        </w:rPr>
        <w:t>Conventional septoplasty has been practiced for decades and is based on headlight illumination and direct visualization of the nasal cavity. Although effective, this technique has certain limitations, particularly in cases involving posterior septal deviations, spurs, or complex deformities. Limited visualization may result in inadequate correction, unnecessary mucosal trauma, increased intraoperative bleeding, and a higher risk of postoperative complications such as synechiae, septal perforation, or residual deviation.</w:t>
      </w:r>
      <w:r w:rsidR="001D3C04" w:rsidRPr="00C1111A">
        <w:rPr>
          <w:rFonts w:ascii="Times New Roman" w:hAnsi="Times New Roman" w:cs="Times New Roman"/>
        </w:rPr>
        <w:t xml:space="preserve"> </w:t>
      </w:r>
      <w:r w:rsidR="001D3C04" w:rsidRPr="00C1111A">
        <w:rPr>
          <w:rFonts w:ascii="Times New Roman" w:hAnsi="Times New Roman" w:cs="Times New Roman"/>
          <w:vertAlign w:val="superscript"/>
        </w:rPr>
        <w:t>4</w:t>
      </w:r>
    </w:p>
    <w:p w14:paraId="2DDD56E5" w14:textId="31145BC6" w:rsidR="00E43CC1" w:rsidRPr="00C1111A" w:rsidRDefault="00E43CC1" w:rsidP="00124214">
      <w:pPr>
        <w:spacing w:line="360" w:lineRule="auto"/>
        <w:jc w:val="both"/>
        <w:rPr>
          <w:rFonts w:ascii="Times New Roman" w:hAnsi="Times New Roman" w:cs="Times New Roman"/>
        </w:rPr>
      </w:pPr>
      <w:r w:rsidRPr="00C1111A">
        <w:rPr>
          <w:rFonts w:ascii="Times New Roman" w:hAnsi="Times New Roman" w:cs="Times New Roman"/>
        </w:rPr>
        <w:t xml:space="preserve">The advent of nasal endoscopy has revolutionized septal surgery by providing superior illumination and magnification, allowing precise identification of the site and extent of septal pathology. Endoscopic septoplasty enables targeted correction of deviations with minimal tissue handling and improved preservation of normal anatomy. </w:t>
      </w:r>
      <w:r w:rsidR="001D3C04" w:rsidRPr="00C1111A">
        <w:rPr>
          <w:rFonts w:ascii="Times New Roman" w:hAnsi="Times New Roman" w:cs="Times New Roman"/>
          <w:vertAlign w:val="superscript"/>
        </w:rPr>
        <w:t>5-6</w:t>
      </w:r>
      <w:r w:rsidR="001D3C04" w:rsidRPr="00C1111A">
        <w:rPr>
          <w:rFonts w:ascii="Times New Roman" w:hAnsi="Times New Roman" w:cs="Times New Roman"/>
        </w:rPr>
        <w:t xml:space="preserve"> </w:t>
      </w:r>
      <w:r w:rsidRPr="00C1111A">
        <w:rPr>
          <w:rFonts w:ascii="Times New Roman" w:hAnsi="Times New Roman" w:cs="Times New Roman"/>
        </w:rPr>
        <w:t>This technique is particularly advantageous for posterior and high septal deviations and can be performed either as a standalone procedure or in combination with functional endoscopic sinus surgery.</w:t>
      </w:r>
    </w:p>
    <w:p w14:paraId="0F88D8B6" w14:textId="1E84402F" w:rsidR="00E43CC1" w:rsidRPr="00C1111A" w:rsidRDefault="00E43CC1" w:rsidP="00124214">
      <w:pPr>
        <w:spacing w:line="360" w:lineRule="auto"/>
        <w:jc w:val="both"/>
        <w:rPr>
          <w:rFonts w:ascii="Times New Roman" w:hAnsi="Times New Roman" w:cs="Times New Roman"/>
        </w:rPr>
      </w:pPr>
      <w:r w:rsidRPr="00C1111A">
        <w:rPr>
          <w:rFonts w:ascii="Times New Roman" w:hAnsi="Times New Roman" w:cs="Times New Roman"/>
        </w:rPr>
        <w:t xml:space="preserve">Several studies have suggested that endoscopic septoplasty offers advantages over the conventional approach, including reduced operative time, better surgical precision, less blood </w:t>
      </w:r>
      <w:r w:rsidRPr="00C1111A">
        <w:rPr>
          <w:rFonts w:ascii="Times New Roman" w:hAnsi="Times New Roman" w:cs="Times New Roman"/>
        </w:rPr>
        <w:lastRenderedPageBreak/>
        <w:t>loss, and improved postoperative outcomes. Patients undergoing endoscopic septoplasty may experience faster recovery, decreased postoperative pain, and a lower incidence of complications. However, conventional septoplasty remains widely practiced due to its familiarity, cost-effectiveness, and proven long-term results, especially in resource-limited settings.</w:t>
      </w:r>
      <w:r w:rsidR="001D3C04" w:rsidRPr="00C1111A">
        <w:rPr>
          <w:rFonts w:ascii="Times New Roman" w:hAnsi="Times New Roman" w:cs="Times New Roman"/>
        </w:rPr>
        <w:t xml:space="preserve"> </w:t>
      </w:r>
      <w:r w:rsidR="001D3C04" w:rsidRPr="00C1111A">
        <w:rPr>
          <w:rFonts w:ascii="Times New Roman" w:hAnsi="Times New Roman" w:cs="Times New Roman"/>
          <w:vertAlign w:val="superscript"/>
        </w:rPr>
        <w:t>7-8</w:t>
      </w:r>
    </w:p>
    <w:p w14:paraId="4CBBE108" w14:textId="77777777" w:rsidR="00E43CC1" w:rsidRPr="00C1111A" w:rsidRDefault="00E43CC1" w:rsidP="00124214">
      <w:pPr>
        <w:spacing w:line="360" w:lineRule="auto"/>
        <w:jc w:val="both"/>
        <w:rPr>
          <w:rFonts w:ascii="Times New Roman" w:hAnsi="Times New Roman" w:cs="Times New Roman"/>
        </w:rPr>
      </w:pPr>
      <w:r w:rsidRPr="00C1111A">
        <w:rPr>
          <w:rFonts w:ascii="Times New Roman" w:hAnsi="Times New Roman" w:cs="Times New Roman"/>
        </w:rPr>
        <w:t>Despite the growing popularity of endoscopic septoplasty, there is ongoing debate regarding its superiority over the conventional technique in terms of functional outcomes and complication rates. Comparative studies with adequate sample sizes are essential to objectively evaluate the benefits and limitations of both approaches. Such comparisons are particularly relevant in institutions where both techniques are routinely performed and surgical choice is influenced by surgeon preference and available infrastructure.</w:t>
      </w:r>
    </w:p>
    <w:p w14:paraId="5EB4D80E" w14:textId="6725DD55" w:rsidR="00E43CC1" w:rsidRPr="00C1111A" w:rsidRDefault="00E43CC1" w:rsidP="00124214">
      <w:pPr>
        <w:spacing w:line="360" w:lineRule="auto"/>
        <w:jc w:val="both"/>
        <w:rPr>
          <w:rFonts w:ascii="Times New Roman" w:hAnsi="Times New Roman" w:cs="Times New Roman"/>
          <w:b/>
          <w:bCs/>
        </w:rPr>
      </w:pPr>
      <w:r w:rsidRPr="00C1111A">
        <w:rPr>
          <w:rFonts w:ascii="Times New Roman" w:hAnsi="Times New Roman" w:cs="Times New Roman"/>
          <w:b/>
          <w:bCs/>
        </w:rPr>
        <w:t xml:space="preserve">Objective </w:t>
      </w:r>
    </w:p>
    <w:p w14:paraId="229142B0" w14:textId="13E90407" w:rsidR="00E43CC1" w:rsidRPr="00C1111A" w:rsidRDefault="00E43CC1" w:rsidP="00124214">
      <w:pPr>
        <w:spacing w:line="360" w:lineRule="auto"/>
        <w:jc w:val="both"/>
        <w:rPr>
          <w:rFonts w:ascii="Times New Roman" w:hAnsi="Times New Roman" w:cs="Times New Roman"/>
        </w:rPr>
      </w:pPr>
      <w:r w:rsidRPr="00C1111A">
        <w:rPr>
          <w:rFonts w:ascii="Times New Roman" w:hAnsi="Times New Roman" w:cs="Times New Roman"/>
        </w:rPr>
        <w:t xml:space="preserve">This study aims to compare the outcomes of endoscopic septoplasty and conventional septoplasty in a cohort of 100 patients with symptomatic deviated nasal septum. </w:t>
      </w:r>
    </w:p>
    <w:p w14:paraId="31DA20B2" w14:textId="0BACD6B2" w:rsidR="00E43CC1" w:rsidRPr="00C1111A" w:rsidRDefault="00E43CC1" w:rsidP="00124214">
      <w:pPr>
        <w:spacing w:line="360" w:lineRule="auto"/>
        <w:jc w:val="both"/>
        <w:rPr>
          <w:rFonts w:ascii="Times New Roman" w:hAnsi="Times New Roman" w:cs="Times New Roman"/>
          <w:b/>
          <w:bCs/>
        </w:rPr>
      </w:pPr>
      <w:r w:rsidRPr="00C1111A">
        <w:rPr>
          <w:rFonts w:ascii="Times New Roman" w:hAnsi="Times New Roman" w:cs="Times New Roman"/>
          <w:b/>
          <w:bCs/>
        </w:rPr>
        <w:t xml:space="preserve">Methodology </w:t>
      </w:r>
    </w:p>
    <w:p w14:paraId="5D4FA2EA" w14:textId="319C0A0D" w:rsidR="00E60AC1" w:rsidRPr="00C1111A" w:rsidRDefault="00E60AC1" w:rsidP="00124214">
      <w:pPr>
        <w:spacing w:line="360" w:lineRule="auto"/>
        <w:jc w:val="both"/>
        <w:rPr>
          <w:rFonts w:ascii="Times New Roman" w:hAnsi="Times New Roman" w:cs="Times New Roman"/>
        </w:rPr>
      </w:pPr>
      <w:r w:rsidRPr="00C1111A">
        <w:rPr>
          <w:rFonts w:ascii="Times New Roman" w:hAnsi="Times New Roman" w:cs="Times New Roman"/>
        </w:rPr>
        <w:t xml:space="preserve">The present study was conducted </w:t>
      </w:r>
      <w:r w:rsidR="00C1111A">
        <w:rPr>
          <w:rFonts w:ascii="Times New Roman" w:hAnsi="Times New Roman" w:cs="Times New Roman"/>
        </w:rPr>
        <w:t xml:space="preserve">at </w:t>
      </w:r>
      <w:r w:rsidR="00C1111A" w:rsidRPr="00C45A4F">
        <w:rPr>
          <w:rFonts w:ascii="Times New Roman" w:hAnsi="Times New Roman" w:cs="Times New Roman"/>
        </w:rPr>
        <w:t>Malleus ENT Specialized Hospital Limited</w:t>
      </w:r>
      <w:r w:rsidR="00C1111A" w:rsidRPr="00C1111A">
        <w:rPr>
          <w:rFonts w:ascii="Times New Roman" w:hAnsi="Times New Roman" w:cs="Times New Roman"/>
        </w:rPr>
        <w:t xml:space="preserve"> in Dhaka</w:t>
      </w:r>
      <w:r w:rsidRPr="00C1111A">
        <w:rPr>
          <w:rFonts w:ascii="Times New Roman" w:hAnsi="Times New Roman" w:cs="Times New Roman"/>
        </w:rPr>
        <w:t>, Bangladesh, between June 2023 and June 2024.</w:t>
      </w:r>
      <w:r w:rsidR="00C1111A" w:rsidRPr="00C1111A">
        <w:rPr>
          <w:rFonts w:ascii="Times New Roman" w:hAnsi="Times New Roman" w:cs="Times New Roman"/>
        </w:rPr>
        <w:t xml:space="preserve"> </w:t>
      </w:r>
      <w:r w:rsidRPr="00C1111A">
        <w:rPr>
          <w:rFonts w:ascii="Times New Roman" w:hAnsi="Times New Roman" w:cs="Times New Roman"/>
        </w:rPr>
        <w:t>All patients attending the outpatient department with symptomatic deviated nasal septum (DNS) and willing to undergo surgery were considered for inclusion. Patients aged under 10 years, those with allergic or vasomotor rhinitis, or those with acute nasal infections were excluded from the study.</w:t>
      </w:r>
    </w:p>
    <w:p w14:paraId="06E14E72" w14:textId="77777777" w:rsidR="00E60AC1" w:rsidRPr="00C1111A" w:rsidRDefault="00E60AC1" w:rsidP="00124214">
      <w:pPr>
        <w:spacing w:line="360" w:lineRule="auto"/>
        <w:jc w:val="both"/>
        <w:rPr>
          <w:rFonts w:ascii="Times New Roman" w:hAnsi="Times New Roman" w:cs="Times New Roman"/>
        </w:rPr>
      </w:pPr>
      <w:r w:rsidRPr="00C1111A">
        <w:rPr>
          <w:rFonts w:ascii="Times New Roman" w:hAnsi="Times New Roman" w:cs="Times New Roman"/>
        </w:rPr>
        <w:t>A total of 100 patients were enrolled and randomly divided into two groups of 50 each: one group underwent conventional septoplasty, while the other underwent endoscopic septoplasty. Simple randomization was applied, with every alternate patient being selected for endoscopic septoplasty.</w:t>
      </w:r>
    </w:p>
    <w:p w14:paraId="4220BC6B" w14:textId="5197E1EE" w:rsidR="00E43CC1" w:rsidRPr="00C1111A" w:rsidRDefault="00E60AC1" w:rsidP="00124214">
      <w:pPr>
        <w:spacing w:line="360" w:lineRule="auto"/>
        <w:jc w:val="both"/>
        <w:rPr>
          <w:rFonts w:ascii="Times New Roman" w:hAnsi="Times New Roman" w:cs="Times New Roman"/>
        </w:rPr>
      </w:pPr>
      <w:r w:rsidRPr="00C1111A">
        <w:rPr>
          <w:rFonts w:ascii="Times New Roman" w:hAnsi="Times New Roman" w:cs="Times New Roman"/>
        </w:rPr>
        <w:t xml:space="preserve">All selected patients underwent a thorough clinical evaluation, including detailed history-taking and physical examination. Both subjective and objective assessments of nasal obstruction were performed preoperatively. Nasal patency was assessed using a nasal patency test, followed by anterior rhinoscopy. The </w:t>
      </w:r>
      <w:proofErr w:type="spellStart"/>
      <w:r w:rsidRPr="00C1111A">
        <w:rPr>
          <w:rFonts w:ascii="Times New Roman" w:hAnsi="Times New Roman" w:cs="Times New Roman"/>
        </w:rPr>
        <w:t>Gertner-Podoshin</w:t>
      </w:r>
      <w:proofErr w:type="spellEnd"/>
      <w:r w:rsidRPr="00C1111A">
        <w:rPr>
          <w:rFonts w:ascii="Times New Roman" w:hAnsi="Times New Roman" w:cs="Times New Roman"/>
        </w:rPr>
        <w:t xml:space="preserve"> plate was also used to document the degree and location of septal deviation, aiding surgical planning and postoperative evaluation.</w:t>
      </w:r>
    </w:p>
    <w:p w14:paraId="3DB83C3D" w14:textId="6695B28D" w:rsidR="005F75D8" w:rsidRPr="00C1111A" w:rsidRDefault="00E60AC1" w:rsidP="005F75D8">
      <w:pPr>
        <w:spacing w:line="360" w:lineRule="auto"/>
        <w:jc w:val="both"/>
        <w:rPr>
          <w:rFonts w:ascii="Times New Roman" w:hAnsi="Times New Roman" w:cs="Times New Roman"/>
          <w:b/>
          <w:bCs/>
        </w:rPr>
      </w:pPr>
      <w:r w:rsidRPr="00C1111A">
        <w:rPr>
          <w:rFonts w:ascii="Times New Roman" w:hAnsi="Times New Roman" w:cs="Times New Roman"/>
          <w:b/>
          <w:bCs/>
        </w:rPr>
        <w:lastRenderedPageBreak/>
        <w:t>Results</w:t>
      </w:r>
      <w:r w:rsidR="005F75D8">
        <w:rPr>
          <w:rFonts w:ascii="Times New Roman" w:hAnsi="Times New Roman" w:cs="Times New Roman"/>
          <w:b/>
          <w:bCs/>
        </w:rPr>
        <w:t xml:space="preserve"> and </w:t>
      </w:r>
      <w:r w:rsidR="005F75D8" w:rsidRPr="00C1111A">
        <w:rPr>
          <w:rFonts w:ascii="Times New Roman" w:hAnsi="Times New Roman" w:cs="Times New Roman"/>
          <w:b/>
          <w:bCs/>
        </w:rPr>
        <w:t>Discussion</w:t>
      </w:r>
    </w:p>
    <w:p w14:paraId="4C0A5CF9" w14:textId="5E48272E" w:rsidR="00EB55AD" w:rsidRPr="00C1111A" w:rsidRDefault="00EB55AD" w:rsidP="00124214">
      <w:pPr>
        <w:spacing w:before="100" w:beforeAutospacing="1" w:after="100" w:afterAutospacing="1" w:line="360" w:lineRule="auto"/>
        <w:jc w:val="both"/>
        <w:outlineLvl w:val="2"/>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In our study, the age of patients undergoing septoplasty ranged from 11 to 60 years. In the conventional septoplasty group, the majority of patients were in the 11–20 and 21–</w:t>
      </w:r>
      <w:proofErr w:type="gramStart"/>
      <w:r w:rsidRPr="00C1111A">
        <w:rPr>
          <w:rFonts w:ascii="Times New Roman" w:eastAsia="Times New Roman" w:hAnsi="Times New Roman" w:cs="Times New Roman"/>
          <w:kern w:val="0"/>
          <w14:ligatures w14:val="none"/>
        </w:rPr>
        <w:t>30 year</w:t>
      </w:r>
      <w:proofErr w:type="gramEnd"/>
      <w:r w:rsidRPr="00C1111A">
        <w:rPr>
          <w:rFonts w:ascii="Times New Roman" w:eastAsia="Times New Roman" w:hAnsi="Times New Roman" w:cs="Times New Roman"/>
          <w:kern w:val="0"/>
          <w14:ligatures w14:val="none"/>
        </w:rPr>
        <w:t xml:space="preserve"> age groups, each comprising 40% of the cases, followed by 12% in the 31–40 year group and 8% in the 41–50 year group. There were no patients above 50 years in this group. In the endoscopic septoplasty group, most patients were also in the 21–</w:t>
      </w:r>
      <w:proofErr w:type="gramStart"/>
      <w:r w:rsidRPr="00C1111A">
        <w:rPr>
          <w:rFonts w:ascii="Times New Roman" w:eastAsia="Times New Roman" w:hAnsi="Times New Roman" w:cs="Times New Roman"/>
          <w:kern w:val="0"/>
          <w14:ligatures w14:val="none"/>
        </w:rPr>
        <w:t>30 year</w:t>
      </w:r>
      <w:proofErr w:type="gramEnd"/>
      <w:r w:rsidRPr="00C1111A">
        <w:rPr>
          <w:rFonts w:ascii="Times New Roman" w:eastAsia="Times New Roman" w:hAnsi="Times New Roman" w:cs="Times New Roman"/>
          <w:kern w:val="0"/>
          <w14:ligatures w14:val="none"/>
        </w:rPr>
        <w:t xml:space="preserve"> age group (40%), followed by 32% in the 11–20 year group, 24% in the 31–40 year group, and 4% in the 51–60 year group. Overall, both groups predominantly consisted of younger adults, with a smaller proportion of middle-aged and older patients.</w:t>
      </w:r>
    </w:p>
    <w:p w14:paraId="025A9F23" w14:textId="0213C8C8" w:rsidR="00EB55AD" w:rsidRPr="00C1111A" w:rsidRDefault="00EB55AD" w:rsidP="00124214">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C1111A">
        <w:rPr>
          <w:rFonts w:ascii="Times New Roman" w:eastAsia="Times New Roman" w:hAnsi="Times New Roman" w:cs="Times New Roman"/>
          <w:b/>
          <w:bCs/>
          <w:kern w:val="0"/>
          <w14:ligatures w14:val="none"/>
        </w:rPr>
        <w:t>Table 1: Age Distribution (%)</w:t>
      </w:r>
    </w:p>
    <w:tbl>
      <w:tblPr>
        <w:tblStyle w:val="GridTable4-Accent1"/>
        <w:tblW w:w="0" w:type="auto"/>
        <w:tblLook w:val="04A0" w:firstRow="1" w:lastRow="0" w:firstColumn="1" w:lastColumn="0" w:noHBand="0" w:noVBand="1"/>
      </w:tblPr>
      <w:tblGrid>
        <w:gridCol w:w="2123"/>
        <w:gridCol w:w="3297"/>
        <w:gridCol w:w="3097"/>
      </w:tblGrid>
      <w:tr w:rsidR="00EB55AD" w:rsidRPr="00C1111A" w14:paraId="3EA80862" w14:textId="77777777" w:rsidTr="00124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97BC02" w14:textId="77777777" w:rsidR="00EB55AD" w:rsidRPr="00C1111A" w:rsidRDefault="00EB55AD" w:rsidP="00124214">
            <w:pPr>
              <w:spacing w:line="360" w:lineRule="auto"/>
              <w:jc w:val="center"/>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Age Group (years)</w:t>
            </w:r>
          </w:p>
        </w:tc>
        <w:tc>
          <w:tcPr>
            <w:tcW w:w="0" w:type="auto"/>
            <w:hideMark/>
          </w:tcPr>
          <w:p w14:paraId="7D147EB4"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Conventional Septoplasty (%)</w:t>
            </w:r>
          </w:p>
        </w:tc>
        <w:tc>
          <w:tcPr>
            <w:tcW w:w="0" w:type="auto"/>
            <w:hideMark/>
          </w:tcPr>
          <w:p w14:paraId="164DB867"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Endoscopic Septoplasty (%)</w:t>
            </w:r>
          </w:p>
        </w:tc>
      </w:tr>
      <w:tr w:rsidR="00EB55AD" w:rsidRPr="00C1111A" w14:paraId="4DA1B513"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565D95"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11–20</w:t>
            </w:r>
          </w:p>
        </w:tc>
        <w:tc>
          <w:tcPr>
            <w:tcW w:w="0" w:type="auto"/>
            <w:hideMark/>
          </w:tcPr>
          <w:p w14:paraId="3F510FFF"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40</w:t>
            </w:r>
          </w:p>
        </w:tc>
        <w:tc>
          <w:tcPr>
            <w:tcW w:w="0" w:type="auto"/>
            <w:hideMark/>
          </w:tcPr>
          <w:p w14:paraId="23DF6E93"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32</w:t>
            </w:r>
          </w:p>
        </w:tc>
      </w:tr>
      <w:tr w:rsidR="00EB55AD" w:rsidRPr="00C1111A" w14:paraId="274F5A0E"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4FAC722B"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21–30</w:t>
            </w:r>
          </w:p>
        </w:tc>
        <w:tc>
          <w:tcPr>
            <w:tcW w:w="0" w:type="auto"/>
            <w:hideMark/>
          </w:tcPr>
          <w:p w14:paraId="25A4B46A"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40</w:t>
            </w:r>
          </w:p>
        </w:tc>
        <w:tc>
          <w:tcPr>
            <w:tcW w:w="0" w:type="auto"/>
            <w:hideMark/>
          </w:tcPr>
          <w:p w14:paraId="3AAA035A"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40</w:t>
            </w:r>
          </w:p>
        </w:tc>
      </w:tr>
      <w:tr w:rsidR="00EB55AD" w:rsidRPr="00C1111A" w14:paraId="3F841E9B"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3E9411"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31–40</w:t>
            </w:r>
          </w:p>
        </w:tc>
        <w:tc>
          <w:tcPr>
            <w:tcW w:w="0" w:type="auto"/>
            <w:hideMark/>
          </w:tcPr>
          <w:p w14:paraId="3DC326DE"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12</w:t>
            </w:r>
          </w:p>
        </w:tc>
        <w:tc>
          <w:tcPr>
            <w:tcW w:w="0" w:type="auto"/>
            <w:hideMark/>
          </w:tcPr>
          <w:p w14:paraId="02B6F290"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24</w:t>
            </w:r>
          </w:p>
        </w:tc>
      </w:tr>
      <w:tr w:rsidR="00EB55AD" w:rsidRPr="00C1111A" w14:paraId="5722D895"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4A97052A"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41–50</w:t>
            </w:r>
          </w:p>
        </w:tc>
        <w:tc>
          <w:tcPr>
            <w:tcW w:w="0" w:type="auto"/>
            <w:hideMark/>
          </w:tcPr>
          <w:p w14:paraId="1EADF979"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w:t>
            </w:r>
          </w:p>
        </w:tc>
        <w:tc>
          <w:tcPr>
            <w:tcW w:w="0" w:type="auto"/>
            <w:hideMark/>
          </w:tcPr>
          <w:p w14:paraId="134848F0"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r>
      <w:tr w:rsidR="00EB55AD" w:rsidRPr="00C1111A" w14:paraId="6C6727B6"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DBAB36"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51–60</w:t>
            </w:r>
          </w:p>
        </w:tc>
        <w:tc>
          <w:tcPr>
            <w:tcW w:w="0" w:type="auto"/>
            <w:hideMark/>
          </w:tcPr>
          <w:p w14:paraId="7C4423B6"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c>
          <w:tcPr>
            <w:tcW w:w="0" w:type="auto"/>
            <w:hideMark/>
          </w:tcPr>
          <w:p w14:paraId="5D1AE8F0"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w:t>
            </w:r>
          </w:p>
        </w:tc>
      </w:tr>
      <w:tr w:rsidR="00EB55AD" w:rsidRPr="00C1111A" w14:paraId="57A34684"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4C6B59DE"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Total</w:t>
            </w:r>
          </w:p>
        </w:tc>
        <w:tc>
          <w:tcPr>
            <w:tcW w:w="0" w:type="auto"/>
            <w:hideMark/>
          </w:tcPr>
          <w:p w14:paraId="4D637117"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7AF65838"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r>
    </w:tbl>
    <w:p w14:paraId="2FA7F1C3" w14:textId="77777777" w:rsidR="00E60AC1" w:rsidRPr="00C1111A" w:rsidRDefault="00E60AC1" w:rsidP="00124214">
      <w:pPr>
        <w:spacing w:line="360" w:lineRule="auto"/>
        <w:jc w:val="both"/>
        <w:rPr>
          <w:rFonts w:ascii="Times New Roman" w:hAnsi="Times New Roman" w:cs="Times New Roman"/>
        </w:rPr>
      </w:pPr>
    </w:p>
    <w:p w14:paraId="6DE09BAB" w14:textId="7D22EB3F" w:rsidR="00EB55AD" w:rsidRPr="00C1111A" w:rsidRDefault="00EB55AD" w:rsidP="00124214">
      <w:pPr>
        <w:spacing w:line="360" w:lineRule="auto"/>
        <w:jc w:val="both"/>
        <w:rPr>
          <w:rFonts w:ascii="Times New Roman" w:hAnsi="Times New Roman" w:cs="Times New Roman"/>
        </w:rPr>
      </w:pPr>
      <w:r w:rsidRPr="00C1111A">
        <w:rPr>
          <w:rFonts w:ascii="Times New Roman" w:hAnsi="Times New Roman" w:cs="Times New Roman"/>
        </w:rPr>
        <w:t>In terms of sex distribution, both groups showed a clear male predominance. In the conventional septoplasty group, 72% of the patients were male and 28% were female, while in the endoscopic septoplasty group, 80% were male and 20% were female. Overall, the study population consisted predominantly of male patients, reflecting a male-to-female ratio of approximately 3.7:1 across both groups</w:t>
      </w:r>
    </w:p>
    <w:p w14:paraId="2220D9FA" w14:textId="77777777" w:rsidR="00EB55AD" w:rsidRPr="00C1111A" w:rsidRDefault="00EB55AD" w:rsidP="00124214">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C1111A">
        <w:rPr>
          <w:rFonts w:ascii="Times New Roman" w:eastAsia="Times New Roman" w:hAnsi="Times New Roman" w:cs="Times New Roman"/>
          <w:b/>
          <w:bCs/>
          <w:kern w:val="0"/>
          <w14:ligatures w14:val="none"/>
        </w:rPr>
        <w:t>Table 2: Sex Distribution (%)</w:t>
      </w:r>
    </w:p>
    <w:tbl>
      <w:tblPr>
        <w:tblStyle w:val="GridTable4-Accent1"/>
        <w:tblW w:w="0" w:type="auto"/>
        <w:tblLook w:val="04A0" w:firstRow="1" w:lastRow="0" w:firstColumn="1" w:lastColumn="0" w:noHBand="0" w:noVBand="1"/>
      </w:tblPr>
      <w:tblGrid>
        <w:gridCol w:w="963"/>
        <w:gridCol w:w="3297"/>
        <w:gridCol w:w="3097"/>
      </w:tblGrid>
      <w:tr w:rsidR="00EB55AD" w:rsidRPr="00C1111A" w14:paraId="57D52119" w14:textId="77777777" w:rsidTr="00124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572030" w14:textId="77777777" w:rsidR="00EB55AD" w:rsidRPr="00C1111A" w:rsidRDefault="00EB55AD" w:rsidP="00124214">
            <w:pPr>
              <w:spacing w:line="360" w:lineRule="auto"/>
              <w:jc w:val="center"/>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Sex</w:t>
            </w:r>
          </w:p>
        </w:tc>
        <w:tc>
          <w:tcPr>
            <w:tcW w:w="0" w:type="auto"/>
            <w:hideMark/>
          </w:tcPr>
          <w:p w14:paraId="667ABF81"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Conventional Septoplasty (%)</w:t>
            </w:r>
          </w:p>
        </w:tc>
        <w:tc>
          <w:tcPr>
            <w:tcW w:w="0" w:type="auto"/>
            <w:hideMark/>
          </w:tcPr>
          <w:p w14:paraId="0E11B18D"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Endoscopic Septoplasty (%)</w:t>
            </w:r>
          </w:p>
        </w:tc>
      </w:tr>
      <w:tr w:rsidR="00EB55AD" w:rsidRPr="00C1111A" w14:paraId="38BD1BE2"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63A2BC"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Male</w:t>
            </w:r>
          </w:p>
        </w:tc>
        <w:tc>
          <w:tcPr>
            <w:tcW w:w="0" w:type="auto"/>
            <w:hideMark/>
          </w:tcPr>
          <w:p w14:paraId="5766DA4A"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72</w:t>
            </w:r>
          </w:p>
        </w:tc>
        <w:tc>
          <w:tcPr>
            <w:tcW w:w="0" w:type="auto"/>
            <w:hideMark/>
          </w:tcPr>
          <w:p w14:paraId="1FD13A7A"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80</w:t>
            </w:r>
          </w:p>
        </w:tc>
      </w:tr>
      <w:tr w:rsidR="00EB55AD" w:rsidRPr="00C1111A" w14:paraId="20D7CF9E"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49E38478"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Female</w:t>
            </w:r>
          </w:p>
        </w:tc>
        <w:tc>
          <w:tcPr>
            <w:tcW w:w="0" w:type="auto"/>
            <w:hideMark/>
          </w:tcPr>
          <w:p w14:paraId="385DC17E"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28</w:t>
            </w:r>
          </w:p>
        </w:tc>
        <w:tc>
          <w:tcPr>
            <w:tcW w:w="0" w:type="auto"/>
            <w:hideMark/>
          </w:tcPr>
          <w:p w14:paraId="7FD4C6B3"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20</w:t>
            </w:r>
          </w:p>
        </w:tc>
      </w:tr>
      <w:tr w:rsidR="00EB55AD" w:rsidRPr="00C1111A" w14:paraId="0805A3FF"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44AD5A"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Total</w:t>
            </w:r>
          </w:p>
        </w:tc>
        <w:tc>
          <w:tcPr>
            <w:tcW w:w="0" w:type="auto"/>
            <w:hideMark/>
          </w:tcPr>
          <w:p w14:paraId="6FBB1E13"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787DAA92"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r>
    </w:tbl>
    <w:p w14:paraId="1D35C808" w14:textId="77777777" w:rsidR="00E3785C" w:rsidRDefault="00E3785C" w:rsidP="00124214">
      <w:pPr>
        <w:spacing w:line="360" w:lineRule="auto"/>
        <w:jc w:val="both"/>
        <w:rPr>
          <w:rFonts w:ascii="Times New Roman" w:hAnsi="Times New Roman" w:cs="Times New Roman"/>
        </w:rPr>
      </w:pPr>
    </w:p>
    <w:p w14:paraId="578D4987" w14:textId="191A337B" w:rsidR="00EB55AD" w:rsidRPr="00C1111A" w:rsidRDefault="00EB55AD" w:rsidP="00124214">
      <w:pPr>
        <w:spacing w:line="360" w:lineRule="auto"/>
        <w:jc w:val="both"/>
        <w:rPr>
          <w:rFonts w:ascii="Times New Roman" w:hAnsi="Times New Roman" w:cs="Times New Roman"/>
        </w:rPr>
      </w:pPr>
      <w:r w:rsidRPr="00C1111A">
        <w:rPr>
          <w:rFonts w:ascii="Times New Roman" w:hAnsi="Times New Roman" w:cs="Times New Roman"/>
        </w:rPr>
        <w:lastRenderedPageBreak/>
        <w:t>Regarding preoperative symptomatology, all patients in both groups presented with nasal obstruction (100%). Nasal discharge was reported in 64% of patients in the conventional septoplasty group and 36% in the endoscopic group. Headache was more common in the conventional group (40%) compared to 12% in the endoscopic group. Sneezing was equally distributed between the groups (20% each). Hyposmia was observed only in 8% of the endoscopic group, whereas epistaxis was reported in 8% of the conventional group and was absent in the endoscopic group.</w:t>
      </w:r>
    </w:p>
    <w:p w14:paraId="52E8F19D" w14:textId="77777777" w:rsidR="00EB55AD" w:rsidRPr="00C1111A" w:rsidRDefault="00EB55AD" w:rsidP="00124214">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C1111A">
        <w:rPr>
          <w:rFonts w:ascii="Times New Roman" w:eastAsia="Times New Roman" w:hAnsi="Times New Roman" w:cs="Times New Roman"/>
          <w:b/>
          <w:bCs/>
          <w:kern w:val="0"/>
          <w14:ligatures w14:val="none"/>
        </w:rPr>
        <w:t>Table 3: Symptomatology (%)</w:t>
      </w:r>
    </w:p>
    <w:tbl>
      <w:tblPr>
        <w:tblStyle w:val="GridTable4-Accent1"/>
        <w:tblW w:w="0" w:type="auto"/>
        <w:tblLook w:val="04A0" w:firstRow="1" w:lastRow="0" w:firstColumn="1" w:lastColumn="0" w:noHBand="0" w:noVBand="1"/>
      </w:tblPr>
      <w:tblGrid>
        <w:gridCol w:w="2023"/>
        <w:gridCol w:w="3297"/>
        <w:gridCol w:w="3097"/>
      </w:tblGrid>
      <w:tr w:rsidR="00EB55AD" w:rsidRPr="00C1111A" w14:paraId="5E3A3C7F" w14:textId="77777777" w:rsidTr="00124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89E64E" w14:textId="77777777" w:rsidR="00EB55AD" w:rsidRPr="00C1111A" w:rsidRDefault="00EB55AD" w:rsidP="00124214">
            <w:pPr>
              <w:spacing w:line="360" w:lineRule="auto"/>
              <w:jc w:val="center"/>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Symptom</w:t>
            </w:r>
          </w:p>
        </w:tc>
        <w:tc>
          <w:tcPr>
            <w:tcW w:w="0" w:type="auto"/>
            <w:hideMark/>
          </w:tcPr>
          <w:p w14:paraId="3E55291C"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Conventional Septoplasty (%)</w:t>
            </w:r>
          </w:p>
        </w:tc>
        <w:tc>
          <w:tcPr>
            <w:tcW w:w="0" w:type="auto"/>
            <w:hideMark/>
          </w:tcPr>
          <w:p w14:paraId="6416EACA"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Endoscopic Septoplasty (%)</w:t>
            </w:r>
          </w:p>
        </w:tc>
      </w:tr>
      <w:tr w:rsidR="00EB55AD" w:rsidRPr="00C1111A" w14:paraId="797C777D"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2FAA4D"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Nasal obstruction</w:t>
            </w:r>
          </w:p>
        </w:tc>
        <w:tc>
          <w:tcPr>
            <w:tcW w:w="0" w:type="auto"/>
            <w:hideMark/>
          </w:tcPr>
          <w:p w14:paraId="6EA547D4"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55C17398"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r>
      <w:tr w:rsidR="00EB55AD" w:rsidRPr="00C1111A" w14:paraId="239099F6"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3700FE7B"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Nasal discharge</w:t>
            </w:r>
          </w:p>
        </w:tc>
        <w:tc>
          <w:tcPr>
            <w:tcW w:w="0" w:type="auto"/>
            <w:hideMark/>
          </w:tcPr>
          <w:p w14:paraId="3C2F8921"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64</w:t>
            </w:r>
          </w:p>
        </w:tc>
        <w:tc>
          <w:tcPr>
            <w:tcW w:w="0" w:type="auto"/>
            <w:hideMark/>
          </w:tcPr>
          <w:p w14:paraId="06AC85AB"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36</w:t>
            </w:r>
          </w:p>
        </w:tc>
      </w:tr>
      <w:tr w:rsidR="00EB55AD" w:rsidRPr="00C1111A" w14:paraId="660FA814"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6F259D"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Headache</w:t>
            </w:r>
          </w:p>
        </w:tc>
        <w:tc>
          <w:tcPr>
            <w:tcW w:w="0" w:type="auto"/>
            <w:hideMark/>
          </w:tcPr>
          <w:p w14:paraId="2C030188"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40</w:t>
            </w:r>
          </w:p>
        </w:tc>
        <w:tc>
          <w:tcPr>
            <w:tcW w:w="0" w:type="auto"/>
            <w:hideMark/>
          </w:tcPr>
          <w:p w14:paraId="0A5E7DE0"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12</w:t>
            </w:r>
          </w:p>
        </w:tc>
      </w:tr>
      <w:tr w:rsidR="00EB55AD" w:rsidRPr="00C1111A" w14:paraId="5BF34343"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01AFFFD4"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Sneezing</w:t>
            </w:r>
          </w:p>
        </w:tc>
        <w:tc>
          <w:tcPr>
            <w:tcW w:w="0" w:type="auto"/>
            <w:hideMark/>
          </w:tcPr>
          <w:p w14:paraId="57F62575"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20</w:t>
            </w:r>
          </w:p>
        </w:tc>
        <w:tc>
          <w:tcPr>
            <w:tcW w:w="0" w:type="auto"/>
            <w:hideMark/>
          </w:tcPr>
          <w:p w14:paraId="1907D140"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20</w:t>
            </w:r>
          </w:p>
        </w:tc>
      </w:tr>
      <w:tr w:rsidR="00EB55AD" w:rsidRPr="00C1111A" w14:paraId="4E523260"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685854"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Hyposmia</w:t>
            </w:r>
          </w:p>
        </w:tc>
        <w:tc>
          <w:tcPr>
            <w:tcW w:w="0" w:type="auto"/>
            <w:hideMark/>
          </w:tcPr>
          <w:p w14:paraId="24115314"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c>
          <w:tcPr>
            <w:tcW w:w="0" w:type="auto"/>
            <w:hideMark/>
          </w:tcPr>
          <w:p w14:paraId="47ACE175"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w:t>
            </w:r>
          </w:p>
        </w:tc>
      </w:tr>
      <w:tr w:rsidR="00EB55AD" w:rsidRPr="00C1111A" w14:paraId="0691FD6C"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426363CB"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Epistaxis</w:t>
            </w:r>
          </w:p>
        </w:tc>
        <w:tc>
          <w:tcPr>
            <w:tcW w:w="0" w:type="auto"/>
            <w:hideMark/>
          </w:tcPr>
          <w:p w14:paraId="79F83131"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w:t>
            </w:r>
          </w:p>
        </w:tc>
        <w:tc>
          <w:tcPr>
            <w:tcW w:w="0" w:type="auto"/>
            <w:hideMark/>
          </w:tcPr>
          <w:p w14:paraId="41842BD2"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r>
    </w:tbl>
    <w:p w14:paraId="65234C12" w14:textId="77777777" w:rsidR="00EB55AD" w:rsidRPr="00C1111A" w:rsidRDefault="00EB55AD" w:rsidP="00124214">
      <w:pPr>
        <w:spacing w:line="360" w:lineRule="auto"/>
        <w:jc w:val="both"/>
        <w:rPr>
          <w:rFonts w:ascii="Times New Roman" w:hAnsi="Times New Roman" w:cs="Times New Roman"/>
        </w:rPr>
      </w:pPr>
    </w:p>
    <w:p w14:paraId="129638D0" w14:textId="08D6D06E" w:rsidR="00EB55AD" w:rsidRPr="00C1111A" w:rsidRDefault="00EB55AD" w:rsidP="00124214">
      <w:pPr>
        <w:spacing w:line="360" w:lineRule="auto"/>
        <w:jc w:val="both"/>
        <w:rPr>
          <w:rFonts w:ascii="Times New Roman" w:hAnsi="Times New Roman" w:cs="Times New Roman"/>
        </w:rPr>
      </w:pPr>
      <w:r w:rsidRPr="00C1111A">
        <w:rPr>
          <w:rFonts w:ascii="Times New Roman" w:hAnsi="Times New Roman" w:cs="Times New Roman"/>
        </w:rPr>
        <w:t>On anterior rhinoscopy and endoscopic examination, deviated nasal septum (DNS) was the most common finding in both groups. Right-sided DNS was present in 40% of the conventional septoplasty group and 36% of the endoscopic group, while left-sided DNS was observed in 32% of patients in both groups. Septal spur was noted in 28% of conventional and 32% of endoscopic cases. Hypertrophied inferior turbinate was identified in 44% of conventional and 48% of endoscopic patients. Less common findings included polypoid middle turbinate and concha bullosa, each observed in 4% of the endoscopic group but absent in the conventional group. Nasal discharge on examination was seen in 12% of conventional cases and 4% of endoscopic cases</w:t>
      </w:r>
    </w:p>
    <w:p w14:paraId="25E27BB8" w14:textId="77777777" w:rsidR="00EB55AD" w:rsidRPr="00C1111A" w:rsidRDefault="00EB55AD" w:rsidP="00124214">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C1111A">
        <w:rPr>
          <w:rFonts w:ascii="Times New Roman" w:eastAsia="Times New Roman" w:hAnsi="Times New Roman" w:cs="Times New Roman"/>
          <w:b/>
          <w:bCs/>
          <w:kern w:val="0"/>
          <w14:ligatures w14:val="none"/>
        </w:rPr>
        <w:t>Table 4: Anterior Rhinoscopy / Endoscopic Findings (%)</w:t>
      </w:r>
    </w:p>
    <w:tbl>
      <w:tblPr>
        <w:tblStyle w:val="GridTable4-Accent1"/>
        <w:tblW w:w="8995" w:type="dxa"/>
        <w:tblLook w:val="04A0" w:firstRow="1" w:lastRow="0" w:firstColumn="1" w:lastColumn="0" w:noHBand="0" w:noVBand="1"/>
      </w:tblPr>
      <w:tblGrid>
        <w:gridCol w:w="2515"/>
        <w:gridCol w:w="3330"/>
        <w:gridCol w:w="3150"/>
      </w:tblGrid>
      <w:tr w:rsidR="00EB55AD" w:rsidRPr="00C1111A" w14:paraId="0FB4DD8B" w14:textId="77777777" w:rsidTr="00124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hideMark/>
          </w:tcPr>
          <w:p w14:paraId="7CB103DA" w14:textId="77777777" w:rsidR="00EB55AD" w:rsidRPr="00C1111A" w:rsidRDefault="00EB55AD" w:rsidP="00124214">
            <w:pPr>
              <w:spacing w:line="360" w:lineRule="auto"/>
              <w:jc w:val="center"/>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Finding</w:t>
            </w:r>
          </w:p>
        </w:tc>
        <w:tc>
          <w:tcPr>
            <w:tcW w:w="3330" w:type="dxa"/>
            <w:hideMark/>
          </w:tcPr>
          <w:p w14:paraId="2DEDC360"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Conventional Septoplasty (%)</w:t>
            </w:r>
          </w:p>
        </w:tc>
        <w:tc>
          <w:tcPr>
            <w:tcW w:w="3150" w:type="dxa"/>
            <w:hideMark/>
          </w:tcPr>
          <w:p w14:paraId="156CF30C"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Endoscopic Septoplasty (%)</w:t>
            </w:r>
          </w:p>
        </w:tc>
      </w:tr>
      <w:tr w:rsidR="00EB55AD" w:rsidRPr="00C1111A" w14:paraId="5D09A637"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hideMark/>
          </w:tcPr>
          <w:p w14:paraId="28A3CA3B"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Right-sided DNS</w:t>
            </w:r>
          </w:p>
        </w:tc>
        <w:tc>
          <w:tcPr>
            <w:tcW w:w="3330" w:type="dxa"/>
            <w:hideMark/>
          </w:tcPr>
          <w:p w14:paraId="2E91FDC5"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40</w:t>
            </w:r>
          </w:p>
        </w:tc>
        <w:tc>
          <w:tcPr>
            <w:tcW w:w="3150" w:type="dxa"/>
            <w:hideMark/>
          </w:tcPr>
          <w:p w14:paraId="31C13B38"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36</w:t>
            </w:r>
          </w:p>
        </w:tc>
      </w:tr>
      <w:tr w:rsidR="00EB55AD" w:rsidRPr="00C1111A" w14:paraId="36DA5DC1" w14:textId="77777777" w:rsidTr="00124214">
        <w:tc>
          <w:tcPr>
            <w:cnfStyle w:val="001000000000" w:firstRow="0" w:lastRow="0" w:firstColumn="1" w:lastColumn="0" w:oddVBand="0" w:evenVBand="0" w:oddHBand="0" w:evenHBand="0" w:firstRowFirstColumn="0" w:firstRowLastColumn="0" w:lastRowFirstColumn="0" w:lastRowLastColumn="0"/>
            <w:tcW w:w="2515" w:type="dxa"/>
            <w:hideMark/>
          </w:tcPr>
          <w:p w14:paraId="563A61C6"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Left-sided DNS</w:t>
            </w:r>
          </w:p>
        </w:tc>
        <w:tc>
          <w:tcPr>
            <w:tcW w:w="3330" w:type="dxa"/>
            <w:hideMark/>
          </w:tcPr>
          <w:p w14:paraId="18C5C1F2"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32</w:t>
            </w:r>
          </w:p>
        </w:tc>
        <w:tc>
          <w:tcPr>
            <w:tcW w:w="3150" w:type="dxa"/>
            <w:hideMark/>
          </w:tcPr>
          <w:p w14:paraId="75AE32A8"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32</w:t>
            </w:r>
          </w:p>
        </w:tc>
      </w:tr>
      <w:tr w:rsidR="00EB55AD" w:rsidRPr="00C1111A" w14:paraId="2E763BEF"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hideMark/>
          </w:tcPr>
          <w:p w14:paraId="724B7F5D"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Spur</w:t>
            </w:r>
          </w:p>
        </w:tc>
        <w:tc>
          <w:tcPr>
            <w:tcW w:w="3330" w:type="dxa"/>
            <w:hideMark/>
          </w:tcPr>
          <w:p w14:paraId="55621336"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28</w:t>
            </w:r>
          </w:p>
        </w:tc>
        <w:tc>
          <w:tcPr>
            <w:tcW w:w="3150" w:type="dxa"/>
            <w:hideMark/>
          </w:tcPr>
          <w:p w14:paraId="2E87E558"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32</w:t>
            </w:r>
          </w:p>
        </w:tc>
      </w:tr>
      <w:tr w:rsidR="00EB55AD" w:rsidRPr="00C1111A" w14:paraId="2D50394E" w14:textId="77777777" w:rsidTr="00124214">
        <w:tc>
          <w:tcPr>
            <w:cnfStyle w:val="001000000000" w:firstRow="0" w:lastRow="0" w:firstColumn="1" w:lastColumn="0" w:oddVBand="0" w:evenVBand="0" w:oddHBand="0" w:evenHBand="0" w:firstRowFirstColumn="0" w:firstRowLastColumn="0" w:lastRowFirstColumn="0" w:lastRowLastColumn="0"/>
            <w:tcW w:w="2515" w:type="dxa"/>
            <w:hideMark/>
          </w:tcPr>
          <w:p w14:paraId="08E606EF"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lastRenderedPageBreak/>
              <w:t>Hypertrophied inferior turbinate</w:t>
            </w:r>
          </w:p>
        </w:tc>
        <w:tc>
          <w:tcPr>
            <w:tcW w:w="3330" w:type="dxa"/>
            <w:hideMark/>
          </w:tcPr>
          <w:p w14:paraId="7BA4C0C2"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44</w:t>
            </w:r>
          </w:p>
        </w:tc>
        <w:tc>
          <w:tcPr>
            <w:tcW w:w="3150" w:type="dxa"/>
            <w:hideMark/>
          </w:tcPr>
          <w:p w14:paraId="7A83CCAE"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48</w:t>
            </w:r>
          </w:p>
        </w:tc>
      </w:tr>
      <w:tr w:rsidR="00EB55AD" w:rsidRPr="00C1111A" w14:paraId="625FC6F6"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hideMark/>
          </w:tcPr>
          <w:p w14:paraId="79B3362E"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Polypoid middle turbinate</w:t>
            </w:r>
          </w:p>
        </w:tc>
        <w:tc>
          <w:tcPr>
            <w:tcW w:w="3330" w:type="dxa"/>
            <w:hideMark/>
          </w:tcPr>
          <w:p w14:paraId="6B328289"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c>
          <w:tcPr>
            <w:tcW w:w="3150" w:type="dxa"/>
            <w:hideMark/>
          </w:tcPr>
          <w:p w14:paraId="0BC6BD7B"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w:t>
            </w:r>
          </w:p>
        </w:tc>
      </w:tr>
      <w:tr w:rsidR="00EB55AD" w:rsidRPr="00C1111A" w14:paraId="59B78D81" w14:textId="77777777" w:rsidTr="00124214">
        <w:tc>
          <w:tcPr>
            <w:cnfStyle w:val="001000000000" w:firstRow="0" w:lastRow="0" w:firstColumn="1" w:lastColumn="0" w:oddVBand="0" w:evenVBand="0" w:oddHBand="0" w:evenHBand="0" w:firstRowFirstColumn="0" w:firstRowLastColumn="0" w:lastRowFirstColumn="0" w:lastRowLastColumn="0"/>
            <w:tcW w:w="2515" w:type="dxa"/>
            <w:hideMark/>
          </w:tcPr>
          <w:p w14:paraId="0F60BCD0"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Concha bullosa</w:t>
            </w:r>
          </w:p>
        </w:tc>
        <w:tc>
          <w:tcPr>
            <w:tcW w:w="3330" w:type="dxa"/>
            <w:hideMark/>
          </w:tcPr>
          <w:p w14:paraId="0D382B31"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c>
          <w:tcPr>
            <w:tcW w:w="3150" w:type="dxa"/>
            <w:hideMark/>
          </w:tcPr>
          <w:p w14:paraId="3EDDB00C"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w:t>
            </w:r>
          </w:p>
        </w:tc>
      </w:tr>
      <w:tr w:rsidR="00EB55AD" w:rsidRPr="00C1111A" w14:paraId="63A5BC66"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hideMark/>
          </w:tcPr>
          <w:p w14:paraId="71BC8333"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Discharge</w:t>
            </w:r>
          </w:p>
        </w:tc>
        <w:tc>
          <w:tcPr>
            <w:tcW w:w="3330" w:type="dxa"/>
            <w:hideMark/>
          </w:tcPr>
          <w:p w14:paraId="68022699"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12</w:t>
            </w:r>
          </w:p>
        </w:tc>
        <w:tc>
          <w:tcPr>
            <w:tcW w:w="3150" w:type="dxa"/>
            <w:hideMark/>
          </w:tcPr>
          <w:p w14:paraId="358FAB27"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w:t>
            </w:r>
          </w:p>
        </w:tc>
      </w:tr>
    </w:tbl>
    <w:p w14:paraId="43B5D410" w14:textId="77777777" w:rsidR="00EB55AD" w:rsidRPr="00C1111A" w:rsidRDefault="00EB55AD" w:rsidP="00124214">
      <w:pPr>
        <w:spacing w:line="360" w:lineRule="auto"/>
        <w:jc w:val="both"/>
        <w:rPr>
          <w:rFonts w:ascii="Times New Roman" w:hAnsi="Times New Roman" w:cs="Times New Roman"/>
        </w:rPr>
      </w:pPr>
    </w:p>
    <w:p w14:paraId="6F9B10B4" w14:textId="3B0E07EC" w:rsidR="00EB55AD" w:rsidRPr="00C1111A" w:rsidRDefault="00EB55AD" w:rsidP="00124214">
      <w:pPr>
        <w:spacing w:before="100" w:beforeAutospacing="1" w:after="100" w:afterAutospacing="1" w:line="360" w:lineRule="auto"/>
        <w:jc w:val="both"/>
        <w:outlineLvl w:val="2"/>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 xml:space="preserve">Preoperative objective assessment of nasal airflow using the </w:t>
      </w:r>
      <w:proofErr w:type="spellStart"/>
      <w:r w:rsidRPr="00C1111A">
        <w:rPr>
          <w:rFonts w:ascii="Times New Roman" w:eastAsia="Times New Roman" w:hAnsi="Times New Roman" w:cs="Times New Roman"/>
          <w:kern w:val="0"/>
          <w14:ligatures w14:val="none"/>
        </w:rPr>
        <w:t>Gertner-Podoshin</w:t>
      </w:r>
      <w:proofErr w:type="spellEnd"/>
      <w:r w:rsidRPr="00C1111A">
        <w:rPr>
          <w:rFonts w:ascii="Times New Roman" w:eastAsia="Times New Roman" w:hAnsi="Times New Roman" w:cs="Times New Roman"/>
          <w:kern w:val="0"/>
          <w14:ligatures w14:val="none"/>
        </w:rPr>
        <w:t xml:space="preserve"> plate revealed that most patients in both groups had moderate nasal obstruction. In the conventional septoplasty group, 60% of patients fell into the 2–3 cm (moderate) airflow category, 16% had mild obstruction (4–5 cm), 12% had very mild obstruction (6–9 cm), and 12% had severe obstruction (0–1 cm). In the endoscopic septoplasty group, 68% of patients had moderate obstruction, 16% had severe obstruction, 8% had mild obstruction, and 8% had very mild obstruction.</w:t>
      </w:r>
    </w:p>
    <w:p w14:paraId="69CAB755" w14:textId="43BF875A" w:rsidR="00EB55AD" w:rsidRPr="00C1111A" w:rsidRDefault="00EB55AD" w:rsidP="00124214">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C1111A">
        <w:rPr>
          <w:rFonts w:ascii="Times New Roman" w:eastAsia="Times New Roman" w:hAnsi="Times New Roman" w:cs="Times New Roman"/>
          <w:b/>
          <w:bCs/>
          <w:kern w:val="0"/>
          <w14:ligatures w14:val="none"/>
        </w:rPr>
        <w:t>Table 5: Preoperative Objective Nasal Airflow (%)</w:t>
      </w:r>
    </w:p>
    <w:tbl>
      <w:tblPr>
        <w:tblStyle w:val="GridTable4-Accent1"/>
        <w:tblW w:w="0" w:type="auto"/>
        <w:tblLook w:val="04A0" w:firstRow="1" w:lastRow="0" w:firstColumn="1" w:lastColumn="0" w:noHBand="0" w:noVBand="1"/>
      </w:tblPr>
      <w:tblGrid>
        <w:gridCol w:w="2269"/>
        <w:gridCol w:w="3297"/>
        <w:gridCol w:w="3097"/>
      </w:tblGrid>
      <w:tr w:rsidR="00EB55AD" w:rsidRPr="00C1111A" w14:paraId="59DF77F4" w14:textId="77777777" w:rsidTr="00124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E83696" w14:textId="77777777" w:rsidR="00EB55AD" w:rsidRPr="00C1111A" w:rsidRDefault="00EB55AD" w:rsidP="00124214">
            <w:pPr>
              <w:spacing w:line="360" w:lineRule="auto"/>
              <w:jc w:val="center"/>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Group (Airflow cm)</w:t>
            </w:r>
          </w:p>
        </w:tc>
        <w:tc>
          <w:tcPr>
            <w:tcW w:w="0" w:type="auto"/>
            <w:hideMark/>
          </w:tcPr>
          <w:p w14:paraId="0782D1E4"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Conventional Septoplasty (%)</w:t>
            </w:r>
          </w:p>
        </w:tc>
        <w:tc>
          <w:tcPr>
            <w:tcW w:w="0" w:type="auto"/>
            <w:hideMark/>
          </w:tcPr>
          <w:p w14:paraId="40BAD08D"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Endoscopic Septoplasty (%)</w:t>
            </w:r>
          </w:p>
        </w:tc>
      </w:tr>
      <w:tr w:rsidR="00EB55AD" w:rsidRPr="00C1111A" w14:paraId="40977F68"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09B776"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0–1 (Severe)</w:t>
            </w:r>
          </w:p>
        </w:tc>
        <w:tc>
          <w:tcPr>
            <w:tcW w:w="0" w:type="auto"/>
            <w:hideMark/>
          </w:tcPr>
          <w:p w14:paraId="28D01252"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12</w:t>
            </w:r>
          </w:p>
        </w:tc>
        <w:tc>
          <w:tcPr>
            <w:tcW w:w="0" w:type="auto"/>
            <w:hideMark/>
          </w:tcPr>
          <w:p w14:paraId="515B8F5B"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16</w:t>
            </w:r>
          </w:p>
        </w:tc>
      </w:tr>
      <w:tr w:rsidR="00EB55AD" w:rsidRPr="00C1111A" w14:paraId="25CA58EE"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0EFFA176"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2–3 (Moderate)</w:t>
            </w:r>
          </w:p>
        </w:tc>
        <w:tc>
          <w:tcPr>
            <w:tcW w:w="0" w:type="auto"/>
            <w:hideMark/>
          </w:tcPr>
          <w:p w14:paraId="7FE1D5D3"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60</w:t>
            </w:r>
          </w:p>
        </w:tc>
        <w:tc>
          <w:tcPr>
            <w:tcW w:w="0" w:type="auto"/>
            <w:hideMark/>
          </w:tcPr>
          <w:p w14:paraId="15D4F511"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68</w:t>
            </w:r>
          </w:p>
        </w:tc>
      </w:tr>
      <w:tr w:rsidR="00EB55AD" w:rsidRPr="00C1111A" w14:paraId="4E66DB97"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C26E70"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4–5 (Mild)</w:t>
            </w:r>
          </w:p>
        </w:tc>
        <w:tc>
          <w:tcPr>
            <w:tcW w:w="0" w:type="auto"/>
            <w:hideMark/>
          </w:tcPr>
          <w:p w14:paraId="64139F91"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16</w:t>
            </w:r>
          </w:p>
        </w:tc>
        <w:tc>
          <w:tcPr>
            <w:tcW w:w="0" w:type="auto"/>
            <w:hideMark/>
          </w:tcPr>
          <w:p w14:paraId="5FDD788E"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w:t>
            </w:r>
          </w:p>
        </w:tc>
      </w:tr>
      <w:tr w:rsidR="00EB55AD" w:rsidRPr="00C1111A" w14:paraId="616C2BF2"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5B03214C"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6–9 (Very mild)</w:t>
            </w:r>
          </w:p>
        </w:tc>
        <w:tc>
          <w:tcPr>
            <w:tcW w:w="0" w:type="auto"/>
            <w:hideMark/>
          </w:tcPr>
          <w:p w14:paraId="22213A9A"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12</w:t>
            </w:r>
          </w:p>
        </w:tc>
        <w:tc>
          <w:tcPr>
            <w:tcW w:w="0" w:type="auto"/>
            <w:hideMark/>
          </w:tcPr>
          <w:p w14:paraId="6FD1DF30"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w:t>
            </w:r>
          </w:p>
        </w:tc>
      </w:tr>
    </w:tbl>
    <w:p w14:paraId="5B89DCA1" w14:textId="77777777" w:rsidR="00EB55AD" w:rsidRPr="00C1111A" w:rsidRDefault="00EB55AD" w:rsidP="00124214">
      <w:pPr>
        <w:spacing w:line="360" w:lineRule="auto"/>
        <w:jc w:val="both"/>
        <w:rPr>
          <w:rFonts w:ascii="Times New Roman" w:hAnsi="Times New Roman" w:cs="Times New Roman"/>
        </w:rPr>
      </w:pPr>
    </w:p>
    <w:p w14:paraId="1F03B2C7" w14:textId="5CFC88F4" w:rsidR="00EB55AD" w:rsidRPr="00C1111A" w:rsidRDefault="00EB55AD" w:rsidP="00E3785C">
      <w:pPr>
        <w:spacing w:before="100" w:beforeAutospacing="1" w:after="100" w:afterAutospacing="1" w:line="360" w:lineRule="auto"/>
        <w:jc w:val="both"/>
        <w:outlineLvl w:val="2"/>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Postoperatively, both surgical groups demonstrated significant improvement in symptoms. Nasal obstruction was relieved in 88% of patients in the conventional septoplasty group and 96% in the endoscopic group, with an overall benefit of 92%. Nasal discharge resolved completely in both groups (100%). Headache persisted in a small proportion of patients, with relief reported in 80% of the conventional group and 100% of the endoscopic group, resulting in an overall benefit of 85%. Hyposmia and epistaxis were fully relieved in all affected patients in both groups, indicating excellent overall symptomatic improvement following septoplasty.</w:t>
      </w:r>
    </w:p>
    <w:p w14:paraId="5288F607" w14:textId="58F27CF9" w:rsidR="00EB55AD" w:rsidRPr="00C1111A" w:rsidRDefault="00EB55AD" w:rsidP="00124214">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C1111A">
        <w:rPr>
          <w:rFonts w:ascii="Times New Roman" w:eastAsia="Times New Roman" w:hAnsi="Times New Roman" w:cs="Times New Roman"/>
          <w:b/>
          <w:bCs/>
          <w:kern w:val="0"/>
          <w14:ligatures w14:val="none"/>
        </w:rPr>
        <w:t>Table 6: Postoperative Symptom Relief (%)</w:t>
      </w:r>
    </w:p>
    <w:tbl>
      <w:tblPr>
        <w:tblStyle w:val="GridTable4-Accent1"/>
        <w:tblW w:w="0" w:type="auto"/>
        <w:tblLook w:val="04A0" w:firstRow="1" w:lastRow="0" w:firstColumn="1" w:lastColumn="0" w:noHBand="0" w:noVBand="1"/>
      </w:tblPr>
      <w:tblGrid>
        <w:gridCol w:w="1827"/>
        <w:gridCol w:w="2766"/>
        <w:gridCol w:w="2570"/>
        <w:gridCol w:w="1853"/>
      </w:tblGrid>
      <w:tr w:rsidR="00EB55AD" w:rsidRPr="00C1111A" w14:paraId="3090C2C8" w14:textId="77777777" w:rsidTr="00124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5351A4" w14:textId="77777777" w:rsidR="00EB55AD" w:rsidRPr="00C1111A" w:rsidRDefault="00EB55AD" w:rsidP="00124214">
            <w:pPr>
              <w:spacing w:line="360" w:lineRule="auto"/>
              <w:jc w:val="center"/>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lastRenderedPageBreak/>
              <w:t>Symptom</w:t>
            </w:r>
          </w:p>
        </w:tc>
        <w:tc>
          <w:tcPr>
            <w:tcW w:w="0" w:type="auto"/>
            <w:hideMark/>
          </w:tcPr>
          <w:p w14:paraId="766FFE61"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Conventional Septoplasty (%)</w:t>
            </w:r>
          </w:p>
        </w:tc>
        <w:tc>
          <w:tcPr>
            <w:tcW w:w="0" w:type="auto"/>
            <w:hideMark/>
          </w:tcPr>
          <w:p w14:paraId="417ECE8B"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Endoscopic Septoplasty (%)</w:t>
            </w:r>
          </w:p>
        </w:tc>
        <w:tc>
          <w:tcPr>
            <w:tcW w:w="0" w:type="auto"/>
            <w:hideMark/>
          </w:tcPr>
          <w:p w14:paraId="38C6755A"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Overall Benefit (%)</w:t>
            </w:r>
          </w:p>
        </w:tc>
      </w:tr>
      <w:tr w:rsidR="00EB55AD" w:rsidRPr="00C1111A" w14:paraId="2333B5E8"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8D3844"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Nasal obstruction</w:t>
            </w:r>
          </w:p>
        </w:tc>
        <w:tc>
          <w:tcPr>
            <w:tcW w:w="0" w:type="auto"/>
            <w:hideMark/>
          </w:tcPr>
          <w:p w14:paraId="10B458BB"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88</w:t>
            </w:r>
          </w:p>
        </w:tc>
        <w:tc>
          <w:tcPr>
            <w:tcW w:w="0" w:type="auto"/>
            <w:hideMark/>
          </w:tcPr>
          <w:p w14:paraId="71BCB11B"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96</w:t>
            </w:r>
          </w:p>
        </w:tc>
        <w:tc>
          <w:tcPr>
            <w:tcW w:w="0" w:type="auto"/>
            <w:hideMark/>
          </w:tcPr>
          <w:p w14:paraId="6EE35B55"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92</w:t>
            </w:r>
          </w:p>
        </w:tc>
      </w:tr>
      <w:tr w:rsidR="00EB55AD" w:rsidRPr="00C1111A" w14:paraId="59D8CB82"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11D639A9"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Nasal discharge</w:t>
            </w:r>
          </w:p>
        </w:tc>
        <w:tc>
          <w:tcPr>
            <w:tcW w:w="0" w:type="auto"/>
            <w:hideMark/>
          </w:tcPr>
          <w:p w14:paraId="626EBA98"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4CF94DE2"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132DA9D3"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r>
      <w:tr w:rsidR="00EB55AD" w:rsidRPr="00C1111A" w14:paraId="65D53AFF"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041B7B"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Headache</w:t>
            </w:r>
          </w:p>
        </w:tc>
        <w:tc>
          <w:tcPr>
            <w:tcW w:w="0" w:type="auto"/>
            <w:hideMark/>
          </w:tcPr>
          <w:p w14:paraId="519F350B"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80</w:t>
            </w:r>
          </w:p>
        </w:tc>
        <w:tc>
          <w:tcPr>
            <w:tcW w:w="0" w:type="auto"/>
            <w:hideMark/>
          </w:tcPr>
          <w:p w14:paraId="63C2CE78"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4377CBE0"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85</w:t>
            </w:r>
          </w:p>
        </w:tc>
      </w:tr>
      <w:tr w:rsidR="00EB55AD" w:rsidRPr="00C1111A" w14:paraId="3090F8F7"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404534AF"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Hyposmia</w:t>
            </w:r>
          </w:p>
        </w:tc>
        <w:tc>
          <w:tcPr>
            <w:tcW w:w="0" w:type="auto"/>
            <w:hideMark/>
          </w:tcPr>
          <w:p w14:paraId="3A02F491"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1E6D3419"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5E745941"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r>
      <w:tr w:rsidR="00EB55AD" w:rsidRPr="00C1111A" w14:paraId="26B9B1EC"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ABFA37"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Epistaxis</w:t>
            </w:r>
          </w:p>
        </w:tc>
        <w:tc>
          <w:tcPr>
            <w:tcW w:w="0" w:type="auto"/>
            <w:hideMark/>
          </w:tcPr>
          <w:p w14:paraId="14AAEBB2"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7C20CBB9"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11348407"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r>
    </w:tbl>
    <w:p w14:paraId="05E6EEBC" w14:textId="77777777" w:rsidR="00EB55AD" w:rsidRPr="00C1111A" w:rsidRDefault="00EB55AD" w:rsidP="00124214">
      <w:pPr>
        <w:spacing w:line="360" w:lineRule="auto"/>
        <w:jc w:val="both"/>
        <w:rPr>
          <w:rFonts w:ascii="Times New Roman" w:hAnsi="Times New Roman" w:cs="Times New Roman"/>
        </w:rPr>
      </w:pPr>
    </w:p>
    <w:p w14:paraId="5E1BA9C9" w14:textId="2E440BBD" w:rsidR="00EB55AD" w:rsidRPr="00C1111A" w:rsidRDefault="00EB55AD" w:rsidP="00124214">
      <w:pPr>
        <w:spacing w:before="100" w:beforeAutospacing="1" w:after="100" w:afterAutospacing="1" w:line="360" w:lineRule="auto"/>
        <w:jc w:val="both"/>
        <w:outlineLvl w:val="2"/>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Postoperative objective assessment of nasal airflow showed marked improvement in both groups. In the conventional septoplasty group, 32% of patients had airflow of 2–3 cm, 48% had 4–5 cm, and 20% achieved 6–9 cm. In the endoscopic septoplasty group, only 4% had airflow of 2–3 cm, while 48% had 4–5 cm and 48% had 6–9 cm. These findings indicate that the endoscopic group achieved a higher proportion of patients with optimal nasal airflow postoperatively compared to the conventional group, reflecting more pronounced functional improvement.</w:t>
      </w:r>
    </w:p>
    <w:p w14:paraId="4D26495D" w14:textId="664D5AB6" w:rsidR="00EB55AD" w:rsidRPr="00C1111A" w:rsidRDefault="00EB55AD" w:rsidP="00124214">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C1111A">
        <w:rPr>
          <w:rFonts w:ascii="Times New Roman" w:eastAsia="Times New Roman" w:hAnsi="Times New Roman" w:cs="Times New Roman"/>
          <w:b/>
          <w:bCs/>
          <w:kern w:val="0"/>
          <w14:ligatures w14:val="none"/>
        </w:rPr>
        <w:t>Table 7: Postoperative Objective Nasal Airflow (%)</w:t>
      </w:r>
    </w:p>
    <w:tbl>
      <w:tblPr>
        <w:tblStyle w:val="GridTable4-Accent1"/>
        <w:tblW w:w="0" w:type="auto"/>
        <w:tblLook w:val="04A0" w:firstRow="1" w:lastRow="0" w:firstColumn="1" w:lastColumn="0" w:noHBand="0" w:noVBand="1"/>
      </w:tblPr>
      <w:tblGrid>
        <w:gridCol w:w="2269"/>
        <w:gridCol w:w="3297"/>
        <w:gridCol w:w="3097"/>
      </w:tblGrid>
      <w:tr w:rsidR="00EB55AD" w:rsidRPr="00C1111A" w14:paraId="370A87FD" w14:textId="77777777" w:rsidTr="00124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D955BE" w14:textId="77777777" w:rsidR="00EB55AD" w:rsidRPr="00C1111A" w:rsidRDefault="00EB55AD" w:rsidP="00124214">
            <w:pPr>
              <w:spacing w:line="360" w:lineRule="auto"/>
              <w:jc w:val="center"/>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Group (Airflow cm)</w:t>
            </w:r>
          </w:p>
        </w:tc>
        <w:tc>
          <w:tcPr>
            <w:tcW w:w="0" w:type="auto"/>
            <w:hideMark/>
          </w:tcPr>
          <w:p w14:paraId="3CBB3583"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Conventional Septoplasty (%)</w:t>
            </w:r>
          </w:p>
        </w:tc>
        <w:tc>
          <w:tcPr>
            <w:tcW w:w="0" w:type="auto"/>
            <w:hideMark/>
          </w:tcPr>
          <w:p w14:paraId="7500B41C"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Endoscopic Septoplasty (%)</w:t>
            </w:r>
          </w:p>
        </w:tc>
      </w:tr>
      <w:tr w:rsidR="00EB55AD" w:rsidRPr="00C1111A" w14:paraId="59247C6D"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0FCB74"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2–3</w:t>
            </w:r>
          </w:p>
        </w:tc>
        <w:tc>
          <w:tcPr>
            <w:tcW w:w="0" w:type="auto"/>
            <w:hideMark/>
          </w:tcPr>
          <w:p w14:paraId="3AFCF31D"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32</w:t>
            </w:r>
          </w:p>
        </w:tc>
        <w:tc>
          <w:tcPr>
            <w:tcW w:w="0" w:type="auto"/>
            <w:hideMark/>
          </w:tcPr>
          <w:p w14:paraId="15076E70"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w:t>
            </w:r>
          </w:p>
        </w:tc>
      </w:tr>
      <w:tr w:rsidR="00EB55AD" w:rsidRPr="00C1111A" w14:paraId="6757AA8A"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67C65536"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4–5</w:t>
            </w:r>
          </w:p>
        </w:tc>
        <w:tc>
          <w:tcPr>
            <w:tcW w:w="0" w:type="auto"/>
            <w:hideMark/>
          </w:tcPr>
          <w:p w14:paraId="3EBFDCDF"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48</w:t>
            </w:r>
          </w:p>
        </w:tc>
        <w:tc>
          <w:tcPr>
            <w:tcW w:w="0" w:type="auto"/>
            <w:hideMark/>
          </w:tcPr>
          <w:p w14:paraId="61893233"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48</w:t>
            </w:r>
          </w:p>
        </w:tc>
      </w:tr>
      <w:tr w:rsidR="00EB55AD" w:rsidRPr="00C1111A" w14:paraId="0E9AFB25"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364C12"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6–9</w:t>
            </w:r>
          </w:p>
        </w:tc>
        <w:tc>
          <w:tcPr>
            <w:tcW w:w="0" w:type="auto"/>
            <w:hideMark/>
          </w:tcPr>
          <w:p w14:paraId="23112383"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20</w:t>
            </w:r>
          </w:p>
        </w:tc>
        <w:tc>
          <w:tcPr>
            <w:tcW w:w="0" w:type="auto"/>
            <w:hideMark/>
          </w:tcPr>
          <w:p w14:paraId="638C0B51"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48</w:t>
            </w:r>
          </w:p>
        </w:tc>
      </w:tr>
      <w:tr w:rsidR="00EB55AD" w:rsidRPr="00C1111A" w14:paraId="0F6EFFAF"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6AA17050"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Total</w:t>
            </w:r>
          </w:p>
        </w:tc>
        <w:tc>
          <w:tcPr>
            <w:tcW w:w="0" w:type="auto"/>
            <w:hideMark/>
          </w:tcPr>
          <w:p w14:paraId="4E5E9DE7"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1EDC95E4"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r>
    </w:tbl>
    <w:p w14:paraId="3B1BCEBD" w14:textId="77777777" w:rsidR="00634EC8" w:rsidRDefault="00634EC8" w:rsidP="00124214">
      <w:pPr>
        <w:spacing w:line="360" w:lineRule="auto"/>
        <w:jc w:val="both"/>
        <w:rPr>
          <w:rFonts w:ascii="Times New Roman" w:hAnsi="Times New Roman" w:cs="Times New Roman"/>
        </w:rPr>
      </w:pPr>
    </w:p>
    <w:p w14:paraId="5A858861" w14:textId="1BDAFCAA" w:rsidR="00EB55AD" w:rsidRPr="00C1111A" w:rsidRDefault="00EB55AD" w:rsidP="00124214">
      <w:pPr>
        <w:spacing w:line="360" w:lineRule="auto"/>
        <w:jc w:val="both"/>
        <w:rPr>
          <w:rFonts w:ascii="Times New Roman" w:hAnsi="Times New Roman" w:cs="Times New Roman"/>
        </w:rPr>
      </w:pPr>
      <w:r w:rsidRPr="00C1111A">
        <w:rPr>
          <w:rFonts w:ascii="Times New Roman" w:hAnsi="Times New Roman" w:cs="Times New Roman"/>
        </w:rPr>
        <w:t xml:space="preserve">Intraoperative and postoperative complications were generally minimal in both groups. </w:t>
      </w:r>
      <w:proofErr w:type="spellStart"/>
      <w:r w:rsidRPr="00C1111A">
        <w:rPr>
          <w:rFonts w:ascii="Times New Roman" w:hAnsi="Times New Roman" w:cs="Times New Roman"/>
        </w:rPr>
        <w:t>Haemorrhage</w:t>
      </w:r>
      <w:proofErr w:type="spellEnd"/>
      <w:r w:rsidRPr="00C1111A">
        <w:rPr>
          <w:rFonts w:ascii="Times New Roman" w:hAnsi="Times New Roman" w:cs="Times New Roman"/>
        </w:rPr>
        <w:t xml:space="preserve"> occurred in 24% of patients in the conventional septoplasty group compared to 8% in the endoscopic group. Mucosal tears were noted in 24% of conventional and 12% of endoscopic cases. Synechiae developed in 16% of patients in the conventional group but were absent in the endoscopic group. No external deformities or delayed healing were observed in either group, indicating that both surgical techniques were largely safe, with endoscopic septoplasty associated with fewer complications.</w:t>
      </w:r>
    </w:p>
    <w:p w14:paraId="44FEBCDC" w14:textId="5F910BFB" w:rsidR="00EB55AD" w:rsidRPr="00C1111A" w:rsidRDefault="00EB55AD" w:rsidP="00124214">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C1111A">
        <w:rPr>
          <w:rFonts w:ascii="Times New Roman" w:eastAsia="Times New Roman" w:hAnsi="Times New Roman" w:cs="Times New Roman"/>
          <w:b/>
          <w:bCs/>
          <w:kern w:val="0"/>
          <w14:ligatures w14:val="none"/>
        </w:rPr>
        <w:lastRenderedPageBreak/>
        <w:t>Table 8: Complications (%)</w:t>
      </w:r>
    </w:p>
    <w:tbl>
      <w:tblPr>
        <w:tblStyle w:val="GridTable4-Accent1"/>
        <w:tblW w:w="0" w:type="auto"/>
        <w:tblLook w:val="04A0" w:firstRow="1" w:lastRow="0" w:firstColumn="1" w:lastColumn="0" w:noHBand="0" w:noVBand="1"/>
      </w:tblPr>
      <w:tblGrid>
        <w:gridCol w:w="2329"/>
        <w:gridCol w:w="3297"/>
        <w:gridCol w:w="3097"/>
      </w:tblGrid>
      <w:tr w:rsidR="00EB55AD" w:rsidRPr="00C1111A" w14:paraId="63816A14" w14:textId="77777777" w:rsidTr="00124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A0282C" w14:textId="77777777" w:rsidR="00EB55AD" w:rsidRPr="00C1111A" w:rsidRDefault="00EB55AD" w:rsidP="00124214">
            <w:pPr>
              <w:spacing w:line="360" w:lineRule="auto"/>
              <w:jc w:val="center"/>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Complication</w:t>
            </w:r>
          </w:p>
        </w:tc>
        <w:tc>
          <w:tcPr>
            <w:tcW w:w="0" w:type="auto"/>
            <w:hideMark/>
          </w:tcPr>
          <w:p w14:paraId="4A322189"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Conventional Septoplasty (%)</w:t>
            </w:r>
          </w:p>
        </w:tc>
        <w:tc>
          <w:tcPr>
            <w:tcW w:w="0" w:type="auto"/>
            <w:hideMark/>
          </w:tcPr>
          <w:p w14:paraId="003D60DC"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Endoscopic Septoplasty (%)</w:t>
            </w:r>
          </w:p>
        </w:tc>
      </w:tr>
      <w:tr w:rsidR="00EB55AD" w:rsidRPr="00C1111A" w14:paraId="4BE948A2"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CF691D" w14:textId="77777777" w:rsidR="00EB55AD" w:rsidRPr="00C1111A" w:rsidRDefault="00EB55AD" w:rsidP="00124214">
            <w:pPr>
              <w:spacing w:line="360" w:lineRule="auto"/>
              <w:rPr>
                <w:rFonts w:ascii="Times New Roman" w:eastAsia="Times New Roman" w:hAnsi="Times New Roman" w:cs="Times New Roman"/>
                <w:kern w:val="0"/>
                <w14:ligatures w14:val="none"/>
              </w:rPr>
            </w:pPr>
            <w:proofErr w:type="spellStart"/>
            <w:r w:rsidRPr="00C1111A">
              <w:rPr>
                <w:rFonts w:ascii="Times New Roman" w:eastAsia="Times New Roman" w:hAnsi="Times New Roman" w:cs="Times New Roman"/>
                <w:kern w:val="0"/>
                <w14:ligatures w14:val="none"/>
              </w:rPr>
              <w:t>Haemorrhage</w:t>
            </w:r>
            <w:proofErr w:type="spellEnd"/>
          </w:p>
        </w:tc>
        <w:tc>
          <w:tcPr>
            <w:tcW w:w="0" w:type="auto"/>
            <w:hideMark/>
          </w:tcPr>
          <w:p w14:paraId="0E00744D"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24</w:t>
            </w:r>
          </w:p>
        </w:tc>
        <w:tc>
          <w:tcPr>
            <w:tcW w:w="0" w:type="auto"/>
            <w:hideMark/>
          </w:tcPr>
          <w:p w14:paraId="427A5DB4"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w:t>
            </w:r>
          </w:p>
        </w:tc>
      </w:tr>
      <w:tr w:rsidR="00EB55AD" w:rsidRPr="00C1111A" w14:paraId="141DBA0F"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4F9450C8"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Mucosal tear</w:t>
            </w:r>
          </w:p>
        </w:tc>
        <w:tc>
          <w:tcPr>
            <w:tcW w:w="0" w:type="auto"/>
            <w:hideMark/>
          </w:tcPr>
          <w:p w14:paraId="07EBF202"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24</w:t>
            </w:r>
          </w:p>
        </w:tc>
        <w:tc>
          <w:tcPr>
            <w:tcW w:w="0" w:type="auto"/>
            <w:hideMark/>
          </w:tcPr>
          <w:p w14:paraId="01AFF90B"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12</w:t>
            </w:r>
          </w:p>
        </w:tc>
      </w:tr>
      <w:tr w:rsidR="00EB55AD" w:rsidRPr="00C1111A" w14:paraId="35A674BB"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778DC4"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Synechiae</w:t>
            </w:r>
          </w:p>
        </w:tc>
        <w:tc>
          <w:tcPr>
            <w:tcW w:w="0" w:type="auto"/>
            <w:hideMark/>
          </w:tcPr>
          <w:p w14:paraId="2C867A83"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16</w:t>
            </w:r>
          </w:p>
        </w:tc>
        <w:tc>
          <w:tcPr>
            <w:tcW w:w="0" w:type="auto"/>
            <w:hideMark/>
          </w:tcPr>
          <w:p w14:paraId="3E16B30E"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r>
      <w:tr w:rsidR="00EB55AD" w:rsidRPr="00C1111A" w14:paraId="1AA63480"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4DD8E760"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External deformities</w:t>
            </w:r>
          </w:p>
        </w:tc>
        <w:tc>
          <w:tcPr>
            <w:tcW w:w="0" w:type="auto"/>
            <w:hideMark/>
          </w:tcPr>
          <w:p w14:paraId="1531259E"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c>
          <w:tcPr>
            <w:tcW w:w="0" w:type="auto"/>
            <w:hideMark/>
          </w:tcPr>
          <w:p w14:paraId="197CECC7"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r>
      <w:tr w:rsidR="00EB55AD" w:rsidRPr="00C1111A" w14:paraId="6579D7F4"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38CDC4"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Delayed healing</w:t>
            </w:r>
          </w:p>
        </w:tc>
        <w:tc>
          <w:tcPr>
            <w:tcW w:w="0" w:type="auto"/>
            <w:hideMark/>
          </w:tcPr>
          <w:p w14:paraId="1F3ACC0B"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c>
          <w:tcPr>
            <w:tcW w:w="0" w:type="auto"/>
            <w:hideMark/>
          </w:tcPr>
          <w:p w14:paraId="2DB294F1"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r>
    </w:tbl>
    <w:p w14:paraId="48F76692" w14:textId="77777777" w:rsidR="00EB55AD" w:rsidRPr="00C1111A" w:rsidRDefault="00EB55AD" w:rsidP="00124214">
      <w:pPr>
        <w:spacing w:line="360" w:lineRule="auto"/>
        <w:jc w:val="both"/>
        <w:rPr>
          <w:rFonts w:ascii="Times New Roman" w:hAnsi="Times New Roman" w:cs="Times New Roman"/>
        </w:rPr>
      </w:pPr>
    </w:p>
    <w:p w14:paraId="02BD121C" w14:textId="0F60E84B" w:rsidR="001D3C04" w:rsidRPr="00C1111A" w:rsidRDefault="001D3C04" w:rsidP="00124214">
      <w:pPr>
        <w:spacing w:line="360" w:lineRule="auto"/>
        <w:jc w:val="both"/>
        <w:rPr>
          <w:rFonts w:ascii="Times New Roman" w:hAnsi="Times New Roman" w:cs="Times New Roman"/>
        </w:rPr>
      </w:pPr>
      <w:r w:rsidRPr="00C1111A">
        <w:rPr>
          <w:rFonts w:ascii="Times New Roman" w:hAnsi="Times New Roman" w:cs="Times New Roman"/>
        </w:rPr>
        <w:t>In our study of 100 patients undergoing septoplasty, the age of participants ranged from 11 to 60 years, with the majority being younger adults. Most patients in both groups fell within the 11–</w:t>
      </w:r>
      <w:proofErr w:type="gramStart"/>
      <w:r w:rsidRPr="00C1111A">
        <w:rPr>
          <w:rFonts w:ascii="Times New Roman" w:hAnsi="Times New Roman" w:cs="Times New Roman"/>
        </w:rPr>
        <w:t>30 year</w:t>
      </w:r>
      <w:proofErr w:type="gramEnd"/>
      <w:r w:rsidRPr="00C1111A">
        <w:rPr>
          <w:rFonts w:ascii="Times New Roman" w:hAnsi="Times New Roman" w:cs="Times New Roman"/>
        </w:rPr>
        <w:t xml:space="preserve"> range, consistent with previous reports suggesting that symptomatic nasal obstruction due to deviated nasal septum (DNS) is more commonly identified in young adults seeking treatment for functional and cosmetic concerns. Similar age distributions were reported by other study who found the peak incidence of septal deviation requiring surgery in the 20–</w:t>
      </w:r>
      <w:proofErr w:type="gramStart"/>
      <w:r w:rsidRPr="00C1111A">
        <w:rPr>
          <w:rFonts w:ascii="Times New Roman" w:hAnsi="Times New Roman" w:cs="Times New Roman"/>
        </w:rPr>
        <w:t>30 year</w:t>
      </w:r>
      <w:proofErr w:type="gramEnd"/>
      <w:r w:rsidRPr="00C1111A">
        <w:rPr>
          <w:rFonts w:ascii="Times New Roman" w:hAnsi="Times New Roman" w:cs="Times New Roman"/>
        </w:rPr>
        <w:t xml:space="preserve"> age group. </w:t>
      </w:r>
      <w:r w:rsidRPr="00C1111A">
        <w:rPr>
          <w:rFonts w:ascii="Times New Roman" w:hAnsi="Times New Roman" w:cs="Times New Roman"/>
          <w:vertAlign w:val="superscript"/>
        </w:rPr>
        <w:t>9</w:t>
      </w:r>
      <w:r w:rsidRPr="00C1111A">
        <w:rPr>
          <w:rFonts w:ascii="Times New Roman" w:hAnsi="Times New Roman" w:cs="Times New Roman"/>
        </w:rPr>
        <w:t xml:space="preserve"> Our inclusion of a small proportion of older adults reflects the broader age range that can present with septal deviations, although they remain less common.</w:t>
      </w:r>
    </w:p>
    <w:p w14:paraId="1B85B62F" w14:textId="2A41CE3D" w:rsidR="001D3C04" w:rsidRPr="00C1111A" w:rsidRDefault="001D3C04" w:rsidP="00124214">
      <w:pPr>
        <w:spacing w:line="360" w:lineRule="auto"/>
        <w:jc w:val="both"/>
        <w:rPr>
          <w:rFonts w:ascii="Times New Roman" w:hAnsi="Times New Roman" w:cs="Times New Roman"/>
        </w:rPr>
      </w:pPr>
      <w:r w:rsidRPr="00C1111A">
        <w:rPr>
          <w:rFonts w:ascii="Times New Roman" w:hAnsi="Times New Roman" w:cs="Times New Roman"/>
        </w:rPr>
        <w:t xml:space="preserve">The male predominance observed in our study, with an overall male-to-female ratio of 3.7:1, is in line with multiple studies worldwide. Male patients accounted for 72% of the conventional group and 80% of the endoscopic group. Previous studies also reported higher male prevalence in septoplasty cohorts, which may be attributed to greater exposure to trauma or earlier clinical presentation among males. </w:t>
      </w:r>
      <w:r w:rsidRPr="00C1111A">
        <w:rPr>
          <w:rFonts w:ascii="Times New Roman" w:hAnsi="Times New Roman" w:cs="Times New Roman"/>
          <w:vertAlign w:val="superscript"/>
        </w:rPr>
        <w:t>10</w:t>
      </w:r>
      <w:r w:rsidRPr="00C1111A">
        <w:rPr>
          <w:rFonts w:ascii="Times New Roman" w:hAnsi="Times New Roman" w:cs="Times New Roman"/>
        </w:rPr>
        <w:t xml:space="preserve"> This demographic trend underscores the importance of considering sex distribution in surgical planning and outcome evaluation.</w:t>
      </w:r>
    </w:p>
    <w:p w14:paraId="7C23E72B" w14:textId="67C044D0" w:rsidR="001D3C04" w:rsidRPr="00C1111A" w:rsidRDefault="001D3C04" w:rsidP="00124214">
      <w:pPr>
        <w:spacing w:line="360" w:lineRule="auto"/>
        <w:jc w:val="both"/>
        <w:rPr>
          <w:rFonts w:ascii="Times New Roman" w:hAnsi="Times New Roman" w:cs="Times New Roman"/>
        </w:rPr>
      </w:pPr>
      <w:r w:rsidRPr="00C1111A">
        <w:rPr>
          <w:rFonts w:ascii="Times New Roman" w:hAnsi="Times New Roman" w:cs="Times New Roman"/>
        </w:rPr>
        <w:t xml:space="preserve">All patients in our study presented with nasal obstruction, confirming its role as the most frequent and consistent symptom of DNS. Nasal discharge, headache, sneezing, hyposmia, and epistaxis were variably reported across the two groups, with nasal discharge and headache being more prominent in the conventional septoplasty group. These findings are comparable to those reported who noted nasal obstruction as the primary symptom, while secondary symptoms like headache and discharge were variable depending on associated turbinate hypertrophy or sinus pathology. </w:t>
      </w:r>
      <w:r w:rsidRPr="00C1111A">
        <w:rPr>
          <w:rFonts w:ascii="Times New Roman" w:hAnsi="Times New Roman" w:cs="Times New Roman"/>
          <w:vertAlign w:val="superscript"/>
        </w:rPr>
        <w:t xml:space="preserve">11 </w:t>
      </w:r>
      <w:r w:rsidRPr="00C1111A">
        <w:rPr>
          <w:rFonts w:ascii="Times New Roman" w:hAnsi="Times New Roman" w:cs="Times New Roman"/>
        </w:rPr>
        <w:t>The similarity of symptom patterns supports the generalizability of our findings to other clinical settings.</w:t>
      </w:r>
    </w:p>
    <w:p w14:paraId="25FA6532" w14:textId="366F9346" w:rsidR="001D3C04" w:rsidRPr="00C1111A" w:rsidRDefault="001D3C04" w:rsidP="00124214">
      <w:pPr>
        <w:spacing w:line="360" w:lineRule="auto"/>
        <w:jc w:val="both"/>
        <w:rPr>
          <w:rFonts w:ascii="Times New Roman" w:hAnsi="Times New Roman" w:cs="Times New Roman"/>
        </w:rPr>
      </w:pPr>
      <w:r w:rsidRPr="00C1111A">
        <w:rPr>
          <w:rFonts w:ascii="Times New Roman" w:hAnsi="Times New Roman" w:cs="Times New Roman"/>
        </w:rPr>
        <w:lastRenderedPageBreak/>
        <w:t xml:space="preserve">On anterior rhinoscopy and endoscopic examination, right-sided deviations were slightly more common than left-sided deviations, and hypertrophied inferior </w:t>
      </w:r>
      <w:proofErr w:type="spellStart"/>
      <w:r w:rsidRPr="00C1111A">
        <w:rPr>
          <w:rFonts w:ascii="Times New Roman" w:hAnsi="Times New Roman" w:cs="Times New Roman"/>
        </w:rPr>
        <w:t>turbinates</w:t>
      </w:r>
      <w:proofErr w:type="spellEnd"/>
      <w:r w:rsidRPr="00C1111A">
        <w:rPr>
          <w:rFonts w:ascii="Times New Roman" w:hAnsi="Times New Roman" w:cs="Times New Roman"/>
        </w:rPr>
        <w:t xml:space="preserve"> were frequently associated. Septal spurs were observed in approximately one-third of cases. These findings are in concordance with previous studies, which highlighted the frequent association of turbinate hypertrophy and septal spurs with symptomatic DNS.  </w:t>
      </w:r>
      <w:r w:rsidRPr="00C1111A">
        <w:rPr>
          <w:rFonts w:ascii="Times New Roman" w:hAnsi="Times New Roman" w:cs="Times New Roman"/>
          <w:vertAlign w:val="superscript"/>
        </w:rPr>
        <w:t>12</w:t>
      </w:r>
      <w:r w:rsidRPr="00C1111A">
        <w:rPr>
          <w:rFonts w:ascii="Times New Roman" w:hAnsi="Times New Roman" w:cs="Times New Roman"/>
        </w:rPr>
        <w:t xml:space="preserve"> Minor anatomical variations, such as concha bullosa or polypoid middle turbinate, were less common but highlight the value of endoscopic assessment for preoperative planning, particularly in the endoscopic septoplasty group.</w:t>
      </w:r>
    </w:p>
    <w:p w14:paraId="7CA5FFD2" w14:textId="3B3D5012" w:rsidR="001D3C04" w:rsidRPr="00C1111A" w:rsidRDefault="001D3C04" w:rsidP="00124214">
      <w:pPr>
        <w:spacing w:line="360" w:lineRule="auto"/>
        <w:jc w:val="both"/>
        <w:rPr>
          <w:rFonts w:ascii="Times New Roman" w:hAnsi="Times New Roman" w:cs="Times New Roman"/>
        </w:rPr>
      </w:pPr>
      <w:r w:rsidRPr="00C1111A">
        <w:rPr>
          <w:rFonts w:ascii="Times New Roman" w:hAnsi="Times New Roman" w:cs="Times New Roman"/>
        </w:rPr>
        <w:t xml:space="preserve">Postoperatively, both surgical techniques demonstrated excellent symptomatic and functional outcomes. Nasal obstruction improved in 88% of conventional and 96% of endoscopic cases, while complete resolution of nasal discharge, hyposmia, and epistaxis was observed in all affected patients. Objective nasal airflow measurements also showed greater improvement in the endoscopic group, with 48% achieving optimal airflow (6–9 cm) compared to 20% in the conventional group. These findings are consistent with meta-analyses which reported superior functional outcomes and airflow improvement with endoscopic septoplasty, particularly in patients with posterior or complex deviations. </w:t>
      </w:r>
      <w:r w:rsidRPr="00C1111A">
        <w:rPr>
          <w:rFonts w:ascii="Times New Roman" w:hAnsi="Times New Roman" w:cs="Times New Roman"/>
          <w:vertAlign w:val="superscript"/>
        </w:rPr>
        <w:t>13</w:t>
      </w:r>
    </w:p>
    <w:p w14:paraId="2EB26FE2" w14:textId="767DF221" w:rsidR="001D3C04" w:rsidRPr="00C1111A" w:rsidRDefault="001D3C04" w:rsidP="00124214">
      <w:pPr>
        <w:spacing w:line="360" w:lineRule="auto"/>
        <w:jc w:val="both"/>
        <w:rPr>
          <w:rFonts w:ascii="Times New Roman" w:hAnsi="Times New Roman" w:cs="Times New Roman"/>
        </w:rPr>
      </w:pPr>
      <w:r w:rsidRPr="00C1111A">
        <w:rPr>
          <w:rFonts w:ascii="Times New Roman" w:hAnsi="Times New Roman" w:cs="Times New Roman"/>
        </w:rPr>
        <w:t xml:space="preserve">Complication rates were generally low in both groups, though endoscopic septoplasty was associated with fewer intraoperative and postoperative complications. </w:t>
      </w:r>
      <w:proofErr w:type="spellStart"/>
      <w:r w:rsidRPr="00C1111A">
        <w:rPr>
          <w:rFonts w:ascii="Times New Roman" w:hAnsi="Times New Roman" w:cs="Times New Roman"/>
        </w:rPr>
        <w:t>Haemorrhage</w:t>
      </w:r>
      <w:proofErr w:type="spellEnd"/>
      <w:r w:rsidRPr="00C1111A">
        <w:rPr>
          <w:rFonts w:ascii="Times New Roman" w:hAnsi="Times New Roman" w:cs="Times New Roman"/>
        </w:rPr>
        <w:t xml:space="preserve"> and mucosal tears were less frequent, and synechiae were absent in the endoscopic group. This is in agreement with reports who emphasized that the enhanced visualization and precision of endoscopic surgery reduce trauma to surrounding structures and improve safety. </w:t>
      </w:r>
      <w:r w:rsidRPr="00C1111A">
        <w:rPr>
          <w:rFonts w:ascii="Times New Roman" w:hAnsi="Times New Roman" w:cs="Times New Roman"/>
          <w:vertAlign w:val="superscript"/>
        </w:rPr>
        <w:t>11</w:t>
      </w:r>
      <w:r w:rsidRPr="00C1111A">
        <w:rPr>
          <w:rFonts w:ascii="Times New Roman" w:hAnsi="Times New Roman" w:cs="Times New Roman"/>
        </w:rPr>
        <w:t xml:space="preserve"> No external deformities or delayed healing were observed in either group, confirming that both techniques are safe when performed by experienced surgeons.</w:t>
      </w:r>
    </w:p>
    <w:p w14:paraId="1EC1CF5C" w14:textId="77777777" w:rsidR="001D3C04" w:rsidRPr="00C1111A" w:rsidRDefault="001D3C04" w:rsidP="00124214">
      <w:pPr>
        <w:spacing w:line="360" w:lineRule="auto"/>
        <w:jc w:val="both"/>
        <w:rPr>
          <w:rFonts w:ascii="Times New Roman" w:hAnsi="Times New Roman" w:cs="Times New Roman"/>
        </w:rPr>
      </w:pPr>
    </w:p>
    <w:p w14:paraId="0F4EBB11" w14:textId="4DC74B72" w:rsidR="001D3C04" w:rsidRPr="00C1111A" w:rsidRDefault="001D3C04" w:rsidP="00124214">
      <w:pPr>
        <w:spacing w:line="360" w:lineRule="auto"/>
        <w:jc w:val="both"/>
        <w:rPr>
          <w:rFonts w:ascii="Times New Roman" w:hAnsi="Times New Roman" w:cs="Times New Roman"/>
          <w:b/>
          <w:bCs/>
        </w:rPr>
      </w:pPr>
      <w:r w:rsidRPr="00C1111A">
        <w:rPr>
          <w:rFonts w:ascii="Times New Roman" w:hAnsi="Times New Roman" w:cs="Times New Roman"/>
          <w:b/>
          <w:bCs/>
        </w:rPr>
        <w:t xml:space="preserve">Conclusion </w:t>
      </w:r>
    </w:p>
    <w:p w14:paraId="5D092CEA" w14:textId="244CF843" w:rsidR="001D3C04" w:rsidRPr="00C1111A" w:rsidRDefault="001D3C04" w:rsidP="00124214">
      <w:pPr>
        <w:spacing w:line="360" w:lineRule="auto"/>
        <w:jc w:val="both"/>
        <w:rPr>
          <w:rFonts w:ascii="Times New Roman" w:hAnsi="Times New Roman" w:cs="Times New Roman"/>
        </w:rPr>
      </w:pPr>
      <w:r w:rsidRPr="00C1111A">
        <w:rPr>
          <w:rFonts w:ascii="Times New Roman" w:hAnsi="Times New Roman" w:cs="Times New Roman"/>
        </w:rPr>
        <w:t xml:space="preserve">In conclusion, both conventional and endoscopic septoplasty are effective and safe surgical options for the management of symptomatic deviated nasal septum. Both techniques provided significant relief of nasal obstruction, nasal discharge, headache, hyposmia, and epistaxis, with marked improvement in objective nasal airflow. Endoscopic septoplasty demonstrated slightly superior functional outcomes and fewer complications, particularly in achieving optimal nasal airflow and minimizing synechiae and mucosal trauma. Overall, our findings support the use </w:t>
      </w:r>
      <w:r w:rsidRPr="00C1111A">
        <w:rPr>
          <w:rFonts w:ascii="Times New Roman" w:hAnsi="Times New Roman" w:cs="Times New Roman"/>
        </w:rPr>
        <w:lastRenderedPageBreak/>
        <w:t>of endoscopic septoplasty for precise correction of septal deviations, while conventional septoplasty remains a reliable option for standard cases.</w:t>
      </w:r>
    </w:p>
    <w:p w14:paraId="4D56D685" w14:textId="166FB88B" w:rsidR="001D3C04" w:rsidRPr="00C1111A" w:rsidRDefault="001D3C04" w:rsidP="00124214">
      <w:pPr>
        <w:spacing w:line="360" w:lineRule="auto"/>
        <w:jc w:val="both"/>
        <w:rPr>
          <w:rFonts w:ascii="Times New Roman" w:hAnsi="Times New Roman" w:cs="Times New Roman"/>
          <w:b/>
          <w:bCs/>
        </w:rPr>
      </w:pPr>
      <w:r w:rsidRPr="00C1111A">
        <w:rPr>
          <w:rFonts w:ascii="Times New Roman" w:hAnsi="Times New Roman" w:cs="Times New Roman"/>
          <w:b/>
          <w:bCs/>
        </w:rPr>
        <w:t>Reference:</w:t>
      </w:r>
    </w:p>
    <w:p w14:paraId="19D47F2A" w14:textId="55972F81"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 xml:space="preserve">Nieminen P, </w:t>
      </w:r>
      <w:proofErr w:type="spellStart"/>
      <w:r w:rsidRPr="00C1111A">
        <w:rPr>
          <w:rFonts w:ascii="Times New Roman" w:hAnsi="Times New Roman" w:cs="Times New Roman"/>
        </w:rPr>
        <w:t>Silvola</w:t>
      </w:r>
      <w:proofErr w:type="spellEnd"/>
      <w:r w:rsidRPr="00C1111A">
        <w:rPr>
          <w:rFonts w:ascii="Times New Roman" w:hAnsi="Times New Roman" w:cs="Times New Roman"/>
        </w:rPr>
        <w:t xml:space="preserve"> J, Aust R, Stenfors LE. Nasal septal surgery as an out-patient procedure. J Laryngol Otol. </w:t>
      </w:r>
      <w:proofErr w:type="gramStart"/>
      <w:r w:rsidRPr="00C1111A">
        <w:rPr>
          <w:rFonts w:ascii="Times New Roman" w:hAnsi="Times New Roman" w:cs="Times New Roman"/>
        </w:rPr>
        <w:t>1997;111:1034</w:t>
      </w:r>
      <w:proofErr w:type="gramEnd"/>
      <w:r w:rsidRPr="00C1111A">
        <w:rPr>
          <w:rFonts w:ascii="Times New Roman" w:hAnsi="Times New Roman" w:cs="Times New Roman"/>
        </w:rPr>
        <w:t xml:space="preserve">–1037. </w:t>
      </w:r>
      <w:proofErr w:type="spellStart"/>
      <w:r w:rsidRPr="00C1111A">
        <w:rPr>
          <w:rFonts w:ascii="Times New Roman" w:hAnsi="Times New Roman" w:cs="Times New Roman"/>
        </w:rPr>
        <w:t>doi</w:t>
      </w:r>
      <w:proofErr w:type="spellEnd"/>
      <w:r w:rsidRPr="00C1111A">
        <w:rPr>
          <w:rFonts w:ascii="Times New Roman" w:hAnsi="Times New Roman" w:cs="Times New Roman"/>
        </w:rPr>
        <w:t>: 10.1017/S0022215100139271. [DOI] [PubMed] [Google Scholar]</w:t>
      </w:r>
    </w:p>
    <w:p w14:paraId="081F367E" w14:textId="5AC423D6"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 xml:space="preserve">Park DH, Kim TM, Han DG, Ahn KY. Endoscopic-assisted correction of deviated nose. Aesthetic Plast Surg. </w:t>
      </w:r>
      <w:proofErr w:type="gramStart"/>
      <w:r w:rsidRPr="00C1111A">
        <w:rPr>
          <w:rFonts w:ascii="Times New Roman" w:hAnsi="Times New Roman" w:cs="Times New Roman"/>
        </w:rPr>
        <w:t>1998;22:190</w:t>
      </w:r>
      <w:proofErr w:type="gramEnd"/>
      <w:r w:rsidRPr="00C1111A">
        <w:rPr>
          <w:rFonts w:ascii="Times New Roman" w:hAnsi="Times New Roman" w:cs="Times New Roman"/>
        </w:rPr>
        <w:t xml:space="preserve">–195. </w:t>
      </w:r>
      <w:proofErr w:type="spellStart"/>
      <w:r w:rsidRPr="00C1111A">
        <w:rPr>
          <w:rFonts w:ascii="Times New Roman" w:hAnsi="Times New Roman" w:cs="Times New Roman"/>
        </w:rPr>
        <w:t>doi</w:t>
      </w:r>
      <w:proofErr w:type="spellEnd"/>
      <w:r w:rsidRPr="00C1111A">
        <w:rPr>
          <w:rFonts w:ascii="Times New Roman" w:hAnsi="Times New Roman" w:cs="Times New Roman"/>
        </w:rPr>
        <w:t>: 10.1007/s002669900190. [DOI] [PubMed] [Google Scholar]</w:t>
      </w:r>
    </w:p>
    <w:p w14:paraId="307A3726" w14:textId="08AB690F"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 xml:space="preserve">Nayak DR, Balakrishnan R, Murthy KD. An endoscopic approach to the deviated nasal septum—a preliminary study. J Laryngol Otol. </w:t>
      </w:r>
      <w:proofErr w:type="gramStart"/>
      <w:r w:rsidRPr="00C1111A">
        <w:rPr>
          <w:rFonts w:ascii="Times New Roman" w:hAnsi="Times New Roman" w:cs="Times New Roman"/>
        </w:rPr>
        <w:t>1998;112:934</w:t>
      </w:r>
      <w:proofErr w:type="gramEnd"/>
      <w:r w:rsidRPr="00C1111A">
        <w:rPr>
          <w:rFonts w:ascii="Times New Roman" w:hAnsi="Times New Roman" w:cs="Times New Roman"/>
        </w:rPr>
        <w:t xml:space="preserve">–939. </w:t>
      </w:r>
      <w:proofErr w:type="spellStart"/>
      <w:r w:rsidRPr="00C1111A">
        <w:rPr>
          <w:rFonts w:ascii="Times New Roman" w:hAnsi="Times New Roman" w:cs="Times New Roman"/>
        </w:rPr>
        <w:t>doi</w:t>
      </w:r>
      <w:proofErr w:type="spellEnd"/>
      <w:r w:rsidRPr="00C1111A">
        <w:rPr>
          <w:rFonts w:ascii="Times New Roman" w:hAnsi="Times New Roman" w:cs="Times New Roman"/>
        </w:rPr>
        <w:t>: 10.1017/S0022215100142124. [DOI] [PubMed] [Google Scholar]</w:t>
      </w:r>
    </w:p>
    <w:p w14:paraId="5BA26932" w14:textId="42024F20"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 xml:space="preserve">Nayak DR, Balakrishnan R, Murthy KD, Hazarika P. Endoscopic </w:t>
      </w:r>
      <w:proofErr w:type="spellStart"/>
      <w:r w:rsidRPr="00C1111A">
        <w:rPr>
          <w:rFonts w:ascii="Times New Roman" w:hAnsi="Times New Roman" w:cs="Times New Roman"/>
        </w:rPr>
        <w:t>septoturbinoplasty</w:t>
      </w:r>
      <w:proofErr w:type="spellEnd"/>
      <w:r w:rsidRPr="00C1111A">
        <w:rPr>
          <w:rFonts w:ascii="Times New Roman" w:hAnsi="Times New Roman" w:cs="Times New Roman"/>
        </w:rPr>
        <w:t xml:space="preserve">: our update series. Indian J </w:t>
      </w:r>
      <w:proofErr w:type="spellStart"/>
      <w:r w:rsidRPr="00C1111A">
        <w:rPr>
          <w:rFonts w:ascii="Times New Roman" w:hAnsi="Times New Roman" w:cs="Times New Roman"/>
        </w:rPr>
        <w:t>Otolaryngol</w:t>
      </w:r>
      <w:proofErr w:type="spellEnd"/>
      <w:r w:rsidRPr="00C1111A">
        <w:rPr>
          <w:rFonts w:ascii="Times New Roman" w:hAnsi="Times New Roman" w:cs="Times New Roman"/>
        </w:rPr>
        <w:t xml:space="preserve"> Head Neck Surg. 2002;54(1):20–24. </w:t>
      </w:r>
      <w:proofErr w:type="spellStart"/>
      <w:r w:rsidRPr="00C1111A">
        <w:rPr>
          <w:rFonts w:ascii="Times New Roman" w:hAnsi="Times New Roman" w:cs="Times New Roman"/>
        </w:rPr>
        <w:t>doi</w:t>
      </w:r>
      <w:proofErr w:type="spellEnd"/>
      <w:r w:rsidRPr="00C1111A">
        <w:rPr>
          <w:rFonts w:ascii="Times New Roman" w:hAnsi="Times New Roman" w:cs="Times New Roman"/>
        </w:rPr>
        <w:t>: 10.1007/BF02911000. [DOI] [PMC free article] [PubMed] [Google Scholar]</w:t>
      </w:r>
    </w:p>
    <w:p w14:paraId="00AA8C71" w14:textId="252C1B5B"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 xml:space="preserve">Marshall AH, Johnston MN, Jones S. Principles of septal correction. J Laryngol Otol. </w:t>
      </w:r>
      <w:proofErr w:type="gramStart"/>
      <w:r w:rsidRPr="00C1111A">
        <w:rPr>
          <w:rFonts w:ascii="Times New Roman" w:hAnsi="Times New Roman" w:cs="Times New Roman"/>
        </w:rPr>
        <w:t>2004;118:129</w:t>
      </w:r>
      <w:proofErr w:type="gramEnd"/>
      <w:r w:rsidRPr="00C1111A">
        <w:rPr>
          <w:rFonts w:ascii="Times New Roman" w:hAnsi="Times New Roman" w:cs="Times New Roman"/>
        </w:rPr>
        <w:t xml:space="preserve">–134. </w:t>
      </w:r>
      <w:proofErr w:type="spellStart"/>
      <w:r w:rsidRPr="00C1111A">
        <w:rPr>
          <w:rFonts w:ascii="Times New Roman" w:hAnsi="Times New Roman" w:cs="Times New Roman"/>
        </w:rPr>
        <w:t>doi</w:t>
      </w:r>
      <w:proofErr w:type="spellEnd"/>
      <w:r w:rsidRPr="00C1111A">
        <w:rPr>
          <w:rFonts w:ascii="Times New Roman" w:hAnsi="Times New Roman" w:cs="Times New Roman"/>
        </w:rPr>
        <w:t>: 10.1258/002221504772784586. [DOI] [PubMed] [Google Scholar]</w:t>
      </w:r>
    </w:p>
    <w:p w14:paraId="29DA8665" w14:textId="00BAFDC6"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 xml:space="preserve">Sousa ADF, Inciarte LF, Levine H. Powered endoscopic nasal septal surgery. Acta Med Port. </w:t>
      </w:r>
      <w:proofErr w:type="gramStart"/>
      <w:r w:rsidRPr="00C1111A">
        <w:rPr>
          <w:rFonts w:ascii="Times New Roman" w:hAnsi="Times New Roman" w:cs="Times New Roman"/>
        </w:rPr>
        <w:t>2005;18:249</w:t>
      </w:r>
      <w:proofErr w:type="gramEnd"/>
      <w:r w:rsidRPr="00C1111A">
        <w:rPr>
          <w:rFonts w:ascii="Times New Roman" w:hAnsi="Times New Roman" w:cs="Times New Roman"/>
        </w:rPr>
        <w:t>–256. [PubMed] [Google Scholar]</w:t>
      </w:r>
    </w:p>
    <w:p w14:paraId="3F62A523" w14:textId="31C04856"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 xml:space="preserve">Gupta M, Motwani G. Comparative study of endoscopic aided septoplasty and traditional septoplasty in posterior nasal septal deviations. Indian J </w:t>
      </w:r>
      <w:proofErr w:type="spellStart"/>
      <w:r w:rsidRPr="00C1111A">
        <w:rPr>
          <w:rFonts w:ascii="Times New Roman" w:hAnsi="Times New Roman" w:cs="Times New Roman"/>
        </w:rPr>
        <w:t>Otolaryngol</w:t>
      </w:r>
      <w:proofErr w:type="spellEnd"/>
      <w:r w:rsidRPr="00C1111A">
        <w:rPr>
          <w:rFonts w:ascii="Times New Roman" w:hAnsi="Times New Roman" w:cs="Times New Roman"/>
        </w:rPr>
        <w:t xml:space="preserve"> Head Neck Surg. 2005;57(4):309–311. </w:t>
      </w:r>
      <w:proofErr w:type="spellStart"/>
      <w:r w:rsidRPr="00C1111A">
        <w:rPr>
          <w:rFonts w:ascii="Times New Roman" w:hAnsi="Times New Roman" w:cs="Times New Roman"/>
        </w:rPr>
        <w:t>doi</w:t>
      </w:r>
      <w:proofErr w:type="spellEnd"/>
      <w:r w:rsidRPr="00C1111A">
        <w:rPr>
          <w:rFonts w:ascii="Times New Roman" w:hAnsi="Times New Roman" w:cs="Times New Roman"/>
        </w:rPr>
        <w:t>: 10.1007/BF02907695. [DOI] [PMC free article] [PubMed] [Google Scholar]</w:t>
      </w:r>
    </w:p>
    <w:p w14:paraId="466609E4" w14:textId="628DC13A" w:rsidR="001D3C04" w:rsidRPr="00C1111A" w:rsidRDefault="001D3C04" w:rsidP="00124214">
      <w:pPr>
        <w:pStyle w:val="ListParagraph"/>
        <w:numPr>
          <w:ilvl w:val="0"/>
          <w:numId w:val="1"/>
        </w:numPr>
        <w:spacing w:line="360" w:lineRule="auto"/>
        <w:jc w:val="both"/>
        <w:rPr>
          <w:rFonts w:ascii="Times New Roman" w:hAnsi="Times New Roman" w:cs="Times New Roman"/>
        </w:rPr>
      </w:pPr>
      <w:proofErr w:type="spellStart"/>
      <w:r w:rsidRPr="00C1111A">
        <w:rPr>
          <w:rFonts w:ascii="Times New Roman" w:hAnsi="Times New Roman" w:cs="Times New Roman"/>
        </w:rPr>
        <w:t>Ozulgedik</w:t>
      </w:r>
      <w:proofErr w:type="spellEnd"/>
      <w:r w:rsidRPr="00C1111A">
        <w:rPr>
          <w:rFonts w:ascii="Times New Roman" w:hAnsi="Times New Roman" w:cs="Times New Roman"/>
        </w:rPr>
        <w:t xml:space="preserve"> S, </w:t>
      </w:r>
      <w:proofErr w:type="spellStart"/>
      <w:r w:rsidRPr="00C1111A">
        <w:rPr>
          <w:rFonts w:ascii="Times New Roman" w:hAnsi="Times New Roman" w:cs="Times New Roman"/>
        </w:rPr>
        <w:t>Nakiboglu</w:t>
      </w:r>
      <w:proofErr w:type="spellEnd"/>
      <w:r w:rsidRPr="00C1111A">
        <w:rPr>
          <w:rFonts w:ascii="Times New Roman" w:hAnsi="Times New Roman" w:cs="Times New Roman"/>
        </w:rPr>
        <w:t xml:space="preserve"> G, </w:t>
      </w:r>
      <w:proofErr w:type="spellStart"/>
      <w:r w:rsidRPr="00C1111A">
        <w:rPr>
          <w:rFonts w:ascii="Times New Roman" w:hAnsi="Times New Roman" w:cs="Times New Roman"/>
        </w:rPr>
        <w:t>Sert</w:t>
      </w:r>
      <w:proofErr w:type="spellEnd"/>
      <w:r w:rsidRPr="00C1111A">
        <w:rPr>
          <w:rFonts w:ascii="Times New Roman" w:hAnsi="Times New Roman" w:cs="Times New Roman"/>
        </w:rPr>
        <w:t xml:space="preserve"> C, </w:t>
      </w:r>
      <w:proofErr w:type="spellStart"/>
      <w:r w:rsidRPr="00C1111A">
        <w:rPr>
          <w:rFonts w:ascii="Times New Roman" w:hAnsi="Times New Roman" w:cs="Times New Roman"/>
        </w:rPr>
        <w:t>Elhan</w:t>
      </w:r>
      <w:proofErr w:type="spellEnd"/>
      <w:r w:rsidRPr="00C1111A">
        <w:rPr>
          <w:rFonts w:ascii="Times New Roman" w:hAnsi="Times New Roman" w:cs="Times New Roman"/>
        </w:rPr>
        <w:t xml:space="preserve"> A, </w:t>
      </w:r>
      <w:proofErr w:type="spellStart"/>
      <w:r w:rsidRPr="00C1111A">
        <w:rPr>
          <w:rFonts w:ascii="Times New Roman" w:hAnsi="Times New Roman" w:cs="Times New Roman"/>
        </w:rPr>
        <w:t>Tonuk</w:t>
      </w:r>
      <w:proofErr w:type="spellEnd"/>
      <w:r w:rsidRPr="00C1111A">
        <w:rPr>
          <w:rFonts w:ascii="Times New Roman" w:hAnsi="Times New Roman" w:cs="Times New Roman"/>
        </w:rPr>
        <w:t xml:space="preserve"> E, </w:t>
      </w:r>
      <w:proofErr w:type="spellStart"/>
      <w:r w:rsidRPr="00C1111A">
        <w:rPr>
          <w:rFonts w:ascii="Times New Roman" w:hAnsi="Times New Roman" w:cs="Times New Roman"/>
        </w:rPr>
        <w:t>Akyar</w:t>
      </w:r>
      <w:proofErr w:type="spellEnd"/>
      <w:r w:rsidRPr="00C1111A">
        <w:rPr>
          <w:rFonts w:ascii="Times New Roman" w:hAnsi="Times New Roman" w:cs="Times New Roman"/>
        </w:rPr>
        <w:t xml:space="preserve"> S, et al. Numerical study of aerodynamic effects of septoplasty and partial lateral turbinectomy. Laryngoscope. </w:t>
      </w:r>
      <w:proofErr w:type="gramStart"/>
      <w:r w:rsidRPr="00C1111A">
        <w:rPr>
          <w:rFonts w:ascii="Times New Roman" w:hAnsi="Times New Roman" w:cs="Times New Roman"/>
        </w:rPr>
        <w:t>2008;118:330</w:t>
      </w:r>
      <w:proofErr w:type="gramEnd"/>
      <w:r w:rsidRPr="00C1111A">
        <w:rPr>
          <w:rFonts w:ascii="Times New Roman" w:hAnsi="Times New Roman" w:cs="Times New Roman"/>
        </w:rPr>
        <w:t xml:space="preserve">–334. </w:t>
      </w:r>
      <w:proofErr w:type="spellStart"/>
      <w:r w:rsidRPr="00C1111A">
        <w:rPr>
          <w:rFonts w:ascii="Times New Roman" w:hAnsi="Times New Roman" w:cs="Times New Roman"/>
        </w:rPr>
        <w:t>doi</w:t>
      </w:r>
      <w:proofErr w:type="spellEnd"/>
      <w:r w:rsidRPr="00C1111A">
        <w:rPr>
          <w:rFonts w:ascii="Times New Roman" w:hAnsi="Times New Roman" w:cs="Times New Roman"/>
        </w:rPr>
        <w:t>: 10.1097/MLG.0b013e318159aa26. [DOI] [PubMed] [Google Scholar]</w:t>
      </w:r>
    </w:p>
    <w:p w14:paraId="53964DA3" w14:textId="3099790E"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 xml:space="preserve">Gulati SP, </w:t>
      </w:r>
      <w:proofErr w:type="spellStart"/>
      <w:r w:rsidRPr="00C1111A">
        <w:rPr>
          <w:rFonts w:ascii="Times New Roman" w:hAnsi="Times New Roman" w:cs="Times New Roman"/>
        </w:rPr>
        <w:t>Wadhera</w:t>
      </w:r>
      <w:proofErr w:type="spellEnd"/>
      <w:r w:rsidRPr="00C1111A">
        <w:rPr>
          <w:rFonts w:ascii="Times New Roman" w:hAnsi="Times New Roman" w:cs="Times New Roman"/>
        </w:rPr>
        <w:t xml:space="preserve"> R, Ahuja N, Garg A, Ghai A. Comparative evaluation of endoscopic with conventional septoplasty. Indian J </w:t>
      </w:r>
      <w:proofErr w:type="spellStart"/>
      <w:r w:rsidRPr="00C1111A">
        <w:rPr>
          <w:rFonts w:ascii="Times New Roman" w:hAnsi="Times New Roman" w:cs="Times New Roman"/>
        </w:rPr>
        <w:t>Otolaryngol</w:t>
      </w:r>
      <w:proofErr w:type="spellEnd"/>
      <w:r w:rsidRPr="00C1111A">
        <w:rPr>
          <w:rFonts w:ascii="Times New Roman" w:hAnsi="Times New Roman" w:cs="Times New Roman"/>
        </w:rPr>
        <w:t xml:space="preserve"> Head Neck Surg. </w:t>
      </w:r>
      <w:proofErr w:type="gramStart"/>
      <w:r w:rsidRPr="00C1111A">
        <w:rPr>
          <w:rFonts w:ascii="Times New Roman" w:hAnsi="Times New Roman" w:cs="Times New Roman"/>
        </w:rPr>
        <w:t>2009;61:27</w:t>
      </w:r>
      <w:proofErr w:type="gramEnd"/>
      <w:r w:rsidRPr="00C1111A">
        <w:rPr>
          <w:rFonts w:ascii="Times New Roman" w:hAnsi="Times New Roman" w:cs="Times New Roman"/>
        </w:rPr>
        <w:t xml:space="preserve">–29. </w:t>
      </w:r>
      <w:proofErr w:type="spellStart"/>
      <w:r w:rsidRPr="00C1111A">
        <w:rPr>
          <w:rFonts w:ascii="Times New Roman" w:hAnsi="Times New Roman" w:cs="Times New Roman"/>
        </w:rPr>
        <w:t>doi</w:t>
      </w:r>
      <w:proofErr w:type="spellEnd"/>
      <w:r w:rsidRPr="00C1111A">
        <w:rPr>
          <w:rFonts w:ascii="Times New Roman" w:hAnsi="Times New Roman" w:cs="Times New Roman"/>
        </w:rPr>
        <w:t>: 10.1007/s12070-009-0029-1. [DOI] [PMC free article] [PubMed] [Google Scholar]</w:t>
      </w:r>
    </w:p>
    <w:p w14:paraId="482D4FF0" w14:textId="0A24FD68"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lastRenderedPageBreak/>
        <w:t xml:space="preserve">Bothra R, Mathur NN. Comparative evaluation of conventional versus endoscopic septoplasty for limited septal deviation and spur. J Laryngol Otol. </w:t>
      </w:r>
      <w:proofErr w:type="gramStart"/>
      <w:r w:rsidRPr="00C1111A">
        <w:rPr>
          <w:rFonts w:ascii="Times New Roman" w:hAnsi="Times New Roman" w:cs="Times New Roman"/>
        </w:rPr>
        <w:t>2009;123:737</w:t>
      </w:r>
      <w:proofErr w:type="gramEnd"/>
      <w:r w:rsidRPr="00C1111A">
        <w:rPr>
          <w:rFonts w:ascii="Times New Roman" w:hAnsi="Times New Roman" w:cs="Times New Roman"/>
        </w:rPr>
        <w:t xml:space="preserve">–741. </w:t>
      </w:r>
      <w:proofErr w:type="spellStart"/>
      <w:r w:rsidRPr="00C1111A">
        <w:rPr>
          <w:rFonts w:ascii="Times New Roman" w:hAnsi="Times New Roman" w:cs="Times New Roman"/>
        </w:rPr>
        <w:t>doi</w:t>
      </w:r>
      <w:proofErr w:type="spellEnd"/>
      <w:r w:rsidRPr="00C1111A">
        <w:rPr>
          <w:rFonts w:ascii="Times New Roman" w:hAnsi="Times New Roman" w:cs="Times New Roman"/>
        </w:rPr>
        <w:t>: 10.1017/S0022215108004192. [DOI] [PubMed] [Google Scholar]</w:t>
      </w:r>
    </w:p>
    <w:p w14:paraId="0D608F58" w14:textId="4024D887" w:rsidR="001D3C04" w:rsidRPr="00C1111A" w:rsidRDefault="001D3C04" w:rsidP="00124214">
      <w:pPr>
        <w:pStyle w:val="ListParagraph"/>
        <w:numPr>
          <w:ilvl w:val="0"/>
          <w:numId w:val="1"/>
        </w:numPr>
        <w:spacing w:line="360" w:lineRule="auto"/>
        <w:jc w:val="both"/>
        <w:rPr>
          <w:rFonts w:ascii="Times New Roman" w:hAnsi="Times New Roman" w:cs="Times New Roman"/>
        </w:rPr>
      </w:pPr>
      <w:proofErr w:type="spellStart"/>
      <w:r w:rsidRPr="00C1111A">
        <w:rPr>
          <w:rFonts w:ascii="Times New Roman" w:hAnsi="Times New Roman" w:cs="Times New Roman"/>
        </w:rPr>
        <w:t>Prepageran</w:t>
      </w:r>
      <w:proofErr w:type="spellEnd"/>
      <w:r w:rsidRPr="00C1111A">
        <w:rPr>
          <w:rFonts w:ascii="Times New Roman" w:hAnsi="Times New Roman" w:cs="Times New Roman"/>
        </w:rPr>
        <w:t xml:space="preserve"> N, </w:t>
      </w:r>
      <w:proofErr w:type="spellStart"/>
      <w:r w:rsidRPr="00C1111A">
        <w:rPr>
          <w:rFonts w:ascii="Times New Roman" w:hAnsi="Times New Roman" w:cs="Times New Roman"/>
        </w:rPr>
        <w:t>Lingham</w:t>
      </w:r>
      <w:proofErr w:type="spellEnd"/>
      <w:r w:rsidRPr="00C1111A">
        <w:rPr>
          <w:rFonts w:ascii="Times New Roman" w:hAnsi="Times New Roman" w:cs="Times New Roman"/>
        </w:rPr>
        <w:t xml:space="preserve"> OR. Endoscopic septoplasty: the open book method. Indian J </w:t>
      </w:r>
      <w:proofErr w:type="spellStart"/>
      <w:r w:rsidRPr="00C1111A">
        <w:rPr>
          <w:rFonts w:ascii="Times New Roman" w:hAnsi="Times New Roman" w:cs="Times New Roman"/>
        </w:rPr>
        <w:t>Otolaryngol</w:t>
      </w:r>
      <w:proofErr w:type="spellEnd"/>
      <w:r w:rsidRPr="00C1111A">
        <w:rPr>
          <w:rFonts w:ascii="Times New Roman" w:hAnsi="Times New Roman" w:cs="Times New Roman"/>
        </w:rPr>
        <w:t xml:space="preserve"> Head Neck Surg. 2010;62(3):310–312. </w:t>
      </w:r>
      <w:proofErr w:type="spellStart"/>
      <w:r w:rsidRPr="00C1111A">
        <w:rPr>
          <w:rFonts w:ascii="Times New Roman" w:hAnsi="Times New Roman" w:cs="Times New Roman"/>
        </w:rPr>
        <w:t>doi</w:t>
      </w:r>
      <w:proofErr w:type="spellEnd"/>
      <w:r w:rsidRPr="00C1111A">
        <w:rPr>
          <w:rFonts w:ascii="Times New Roman" w:hAnsi="Times New Roman" w:cs="Times New Roman"/>
        </w:rPr>
        <w:t>: 10.1007/s12070-010-0090-9. [DOI] [PMC free article] [PubMed] [Google Scholar]</w:t>
      </w:r>
    </w:p>
    <w:p w14:paraId="4C67DEB0" w14:textId="171EF7EC" w:rsidR="001D3C04" w:rsidRPr="00C1111A" w:rsidRDefault="001D3C04" w:rsidP="00124214">
      <w:pPr>
        <w:pStyle w:val="ListParagraph"/>
        <w:numPr>
          <w:ilvl w:val="0"/>
          <w:numId w:val="1"/>
        </w:numPr>
        <w:spacing w:line="360" w:lineRule="auto"/>
        <w:jc w:val="both"/>
        <w:rPr>
          <w:rFonts w:ascii="Times New Roman" w:hAnsi="Times New Roman" w:cs="Times New Roman"/>
        </w:rPr>
      </w:pPr>
      <w:proofErr w:type="spellStart"/>
      <w:r w:rsidRPr="00C1111A">
        <w:rPr>
          <w:rFonts w:ascii="Times New Roman" w:hAnsi="Times New Roman" w:cs="Times New Roman"/>
        </w:rPr>
        <w:t>Nawaiseh</w:t>
      </w:r>
      <w:proofErr w:type="spellEnd"/>
      <w:r w:rsidRPr="00C1111A">
        <w:rPr>
          <w:rFonts w:ascii="Times New Roman" w:hAnsi="Times New Roman" w:cs="Times New Roman"/>
        </w:rPr>
        <w:t xml:space="preserve"> S, </w:t>
      </w:r>
      <w:proofErr w:type="spellStart"/>
      <w:r w:rsidRPr="00C1111A">
        <w:rPr>
          <w:rFonts w:ascii="Times New Roman" w:hAnsi="Times New Roman" w:cs="Times New Roman"/>
        </w:rPr>
        <w:t>Khotum</w:t>
      </w:r>
      <w:proofErr w:type="spellEnd"/>
      <w:r w:rsidRPr="00C1111A">
        <w:rPr>
          <w:rFonts w:ascii="Times New Roman" w:hAnsi="Times New Roman" w:cs="Times New Roman"/>
        </w:rPr>
        <w:t xml:space="preserve"> NA. Endoscopic septoplasty: retrospective analysis of 60 cases. J Pakistan Med Assoc. </w:t>
      </w:r>
      <w:proofErr w:type="gramStart"/>
      <w:r w:rsidRPr="00C1111A">
        <w:rPr>
          <w:rFonts w:ascii="Times New Roman" w:hAnsi="Times New Roman" w:cs="Times New Roman"/>
        </w:rPr>
        <w:t>2010;60:796</w:t>
      </w:r>
      <w:proofErr w:type="gramEnd"/>
      <w:r w:rsidRPr="00C1111A">
        <w:rPr>
          <w:rFonts w:ascii="Times New Roman" w:hAnsi="Times New Roman" w:cs="Times New Roman"/>
        </w:rPr>
        <w:t>–798. [PubMed] [Google Scholar]</w:t>
      </w:r>
    </w:p>
    <w:p w14:paraId="7B463961" w14:textId="5BC0FC1B" w:rsidR="001D3C04" w:rsidRPr="00C1111A" w:rsidRDefault="001D3C04" w:rsidP="00124214">
      <w:pPr>
        <w:pStyle w:val="ListParagraph"/>
        <w:numPr>
          <w:ilvl w:val="0"/>
          <w:numId w:val="1"/>
        </w:numPr>
        <w:spacing w:line="360" w:lineRule="auto"/>
        <w:jc w:val="both"/>
        <w:rPr>
          <w:rFonts w:ascii="Times New Roman" w:hAnsi="Times New Roman" w:cs="Times New Roman"/>
        </w:rPr>
      </w:pPr>
      <w:proofErr w:type="spellStart"/>
      <w:r w:rsidRPr="00C1111A">
        <w:rPr>
          <w:rFonts w:ascii="Times New Roman" w:hAnsi="Times New Roman" w:cs="Times New Roman"/>
        </w:rPr>
        <w:t>Gertner</w:t>
      </w:r>
      <w:proofErr w:type="spellEnd"/>
      <w:r w:rsidRPr="00C1111A">
        <w:rPr>
          <w:rFonts w:ascii="Times New Roman" w:hAnsi="Times New Roman" w:cs="Times New Roman"/>
        </w:rPr>
        <w:t xml:space="preserve"> R, </w:t>
      </w:r>
      <w:proofErr w:type="spellStart"/>
      <w:r w:rsidRPr="00C1111A">
        <w:rPr>
          <w:rFonts w:ascii="Times New Roman" w:hAnsi="Times New Roman" w:cs="Times New Roman"/>
        </w:rPr>
        <w:t>Podoshin</w:t>
      </w:r>
      <w:proofErr w:type="spellEnd"/>
      <w:r w:rsidRPr="00C1111A">
        <w:rPr>
          <w:rFonts w:ascii="Times New Roman" w:hAnsi="Times New Roman" w:cs="Times New Roman"/>
        </w:rPr>
        <w:t xml:space="preserve"> L, </w:t>
      </w:r>
      <w:proofErr w:type="spellStart"/>
      <w:r w:rsidRPr="00C1111A">
        <w:rPr>
          <w:rFonts w:ascii="Times New Roman" w:hAnsi="Times New Roman" w:cs="Times New Roman"/>
        </w:rPr>
        <w:t>Fradis</w:t>
      </w:r>
      <w:proofErr w:type="spellEnd"/>
      <w:r w:rsidRPr="00C1111A">
        <w:rPr>
          <w:rFonts w:ascii="Times New Roman" w:hAnsi="Times New Roman" w:cs="Times New Roman"/>
        </w:rPr>
        <w:t xml:space="preserve"> M. A simple method of measuring the nasal airway in clinical work. J Laryngol Otol. </w:t>
      </w:r>
      <w:proofErr w:type="gramStart"/>
      <w:r w:rsidRPr="00C1111A">
        <w:rPr>
          <w:rFonts w:ascii="Times New Roman" w:hAnsi="Times New Roman" w:cs="Times New Roman"/>
        </w:rPr>
        <w:t>1984;98:351</w:t>
      </w:r>
      <w:proofErr w:type="gramEnd"/>
      <w:r w:rsidRPr="00C1111A">
        <w:rPr>
          <w:rFonts w:ascii="Times New Roman" w:hAnsi="Times New Roman" w:cs="Times New Roman"/>
        </w:rPr>
        <w:t xml:space="preserve">–355. </w:t>
      </w:r>
      <w:proofErr w:type="spellStart"/>
      <w:r w:rsidRPr="00C1111A">
        <w:rPr>
          <w:rFonts w:ascii="Times New Roman" w:hAnsi="Times New Roman" w:cs="Times New Roman"/>
        </w:rPr>
        <w:t>doi</w:t>
      </w:r>
      <w:proofErr w:type="spellEnd"/>
      <w:r w:rsidRPr="00C1111A">
        <w:rPr>
          <w:rFonts w:ascii="Times New Roman" w:hAnsi="Times New Roman" w:cs="Times New Roman"/>
        </w:rPr>
        <w:t>: 10.1017/S0022215100146729</w:t>
      </w:r>
    </w:p>
    <w:p w14:paraId="53132CF2" w14:textId="77777777" w:rsidR="001D3C04" w:rsidRPr="00C1111A" w:rsidRDefault="001D3C04" w:rsidP="00124214">
      <w:pPr>
        <w:spacing w:line="360" w:lineRule="auto"/>
        <w:jc w:val="both"/>
        <w:rPr>
          <w:rFonts w:ascii="Times New Roman" w:hAnsi="Times New Roman" w:cs="Times New Roman"/>
        </w:rPr>
      </w:pPr>
    </w:p>
    <w:sectPr w:rsidR="001D3C04" w:rsidRPr="00C1111A" w:rsidSect="0012421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8B490" w14:textId="77777777" w:rsidR="00303935" w:rsidRDefault="00303935" w:rsidP="002E221C">
      <w:pPr>
        <w:spacing w:after="0" w:line="240" w:lineRule="auto"/>
      </w:pPr>
      <w:r>
        <w:separator/>
      </w:r>
    </w:p>
  </w:endnote>
  <w:endnote w:type="continuationSeparator" w:id="0">
    <w:p w14:paraId="30840050" w14:textId="77777777" w:rsidR="00303935" w:rsidRDefault="00303935" w:rsidP="002E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D7220" w14:textId="77777777" w:rsidR="002E221C" w:rsidRDefault="002E2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1911C" w14:textId="77777777" w:rsidR="002E221C" w:rsidRDefault="002E2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6FCF" w14:textId="77777777" w:rsidR="002E221C" w:rsidRDefault="002E2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39995" w14:textId="77777777" w:rsidR="00303935" w:rsidRDefault="00303935" w:rsidP="002E221C">
      <w:pPr>
        <w:spacing w:after="0" w:line="240" w:lineRule="auto"/>
      </w:pPr>
      <w:r>
        <w:separator/>
      </w:r>
    </w:p>
  </w:footnote>
  <w:footnote w:type="continuationSeparator" w:id="0">
    <w:p w14:paraId="5B4C1984" w14:textId="77777777" w:rsidR="00303935" w:rsidRDefault="00303935" w:rsidP="002E2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BE6D4" w14:textId="0E9A5829" w:rsidR="002E221C" w:rsidRDefault="002E221C">
    <w:pPr>
      <w:pStyle w:val="Header"/>
    </w:pPr>
    <w:r>
      <w:rPr>
        <w:noProof/>
      </w:rPr>
      <w:pict w14:anchorId="5B84B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75087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007C8" w14:textId="51474C5C" w:rsidR="002E221C" w:rsidRDefault="002E221C">
    <w:pPr>
      <w:pStyle w:val="Header"/>
    </w:pPr>
    <w:r>
      <w:rPr>
        <w:noProof/>
      </w:rPr>
      <w:pict w14:anchorId="1C71B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75087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CCEB7" w14:textId="15CB8BB4" w:rsidR="002E221C" w:rsidRDefault="002E221C">
    <w:pPr>
      <w:pStyle w:val="Header"/>
    </w:pPr>
    <w:r>
      <w:rPr>
        <w:noProof/>
      </w:rPr>
      <w:pict w14:anchorId="14016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75087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051F5"/>
    <w:multiLevelType w:val="hybridMultilevel"/>
    <w:tmpl w:val="CC126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DF5BA1"/>
    <w:multiLevelType w:val="hybridMultilevel"/>
    <w:tmpl w:val="DFD8E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C1"/>
    <w:rsid w:val="000C30B8"/>
    <w:rsid w:val="000D3D27"/>
    <w:rsid w:val="00124214"/>
    <w:rsid w:val="00133E5B"/>
    <w:rsid w:val="001437EF"/>
    <w:rsid w:val="001D3C04"/>
    <w:rsid w:val="00236BD6"/>
    <w:rsid w:val="002E221C"/>
    <w:rsid w:val="00303935"/>
    <w:rsid w:val="00362AAC"/>
    <w:rsid w:val="00517B2C"/>
    <w:rsid w:val="005F75D8"/>
    <w:rsid w:val="00634EC8"/>
    <w:rsid w:val="00762D8D"/>
    <w:rsid w:val="0096765D"/>
    <w:rsid w:val="009C480E"/>
    <w:rsid w:val="00C1111A"/>
    <w:rsid w:val="00E3785C"/>
    <w:rsid w:val="00E43CC1"/>
    <w:rsid w:val="00E60AC1"/>
    <w:rsid w:val="00EB55AD"/>
    <w:rsid w:val="00FE3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371EFC"/>
  <w15:chartTrackingRefBased/>
  <w15:docId w15:val="{6D1476A3-CD8A-414B-BDEC-99CCAC02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CC1"/>
    <w:rPr>
      <w:rFonts w:eastAsiaTheme="majorEastAsia" w:cstheme="majorBidi"/>
      <w:color w:val="272727" w:themeColor="text1" w:themeTint="D8"/>
    </w:rPr>
  </w:style>
  <w:style w:type="paragraph" w:styleId="Title">
    <w:name w:val="Title"/>
    <w:basedOn w:val="Normal"/>
    <w:next w:val="Normal"/>
    <w:link w:val="TitleChar"/>
    <w:uiPriority w:val="10"/>
    <w:qFormat/>
    <w:rsid w:val="00E43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CC1"/>
    <w:pPr>
      <w:spacing w:before="160"/>
      <w:jc w:val="center"/>
    </w:pPr>
    <w:rPr>
      <w:i/>
      <w:iCs/>
      <w:color w:val="404040" w:themeColor="text1" w:themeTint="BF"/>
    </w:rPr>
  </w:style>
  <w:style w:type="character" w:customStyle="1" w:styleId="QuoteChar">
    <w:name w:val="Quote Char"/>
    <w:basedOn w:val="DefaultParagraphFont"/>
    <w:link w:val="Quote"/>
    <w:uiPriority w:val="29"/>
    <w:rsid w:val="00E43CC1"/>
    <w:rPr>
      <w:i/>
      <w:iCs/>
      <w:color w:val="404040" w:themeColor="text1" w:themeTint="BF"/>
    </w:rPr>
  </w:style>
  <w:style w:type="paragraph" w:styleId="ListParagraph">
    <w:name w:val="List Paragraph"/>
    <w:basedOn w:val="Normal"/>
    <w:uiPriority w:val="34"/>
    <w:qFormat/>
    <w:rsid w:val="00E43CC1"/>
    <w:pPr>
      <w:ind w:left="720"/>
      <w:contextualSpacing/>
    </w:pPr>
  </w:style>
  <w:style w:type="character" w:styleId="IntenseEmphasis">
    <w:name w:val="Intense Emphasis"/>
    <w:basedOn w:val="DefaultParagraphFont"/>
    <w:uiPriority w:val="21"/>
    <w:qFormat/>
    <w:rsid w:val="00E43CC1"/>
    <w:rPr>
      <w:i/>
      <w:iCs/>
      <w:color w:val="0F4761" w:themeColor="accent1" w:themeShade="BF"/>
    </w:rPr>
  </w:style>
  <w:style w:type="paragraph" w:styleId="IntenseQuote">
    <w:name w:val="Intense Quote"/>
    <w:basedOn w:val="Normal"/>
    <w:next w:val="Normal"/>
    <w:link w:val="IntenseQuoteChar"/>
    <w:uiPriority w:val="30"/>
    <w:qFormat/>
    <w:rsid w:val="00E43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CC1"/>
    <w:rPr>
      <w:i/>
      <w:iCs/>
      <w:color w:val="0F4761" w:themeColor="accent1" w:themeShade="BF"/>
    </w:rPr>
  </w:style>
  <w:style w:type="character" w:styleId="IntenseReference">
    <w:name w:val="Intense Reference"/>
    <w:basedOn w:val="DefaultParagraphFont"/>
    <w:uiPriority w:val="32"/>
    <w:qFormat/>
    <w:rsid w:val="00E43CC1"/>
    <w:rPr>
      <w:b/>
      <w:bCs/>
      <w:smallCaps/>
      <w:color w:val="0F4761" w:themeColor="accent1" w:themeShade="BF"/>
      <w:spacing w:val="5"/>
    </w:rPr>
  </w:style>
  <w:style w:type="table" w:styleId="TableGrid">
    <w:name w:val="Table Grid"/>
    <w:basedOn w:val="TableNormal"/>
    <w:uiPriority w:val="39"/>
    <w:rsid w:val="00EB5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3C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3C04"/>
    <w:rPr>
      <w:b/>
      <w:bCs/>
    </w:rPr>
  </w:style>
  <w:style w:type="table" w:styleId="GridTable4-Accent1">
    <w:name w:val="Grid Table 4 Accent 1"/>
    <w:basedOn w:val="TableNormal"/>
    <w:uiPriority w:val="49"/>
    <w:rsid w:val="0012421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96765D"/>
    <w:rPr>
      <w:color w:val="467886" w:themeColor="hyperlink"/>
      <w:u w:val="single"/>
    </w:rPr>
  </w:style>
  <w:style w:type="character" w:styleId="UnresolvedMention">
    <w:name w:val="Unresolved Mention"/>
    <w:basedOn w:val="DefaultParagraphFont"/>
    <w:uiPriority w:val="99"/>
    <w:semiHidden/>
    <w:unhideWhenUsed/>
    <w:rsid w:val="0096765D"/>
    <w:rPr>
      <w:color w:val="605E5C"/>
      <w:shd w:val="clear" w:color="auto" w:fill="E1DFDD"/>
    </w:rPr>
  </w:style>
  <w:style w:type="paragraph" w:styleId="Header">
    <w:name w:val="header"/>
    <w:basedOn w:val="Normal"/>
    <w:link w:val="HeaderChar"/>
    <w:uiPriority w:val="99"/>
    <w:unhideWhenUsed/>
    <w:rsid w:val="002E2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21C"/>
  </w:style>
  <w:style w:type="paragraph" w:styleId="Footer">
    <w:name w:val="footer"/>
    <w:basedOn w:val="Normal"/>
    <w:link w:val="FooterChar"/>
    <w:uiPriority w:val="99"/>
    <w:unhideWhenUsed/>
    <w:rsid w:val="002E2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627</TotalTime>
  <Pages>11</Pages>
  <Words>3054</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23</cp:revision>
  <dcterms:created xsi:type="dcterms:W3CDTF">2026-01-10T05:21:00Z</dcterms:created>
  <dcterms:modified xsi:type="dcterms:W3CDTF">2026-03-04T09:22:00Z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aca38d6f-9156-4574-a852-afb47f45ea07</vt:lpwstr>
  </property>
</Properties>
</file>