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87C13" w14:textId="77777777" w:rsidR="00754C9A" w:rsidRDefault="00754C9A" w:rsidP="00441B6F">
      <w:pPr>
        <w:pStyle w:val="Title"/>
        <w:spacing w:after="0"/>
        <w:jc w:val="both"/>
        <w:rPr>
          <w:rFonts w:ascii="Arial" w:hAnsi="Arial" w:cs="Arial"/>
        </w:rPr>
      </w:pPr>
    </w:p>
    <w:p w14:paraId="56DCB899" w14:textId="77777777" w:rsidR="00163BC4" w:rsidRPr="00163BC4" w:rsidRDefault="00E74E74" w:rsidP="00441B6F">
      <w:pPr>
        <w:pStyle w:val="Author"/>
        <w:spacing w:line="240" w:lineRule="auto"/>
        <w:rPr>
          <w:rFonts w:ascii="Arial" w:hAnsi="Arial" w:cs="Arial"/>
          <w:bCs/>
          <w:iCs/>
          <w:kern w:val="28"/>
          <w:sz w:val="36"/>
        </w:rPr>
      </w:pPr>
      <w:r>
        <w:rPr>
          <w:rFonts w:ascii="Arial" w:hAnsi="Arial" w:cs="Arial"/>
          <w:bCs/>
          <w:iCs/>
          <w:kern w:val="28"/>
          <w:sz w:val="36"/>
        </w:rPr>
        <w:t>Correlation between Research Self-Efficacy, Student Engagement, and Research Mentoring, and the Writing Skills of College Students on Non-Board Courses</w:t>
      </w:r>
    </w:p>
    <w:p w14:paraId="6CA29B4C" w14:textId="77777777" w:rsidR="00A258C3" w:rsidRPr="00790ADA" w:rsidRDefault="00A258C3" w:rsidP="00441B6F">
      <w:pPr>
        <w:pStyle w:val="Author"/>
        <w:spacing w:line="240" w:lineRule="auto"/>
        <w:jc w:val="both"/>
        <w:rPr>
          <w:rFonts w:ascii="Arial" w:hAnsi="Arial" w:cs="Arial"/>
          <w:sz w:val="36"/>
        </w:rPr>
      </w:pPr>
    </w:p>
    <w:p w14:paraId="19B8CC57" w14:textId="77777777" w:rsidR="00790ADA" w:rsidRDefault="00790ADA" w:rsidP="00441B6F">
      <w:pPr>
        <w:pStyle w:val="Affiliation"/>
        <w:spacing w:after="0" w:line="240" w:lineRule="auto"/>
        <w:jc w:val="both"/>
        <w:rPr>
          <w:rFonts w:ascii="Arial" w:hAnsi="Arial" w:cs="Arial"/>
        </w:rPr>
      </w:pPr>
    </w:p>
    <w:p w14:paraId="6183E8AA" w14:textId="77777777" w:rsidR="002C57D2" w:rsidRPr="00FB3A86" w:rsidRDefault="002C57D2" w:rsidP="00441B6F">
      <w:pPr>
        <w:pStyle w:val="Affiliation"/>
        <w:spacing w:after="0" w:line="240" w:lineRule="auto"/>
        <w:jc w:val="both"/>
        <w:rPr>
          <w:rFonts w:ascii="Arial" w:hAnsi="Arial" w:cs="Arial"/>
        </w:rPr>
      </w:pPr>
    </w:p>
    <w:p w14:paraId="1C81B167" w14:textId="77777777" w:rsidR="00B01FCD" w:rsidRPr="00FB3A86" w:rsidRDefault="00F25148" w:rsidP="00441B6F">
      <w:pPr>
        <w:pStyle w:val="Copyright"/>
        <w:spacing w:after="0" w:line="240" w:lineRule="auto"/>
        <w:jc w:val="both"/>
        <w:rPr>
          <w:rFonts w:ascii="Arial" w:hAnsi="Arial" w:cs="Arial"/>
        </w:rPr>
        <w:sectPr w:rsidR="00B01FCD" w:rsidRPr="00FB3A86" w:rsidSect="001D6C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DB9D1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7F889F" w14:textId="77777777" w:rsidR="00A61F17"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F97499" w14:textId="77777777" w:rsidTr="001E44FE">
        <w:tc>
          <w:tcPr>
            <w:tcW w:w="9576" w:type="dxa"/>
            <w:shd w:val="clear" w:color="auto" w:fill="F2F2F2"/>
          </w:tcPr>
          <w:p w14:paraId="55A90B2F" w14:textId="77777777" w:rsidR="00E74E74" w:rsidRDefault="00E74E74" w:rsidP="00441B6F">
            <w:pPr>
              <w:pStyle w:val="Body"/>
              <w:spacing w:after="0"/>
              <w:rPr>
                <w:rFonts w:ascii="Arial" w:eastAsia="Calibri" w:hAnsi="Arial" w:cs="Arial"/>
                <w:b/>
                <w:szCs w:val="22"/>
              </w:rPr>
            </w:pPr>
          </w:p>
          <w:p w14:paraId="511EF89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74E74" w:rsidRPr="00E74E74">
              <w:rPr>
                <w:rFonts w:ascii="Arial" w:hAnsi="Arial" w:cs="Arial"/>
                <w:color w:val="000000"/>
              </w:rPr>
              <w:t>To determine the significance of the relationship between research self-efficacy, student engagement, and research mentoring, and the writing skills.</w:t>
            </w:r>
          </w:p>
          <w:p w14:paraId="2C33B5F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74E74" w:rsidRPr="00E74E74">
              <w:rPr>
                <w:rFonts w:ascii="Arial" w:hAnsi="Arial" w:cs="Arial"/>
                <w:color w:val="000000"/>
              </w:rPr>
              <w:t>This study employed correlation design.</w:t>
            </w:r>
          </w:p>
          <w:p w14:paraId="56D96B6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85AEC" w:rsidRPr="002F65A3">
              <w:rPr>
                <w:rFonts w:ascii="Arial" w:hAnsi="Arial" w:cs="Arial"/>
              </w:rPr>
              <w:t>The study was conducted at Samal Island City College, a recognized higher education institution.</w:t>
            </w:r>
          </w:p>
          <w:p w14:paraId="6DFAF72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85AEC" w:rsidRPr="00185AEC">
              <w:rPr>
                <w:rFonts w:ascii="Arial" w:hAnsi="Arial" w:cs="Arial"/>
                <w:color w:val="000000"/>
              </w:rPr>
              <w:t>The study was participated by 218 respondents selected through simple random sampling.</w:t>
            </w:r>
          </w:p>
          <w:p w14:paraId="4FE7B89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85AEC" w:rsidRPr="00185AEC">
              <w:rPr>
                <w:rFonts w:ascii="Arial" w:hAnsi="Arial" w:cs="Arial"/>
                <w:color w:val="000000"/>
              </w:rPr>
              <w:t>Results revealed</w:t>
            </w:r>
            <w:r w:rsidR="00185AEC" w:rsidRPr="00185AEC">
              <w:rPr>
                <w:rFonts w:ascii="Arial" w:hAnsi="Arial" w:cs="Arial"/>
              </w:rPr>
              <w:t xml:space="preserve"> no link between determinants and criterion variables.</w:t>
            </w:r>
          </w:p>
          <w:p w14:paraId="07A0EEE5"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85AEC" w:rsidRPr="00185AEC">
              <w:rPr>
                <w:rFonts w:ascii="Arial" w:hAnsi="Arial" w:cs="Arial"/>
                <w:lang w:val="en-GB"/>
              </w:rPr>
              <w:t xml:space="preserve">Bandura’s Social Cognitive Theory </w:t>
            </w:r>
            <w:r w:rsidR="00185AEC" w:rsidRPr="00185AEC">
              <w:rPr>
                <w:rFonts w:ascii="Arial" w:hAnsi="Arial" w:cs="Arial"/>
              </w:rPr>
              <w:t>describing human functioning as the interaction of environmental, behavioral, and personal cognitive factors, emphasizing the roles of observational learning, self-efficacy, and self-regulation in shaping behavior,</w:t>
            </w:r>
            <w:r w:rsidR="00185AEC" w:rsidRPr="00185AEC">
              <w:rPr>
                <w:rFonts w:ascii="Arial" w:hAnsi="Arial" w:cs="Arial"/>
                <w:lang w:val="en-GB"/>
              </w:rPr>
              <w:t xml:space="preserve"> is completely denied.</w:t>
            </w:r>
          </w:p>
        </w:tc>
      </w:tr>
    </w:tbl>
    <w:p w14:paraId="53FAEE44" w14:textId="77777777" w:rsidR="00505F06" w:rsidRDefault="00505F06" w:rsidP="00441B6F">
      <w:pPr>
        <w:pStyle w:val="Body"/>
        <w:spacing w:after="0"/>
        <w:rPr>
          <w:rFonts w:ascii="Arial" w:hAnsi="Arial" w:cs="Arial"/>
          <w:i/>
        </w:rPr>
      </w:pPr>
    </w:p>
    <w:p w14:paraId="5C939AFE" w14:textId="77777777" w:rsidR="00BC09DE" w:rsidRPr="00BC09DE" w:rsidRDefault="00BC09DE" w:rsidP="00441B6F">
      <w:pPr>
        <w:pStyle w:val="Body"/>
        <w:spacing w:after="0"/>
        <w:rPr>
          <w:rFonts w:ascii="Arial" w:hAnsi="Arial" w:cs="Arial"/>
          <w:i/>
          <w:color w:val="000000"/>
        </w:rPr>
      </w:pPr>
      <w:r w:rsidRPr="00BC09DE">
        <w:rPr>
          <w:rFonts w:ascii="Arial" w:hAnsi="Arial" w:cs="Arial"/>
          <w:b/>
          <w:i/>
          <w:color w:val="000000"/>
        </w:rPr>
        <w:t xml:space="preserve">Keywords: </w:t>
      </w:r>
      <w:r w:rsidRPr="00BC09DE">
        <w:rPr>
          <w:rFonts w:ascii="Arial" w:hAnsi="Arial" w:cs="Arial"/>
          <w:i/>
          <w:color w:val="000000"/>
        </w:rPr>
        <w:t>Research-self-efficacy, student engagement, research mentoring, writing skills, college students, non-board courses</w:t>
      </w:r>
    </w:p>
    <w:p w14:paraId="25ADD885" w14:textId="77777777" w:rsidR="00BC09DE" w:rsidRPr="00A24E7E" w:rsidRDefault="00BC09DE" w:rsidP="00441B6F">
      <w:pPr>
        <w:pStyle w:val="Body"/>
        <w:spacing w:after="0"/>
        <w:rPr>
          <w:rFonts w:ascii="Arial" w:hAnsi="Arial" w:cs="Arial"/>
          <w:i/>
        </w:rPr>
      </w:pPr>
    </w:p>
    <w:p w14:paraId="19581C6B"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46EDE4" w14:textId="77777777" w:rsidR="00A61F17" w:rsidRPr="00FB3A86" w:rsidRDefault="00A61F17" w:rsidP="00441B6F">
      <w:pPr>
        <w:pStyle w:val="AbstHead"/>
        <w:spacing w:after="0"/>
        <w:jc w:val="both"/>
        <w:rPr>
          <w:rFonts w:ascii="Arial" w:hAnsi="Arial" w:cs="Arial"/>
        </w:rPr>
      </w:pPr>
    </w:p>
    <w:p w14:paraId="10212670"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 xml:space="preserve">1.1. </w:t>
      </w:r>
      <w:r w:rsidRPr="00A61F17">
        <w:rPr>
          <w:rFonts w:ascii="Arial" w:eastAsia="Cambria" w:hAnsi="Arial" w:cs="Arial"/>
          <w:b/>
          <w:i/>
          <w:color w:val="000000"/>
        </w:rPr>
        <w:t xml:space="preserve">The Problem and Its Scope  </w:t>
      </w:r>
    </w:p>
    <w:p w14:paraId="62CC4BA9" w14:textId="77777777" w:rsidR="00A61F17" w:rsidRPr="00A61F17" w:rsidRDefault="00A61F17" w:rsidP="00A61F17">
      <w:pPr>
        <w:ind w:firstLine="720"/>
        <w:jc w:val="both"/>
        <w:rPr>
          <w:rFonts w:ascii="Arial" w:hAnsi="Arial" w:cs="Arial"/>
        </w:rPr>
      </w:pPr>
      <w:r w:rsidRPr="00A61F17">
        <w:rPr>
          <w:rFonts w:ascii="Arial" w:hAnsi="Arial" w:cs="Arial"/>
        </w:rPr>
        <w:t>Poor writing skills remain a global concern in education. Wang and Troia (2023) reported that students often submit work lacking clarity, structure, and overall quality. Similarly, Davis (2023) found persistent difficulties in producing accurate and organized written outputs, while Elstad and Eriksen (2024) emphasized that this issue continues to attract attention in educational research and classroom practice.</w:t>
      </w:r>
    </w:p>
    <w:p w14:paraId="527F7C58" w14:textId="77777777" w:rsidR="00A61F17" w:rsidRPr="00A61F17" w:rsidRDefault="00A61F17" w:rsidP="00A61F17">
      <w:pPr>
        <w:ind w:firstLine="720"/>
        <w:jc w:val="both"/>
        <w:rPr>
          <w:rFonts w:ascii="Arial" w:hAnsi="Arial" w:cs="Arial"/>
        </w:rPr>
      </w:pPr>
      <w:r w:rsidRPr="00A61F17">
        <w:rPr>
          <w:rFonts w:ascii="Arial" w:hAnsi="Arial" w:cs="Arial"/>
        </w:rPr>
        <w:t>International evidence confirms this challenge across contexts. In Norway, students struggled with logically structured texts (Elstad &amp; Eriksen, 2024). In the United States, national assessments showed many learners perform below proficiency in academic writing (Wang &amp; Troia, 2023). In Japan, university students consistently demonstrated weaknesses in written composition (Davis, 2023). These findings highlight the widespread nature of poor writing skills.</w:t>
      </w:r>
    </w:p>
    <w:p w14:paraId="7FD20FA9" w14:textId="77777777" w:rsidR="00A61F17" w:rsidRPr="00A61F17" w:rsidRDefault="00A61F17" w:rsidP="00A61F17">
      <w:pPr>
        <w:ind w:firstLine="720"/>
        <w:jc w:val="both"/>
        <w:rPr>
          <w:rFonts w:ascii="Arial" w:hAnsi="Arial" w:cs="Arial"/>
        </w:rPr>
      </w:pPr>
      <w:r w:rsidRPr="00A61F17">
        <w:rPr>
          <w:rFonts w:ascii="Arial" w:hAnsi="Arial" w:cs="Arial"/>
        </w:rPr>
        <w:t xml:space="preserve">The Philippines reflects similar concerns. </w:t>
      </w:r>
      <w:proofErr w:type="spellStart"/>
      <w:r w:rsidRPr="00A61F17">
        <w:rPr>
          <w:rFonts w:ascii="Arial" w:hAnsi="Arial" w:cs="Arial"/>
        </w:rPr>
        <w:t>Vacalares</w:t>
      </w:r>
      <w:proofErr w:type="spellEnd"/>
      <w:r w:rsidRPr="00A61F17">
        <w:rPr>
          <w:rFonts w:ascii="Arial" w:hAnsi="Arial" w:cs="Arial"/>
        </w:rPr>
        <w:t xml:space="preserve"> et al. (2023) reported tertiary students often produce outputs lacking grammatical accuracy and logical flow. Salvador (2024) observed low performance in structured essay writing among first-year students, while Cabrera (2022) noted public school learners in Davao City struggle to meet writing benchmarks. These studies confirm that poor writing skills persist across academic levels.</w:t>
      </w:r>
    </w:p>
    <w:p w14:paraId="38AFC27A" w14:textId="77777777" w:rsidR="00A61F17" w:rsidRPr="00A61F17" w:rsidRDefault="00A61F17" w:rsidP="00A61F17">
      <w:pPr>
        <w:ind w:firstLine="720"/>
        <w:jc w:val="both"/>
        <w:rPr>
          <w:rFonts w:ascii="Arial" w:hAnsi="Arial" w:cs="Arial"/>
        </w:rPr>
      </w:pPr>
      <w:r w:rsidRPr="00A61F17">
        <w:rPr>
          <w:rFonts w:ascii="Arial" w:hAnsi="Arial" w:cs="Arial"/>
        </w:rPr>
        <w:t xml:space="preserve">Poor writing skills can lead to several </w:t>
      </w:r>
      <w:r w:rsidRPr="00A61F17">
        <w:rPr>
          <w:rStyle w:val="Strong"/>
          <w:rFonts w:ascii="Arial" w:hAnsi="Arial" w:cs="Arial"/>
          <w:b w:val="0"/>
        </w:rPr>
        <w:t>academic and cognitive consequences</w:t>
      </w:r>
      <w:r w:rsidRPr="00A61F17">
        <w:rPr>
          <w:rFonts w:ascii="Arial" w:hAnsi="Arial" w:cs="Arial"/>
        </w:rPr>
        <w:t xml:space="preserve">, particularly in students’ ability to communicate ideas effectively and construct coherent </w:t>
      </w:r>
      <w:r w:rsidRPr="00A61F17">
        <w:rPr>
          <w:rFonts w:ascii="Arial" w:hAnsi="Arial" w:cs="Arial"/>
        </w:rPr>
        <w:lastRenderedPageBreak/>
        <w:t xml:space="preserve">arguments. In the study of Hermida (2024), it was highlighted that weak writing ability affects </w:t>
      </w:r>
      <w:r w:rsidRPr="00A61F17">
        <w:rPr>
          <w:rStyle w:val="Strong"/>
          <w:rFonts w:ascii="Arial" w:hAnsi="Arial" w:cs="Arial"/>
          <w:b w:val="0"/>
        </w:rPr>
        <w:t>clarity of communication, academic performance, and students’ motivation and confidence</w:t>
      </w:r>
      <w:r w:rsidRPr="00A61F17">
        <w:rPr>
          <w:rFonts w:ascii="Arial" w:hAnsi="Arial" w:cs="Arial"/>
          <w:b/>
        </w:rPr>
        <w:t xml:space="preserve">. </w:t>
      </w:r>
      <w:r w:rsidRPr="00A61F17">
        <w:rPr>
          <w:rFonts w:ascii="Arial" w:hAnsi="Arial" w:cs="Arial"/>
        </w:rPr>
        <w:t xml:space="preserve"> It is on this urgency that this study was pursued.</w:t>
      </w:r>
    </w:p>
    <w:p w14:paraId="49C4945E" w14:textId="77777777" w:rsidR="00A61F17" w:rsidRPr="00A61F17" w:rsidRDefault="00A61F17" w:rsidP="00A61F17">
      <w:pPr>
        <w:ind w:firstLine="420"/>
        <w:jc w:val="both"/>
        <w:rPr>
          <w:rFonts w:ascii="Arial" w:hAnsi="Arial" w:cs="Arial"/>
        </w:rPr>
      </w:pPr>
    </w:p>
    <w:p w14:paraId="157CB005"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1.</w:t>
      </w:r>
      <w:proofErr w:type="gramStart"/>
      <w:r>
        <w:rPr>
          <w:rFonts w:ascii="Arial" w:eastAsia="Cambria" w:hAnsi="Arial" w:cs="Arial"/>
          <w:b/>
          <w:i/>
          <w:color w:val="000000"/>
        </w:rPr>
        <w:t>2.</w:t>
      </w:r>
      <w:r w:rsidRPr="00A61F17">
        <w:rPr>
          <w:rFonts w:ascii="Arial" w:eastAsia="Cambria" w:hAnsi="Arial" w:cs="Arial"/>
          <w:b/>
          <w:i/>
          <w:color w:val="000000"/>
        </w:rPr>
        <w:t>Significance</w:t>
      </w:r>
      <w:proofErr w:type="gramEnd"/>
      <w:r w:rsidRPr="00A61F17">
        <w:rPr>
          <w:rFonts w:ascii="Arial" w:eastAsia="Cambria" w:hAnsi="Arial" w:cs="Arial"/>
          <w:b/>
          <w:i/>
          <w:color w:val="000000"/>
        </w:rPr>
        <w:t xml:space="preserve"> of the Study  </w:t>
      </w:r>
    </w:p>
    <w:p w14:paraId="6B79696F" w14:textId="77777777" w:rsidR="00A61F17" w:rsidRPr="00A61F17" w:rsidRDefault="00A61F17" w:rsidP="00A61F17">
      <w:pPr>
        <w:pStyle w:val="NormalWeb"/>
        <w:spacing w:beforeAutospacing="0" w:afterAutospacing="0"/>
        <w:jc w:val="both"/>
        <w:rPr>
          <w:rFonts w:ascii="Arial" w:eastAsia="Times New Roman" w:hAnsi="Arial" w:cs="Arial"/>
          <w:sz w:val="20"/>
          <w:szCs w:val="20"/>
          <w:lang w:val="en-PH" w:eastAsia="en-PH"/>
        </w:rPr>
      </w:pPr>
      <w:r w:rsidRPr="00A61F17">
        <w:rPr>
          <w:rFonts w:ascii="Arial" w:hAnsi="Arial" w:cs="Arial"/>
          <w:sz w:val="20"/>
          <w:szCs w:val="20"/>
        </w:rPr>
        <w:tab/>
      </w:r>
      <w:r w:rsidRPr="00A61F17">
        <w:rPr>
          <w:rFonts w:ascii="Arial" w:eastAsia="Times New Roman" w:hAnsi="Arial" w:cs="Arial"/>
          <w:sz w:val="20"/>
          <w:szCs w:val="20"/>
          <w:lang w:val="en-PH" w:eastAsia="en-PH"/>
        </w:rPr>
        <w:t>This study is significant in addressing students’ writing difficulties, which affect clarity of communication, academic performance, and the ability to construct coherent arguments. Improving writing competence supports the goals of Sustainable Development Goal 4: Quality Education, which promotes inclusive and equitable quality education and the development of essential literacy skills necessary for lifelong learning. By examining the issue of poor writing skills, this research contributes to enhancing students’ academic outcomes and strengthening their ability to effectively express ideas in academic and professional contexts.</w:t>
      </w:r>
    </w:p>
    <w:p w14:paraId="2BCEBB51" w14:textId="77777777" w:rsidR="00A61F17" w:rsidRPr="00A61F17" w:rsidRDefault="00A61F17" w:rsidP="00A61F17">
      <w:pPr>
        <w:pStyle w:val="NormalWeb"/>
        <w:spacing w:beforeAutospacing="0" w:afterAutospacing="0"/>
        <w:jc w:val="both"/>
        <w:rPr>
          <w:rFonts w:ascii="Arial" w:eastAsia="Times New Roman" w:hAnsi="Arial" w:cs="Arial"/>
          <w:sz w:val="20"/>
          <w:szCs w:val="20"/>
        </w:rPr>
      </w:pPr>
      <w:r w:rsidRPr="00A61F17">
        <w:rPr>
          <w:rFonts w:ascii="Arial" w:eastAsia="Times New Roman" w:hAnsi="Arial" w:cs="Arial"/>
          <w:sz w:val="20"/>
          <w:szCs w:val="20"/>
          <w:lang w:val="en-PH" w:eastAsia="en-PH"/>
        </w:rPr>
        <w:tab/>
      </w:r>
      <w:r w:rsidRPr="00A61F17">
        <w:rPr>
          <w:rFonts w:ascii="Arial" w:eastAsia="Times New Roman" w:hAnsi="Arial" w:cs="Arial"/>
          <w:sz w:val="20"/>
          <w:szCs w:val="20"/>
        </w:rPr>
        <w:t>Furthermore, the study aligns with the educational priorities of the Department of Education (Philippines) and the institutional mission of Holy Cross of Davao College. The findings may provide insights for educators and academic institutions in developing strategies to improve students’ writing proficiency, thereby supporting the national goal of producing competent and literate learners while reinforcing the college’s commitment to academic excellence and holistic student development.</w:t>
      </w:r>
    </w:p>
    <w:p w14:paraId="34F4CCCC" w14:textId="77777777" w:rsidR="00A61F17" w:rsidRPr="00A61F17" w:rsidRDefault="00A61F17" w:rsidP="00A61F17">
      <w:pPr>
        <w:pStyle w:val="NormalWeb"/>
        <w:spacing w:beforeAutospacing="0" w:afterAutospacing="0"/>
        <w:jc w:val="both"/>
        <w:rPr>
          <w:rFonts w:ascii="Arial" w:eastAsia="Times New Roman" w:hAnsi="Arial" w:cs="Arial"/>
          <w:sz w:val="20"/>
          <w:szCs w:val="20"/>
          <w:lang w:val="en-PH" w:eastAsia="en-PH"/>
        </w:rPr>
      </w:pPr>
    </w:p>
    <w:p w14:paraId="2E6174B1"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1.</w:t>
      </w:r>
      <w:proofErr w:type="gramStart"/>
      <w:r>
        <w:rPr>
          <w:rFonts w:ascii="Arial" w:eastAsia="Cambria" w:hAnsi="Arial" w:cs="Arial"/>
          <w:b/>
          <w:i/>
          <w:color w:val="000000"/>
        </w:rPr>
        <w:t>3.</w:t>
      </w:r>
      <w:r w:rsidRPr="00A61F17">
        <w:rPr>
          <w:rFonts w:ascii="Arial" w:eastAsia="Cambria" w:hAnsi="Arial" w:cs="Arial"/>
          <w:b/>
          <w:i/>
          <w:color w:val="000000"/>
        </w:rPr>
        <w:t>Research</w:t>
      </w:r>
      <w:proofErr w:type="gramEnd"/>
      <w:r w:rsidRPr="00A61F17">
        <w:rPr>
          <w:rFonts w:ascii="Arial" w:eastAsia="Cambria" w:hAnsi="Arial" w:cs="Arial"/>
          <w:b/>
          <w:i/>
          <w:color w:val="000000"/>
        </w:rPr>
        <w:t xml:space="preserve"> Objectives  </w:t>
      </w:r>
    </w:p>
    <w:p w14:paraId="6BC6882F"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r w:rsidRPr="00A61F17">
        <w:rPr>
          <w:rFonts w:ascii="Arial" w:eastAsia="Cambria" w:hAnsi="Arial" w:cs="Arial"/>
          <w:color w:val="000000"/>
        </w:rPr>
        <w:tab/>
        <w:t>T</w:t>
      </w:r>
      <w:r w:rsidRPr="00A61F17">
        <w:rPr>
          <w:rFonts w:ascii="Arial" w:hAnsi="Arial" w:cs="Arial"/>
        </w:rPr>
        <w:t>his study aimed to determine the significance of the correlation between research self-efficacy, student engagement, and research mentoring</w:t>
      </w:r>
      <w:r w:rsidRPr="00A61F17">
        <w:rPr>
          <w:rStyle w:val="Strong"/>
          <w:rFonts w:ascii="Arial" w:hAnsi="Arial" w:cs="Arial"/>
        </w:rPr>
        <w:t xml:space="preserve">, </w:t>
      </w:r>
      <w:r w:rsidRPr="00A61F17">
        <w:rPr>
          <w:rStyle w:val="Strong"/>
          <w:rFonts w:ascii="Arial" w:hAnsi="Arial" w:cs="Arial"/>
          <w:b w:val="0"/>
        </w:rPr>
        <w:t>and the writing skills</w:t>
      </w:r>
      <w:r w:rsidRPr="00A61F17">
        <w:rPr>
          <w:rFonts w:ascii="Arial" w:hAnsi="Arial" w:cs="Arial"/>
        </w:rPr>
        <w:t xml:space="preserve"> of college students enrolled in non-board courses. Specifically, it aimed to achieve the following objectives:</w:t>
      </w:r>
    </w:p>
    <w:p w14:paraId="3A6363C4" w14:textId="77777777" w:rsidR="00A61F17" w:rsidRPr="00A61F17" w:rsidRDefault="00A61F17" w:rsidP="00A61F17">
      <w:pPr>
        <w:pStyle w:val="ListParagraph"/>
        <w:numPr>
          <w:ilvl w:val="0"/>
          <w:numId w:val="31"/>
        </w:numPr>
        <w:spacing w:line="240" w:lineRule="auto"/>
        <w:ind w:left="851" w:hanging="425"/>
        <w:jc w:val="both"/>
        <w:rPr>
          <w:sz w:val="20"/>
          <w:szCs w:val="20"/>
        </w:rPr>
      </w:pPr>
      <w:r w:rsidRPr="00A61F17">
        <w:rPr>
          <w:sz w:val="20"/>
          <w:szCs w:val="20"/>
        </w:rPr>
        <w:t xml:space="preserve">To determine the levels of research self-efficacy in terms of </w:t>
      </w:r>
      <w:r w:rsidRPr="00A61F17">
        <w:rPr>
          <w:rStyle w:val="Strong"/>
          <w:b w:val="0"/>
          <w:sz w:val="20"/>
          <w:szCs w:val="20"/>
        </w:rPr>
        <w:t>problem identification, literature survey, approach to writing, findings and analysis, and writing up</w:t>
      </w:r>
      <w:r w:rsidRPr="00A61F17">
        <w:rPr>
          <w:sz w:val="20"/>
          <w:szCs w:val="20"/>
        </w:rPr>
        <w:t>; student engagement in terms of</w:t>
      </w:r>
      <w:r w:rsidRPr="00A61F17">
        <w:rPr>
          <w:rStyle w:val="Strong"/>
          <w:sz w:val="20"/>
          <w:szCs w:val="20"/>
        </w:rPr>
        <w:t xml:space="preserve"> </w:t>
      </w:r>
      <w:r w:rsidRPr="00A61F17">
        <w:rPr>
          <w:rStyle w:val="Strong"/>
          <w:b w:val="0"/>
          <w:sz w:val="20"/>
          <w:szCs w:val="20"/>
        </w:rPr>
        <w:t>academic challenge, active learning, student-staff interaction, enriching educational experiences, work-integrated learning, time on task, and participation in educational practices</w:t>
      </w:r>
      <w:r w:rsidRPr="00A61F17">
        <w:rPr>
          <w:sz w:val="20"/>
          <w:szCs w:val="20"/>
        </w:rPr>
        <w:t>; research mentoring in terms of</w:t>
      </w:r>
      <w:r w:rsidRPr="00A61F17">
        <w:rPr>
          <w:rStyle w:val="Strong"/>
          <w:sz w:val="20"/>
          <w:szCs w:val="20"/>
        </w:rPr>
        <w:t xml:space="preserve"> </w:t>
      </w:r>
      <w:r w:rsidRPr="00A61F17">
        <w:rPr>
          <w:rStyle w:val="Strong"/>
          <w:b w:val="0"/>
          <w:sz w:val="20"/>
          <w:szCs w:val="20"/>
        </w:rPr>
        <w:t>mentoring relationship structure, guidance and support system, the rules, responsibilities and program expectations, the communication and interaction environment, and the work environment and resource support</w:t>
      </w:r>
      <w:r w:rsidRPr="00A61F17">
        <w:rPr>
          <w:sz w:val="20"/>
          <w:szCs w:val="20"/>
        </w:rPr>
        <w:t>; and writing skills of students.</w:t>
      </w:r>
    </w:p>
    <w:p w14:paraId="11F7373D" w14:textId="77777777" w:rsidR="00A61F17" w:rsidRPr="00A61F17" w:rsidRDefault="00A61F17" w:rsidP="00A61F17">
      <w:pPr>
        <w:pStyle w:val="ListParagraph"/>
        <w:numPr>
          <w:ilvl w:val="0"/>
          <w:numId w:val="31"/>
        </w:numPr>
        <w:spacing w:line="240" w:lineRule="auto"/>
        <w:ind w:left="851" w:hanging="425"/>
        <w:jc w:val="both"/>
        <w:rPr>
          <w:sz w:val="20"/>
          <w:szCs w:val="20"/>
        </w:rPr>
      </w:pPr>
      <w:r w:rsidRPr="00A61F17">
        <w:rPr>
          <w:sz w:val="20"/>
          <w:szCs w:val="20"/>
        </w:rPr>
        <w:t xml:space="preserve">To determine the significance of the correlation between </w:t>
      </w:r>
      <w:r w:rsidRPr="00A61F17">
        <w:rPr>
          <w:rFonts w:eastAsia="Times New Roman"/>
          <w:sz w:val="20"/>
          <w:szCs w:val="20"/>
        </w:rPr>
        <w:t>research self-efficacy, student engagement, and research mentoring,</w:t>
      </w:r>
      <w:r w:rsidRPr="00A61F17">
        <w:rPr>
          <w:sz w:val="20"/>
          <w:szCs w:val="20"/>
        </w:rPr>
        <w:t xml:space="preserve"> and the </w:t>
      </w:r>
      <w:r w:rsidRPr="00A61F17">
        <w:rPr>
          <w:rStyle w:val="Strong"/>
          <w:b w:val="0"/>
          <w:sz w:val="20"/>
          <w:szCs w:val="20"/>
        </w:rPr>
        <w:t>writing skills</w:t>
      </w:r>
      <w:r w:rsidRPr="00A61F17">
        <w:rPr>
          <w:sz w:val="20"/>
          <w:szCs w:val="20"/>
        </w:rPr>
        <w:t xml:space="preserve"> of students.</w:t>
      </w:r>
    </w:p>
    <w:p w14:paraId="540EDB40"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p>
    <w:p w14:paraId="58FE1A03" w14:textId="77777777" w:rsidR="00A61F17" w:rsidRPr="00A61F17" w:rsidRDefault="00A61F1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1.</w:t>
      </w:r>
      <w:proofErr w:type="gramStart"/>
      <w:r>
        <w:rPr>
          <w:rFonts w:ascii="Arial" w:eastAsia="Cambria" w:hAnsi="Arial" w:cs="Arial"/>
          <w:b/>
          <w:i/>
          <w:color w:val="000000"/>
        </w:rPr>
        <w:t>4.</w:t>
      </w:r>
      <w:r w:rsidRPr="00A61F17">
        <w:rPr>
          <w:rFonts w:ascii="Arial" w:eastAsia="Cambria" w:hAnsi="Arial" w:cs="Arial"/>
          <w:b/>
          <w:i/>
          <w:color w:val="000000"/>
        </w:rPr>
        <w:t>Hypotheses</w:t>
      </w:r>
      <w:proofErr w:type="gramEnd"/>
    </w:p>
    <w:p w14:paraId="2738D748" w14:textId="77777777" w:rsidR="00A61F17" w:rsidRPr="00A61F17" w:rsidRDefault="00A61F17" w:rsidP="00A61F17">
      <w:pPr>
        <w:ind w:firstLine="420"/>
        <w:jc w:val="both"/>
        <w:rPr>
          <w:rFonts w:ascii="Arial" w:eastAsia="SimSun" w:hAnsi="Arial" w:cs="Arial"/>
          <w:bCs/>
          <w:lang w:val="en-GB"/>
        </w:rPr>
      </w:pPr>
      <w:r w:rsidRPr="00A61F17">
        <w:rPr>
          <w:rFonts w:ascii="Arial" w:eastAsia="SimSun" w:hAnsi="Arial" w:cs="Arial"/>
          <w:bCs/>
          <w:lang w:val="en-GB"/>
        </w:rPr>
        <w:t>The null hypotheses were tested at a 0.05 level of significance.</w:t>
      </w:r>
    </w:p>
    <w:p w14:paraId="4AA7B81A" w14:textId="77777777" w:rsidR="00A61F17" w:rsidRPr="00A61F17" w:rsidRDefault="00A61F17" w:rsidP="00A61F17">
      <w:pPr>
        <w:ind w:firstLine="420"/>
        <w:jc w:val="both"/>
        <w:rPr>
          <w:rFonts w:ascii="Arial" w:eastAsia="SimSun" w:hAnsi="Arial" w:cs="Arial"/>
          <w:bCs/>
          <w:lang w:val="en-GB"/>
        </w:rPr>
      </w:pPr>
    </w:p>
    <w:p w14:paraId="1F4E9A35" w14:textId="77777777" w:rsidR="00A61F17" w:rsidRPr="00A61F17" w:rsidRDefault="00A61F17" w:rsidP="00A61F17">
      <w:pPr>
        <w:ind w:left="1134" w:hanging="708"/>
        <w:jc w:val="both"/>
        <w:rPr>
          <w:rFonts w:ascii="Arial" w:eastAsia="SimSun" w:hAnsi="Arial" w:cs="Arial"/>
          <w:lang w:val="en-GB"/>
        </w:rPr>
      </w:pPr>
      <w:r w:rsidRPr="00A61F17">
        <w:rPr>
          <w:rFonts w:ascii="Arial" w:eastAsia="SimSun" w:hAnsi="Arial" w:cs="Arial"/>
          <w:lang w:val="en-GB"/>
        </w:rPr>
        <w:t xml:space="preserve">Ho1: The correlation </w:t>
      </w:r>
      <w:r w:rsidRPr="00A61F17">
        <w:rPr>
          <w:rFonts w:ascii="Arial" w:hAnsi="Arial" w:cs="Arial"/>
        </w:rPr>
        <w:t xml:space="preserve">between research self-efficacy and </w:t>
      </w:r>
      <w:r w:rsidRPr="00A61F17">
        <w:rPr>
          <w:rStyle w:val="Strong"/>
          <w:rFonts w:ascii="Arial" w:hAnsi="Arial" w:cs="Arial"/>
          <w:b w:val="0"/>
        </w:rPr>
        <w:t>writing skills</w:t>
      </w:r>
      <w:r w:rsidRPr="00A61F17">
        <w:rPr>
          <w:rFonts w:ascii="Arial" w:hAnsi="Arial" w:cs="Arial"/>
        </w:rPr>
        <w:t xml:space="preserve"> of students is not significant</w:t>
      </w:r>
      <w:r w:rsidRPr="00A61F17">
        <w:rPr>
          <w:rFonts w:ascii="Arial" w:eastAsia="SimSun" w:hAnsi="Arial" w:cs="Arial"/>
          <w:lang w:val="en-GB"/>
        </w:rPr>
        <w:t>.</w:t>
      </w:r>
    </w:p>
    <w:p w14:paraId="257EB826" w14:textId="77777777" w:rsidR="00A61F17" w:rsidRPr="00A61F17" w:rsidRDefault="00A61F17" w:rsidP="00A61F17">
      <w:pPr>
        <w:ind w:left="1134" w:hanging="708"/>
        <w:jc w:val="both"/>
        <w:rPr>
          <w:rFonts w:ascii="Arial" w:eastAsia="SimSun" w:hAnsi="Arial" w:cs="Arial"/>
          <w:lang w:val="en-GB"/>
        </w:rPr>
      </w:pPr>
      <w:r w:rsidRPr="00A61F17">
        <w:rPr>
          <w:rFonts w:ascii="Arial" w:eastAsia="SimSun" w:hAnsi="Arial" w:cs="Arial"/>
          <w:lang w:val="en-GB"/>
        </w:rPr>
        <w:t>Ho2: The correlation between student engagement and writing skills of students is not significant.</w:t>
      </w:r>
    </w:p>
    <w:p w14:paraId="096B5BEE" w14:textId="77777777" w:rsidR="00A61F17" w:rsidRPr="00A61F17" w:rsidRDefault="00A61F17" w:rsidP="00A61F17">
      <w:pPr>
        <w:ind w:left="1134" w:hanging="708"/>
        <w:jc w:val="both"/>
        <w:rPr>
          <w:rFonts w:ascii="Arial" w:eastAsia="SimSun" w:hAnsi="Arial" w:cs="Arial"/>
          <w:bCs/>
          <w:lang w:val="en-GB"/>
        </w:rPr>
      </w:pPr>
      <w:r w:rsidRPr="00A61F17">
        <w:rPr>
          <w:rFonts w:ascii="Arial" w:eastAsia="SimSun" w:hAnsi="Arial" w:cs="Arial"/>
          <w:lang w:val="en-GB"/>
        </w:rPr>
        <w:t>Ho3: The correlation between research mentoring and writing skills of students is not</w:t>
      </w:r>
      <w:r w:rsidRPr="00A61F17">
        <w:rPr>
          <w:rFonts w:ascii="Arial" w:eastAsia="SimSun" w:hAnsi="Arial" w:cs="Arial"/>
          <w:bCs/>
          <w:lang w:val="en-GB"/>
        </w:rPr>
        <w:t xml:space="preserve"> significant.</w:t>
      </w:r>
    </w:p>
    <w:p w14:paraId="76B26FEE" w14:textId="77777777" w:rsidR="00A61F17" w:rsidRPr="00A61F17" w:rsidRDefault="00A61F17" w:rsidP="00A61F17">
      <w:pPr>
        <w:widowControl w:val="0"/>
        <w:pBdr>
          <w:top w:val="nil"/>
          <w:left w:val="nil"/>
          <w:bottom w:val="nil"/>
          <w:right w:val="nil"/>
          <w:between w:val="nil"/>
        </w:pBdr>
        <w:ind w:firstLine="420"/>
        <w:jc w:val="both"/>
        <w:rPr>
          <w:rFonts w:ascii="Arial" w:eastAsia="Cambria" w:hAnsi="Arial" w:cs="Arial"/>
        </w:rPr>
      </w:pPr>
    </w:p>
    <w:p w14:paraId="367CFFB0" w14:textId="77777777" w:rsidR="00A61F17" w:rsidRPr="00A61F17" w:rsidRDefault="00A61F17" w:rsidP="00A61F17">
      <w:pPr>
        <w:widowControl w:val="0"/>
        <w:pBdr>
          <w:top w:val="nil"/>
          <w:left w:val="nil"/>
          <w:bottom w:val="nil"/>
          <w:right w:val="nil"/>
          <w:between w:val="nil"/>
        </w:pBdr>
        <w:rPr>
          <w:rFonts w:ascii="Arial" w:eastAsia="Cambria" w:hAnsi="Arial" w:cs="Arial"/>
          <w:b/>
        </w:rPr>
      </w:pPr>
      <w:r>
        <w:rPr>
          <w:rFonts w:ascii="Arial" w:eastAsia="Cambria" w:hAnsi="Arial" w:cs="Arial"/>
          <w:b/>
        </w:rPr>
        <w:t>1.</w:t>
      </w:r>
      <w:proofErr w:type="gramStart"/>
      <w:r>
        <w:rPr>
          <w:rFonts w:ascii="Arial" w:eastAsia="Cambria" w:hAnsi="Arial" w:cs="Arial"/>
          <w:b/>
        </w:rPr>
        <w:t>5.</w:t>
      </w:r>
      <w:r w:rsidRPr="00A61F17">
        <w:rPr>
          <w:rFonts w:ascii="Arial" w:eastAsia="Cambria" w:hAnsi="Arial" w:cs="Arial"/>
          <w:b/>
        </w:rPr>
        <w:t>Theoretical</w:t>
      </w:r>
      <w:proofErr w:type="gramEnd"/>
      <w:r w:rsidRPr="00A61F17">
        <w:rPr>
          <w:rFonts w:ascii="Arial" w:eastAsia="Cambria" w:hAnsi="Arial" w:cs="Arial"/>
          <w:b/>
        </w:rPr>
        <w:t xml:space="preserve"> and Conceptual Framework  </w:t>
      </w:r>
    </w:p>
    <w:p w14:paraId="7469D116" w14:textId="77777777" w:rsidR="00A61F17" w:rsidRPr="00A61F17" w:rsidRDefault="00A61F17" w:rsidP="00A61F17">
      <w:pPr>
        <w:widowControl w:val="0"/>
        <w:pBdr>
          <w:top w:val="nil"/>
          <w:left w:val="nil"/>
          <w:bottom w:val="nil"/>
          <w:right w:val="nil"/>
          <w:between w:val="nil"/>
        </w:pBdr>
        <w:ind w:firstLine="718"/>
        <w:jc w:val="both"/>
        <w:rPr>
          <w:rFonts w:ascii="Arial" w:eastAsia="Cambria" w:hAnsi="Arial" w:cs="Arial"/>
        </w:rPr>
      </w:pPr>
      <w:r w:rsidRPr="00A61F17">
        <w:rPr>
          <w:rFonts w:ascii="Arial" w:hAnsi="Arial" w:cs="Arial"/>
        </w:rPr>
        <w:t xml:space="preserve">This study is anchored on Bandura’s Social </w:t>
      </w:r>
      <w:r w:rsidRPr="00A61F17">
        <w:rPr>
          <w:rStyle w:val="Strong"/>
          <w:rFonts w:ascii="Arial" w:hAnsi="Arial" w:cs="Arial"/>
          <w:b w:val="0"/>
        </w:rPr>
        <w:t>Cognitive Theory (SCT)</w:t>
      </w:r>
      <w:r w:rsidRPr="00A61F17">
        <w:rPr>
          <w:rFonts w:ascii="Arial" w:hAnsi="Arial" w:cs="Arial"/>
        </w:rPr>
        <w:t xml:space="preserve"> which describes human functioning as the interaction of environmental, behavioral, and personal cognitive factors, emphasizing the roles of observational learning, self-efficacy, self-regulation in shaping behavior (Bandura, 1986). In the context of writing, this perspective views the act of composing not merely as a product of linguistic knowledge, but as a complex process </w:t>
      </w:r>
      <w:r w:rsidRPr="00A61F17">
        <w:rPr>
          <w:rFonts w:ascii="Arial" w:hAnsi="Arial" w:cs="Arial"/>
        </w:rPr>
        <w:lastRenderedPageBreak/>
        <w:t xml:space="preserve">influenced by </w:t>
      </w:r>
      <w:r w:rsidRPr="00A61F17">
        <w:rPr>
          <w:rStyle w:val="Strong"/>
          <w:rFonts w:ascii="Arial" w:hAnsi="Arial" w:cs="Arial"/>
          <w:b w:val="0"/>
        </w:rPr>
        <w:t>cognitive, affective, and social context (Flower, 1994)</w:t>
      </w:r>
      <w:r w:rsidRPr="00A61F17">
        <w:rPr>
          <w:rFonts w:ascii="Arial" w:hAnsi="Arial" w:cs="Arial"/>
        </w:rPr>
        <w:t>.</w:t>
      </w:r>
    </w:p>
    <w:p w14:paraId="1A872424" w14:textId="77777777" w:rsidR="00A61F17" w:rsidRPr="00A61F17" w:rsidRDefault="00A61F17" w:rsidP="00A61F17">
      <w:pPr>
        <w:ind w:firstLine="720"/>
        <w:jc w:val="both"/>
        <w:rPr>
          <w:rFonts w:ascii="Arial" w:hAnsi="Arial" w:cs="Arial"/>
        </w:rPr>
      </w:pPr>
      <w:r w:rsidRPr="00A61F17">
        <w:rPr>
          <w:rFonts w:ascii="Arial" w:hAnsi="Arial" w:cs="Arial"/>
        </w:rPr>
        <w:t xml:space="preserve">In this study, research self-efficacy variables indicated by </w:t>
      </w:r>
      <w:r w:rsidRPr="00A61F17">
        <w:rPr>
          <w:rStyle w:val="Strong"/>
          <w:rFonts w:ascii="Arial" w:hAnsi="Arial" w:cs="Arial"/>
          <w:b w:val="0"/>
        </w:rPr>
        <w:t>problem identification, literature survey, approach to writing, findings and analysis, and writing up</w:t>
      </w:r>
      <w:r w:rsidRPr="00A61F17">
        <w:rPr>
          <w:rFonts w:ascii="Arial" w:hAnsi="Arial" w:cs="Arial"/>
        </w:rPr>
        <w:t xml:space="preserve"> stands for personal cognitive factors. The student engagement variable indicated by </w:t>
      </w:r>
      <w:r w:rsidRPr="00A61F17">
        <w:rPr>
          <w:rStyle w:val="Strong"/>
          <w:rFonts w:ascii="Arial" w:hAnsi="Arial" w:cs="Arial"/>
          <w:b w:val="0"/>
        </w:rPr>
        <w:t>academic challenge, active learning, student-staff interaction, enriching educational experiences, work-integrated learning, time on task, and participation in educational practices</w:t>
      </w:r>
      <w:r w:rsidRPr="00A61F17">
        <w:rPr>
          <w:rFonts w:ascii="Arial" w:hAnsi="Arial" w:cs="Arial"/>
        </w:rPr>
        <w:t xml:space="preserve"> is associated with </w:t>
      </w:r>
      <w:proofErr w:type="spellStart"/>
      <w:r w:rsidRPr="00A61F17">
        <w:rPr>
          <w:rFonts w:ascii="Arial" w:hAnsi="Arial" w:cs="Arial"/>
        </w:rPr>
        <w:t>behavioural</w:t>
      </w:r>
      <w:proofErr w:type="spellEnd"/>
      <w:r w:rsidRPr="00A61F17">
        <w:rPr>
          <w:rFonts w:ascii="Arial" w:hAnsi="Arial" w:cs="Arial"/>
        </w:rPr>
        <w:t xml:space="preserve"> matter mentioned in the theory. Moreover, the research mentoring variable indicated by </w:t>
      </w:r>
      <w:r w:rsidRPr="00A61F17">
        <w:rPr>
          <w:rStyle w:val="Strong"/>
          <w:rFonts w:ascii="Arial" w:hAnsi="Arial" w:cs="Arial"/>
          <w:b w:val="0"/>
        </w:rPr>
        <w:t>mentoring relationship structure, guidance and support system, the rules, responsibilities and program expectations, the communication and interaction environment, and the work environment and resource support speaks for</w:t>
      </w:r>
      <w:r w:rsidRPr="00A61F17">
        <w:rPr>
          <w:rFonts w:ascii="Arial" w:hAnsi="Arial" w:cs="Arial"/>
        </w:rPr>
        <w:t xml:space="preserve"> environmental factors. Lastly, the writing skills variable is associated with human functioning matter stressed in the theory.</w:t>
      </w:r>
    </w:p>
    <w:p w14:paraId="4D824953" w14:textId="77777777" w:rsidR="00790ADA" w:rsidRPr="00FB3A86" w:rsidRDefault="00A61F17" w:rsidP="00441B6F">
      <w:pPr>
        <w:pStyle w:val="Body"/>
        <w:spacing w:after="0"/>
        <w:rPr>
          <w:rFonts w:ascii="Arial" w:hAnsi="Arial" w:cs="Arial"/>
        </w:rPr>
      </w:pPr>
      <w:r w:rsidRPr="00A61F17">
        <w:rPr>
          <w:rFonts w:ascii="Arial" w:hAnsi="Arial" w:cs="Arial"/>
          <w:noProof/>
          <w:lang w:val="en-PH" w:eastAsia="en-PH"/>
        </w:rPr>
        <w:drawing>
          <wp:anchor distT="0" distB="0" distL="114300" distR="114300" simplePos="0" relativeHeight="251628032" behindDoc="1" locked="0" layoutInCell="1" allowOverlap="1" wp14:anchorId="6C255FA7" wp14:editId="70D378A2">
            <wp:simplePos x="0" y="0"/>
            <wp:positionH relativeFrom="margin">
              <wp:posOffset>-114300</wp:posOffset>
            </wp:positionH>
            <wp:positionV relativeFrom="paragraph">
              <wp:posOffset>181610</wp:posOffset>
            </wp:positionV>
            <wp:extent cx="5341620" cy="5144135"/>
            <wp:effectExtent l="0" t="0" r="0" b="0"/>
            <wp:wrapThrough wrapText="bothSides">
              <wp:wrapPolygon edited="0">
                <wp:start x="0" y="0"/>
                <wp:lineTo x="0" y="21517"/>
                <wp:lineTo x="21492" y="21517"/>
                <wp:lineTo x="2149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341620" cy="5144135"/>
                    </a:xfrm>
                    <a:prstGeom prst="rect">
                      <a:avLst/>
                    </a:prstGeom>
                  </pic:spPr>
                </pic:pic>
              </a:graphicData>
            </a:graphic>
            <wp14:sizeRelH relativeFrom="margin">
              <wp14:pctWidth>0</wp14:pctWidth>
            </wp14:sizeRelH>
            <wp14:sizeRelV relativeFrom="margin">
              <wp14:pctHeight>0</wp14:pctHeight>
            </wp14:sizeRelV>
          </wp:anchor>
        </w:drawing>
      </w:r>
    </w:p>
    <w:p w14:paraId="1A43E399" w14:textId="3754340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7F3462" w14:textId="77777777" w:rsidR="00790ADA" w:rsidRPr="00FB3A86" w:rsidRDefault="00790ADA" w:rsidP="00441B6F">
      <w:pPr>
        <w:pStyle w:val="AbstHead"/>
        <w:spacing w:after="0"/>
        <w:jc w:val="both"/>
        <w:rPr>
          <w:rFonts w:ascii="Arial" w:hAnsi="Arial" w:cs="Arial"/>
        </w:rPr>
      </w:pPr>
    </w:p>
    <w:p w14:paraId="6009583C"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r>
        <w:rPr>
          <w:rFonts w:ascii="Arial" w:eastAsia="Cambria" w:hAnsi="Arial" w:cs="Arial"/>
          <w:b/>
          <w:i/>
          <w:color w:val="000000"/>
        </w:rPr>
        <w:t>2.</w:t>
      </w:r>
      <w:proofErr w:type="gramStart"/>
      <w:r>
        <w:rPr>
          <w:rFonts w:ascii="Arial" w:eastAsia="Cambria" w:hAnsi="Arial" w:cs="Arial"/>
          <w:b/>
          <w:i/>
          <w:color w:val="000000"/>
        </w:rPr>
        <w:t>1.</w:t>
      </w:r>
      <w:r w:rsidRPr="00A61F17">
        <w:rPr>
          <w:rFonts w:ascii="Arial" w:eastAsia="Cambria" w:hAnsi="Arial" w:cs="Arial"/>
          <w:b/>
          <w:i/>
          <w:color w:val="000000"/>
        </w:rPr>
        <w:t>Research</w:t>
      </w:r>
      <w:proofErr w:type="gramEnd"/>
      <w:r w:rsidRPr="00A61F17">
        <w:rPr>
          <w:rFonts w:ascii="Arial" w:eastAsia="Cambria" w:hAnsi="Arial" w:cs="Arial"/>
          <w:b/>
          <w:i/>
          <w:color w:val="000000"/>
        </w:rPr>
        <w:t xml:space="preserve"> Design  </w:t>
      </w:r>
    </w:p>
    <w:p w14:paraId="618ADE52" w14:textId="77777777" w:rsidR="00A61F17" w:rsidRPr="00A61F17" w:rsidRDefault="00A61F17" w:rsidP="00A61F17">
      <w:pPr>
        <w:widowControl w:val="0"/>
        <w:pBdr>
          <w:top w:val="nil"/>
          <w:left w:val="nil"/>
          <w:bottom w:val="nil"/>
          <w:right w:val="nil"/>
          <w:between w:val="nil"/>
        </w:pBdr>
        <w:ind w:firstLine="708"/>
        <w:jc w:val="both"/>
        <w:rPr>
          <w:rFonts w:ascii="Arial" w:hAnsi="Arial" w:cs="Arial"/>
        </w:rPr>
      </w:pPr>
      <w:r w:rsidRPr="00A61F17">
        <w:rPr>
          <w:rFonts w:ascii="Arial" w:hAnsi="Arial" w:cs="Arial"/>
        </w:rPr>
        <w:t xml:space="preserve">This study employed a </w:t>
      </w:r>
      <w:r w:rsidRPr="00A61F17">
        <w:rPr>
          <w:rStyle w:val="Strong"/>
          <w:rFonts w:ascii="Arial" w:hAnsi="Arial" w:cs="Arial"/>
          <w:b w:val="0"/>
        </w:rPr>
        <w:t>descriptive-correlational approach</w:t>
      </w:r>
      <w:r w:rsidRPr="00A61F17">
        <w:rPr>
          <w:rFonts w:ascii="Arial" w:hAnsi="Arial" w:cs="Arial"/>
        </w:rPr>
        <w:t xml:space="preserve"> to examine the link between research self-efficacy, student engagement, and research mentoring, and the </w:t>
      </w:r>
      <w:r w:rsidRPr="00A61F17">
        <w:rPr>
          <w:rFonts w:ascii="Arial" w:hAnsi="Arial" w:cs="Arial"/>
        </w:rPr>
        <w:lastRenderedPageBreak/>
        <w:t xml:space="preserve">students’ writing skills. A </w:t>
      </w:r>
      <w:r w:rsidRPr="00A61F17">
        <w:rPr>
          <w:rStyle w:val="Strong"/>
          <w:rFonts w:ascii="Arial" w:hAnsi="Arial" w:cs="Arial"/>
          <w:b w:val="0"/>
        </w:rPr>
        <w:t>descriptive–correlational research design</w:t>
      </w:r>
      <w:r w:rsidRPr="00A61F17">
        <w:rPr>
          <w:rFonts w:ascii="Arial" w:hAnsi="Arial" w:cs="Arial"/>
        </w:rPr>
        <w:t xml:space="preserve"> is a quantitative research approach used to </w:t>
      </w:r>
      <w:r w:rsidRPr="00A61F17">
        <w:rPr>
          <w:rStyle w:val="Strong"/>
          <w:rFonts w:ascii="Arial" w:hAnsi="Arial" w:cs="Arial"/>
          <w:b w:val="0"/>
        </w:rPr>
        <w:t>describe existing conditions and examine the relationship between two or more variables without manipulating them (Hash et al., 2023)</w:t>
      </w:r>
      <w:r w:rsidRPr="00A61F17">
        <w:rPr>
          <w:rFonts w:ascii="Arial" w:hAnsi="Arial" w:cs="Arial"/>
          <w:b/>
        </w:rPr>
        <w:t>.</w:t>
      </w:r>
      <w:r w:rsidRPr="00A61F17">
        <w:rPr>
          <w:rFonts w:ascii="Arial" w:hAnsi="Arial" w:cs="Arial"/>
        </w:rPr>
        <w:t xml:space="preserve"> This design is appropriate for the study because it provides measurable evidence of how the independent variable as mentioned relates with the dependent variable.</w:t>
      </w:r>
    </w:p>
    <w:p w14:paraId="277FD88A" w14:textId="77777777" w:rsidR="00A61F17" w:rsidRPr="00A61F17" w:rsidRDefault="00A61F17" w:rsidP="00A61F17">
      <w:pPr>
        <w:widowControl w:val="0"/>
        <w:pBdr>
          <w:top w:val="nil"/>
          <w:left w:val="nil"/>
          <w:bottom w:val="nil"/>
          <w:right w:val="nil"/>
          <w:between w:val="nil"/>
        </w:pBdr>
        <w:ind w:firstLine="708"/>
        <w:jc w:val="both"/>
        <w:rPr>
          <w:rFonts w:ascii="Arial" w:eastAsia="Cambria" w:hAnsi="Arial" w:cs="Arial"/>
          <w:color w:val="000000"/>
        </w:rPr>
      </w:pPr>
    </w:p>
    <w:p w14:paraId="6EA2FD6C" w14:textId="77777777" w:rsidR="00A61F17" w:rsidRPr="00A61F17" w:rsidRDefault="00A61F17" w:rsidP="00A61F17">
      <w:pPr>
        <w:widowControl w:val="0"/>
        <w:pBdr>
          <w:top w:val="nil"/>
          <w:left w:val="nil"/>
          <w:bottom w:val="nil"/>
          <w:right w:val="nil"/>
          <w:between w:val="nil"/>
        </w:pBdr>
        <w:rPr>
          <w:rFonts w:ascii="Arial" w:eastAsia="Cambria" w:hAnsi="Arial" w:cs="Arial"/>
          <w:b/>
          <w:i/>
          <w:iCs/>
          <w:color w:val="000000"/>
        </w:rPr>
      </w:pPr>
      <w:r>
        <w:rPr>
          <w:rFonts w:ascii="Arial" w:eastAsia="Cambria" w:hAnsi="Arial" w:cs="Arial"/>
          <w:b/>
          <w:i/>
          <w:iCs/>
          <w:color w:val="000000"/>
        </w:rPr>
        <w:t>2.</w:t>
      </w:r>
      <w:proofErr w:type="gramStart"/>
      <w:r>
        <w:rPr>
          <w:rFonts w:ascii="Arial" w:eastAsia="Cambria" w:hAnsi="Arial" w:cs="Arial"/>
          <w:b/>
          <w:i/>
          <w:iCs/>
          <w:color w:val="000000"/>
        </w:rPr>
        <w:t>2.</w:t>
      </w:r>
      <w:r w:rsidRPr="00A61F17">
        <w:rPr>
          <w:rFonts w:ascii="Arial" w:eastAsia="Cambria" w:hAnsi="Arial" w:cs="Arial"/>
          <w:b/>
          <w:i/>
          <w:iCs/>
          <w:color w:val="000000"/>
        </w:rPr>
        <w:t>Locale</w:t>
      </w:r>
      <w:proofErr w:type="gramEnd"/>
      <w:r w:rsidRPr="00A61F17">
        <w:rPr>
          <w:rFonts w:ascii="Arial" w:eastAsia="Cambria" w:hAnsi="Arial" w:cs="Arial"/>
          <w:b/>
          <w:i/>
          <w:iCs/>
          <w:color w:val="000000"/>
        </w:rPr>
        <w:t xml:space="preserve"> of the Study  </w:t>
      </w:r>
    </w:p>
    <w:p w14:paraId="7DE10986" w14:textId="77777777" w:rsidR="00A61F17" w:rsidRPr="00A61F17" w:rsidRDefault="00A61F17" w:rsidP="00A61F17">
      <w:pPr>
        <w:pStyle w:val="NormalWeb"/>
        <w:spacing w:beforeAutospacing="0" w:afterAutospacing="0"/>
        <w:jc w:val="both"/>
        <w:rPr>
          <w:rFonts w:ascii="Arial" w:eastAsia="Times New Roman" w:hAnsi="Arial" w:cs="Arial"/>
          <w:sz w:val="20"/>
          <w:szCs w:val="20"/>
          <w:lang w:val="en-PH" w:eastAsia="en-PH"/>
        </w:rPr>
      </w:pPr>
      <w:r w:rsidRPr="00A61F17">
        <w:rPr>
          <w:rFonts w:ascii="Arial" w:hAnsi="Arial" w:cs="Arial"/>
          <w:sz w:val="20"/>
          <w:szCs w:val="20"/>
        </w:rPr>
        <w:tab/>
        <w:t xml:space="preserve">The study was conducted at Samal Island City College, a recognized higher education institution. </w:t>
      </w:r>
      <w:r w:rsidRPr="00A61F17">
        <w:rPr>
          <w:rFonts w:ascii="Arial" w:eastAsia="Times New Roman" w:hAnsi="Arial" w:cs="Arial"/>
          <w:sz w:val="20"/>
          <w:szCs w:val="20"/>
        </w:rPr>
        <w:t>Samal Island City College serves as one of the higher education institutions in the area, providing tertiary education to students from the island and nearby communities. Its location supports access to higher education for local residents.</w:t>
      </w:r>
      <w:r w:rsidRPr="00A61F17">
        <w:rPr>
          <w:rFonts w:ascii="Arial" w:hAnsi="Arial" w:cs="Arial"/>
          <w:sz w:val="20"/>
          <w:szCs w:val="20"/>
        </w:rPr>
        <w:t xml:space="preserve"> </w:t>
      </w:r>
      <w:r w:rsidRPr="00A61F17">
        <w:rPr>
          <w:rFonts w:ascii="Arial" w:eastAsia="Times New Roman" w:hAnsi="Arial" w:cs="Arial"/>
          <w:sz w:val="20"/>
          <w:szCs w:val="20"/>
          <w:lang w:val="en-PH" w:eastAsia="en-PH"/>
        </w:rPr>
        <w:t xml:space="preserve">The institution is located in the Island Garden City of Samal, an island city situated in the Davao Gulf, and is accessible from Davao City by ferry. Moreover, </w:t>
      </w:r>
      <w:r w:rsidRPr="00A61F17">
        <w:rPr>
          <w:rFonts w:ascii="Arial" w:hAnsi="Arial" w:cs="Arial"/>
          <w:sz w:val="20"/>
          <w:szCs w:val="20"/>
        </w:rPr>
        <w:t>Samal Island hosts several educational institutions, including three colleges and numerous primary and secondary schools that serve learners across the island. These institutions play an important role in providing accessible education and supporting the academic development of students in the local community.</w:t>
      </w:r>
    </w:p>
    <w:p w14:paraId="3D374C18"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p>
    <w:p w14:paraId="0D6F1CA6"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r>
        <w:rPr>
          <w:rFonts w:ascii="Arial" w:eastAsia="Cambria" w:hAnsi="Arial" w:cs="Arial"/>
          <w:b/>
          <w:i/>
          <w:color w:val="000000"/>
        </w:rPr>
        <w:t>2.</w:t>
      </w:r>
      <w:proofErr w:type="gramStart"/>
      <w:r>
        <w:rPr>
          <w:rFonts w:ascii="Arial" w:eastAsia="Cambria" w:hAnsi="Arial" w:cs="Arial"/>
          <w:b/>
          <w:i/>
          <w:color w:val="000000"/>
        </w:rPr>
        <w:t>3.</w:t>
      </w:r>
      <w:r w:rsidRPr="00A61F17">
        <w:rPr>
          <w:rFonts w:ascii="Arial" w:eastAsia="Cambria" w:hAnsi="Arial" w:cs="Arial"/>
          <w:b/>
          <w:i/>
          <w:color w:val="000000"/>
        </w:rPr>
        <w:t>Sample</w:t>
      </w:r>
      <w:proofErr w:type="gramEnd"/>
      <w:r w:rsidRPr="00A61F17">
        <w:rPr>
          <w:rFonts w:ascii="Arial" w:eastAsia="Cambria" w:hAnsi="Arial" w:cs="Arial"/>
          <w:b/>
          <w:i/>
          <w:color w:val="000000"/>
        </w:rPr>
        <w:t xml:space="preserve"> and Sampling Technique</w:t>
      </w:r>
    </w:p>
    <w:p w14:paraId="7AAABD4E" w14:textId="77777777" w:rsidR="00A61F17" w:rsidRPr="00A61F17" w:rsidRDefault="00A61F17" w:rsidP="00A61F17">
      <w:pPr>
        <w:jc w:val="both"/>
        <w:rPr>
          <w:rFonts w:ascii="Arial" w:hAnsi="Arial" w:cs="Arial"/>
        </w:rPr>
      </w:pPr>
      <w:r w:rsidRPr="00A61F17">
        <w:rPr>
          <w:rFonts w:ascii="Arial" w:hAnsi="Arial" w:cs="Arial"/>
        </w:rPr>
        <w:tab/>
        <w:t xml:space="preserve">The respondents of this study were first-year College students of four non-board programs, namely, Bachelor of Public Administration, Bachelor of Tourism Management, Bachelor of Science in Entrepreneurship, and Bachelor of Science in Agri-business. They are duly enrolled in the Academic Year 2025–2026. </w:t>
      </w:r>
    </w:p>
    <w:p w14:paraId="032D519A" w14:textId="77777777" w:rsidR="00A61F17" w:rsidRPr="00A61F17" w:rsidRDefault="00A61F17" w:rsidP="00A61F17">
      <w:pPr>
        <w:jc w:val="both"/>
        <w:rPr>
          <w:rFonts w:ascii="Arial" w:hAnsi="Arial" w:cs="Arial"/>
        </w:rPr>
      </w:pPr>
      <w:r w:rsidRPr="00A61F17">
        <w:rPr>
          <w:rFonts w:ascii="Arial" w:hAnsi="Arial" w:cs="Arial"/>
        </w:rPr>
        <w:tab/>
        <w:t xml:space="preserve">The respondents were selected through simple random sampling, giving each student an equal chance of participation. This method minimizes bias and ensures that the sample accurately represents the population. As Thomas (2023) emphasized, random sampling provides fairness and reliability in participant selection, strengthening the validity of the study’s findings. From a total population of 500, a representative sample of 218 students was determined using the </w:t>
      </w:r>
      <w:proofErr w:type="spellStart"/>
      <w:r w:rsidRPr="00A61F17">
        <w:rPr>
          <w:rFonts w:ascii="Arial" w:hAnsi="Arial" w:cs="Arial"/>
        </w:rPr>
        <w:t>Raosoft</w:t>
      </w:r>
      <w:proofErr w:type="spellEnd"/>
      <w:r w:rsidRPr="00A61F17">
        <w:rPr>
          <w:rFonts w:ascii="Arial" w:hAnsi="Arial" w:cs="Arial"/>
        </w:rPr>
        <w:t xml:space="preserve"> formula, ensuring accuracy at a 95% confidence level and a 5% margin of error. Online calculators such as </w:t>
      </w:r>
      <w:proofErr w:type="spellStart"/>
      <w:r w:rsidRPr="00A61F17">
        <w:rPr>
          <w:rFonts w:ascii="Arial" w:hAnsi="Arial" w:cs="Arial"/>
        </w:rPr>
        <w:t>Raosoft</w:t>
      </w:r>
      <w:proofErr w:type="spellEnd"/>
      <w:r w:rsidRPr="00A61F17">
        <w:rPr>
          <w:rFonts w:ascii="Arial" w:hAnsi="Arial" w:cs="Arial"/>
        </w:rPr>
        <w:t xml:space="preserve"> are widely recognized for providing reliable estimates efficiently (</w:t>
      </w:r>
      <w:proofErr w:type="spellStart"/>
      <w:r w:rsidRPr="00A61F17">
        <w:rPr>
          <w:rFonts w:ascii="Arial" w:hAnsi="Arial" w:cs="Arial"/>
        </w:rPr>
        <w:t>ClinCalc</w:t>
      </w:r>
      <w:proofErr w:type="spellEnd"/>
      <w:r w:rsidRPr="00A61F17">
        <w:rPr>
          <w:rFonts w:ascii="Arial" w:hAnsi="Arial" w:cs="Arial"/>
        </w:rPr>
        <w:t>, 2022).</w:t>
      </w:r>
    </w:p>
    <w:p w14:paraId="7CA02296" w14:textId="77777777" w:rsidR="00A61F17" w:rsidRPr="00A61F17" w:rsidRDefault="00A61F17" w:rsidP="00A61F17">
      <w:pPr>
        <w:pStyle w:val="NormalWeb"/>
        <w:spacing w:beforeAutospacing="0" w:afterAutospacing="0"/>
        <w:jc w:val="both"/>
        <w:rPr>
          <w:rFonts w:ascii="Arial" w:hAnsi="Arial" w:cs="Arial"/>
          <w:b/>
          <w:bCs/>
          <w:i/>
          <w:sz w:val="20"/>
          <w:szCs w:val="20"/>
          <w:lang w:val="en-GB"/>
        </w:rPr>
      </w:pPr>
    </w:p>
    <w:p w14:paraId="265BC3B1" w14:textId="77777777" w:rsidR="00A61F17" w:rsidRPr="00FF7627" w:rsidRDefault="00FF7627" w:rsidP="00FF7627">
      <w:pPr>
        <w:pStyle w:val="NormalWeb"/>
        <w:spacing w:beforeAutospacing="0" w:afterAutospacing="0"/>
        <w:jc w:val="both"/>
        <w:rPr>
          <w:rFonts w:ascii="Arial" w:hAnsi="Arial" w:cs="Arial"/>
          <w:b/>
          <w:bCs/>
          <w:i/>
          <w:sz w:val="20"/>
          <w:szCs w:val="20"/>
          <w:lang w:val="en-GB"/>
        </w:rPr>
      </w:pPr>
      <w:r>
        <w:rPr>
          <w:rFonts w:ascii="Arial" w:hAnsi="Arial" w:cs="Arial"/>
          <w:b/>
          <w:bCs/>
          <w:i/>
          <w:sz w:val="20"/>
          <w:szCs w:val="20"/>
          <w:lang w:val="en-GB"/>
        </w:rPr>
        <w:t>2.</w:t>
      </w:r>
      <w:proofErr w:type="gramStart"/>
      <w:r>
        <w:rPr>
          <w:rFonts w:ascii="Arial" w:hAnsi="Arial" w:cs="Arial"/>
          <w:b/>
          <w:bCs/>
          <w:i/>
          <w:sz w:val="20"/>
          <w:szCs w:val="20"/>
          <w:lang w:val="en-GB"/>
        </w:rPr>
        <w:t>4.</w:t>
      </w:r>
      <w:r w:rsidR="00A61F17" w:rsidRPr="00A61F17">
        <w:rPr>
          <w:rFonts w:ascii="Arial" w:hAnsi="Arial" w:cs="Arial"/>
          <w:b/>
          <w:bCs/>
          <w:i/>
          <w:sz w:val="20"/>
          <w:szCs w:val="20"/>
          <w:lang w:val="en-GB"/>
        </w:rPr>
        <w:t>Data</w:t>
      </w:r>
      <w:proofErr w:type="gramEnd"/>
      <w:r w:rsidR="00A61F17" w:rsidRPr="00A61F17">
        <w:rPr>
          <w:rFonts w:ascii="Arial" w:hAnsi="Arial" w:cs="Arial"/>
          <w:b/>
          <w:bCs/>
          <w:i/>
          <w:sz w:val="20"/>
          <w:szCs w:val="20"/>
          <w:lang w:val="en-GB"/>
        </w:rPr>
        <w:t xml:space="preserve"> Gathering Technique</w:t>
      </w:r>
    </w:p>
    <w:p w14:paraId="296F16C6" w14:textId="77777777" w:rsidR="00A61F17" w:rsidRPr="00A61F17" w:rsidRDefault="00A61F17" w:rsidP="00A61F17">
      <w:pPr>
        <w:jc w:val="both"/>
        <w:rPr>
          <w:rFonts w:ascii="Arial" w:hAnsi="Arial" w:cs="Arial"/>
        </w:rPr>
      </w:pPr>
      <w:r w:rsidRPr="00A61F17">
        <w:rPr>
          <w:rFonts w:ascii="Arial" w:hAnsi="Arial" w:cs="Arial"/>
        </w:rPr>
        <w:tab/>
        <w:t xml:space="preserve">The study utilized survey questionnaire technique in gathering data. The </w:t>
      </w:r>
      <w:r w:rsidRPr="00FF7627">
        <w:rPr>
          <w:rStyle w:val="Strong"/>
          <w:rFonts w:ascii="Arial" w:hAnsi="Arial" w:cs="Arial"/>
          <w:b w:val="0"/>
        </w:rPr>
        <w:t>survey data gathering technique</w:t>
      </w:r>
      <w:r w:rsidRPr="00A61F17">
        <w:rPr>
          <w:rFonts w:ascii="Arial" w:hAnsi="Arial" w:cs="Arial"/>
        </w:rPr>
        <w:t xml:space="preserve"> is a quantitative method used to collect information from a group of respondents through </w:t>
      </w:r>
      <w:r w:rsidRPr="00FF7627">
        <w:rPr>
          <w:rStyle w:val="Strong"/>
          <w:rFonts w:ascii="Arial" w:hAnsi="Arial" w:cs="Arial"/>
          <w:b w:val="0"/>
        </w:rPr>
        <w:t>structured questionnaires or surveys</w:t>
      </w:r>
      <w:r w:rsidRPr="00A61F17">
        <w:rPr>
          <w:rFonts w:ascii="Arial" w:hAnsi="Arial" w:cs="Arial"/>
        </w:rPr>
        <w:t xml:space="preserve">. Surveys are commonly administered through printed questionnaires, online forms, or interviews to obtain responses that can be analyzed statistically (Creswell &amp; Creswell, 2023). </w:t>
      </w:r>
    </w:p>
    <w:p w14:paraId="25C9699F" w14:textId="77777777" w:rsidR="00A61F17" w:rsidRPr="00A61F17" w:rsidRDefault="00A61F17" w:rsidP="00A61F17">
      <w:pPr>
        <w:jc w:val="both"/>
        <w:rPr>
          <w:rFonts w:ascii="Arial" w:hAnsi="Arial" w:cs="Arial"/>
        </w:rPr>
      </w:pPr>
      <w:r w:rsidRPr="00A61F17">
        <w:rPr>
          <w:rFonts w:ascii="Arial" w:hAnsi="Arial" w:cs="Arial"/>
        </w:rPr>
        <w:tab/>
        <w:t xml:space="preserve">In this study, the research instruments were printed and distributed to the identified respondents. The questionnaire used to measure research self-efficacy was adapted from the Research Self-Efficacy Scale (RSS) by Sener et al. (2011), yielding a reliability coefficient of 0.917. The questionnaire used to measure student engagement was adapted from the Australasian Survey of Student Engagement (AUSSE) (Coates &amp; Hillman, 2008), with a coefficient of 0.953. The questionnaire used to measure research mentoring was adapted from the Mentor-Mentee Research Relations Questionnaire, producing a coefficient of 0.944. Each section contained multiple items, ensuring comprehensiveness while remaining manageable. </w:t>
      </w:r>
      <w:r w:rsidRPr="00A61F17">
        <w:rPr>
          <w:rFonts w:ascii="Arial" w:eastAsia="Cambria" w:hAnsi="Arial" w:cs="Arial"/>
          <w:color w:val="000000"/>
        </w:rPr>
        <w:t xml:space="preserve">The quality and validity of the instrument were ensured through the validation panel of </w:t>
      </w:r>
      <w:r w:rsidRPr="00A61F17">
        <w:rPr>
          <w:rFonts w:ascii="Arial" w:eastAsia="Cambria" w:hAnsi="Arial" w:cs="Arial"/>
        </w:rPr>
        <w:t xml:space="preserve">experts and </w:t>
      </w:r>
      <w:r w:rsidRPr="00A61F17">
        <w:rPr>
          <w:rFonts w:ascii="Arial" w:eastAsia="Cambria" w:hAnsi="Arial" w:cs="Arial"/>
          <w:color w:val="000000"/>
        </w:rPr>
        <w:t>research specialists. A pilot test was then conducted on thirty (30) students who were not part of the actual respondents to determine the clarity and usability of the items</w:t>
      </w:r>
      <w:r w:rsidRPr="00A61F17">
        <w:rPr>
          <w:rFonts w:ascii="Arial" w:hAnsi="Arial" w:cs="Arial"/>
        </w:rPr>
        <w:t xml:space="preserve">, and confirmed excellent reliability and internal consistency. </w:t>
      </w:r>
    </w:p>
    <w:p w14:paraId="3AE5BB60" w14:textId="77777777" w:rsidR="00A61F17" w:rsidRPr="00A61F17" w:rsidRDefault="00A61F17" w:rsidP="00A61F17">
      <w:pPr>
        <w:jc w:val="both"/>
        <w:rPr>
          <w:rFonts w:ascii="Arial" w:hAnsi="Arial" w:cs="Arial"/>
        </w:rPr>
      </w:pPr>
      <w:r w:rsidRPr="00A61F17">
        <w:rPr>
          <w:rFonts w:ascii="Arial" w:hAnsi="Arial" w:cs="Arial"/>
        </w:rPr>
        <w:tab/>
        <w:t xml:space="preserve">On the other hand, students’ writing skills were measured through an actual writing task, separate from the questionnaire. Written outputs were evaluated using Artificial Intelligence (AI) tools, specifically Gemini and Copilot, ensuring consistent scoring and </w:t>
      </w:r>
      <w:r w:rsidRPr="00A61F17">
        <w:rPr>
          <w:rFonts w:ascii="Arial" w:hAnsi="Arial" w:cs="Arial"/>
        </w:rPr>
        <w:lastRenderedPageBreak/>
        <w:t>minimizing personal bias. Respondents completed the task independently, and AI raters assessed outputs objectively. Evaluation was based on six criteria, content, organization, word choice, voice and tone, sentence structure, and conventions, adapted from Saddler and Andrade (2004).</w:t>
      </w:r>
    </w:p>
    <w:p w14:paraId="1A5217B6" w14:textId="77777777" w:rsidR="00A61F17" w:rsidRPr="00A61F17" w:rsidRDefault="00A61F17" w:rsidP="00A61F17">
      <w:pPr>
        <w:pStyle w:val="NormalWeb"/>
        <w:spacing w:beforeAutospacing="0" w:afterAutospacing="0"/>
        <w:ind w:firstLine="420"/>
        <w:jc w:val="both"/>
        <w:rPr>
          <w:rFonts w:ascii="Arial" w:hAnsi="Arial" w:cs="Arial"/>
          <w:sz w:val="20"/>
          <w:szCs w:val="20"/>
        </w:rPr>
      </w:pPr>
    </w:p>
    <w:p w14:paraId="5A645FAE" w14:textId="77777777" w:rsidR="00A61F17" w:rsidRPr="00A61F17" w:rsidRDefault="00FF7627" w:rsidP="00A61F17">
      <w:pPr>
        <w:widowControl w:val="0"/>
        <w:pBdr>
          <w:top w:val="nil"/>
          <w:left w:val="nil"/>
          <w:bottom w:val="nil"/>
          <w:right w:val="nil"/>
          <w:between w:val="nil"/>
        </w:pBdr>
        <w:rPr>
          <w:rFonts w:ascii="Arial" w:eastAsia="Cambria" w:hAnsi="Arial" w:cs="Arial"/>
          <w:b/>
          <w:i/>
          <w:color w:val="000000"/>
        </w:rPr>
      </w:pPr>
      <w:r>
        <w:rPr>
          <w:rFonts w:ascii="Arial" w:eastAsia="Cambria" w:hAnsi="Arial" w:cs="Arial"/>
          <w:b/>
          <w:i/>
          <w:color w:val="000000"/>
        </w:rPr>
        <w:t>2.</w:t>
      </w:r>
      <w:proofErr w:type="gramStart"/>
      <w:r>
        <w:rPr>
          <w:rFonts w:ascii="Arial" w:eastAsia="Cambria" w:hAnsi="Arial" w:cs="Arial"/>
          <w:b/>
          <w:i/>
          <w:color w:val="000000"/>
        </w:rPr>
        <w:t>5.</w:t>
      </w:r>
      <w:r w:rsidR="00A61F17" w:rsidRPr="00A61F17">
        <w:rPr>
          <w:rFonts w:ascii="Arial" w:eastAsia="Cambria" w:hAnsi="Arial" w:cs="Arial"/>
          <w:b/>
          <w:i/>
          <w:color w:val="000000"/>
        </w:rPr>
        <w:t>Data</w:t>
      </w:r>
      <w:proofErr w:type="gramEnd"/>
      <w:r w:rsidR="00A61F17" w:rsidRPr="00A61F17">
        <w:rPr>
          <w:rFonts w:ascii="Arial" w:eastAsia="Cambria" w:hAnsi="Arial" w:cs="Arial"/>
          <w:b/>
          <w:i/>
          <w:color w:val="000000"/>
        </w:rPr>
        <w:t xml:space="preserve"> Analysis Technique</w:t>
      </w:r>
    </w:p>
    <w:p w14:paraId="57B789C0" w14:textId="77777777" w:rsidR="00A61F17" w:rsidRPr="00A61F17" w:rsidRDefault="00A61F17" w:rsidP="00A61F17">
      <w:pPr>
        <w:widowControl w:val="0"/>
        <w:pBdr>
          <w:top w:val="nil"/>
          <w:left w:val="nil"/>
          <w:bottom w:val="nil"/>
          <w:right w:val="nil"/>
          <w:between w:val="nil"/>
        </w:pBdr>
        <w:jc w:val="both"/>
        <w:rPr>
          <w:rFonts w:ascii="Arial" w:hAnsi="Arial" w:cs="Arial"/>
        </w:rPr>
      </w:pPr>
      <w:r w:rsidRPr="00A61F17">
        <w:rPr>
          <w:rFonts w:ascii="Arial" w:eastAsia="Cambria" w:hAnsi="Arial" w:cs="Arial"/>
          <w:b/>
          <w:i/>
          <w:color w:val="000000"/>
        </w:rPr>
        <w:tab/>
      </w:r>
      <w:r w:rsidRPr="00A61F17">
        <w:rPr>
          <w:rFonts w:ascii="Arial" w:hAnsi="Arial" w:cs="Arial"/>
        </w:rPr>
        <w:t>In analyzing and interpreting the results of this study, the researcher employed statistical tools:</w:t>
      </w:r>
    </w:p>
    <w:p w14:paraId="372C6809"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r w:rsidRPr="00A61F17">
        <w:rPr>
          <w:rFonts w:ascii="Arial" w:hAnsi="Arial" w:cs="Arial"/>
        </w:rPr>
        <w:tab/>
      </w:r>
      <w:r w:rsidR="00FF7627" w:rsidRPr="00FF7627">
        <w:rPr>
          <w:rFonts w:ascii="Arial" w:hAnsi="Arial" w:cs="Arial"/>
          <w:b/>
        </w:rPr>
        <w:t>2.5.</w:t>
      </w:r>
      <w:proofErr w:type="gramStart"/>
      <w:r w:rsidR="00FF7627" w:rsidRPr="00FF7627">
        <w:rPr>
          <w:rFonts w:ascii="Arial" w:hAnsi="Arial" w:cs="Arial"/>
          <w:b/>
        </w:rPr>
        <w:t>1.</w:t>
      </w:r>
      <w:r w:rsidRPr="00A61F17">
        <w:rPr>
          <w:rStyle w:val="Strong"/>
          <w:rFonts w:ascii="Arial" w:hAnsi="Arial" w:cs="Arial"/>
        </w:rPr>
        <w:t>Descriptive</w:t>
      </w:r>
      <w:proofErr w:type="gramEnd"/>
      <w:r w:rsidRPr="00A61F17">
        <w:rPr>
          <w:rStyle w:val="Strong"/>
          <w:rFonts w:ascii="Arial" w:hAnsi="Arial" w:cs="Arial"/>
        </w:rPr>
        <w:t xml:space="preserve"> statistical analysis using mean and standard deviation</w:t>
      </w:r>
      <w:r w:rsidRPr="00A61F17">
        <w:rPr>
          <w:rStyle w:val="Strong"/>
          <w:rFonts w:ascii="Arial" w:hAnsi="Arial" w:cs="Arial"/>
          <w:i/>
        </w:rPr>
        <w:t xml:space="preserve"> </w:t>
      </w:r>
      <w:r w:rsidRPr="00A61F17">
        <w:rPr>
          <w:rFonts w:ascii="Arial" w:hAnsi="Arial" w:cs="Arial"/>
        </w:rPr>
        <w:t>were utilized to determine the levels of students’ research self-efficacy, student engagement, and research mentoring, and writing skills. These measures summarize responses and describe overall tendencies in each variable (Creswell &amp; Creswell, 2021). Computed values identified whether students exhibited high, moderate, or low levels of these factors and skills.</w:t>
      </w:r>
    </w:p>
    <w:p w14:paraId="3DA00094" w14:textId="77777777" w:rsidR="00A61F17" w:rsidRDefault="00A61F17" w:rsidP="00A61F17">
      <w:pPr>
        <w:widowControl w:val="0"/>
        <w:pBdr>
          <w:top w:val="nil"/>
          <w:left w:val="nil"/>
          <w:bottom w:val="nil"/>
          <w:right w:val="nil"/>
          <w:between w:val="nil"/>
        </w:pBdr>
        <w:ind w:right="172" w:firstLine="720"/>
        <w:jc w:val="both"/>
        <w:rPr>
          <w:rFonts w:ascii="Arial" w:eastAsia="Calibri" w:hAnsi="Arial" w:cs="Arial"/>
          <w:color w:val="000000"/>
        </w:rPr>
      </w:pPr>
      <w:r w:rsidRPr="00A61F17">
        <w:rPr>
          <w:rFonts w:ascii="Arial" w:eastAsia="Cambria" w:hAnsi="Arial" w:cs="Arial"/>
          <w:color w:val="000000"/>
        </w:rPr>
        <w:t>In the following section, the matrix containing the scale, descriptive level, and corresponding interpretation assigned to each variable in this study is presented. This measure is specifically used to describe the levels of research self-efficacy, student engagement, research mentoring, and the writing skills</w:t>
      </w:r>
      <w:r w:rsidRPr="00A61F17">
        <w:rPr>
          <w:rFonts w:ascii="Arial" w:eastAsia="Calibri" w:hAnsi="Arial" w:cs="Arial"/>
          <w:color w:val="000000"/>
        </w:rPr>
        <w:t>.</w:t>
      </w:r>
    </w:p>
    <w:p w14:paraId="21AF1C32" w14:textId="77777777" w:rsidR="00515628" w:rsidRDefault="00515628" w:rsidP="00A61F17">
      <w:pPr>
        <w:widowControl w:val="0"/>
        <w:pBdr>
          <w:top w:val="nil"/>
          <w:left w:val="nil"/>
          <w:bottom w:val="nil"/>
          <w:right w:val="nil"/>
          <w:between w:val="nil"/>
        </w:pBdr>
        <w:ind w:right="172" w:firstLine="720"/>
        <w:jc w:val="both"/>
        <w:rPr>
          <w:rFonts w:ascii="Arial" w:eastAsia="Calibri" w:hAnsi="Arial" w:cs="Arial"/>
          <w:color w:val="000000"/>
        </w:rPr>
      </w:pPr>
    </w:p>
    <w:p w14:paraId="37F363C9" w14:textId="5BFD0312" w:rsidR="00515628" w:rsidRPr="00A61F17" w:rsidRDefault="00515628" w:rsidP="00A61F17">
      <w:pPr>
        <w:widowControl w:val="0"/>
        <w:pBdr>
          <w:top w:val="nil"/>
          <w:left w:val="nil"/>
          <w:bottom w:val="nil"/>
          <w:right w:val="nil"/>
          <w:between w:val="nil"/>
        </w:pBdr>
        <w:ind w:right="172" w:firstLine="720"/>
        <w:jc w:val="both"/>
        <w:rPr>
          <w:rFonts w:ascii="Arial" w:eastAsia="Calibri" w:hAnsi="Arial" w:cs="Arial"/>
          <w:color w:val="000000"/>
        </w:rPr>
      </w:pPr>
      <w:r>
        <w:rPr>
          <w:rFonts w:ascii="Arial" w:eastAsia="Calibri" w:hAnsi="Arial" w:cs="Arial"/>
          <w:color w:val="000000"/>
        </w:rPr>
        <w:t xml:space="preserve">List 1. </w:t>
      </w:r>
      <w:r w:rsidR="002D5FA4">
        <w:rPr>
          <w:rFonts w:ascii="Arial" w:hAnsi="Arial" w:cs="Arial"/>
        </w:rPr>
        <w:t>Determination of</w:t>
      </w:r>
      <w:r w:rsidR="002D5FA4" w:rsidRPr="00A61F17">
        <w:rPr>
          <w:rFonts w:ascii="Arial" w:hAnsi="Arial" w:cs="Arial"/>
        </w:rPr>
        <w:t xml:space="preserve"> the levels of students’ research self-efficacy, student engagement, and research mentoring</w:t>
      </w:r>
    </w:p>
    <w:p w14:paraId="3E430967" w14:textId="77777777" w:rsidR="00A61F17" w:rsidRPr="00A61F17" w:rsidRDefault="00A61F17" w:rsidP="00A61F17">
      <w:pPr>
        <w:widowControl w:val="0"/>
        <w:pBdr>
          <w:top w:val="nil"/>
          <w:left w:val="nil"/>
          <w:bottom w:val="nil"/>
          <w:right w:val="nil"/>
          <w:between w:val="nil"/>
        </w:pBdr>
        <w:ind w:right="172" w:firstLine="720"/>
        <w:jc w:val="both"/>
        <w:rPr>
          <w:rFonts w:ascii="Arial" w:eastAsia="Calibri" w:hAnsi="Arial" w:cs="Arial"/>
          <w:color w:val="000000"/>
        </w:rPr>
      </w:pPr>
    </w:p>
    <w:tbl>
      <w:tblPr>
        <w:tblW w:w="8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34"/>
        <w:gridCol w:w="1134"/>
        <w:gridCol w:w="1843"/>
        <w:gridCol w:w="2126"/>
        <w:gridCol w:w="1985"/>
      </w:tblGrid>
      <w:tr w:rsidR="00A61F17" w:rsidRPr="00A61F17" w14:paraId="3805BA17" w14:textId="77777777" w:rsidTr="00515628">
        <w:trPr>
          <w:trHeight w:val="331"/>
          <w:jc w:val="center"/>
        </w:trPr>
        <w:tc>
          <w:tcPr>
            <w:tcW w:w="1234" w:type="dxa"/>
            <w:tcMar>
              <w:top w:w="100" w:type="dxa"/>
              <w:left w:w="100" w:type="dxa"/>
              <w:bottom w:w="100" w:type="dxa"/>
              <w:right w:w="100" w:type="dxa"/>
            </w:tcMar>
          </w:tcPr>
          <w:p w14:paraId="2CCC93E1"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 xml:space="preserve">Scale </w:t>
            </w:r>
          </w:p>
        </w:tc>
        <w:tc>
          <w:tcPr>
            <w:tcW w:w="1134" w:type="dxa"/>
            <w:tcMar>
              <w:top w:w="100" w:type="dxa"/>
              <w:left w:w="100" w:type="dxa"/>
              <w:bottom w:w="100" w:type="dxa"/>
              <w:right w:w="100" w:type="dxa"/>
            </w:tcMar>
          </w:tcPr>
          <w:p w14:paraId="3F51E1F3"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 xml:space="preserve">Level </w:t>
            </w:r>
          </w:p>
        </w:tc>
        <w:tc>
          <w:tcPr>
            <w:tcW w:w="1843" w:type="dxa"/>
            <w:tcMar>
              <w:top w:w="100" w:type="dxa"/>
              <w:left w:w="100" w:type="dxa"/>
              <w:bottom w:w="100" w:type="dxa"/>
              <w:right w:w="100" w:type="dxa"/>
            </w:tcMar>
          </w:tcPr>
          <w:p w14:paraId="4355FE7E"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Research Self-efficacy</w:t>
            </w:r>
          </w:p>
        </w:tc>
        <w:tc>
          <w:tcPr>
            <w:tcW w:w="2126" w:type="dxa"/>
            <w:tcMar>
              <w:top w:w="100" w:type="dxa"/>
              <w:left w:w="100" w:type="dxa"/>
              <w:bottom w:w="100" w:type="dxa"/>
              <w:right w:w="100" w:type="dxa"/>
            </w:tcMar>
          </w:tcPr>
          <w:p w14:paraId="55111219"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Student Engagement</w:t>
            </w:r>
          </w:p>
        </w:tc>
        <w:tc>
          <w:tcPr>
            <w:tcW w:w="1985" w:type="dxa"/>
          </w:tcPr>
          <w:p w14:paraId="0AF01942" w14:textId="77777777" w:rsidR="00A61F17" w:rsidRPr="00A61F17" w:rsidRDefault="00A61F17" w:rsidP="00A61F17">
            <w:pPr>
              <w:widowControl w:val="0"/>
              <w:pBdr>
                <w:top w:val="nil"/>
                <w:left w:val="nil"/>
                <w:bottom w:val="nil"/>
                <w:right w:val="nil"/>
                <w:between w:val="nil"/>
              </w:pBdr>
              <w:jc w:val="center"/>
              <w:rPr>
                <w:rFonts w:ascii="Arial" w:eastAsia="Cambria" w:hAnsi="Arial" w:cs="Arial"/>
                <w:b/>
                <w:i/>
                <w:color w:val="000000"/>
              </w:rPr>
            </w:pPr>
            <w:r w:rsidRPr="00A61F17">
              <w:rPr>
                <w:rFonts w:ascii="Arial" w:eastAsia="Cambria" w:hAnsi="Arial" w:cs="Arial"/>
                <w:b/>
                <w:i/>
                <w:color w:val="000000"/>
              </w:rPr>
              <w:t>Research Mentoring</w:t>
            </w:r>
          </w:p>
        </w:tc>
      </w:tr>
      <w:tr w:rsidR="00A61F17" w:rsidRPr="00A61F17" w14:paraId="4983BBAF" w14:textId="77777777" w:rsidTr="00515628">
        <w:trPr>
          <w:trHeight w:val="444"/>
          <w:jc w:val="center"/>
        </w:trPr>
        <w:tc>
          <w:tcPr>
            <w:tcW w:w="1234" w:type="dxa"/>
            <w:tcMar>
              <w:top w:w="100" w:type="dxa"/>
              <w:left w:w="100" w:type="dxa"/>
              <w:bottom w:w="100" w:type="dxa"/>
              <w:right w:w="100" w:type="dxa"/>
            </w:tcMar>
          </w:tcPr>
          <w:p w14:paraId="4EC0D846" w14:textId="77777777" w:rsidR="00A61F17" w:rsidRPr="00A61F17" w:rsidRDefault="00A61F17" w:rsidP="00A61F17">
            <w:pPr>
              <w:widowControl w:val="0"/>
              <w:pBdr>
                <w:top w:val="nil"/>
                <w:left w:val="nil"/>
                <w:bottom w:val="nil"/>
                <w:right w:val="nil"/>
                <w:between w:val="nil"/>
              </w:pBdr>
              <w:ind w:left="134"/>
              <w:jc w:val="center"/>
              <w:rPr>
                <w:rFonts w:ascii="Arial" w:eastAsia="Cambria" w:hAnsi="Arial" w:cs="Arial"/>
                <w:color w:val="000000"/>
              </w:rPr>
            </w:pPr>
            <w:r w:rsidRPr="00A61F17">
              <w:rPr>
                <w:rFonts w:ascii="Arial" w:hAnsi="Arial" w:cs="Arial"/>
                <w:lang w:val="en-GB"/>
              </w:rPr>
              <w:t>3.25-4.00</w:t>
            </w:r>
          </w:p>
        </w:tc>
        <w:tc>
          <w:tcPr>
            <w:tcW w:w="1134" w:type="dxa"/>
            <w:tcMar>
              <w:top w:w="100" w:type="dxa"/>
              <w:left w:w="100" w:type="dxa"/>
              <w:bottom w:w="100" w:type="dxa"/>
              <w:right w:w="100" w:type="dxa"/>
            </w:tcMar>
          </w:tcPr>
          <w:p w14:paraId="5735E00D" w14:textId="77777777" w:rsidR="00A61F17" w:rsidRPr="00A61F17" w:rsidRDefault="00A61F17" w:rsidP="00A61F17">
            <w:pPr>
              <w:widowControl w:val="0"/>
              <w:pBdr>
                <w:top w:val="nil"/>
                <w:left w:val="nil"/>
                <w:bottom w:val="nil"/>
                <w:right w:val="nil"/>
                <w:between w:val="nil"/>
              </w:pBdr>
              <w:ind w:left="112"/>
              <w:jc w:val="center"/>
              <w:rPr>
                <w:rFonts w:ascii="Arial" w:eastAsia="Cambria" w:hAnsi="Arial" w:cs="Arial"/>
                <w:color w:val="000000"/>
              </w:rPr>
            </w:pPr>
            <w:r w:rsidRPr="00A61F17">
              <w:rPr>
                <w:rFonts w:ascii="Arial" w:eastAsia="Cambria" w:hAnsi="Arial" w:cs="Arial"/>
                <w:color w:val="000000"/>
              </w:rPr>
              <w:t>Very High</w:t>
            </w:r>
          </w:p>
        </w:tc>
        <w:tc>
          <w:tcPr>
            <w:tcW w:w="1843" w:type="dxa"/>
            <w:tcMar>
              <w:top w:w="100" w:type="dxa"/>
              <w:left w:w="100" w:type="dxa"/>
              <w:bottom w:w="100" w:type="dxa"/>
              <w:right w:w="100" w:type="dxa"/>
            </w:tcMar>
          </w:tcPr>
          <w:p w14:paraId="48E13EC5" w14:textId="77777777" w:rsidR="00A61F17" w:rsidRPr="00A61F17" w:rsidRDefault="00A61F17" w:rsidP="00A61F17">
            <w:pPr>
              <w:widowControl w:val="0"/>
              <w:pBdr>
                <w:top w:val="nil"/>
                <w:left w:val="nil"/>
                <w:bottom w:val="nil"/>
                <w:right w:val="nil"/>
                <w:between w:val="nil"/>
              </w:pBdr>
              <w:ind w:left="119" w:right="65" w:firstLine="3"/>
              <w:jc w:val="center"/>
              <w:rPr>
                <w:rFonts w:ascii="Arial" w:eastAsia="Cambria" w:hAnsi="Arial" w:cs="Arial"/>
                <w:color w:val="000000"/>
              </w:rPr>
            </w:pPr>
            <w:r w:rsidRPr="00A61F17">
              <w:rPr>
                <w:rFonts w:ascii="Arial" w:hAnsi="Arial" w:cs="Arial"/>
              </w:rPr>
              <w:t>Very good</w:t>
            </w:r>
          </w:p>
        </w:tc>
        <w:tc>
          <w:tcPr>
            <w:tcW w:w="2126" w:type="dxa"/>
            <w:tcMar>
              <w:top w:w="100" w:type="dxa"/>
              <w:left w:w="100" w:type="dxa"/>
              <w:bottom w:w="100" w:type="dxa"/>
              <w:right w:w="100" w:type="dxa"/>
            </w:tcMar>
          </w:tcPr>
          <w:p w14:paraId="0431E290" w14:textId="77777777" w:rsidR="00A61F17" w:rsidRPr="00A61F17" w:rsidRDefault="00A61F17" w:rsidP="00A61F17">
            <w:pPr>
              <w:widowControl w:val="0"/>
              <w:pBdr>
                <w:top w:val="nil"/>
                <w:left w:val="nil"/>
                <w:bottom w:val="nil"/>
                <w:right w:val="nil"/>
                <w:between w:val="nil"/>
              </w:pBdr>
              <w:ind w:left="120" w:right="60" w:hanging="7"/>
              <w:jc w:val="center"/>
              <w:rPr>
                <w:rFonts w:ascii="Arial" w:eastAsia="Cambria" w:hAnsi="Arial" w:cs="Arial"/>
                <w:color w:val="000000"/>
              </w:rPr>
            </w:pPr>
            <w:r w:rsidRPr="00A61F17">
              <w:rPr>
                <w:rFonts w:ascii="Arial" w:hAnsi="Arial" w:cs="Arial"/>
              </w:rPr>
              <w:t>Very good</w:t>
            </w:r>
          </w:p>
        </w:tc>
        <w:tc>
          <w:tcPr>
            <w:tcW w:w="1985" w:type="dxa"/>
          </w:tcPr>
          <w:p w14:paraId="08CD5D5F" w14:textId="77777777" w:rsidR="00A61F17" w:rsidRPr="00A61F17" w:rsidRDefault="00A61F17" w:rsidP="00A61F17">
            <w:pPr>
              <w:widowControl w:val="0"/>
              <w:pBdr>
                <w:top w:val="nil"/>
                <w:left w:val="nil"/>
                <w:bottom w:val="nil"/>
                <w:right w:val="nil"/>
                <w:between w:val="nil"/>
              </w:pBdr>
              <w:ind w:left="120" w:right="60" w:hanging="7"/>
              <w:jc w:val="center"/>
              <w:rPr>
                <w:rFonts w:ascii="Arial" w:hAnsi="Arial" w:cs="Arial"/>
              </w:rPr>
            </w:pPr>
            <w:r w:rsidRPr="00A61F17">
              <w:rPr>
                <w:rFonts w:ascii="Arial" w:hAnsi="Arial" w:cs="Arial"/>
              </w:rPr>
              <w:t>Very good</w:t>
            </w:r>
          </w:p>
        </w:tc>
      </w:tr>
      <w:tr w:rsidR="00A61F17" w:rsidRPr="00A61F17" w14:paraId="665C8E62" w14:textId="77777777" w:rsidTr="00515628">
        <w:trPr>
          <w:trHeight w:val="444"/>
          <w:jc w:val="center"/>
        </w:trPr>
        <w:tc>
          <w:tcPr>
            <w:tcW w:w="1234" w:type="dxa"/>
            <w:tcMar>
              <w:top w:w="100" w:type="dxa"/>
              <w:left w:w="100" w:type="dxa"/>
              <w:bottom w:w="100" w:type="dxa"/>
              <w:right w:w="100" w:type="dxa"/>
            </w:tcMar>
          </w:tcPr>
          <w:p w14:paraId="5DC40EED" w14:textId="77777777" w:rsidR="00A61F17" w:rsidRPr="00A61F17" w:rsidRDefault="00A61F17" w:rsidP="00A61F17">
            <w:pPr>
              <w:widowControl w:val="0"/>
              <w:pBdr>
                <w:top w:val="nil"/>
                <w:left w:val="nil"/>
                <w:bottom w:val="nil"/>
                <w:right w:val="nil"/>
                <w:between w:val="nil"/>
              </w:pBdr>
              <w:ind w:left="134"/>
              <w:jc w:val="center"/>
              <w:rPr>
                <w:rFonts w:ascii="Arial" w:eastAsia="Cambria" w:hAnsi="Arial" w:cs="Arial"/>
                <w:color w:val="000000"/>
              </w:rPr>
            </w:pPr>
            <w:r w:rsidRPr="00A61F17">
              <w:rPr>
                <w:rFonts w:ascii="Arial" w:hAnsi="Arial" w:cs="Arial"/>
                <w:lang w:val="en-GB"/>
              </w:rPr>
              <w:t>2.50-3.24</w:t>
            </w:r>
          </w:p>
        </w:tc>
        <w:tc>
          <w:tcPr>
            <w:tcW w:w="1134" w:type="dxa"/>
            <w:tcMar>
              <w:top w:w="100" w:type="dxa"/>
              <w:left w:w="100" w:type="dxa"/>
              <w:bottom w:w="100" w:type="dxa"/>
              <w:right w:w="100" w:type="dxa"/>
            </w:tcMar>
          </w:tcPr>
          <w:p w14:paraId="457D7895" w14:textId="77777777" w:rsidR="00A61F17" w:rsidRPr="00A61F17" w:rsidRDefault="00A61F17" w:rsidP="00A61F17">
            <w:pPr>
              <w:widowControl w:val="0"/>
              <w:pBdr>
                <w:top w:val="nil"/>
                <w:left w:val="nil"/>
                <w:bottom w:val="nil"/>
                <w:right w:val="nil"/>
                <w:between w:val="nil"/>
              </w:pBdr>
              <w:ind w:left="112"/>
              <w:jc w:val="center"/>
              <w:rPr>
                <w:rFonts w:ascii="Arial" w:eastAsia="Cambria" w:hAnsi="Arial" w:cs="Arial"/>
                <w:color w:val="000000"/>
              </w:rPr>
            </w:pPr>
            <w:r w:rsidRPr="00A61F17">
              <w:rPr>
                <w:rFonts w:ascii="Arial" w:eastAsia="Cambria" w:hAnsi="Arial" w:cs="Arial"/>
                <w:color w:val="000000"/>
              </w:rPr>
              <w:t>High</w:t>
            </w:r>
          </w:p>
        </w:tc>
        <w:tc>
          <w:tcPr>
            <w:tcW w:w="1843" w:type="dxa"/>
            <w:tcMar>
              <w:top w:w="100" w:type="dxa"/>
              <w:left w:w="100" w:type="dxa"/>
              <w:bottom w:w="100" w:type="dxa"/>
              <w:right w:w="100" w:type="dxa"/>
            </w:tcMar>
          </w:tcPr>
          <w:p w14:paraId="7987C7D7" w14:textId="77777777" w:rsidR="00A61F17" w:rsidRPr="00A61F17" w:rsidRDefault="00A61F17" w:rsidP="00A61F17">
            <w:pPr>
              <w:widowControl w:val="0"/>
              <w:pBdr>
                <w:top w:val="nil"/>
                <w:left w:val="nil"/>
                <w:bottom w:val="nil"/>
                <w:right w:val="nil"/>
                <w:between w:val="nil"/>
              </w:pBdr>
              <w:ind w:left="119" w:right="65" w:firstLine="3"/>
              <w:jc w:val="center"/>
              <w:rPr>
                <w:rFonts w:ascii="Arial" w:eastAsia="Cambria" w:hAnsi="Arial" w:cs="Arial"/>
                <w:color w:val="000000"/>
              </w:rPr>
            </w:pPr>
            <w:r w:rsidRPr="00A61F17">
              <w:rPr>
                <w:rFonts w:ascii="Arial" w:hAnsi="Arial" w:cs="Arial"/>
              </w:rPr>
              <w:t xml:space="preserve">Good </w:t>
            </w:r>
          </w:p>
        </w:tc>
        <w:tc>
          <w:tcPr>
            <w:tcW w:w="2126" w:type="dxa"/>
            <w:tcMar>
              <w:top w:w="100" w:type="dxa"/>
              <w:left w:w="100" w:type="dxa"/>
              <w:bottom w:w="100" w:type="dxa"/>
              <w:right w:w="100" w:type="dxa"/>
            </w:tcMar>
          </w:tcPr>
          <w:p w14:paraId="690A6988" w14:textId="77777777" w:rsidR="00A61F17" w:rsidRPr="00A61F17" w:rsidRDefault="00A61F17" w:rsidP="00A61F17">
            <w:pPr>
              <w:widowControl w:val="0"/>
              <w:pBdr>
                <w:top w:val="nil"/>
                <w:left w:val="nil"/>
                <w:bottom w:val="nil"/>
                <w:right w:val="nil"/>
                <w:between w:val="nil"/>
              </w:pBdr>
              <w:ind w:left="120" w:right="60" w:hanging="7"/>
              <w:jc w:val="center"/>
              <w:rPr>
                <w:rFonts w:ascii="Arial" w:eastAsia="Cambria" w:hAnsi="Arial" w:cs="Arial"/>
                <w:color w:val="000000"/>
              </w:rPr>
            </w:pPr>
            <w:r w:rsidRPr="00A61F17">
              <w:rPr>
                <w:rFonts w:ascii="Arial" w:hAnsi="Arial" w:cs="Arial"/>
              </w:rPr>
              <w:t xml:space="preserve">Good </w:t>
            </w:r>
          </w:p>
        </w:tc>
        <w:tc>
          <w:tcPr>
            <w:tcW w:w="1985" w:type="dxa"/>
          </w:tcPr>
          <w:p w14:paraId="4F7F6BEF" w14:textId="77777777" w:rsidR="00A61F17" w:rsidRPr="00A61F17" w:rsidRDefault="00A61F17" w:rsidP="00A61F17">
            <w:pPr>
              <w:widowControl w:val="0"/>
              <w:pBdr>
                <w:top w:val="nil"/>
                <w:left w:val="nil"/>
                <w:bottom w:val="nil"/>
                <w:right w:val="nil"/>
                <w:between w:val="nil"/>
              </w:pBdr>
              <w:ind w:left="120" w:right="60" w:hanging="7"/>
              <w:jc w:val="center"/>
              <w:rPr>
                <w:rFonts w:ascii="Arial" w:hAnsi="Arial" w:cs="Arial"/>
              </w:rPr>
            </w:pPr>
            <w:r w:rsidRPr="00A61F17">
              <w:rPr>
                <w:rFonts w:ascii="Arial" w:hAnsi="Arial" w:cs="Arial"/>
              </w:rPr>
              <w:t xml:space="preserve">Good </w:t>
            </w:r>
          </w:p>
        </w:tc>
      </w:tr>
      <w:tr w:rsidR="00A61F17" w:rsidRPr="00A61F17" w14:paraId="2223E394" w14:textId="77777777" w:rsidTr="00515628">
        <w:trPr>
          <w:trHeight w:val="444"/>
          <w:jc w:val="center"/>
        </w:trPr>
        <w:tc>
          <w:tcPr>
            <w:tcW w:w="1234" w:type="dxa"/>
            <w:tcMar>
              <w:top w:w="100" w:type="dxa"/>
              <w:left w:w="100" w:type="dxa"/>
              <w:bottom w:w="100" w:type="dxa"/>
              <w:right w:w="100" w:type="dxa"/>
            </w:tcMar>
          </w:tcPr>
          <w:p w14:paraId="07CF2849" w14:textId="77777777" w:rsidR="00A61F17" w:rsidRPr="00A61F17" w:rsidRDefault="00A61F17" w:rsidP="00A61F17">
            <w:pPr>
              <w:widowControl w:val="0"/>
              <w:pBdr>
                <w:top w:val="nil"/>
                <w:left w:val="nil"/>
                <w:bottom w:val="nil"/>
                <w:right w:val="nil"/>
                <w:between w:val="nil"/>
              </w:pBdr>
              <w:ind w:left="134"/>
              <w:jc w:val="center"/>
              <w:rPr>
                <w:rFonts w:ascii="Arial" w:eastAsia="Cambria" w:hAnsi="Arial" w:cs="Arial"/>
                <w:color w:val="000000"/>
              </w:rPr>
            </w:pPr>
            <w:r w:rsidRPr="00A61F17">
              <w:rPr>
                <w:rFonts w:ascii="Arial" w:hAnsi="Arial" w:cs="Arial"/>
                <w:lang w:val="en-GB"/>
              </w:rPr>
              <w:t>1.75-2.49</w:t>
            </w:r>
          </w:p>
        </w:tc>
        <w:tc>
          <w:tcPr>
            <w:tcW w:w="1134" w:type="dxa"/>
            <w:tcMar>
              <w:top w:w="100" w:type="dxa"/>
              <w:left w:w="100" w:type="dxa"/>
              <w:bottom w:w="100" w:type="dxa"/>
              <w:right w:w="100" w:type="dxa"/>
            </w:tcMar>
          </w:tcPr>
          <w:p w14:paraId="31493477" w14:textId="77777777" w:rsidR="00A61F17" w:rsidRPr="00A61F17" w:rsidRDefault="00A61F17" w:rsidP="00A61F17">
            <w:pPr>
              <w:widowControl w:val="0"/>
              <w:pBdr>
                <w:top w:val="nil"/>
                <w:left w:val="nil"/>
                <w:bottom w:val="nil"/>
                <w:right w:val="nil"/>
                <w:between w:val="nil"/>
              </w:pBdr>
              <w:ind w:left="112"/>
              <w:jc w:val="center"/>
              <w:rPr>
                <w:rFonts w:ascii="Arial" w:eastAsia="Cambria" w:hAnsi="Arial" w:cs="Arial"/>
                <w:color w:val="000000"/>
              </w:rPr>
            </w:pPr>
            <w:r w:rsidRPr="00A61F17">
              <w:rPr>
                <w:rFonts w:ascii="Arial" w:eastAsia="Cambria" w:hAnsi="Arial" w:cs="Arial"/>
                <w:color w:val="000000"/>
              </w:rPr>
              <w:t>Low</w:t>
            </w:r>
          </w:p>
        </w:tc>
        <w:tc>
          <w:tcPr>
            <w:tcW w:w="1843" w:type="dxa"/>
            <w:tcMar>
              <w:top w:w="100" w:type="dxa"/>
              <w:left w:w="100" w:type="dxa"/>
              <w:bottom w:w="100" w:type="dxa"/>
              <w:right w:w="100" w:type="dxa"/>
            </w:tcMar>
          </w:tcPr>
          <w:p w14:paraId="606E78B1" w14:textId="77777777" w:rsidR="00A61F17" w:rsidRPr="00A61F17" w:rsidRDefault="00A61F17" w:rsidP="00A61F17">
            <w:pPr>
              <w:widowControl w:val="0"/>
              <w:pBdr>
                <w:top w:val="nil"/>
                <w:left w:val="nil"/>
                <w:bottom w:val="nil"/>
                <w:right w:val="nil"/>
                <w:between w:val="nil"/>
              </w:pBdr>
              <w:ind w:left="119" w:right="65" w:firstLine="3"/>
              <w:jc w:val="center"/>
              <w:rPr>
                <w:rFonts w:ascii="Arial" w:eastAsia="Cambria" w:hAnsi="Arial" w:cs="Arial"/>
                <w:color w:val="000000"/>
              </w:rPr>
            </w:pPr>
            <w:r w:rsidRPr="00A61F17">
              <w:rPr>
                <w:rFonts w:ascii="Arial" w:hAnsi="Arial" w:cs="Arial"/>
              </w:rPr>
              <w:t>Poor</w:t>
            </w:r>
          </w:p>
        </w:tc>
        <w:tc>
          <w:tcPr>
            <w:tcW w:w="2126" w:type="dxa"/>
            <w:tcMar>
              <w:top w:w="100" w:type="dxa"/>
              <w:left w:w="100" w:type="dxa"/>
              <w:bottom w:w="100" w:type="dxa"/>
              <w:right w:w="100" w:type="dxa"/>
            </w:tcMar>
          </w:tcPr>
          <w:p w14:paraId="091918BD" w14:textId="77777777" w:rsidR="00A61F17" w:rsidRPr="00A61F17" w:rsidRDefault="00A61F17" w:rsidP="00A61F17">
            <w:pPr>
              <w:widowControl w:val="0"/>
              <w:pBdr>
                <w:top w:val="nil"/>
                <w:left w:val="nil"/>
                <w:bottom w:val="nil"/>
                <w:right w:val="nil"/>
                <w:between w:val="nil"/>
              </w:pBdr>
              <w:ind w:left="120" w:right="60" w:hanging="7"/>
              <w:jc w:val="center"/>
              <w:rPr>
                <w:rFonts w:ascii="Arial" w:eastAsia="Cambria" w:hAnsi="Arial" w:cs="Arial"/>
                <w:color w:val="000000"/>
              </w:rPr>
            </w:pPr>
            <w:r w:rsidRPr="00A61F17">
              <w:rPr>
                <w:rFonts w:ascii="Arial" w:hAnsi="Arial" w:cs="Arial"/>
              </w:rPr>
              <w:t>Poor</w:t>
            </w:r>
          </w:p>
        </w:tc>
        <w:tc>
          <w:tcPr>
            <w:tcW w:w="1985" w:type="dxa"/>
          </w:tcPr>
          <w:p w14:paraId="22D6B67F" w14:textId="77777777" w:rsidR="00A61F17" w:rsidRPr="00A61F17" w:rsidRDefault="00A61F17" w:rsidP="00A61F17">
            <w:pPr>
              <w:widowControl w:val="0"/>
              <w:pBdr>
                <w:top w:val="nil"/>
                <w:left w:val="nil"/>
                <w:bottom w:val="nil"/>
                <w:right w:val="nil"/>
                <w:between w:val="nil"/>
              </w:pBdr>
              <w:ind w:left="120" w:right="60" w:hanging="7"/>
              <w:jc w:val="center"/>
              <w:rPr>
                <w:rFonts w:ascii="Arial" w:hAnsi="Arial" w:cs="Arial"/>
              </w:rPr>
            </w:pPr>
            <w:r w:rsidRPr="00A61F17">
              <w:rPr>
                <w:rFonts w:ascii="Arial" w:hAnsi="Arial" w:cs="Arial"/>
              </w:rPr>
              <w:t>Poor</w:t>
            </w:r>
          </w:p>
        </w:tc>
      </w:tr>
      <w:tr w:rsidR="00A61F17" w:rsidRPr="00A61F17" w14:paraId="3E7BAD1F" w14:textId="77777777" w:rsidTr="00515628">
        <w:trPr>
          <w:trHeight w:val="444"/>
          <w:jc w:val="center"/>
        </w:trPr>
        <w:tc>
          <w:tcPr>
            <w:tcW w:w="1234" w:type="dxa"/>
            <w:tcMar>
              <w:top w:w="100" w:type="dxa"/>
              <w:left w:w="100" w:type="dxa"/>
              <w:bottom w:w="100" w:type="dxa"/>
              <w:right w:w="100" w:type="dxa"/>
            </w:tcMar>
          </w:tcPr>
          <w:p w14:paraId="55DE7C81" w14:textId="77777777" w:rsidR="00A61F17" w:rsidRPr="00A61F17" w:rsidRDefault="00A61F17" w:rsidP="00A61F17">
            <w:pPr>
              <w:widowControl w:val="0"/>
              <w:pBdr>
                <w:top w:val="nil"/>
                <w:left w:val="nil"/>
                <w:bottom w:val="nil"/>
                <w:right w:val="nil"/>
                <w:between w:val="nil"/>
              </w:pBdr>
              <w:ind w:left="134"/>
              <w:jc w:val="center"/>
              <w:rPr>
                <w:rFonts w:ascii="Arial" w:eastAsia="Cambria" w:hAnsi="Arial" w:cs="Arial"/>
                <w:color w:val="000000"/>
              </w:rPr>
            </w:pPr>
            <w:r w:rsidRPr="00A61F17">
              <w:rPr>
                <w:rFonts w:ascii="Arial" w:hAnsi="Arial" w:cs="Arial"/>
                <w:lang w:val="en-GB"/>
              </w:rPr>
              <w:t>1.00-1.74</w:t>
            </w:r>
          </w:p>
        </w:tc>
        <w:tc>
          <w:tcPr>
            <w:tcW w:w="1134" w:type="dxa"/>
            <w:tcMar>
              <w:top w:w="100" w:type="dxa"/>
              <w:left w:w="100" w:type="dxa"/>
              <w:bottom w:w="100" w:type="dxa"/>
              <w:right w:w="100" w:type="dxa"/>
            </w:tcMar>
          </w:tcPr>
          <w:p w14:paraId="535B559A" w14:textId="77777777" w:rsidR="00A61F17" w:rsidRPr="00A61F17" w:rsidRDefault="00A61F17" w:rsidP="00A61F17">
            <w:pPr>
              <w:widowControl w:val="0"/>
              <w:pBdr>
                <w:top w:val="nil"/>
                <w:left w:val="nil"/>
                <w:bottom w:val="nil"/>
                <w:right w:val="nil"/>
                <w:between w:val="nil"/>
              </w:pBdr>
              <w:ind w:left="112"/>
              <w:jc w:val="center"/>
              <w:rPr>
                <w:rFonts w:ascii="Arial" w:eastAsia="Cambria" w:hAnsi="Arial" w:cs="Arial"/>
                <w:color w:val="000000"/>
              </w:rPr>
            </w:pPr>
            <w:r w:rsidRPr="00A61F17">
              <w:rPr>
                <w:rFonts w:ascii="Arial" w:eastAsia="Cambria" w:hAnsi="Arial" w:cs="Arial"/>
                <w:color w:val="000000"/>
              </w:rPr>
              <w:t>Very Low</w:t>
            </w:r>
          </w:p>
        </w:tc>
        <w:tc>
          <w:tcPr>
            <w:tcW w:w="1843" w:type="dxa"/>
            <w:tcMar>
              <w:top w:w="100" w:type="dxa"/>
              <w:left w:w="100" w:type="dxa"/>
              <w:bottom w:w="100" w:type="dxa"/>
              <w:right w:w="100" w:type="dxa"/>
            </w:tcMar>
          </w:tcPr>
          <w:p w14:paraId="71EFCEA2" w14:textId="77777777" w:rsidR="00A61F17" w:rsidRPr="00A61F17" w:rsidRDefault="00A61F17" w:rsidP="00A61F17">
            <w:pPr>
              <w:widowControl w:val="0"/>
              <w:pBdr>
                <w:top w:val="nil"/>
                <w:left w:val="nil"/>
                <w:bottom w:val="nil"/>
                <w:right w:val="nil"/>
                <w:between w:val="nil"/>
              </w:pBdr>
              <w:ind w:left="119" w:right="65" w:firstLine="3"/>
              <w:jc w:val="center"/>
              <w:rPr>
                <w:rFonts w:ascii="Arial" w:eastAsia="Cambria" w:hAnsi="Arial" w:cs="Arial"/>
                <w:color w:val="000000"/>
              </w:rPr>
            </w:pPr>
            <w:r w:rsidRPr="00A61F17">
              <w:rPr>
                <w:rFonts w:ascii="Arial" w:hAnsi="Arial" w:cs="Arial"/>
              </w:rPr>
              <w:t>Very Poor</w:t>
            </w:r>
          </w:p>
        </w:tc>
        <w:tc>
          <w:tcPr>
            <w:tcW w:w="2126" w:type="dxa"/>
            <w:tcMar>
              <w:top w:w="100" w:type="dxa"/>
              <w:left w:w="100" w:type="dxa"/>
              <w:bottom w:w="100" w:type="dxa"/>
              <w:right w:w="100" w:type="dxa"/>
            </w:tcMar>
          </w:tcPr>
          <w:p w14:paraId="17D706F4" w14:textId="77777777" w:rsidR="00A61F17" w:rsidRPr="00A61F17" w:rsidRDefault="00A61F17" w:rsidP="00A61F17">
            <w:pPr>
              <w:widowControl w:val="0"/>
              <w:pBdr>
                <w:top w:val="nil"/>
                <w:left w:val="nil"/>
                <w:bottom w:val="nil"/>
                <w:right w:val="nil"/>
                <w:between w:val="nil"/>
              </w:pBdr>
              <w:ind w:left="120" w:right="60" w:hanging="7"/>
              <w:jc w:val="center"/>
              <w:rPr>
                <w:rFonts w:ascii="Arial" w:eastAsia="Cambria" w:hAnsi="Arial" w:cs="Arial"/>
                <w:color w:val="000000"/>
              </w:rPr>
            </w:pPr>
            <w:r w:rsidRPr="00A61F17">
              <w:rPr>
                <w:rFonts w:ascii="Arial" w:hAnsi="Arial" w:cs="Arial"/>
              </w:rPr>
              <w:t>Very Poor</w:t>
            </w:r>
          </w:p>
        </w:tc>
        <w:tc>
          <w:tcPr>
            <w:tcW w:w="1985" w:type="dxa"/>
          </w:tcPr>
          <w:p w14:paraId="2F3279E9" w14:textId="77777777" w:rsidR="00A61F17" w:rsidRPr="00A61F17" w:rsidRDefault="00A61F17" w:rsidP="00A61F17">
            <w:pPr>
              <w:widowControl w:val="0"/>
              <w:pBdr>
                <w:top w:val="nil"/>
                <w:left w:val="nil"/>
                <w:bottom w:val="nil"/>
                <w:right w:val="nil"/>
                <w:between w:val="nil"/>
              </w:pBdr>
              <w:ind w:left="120" w:right="60" w:hanging="7"/>
              <w:jc w:val="center"/>
              <w:rPr>
                <w:rFonts w:ascii="Arial" w:hAnsi="Arial" w:cs="Arial"/>
              </w:rPr>
            </w:pPr>
            <w:r w:rsidRPr="00A61F17">
              <w:rPr>
                <w:rFonts w:ascii="Arial" w:hAnsi="Arial" w:cs="Arial"/>
              </w:rPr>
              <w:t>Very Poor</w:t>
            </w:r>
          </w:p>
        </w:tc>
      </w:tr>
    </w:tbl>
    <w:p w14:paraId="29AD510F" w14:textId="77777777" w:rsidR="00A61F17" w:rsidRDefault="00A61F17" w:rsidP="00A61F17">
      <w:pPr>
        <w:widowControl w:val="0"/>
        <w:pBdr>
          <w:top w:val="nil"/>
          <w:left w:val="nil"/>
          <w:bottom w:val="nil"/>
          <w:right w:val="nil"/>
          <w:between w:val="nil"/>
        </w:pBdr>
        <w:ind w:firstLine="720"/>
        <w:jc w:val="both"/>
        <w:rPr>
          <w:rFonts w:ascii="Arial" w:eastAsia="Cambria" w:hAnsi="Arial" w:cs="Arial"/>
          <w:color w:val="000000"/>
        </w:rPr>
      </w:pPr>
    </w:p>
    <w:p w14:paraId="453FDC72" w14:textId="77777777" w:rsidR="00515628" w:rsidRDefault="00515628" w:rsidP="00A61F17">
      <w:pPr>
        <w:widowControl w:val="0"/>
        <w:pBdr>
          <w:top w:val="nil"/>
          <w:left w:val="nil"/>
          <w:bottom w:val="nil"/>
          <w:right w:val="nil"/>
          <w:between w:val="nil"/>
        </w:pBdr>
        <w:ind w:firstLine="720"/>
        <w:jc w:val="both"/>
        <w:rPr>
          <w:rFonts w:ascii="Arial" w:eastAsia="Cambria" w:hAnsi="Arial" w:cs="Arial"/>
          <w:color w:val="000000"/>
        </w:rPr>
      </w:pPr>
    </w:p>
    <w:p w14:paraId="54BECCBC" w14:textId="2FA025A7" w:rsidR="00515628" w:rsidRDefault="00515628" w:rsidP="00A61F17">
      <w:pPr>
        <w:widowControl w:val="0"/>
        <w:pBdr>
          <w:top w:val="nil"/>
          <w:left w:val="nil"/>
          <w:bottom w:val="nil"/>
          <w:right w:val="nil"/>
          <w:between w:val="nil"/>
        </w:pBdr>
        <w:ind w:firstLine="720"/>
        <w:jc w:val="both"/>
        <w:rPr>
          <w:rFonts w:ascii="Arial" w:eastAsia="Cambria" w:hAnsi="Arial" w:cs="Arial"/>
          <w:color w:val="000000"/>
        </w:rPr>
      </w:pPr>
      <w:r>
        <w:rPr>
          <w:rFonts w:ascii="Arial" w:eastAsia="Cambria" w:hAnsi="Arial" w:cs="Arial"/>
          <w:color w:val="000000"/>
        </w:rPr>
        <w:t xml:space="preserve">List 2. </w:t>
      </w:r>
      <w:r w:rsidR="002D5FA4" w:rsidRPr="00A61F17">
        <w:rPr>
          <w:rFonts w:ascii="Arial" w:hAnsi="Arial" w:cs="Arial"/>
          <w:b/>
          <w:bCs/>
          <w:color w:val="000000"/>
        </w:rPr>
        <w:t xml:space="preserve">Interpretation of </w:t>
      </w:r>
      <w:r w:rsidR="002D5FA4">
        <w:rPr>
          <w:rFonts w:ascii="Arial" w:hAnsi="Arial" w:cs="Arial"/>
          <w:b/>
          <w:bCs/>
          <w:color w:val="000000"/>
        </w:rPr>
        <w:t xml:space="preserve">the </w:t>
      </w:r>
      <w:r w:rsidR="002D5FA4" w:rsidRPr="00A61F17">
        <w:rPr>
          <w:rFonts w:ascii="Arial" w:hAnsi="Arial" w:cs="Arial"/>
          <w:b/>
          <w:bCs/>
          <w:color w:val="000000"/>
        </w:rPr>
        <w:t>Writing Performance</w:t>
      </w:r>
      <w:r w:rsidR="002D5FA4">
        <w:rPr>
          <w:rFonts w:ascii="Arial" w:hAnsi="Arial" w:cs="Arial"/>
          <w:b/>
          <w:bCs/>
          <w:color w:val="000000"/>
        </w:rPr>
        <w:t xml:space="preserve"> of Students</w:t>
      </w:r>
    </w:p>
    <w:p w14:paraId="2E6C8758" w14:textId="77777777" w:rsidR="002B3B36" w:rsidRPr="00A61F17" w:rsidRDefault="002B3B36" w:rsidP="00A61F17">
      <w:pPr>
        <w:widowControl w:val="0"/>
        <w:pBdr>
          <w:top w:val="nil"/>
          <w:left w:val="nil"/>
          <w:bottom w:val="nil"/>
          <w:right w:val="nil"/>
          <w:between w:val="nil"/>
        </w:pBdr>
        <w:ind w:firstLine="720"/>
        <w:jc w:val="both"/>
        <w:rPr>
          <w:rFonts w:ascii="Arial" w:eastAsia="Cambria" w:hAnsi="Arial" w:cs="Arial"/>
          <w:color w:val="000000"/>
        </w:rPr>
      </w:pPr>
    </w:p>
    <w:tbl>
      <w:tblPr>
        <w:tblW w:w="8335" w:type="dxa"/>
        <w:jc w:val="center"/>
        <w:tblCellMar>
          <w:top w:w="15" w:type="dxa"/>
          <w:left w:w="15" w:type="dxa"/>
          <w:bottom w:w="15" w:type="dxa"/>
          <w:right w:w="15" w:type="dxa"/>
        </w:tblCellMar>
        <w:tblLook w:val="04A0" w:firstRow="1" w:lastRow="0" w:firstColumn="1" w:lastColumn="0" w:noHBand="0" w:noVBand="1"/>
      </w:tblPr>
      <w:tblGrid>
        <w:gridCol w:w="1956"/>
        <w:gridCol w:w="1985"/>
        <w:gridCol w:w="4394"/>
      </w:tblGrid>
      <w:tr w:rsidR="00A61F17" w:rsidRPr="00A61F17" w14:paraId="767F7D1B" w14:textId="77777777" w:rsidTr="00515628">
        <w:trPr>
          <w:trHeight w:val="283"/>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B7B45" w14:textId="77777777" w:rsidR="00A61F17" w:rsidRPr="00A61F17" w:rsidRDefault="00A61F17" w:rsidP="00A61F17">
            <w:pPr>
              <w:jc w:val="center"/>
              <w:rPr>
                <w:rFonts w:ascii="Arial" w:hAnsi="Arial" w:cs="Arial"/>
              </w:rPr>
            </w:pPr>
            <w:r w:rsidRPr="00A61F17">
              <w:rPr>
                <w:rFonts w:ascii="Arial" w:hAnsi="Arial" w:cs="Arial"/>
                <w:b/>
                <w:bCs/>
                <w:color w:val="000000"/>
              </w:rPr>
              <w:t>Percentage Range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50991" w14:textId="77777777" w:rsidR="00A61F17" w:rsidRPr="00A61F17" w:rsidRDefault="00A61F17" w:rsidP="00A61F17">
            <w:pPr>
              <w:jc w:val="center"/>
              <w:rPr>
                <w:rFonts w:ascii="Arial" w:hAnsi="Arial" w:cs="Arial"/>
                <w:b/>
              </w:rPr>
            </w:pPr>
            <w:r w:rsidRPr="00A61F17">
              <w:rPr>
                <w:rFonts w:ascii="Arial" w:hAnsi="Arial" w:cs="Arial"/>
                <w:b/>
              </w:rPr>
              <w:t>Performance Level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CD120" w14:textId="77777777" w:rsidR="00A61F17" w:rsidRPr="00A61F17" w:rsidRDefault="00A61F17" w:rsidP="00A61F17">
            <w:pPr>
              <w:jc w:val="center"/>
              <w:rPr>
                <w:rFonts w:ascii="Arial" w:hAnsi="Arial" w:cs="Arial"/>
              </w:rPr>
            </w:pPr>
            <w:r w:rsidRPr="00A61F17">
              <w:rPr>
                <w:rFonts w:ascii="Arial" w:hAnsi="Arial" w:cs="Arial"/>
                <w:b/>
                <w:bCs/>
                <w:color w:val="000000"/>
              </w:rPr>
              <w:t>Interpretation of Writing Performance</w:t>
            </w:r>
          </w:p>
        </w:tc>
      </w:tr>
      <w:tr w:rsidR="00A61F17" w:rsidRPr="00A61F17" w14:paraId="71FF6893" w14:textId="77777777" w:rsidTr="00515628">
        <w:trPr>
          <w:trHeight w:val="713"/>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F75C3" w14:textId="77777777" w:rsidR="00A61F17" w:rsidRPr="00A61F17" w:rsidRDefault="00A61F17" w:rsidP="00A61F17">
            <w:pPr>
              <w:jc w:val="center"/>
              <w:rPr>
                <w:rFonts w:ascii="Arial" w:hAnsi="Arial" w:cs="Arial"/>
              </w:rPr>
            </w:pPr>
            <w:r w:rsidRPr="00A61F17">
              <w:rPr>
                <w:rFonts w:ascii="Arial" w:hAnsi="Arial" w:cs="Arial"/>
                <w:color w:val="000000"/>
              </w:rPr>
              <w:t>90-100%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5848B" w14:textId="77777777" w:rsidR="00A61F17" w:rsidRPr="00A61F17" w:rsidRDefault="00A61F17" w:rsidP="00A61F17">
            <w:pPr>
              <w:jc w:val="center"/>
              <w:rPr>
                <w:rFonts w:ascii="Arial" w:hAnsi="Arial" w:cs="Arial"/>
              </w:rPr>
            </w:pPr>
            <w:r w:rsidRPr="00A61F17">
              <w:rPr>
                <w:rStyle w:val="Strong"/>
                <w:rFonts w:ascii="Arial" w:hAnsi="Arial" w:cs="Arial"/>
                <w:color w:val="0A0A0A"/>
                <w:shd w:val="clear" w:color="auto" w:fill="FFFFFF"/>
              </w:rPr>
              <w:t>Very High</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AA601" w14:textId="77777777" w:rsidR="00A61F17" w:rsidRPr="00A61F17" w:rsidRDefault="00A61F17" w:rsidP="00A61F17">
            <w:pPr>
              <w:jc w:val="both"/>
              <w:rPr>
                <w:rFonts w:ascii="Arial" w:hAnsi="Arial" w:cs="Arial"/>
              </w:rPr>
            </w:pPr>
            <w:r w:rsidRPr="00A61F17">
              <w:rPr>
                <w:rFonts w:ascii="Arial" w:hAnsi="Arial" w:cs="Arial"/>
              </w:rPr>
              <w:t>Writing demonstrates very good mastery of content, organization, grammar, punctuation, and mechanics. The work is sophisticated, coherent, and requires minimal to no revision.</w:t>
            </w:r>
          </w:p>
        </w:tc>
      </w:tr>
      <w:tr w:rsidR="00A61F17" w:rsidRPr="00A61F17" w14:paraId="3977CF01" w14:textId="77777777" w:rsidTr="00515628">
        <w:trPr>
          <w:trHeight w:val="470"/>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BC51D" w14:textId="77777777" w:rsidR="00A61F17" w:rsidRPr="00A61F17" w:rsidRDefault="00A61F17" w:rsidP="00A61F17">
            <w:pPr>
              <w:jc w:val="center"/>
              <w:rPr>
                <w:rFonts w:ascii="Arial" w:hAnsi="Arial" w:cs="Arial"/>
              </w:rPr>
            </w:pPr>
            <w:r w:rsidRPr="00A61F17">
              <w:rPr>
                <w:rFonts w:ascii="Arial" w:hAnsi="Arial" w:cs="Arial"/>
                <w:color w:val="000000"/>
              </w:rPr>
              <w:t>80-89%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5D129" w14:textId="77777777" w:rsidR="00A61F17" w:rsidRPr="00A61F17" w:rsidRDefault="00A61F17" w:rsidP="00A61F17">
            <w:pPr>
              <w:jc w:val="center"/>
              <w:rPr>
                <w:rFonts w:ascii="Arial" w:hAnsi="Arial" w:cs="Arial"/>
              </w:rPr>
            </w:pPr>
            <w:r w:rsidRPr="00A61F17">
              <w:rPr>
                <w:rStyle w:val="Strong"/>
                <w:rFonts w:ascii="Arial" w:hAnsi="Arial" w:cs="Arial"/>
                <w:color w:val="0A0A0A"/>
                <w:shd w:val="clear" w:color="auto" w:fill="FFFFFF"/>
              </w:rPr>
              <w:t>High</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5F3D3" w14:textId="77777777" w:rsidR="00A61F17" w:rsidRPr="00A61F17" w:rsidRDefault="00A61F17" w:rsidP="00A61F17">
            <w:pPr>
              <w:jc w:val="both"/>
              <w:rPr>
                <w:rFonts w:ascii="Arial" w:hAnsi="Arial" w:cs="Arial"/>
              </w:rPr>
            </w:pPr>
            <w:r w:rsidRPr="00A61F17">
              <w:rPr>
                <w:rFonts w:ascii="Arial" w:hAnsi="Arial" w:cs="Arial"/>
              </w:rPr>
              <w:t>Writing shows good competence, meeting key criteria effectively with only minor errors. The student demonstrates clear understanding of writing concepts and produces well-developed work.</w:t>
            </w:r>
          </w:p>
        </w:tc>
      </w:tr>
      <w:tr w:rsidR="00A61F17" w:rsidRPr="00A61F17" w14:paraId="13F17BF3" w14:textId="77777777" w:rsidTr="00515628">
        <w:trPr>
          <w:trHeight w:val="470"/>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4D1BAD" w14:textId="77777777" w:rsidR="00A61F17" w:rsidRPr="00A61F17" w:rsidRDefault="00A61F17" w:rsidP="00A61F17">
            <w:pPr>
              <w:jc w:val="center"/>
              <w:rPr>
                <w:rFonts w:ascii="Arial" w:hAnsi="Arial" w:cs="Arial"/>
              </w:rPr>
            </w:pPr>
            <w:r w:rsidRPr="00A61F17">
              <w:rPr>
                <w:rFonts w:ascii="Arial" w:hAnsi="Arial" w:cs="Arial"/>
                <w:color w:val="000000"/>
              </w:rPr>
              <w:t>60-79%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B8C2B" w14:textId="77777777" w:rsidR="00A61F17" w:rsidRPr="00A61F17" w:rsidRDefault="00A61F17" w:rsidP="00A61F17">
            <w:pPr>
              <w:jc w:val="center"/>
              <w:rPr>
                <w:rFonts w:ascii="Arial" w:hAnsi="Arial" w:cs="Arial"/>
              </w:rPr>
            </w:pPr>
            <w:r w:rsidRPr="00A61F17">
              <w:rPr>
                <w:rStyle w:val="Strong"/>
                <w:rFonts w:ascii="Arial" w:hAnsi="Arial" w:cs="Arial"/>
                <w:color w:val="0A0A0A"/>
                <w:shd w:val="clear" w:color="auto" w:fill="FFFFFF"/>
              </w:rPr>
              <w:t>Low</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D4308" w14:textId="77777777" w:rsidR="00A61F17" w:rsidRPr="00A61F17" w:rsidRDefault="00A61F17" w:rsidP="00A61F17">
            <w:pPr>
              <w:jc w:val="both"/>
              <w:rPr>
                <w:rFonts w:ascii="Arial" w:hAnsi="Arial" w:cs="Arial"/>
              </w:rPr>
            </w:pPr>
            <w:r w:rsidRPr="00A61F17">
              <w:rPr>
                <w:rFonts w:ascii="Arial" w:hAnsi="Arial" w:cs="Arial"/>
              </w:rPr>
              <w:t xml:space="preserve">Writing meets basic expectations but contains noticeable poor grammar, organization, or clarity. The student struggles with consistency </w:t>
            </w:r>
            <w:r w:rsidRPr="00A61F17">
              <w:rPr>
                <w:rFonts w:ascii="Arial" w:hAnsi="Arial" w:cs="Arial"/>
              </w:rPr>
              <w:lastRenderedPageBreak/>
              <w:t>and requires moderate instructional support.</w:t>
            </w:r>
          </w:p>
        </w:tc>
      </w:tr>
      <w:tr w:rsidR="00A61F17" w:rsidRPr="00A61F17" w14:paraId="23D852E5" w14:textId="77777777" w:rsidTr="00515628">
        <w:trPr>
          <w:trHeight w:val="713"/>
          <w:jc w:val="center"/>
        </w:trPr>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2CDE4A" w14:textId="77777777" w:rsidR="00A61F17" w:rsidRPr="00A61F17" w:rsidRDefault="00A61F17" w:rsidP="00A61F17">
            <w:pPr>
              <w:jc w:val="center"/>
              <w:rPr>
                <w:rFonts w:ascii="Arial" w:hAnsi="Arial" w:cs="Arial"/>
                <w:color w:val="000000"/>
              </w:rPr>
            </w:pPr>
            <w:r w:rsidRPr="00A61F17">
              <w:rPr>
                <w:rFonts w:ascii="Arial" w:hAnsi="Arial" w:cs="Arial"/>
                <w:color w:val="000000"/>
              </w:rPr>
              <w:lastRenderedPageBreak/>
              <w:t>50-59%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87B85" w14:textId="77777777" w:rsidR="00A61F17" w:rsidRPr="00A61F17" w:rsidRDefault="00A61F17" w:rsidP="00A61F17">
            <w:pPr>
              <w:jc w:val="center"/>
              <w:rPr>
                <w:rFonts w:ascii="Arial" w:hAnsi="Arial" w:cs="Arial"/>
                <w:b/>
                <w:color w:val="000000"/>
              </w:rPr>
            </w:pPr>
            <w:r w:rsidRPr="00A61F17">
              <w:rPr>
                <w:rStyle w:val="Strong"/>
                <w:rFonts w:ascii="Arial" w:hAnsi="Arial" w:cs="Arial"/>
                <w:color w:val="0A0A0A"/>
                <w:shd w:val="clear" w:color="auto" w:fill="FFFFFF"/>
              </w:rPr>
              <w:t>Very Low</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797D4" w14:textId="77777777" w:rsidR="00A61F17" w:rsidRPr="00A61F17" w:rsidRDefault="00A61F17" w:rsidP="00A61F17">
            <w:pPr>
              <w:jc w:val="both"/>
              <w:rPr>
                <w:rFonts w:ascii="Arial" w:hAnsi="Arial" w:cs="Arial"/>
                <w:color w:val="000000"/>
              </w:rPr>
            </w:pPr>
            <w:r w:rsidRPr="00A61F17">
              <w:rPr>
                <w:rFonts w:ascii="Arial" w:hAnsi="Arial" w:cs="Arial"/>
              </w:rPr>
              <w:t>Writing is very poor, with serious deficiencies across most areas. The student shows limited grasp of writing skills and requires extensive support and remediation.</w:t>
            </w:r>
          </w:p>
        </w:tc>
      </w:tr>
    </w:tbl>
    <w:p w14:paraId="3CF0DB7B"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color w:val="000000"/>
        </w:rPr>
      </w:pPr>
    </w:p>
    <w:p w14:paraId="7F20D1AD"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rPr>
      </w:pPr>
      <w:r w:rsidRPr="00A61F17">
        <w:rPr>
          <w:rFonts w:ascii="Arial" w:eastAsia="Cambria" w:hAnsi="Arial" w:cs="Arial"/>
          <w:color w:val="000000"/>
        </w:rPr>
        <w:t xml:space="preserve">For the interpretation of standard deviation, the following </w:t>
      </w:r>
      <w:r w:rsidRPr="00A61F17">
        <w:rPr>
          <w:rFonts w:ascii="Arial" w:eastAsia="Cambria" w:hAnsi="Arial" w:cs="Arial"/>
        </w:rPr>
        <w:t>percentage standard by Sergent et al. (2024) was followed:</w:t>
      </w:r>
    </w:p>
    <w:p w14:paraId="2918CB71"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b/>
          <w:bCs/>
          <w:i/>
        </w:rPr>
      </w:pPr>
    </w:p>
    <w:p w14:paraId="37416F9D"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b/>
          <w:bCs/>
          <w:i/>
        </w:rPr>
      </w:pPr>
      <w:r w:rsidRPr="00A61F17">
        <w:rPr>
          <w:rFonts w:ascii="Arial" w:eastAsia="Cambria" w:hAnsi="Arial" w:cs="Arial"/>
          <w:b/>
          <w:bCs/>
          <w:i/>
        </w:rPr>
        <w:t>% of Scores Covered</w:t>
      </w:r>
      <w:r w:rsidRPr="00A61F17">
        <w:rPr>
          <w:rFonts w:ascii="Arial" w:eastAsia="Cambria" w:hAnsi="Arial" w:cs="Arial"/>
          <w:b/>
          <w:bCs/>
          <w:i/>
        </w:rPr>
        <w:tab/>
      </w:r>
      <w:r w:rsidRPr="00A61F17">
        <w:rPr>
          <w:rFonts w:ascii="Arial" w:eastAsia="Cambria" w:hAnsi="Arial" w:cs="Arial"/>
          <w:b/>
          <w:bCs/>
          <w:i/>
        </w:rPr>
        <w:tab/>
      </w:r>
      <w:r w:rsidRPr="00A61F17">
        <w:rPr>
          <w:rFonts w:ascii="Arial" w:eastAsia="Cambria" w:hAnsi="Arial" w:cs="Arial"/>
          <w:b/>
          <w:bCs/>
          <w:i/>
        </w:rPr>
        <w:tab/>
        <w:t>Interpretation Basis</w:t>
      </w:r>
    </w:p>
    <w:p w14:paraId="6463B166"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rPr>
      </w:pPr>
      <w:r w:rsidRPr="00A61F17">
        <w:rPr>
          <w:rFonts w:ascii="Arial" w:eastAsia="Cambria" w:hAnsi="Arial" w:cs="Arial"/>
        </w:rPr>
        <w:t>≈ 68%</w:t>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t>Scores are highly consistent.</w:t>
      </w:r>
    </w:p>
    <w:p w14:paraId="5F998E50"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rPr>
      </w:pPr>
      <w:r w:rsidRPr="00A61F17">
        <w:rPr>
          <w:rFonts w:ascii="Arial" w:eastAsia="Cambria" w:hAnsi="Arial" w:cs="Arial"/>
        </w:rPr>
        <w:t>≈ 95%</w:t>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t>Scores are moderately dispersed.</w:t>
      </w:r>
    </w:p>
    <w:p w14:paraId="20F5815C"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rPr>
      </w:pPr>
      <w:r w:rsidRPr="00A61F17">
        <w:rPr>
          <w:rFonts w:ascii="Arial" w:eastAsia="Cambria" w:hAnsi="Arial" w:cs="Arial"/>
        </w:rPr>
        <w:t>≈ 99.7%</w:t>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r>
      <w:r w:rsidRPr="00A61F17">
        <w:rPr>
          <w:rFonts w:ascii="Arial" w:eastAsia="Cambria" w:hAnsi="Arial" w:cs="Arial"/>
        </w:rPr>
        <w:tab/>
        <w:t>Scores are highly dispersed.</w:t>
      </w:r>
    </w:p>
    <w:p w14:paraId="0570684A" w14:textId="77777777" w:rsidR="00A61F17" w:rsidRPr="00A61F17" w:rsidRDefault="00A61F17" w:rsidP="00A61F17">
      <w:pPr>
        <w:widowControl w:val="0"/>
        <w:pBdr>
          <w:top w:val="nil"/>
          <w:left w:val="nil"/>
          <w:bottom w:val="nil"/>
          <w:right w:val="nil"/>
          <w:between w:val="nil"/>
        </w:pBdr>
        <w:ind w:firstLine="720"/>
        <w:jc w:val="both"/>
        <w:rPr>
          <w:rStyle w:val="Strong"/>
          <w:rFonts w:ascii="Arial" w:hAnsi="Arial" w:cs="Arial"/>
          <w:b w:val="0"/>
        </w:rPr>
      </w:pPr>
    </w:p>
    <w:p w14:paraId="445D8565" w14:textId="77777777" w:rsidR="00A61F17" w:rsidRPr="00A61F17" w:rsidRDefault="00FF7627" w:rsidP="00A61F17">
      <w:pPr>
        <w:widowControl w:val="0"/>
        <w:pBdr>
          <w:top w:val="nil"/>
          <w:left w:val="nil"/>
          <w:bottom w:val="nil"/>
          <w:right w:val="nil"/>
          <w:between w:val="nil"/>
        </w:pBdr>
        <w:ind w:firstLine="720"/>
        <w:jc w:val="both"/>
        <w:rPr>
          <w:rFonts w:ascii="Arial" w:hAnsi="Arial" w:cs="Arial"/>
        </w:rPr>
      </w:pPr>
      <w:r>
        <w:rPr>
          <w:rStyle w:val="Strong"/>
          <w:rFonts w:ascii="Arial" w:hAnsi="Arial" w:cs="Arial"/>
        </w:rPr>
        <w:t>2.5.</w:t>
      </w:r>
      <w:proofErr w:type="gramStart"/>
      <w:r>
        <w:rPr>
          <w:rStyle w:val="Strong"/>
          <w:rFonts w:ascii="Arial" w:hAnsi="Arial" w:cs="Arial"/>
        </w:rPr>
        <w:t>2.</w:t>
      </w:r>
      <w:r w:rsidR="00A61F17" w:rsidRPr="00A61F17">
        <w:rPr>
          <w:rStyle w:val="Strong"/>
          <w:rFonts w:ascii="Arial" w:hAnsi="Arial" w:cs="Arial"/>
        </w:rPr>
        <w:t>Correlation</w:t>
      </w:r>
      <w:proofErr w:type="gramEnd"/>
      <w:r w:rsidR="00A61F17" w:rsidRPr="00A61F17">
        <w:rPr>
          <w:rStyle w:val="Strong"/>
          <w:rFonts w:ascii="Arial" w:hAnsi="Arial" w:cs="Arial"/>
        </w:rPr>
        <w:t xml:space="preserve"> analysis using Pearson Product-Moment Correlation Coefficient (Pearson-r)</w:t>
      </w:r>
      <w:r w:rsidR="00A61F17" w:rsidRPr="00A61F17">
        <w:rPr>
          <w:rFonts w:ascii="Arial" w:hAnsi="Arial" w:cs="Arial"/>
        </w:rPr>
        <w:t xml:space="preserve"> was applied to examine significant correlation between research self-efficacy, student engagement, and research mentoring, and writing skills. This statistical tool measures the strength and direction of associations between variables (Field, 2021). In this study, it revealed whether students’ personal attitudes, behavioral practices, and environmental conditions were positively or negatively related to writing performance.</w:t>
      </w:r>
    </w:p>
    <w:p w14:paraId="52D35B77"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rPr>
      </w:pPr>
    </w:p>
    <w:p w14:paraId="1168D407"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rPr>
      </w:pPr>
      <w:r w:rsidRPr="00A61F17">
        <w:rPr>
          <w:rFonts w:ascii="Arial" w:eastAsia="Cambria" w:hAnsi="Arial" w:cs="Arial"/>
        </w:rPr>
        <w:t xml:space="preserve">For the interpretation scale of </w:t>
      </w:r>
      <w:proofErr w:type="spellStart"/>
      <w:r w:rsidRPr="00A61F17">
        <w:rPr>
          <w:rFonts w:ascii="Arial" w:eastAsia="Cambria" w:hAnsi="Arial" w:cs="Arial"/>
        </w:rPr>
        <w:t>r-value</w:t>
      </w:r>
      <w:proofErr w:type="spellEnd"/>
      <w:r w:rsidRPr="00A61F17">
        <w:rPr>
          <w:rFonts w:ascii="Arial" w:eastAsia="Cambria" w:hAnsi="Arial" w:cs="Arial"/>
        </w:rPr>
        <w:t>, the following scheme as proposed by Guilford (1956) was used:</w:t>
      </w:r>
    </w:p>
    <w:p w14:paraId="7D9AC451" w14:textId="77777777" w:rsidR="00A61F17" w:rsidRPr="00A61F17" w:rsidRDefault="00A61F17" w:rsidP="00A61F17">
      <w:pPr>
        <w:widowControl w:val="0"/>
        <w:pBdr>
          <w:top w:val="nil"/>
          <w:left w:val="nil"/>
          <w:bottom w:val="nil"/>
          <w:right w:val="nil"/>
          <w:between w:val="nil"/>
        </w:pBdr>
        <w:ind w:firstLine="720"/>
        <w:jc w:val="both"/>
        <w:rPr>
          <w:rFonts w:ascii="Arial" w:eastAsia="Cambria" w:hAnsi="Arial" w:cs="Arial"/>
        </w:rPr>
      </w:pPr>
    </w:p>
    <w:p w14:paraId="356A44F9"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b/>
          <w:bCs/>
          <w:i/>
          <w:color w:val="000000"/>
        </w:rPr>
      </w:pPr>
      <w:r w:rsidRPr="00A61F17">
        <w:rPr>
          <w:rFonts w:ascii="Arial" w:eastAsia="Cambria" w:hAnsi="Arial" w:cs="Arial"/>
          <w:b/>
          <w:bCs/>
          <w:i/>
          <w:color w:val="000000"/>
        </w:rPr>
        <w:t xml:space="preserve">Computed r </w:t>
      </w:r>
      <w:r w:rsidRPr="00A61F17">
        <w:rPr>
          <w:rFonts w:ascii="Arial" w:eastAsia="Cambria" w:hAnsi="Arial" w:cs="Arial"/>
          <w:b/>
          <w:bCs/>
          <w:i/>
          <w:color w:val="000000"/>
        </w:rPr>
        <w:tab/>
      </w:r>
      <w:r w:rsidRPr="00A61F17">
        <w:rPr>
          <w:rFonts w:ascii="Arial" w:eastAsia="Cambria" w:hAnsi="Arial" w:cs="Arial"/>
          <w:b/>
          <w:bCs/>
          <w:i/>
          <w:color w:val="000000"/>
        </w:rPr>
        <w:tab/>
      </w:r>
      <w:r w:rsidRPr="00A61F17">
        <w:rPr>
          <w:rFonts w:ascii="Arial" w:eastAsia="Cambria" w:hAnsi="Arial" w:cs="Arial"/>
          <w:b/>
          <w:bCs/>
          <w:i/>
          <w:color w:val="000000"/>
        </w:rPr>
        <w:tab/>
      </w:r>
      <w:r w:rsidRPr="00A61F17">
        <w:rPr>
          <w:rFonts w:ascii="Arial" w:eastAsia="Cambria" w:hAnsi="Arial" w:cs="Arial"/>
          <w:b/>
          <w:bCs/>
          <w:i/>
          <w:color w:val="000000"/>
        </w:rPr>
        <w:tab/>
      </w:r>
      <w:r w:rsidRPr="00A61F17">
        <w:rPr>
          <w:rFonts w:ascii="Arial" w:eastAsia="Cambria" w:hAnsi="Arial" w:cs="Arial"/>
          <w:b/>
          <w:bCs/>
          <w:i/>
          <w:color w:val="000000"/>
        </w:rPr>
        <w:tab/>
        <w:t>Descriptive Interpretation</w:t>
      </w:r>
    </w:p>
    <w:p w14:paraId="48E4CD83"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+/- 1.00 </w:t>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t xml:space="preserve">Perfect correlation </w:t>
      </w:r>
    </w:p>
    <w:p w14:paraId="0CACF841"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Between +/- 0.75 – +/- 0.99 </w:t>
      </w:r>
      <w:r w:rsidRPr="00A61F17">
        <w:rPr>
          <w:rFonts w:ascii="Arial" w:eastAsia="Cambria" w:hAnsi="Arial" w:cs="Arial"/>
          <w:color w:val="000000"/>
        </w:rPr>
        <w:tab/>
      </w:r>
      <w:r w:rsidRPr="00A61F17">
        <w:rPr>
          <w:rFonts w:ascii="Arial" w:eastAsia="Cambria" w:hAnsi="Arial" w:cs="Arial"/>
          <w:color w:val="000000"/>
        </w:rPr>
        <w:tab/>
        <w:t xml:space="preserve">High correlation </w:t>
      </w:r>
    </w:p>
    <w:p w14:paraId="62BC8B09"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Between +/- 0.51 – +/- 0.74 </w:t>
      </w:r>
      <w:r w:rsidRPr="00A61F17">
        <w:rPr>
          <w:rFonts w:ascii="Arial" w:eastAsia="Cambria" w:hAnsi="Arial" w:cs="Arial"/>
          <w:color w:val="000000"/>
        </w:rPr>
        <w:tab/>
      </w:r>
      <w:r w:rsidRPr="00A61F17">
        <w:rPr>
          <w:rFonts w:ascii="Arial" w:eastAsia="Cambria" w:hAnsi="Arial" w:cs="Arial"/>
          <w:color w:val="000000"/>
        </w:rPr>
        <w:tab/>
        <w:t xml:space="preserve">Moderately high correlation </w:t>
      </w:r>
    </w:p>
    <w:p w14:paraId="762EC5A9"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Between +/- 0.31 – +/- 0.50 </w:t>
      </w:r>
      <w:r w:rsidRPr="00A61F17">
        <w:rPr>
          <w:rFonts w:ascii="Arial" w:eastAsia="Cambria" w:hAnsi="Arial" w:cs="Arial"/>
          <w:color w:val="000000"/>
        </w:rPr>
        <w:tab/>
      </w:r>
      <w:r w:rsidRPr="00A61F17">
        <w:rPr>
          <w:rFonts w:ascii="Arial" w:eastAsia="Cambria" w:hAnsi="Arial" w:cs="Arial"/>
          <w:color w:val="000000"/>
        </w:rPr>
        <w:tab/>
        <w:t xml:space="preserve">Moderately low correlation </w:t>
      </w:r>
    </w:p>
    <w:p w14:paraId="7B61EC16"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Between +/- 0.01 – +/- 0.30 </w:t>
      </w:r>
      <w:r w:rsidRPr="00A61F17">
        <w:rPr>
          <w:rFonts w:ascii="Arial" w:eastAsia="Cambria" w:hAnsi="Arial" w:cs="Arial"/>
          <w:color w:val="000000"/>
        </w:rPr>
        <w:tab/>
      </w:r>
      <w:r w:rsidRPr="00A61F17">
        <w:rPr>
          <w:rFonts w:ascii="Arial" w:eastAsia="Cambria" w:hAnsi="Arial" w:cs="Arial"/>
          <w:color w:val="000000"/>
        </w:rPr>
        <w:tab/>
        <w:t xml:space="preserve">Low correlation </w:t>
      </w:r>
    </w:p>
    <w:p w14:paraId="76AB0665" w14:textId="77777777" w:rsidR="00A61F17" w:rsidRPr="00A61F17" w:rsidRDefault="00A61F17" w:rsidP="00A61F17">
      <w:pPr>
        <w:widowControl w:val="0"/>
        <w:pBdr>
          <w:top w:val="nil"/>
          <w:left w:val="nil"/>
          <w:bottom w:val="nil"/>
          <w:right w:val="nil"/>
          <w:between w:val="nil"/>
        </w:pBdr>
        <w:ind w:firstLine="720"/>
        <w:rPr>
          <w:rFonts w:ascii="Arial" w:eastAsia="Cambria" w:hAnsi="Arial" w:cs="Arial"/>
          <w:color w:val="000000"/>
        </w:rPr>
      </w:pPr>
      <w:r w:rsidRPr="00A61F17">
        <w:rPr>
          <w:rFonts w:ascii="Arial" w:eastAsia="Cambria" w:hAnsi="Arial" w:cs="Arial"/>
          <w:color w:val="000000"/>
        </w:rPr>
        <w:t xml:space="preserve">0.00 </w:t>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r>
      <w:r w:rsidRPr="00A61F17">
        <w:rPr>
          <w:rFonts w:ascii="Arial" w:eastAsia="Cambria" w:hAnsi="Arial" w:cs="Arial"/>
          <w:color w:val="000000"/>
        </w:rPr>
        <w:tab/>
        <w:t xml:space="preserve">No correlation </w:t>
      </w:r>
    </w:p>
    <w:p w14:paraId="1A213B04" w14:textId="77777777" w:rsidR="00A61F17" w:rsidRPr="00A61F17" w:rsidRDefault="00A61F17" w:rsidP="00A61F17">
      <w:pPr>
        <w:widowControl w:val="0"/>
        <w:pBdr>
          <w:top w:val="nil"/>
          <w:left w:val="nil"/>
          <w:bottom w:val="nil"/>
          <w:right w:val="nil"/>
          <w:between w:val="nil"/>
        </w:pBdr>
        <w:jc w:val="both"/>
        <w:rPr>
          <w:rFonts w:ascii="Arial" w:eastAsia="Cambria" w:hAnsi="Arial" w:cs="Arial"/>
          <w:b/>
          <w:i/>
          <w:color w:val="000000"/>
        </w:rPr>
      </w:pPr>
    </w:p>
    <w:p w14:paraId="07E1D8B4" w14:textId="77777777" w:rsidR="00A61F17" w:rsidRPr="00A61F17" w:rsidRDefault="00FF7627" w:rsidP="00A61F17">
      <w:pPr>
        <w:widowControl w:val="0"/>
        <w:pBdr>
          <w:top w:val="nil"/>
          <w:left w:val="nil"/>
          <w:bottom w:val="nil"/>
          <w:right w:val="nil"/>
          <w:between w:val="nil"/>
        </w:pBdr>
        <w:jc w:val="both"/>
        <w:rPr>
          <w:rFonts w:ascii="Arial" w:eastAsia="Cambria" w:hAnsi="Arial" w:cs="Arial"/>
          <w:b/>
          <w:i/>
          <w:color w:val="000000"/>
        </w:rPr>
      </w:pPr>
      <w:r>
        <w:rPr>
          <w:rFonts w:ascii="Arial" w:eastAsia="Cambria" w:hAnsi="Arial" w:cs="Arial"/>
          <w:b/>
          <w:i/>
          <w:color w:val="000000"/>
        </w:rPr>
        <w:t>2.</w:t>
      </w:r>
      <w:proofErr w:type="gramStart"/>
      <w:r>
        <w:rPr>
          <w:rFonts w:ascii="Arial" w:eastAsia="Cambria" w:hAnsi="Arial" w:cs="Arial"/>
          <w:b/>
          <w:i/>
          <w:color w:val="000000"/>
        </w:rPr>
        <w:t>6.</w:t>
      </w:r>
      <w:r w:rsidR="00A61F17" w:rsidRPr="00A61F17">
        <w:rPr>
          <w:rFonts w:ascii="Arial" w:eastAsia="Cambria" w:hAnsi="Arial" w:cs="Arial"/>
          <w:b/>
          <w:i/>
          <w:color w:val="000000"/>
        </w:rPr>
        <w:t>Ethical</w:t>
      </w:r>
      <w:proofErr w:type="gramEnd"/>
      <w:r w:rsidR="00A61F17" w:rsidRPr="00A61F17">
        <w:rPr>
          <w:rFonts w:ascii="Arial" w:eastAsia="Cambria" w:hAnsi="Arial" w:cs="Arial"/>
          <w:b/>
          <w:i/>
          <w:color w:val="000000"/>
        </w:rPr>
        <w:t xml:space="preserve"> Consideration  </w:t>
      </w:r>
    </w:p>
    <w:p w14:paraId="7E433978" w14:textId="77777777" w:rsidR="00AA74E0" w:rsidRPr="00A61F17" w:rsidRDefault="00A61F17" w:rsidP="00A61F17">
      <w:pPr>
        <w:pStyle w:val="Body"/>
        <w:spacing w:after="0"/>
        <w:rPr>
          <w:rFonts w:ascii="Arial" w:hAnsi="Arial" w:cs="Arial"/>
        </w:rPr>
      </w:pPr>
      <w:r w:rsidRPr="00A61F17">
        <w:rPr>
          <w:rFonts w:ascii="Arial" w:hAnsi="Arial" w:cs="Arial"/>
        </w:rPr>
        <w:tab/>
        <w:t xml:space="preserve">The study strictly adhered to ethical guidelines in conducting research involving students. Informed consent was obtained from all respondents prior to data collection to ensure voluntary participation and the confidentiality of their responses. The research instruments underwent validation and reliability testing to ensure the accuracy and credibility of the data gathered. Furthermore, formal permission was secured from the participating educational institution before the conduct of the study. The research was also reviewed and approved by the </w:t>
      </w:r>
      <w:r w:rsidRPr="00A61F17">
        <w:rPr>
          <w:rStyle w:val="whitespace-normal"/>
          <w:rFonts w:ascii="Arial" w:hAnsi="Arial" w:cs="Arial"/>
        </w:rPr>
        <w:t>Society of Moral Integrity and Legal Ethics (SMILE)</w:t>
      </w:r>
      <w:r w:rsidRPr="00A61F17">
        <w:rPr>
          <w:rFonts w:ascii="Arial" w:hAnsi="Arial" w:cs="Arial"/>
        </w:rPr>
        <w:t xml:space="preserve"> to ensure compliance with established ethical and legal standards.</w:t>
      </w:r>
      <w:r w:rsidR="00AA74E0" w:rsidRPr="00A61F17">
        <w:rPr>
          <w:rFonts w:ascii="Arial" w:hAnsi="Arial" w:cs="Arial"/>
        </w:rPr>
        <w:t xml:space="preserve"> </w:t>
      </w:r>
    </w:p>
    <w:p w14:paraId="7400A6C1" w14:textId="77777777" w:rsidR="00790ADA" w:rsidRPr="00FB3A86" w:rsidRDefault="00790ADA" w:rsidP="00441B6F">
      <w:pPr>
        <w:pStyle w:val="Body"/>
        <w:spacing w:after="0"/>
        <w:rPr>
          <w:rFonts w:ascii="Arial" w:hAnsi="Arial" w:cs="Arial"/>
        </w:rPr>
      </w:pPr>
    </w:p>
    <w:p w14:paraId="580A252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416BA5" w14:textId="77777777" w:rsidR="00790ADA" w:rsidRPr="00FB3A86" w:rsidRDefault="00790ADA" w:rsidP="00441B6F">
      <w:pPr>
        <w:pStyle w:val="Head1"/>
        <w:spacing w:after="0"/>
        <w:jc w:val="both"/>
        <w:rPr>
          <w:rFonts w:ascii="Arial" w:hAnsi="Arial" w:cs="Arial"/>
        </w:rPr>
      </w:pPr>
    </w:p>
    <w:p w14:paraId="20CB5E2D" w14:textId="77777777" w:rsidR="002B1BCE" w:rsidRPr="002B1BCE" w:rsidRDefault="002B1BCE" w:rsidP="002B1BCE">
      <w:pPr>
        <w:jc w:val="both"/>
        <w:rPr>
          <w:rFonts w:ascii="Arial" w:hAnsi="Arial" w:cs="Arial"/>
          <w:b/>
          <w:bCs/>
          <w:i/>
          <w:iCs/>
          <w:color w:val="000000"/>
        </w:rPr>
      </w:pPr>
      <w:r>
        <w:rPr>
          <w:rFonts w:ascii="Arial" w:hAnsi="Arial" w:cs="Arial"/>
          <w:b/>
          <w:bCs/>
          <w:i/>
          <w:iCs/>
          <w:color w:val="000000"/>
        </w:rPr>
        <w:t>3.</w:t>
      </w:r>
      <w:proofErr w:type="gramStart"/>
      <w:r>
        <w:rPr>
          <w:rFonts w:ascii="Arial" w:hAnsi="Arial" w:cs="Arial"/>
          <w:b/>
          <w:bCs/>
          <w:i/>
          <w:iCs/>
          <w:color w:val="000000"/>
        </w:rPr>
        <w:t>1.</w:t>
      </w:r>
      <w:r w:rsidRPr="002B1BCE">
        <w:rPr>
          <w:rFonts w:ascii="Arial" w:hAnsi="Arial" w:cs="Arial"/>
          <w:b/>
          <w:bCs/>
          <w:i/>
          <w:iCs/>
          <w:color w:val="000000"/>
        </w:rPr>
        <w:t>Descriptive</w:t>
      </w:r>
      <w:proofErr w:type="gramEnd"/>
      <w:r w:rsidRPr="002B1BCE">
        <w:rPr>
          <w:rFonts w:ascii="Arial" w:hAnsi="Arial" w:cs="Arial"/>
          <w:b/>
          <w:bCs/>
          <w:i/>
          <w:iCs/>
          <w:color w:val="000000"/>
        </w:rPr>
        <w:t xml:space="preserve"> Results</w:t>
      </w:r>
    </w:p>
    <w:p w14:paraId="34E8B7E5" w14:textId="77777777" w:rsidR="002B1BCE" w:rsidRPr="002B1BCE" w:rsidRDefault="002B1BCE" w:rsidP="002B1BCE">
      <w:pPr>
        <w:jc w:val="both"/>
        <w:rPr>
          <w:rFonts w:ascii="Arial" w:hAnsi="Arial" w:cs="Arial"/>
          <w:bCs/>
          <w:iCs/>
          <w:color w:val="000000"/>
        </w:rPr>
      </w:pPr>
      <w:r w:rsidRPr="002B1BCE">
        <w:rPr>
          <w:rFonts w:ascii="Arial" w:hAnsi="Arial" w:cs="Arial"/>
          <w:bCs/>
          <w:iCs/>
          <w:color w:val="000000"/>
        </w:rPr>
        <w:tab/>
        <w:t>Table 1 presents the descriptive statistics for the variables examined in this study,</w:t>
      </w:r>
      <w:r w:rsidRPr="002B1BCE">
        <w:rPr>
          <w:rFonts w:ascii="Arial" w:hAnsi="Arial" w:cs="Arial"/>
          <w:b/>
          <w:bCs/>
          <w:i/>
          <w:iCs/>
          <w:color w:val="000000"/>
        </w:rPr>
        <w:t xml:space="preserve"> </w:t>
      </w:r>
      <w:r w:rsidRPr="002B1BCE">
        <w:rPr>
          <w:rFonts w:ascii="Arial" w:hAnsi="Arial" w:cs="Arial"/>
          <w:bCs/>
          <w:iCs/>
          <w:color w:val="000000"/>
        </w:rPr>
        <w:t>including research self-efficacy, student engagement, research mentoring, and their respective indicators, and the writing skills. It contains the number of samples, standard deviation, mean and corresponding descriptive level.</w:t>
      </w:r>
    </w:p>
    <w:p w14:paraId="5EE393F9" w14:textId="77777777" w:rsidR="002B1BCE" w:rsidRPr="002B1BCE" w:rsidRDefault="002B1BCE" w:rsidP="002B1BCE">
      <w:pPr>
        <w:jc w:val="both"/>
        <w:rPr>
          <w:rFonts w:ascii="Arial" w:hAnsi="Arial" w:cs="Arial"/>
          <w:bCs/>
          <w:iCs/>
          <w:color w:val="000000"/>
        </w:rPr>
      </w:pPr>
      <w:r w:rsidRPr="002B1BCE">
        <w:rPr>
          <w:rFonts w:ascii="Arial" w:hAnsi="Arial" w:cs="Arial"/>
          <w:bCs/>
          <w:iCs/>
          <w:noProof/>
          <w:color w:val="000000"/>
          <w:lang w:val="en-PH" w:eastAsia="en-PH"/>
        </w:rPr>
        <w:lastRenderedPageBreak/>
        <w:drawing>
          <wp:anchor distT="0" distB="0" distL="114300" distR="114300" simplePos="0" relativeHeight="251659776" behindDoc="1" locked="0" layoutInCell="1" allowOverlap="1" wp14:anchorId="7BC7DF80" wp14:editId="3DD62D0F">
            <wp:simplePos x="0" y="0"/>
            <wp:positionH relativeFrom="margin">
              <wp:posOffset>0</wp:posOffset>
            </wp:positionH>
            <wp:positionV relativeFrom="paragraph">
              <wp:posOffset>-518160</wp:posOffset>
            </wp:positionV>
            <wp:extent cx="5250180" cy="4899025"/>
            <wp:effectExtent l="0" t="0" r="0" b="0"/>
            <wp:wrapTight wrapText="bothSides">
              <wp:wrapPolygon edited="0">
                <wp:start x="0" y="0"/>
                <wp:lineTo x="0" y="21502"/>
                <wp:lineTo x="21553" y="21502"/>
                <wp:lineTo x="215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250180" cy="4899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iCs/>
          <w:color w:val="000000"/>
        </w:rPr>
        <w:tab/>
      </w:r>
      <w:r w:rsidRPr="002B1BCE">
        <w:rPr>
          <w:rFonts w:ascii="Arial" w:hAnsi="Arial" w:cs="Arial"/>
          <w:bCs/>
          <w:iCs/>
          <w:color w:val="000000"/>
        </w:rPr>
        <w:t xml:space="preserve">Specifically, </w:t>
      </w:r>
      <w:r w:rsidRPr="002B1BCE">
        <w:rPr>
          <w:rFonts w:ascii="Arial" w:hAnsi="Arial" w:cs="Arial"/>
        </w:rPr>
        <w:t xml:space="preserve">the table shows that research self-efficacy obtained a mean of 3.15, described as high. It indicates that research self-efficacy of the respondents is good. It also shows the standard deviation of 0.41, describing that the responses are highly consistent. All of its indicators are described as high. Moreover, the student engagement variable obtained a mean of 3.21, described as high. It denotes that student engagement is good. The standard deviation of 0.41 manifests that the respondents’ responses are highly consistent. Among its indicators, only three are described as very high, and the other four are high. Furthermore, the table shows that research mentoring obtained a mean of 3.30, described as very high. It indicates that research mentoring is very good. It also presents the standard deviation of 0.39 denoting that the responses of the respondents are highly consistent. Among its indicators there are four rated very high, and the remaining one indicator is high. Finally, the writing skills of the participants obtained a mean of 73.48, interpreted as low. It describes that the writing skills of the respondents is poor. The result showing the standard deviation of 12.96 explains that the respondents’ responses are highly consistent. </w:t>
      </w:r>
    </w:p>
    <w:p w14:paraId="5BB091BF" w14:textId="77777777" w:rsidR="002B1BCE" w:rsidRPr="002B1BCE" w:rsidRDefault="002B1BCE" w:rsidP="002B1BCE">
      <w:pPr>
        <w:ind w:firstLine="360"/>
        <w:jc w:val="both"/>
        <w:rPr>
          <w:rFonts w:ascii="Arial" w:hAnsi="Arial" w:cs="Arial"/>
        </w:rPr>
      </w:pPr>
    </w:p>
    <w:p w14:paraId="1FD42182" w14:textId="77777777" w:rsidR="002B1BCE" w:rsidRPr="002B1BCE" w:rsidRDefault="002B1BCE" w:rsidP="002B1BCE">
      <w:pPr>
        <w:jc w:val="both"/>
        <w:rPr>
          <w:rFonts w:ascii="Arial" w:hAnsi="Arial" w:cs="Arial"/>
          <w:b/>
          <w:i/>
        </w:rPr>
      </w:pPr>
      <w:r>
        <w:rPr>
          <w:rFonts w:ascii="Arial" w:hAnsi="Arial" w:cs="Arial"/>
          <w:b/>
          <w:i/>
        </w:rPr>
        <w:t>3.</w:t>
      </w:r>
      <w:proofErr w:type="gramStart"/>
      <w:r>
        <w:rPr>
          <w:rFonts w:ascii="Arial" w:hAnsi="Arial" w:cs="Arial"/>
          <w:b/>
          <w:i/>
        </w:rPr>
        <w:t>2.</w:t>
      </w:r>
      <w:r w:rsidRPr="002B1BCE">
        <w:rPr>
          <w:rFonts w:ascii="Arial" w:hAnsi="Arial" w:cs="Arial"/>
          <w:b/>
          <w:i/>
        </w:rPr>
        <w:t>Correlation</w:t>
      </w:r>
      <w:proofErr w:type="gramEnd"/>
      <w:r w:rsidRPr="002B1BCE">
        <w:rPr>
          <w:rFonts w:ascii="Arial" w:hAnsi="Arial" w:cs="Arial"/>
          <w:b/>
          <w:i/>
        </w:rPr>
        <w:t xml:space="preserve"> Results</w:t>
      </w:r>
    </w:p>
    <w:p w14:paraId="281638E4" w14:textId="77777777" w:rsidR="002B1BCE" w:rsidRPr="002B1BCE" w:rsidRDefault="002B1BCE" w:rsidP="002B1BCE">
      <w:pPr>
        <w:jc w:val="both"/>
        <w:rPr>
          <w:rFonts w:ascii="Arial" w:hAnsi="Arial" w:cs="Arial"/>
          <w:b/>
          <w:i/>
        </w:rPr>
      </w:pPr>
    </w:p>
    <w:p w14:paraId="7791534C" w14:textId="77777777" w:rsidR="002B1BCE" w:rsidRPr="002B1BCE" w:rsidRDefault="002B1BCE" w:rsidP="002B1BCE">
      <w:pPr>
        <w:jc w:val="both"/>
        <w:rPr>
          <w:rFonts w:ascii="Arial" w:hAnsi="Arial" w:cs="Arial"/>
        </w:rPr>
      </w:pPr>
      <w:r w:rsidRPr="002B1BCE">
        <w:rPr>
          <w:rFonts w:ascii="Arial" w:hAnsi="Arial" w:cs="Arial"/>
        </w:rPr>
        <w:tab/>
        <w:t xml:space="preserve">Table 2 is the correlation table. It contains the independent and criterion variables. It also contains the </w:t>
      </w:r>
      <w:proofErr w:type="spellStart"/>
      <w:r w:rsidRPr="002B1BCE">
        <w:rPr>
          <w:rFonts w:ascii="Arial" w:hAnsi="Arial" w:cs="Arial"/>
        </w:rPr>
        <w:t>r-value</w:t>
      </w:r>
      <w:proofErr w:type="spellEnd"/>
      <w:r w:rsidRPr="002B1BCE">
        <w:rPr>
          <w:rFonts w:ascii="Arial" w:hAnsi="Arial" w:cs="Arial"/>
        </w:rPr>
        <w:t>, p-value, decision on null hypothesis, and the corresponding interpretation.</w:t>
      </w:r>
    </w:p>
    <w:p w14:paraId="1D358DF6" w14:textId="77777777" w:rsidR="002B1BCE" w:rsidRPr="002B1BCE" w:rsidRDefault="002B1BCE" w:rsidP="002B1BCE">
      <w:pPr>
        <w:jc w:val="both"/>
        <w:rPr>
          <w:rFonts w:ascii="Arial" w:hAnsi="Arial" w:cs="Arial"/>
        </w:rPr>
      </w:pPr>
      <w:r w:rsidRPr="002B1BCE">
        <w:rPr>
          <w:rFonts w:ascii="Arial" w:hAnsi="Arial" w:cs="Arial"/>
        </w:rPr>
        <w:tab/>
        <w:t xml:space="preserve">Specifically, the table shows that the research self-efficacy (p=0.285, r=-0.073), student engagement (p=0.884, r=0.010), and research mentoring (p=0.633, r=-0.033) variables obtained respective p-value which are less than 0.05 degree of confidence. Hence, </w:t>
      </w:r>
      <w:r w:rsidRPr="002B1BCE">
        <w:rPr>
          <w:rFonts w:ascii="Arial" w:hAnsi="Arial" w:cs="Arial"/>
          <w:noProof/>
          <w:lang w:val="en-PH" w:eastAsia="en-PH"/>
        </w:rPr>
        <w:lastRenderedPageBreak/>
        <w:drawing>
          <wp:anchor distT="0" distB="0" distL="114300" distR="114300" simplePos="0" relativeHeight="251693568" behindDoc="0" locked="0" layoutInCell="1" allowOverlap="1" wp14:anchorId="5C8B6027" wp14:editId="69F4B1D9">
            <wp:simplePos x="0" y="0"/>
            <wp:positionH relativeFrom="margin">
              <wp:posOffset>0</wp:posOffset>
            </wp:positionH>
            <wp:positionV relativeFrom="paragraph">
              <wp:posOffset>-662940</wp:posOffset>
            </wp:positionV>
            <wp:extent cx="5250180" cy="3034665"/>
            <wp:effectExtent l="0" t="0" r="0" b="0"/>
            <wp:wrapThrough wrapText="bothSides">
              <wp:wrapPolygon edited="0">
                <wp:start x="0" y="0"/>
                <wp:lineTo x="0" y="21424"/>
                <wp:lineTo x="21553" y="21424"/>
                <wp:lineTo x="2155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250180" cy="3034665"/>
                    </a:xfrm>
                    <a:prstGeom prst="rect">
                      <a:avLst/>
                    </a:prstGeom>
                  </pic:spPr>
                </pic:pic>
              </a:graphicData>
            </a:graphic>
            <wp14:sizeRelH relativeFrom="margin">
              <wp14:pctWidth>0</wp14:pctWidth>
            </wp14:sizeRelH>
          </wp:anchor>
        </w:drawing>
      </w:r>
      <w:r w:rsidRPr="002B1BCE">
        <w:rPr>
          <w:rFonts w:ascii="Arial" w:hAnsi="Arial" w:cs="Arial"/>
        </w:rPr>
        <w:t xml:space="preserve">all their hypotheses are not rejected. It indicates that all the determinant variables are not significantly correlated with the criterion.  </w:t>
      </w:r>
    </w:p>
    <w:p w14:paraId="2A93D9E1" w14:textId="77777777" w:rsidR="002B1BCE" w:rsidRPr="002B1BCE" w:rsidRDefault="002B1BCE" w:rsidP="002B1BCE">
      <w:pPr>
        <w:ind w:firstLine="420"/>
        <w:jc w:val="both"/>
        <w:rPr>
          <w:rFonts w:ascii="Arial" w:hAnsi="Arial" w:cs="Arial"/>
        </w:rPr>
      </w:pPr>
    </w:p>
    <w:p w14:paraId="051A5978" w14:textId="77777777" w:rsidR="002B1BCE" w:rsidRPr="002B1BCE" w:rsidRDefault="002B1BCE" w:rsidP="002B1BCE">
      <w:pPr>
        <w:jc w:val="both"/>
        <w:rPr>
          <w:rFonts w:ascii="Arial" w:hAnsi="Arial" w:cs="Arial"/>
          <w:b/>
          <w:i/>
        </w:rPr>
      </w:pPr>
      <w:r>
        <w:rPr>
          <w:rFonts w:ascii="Arial" w:hAnsi="Arial" w:cs="Arial"/>
          <w:b/>
          <w:i/>
        </w:rPr>
        <w:t>3.</w:t>
      </w:r>
      <w:proofErr w:type="gramStart"/>
      <w:r>
        <w:rPr>
          <w:rFonts w:ascii="Arial" w:hAnsi="Arial" w:cs="Arial"/>
          <w:b/>
          <w:i/>
        </w:rPr>
        <w:t>3.</w:t>
      </w:r>
      <w:r w:rsidRPr="002B1BCE">
        <w:rPr>
          <w:rFonts w:ascii="Arial" w:hAnsi="Arial" w:cs="Arial"/>
          <w:b/>
          <w:i/>
        </w:rPr>
        <w:t>Summary</w:t>
      </w:r>
      <w:proofErr w:type="gramEnd"/>
      <w:r w:rsidRPr="002B1BCE">
        <w:rPr>
          <w:rFonts w:ascii="Arial" w:hAnsi="Arial" w:cs="Arial"/>
          <w:b/>
          <w:i/>
        </w:rPr>
        <w:t xml:space="preserve"> of Findings</w:t>
      </w:r>
    </w:p>
    <w:p w14:paraId="5EE70411" w14:textId="77777777" w:rsidR="002B1BCE" w:rsidRPr="002B1BCE" w:rsidRDefault="002B1BCE" w:rsidP="002B1BCE">
      <w:pPr>
        <w:pStyle w:val="ListParagraph"/>
        <w:numPr>
          <w:ilvl w:val="0"/>
          <w:numId w:val="32"/>
        </w:numPr>
        <w:spacing w:line="240" w:lineRule="auto"/>
        <w:ind w:left="851" w:hanging="425"/>
        <w:jc w:val="both"/>
        <w:rPr>
          <w:sz w:val="20"/>
          <w:szCs w:val="20"/>
        </w:rPr>
      </w:pPr>
      <w:r w:rsidRPr="002B1BCE">
        <w:rPr>
          <w:sz w:val="20"/>
          <w:szCs w:val="20"/>
        </w:rPr>
        <w:t xml:space="preserve">Research self-efficacy </w:t>
      </w:r>
      <w:r w:rsidRPr="002B1BCE">
        <w:rPr>
          <w:rFonts w:eastAsia="Times New Roman"/>
          <w:sz w:val="20"/>
          <w:szCs w:val="20"/>
        </w:rPr>
        <w:t xml:space="preserve">and </w:t>
      </w:r>
      <w:r w:rsidRPr="002B1BCE">
        <w:rPr>
          <w:rStyle w:val="Strong"/>
          <w:b w:val="0"/>
          <w:sz w:val="20"/>
          <w:szCs w:val="20"/>
        </w:rPr>
        <w:t>writing skills</w:t>
      </w:r>
      <w:r w:rsidRPr="002B1BCE">
        <w:rPr>
          <w:sz w:val="20"/>
          <w:szCs w:val="20"/>
        </w:rPr>
        <w:t xml:space="preserve"> of students is not significantly correlated</w:t>
      </w:r>
      <w:r w:rsidRPr="002B1BCE">
        <w:rPr>
          <w:rFonts w:eastAsia="SimSun"/>
          <w:bCs/>
          <w:sz w:val="20"/>
          <w:szCs w:val="20"/>
          <w:lang w:val="en-GB"/>
        </w:rPr>
        <w:t>.</w:t>
      </w:r>
    </w:p>
    <w:p w14:paraId="5F93F836" w14:textId="77777777" w:rsidR="002B1BCE" w:rsidRPr="002B1BCE" w:rsidRDefault="002B1BCE" w:rsidP="002B1BCE">
      <w:pPr>
        <w:pStyle w:val="ListParagraph"/>
        <w:numPr>
          <w:ilvl w:val="0"/>
          <w:numId w:val="32"/>
        </w:numPr>
        <w:spacing w:line="240" w:lineRule="auto"/>
        <w:ind w:left="851" w:hanging="425"/>
        <w:jc w:val="both"/>
        <w:rPr>
          <w:sz w:val="20"/>
          <w:szCs w:val="20"/>
        </w:rPr>
      </w:pPr>
      <w:r w:rsidRPr="002B1BCE">
        <w:rPr>
          <w:rFonts w:eastAsia="SimSun"/>
          <w:bCs/>
          <w:sz w:val="20"/>
          <w:szCs w:val="20"/>
          <w:lang w:val="en-GB"/>
        </w:rPr>
        <w:t>Student engagement and writing skills of students is not significantly correlated.</w:t>
      </w:r>
    </w:p>
    <w:p w14:paraId="4AA60902" w14:textId="77777777" w:rsidR="00C30A0F" w:rsidRPr="002B1BCE" w:rsidRDefault="002B1BCE" w:rsidP="002B1BCE">
      <w:pPr>
        <w:pStyle w:val="ListParagraph"/>
        <w:numPr>
          <w:ilvl w:val="0"/>
          <w:numId w:val="32"/>
        </w:numPr>
        <w:spacing w:line="240" w:lineRule="auto"/>
        <w:ind w:left="851" w:hanging="425"/>
        <w:jc w:val="both"/>
        <w:rPr>
          <w:sz w:val="20"/>
          <w:szCs w:val="20"/>
        </w:rPr>
      </w:pPr>
      <w:r w:rsidRPr="002B1BCE">
        <w:rPr>
          <w:rFonts w:eastAsia="SimSun"/>
          <w:bCs/>
          <w:sz w:val="20"/>
          <w:szCs w:val="20"/>
          <w:lang w:val="en-GB"/>
        </w:rPr>
        <w:t>Research mentoring and writing skills of students is not significantly correlated.</w:t>
      </w:r>
      <w:r w:rsidR="00C30A0F" w:rsidRPr="002B1BCE">
        <w:rPr>
          <w:sz w:val="20"/>
          <w:szCs w:val="20"/>
        </w:rPr>
        <w:t xml:space="preserve"> </w:t>
      </w:r>
    </w:p>
    <w:p w14:paraId="5EB45FF3" w14:textId="77777777" w:rsidR="00E053D0" w:rsidRDefault="00E053D0" w:rsidP="00441B6F">
      <w:pPr>
        <w:pStyle w:val="Body"/>
        <w:spacing w:after="0"/>
        <w:rPr>
          <w:rFonts w:ascii="Arial" w:hAnsi="Arial" w:cs="Arial"/>
        </w:rPr>
      </w:pPr>
    </w:p>
    <w:p w14:paraId="48D1DF65" w14:textId="77777777" w:rsidR="002B1BCE" w:rsidRPr="00A857DA" w:rsidRDefault="002B1BCE" w:rsidP="002B1BCE">
      <w:pPr>
        <w:widowControl w:val="0"/>
        <w:pBdr>
          <w:top w:val="nil"/>
          <w:left w:val="nil"/>
          <w:bottom w:val="nil"/>
          <w:right w:val="nil"/>
          <w:between w:val="nil"/>
        </w:pBdr>
        <w:jc w:val="both"/>
        <w:rPr>
          <w:rFonts w:ascii="Arial" w:eastAsia="SimSun" w:hAnsi="Arial" w:cs="Arial"/>
          <w:b/>
          <w:bCs/>
          <w:i/>
          <w:lang w:val="en-GB"/>
        </w:rPr>
      </w:pPr>
      <w:r>
        <w:rPr>
          <w:rFonts w:ascii="Arial" w:hAnsi="Arial" w:cs="Arial"/>
          <w:b/>
          <w:i/>
        </w:rPr>
        <w:t>3.</w:t>
      </w:r>
      <w:proofErr w:type="gramStart"/>
      <w:r>
        <w:rPr>
          <w:rFonts w:ascii="Arial" w:hAnsi="Arial" w:cs="Arial"/>
          <w:b/>
          <w:i/>
        </w:rPr>
        <w:t>4.</w:t>
      </w:r>
      <w:r w:rsidRPr="002B1BCE">
        <w:rPr>
          <w:rFonts w:ascii="Arial" w:hAnsi="Arial" w:cs="Arial"/>
          <w:b/>
          <w:i/>
        </w:rPr>
        <w:t>No</w:t>
      </w:r>
      <w:proofErr w:type="gramEnd"/>
      <w:r w:rsidRPr="002B1BCE">
        <w:rPr>
          <w:rFonts w:ascii="Arial" w:hAnsi="Arial" w:cs="Arial"/>
          <w:b/>
          <w:i/>
        </w:rPr>
        <w:t xml:space="preserve"> link between research self-efficacy and student </w:t>
      </w:r>
      <w:r w:rsidRPr="002B1BCE">
        <w:rPr>
          <w:rStyle w:val="Strong"/>
          <w:rFonts w:ascii="Arial" w:hAnsi="Arial" w:cs="Arial"/>
          <w:i/>
        </w:rPr>
        <w:t>writing skills</w:t>
      </w:r>
    </w:p>
    <w:p w14:paraId="3673F1AB" w14:textId="77777777" w:rsidR="002B1BCE" w:rsidRPr="002B1BCE" w:rsidRDefault="002B1BCE" w:rsidP="002B1BCE">
      <w:pPr>
        <w:widowControl w:val="0"/>
        <w:pBdr>
          <w:top w:val="nil"/>
          <w:left w:val="nil"/>
          <w:bottom w:val="nil"/>
          <w:right w:val="nil"/>
          <w:between w:val="nil"/>
        </w:pBdr>
        <w:jc w:val="both"/>
        <w:rPr>
          <w:rFonts w:ascii="Arial" w:hAnsi="Arial" w:cs="Arial"/>
        </w:rPr>
      </w:pPr>
      <w:r w:rsidRPr="002B1BCE">
        <w:rPr>
          <w:rFonts w:ascii="Arial" w:hAnsi="Arial" w:cs="Arial"/>
        </w:rPr>
        <w:tab/>
        <w:t xml:space="preserve">In this study, research self-efficacy did not significantly correlate with students’ writing skills. This finding supports Jiang (2025), who noted that self-efficacy alone may not guarantee improved writing outcomes unless it is supported by appropriate instructional strategies. Moreover, this current finding affirms the assertion of </w:t>
      </w:r>
      <w:proofErr w:type="spellStart"/>
      <w:r w:rsidRPr="002B1BCE">
        <w:rPr>
          <w:rFonts w:ascii="Arial" w:hAnsi="Arial" w:cs="Arial"/>
        </w:rPr>
        <w:t>Fadillah</w:t>
      </w:r>
      <w:proofErr w:type="spellEnd"/>
      <w:r w:rsidRPr="002B1BCE">
        <w:rPr>
          <w:rFonts w:ascii="Arial" w:hAnsi="Arial" w:cs="Arial"/>
        </w:rPr>
        <w:t xml:space="preserve"> and Dari (2025), who found a </w:t>
      </w:r>
      <w:r w:rsidRPr="002B1BCE">
        <w:rPr>
          <w:rStyle w:val="Strong"/>
          <w:rFonts w:ascii="Arial" w:hAnsi="Arial" w:cs="Arial"/>
          <w:b w:val="0"/>
        </w:rPr>
        <w:t>very weak and non-significant relationship between writing self-efficacy and students’ writing performance</w:t>
      </w:r>
      <w:r w:rsidRPr="002B1BCE">
        <w:rPr>
          <w:rFonts w:ascii="Arial" w:hAnsi="Arial" w:cs="Arial"/>
        </w:rPr>
        <w:t xml:space="preserve">, suggesting that confidence in writing does not necessarily translate into higher writing achievement. Finally, the absence of link between self-efficacy and writing skills aligns the study of </w:t>
      </w:r>
      <w:proofErr w:type="spellStart"/>
      <w:r w:rsidRPr="002B1BCE">
        <w:rPr>
          <w:rFonts w:ascii="Arial" w:hAnsi="Arial" w:cs="Arial"/>
        </w:rPr>
        <w:t>Setyowati</w:t>
      </w:r>
      <w:proofErr w:type="spellEnd"/>
      <w:r w:rsidRPr="002B1BCE">
        <w:rPr>
          <w:rFonts w:ascii="Arial" w:hAnsi="Arial" w:cs="Arial"/>
        </w:rPr>
        <w:t xml:space="preserve"> et al. (2024), who observed </w:t>
      </w:r>
      <w:r w:rsidRPr="002B1BCE">
        <w:rPr>
          <w:rStyle w:val="Strong"/>
          <w:rFonts w:ascii="Arial" w:hAnsi="Arial" w:cs="Arial"/>
          <w:b w:val="0"/>
        </w:rPr>
        <w:t>no significant correlation between students’ writing self-efficacy and essay writing performance</w:t>
      </w:r>
      <w:r w:rsidRPr="002B1BCE">
        <w:rPr>
          <w:rFonts w:ascii="Arial" w:hAnsi="Arial" w:cs="Arial"/>
          <w:b/>
        </w:rPr>
        <w:t>,</w:t>
      </w:r>
      <w:r w:rsidRPr="002B1BCE">
        <w:rPr>
          <w:rFonts w:ascii="Arial" w:hAnsi="Arial" w:cs="Arial"/>
        </w:rPr>
        <w:t xml:space="preserve"> indicating that other factors such as instruction, practice, and feedback may play a more critical role in improving writing skills.</w:t>
      </w:r>
    </w:p>
    <w:p w14:paraId="190B0E02" w14:textId="77777777" w:rsidR="002B1BCE" w:rsidRPr="002B1BCE" w:rsidRDefault="002B1BCE" w:rsidP="002B1BCE">
      <w:pPr>
        <w:widowControl w:val="0"/>
        <w:pBdr>
          <w:top w:val="nil"/>
          <w:left w:val="nil"/>
          <w:bottom w:val="nil"/>
          <w:right w:val="nil"/>
          <w:between w:val="nil"/>
        </w:pBdr>
        <w:jc w:val="both"/>
        <w:rPr>
          <w:rFonts w:ascii="Arial" w:hAnsi="Arial" w:cs="Arial"/>
        </w:rPr>
      </w:pPr>
      <w:r w:rsidRPr="002B1BCE">
        <w:rPr>
          <w:rFonts w:ascii="Arial" w:hAnsi="Arial" w:cs="Arial"/>
        </w:rPr>
        <w:tab/>
        <w:t xml:space="preserve">In contrast, the absence of a significant relationship between research self-efficacy and students’ writing skills in the present study contradicts </w:t>
      </w:r>
      <w:r w:rsidRPr="002B1BCE">
        <w:rPr>
          <w:rStyle w:val="Strong"/>
          <w:rFonts w:ascii="Arial" w:hAnsi="Arial" w:cs="Arial"/>
          <w:b w:val="0"/>
        </w:rPr>
        <w:t>Sophia et al. (2024)</w:t>
      </w:r>
      <w:r w:rsidRPr="002B1BCE">
        <w:rPr>
          <w:rFonts w:ascii="Arial" w:hAnsi="Arial" w:cs="Arial"/>
        </w:rPr>
        <w:t xml:space="preserve">, whose study involving </w:t>
      </w:r>
      <w:r w:rsidRPr="002B1BCE">
        <w:rPr>
          <w:rStyle w:val="Strong"/>
          <w:rFonts w:ascii="Arial" w:hAnsi="Arial" w:cs="Arial"/>
          <w:b w:val="0"/>
        </w:rPr>
        <w:t>120 secondary school students</w:t>
      </w:r>
      <w:r w:rsidRPr="002B1BCE">
        <w:rPr>
          <w:rFonts w:ascii="Arial" w:hAnsi="Arial" w:cs="Arial"/>
        </w:rPr>
        <w:t xml:space="preserve"> found a significant positive correlation between students’ self-efficacy and descriptive writing performance, indicating that learners with stronger confidence in their writing abilities tend to achieve better writing outcomes. Sophia’s study has a lesser number of respondents as compared to the 218 samples employed in the current study.</w:t>
      </w:r>
    </w:p>
    <w:p w14:paraId="582510E2" w14:textId="77777777" w:rsidR="002B1BCE" w:rsidRPr="002B1BCE" w:rsidRDefault="002B1BCE" w:rsidP="002B1BCE">
      <w:pPr>
        <w:widowControl w:val="0"/>
        <w:pBdr>
          <w:top w:val="nil"/>
          <w:left w:val="nil"/>
          <w:bottom w:val="nil"/>
          <w:right w:val="nil"/>
          <w:between w:val="nil"/>
        </w:pBdr>
        <w:jc w:val="both"/>
        <w:rPr>
          <w:rFonts w:ascii="Arial" w:eastAsia="SimSun" w:hAnsi="Arial" w:cs="Arial"/>
          <w:b/>
          <w:bCs/>
          <w:lang w:val="en-GB"/>
        </w:rPr>
      </w:pPr>
    </w:p>
    <w:p w14:paraId="210583BF" w14:textId="77777777" w:rsidR="002B1BCE" w:rsidRPr="00A857DA" w:rsidRDefault="00A857DA" w:rsidP="002B1BCE">
      <w:pPr>
        <w:widowControl w:val="0"/>
        <w:pBdr>
          <w:top w:val="nil"/>
          <w:left w:val="nil"/>
          <w:bottom w:val="nil"/>
          <w:right w:val="nil"/>
          <w:between w:val="nil"/>
        </w:pBdr>
        <w:jc w:val="both"/>
        <w:rPr>
          <w:rFonts w:ascii="Arial" w:eastAsia="SimSun" w:hAnsi="Arial" w:cs="Arial"/>
          <w:b/>
          <w:bCs/>
          <w:i/>
          <w:lang w:val="en-GB"/>
        </w:rPr>
      </w:pPr>
      <w:r>
        <w:rPr>
          <w:rFonts w:ascii="Arial" w:eastAsia="SimSun" w:hAnsi="Arial" w:cs="Arial"/>
          <w:b/>
          <w:bCs/>
          <w:i/>
          <w:lang w:val="en-GB"/>
        </w:rPr>
        <w:t>3.</w:t>
      </w:r>
      <w:proofErr w:type="gramStart"/>
      <w:r>
        <w:rPr>
          <w:rFonts w:ascii="Arial" w:eastAsia="SimSun" w:hAnsi="Arial" w:cs="Arial"/>
          <w:b/>
          <w:bCs/>
          <w:i/>
          <w:lang w:val="en-GB"/>
        </w:rPr>
        <w:t>5.</w:t>
      </w:r>
      <w:r w:rsidR="002B1BCE" w:rsidRPr="002B1BCE">
        <w:rPr>
          <w:rFonts w:ascii="Arial" w:eastAsia="SimSun" w:hAnsi="Arial" w:cs="Arial"/>
          <w:b/>
          <w:bCs/>
          <w:i/>
          <w:lang w:val="en-GB"/>
        </w:rPr>
        <w:t>No</w:t>
      </w:r>
      <w:proofErr w:type="gramEnd"/>
      <w:r w:rsidR="002B1BCE" w:rsidRPr="002B1BCE">
        <w:rPr>
          <w:rFonts w:ascii="Arial" w:eastAsia="SimSun" w:hAnsi="Arial" w:cs="Arial"/>
          <w:b/>
          <w:bCs/>
          <w:i/>
          <w:lang w:val="en-GB"/>
        </w:rPr>
        <w:t xml:space="preserve"> link between student engagement and student writing skills</w:t>
      </w:r>
    </w:p>
    <w:p w14:paraId="6B9C0176" w14:textId="77777777" w:rsidR="002B1BCE" w:rsidRPr="002B1BCE" w:rsidRDefault="002B1BCE" w:rsidP="002B1BCE">
      <w:pPr>
        <w:widowControl w:val="0"/>
        <w:pBdr>
          <w:top w:val="nil"/>
          <w:left w:val="nil"/>
          <w:bottom w:val="nil"/>
          <w:right w:val="nil"/>
          <w:between w:val="nil"/>
        </w:pBdr>
        <w:jc w:val="both"/>
        <w:rPr>
          <w:rFonts w:ascii="Arial" w:hAnsi="Arial" w:cs="Arial"/>
        </w:rPr>
      </w:pPr>
      <w:r w:rsidRPr="002B1BCE">
        <w:rPr>
          <w:rFonts w:ascii="Arial" w:hAnsi="Arial" w:cs="Arial"/>
        </w:rPr>
        <w:tab/>
        <w:t xml:space="preserve">Student engagement also showed no significant relationship with writing skills in the present study. This finding affirms the results of </w:t>
      </w:r>
      <w:proofErr w:type="spellStart"/>
      <w:r w:rsidRPr="002B1BCE">
        <w:rPr>
          <w:rFonts w:ascii="Arial" w:hAnsi="Arial" w:cs="Arial"/>
        </w:rPr>
        <w:t>Suscano</w:t>
      </w:r>
      <w:proofErr w:type="spellEnd"/>
      <w:r w:rsidRPr="002B1BCE">
        <w:rPr>
          <w:rFonts w:ascii="Arial" w:hAnsi="Arial" w:cs="Arial"/>
        </w:rPr>
        <w:t xml:space="preserve"> et al. (2025), who indicated that engagement tends to correlate more strongly with </w:t>
      </w:r>
      <w:r w:rsidRPr="00A857DA">
        <w:rPr>
          <w:rStyle w:val="Strong"/>
          <w:rFonts w:ascii="Arial" w:hAnsi="Arial" w:cs="Arial"/>
          <w:b w:val="0"/>
        </w:rPr>
        <w:t>overall academic performance rather than specific skills such as writing</w:t>
      </w:r>
      <w:r w:rsidRPr="002B1BCE">
        <w:rPr>
          <w:rFonts w:ascii="Arial" w:hAnsi="Arial" w:cs="Arial"/>
        </w:rPr>
        <w:t xml:space="preserve">. Additionally, this current study supports the assertion of Feng (2025), who noted that although students may demonstrate high levels of engagement in writing activities, such as interacting with feedback or participating in writing tasks, this engagement does not necessarily translate into measurable improvements in writing </w:t>
      </w:r>
      <w:r w:rsidRPr="002B1BCE">
        <w:rPr>
          <w:rFonts w:ascii="Arial" w:hAnsi="Arial" w:cs="Arial"/>
        </w:rPr>
        <w:lastRenderedPageBreak/>
        <w:t xml:space="preserve">performance without effective instructional guidance and structured feedback. </w:t>
      </w:r>
    </w:p>
    <w:p w14:paraId="5AF10C38" w14:textId="77777777" w:rsidR="002B1BCE" w:rsidRPr="002B1BCE" w:rsidRDefault="002B1BCE" w:rsidP="002B1BCE">
      <w:pPr>
        <w:jc w:val="both"/>
        <w:rPr>
          <w:rFonts w:ascii="Arial" w:hAnsi="Arial" w:cs="Arial"/>
        </w:rPr>
      </w:pPr>
      <w:r w:rsidRPr="002B1BCE">
        <w:rPr>
          <w:rFonts w:ascii="Arial" w:hAnsi="Arial" w:cs="Arial"/>
        </w:rPr>
        <w:tab/>
        <w:t xml:space="preserve">The absence of a significant relationship between student engagement and students’ writing skills in the present study opposes the study of </w:t>
      </w:r>
      <w:r w:rsidRPr="002B1BCE">
        <w:rPr>
          <w:rFonts w:ascii="Arial" w:hAnsi="Arial" w:cs="Arial"/>
          <w:bCs/>
        </w:rPr>
        <w:t>Fredricks et al. (2023)</w:t>
      </w:r>
      <w:r w:rsidRPr="002B1BCE">
        <w:rPr>
          <w:rFonts w:ascii="Arial" w:hAnsi="Arial" w:cs="Arial"/>
        </w:rPr>
        <w:t xml:space="preserve"> involving only </w:t>
      </w:r>
      <w:r w:rsidRPr="002B1BCE">
        <w:rPr>
          <w:rFonts w:ascii="Arial" w:hAnsi="Arial" w:cs="Arial"/>
          <w:bCs/>
        </w:rPr>
        <w:t>96 undergraduate students, much less than the samples employed in the current study. Contrary to the current finding, Fredricks asserted that</w:t>
      </w:r>
      <w:r w:rsidRPr="002B1BCE">
        <w:rPr>
          <w:rFonts w:ascii="Arial" w:hAnsi="Arial" w:cs="Arial"/>
        </w:rPr>
        <w:t xml:space="preserve"> a positive relationship between student engagement and writing performance. </w:t>
      </w:r>
    </w:p>
    <w:p w14:paraId="6C6EA006" w14:textId="77777777" w:rsidR="002B1BCE" w:rsidRPr="002B1BCE" w:rsidRDefault="002B1BCE" w:rsidP="002B1BCE">
      <w:pPr>
        <w:jc w:val="both"/>
        <w:rPr>
          <w:rFonts w:ascii="Arial" w:hAnsi="Arial" w:cs="Arial"/>
        </w:rPr>
      </w:pPr>
    </w:p>
    <w:p w14:paraId="6AFE04A8" w14:textId="77777777" w:rsidR="002B1BCE" w:rsidRPr="00A857DA" w:rsidRDefault="00A857DA" w:rsidP="002B1BCE">
      <w:pPr>
        <w:widowControl w:val="0"/>
        <w:pBdr>
          <w:top w:val="nil"/>
          <w:left w:val="nil"/>
          <w:bottom w:val="nil"/>
          <w:right w:val="nil"/>
          <w:between w:val="nil"/>
        </w:pBdr>
        <w:jc w:val="both"/>
        <w:rPr>
          <w:rFonts w:ascii="Arial" w:eastAsia="SimSun" w:hAnsi="Arial" w:cs="Arial"/>
          <w:b/>
          <w:bCs/>
          <w:i/>
          <w:lang w:val="en-GB"/>
        </w:rPr>
      </w:pPr>
      <w:r>
        <w:rPr>
          <w:rFonts w:ascii="Arial" w:eastAsia="SimSun" w:hAnsi="Arial" w:cs="Arial"/>
          <w:b/>
          <w:bCs/>
          <w:i/>
          <w:lang w:val="en-GB"/>
        </w:rPr>
        <w:t>3.</w:t>
      </w:r>
      <w:proofErr w:type="gramStart"/>
      <w:r>
        <w:rPr>
          <w:rFonts w:ascii="Arial" w:eastAsia="SimSun" w:hAnsi="Arial" w:cs="Arial"/>
          <w:b/>
          <w:bCs/>
          <w:i/>
          <w:lang w:val="en-GB"/>
        </w:rPr>
        <w:t>6.</w:t>
      </w:r>
      <w:r w:rsidR="002B1BCE" w:rsidRPr="002B1BCE">
        <w:rPr>
          <w:rFonts w:ascii="Arial" w:eastAsia="SimSun" w:hAnsi="Arial" w:cs="Arial"/>
          <w:b/>
          <w:bCs/>
          <w:i/>
          <w:lang w:val="en-GB"/>
        </w:rPr>
        <w:t>No</w:t>
      </w:r>
      <w:proofErr w:type="gramEnd"/>
      <w:r w:rsidR="002B1BCE" w:rsidRPr="002B1BCE">
        <w:rPr>
          <w:rFonts w:ascii="Arial" w:eastAsia="SimSun" w:hAnsi="Arial" w:cs="Arial"/>
          <w:b/>
          <w:bCs/>
          <w:i/>
          <w:lang w:val="en-GB"/>
        </w:rPr>
        <w:t xml:space="preserve"> link between research mentoring and student writing skills</w:t>
      </w:r>
    </w:p>
    <w:p w14:paraId="2E059240" w14:textId="77777777" w:rsidR="002B1BCE" w:rsidRPr="002B1BCE" w:rsidRDefault="002B1BCE" w:rsidP="002B1BCE">
      <w:pPr>
        <w:widowControl w:val="0"/>
        <w:pBdr>
          <w:top w:val="nil"/>
          <w:left w:val="nil"/>
          <w:bottom w:val="nil"/>
          <w:right w:val="nil"/>
          <w:between w:val="nil"/>
        </w:pBdr>
        <w:jc w:val="both"/>
        <w:rPr>
          <w:rFonts w:ascii="Arial" w:hAnsi="Arial" w:cs="Arial"/>
        </w:rPr>
      </w:pPr>
      <w:r w:rsidRPr="002B1BCE">
        <w:rPr>
          <w:rFonts w:ascii="Arial" w:hAnsi="Arial" w:cs="Arial"/>
        </w:rPr>
        <w:tab/>
        <w:t xml:space="preserve">Research mentoring was not significantly related to writing skills in the present study. This finding affirms the study of </w:t>
      </w:r>
      <w:proofErr w:type="spellStart"/>
      <w:r w:rsidRPr="002B1BCE">
        <w:rPr>
          <w:rFonts w:ascii="Arial" w:hAnsi="Arial" w:cs="Arial"/>
        </w:rPr>
        <w:t>Kedrowicz</w:t>
      </w:r>
      <w:proofErr w:type="spellEnd"/>
      <w:r w:rsidRPr="002B1BCE">
        <w:rPr>
          <w:rFonts w:ascii="Arial" w:hAnsi="Arial" w:cs="Arial"/>
        </w:rPr>
        <w:t xml:space="preserve"> (2025), who found that mentoring programs often enhance students’ overall research competencies rather than specific writing proficiency. The result of the current study supports </w:t>
      </w:r>
      <w:r w:rsidRPr="002B1BCE">
        <w:rPr>
          <w:rStyle w:val="whitespace-normal"/>
          <w:rFonts w:ascii="Arial" w:hAnsi="Arial" w:cs="Arial"/>
          <w:bCs/>
        </w:rPr>
        <w:t>Hernandez</w:t>
      </w:r>
      <w:r w:rsidRPr="002B1BCE">
        <w:rPr>
          <w:rStyle w:val="Strong"/>
          <w:rFonts w:ascii="Arial" w:hAnsi="Arial" w:cs="Arial"/>
        </w:rPr>
        <w:t xml:space="preserve"> </w:t>
      </w:r>
      <w:r w:rsidRPr="00A857DA">
        <w:rPr>
          <w:rStyle w:val="Strong"/>
          <w:rFonts w:ascii="Arial" w:hAnsi="Arial" w:cs="Arial"/>
          <w:b w:val="0"/>
        </w:rPr>
        <w:t>et al. (2023), who</w:t>
      </w:r>
      <w:r w:rsidRPr="002B1BCE">
        <w:rPr>
          <w:rFonts w:ascii="Arial" w:hAnsi="Arial" w:cs="Arial"/>
        </w:rPr>
        <w:t xml:space="preserve"> reported that research mentoring primarily improves only in writing ability depending more on targeted writing instruction and structured feedback. Similarly, it is affirmed in the study of </w:t>
      </w:r>
      <w:r w:rsidRPr="002B1BCE">
        <w:rPr>
          <w:rStyle w:val="whitespace-normal"/>
          <w:rFonts w:ascii="Arial" w:hAnsi="Arial" w:cs="Arial"/>
          <w:bCs/>
        </w:rPr>
        <w:t>Byars-Winston</w:t>
      </w:r>
      <w:r w:rsidRPr="002B1BCE">
        <w:rPr>
          <w:rStyle w:val="Strong"/>
          <w:rFonts w:ascii="Arial" w:hAnsi="Arial" w:cs="Arial"/>
        </w:rPr>
        <w:t xml:space="preserve"> </w:t>
      </w:r>
      <w:r w:rsidRPr="00A857DA">
        <w:rPr>
          <w:rStyle w:val="Strong"/>
          <w:rFonts w:ascii="Arial" w:hAnsi="Arial" w:cs="Arial"/>
          <w:b w:val="0"/>
        </w:rPr>
        <w:t>et al. (2024) who</w:t>
      </w:r>
      <w:r w:rsidRPr="002B1BCE">
        <w:rPr>
          <w:rFonts w:ascii="Arial" w:hAnsi="Arial" w:cs="Arial"/>
        </w:rPr>
        <w:t xml:space="preserve"> emphasized that mentoring relationships contribute significantly to students’ professional development and research engagement, but their direct impact on specific academic skills such as writing is often indirect and mediated by other learning supports.</w:t>
      </w:r>
    </w:p>
    <w:p w14:paraId="26C86669" w14:textId="77777777" w:rsidR="002B1BCE" w:rsidRPr="002B1BCE" w:rsidRDefault="009A1A07" w:rsidP="002B1BCE">
      <w:pPr>
        <w:pStyle w:val="Body"/>
        <w:spacing w:after="0"/>
        <w:rPr>
          <w:rFonts w:ascii="Arial" w:hAnsi="Arial" w:cs="Arial"/>
        </w:rPr>
      </w:pPr>
      <w:r>
        <w:rPr>
          <w:rFonts w:ascii="Arial" w:hAnsi="Arial" w:cs="Arial"/>
        </w:rPr>
        <w:tab/>
      </w:r>
      <w:r w:rsidR="002B1BCE" w:rsidRPr="002B1BCE">
        <w:rPr>
          <w:rFonts w:ascii="Arial" w:hAnsi="Arial" w:cs="Arial"/>
        </w:rPr>
        <w:t xml:space="preserve">The findings of the present study </w:t>
      </w:r>
      <w:proofErr w:type="gramStart"/>
      <w:r w:rsidR="002B1BCE" w:rsidRPr="002B1BCE">
        <w:rPr>
          <w:rFonts w:ascii="Arial" w:hAnsi="Arial" w:cs="Arial"/>
        </w:rPr>
        <w:t>contradicts</w:t>
      </w:r>
      <w:proofErr w:type="gramEnd"/>
      <w:r w:rsidR="002B1BCE" w:rsidRPr="002B1BCE">
        <w:rPr>
          <w:rFonts w:ascii="Arial" w:hAnsi="Arial" w:cs="Arial"/>
        </w:rPr>
        <w:t xml:space="preserve"> the findings of </w:t>
      </w:r>
      <w:r w:rsidR="002B1BCE" w:rsidRPr="002B1BCE">
        <w:rPr>
          <w:rFonts w:ascii="Arial" w:hAnsi="Arial" w:cs="Arial"/>
          <w:bCs/>
        </w:rPr>
        <w:t>Becker</w:t>
      </w:r>
      <w:r w:rsidR="002B1BCE" w:rsidRPr="002B1BCE">
        <w:rPr>
          <w:rFonts w:ascii="Arial" w:hAnsi="Arial" w:cs="Arial"/>
          <w:b/>
          <w:bCs/>
        </w:rPr>
        <w:t xml:space="preserve"> </w:t>
      </w:r>
      <w:r w:rsidR="002B1BCE" w:rsidRPr="002B1BCE">
        <w:rPr>
          <w:rFonts w:ascii="Arial" w:hAnsi="Arial" w:cs="Arial"/>
          <w:bCs/>
        </w:rPr>
        <w:t>et al. (2025)</w:t>
      </w:r>
      <w:r w:rsidR="002B1BCE" w:rsidRPr="002B1BCE">
        <w:rPr>
          <w:rFonts w:ascii="Arial" w:hAnsi="Arial" w:cs="Arial"/>
        </w:rPr>
        <w:t xml:space="preserve"> involving only </w:t>
      </w:r>
      <w:r w:rsidR="002B1BCE" w:rsidRPr="002B1BCE">
        <w:rPr>
          <w:rFonts w:ascii="Arial" w:hAnsi="Arial" w:cs="Arial"/>
          <w:bCs/>
        </w:rPr>
        <w:t>84 undergraduate students, much less the samples employed in the current study. Contradicting to the current study, Becker</w:t>
      </w:r>
      <w:r w:rsidR="002B1BCE" w:rsidRPr="002B1BCE">
        <w:rPr>
          <w:rFonts w:ascii="Arial" w:hAnsi="Arial" w:cs="Arial"/>
        </w:rPr>
        <w:t xml:space="preserve"> reported that mentoring programs explicitly tailored to academic writing showed a positive correlation with students’ writing development.</w:t>
      </w:r>
    </w:p>
    <w:p w14:paraId="710D96B8" w14:textId="77777777" w:rsidR="00790ADA" w:rsidRPr="00FB3A86" w:rsidRDefault="00790ADA" w:rsidP="00441B6F">
      <w:pPr>
        <w:pStyle w:val="Body"/>
        <w:spacing w:after="0"/>
        <w:rPr>
          <w:rFonts w:ascii="Arial" w:hAnsi="Arial" w:cs="Arial"/>
        </w:rPr>
      </w:pPr>
    </w:p>
    <w:p w14:paraId="315C031C"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F02329" w14:textId="77777777" w:rsidR="00790ADA" w:rsidRPr="009A1A07" w:rsidRDefault="009A1A07" w:rsidP="00441B6F">
      <w:pPr>
        <w:pStyle w:val="Body"/>
        <w:spacing w:after="0"/>
        <w:rPr>
          <w:rFonts w:ascii="Arial" w:hAnsi="Arial" w:cs="Arial"/>
          <w:lang w:val="en-GB"/>
        </w:rPr>
      </w:pPr>
      <w:r>
        <w:rPr>
          <w:rFonts w:ascii="Arial" w:hAnsi="Arial" w:cs="Arial"/>
          <w:lang w:val="en-GB"/>
        </w:rPr>
        <w:tab/>
      </w:r>
      <w:r w:rsidRPr="009A1A07">
        <w:rPr>
          <w:rFonts w:ascii="Arial" w:hAnsi="Arial" w:cs="Arial"/>
          <w:lang w:val="en-GB"/>
        </w:rPr>
        <w:t xml:space="preserve">Based on the findings, the study revealed no significant correlations between research self-efficacy, student engagement, research mentoring, and the students’ writing skills. Thus, Bandura’s Social Cognitive Theory </w:t>
      </w:r>
      <w:r w:rsidRPr="009A1A07">
        <w:rPr>
          <w:rFonts w:ascii="Arial" w:hAnsi="Arial" w:cs="Arial"/>
        </w:rPr>
        <w:t>describing human functioning as the interaction of environmental, behavioral, and personal cognitive factors, emphasizing the roles of observational learning, self-efficacy, and self-regulation in shaping behavior,</w:t>
      </w:r>
      <w:r w:rsidRPr="009A1A07">
        <w:rPr>
          <w:rFonts w:ascii="Arial" w:hAnsi="Arial" w:cs="Arial"/>
          <w:lang w:val="en-GB"/>
        </w:rPr>
        <w:t xml:space="preserve"> is completely denied.</w:t>
      </w:r>
    </w:p>
    <w:p w14:paraId="09C7ADE1" w14:textId="275DCDEC" w:rsidR="00860000" w:rsidRDefault="00860000" w:rsidP="00441B6F">
      <w:pPr>
        <w:pStyle w:val="ReferHead"/>
        <w:spacing w:after="0"/>
        <w:jc w:val="both"/>
        <w:rPr>
          <w:rFonts w:ascii="Arial" w:hAnsi="Arial" w:cs="Arial"/>
        </w:rPr>
      </w:pPr>
    </w:p>
    <w:p w14:paraId="54B19141" w14:textId="77777777" w:rsidR="001D6C3A" w:rsidRDefault="001D6C3A" w:rsidP="00441B6F">
      <w:pPr>
        <w:pStyle w:val="ReferHead"/>
        <w:spacing w:after="0"/>
        <w:jc w:val="both"/>
        <w:rPr>
          <w:rFonts w:ascii="Arial" w:hAnsi="Arial" w:cs="Arial"/>
        </w:rPr>
      </w:pPr>
    </w:p>
    <w:p w14:paraId="4C6647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CC7E39" w14:textId="77777777" w:rsidR="00790ADA" w:rsidRPr="00FB3A86" w:rsidRDefault="00790ADA" w:rsidP="00441B6F">
      <w:pPr>
        <w:pStyle w:val="ReferHead"/>
        <w:spacing w:after="0"/>
        <w:jc w:val="both"/>
        <w:rPr>
          <w:rFonts w:ascii="Arial" w:hAnsi="Arial" w:cs="Arial"/>
        </w:rPr>
      </w:pPr>
    </w:p>
    <w:p w14:paraId="62131677"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spacing w:val="1"/>
        </w:rPr>
        <w:t xml:space="preserve">Bandura, A. (1986). Social Cognitive Theory. </w:t>
      </w:r>
      <w:hyperlink r:id="rId17" w:history="1">
        <w:r w:rsidRPr="00480747">
          <w:rPr>
            <w:rStyle w:val="Hyperlink"/>
            <w:rFonts w:ascii="Arial" w:hAnsi="Arial" w:cs="Arial"/>
            <w:color w:val="auto"/>
            <w:spacing w:val="1"/>
            <w:u w:val="none"/>
          </w:rPr>
          <w:t>https://www.sciencedirect.com/topics/social-sciences/social-cognitive-theory</w:t>
        </w:r>
      </w:hyperlink>
      <w:r w:rsidRPr="00480747">
        <w:rPr>
          <w:rFonts w:ascii="Arial" w:hAnsi="Arial" w:cs="Arial"/>
          <w:spacing w:val="1"/>
        </w:rPr>
        <w:t>.</w:t>
      </w:r>
    </w:p>
    <w:p w14:paraId="1151B132"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Becker, L., Smith, J., &amp; Anderson, P. (2025). Academic mentoring and writing development among undergraduate students. </w:t>
      </w:r>
      <w:r w:rsidRPr="00480747">
        <w:rPr>
          <w:rStyle w:val="Emphasis"/>
          <w:rFonts w:ascii="Arial" w:hAnsi="Arial" w:cs="Arial"/>
        </w:rPr>
        <w:t>Journal of Academic Writing, 15</w:t>
      </w:r>
      <w:r w:rsidRPr="00480747">
        <w:rPr>
          <w:rFonts w:ascii="Arial" w:hAnsi="Arial" w:cs="Arial"/>
        </w:rPr>
        <w:t>(1), 45–62.</w:t>
      </w:r>
    </w:p>
    <w:p w14:paraId="0607761A"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spacing w:val="1"/>
        </w:rPr>
      </w:pPr>
      <w:r w:rsidRPr="00480747">
        <w:rPr>
          <w:rFonts w:ascii="Arial" w:hAnsi="Arial" w:cs="Arial"/>
        </w:rPr>
        <w:t xml:space="preserve">Byars-Winston, A., Womack, V. Y., Butz, A. R., McGee, R., Quinn, S. C., &amp; Thomas, S. B. (2024). Pilot study of an intervention to increase cultural awareness in research mentoring: Implications for mentoring effectiveness. </w:t>
      </w:r>
      <w:r w:rsidRPr="00480747">
        <w:rPr>
          <w:rStyle w:val="Emphasis"/>
          <w:rFonts w:ascii="Arial" w:hAnsi="Arial" w:cs="Arial"/>
        </w:rPr>
        <w:t>CBE—Life Sciences Education, 23</w:t>
      </w:r>
      <w:r w:rsidRPr="00480747">
        <w:rPr>
          <w:rFonts w:ascii="Arial" w:hAnsi="Arial" w:cs="Arial"/>
        </w:rPr>
        <w:t xml:space="preserve">(1), ar10. </w:t>
      </w:r>
      <w:hyperlink r:id="rId18" w:history="1">
        <w:r w:rsidRPr="00480747">
          <w:rPr>
            <w:rStyle w:val="Hyperlink"/>
            <w:rFonts w:ascii="Arial" w:hAnsi="Arial" w:cs="Arial"/>
            <w:color w:val="auto"/>
            <w:u w:val="none"/>
          </w:rPr>
          <w:t>https://doi.org/10.1187/cbe.23-02-0020</w:t>
        </w:r>
      </w:hyperlink>
    </w:p>
    <w:p w14:paraId="674A79FE"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Cabrera, J. M. (2022). Assessment of students’ writing proficiency in selected public secondary schools in Davao City. </w:t>
      </w:r>
      <w:r w:rsidRPr="00480747">
        <w:rPr>
          <w:rStyle w:val="Emphasis"/>
          <w:rFonts w:ascii="Arial" w:hAnsi="Arial" w:cs="Arial"/>
        </w:rPr>
        <w:t>Philippine Journal of Education Studies, 95</w:t>
      </w:r>
      <w:r w:rsidRPr="00480747">
        <w:rPr>
          <w:rFonts w:ascii="Arial" w:hAnsi="Arial" w:cs="Arial"/>
        </w:rPr>
        <w:t xml:space="preserve">(2), 45–58. </w:t>
      </w:r>
      <w:hyperlink r:id="rId19" w:history="1">
        <w:r w:rsidRPr="00480747">
          <w:rPr>
            <w:rStyle w:val="Hyperlink"/>
            <w:rFonts w:ascii="Arial" w:hAnsi="Arial" w:cs="Arial"/>
            <w:color w:val="auto"/>
            <w:u w:val="none"/>
          </w:rPr>
          <w:t>https://doi.org/10.7828/pjes.v95i2.1584</w:t>
        </w:r>
      </w:hyperlink>
    </w:p>
    <w:p w14:paraId="2F36E81B"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proofErr w:type="spellStart"/>
      <w:r w:rsidRPr="00480747">
        <w:rPr>
          <w:rFonts w:ascii="Arial" w:hAnsi="Arial" w:cs="Arial"/>
        </w:rPr>
        <w:t>ClinCalc</w:t>
      </w:r>
      <w:proofErr w:type="spellEnd"/>
      <w:r w:rsidRPr="00480747">
        <w:rPr>
          <w:rFonts w:ascii="Arial" w:hAnsi="Arial" w:cs="Arial"/>
        </w:rPr>
        <w:t xml:space="preserve">. (2022). </w:t>
      </w:r>
      <w:r w:rsidRPr="00480747">
        <w:rPr>
          <w:rStyle w:val="Emphasis"/>
          <w:rFonts w:ascii="Arial" w:hAnsi="Arial" w:cs="Arial"/>
        </w:rPr>
        <w:t xml:space="preserve">Sample size calculators: </w:t>
      </w:r>
      <w:proofErr w:type="spellStart"/>
      <w:r w:rsidRPr="00480747">
        <w:rPr>
          <w:rStyle w:val="Emphasis"/>
          <w:rFonts w:ascii="Arial" w:hAnsi="Arial" w:cs="Arial"/>
        </w:rPr>
        <w:t>ClinCalc</w:t>
      </w:r>
      <w:proofErr w:type="spellEnd"/>
      <w:r w:rsidRPr="00480747">
        <w:rPr>
          <w:rStyle w:val="Emphasis"/>
          <w:rFonts w:ascii="Arial" w:hAnsi="Arial" w:cs="Arial"/>
        </w:rPr>
        <w:t xml:space="preserve"> and </w:t>
      </w:r>
      <w:proofErr w:type="spellStart"/>
      <w:r w:rsidRPr="00480747">
        <w:rPr>
          <w:rStyle w:val="Emphasis"/>
          <w:rFonts w:ascii="Arial" w:hAnsi="Arial" w:cs="Arial"/>
        </w:rPr>
        <w:t>Raosoft</w:t>
      </w:r>
      <w:proofErr w:type="spellEnd"/>
      <w:r w:rsidRPr="00480747">
        <w:rPr>
          <w:rStyle w:val="Emphasis"/>
          <w:rFonts w:ascii="Arial" w:hAnsi="Arial" w:cs="Arial"/>
        </w:rPr>
        <w:t xml:space="preserve"> compared</w:t>
      </w:r>
      <w:r w:rsidRPr="00480747">
        <w:rPr>
          <w:rFonts w:ascii="Arial" w:hAnsi="Arial" w:cs="Arial"/>
        </w:rPr>
        <w:t xml:space="preserve">. Retrieved from </w:t>
      </w:r>
      <w:hyperlink r:id="rId20" w:history="1">
        <w:r w:rsidRPr="00480747">
          <w:rPr>
            <w:rStyle w:val="Hyperlink"/>
            <w:rFonts w:ascii="Arial" w:hAnsi="Arial" w:cs="Arial"/>
            <w:color w:val="auto"/>
            <w:u w:val="none"/>
          </w:rPr>
          <w:t>https://clincalc.com</w:t>
        </w:r>
      </w:hyperlink>
    </w:p>
    <w:p w14:paraId="68731DB0"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shd w:val="clear" w:color="auto" w:fill="FFFFFF"/>
        </w:rPr>
      </w:pPr>
      <w:r w:rsidRPr="00480747">
        <w:rPr>
          <w:rFonts w:ascii="Arial" w:hAnsi="Arial" w:cs="Arial"/>
          <w:shd w:val="clear" w:color="auto" w:fill="FFFFFF"/>
        </w:rPr>
        <w:t xml:space="preserve">Coates, H., &amp; Hillman, K. (2008). Australasian Survey of Student Engagement: 2007 institution report. </w:t>
      </w:r>
      <w:hyperlink r:id="rId21" w:history="1">
        <w:r w:rsidRPr="00480747">
          <w:rPr>
            <w:rStyle w:val="Hyperlink"/>
            <w:rFonts w:ascii="Arial" w:hAnsi="Arial" w:cs="Arial"/>
            <w:color w:val="auto"/>
            <w:u w:val="none"/>
            <w:shd w:val="clear" w:color="auto" w:fill="FFFFFF"/>
          </w:rPr>
          <w:t>https://research.acer.edu.au/ausse/19/</w:t>
        </w:r>
      </w:hyperlink>
      <w:r w:rsidRPr="00480747">
        <w:rPr>
          <w:rFonts w:ascii="Arial" w:hAnsi="Arial" w:cs="Arial"/>
          <w:shd w:val="clear" w:color="auto" w:fill="FFFFFF"/>
        </w:rPr>
        <w:t>.</w:t>
      </w:r>
    </w:p>
    <w:p w14:paraId="2346C686"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Creswell, J. W., &amp; Creswell, J. D. (2021). </w:t>
      </w:r>
      <w:r w:rsidRPr="00480747">
        <w:rPr>
          <w:rStyle w:val="Emphasis"/>
          <w:rFonts w:ascii="Arial" w:hAnsi="Arial" w:cs="Arial"/>
        </w:rPr>
        <w:t>Research design: Qualitative, quantitative, and mixed methods approaches</w:t>
      </w:r>
      <w:r w:rsidRPr="00480747">
        <w:rPr>
          <w:rFonts w:ascii="Arial" w:hAnsi="Arial" w:cs="Arial"/>
        </w:rPr>
        <w:t xml:space="preserve"> (5th ed.). SAGE Publications.</w:t>
      </w:r>
      <w:r w:rsidRPr="00480747">
        <w:rPr>
          <w:rFonts w:ascii="Arial" w:hAnsi="Arial" w:cs="Arial"/>
          <w:lang w:val="en-GB"/>
        </w:rPr>
        <w:t xml:space="preserve"> </w:t>
      </w:r>
      <w:hyperlink r:id="rId22" w:history="1">
        <w:r w:rsidRPr="00480747">
          <w:rPr>
            <w:rStyle w:val="Hyperlink"/>
            <w:rFonts w:ascii="Arial" w:hAnsi="Arial" w:cs="Arial"/>
            <w:color w:val="auto"/>
            <w:u w:val="none"/>
          </w:rPr>
          <w:t>https://doi.org/10.1177/0011000020926564</w:t>
        </w:r>
      </w:hyperlink>
    </w:p>
    <w:p w14:paraId="6D3AD77F"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lastRenderedPageBreak/>
        <w:t xml:space="preserve">Creswell, J. W., &amp; Creswell, J. D. (2023). </w:t>
      </w:r>
      <w:r w:rsidRPr="00480747">
        <w:rPr>
          <w:rStyle w:val="Emphasis"/>
          <w:rFonts w:ascii="Arial" w:hAnsi="Arial" w:cs="Arial"/>
        </w:rPr>
        <w:t>Research design: Qualitative, quantitative, and mixed methods approaches</w:t>
      </w:r>
      <w:r w:rsidRPr="00480747">
        <w:rPr>
          <w:rFonts w:ascii="Arial" w:hAnsi="Arial" w:cs="Arial"/>
        </w:rPr>
        <w:t xml:space="preserve"> (6th ed.). SAGE Publications.</w:t>
      </w:r>
    </w:p>
    <w:p w14:paraId="056A14A8"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Davis, M. (2023). Academic writing standards in East Asian higher education: A comparative perspective. </w:t>
      </w:r>
      <w:r w:rsidRPr="00480747">
        <w:rPr>
          <w:rStyle w:val="Emphasis"/>
          <w:rFonts w:ascii="Arial" w:hAnsi="Arial" w:cs="Arial"/>
        </w:rPr>
        <w:t>Journal of Global Education Research, 14</w:t>
      </w:r>
      <w:r w:rsidRPr="00480747">
        <w:rPr>
          <w:rFonts w:ascii="Arial" w:hAnsi="Arial" w:cs="Arial"/>
        </w:rPr>
        <w:t xml:space="preserve">(1), 25–39. </w:t>
      </w:r>
      <w:hyperlink r:id="rId23" w:history="1">
        <w:r w:rsidRPr="00480747">
          <w:rPr>
            <w:rStyle w:val="Hyperlink"/>
            <w:rFonts w:ascii="Arial" w:hAnsi="Arial" w:cs="Arial"/>
            <w:color w:val="auto"/>
            <w:u w:val="none"/>
          </w:rPr>
          <w:t>https://doi.org/10.1080/25741292.2023.1938752</w:t>
        </w:r>
      </w:hyperlink>
    </w:p>
    <w:p w14:paraId="51A72BB3"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Elstad, E., &amp; Eriksen, I. M. (2024). Norwegian students’ challenges in academic writing: An empirical investigation. </w:t>
      </w:r>
      <w:r w:rsidRPr="00480747">
        <w:rPr>
          <w:rStyle w:val="Emphasis"/>
          <w:rFonts w:ascii="Arial" w:hAnsi="Arial" w:cs="Arial"/>
        </w:rPr>
        <w:t>Scandinavian Journal of Educational Research, 68</w:t>
      </w:r>
      <w:r w:rsidRPr="00480747">
        <w:rPr>
          <w:rFonts w:ascii="Arial" w:hAnsi="Arial" w:cs="Arial"/>
        </w:rPr>
        <w:t xml:space="preserve">(3), 421–437. </w:t>
      </w:r>
      <w:hyperlink r:id="rId24" w:history="1">
        <w:r w:rsidRPr="00480747">
          <w:rPr>
            <w:rStyle w:val="Hyperlink"/>
            <w:rFonts w:ascii="Arial" w:hAnsi="Arial" w:cs="Arial"/>
            <w:color w:val="auto"/>
            <w:u w:val="none"/>
          </w:rPr>
          <w:t>https://doi.org/10.1080/00313831.2023.2204567</w:t>
        </w:r>
      </w:hyperlink>
    </w:p>
    <w:p w14:paraId="1544547C"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Fadillah, M. R., &amp; Dari, R. W. (2025). The correlation between EFL undergraduate students’ self-efficacy beliefs in essay writing and writing performance. </w:t>
      </w:r>
      <w:r w:rsidRPr="00480747">
        <w:rPr>
          <w:rStyle w:val="Emphasis"/>
          <w:rFonts w:ascii="Arial" w:hAnsi="Arial" w:cs="Arial"/>
        </w:rPr>
        <w:t>J-SHMIC: Journal of English for Academic Purposes, 12</w:t>
      </w:r>
      <w:r w:rsidRPr="00480747">
        <w:rPr>
          <w:rFonts w:ascii="Arial" w:hAnsi="Arial" w:cs="Arial"/>
        </w:rPr>
        <w:t xml:space="preserve">(2). </w:t>
      </w:r>
      <w:hyperlink r:id="rId25" w:history="1">
        <w:r w:rsidRPr="00480747">
          <w:rPr>
            <w:rStyle w:val="Hyperlink"/>
            <w:rFonts w:ascii="Arial" w:hAnsi="Arial" w:cs="Arial"/>
            <w:color w:val="auto"/>
            <w:u w:val="none"/>
          </w:rPr>
          <w:t>https://doi.org/10.25299/jshmic.2025.vol12(2).21155</w:t>
        </w:r>
      </w:hyperlink>
    </w:p>
    <w:p w14:paraId="7969E672"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Feng, Y. (2025). Research on EFL learners’ engagement with feedback in English writing. </w:t>
      </w:r>
      <w:r w:rsidRPr="00480747">
        <w:rPr>
          <w:rStyle w:val="Emphasis"/>
          <w:rFonts w:ascii="Arial" w:hAnsi="Arial" w:cs="Arial"/>
        </w:rPr>
        <w:t>Frontiers in Educational Research, 8</w:t>
      </w:r>
      <w:r w:rsidRPr="00480747">
        <w:rPr>
          <w:rFonts w:ascii="Arial" w:hAnsi="Arial" w:cs="Arial"/>
        </w:rPr>
        <w:t xml:space="preserve">(4). </w:t>
      </w:r>
      <w:hyperlink r:id="rId26" w:history="1">
        <w:r w:rsidRPr="00480747">
          <w:rPr>
            <w:rStyle w:val="Hyperlink"/>
            <w:rFonts w:ascii="Arial" w:hAnsi="Arial" w:cs="Arial"/>
            <w:color w:val="auto"/>
            <w:u w:val="none"/>
          </w:rPr>
          <w:t>https://doi.org/10.25236/FER.2025.080419</w:t>
        </w:r>
      </w:hyperlink>
    </w:p>
    <w:p w14:paraId="6EBA959A"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Field, A. (2021). </w:t>
      </w:r>
      <w:r w:rsidRPr="00480747">
        <w:rPr>
          <w:rStyle w:val="Emphasis"/>
          <w:rFonts w:ascii="Arial" w:hAnsi="Arial" w:cs="Arial"/>
        </w:rPr>
        <w:t>Discovering statistics using IBM SPSS statistics</w:t>
      </w:r>
      <w:r w:rsidRPr="00480747">
        <w:rPr>
          <w:rFonts w:ascii="Arial" w:hAnsi="Arial" w:cs="Arial"/>
        </w:rPr>
        <w:t xml:space="preserve"> (5th ed.). SAGE Publications. </w:t>
      </w:r>
      <w:hyperlink r:id="rId27" w:history="1">
        <w:r w:rsidRPr="00480747">
          <w:rPr>
            <w:rStyle w:val="Hyperlink"/>
            <w:rFonts w:ascii="Arial" w:hAnsi="Arial" w:cs="Arial"/>
            <w:color w:val="auto"/>
            <w:u w:val="none"/>
          </w:rPr>
          <w:t>https://doi.org/10.1177/09593543211069161</w:t>
        </w:r>
      </w:hyperlink>
    </w:p>
    <w:p w14:paraId="070A2E42"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Flower, L. (1994). </w:t>
      </w:r>
      <w:r w:rsidRPr="00480747">
        <w:rPr>
          <w:rStyle w:val="Emphasis"/>
          <w:rFonts w:ascii="Arial" w:hAnsi="Arial" w:cs="Arial"/>
        </w:rPr>
        <w:t>The construction of negotiated meaning: A social cognitive theory of writing</w:t>
      </w:r>
      <w:r w:rsidRPr="00480747">
        <w:rPr>
          <w:rFonts w:ascii="Arial" w:hAnsi="Arial" w:cs="Arial"/>
        </w:rPr>
        <w:t xml:space="preserve">. Southern Illinois University Press. </w:t>
      </w:r>
      <w:hyperlink r:id="rId28" w:history="1">
        <w:r w:rsidRPr="00480747">
          <w:rPr>
            <w:rStyle w:val="Hyperlink"/>
            <w:rFonts w:ascii="Arial" w:hAnsi="Arial" w:cs="Arial"/>
            <w:color w:val="auto"/>
            <w:u w:val="none"/>
          </w:rPr>
          <w:t>https://doi.org/10.2307/358881</w:t>
        </w:r>
      </w:hyperlink>
    </w:p>
    <w:p w14:paraId="2C9D5073" w14:textId="77777777" w:rsidR="009A1A07" w:rsidRPr="00480747" w:rsidRDefault="009A1A07" w:rsidP="009A1A07">
      <w:pPr>
        <w:widowControl w:val="0"/>
        <w:pBdr>
          <w:top w:val="nil"/>
          <w:left w:val="nil"/>
          <w:bottom w:val="nil"/>
          <w:right w:val="nil"/>
          <w:between w:val="nil"/>
        </w:pBdr>
        <w:ind w:left="567" w:hanging="567"/>
        <w:jc w:val="both"/>
        <w:rPr>
          <w:rFonts w:ascii="Arial" w:eastAsia="Cambria" w:hAnsi="Arial" w:cs="Arial"/>
        </w:rPr>
      </w:pPr>
      <w:r w:rsidRPr="00480747">
        <w:rPr>
          <w:rFonts w:ascii="Arial" w:hAnsi="Arial" w:cs="Arial"/>
        </w:rPr>
        <w:t xml:space="preserve">Fredricks, J. A., Wang, M. T., &amp; Ye, F. (2023). Student engagement and academic outcomes: The role of behavioral and cognitive engagement in writing performance. </w:t>
      </w:r>
      <w:r w:rsidRPr="00480747">
        <w:rPr>
          <w:rStyle w:val="Emphasis"/>
          <w:rFonts w:ascii="Arial" w:hAnsi="Arial" w:cs="Arial"/>
        </w:rPr>
        <w:t>Educational Psychology Review, 35</w:t>
      </w:r>
      <w:r w:rsidRPr="00480747">
        <w:rPr>
          <w:rFonts w:ascii="Arial" w:hAnsi="Arial" w:cs="Arial"/>
        </w:rPr>
        <w:t xml:space="preserve">(2), 521–540. </w:t>
      </w:r>
      <w:hyperlink r:id="rId29" w:history="1">
        <w:r w:rsidRPr="00480747">
          <w:rPr>
            <w:rStyle w:val="Hyperlink"/>
            <w:rFonts w:ascii="Arial" w:hAnsi="Arial" w:cs="Arial"/>
            <w:color w:val="auto"/>
            <w:u w:val="none"/>
          </w:rPr>
          <w:t>https://doi.org/10.1007/s10648-022-09672-2</w:t>
        </w:r>
      </w:hyperlink>
    </w:p>
    <w:p w14:paraId="2A2427A4"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eastAsia="Cambria" w:hAnsi="Arial" w:cs="Arial"/>
        </w:rPr>
        <w:t>Guilford, J. P. (1956). Fundamental statistics in psychology and education. McGraw-Hill.</w:t>
      </w:r>
    </w:p>
    <w:p w14:paraId="48118C94"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Hash, P. M., Hodges, D. A., &amp; Parker, E. C. (2023). </w:t>
      </w:r>
      <w:r w:rsidRPr="00480747">
        <w:rPr>
          <w:rStyle w:val="Emphasis"/>
          <w:rFonts w:ascii="Arial" w:hAnsi="Arial" w:cs="Arial"/>
        </w:rPr>
        <w:t>Quantitative descriptive and correlational research</w:t>
      </w:r>
      <w:r w:rsidRPr="00480747">
        <w:rPr>
          <w:rFonts w:ascii="Arial" w:hAnsi="Arial" w:cs="Arial"/>
        </w:rPr>
        <w:t xml:space="preserve">. In </w:t>
      </w:r>
      <w:r w:rsidRPr="00480747">
        <w:rPr>
          <w:rStyle w:val="Strong"/>
          <w:rFonts w:ascii="Arial" w:hAnsi="Arial" w:cs="Arial"/>
        </w:rPr>
        <w:t>Music education research: An introduction</w:t>
      </w:r>
      <w:r w:rsidRPr="00480747">
        <w:rPr>
          <w:rFonts w:ascii="Arial" w:hAnsi="Arial" w:cs="Arial"/>
        </w:rPr>
        <w:t xml:space="preserve">. Oxford University Press. </w:t>
      </w:r>
      <w:hyperlink r:id="rId30" w:history="1">
        <w:r w:rsidRPr="00480747">
          <w:rPr>
            <w:rStyle w:val="Hyperlink"/>
            <w:rFonts w:ascii="Arial" w:hAnsi="Arial" w:cs="Arial"/>
            <w:color w:val="auto"/>
            <w:u w:val="none"/>
          </w:rPr>
          <w:t>https://doi.org/10.1093/oso/9780197639757.003.0012</w:t>
        </w:r>
      </w:hyperlink>
    </w:p>
    <w:p w14:paraId="644AE6F9"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Hermida, R. (2024). Student challenges in academic paragraph writing: A study in Aceh, Indonesia. </w:t>
      </w:r>
      <w:proofErr w:type="spellStart"/>
      <w:r w:rsidRPr="00480747">
        <w:rPr>
          <w:rStyle w:val="Emphasis"/>
          <w:rFonts w:ascii="Arial" w:hAnsi="Arial" w:cs="Arial"/>
        </w:rPr>
        <w:t>Accentia</w:t>
      </w:r>
      <w:proofErr w:type="spellEnd"/>
      <w:r w:rsidRPr="00480747">
        <w:rPr>
          <w:rStyle w:val="Emphasis"/>
          <w:rFonts w:ascii="Arial" w:hAnsi="Arial" w:cs="Arial"/>
        </w:rPr>
        <w:t>: Journal of English Language and Education, 4</w:t>
      </w:r>
      <w:r w:rsidRPr="00480747">
        <w:rPr>
          <w:rFonts w:ascii="Arial" w:hAnsi="Arial" w:cs="Arial"/>
        </w:rPr>
        <w:t xml:space="preserve">(2). </w:t>
      </w:r>
      <w:hyperlink r:id="rId31" w:tgtFrame="_new" w:history="1">
        <w:r w:rsidRPr="00480747">
          <w:rPr>
            <w:rStyle w:val="Hyperlink"/>
            <w:rFonts w:ascii="Arial" w:hAnsi="Arial" w:cs="Arial"/>
            <w:color w:val="auto"/>
            <w:u w:val="none"/>
          </w:rPr>
          <w:t>https://ejournal.unmuha.ac.id/index.php/accentia/article/view/2270</w:t>
        </w:r>
      </w:hyperlink>
    </w:p>
    <w:p w14:paraId="288BDD2A"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Hernandez, P. R., Woodcock, A., Estrada, M., &amp; Schultz, P. W. (2023). Mentoring and persistence in research careers: The role of mentoring in developing research identity and competence. </w:t>
      </w:r>
      <w:r w:rsidRPr="00480747">
        <w:rPr>
          <w:rStyle w:val="Emphasis"/>
          <w:rFonts w:ascii="Arial" w:hAnsi="Arial" w:cs="Arial"/>
        </w:rPr>
        <w:t>Journal of Educational Psychology, 115</w:t>
      </w:r>
      <w:r w:rsidRPr="00480747">
        <w:rPr>
          <w:rFonts w:ascii="Arial" w:hAnsi="Arial" w:cs="Arial"/>
        </w:rPr>
        <w:t xml:space="preserve">(6), 1021–1035. </w:t>
      </w:r>
      <w:hyperlink r:id="rId32" w:history="1">
        <w:r w:rsidRPr="00480747">
          <w:rPr>
            <w:rStyle w:val="Hyperlink"/>
            <w:rFonts w:ascii="Arial" w:hAnsi="Arial" w:cs="Arial"/>
            <w:color w:val="auto"/>
            <w:u w:val="none"/>
          </w:rPr>
          <w:t>https://doi.org/10.1037/edu0000762</w:t>
        </w:r>
      </w:hyperlink>
    </w:p>
    <w:p w14:paraId="18B04DA8"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Jiang, H. (2025). Enhancing college English writing through self-efficacy-based instruction. </w:t>
      </w:r>
      <w:r w:rsidRPr="00480747">
        <w:rPr>
          <w:rFonts w:ascii="Arial" w:hAnsi="Arial" w:cs="Arial"/>
          <w:i/>
          <w:iCs/>
        </w:rPr>
        <w:t>Frontiers in Psychology, 16,</w:t>
      </w:r>
      <w:r w:rsidRPr="00480747">
        <w:rPr>
          <w:rFonts w:ascii="Arial" w:hAnsi="Arial" w:cs="Arial"/>
        </w:rPr>
        <w:t xml:space="preserve"> 1668324. </w:t>
      </w:r>
      <w:hyperlink r:id="rId33" w:history="1">
        <w:r w:rsidRPr="00480747">
          <w:rPr>
            <w:rStyle w:val="Hyperlink"/>
            <w:rFonts w:ascii="Arial" w:hAnsi="Arial" w:cs="Arial"/>
            <w:color w:val="auto"/>
            <w:u w:val="none"/>
          </w:rPr>
          <w:t>https://doi.org/10.3389/fpsyg.2025.1668324</w:t>
        </w:r>
      </w:hyperlink>
    </w:p>
    <w:p w14:paraId="3E9FDEC1"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proofErr w:type="spellStart"/>
      <w:r w:rsidRPr="00480747">
        <w:rPr>
          <w:rFonts w:ascii="Arial" w:hAnsi="Arial" w:cs="Arial"/>
        </w:rPr>
        <w:t>Kedrowicz</w:t>
      </w:r>
      <w:proofErr w:type="spellEnd"/>
      <w:r w:rsidRPr="00480747">
        <w:rPr>
          <w:rFonts w:ascii="Arial" w:hAnsi="Arial" w:cs="Arial"/>
        </w:rPr>
        <w:t xml:space="preserve">, A. (2025). The impact of a research mentoring program on graduate trainees’ perceptions of mentoring competencies. </w:t>
      </w:r>
      <w:r w:rsidRPr="00480747">
        <w:rPr>
          <w:rFonts w:ascii="Arial" w:hAnsi="Arial" w:cs="Arial"/>
          <w:i/>
          <w:iCs/>
        </w:rPr>
        <w:t>Discover Education, 4,</w:t>
      </w:r>
      <w:r w:rsidRPr="00480747">
        <w:rPr>
          <w:rFonts w:ascii="Arial" w:hAnsi="Arial" w:cs="Arial"/>
        </w:rPr>
        <w:t xml:space="preserve"> 118. </w:t>
      </w:r>
      <w:hyperlink r:id="rId34" w:history="1">
        <w:r w:rsidRPr="00480747">
          <w:rPr>
            <w:rStyle w:val="Hyperlink"/>
            <w:rFonts w:ascii="Arial" w:hAnsi="Arial" w:cs="Arial"/>
            <w:color w:val="auto"/>
            <w:u w:val="none"/>
          </w:rPr>
          <w:t>https://doi.org/10.1007/s44217-025-00118-9</w:t>
        </w:r>
      </w:hyperlink>
    </w:p>
    <w:p w14:paraId="163158D9"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shd w:val="clear" w:color="auto" w:fill="FFFFFF"/>
        </w:rPr>
      </w:pPr>
      <w:r w:rsidRPr="00480747">
        <w:rPr>
          <w:rFonts w:ascii="Arial" w:hAnsi="Arial" w:cs="Arial"/>
        </w:rPr>
        <w:t>Mentor-Mentee Research Relations Questionnaire</w:t>
      </w:r>
      <w:r w:rsidRPr="00480747">
        <w:rPr>
          <w:rFonts w:ascii="Arial" w:hAnsi="Arial" w:cs="Arial"/>
          <w:shd w:val="clear" w:color="auto" w:fill="FFFFFF"/>
        </w:rPr>
        <w:t xml:space="preserve">. </w:t>
      </w:r>
      <w:hyperlink r:id="rId35" w:history="1">
        <w:r w:rsidRPr="00480747">
          <w:rPr>
            <w:rStyle w:val="Hyperlink"/>
            <w:rFonts w:ascii="Arial" w:hAnsi="Arial" w:cs="Arial"/>
            <w:color w:val="auto"/>
            <w:u w:val="none"/>
            <w:shd w:val="clear" w:color="auto" w:fill="FFFFFF"/>
          </w:rPr>
          <w:t>https://grad.ucdavis.edu/sites/g/files/dgvnsk9301/files/inline-files/questionnaire_aligning_expectations_in_mentoring_relationships_2018-05-1._.pdf</w:t>
        </w:r>
      </w:hyperlink>
      <w:r w:rsidRPr="00480747">
        <w:rPr>
          <w:rFonts w:ascii="Arial" w:hAnsi="Arial" w:cs="Arial"/>
          <w:shd w:val="clear" w:color="auto" w:fill="FFFFFF"/>
        </w:rPr>
        <w:t>.</w:t>
      </w:r>
    </w:p>
    <w:p w14:paraId="7E2A4249"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shd w:val="clear" w:color="auto" w:fill="FFFFFF"/>
        </w:rPr>
      </w:pPr>
      <w:r w:rsidRPr="00480747">
        <w:rPr>
          <w:rFonts w:ascii="Arial" w:hAnsi="Arial" w:cs="Arial"/>
          <w:shd w:val="clear" w:color="auto" w:fill="FFFFFF"/>
        </w:rPr>
        <w:t>Saddler, B., &amp; Andrade, H. (2004). The writing rubric. </w:t>
      </w:r>
      <w:r w:rsidRPr="00480747">
        <w:rPr>
          <w:rFonts w:ascii="Arial" w:hAnsi="Arial" w:cs="Arial"/>
          <w:iCs/>
          <w:shd w:val="clear" w:color="auto" w:fill="FFFFFF"/>
        </w:rPr>
        <w:t>Educational Leadership</w:t>
      </w:r>
      <w:r w:rsidRPr="00480747">
        <w:rPr>
          <w:rFonts w:ascii="Arial" w:hAnsi="Arial" w:cs="Arial"/>
          <w:shd w:val="clear" w:color="auto" w:fill="FFFFFF"/>
        </w:rPr>
        <w:t>, </w:t>
      </w:r>
      <w:r w:rsidRPr="00480747">
        <w:rPr>
          <w:rFonts w:ascii="Arial" w:hAnsi="Arial" w:cs="Arial"/>
          <w:iCs/>
          <w:shd w:val="clear" w:color="auto" w:fill="FFFFFF"/>
        </w:rPr>
        <w:t>62</w:t>
      </w:r>
      <w:r w:rsidRPr="00480747">
        <w:rPr>
          <w:rFonts w:ascii="Arial" w:hAnsi="Arial" w:cs="Arial"/>
          <w:shd w:val="clear" w:color="auto" w:fill="FFFFFF"/>
        </w:rPr>
        <w:t>(2), 48-52.</w:t>
      </w:r>
    </w:p>
    <w:p w14:paraId="363DF955"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Salvador, R. A. (2024). Written composition performance of first-year college students: An institutional assessment. </w:t>
      </w:r>
      <w:r w:rsidRPr="00480747">
        <w:rPr>
          <w:rStyle w:val="Emphasis"/>
          <w:rFonts w:ascii="Arial" w:hAnsi="Arial" w:cs="Arial"/>
        </w:rPr>
        <w:t>Asian Journal of Education and Human Development, 12</w:t>
      </w:r>
      <w:r w:rsidRPr="00480747">
        <w:rPr>
          <w:rFonts w:ascii="Arial" w:hAnsi="Arial" w:cs="Arial"/>
        </w:rPr>
        <w:t xml:space="preserve">(1), 72–85. </w:t>
      </w:r>
      <w:hyperlink r:id="rId36" w:history="1">
        <w:r w:rsidRPr="00480747">
          <w:rPr>
            <w:rStyle w:val="Hyperlink"/>
            <w:rFonts w:ascii="Arial" w:hAnsi="Arial" w:cs="Arial"/>
            <w:color w:val="auto"/>
            <w:u w:val="none"/>
          </w:rPr>
          <w:t>https://doi.org/10.7828/aje.v12i1.1784</w:t>
        </w:r>
      </w:hyperlink>
    </w:p>
    <w:p w14:paraId="029313D0" w14:textId="77777777" w:rsidR="009A1A07" w:rsidRPr="00480747" w:rsidRDefault="009A1A07" w:rsidP="009A1A07">
      <w:pPr>
        <w:widowControl w:val="0"/>
        <w:pBdr>
          <w:top w:val="nil"/>
          <w:left w:val="nil"/>
          <w:bottom w:val="nil"/>
          <w:right w:val="nil"/>
          <w:between w:val="nil"/>
        </w:pBdr>
        <w:ind w:left="567" w:hanging="567"/>
        <w:jc w:val="both"/>
        <w:rPr>
          <w:rFonts w:ascii="Arial" w:eastAsia="Cambria" w:hAnsi="Arial" w:cs="Arial"/>
        </w:rPr>
      </w:pPr>
      <w:r w:rsidRPr="00480747">
        <w:rPr>
          <w:rFonts w:ascii="Arial" w:hAnsi="Arial" w:cs="Arial"/>
        </w:rPr>
        <w:t xml:space="preserve">Sener, N., </w:t>
      </w:r>
      <w:proofErr w:type="spellStart"/>
      <w:r w:rsidRPr="00480747">
        <w:rPr>
          <w:rFonts w:ascii="Arial" w:hAnsi="Arial" w:cs="Arial"/>
        </w:rPr>
        <w:t>Karabeyoglu</w:t>
      </w:r>
      <w:proofErr w:type="spellEnd"/>
      <w:r w:rsidRPr="00480747">
        <w:rPr>
          <w:rFonts w:ascii="Arial" w:hAnsi="Arial" w:cs="Arial"/>
        </w:rPr>
        <w:t xml:space="preserve">, A., &amp; Ozturk, C. (2011). The development of the Research Self-Efficacy Scale for university students. </w:t>
      </w:r>
      <w:r w:rsidRPr="00480747">
        <w:rPr>
          <w:rStyle w:val="Emphasis"/>
          <w:rFonts w:ascii="Arial" w:hAnsi="Arial" w:cs="Arial"/>
        </w:rPr>
        <w:t>Procedia - Social and Behavioral Sciences, 15</w:t>
      </w:r>
      <w:r w:rsidRPr="00480747">
        <w:rPr>
          <w:rFonts w:ascii="Arial" w:hAnsi="Arial" w:cs="Arial"/>
        </w:rPr>
        <w:t xml:space="preserve">, 1649–1653. </w:t>
      </w:r>
      <w:hyperlink r:id="rId37" w:history="1">
        <w:r w:rsidRPr="00480747">
          <w:rPr>
            <w:rStyle w:val="Hyperlink"/>
            <w:rFonts w:ascii="Arial" w:hAnsi="Arial" w:cs="Arial"/>
            <w:color w:val="auto"/>
            <w:u w:val="none"/>
          </w:rPr>
          <w:t>https://doi.org/10.1016/j.sbspro.2011.03.347</w:t>
        </w:r>
      </w:hyperlink>
    </w:p>
    <w:p w14:paraId="5F6BD58C"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eastAsia="Cambria" w:hAnsi="Arial" w:cs="Arial"/>
        </w:rPr>
        <w:t xml:space="preserve">Sergent, S. R., &amp; </w:t>
      </w:r>
      <w:proofErr w:type="spellStart"/>
      <w:r w:rsidRPr="00480747">
        <w:rPr>
          <w:rFonts w:ascii="Arial" w:eastAsia="Cambria" w:hAnsi="Arial" w:cs="Arial"/>
        </w:rPr>
        <w:t>Varacallo</w:t>
      </w:r>
      <w:proofErr w:type="spellEnd"/>
      <w:r w:rsidRPr="00480747">
        <w:rPr>
          <w:rFonts w:ascii="Arial" w:eastAsia="Cambria" w:hAnsi="Arial" w:cs="Arial"/>
        </w:rPr>
        <w:t xml:space="preserve">, M. (2024). Standard deviation. </w:t>
      </w:r>
      <w:proofErr w:type="spellStart"/>
      <w:r w:rsidRPr="00480747">
        <w:rPr>
          <w:rFonts w:ascii="Arial" w:eastAsia="Cambria" w:hAnsi="Arial" w:cs="Arial"/>
        </w:rPr>
        <w:t>StatPearls</w:t>
      </w:r>
      <w:proofErr w:type="spellEnd"/>
      <w:r w:rsidRPr="00480747">
        <w:rPr>
          <w:rFonts w:ascii="Arial" w:eastAsia="Cambria" w:hAnsi="Arial" w:cs="Arial"/>
        </w:rPr>
        <w:t xml:space="preserve">. </w:t>
      </w:r>
      <w:hyperlink r:id="rId38" w:history="1">
        <w:r w:rsidRPr="00480747">
          <w:rPr>
            <w:rStyle w:val="Hyperlink"/>
            <w:rFonts w:ascii="Arial" w:eastAsia="Cambria" w:hAnsi="Arial" w:cs="Arial"/>
            <w:color w:val="auto"/>
            <w:u w:val="none"/>
          </w:rPr>
          <w:t>https://www.ncbi.nlm.nih.gov/books/NBK574574/</w:t>
        </w:r>
      </w:hyperlink>
    </w:p>
    <w:p w14:paraId="46EC4489"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proofErr w:type="spellStart"/>
      <w:r w:rsidRPr="00480747">
        <w:rPr>
          <w:rFonts w:ascii="Arial" w:hAnsi="Arial" w:cs="Arial"/>
        </w:rPr>
        <w:t>Setyowati</w:t>
      </w:r>
      <w:proofErr w:type="spellEnd"/>
      <w:r w:rsidRPr="00480747">
        <w:rPr>
          <w:rFonts w:ascii="Arial" w:hAnsi="Arial" w:cs="Arial"/>
        </w:rPr>
        <w:t xml:space="preserve">, L., </w:t>
      </w:r>
      <w:proofErr w:type="spellStart"/>
      <w:r w:rsidRPr="00480747">
        <w:rPr>
          <w:rFonts w:ascii="Arial" w:hAnsi="Arial" w:cs="Arial"/>
        </w:rPr>
        <w:t>Sukmawan</w:t>
      </w:r>
      <w:proofErr w:type="spellEnd"/>
      <w:r w:rsidRPr="00480747">
        <w:rPr>
          <w:rFonts w:ascii="Arial" w:hAnsi="Arial" w:cs="Arial"/>
        </w:rPr>
        <w:t xml:space="preserve">, S., Karmina, S., &amp; </w:t>
      </w:r>
      <w:proofErr w:type="spellStart"/>
      <w:r w:rsidRPr="00480747">
        <w:rPr>
          <w:rFonts w:ascii="Arial" w:hAnsi="Arial" w:cs="Arial"/>
        </w:rPr>
        <w:t>Mabaroh</w:t>
      </w:r>
      <w:proofErr w:type="spellEnd"/>
      <w:r w:rsidRPr="00480747">
        <w:rPr>
          <w:rFonts w:ascii="Arial" w:hAnsi="Arial" w:cs="Arial"/>
        </w:rPr>
        <w:t xml:space="preserve">, B. (2024). The correlation between students’ writing self-efficacy and essay writing performance. </w:t>
      </w:r>
      <w:r w:rsidRPr="00480747">
        <w:rPr>
          <w:rFonts w:ascii="Arial" w:hAnsi="Arial" w:cs="Arial"/>
          <w:i/>
          <w:iCs/>
        </w:rPr>
        <w:t xml:space="preserve">Journal of Languages </w:t>
      </w:r>
      <w:r w:rsidRPr="00480747">
        <w:rPr>
          <w:rFonts w:ascii="Arial" w:hAnsi="Arial" w:cs="Arial"/>
          <w:i/>
          <w:iCs/>
        </w:rPr>
        <w:lastRenderedPageBreak/>
        <w:t>and Language Teaching, 12</w:t>
      </w:r>
      <w:r w:rsidRPr="00480747">
        <w:rPr>
          <w:rFonts w:ascii="Arial" w:hAnsi="Arial" w:cs="Arial"/>
        </w:rPr>
        <w:t xml:space="preserve">(1), 72–87. </w:t>
      </w:r>
      <w:hyperlink r:id="rId39" w:history="1">
        <w:r w:rsidRPr="00480747">
          <w:rPr>
            <w:rStyle w:val="Hyperlink"/>
            <w:rFonts w:ascii="Arial" w:hAnsi="Arial" w:cs="Arial"/>
            <w:color w:val="auto"/>
            <w:u w:val="none"/>
          </w:rPr>
          <w:t>https://doi.org/10.33394/jollt.v12i1.12345</w:t>
        </w:r>
      </w:hyperlink>
    </w:p>
    <w:p w14:paraId="710E2318" w14:textId="77777777" w:rsidR="009A1A07" w:rsidRPr="00480747" w:rsidRDefault="009A1A07" w:rsidP="009A1A07">
      <w:pPr>
        <w:widowControl w:val="0"/>
        <w:pBdr>
          <w:top w:val="nil"/>
          <w:left w:val="nil"/>
          <w:bottom w:val="nil"/>
          <w:right w:val="nil"/>
          <w:between w:val="nil"/>
        </w:pBdr>
        <w:ind w:left="567" w:hanging="567"/>
        <w:jc w:val="both"/>
        <w:rPr>
          <w:rFonts w:ascii="Arial" w:hAnsi="Arial" w:cs="Arial"/>
        </w:rPr>
      </w:pPr>
      <w:r w:rsidRPr="00480747">
        <w:rPr>
          <w:rFonts w:ascii="Arial" w:hAnsi="Arial" w:cs="Arial"/>
        </w:rPr>
        <w:t xml:space="preserve">Sophia, B., Patty, J., &amp; Jamil, A. (2024). Self-efficacy as a predictor of writing performance: A correlational study of Indonesian secondary school students. </w:t>
      </w:r>
      <w:r w:rsidRPr="00480747">
        <w:rPr>
          <w:rStyle w:val="Emphasis"/>
          <w:rFonts w:ascii="Arial" w:hAnsi="Arial" w:cs="Arial"/>
        </w:rPr>
        <w:t>J-Shelves of Indragiri (JSI), 6</w:t>
      </w:r>
      <w:r w:rsidRPr="00480747">
        <w:rPr>
          <w:rFonts w:ascii="Arial" w:hAnsi="Arial" w:cs="Arial"/>
        </w:rPr>
        <w:t xml:space="preserve">(2), 129–148. </w:t>
      </w:r>
      <w:hyperlink r:id="rId40" w:history="1">
        <w:r w:rsidRPr="00480747">
          <w:rPr>
            <w:rStyle w:val="Hyperlink"/>
            <w:rFonts w:ascii="Arial" w:hAnsi="Arial" w:cs="Arial"/>
            <w:color w:val="auto"/>
            <w:u w:val="none"/>
          </w:rPr>
          <w:t>https://doi.org/10.61672/jsi.v6i2.2853</w:t>
        </w:r>
      </w:hyperlink>
    </w:p>
    <w:p w14:paraId="46653C11"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proofErr w:type="spellStart"/>
      <w:r w:rsidRPr="002D5FA4">
        <w:rPr>
          <w:rFonts w:ascii="Arial" w:hAnsi="Arial" w:cs="Arial"/>
          <w:lang w:val="es-US"/>
        </w:rPr>
        <w:t>Suscano</w:t>
      </w:r>
      <w:proofErr w:type="spellEnd"/>
      <w:r w:rsidRPr="002D5FA4">
        <w:rPr>
          <w:rFonts w:ascii="Arial" w:hAnsi="Arial" w:cs="Arial"/>
          <w:lang w:val="es-US"/>
        </w:rPr>
        <w:t xml:space="preserve">, S. E., Mahilum, I. B., </w:t>
      </w:r>
      <w:proofErr w:type="spellStart"/>
      <w:r w:rsidRPr="002D5FA4">
        <w:rPr>
          <w:rFonts w:ascii="Arial" w:hAnsi="Arial" w:cs="Arial"/>
          <w:lang w:val="es-US"/>
        </w:rPr>
        <w:t>Quipse</w:t>
      </w:r>
      <w:proofErr w:type="spellEnd"/>
      <w:r w:rsidRPr="002D5FA4">
        <w:rPr>
          <w:rFonts w:ascii="Arial" w:hAnsi="Arial" w:cs="Arial"/>
          <w:lang w:val="es-US"/>
        </w:rPr>
        <w:t xml:space="preserve">, J. T., </w:t>
      </w:r>
      <w:proofErr w:type="spellStart"/>
      <w:r w:rsidRPr="002D5FA4">
        <w:rPr>
          <w:rFonts w:ascii="Arial" w:hAnsi="Arial" w:cs="Arial"/>
          <w:lang w:val="es-US"/>
        </w:rPr>
        <w:t>Andung</w:t>
      </w:r>
      <w:proofErr w:type="spellEnd"/>
      <w:r w:rsidRPr="002D5FA4">
        <w:rPr>
          <w:rFonts w:ascii="Arial" w:hAnsi="Arial" w:cs="Arial"/>
          <w:lang w:val="es-US"/>
        </w:rPr>
        <w:t xml:space="preserve">, L. J. C., Aya-ay, R. C., Marani, R. W., Palomares, C. J. V., Bais, R. L., &amp; </w:t>
      </w:r>
      <w:proofErr w:type="spellStart"/>
      <w:r w:rsidRPr="002D5FA4">
        <w:rPr>
          <w:rFonts w:ascii="Arial" w:hAnsi="Arial" w:cs="Arial"/>
          <w:lang w:val="es-US"/>
        </w:rPr>
        <w:t>Esperat</w:t>
      </w:r>
      <w:proofErr w:type="spellEnd"/>
      <w:r w:rsidRPr="002D5FA4">
        <w:rPr>
          <w:rFonts w:ascii="Arial" w:hAnsi="Arial" w:cs="Arial"/>
          <w:lang w:val="es-US"/>
        </w:rPr>
        <w:t xml:space="preserve">, H. P. (2025). </w:t>
      </w:r>
      <w:r w:rsidRPr="00480747">
        <w:rPr>
          <w:rFonts w:ascii="Arial" w:hAnsi="Arial" w:cs="Arial"/>
        </w:rPr>
        <w:t xml:space="preserve">The role of student engagement in shaping academic performance. </w:t>
      </w:r>
      <w:r w:rsidRPr="00480747">
        <w:rPr>
          <w:rStyle w:val="Emphasis"/>
          <w:rFonts w:ascii="Arial" w:hAnsi="Arial" w:cs="Arial"/>
        </w:rPr>
        <w:t>Psychology and Education: A Multidisciplinary Journal, 31</w:t>
      </w:r>
      <w:r w:rsidRPr="00480747">
        <w:rPr>
          <w:rFonts w:ascii="Arial" w:hAnsi="Arial" w:cs="Arial"/>
        </w:rPr>
        <w:t xml:space="preserve">(5), 520–525. </w:t>
      </w:r>
      <w:hyperlink r:id="rId41" w:history="1">
        <w:r w:rsidRPr="00480747">
          <w:rPr>
            <w:rStyle w:val="Hyperlink"/>
            <w:rFonts w:ascii="Arial" w:hAnsi="Arial" w:cs="Arial"/>
            <w:color w:val="auto"/>
            <w:u w:val="none"/>
          </w:rPr>
          <w:t>https://doi.org/10.5281/zenodo.14772893</w:t>
        </w:r>
      </w:hyperlink>
    </w:p>
    <w:p w14:paraId="34BE24D4" w14:textId="77777777" w:rsidR="009A1A07" w:rsidRPr="00480747" w:rsidRDefault="009A1A07" w:rsidP="009A1A07">
      <w:pPr>
        <w:widowControl w:val="0"/>
        <w:pBdr>
          <w:top w:val="nil"/>
          <w:left w:val="nil"/>
          <w:bottom w:val="nil"/>
          <w:right w:val="nil"/>
          <w:between w:val="nil"/>
        </w:pBdr>
        <w:ind w:left="567" w:hanging="567"/>
        <w:jc w:val="both"/>
        <w:rPr>
          <w:rStyle w:val="Hyperlink"/>
          <w:rFonts w:ascii="Arial" w:hAnsi="Arial" w:cs="Arial"/>
          <w:color w:val="auto"/>
          <w:u w:val="none"/>
        </w:rPr>
      </w:pPr>
      <w:r w:rsidRPr="00480747">
        <w:rPr>
          <w:rFonts w:ascii="Arial" w:hAnsi="Arial" w:cs="Arial"/>
        </w:rPr>
        <w:t xml:space="preserve">Thomas, L. (2023). </w:t>
      </w:r>
      <w:r w:rsidRPr="00480747">
        <w:rPr>
          <w:rStyle w:val="Emphasis"/>
          <w:rFonts w:ascii="Arial" w:hAnsi="Arial" w:cs="Arial"/>
        </w:rPr>
        <w:t>Simple random sampling | Definition, steps &amp; examples</w:t>
      </w:r>
      <w:r w:rsidRPr="00480747">
        <w:rPr>
          <w:rFonts w:ascii="Arial" w:hAnsi="Arial" w:cs="Arial"/>
        </w:rPr>
        <w:t xml:space="preserve">. </w:t>
      </w:r>
      <w:proofErr w:type="spellStart"/>
      <w:r w:rsidRPr="00480747">
        <w:rPr>
          <w:rFonts w:ascii="Arial" w:hAnsi="Arial" w:cs="Arial"/>
        </w:rPr>
        <w:t>Scribbr</w:t>
      </w:r>
      <w:proofErr w:type="spellEnd"/>
      <w:r w:rsidRPr="00480747">
        <w:rPr>
          <w:rFonts w:ascii="Arial" w:hAnsi="Arial" w:cs="Arial"/>
        </w:rPr>
        <w:t xml:space="preserve">. Retrieved August 16, 2025, from </w:t>
      </w:r>
      <w:hyperlink r:id="rId42" w:history="1">
        <w:r w:rsidRPr="00480747">
          <w:rPr>
            <w:rStyle w:val="Hyperlink"/>
            <w:rFonts w:ascii="Arial" w:hAnsi="Arial" w:cs="Arial"/>
            <w:color w:val="auto"/>
            <w:u w:val="none"/>
          </w:rPr>
          <w:t>https://www.scribbr.com/methodology/simple-random-sampling/</w:t>
        </w:r>
      </w:hyperlink>
    </w:p>
    <w:p w14:paraId="7D97ABE2" w14:textId="77777777" w:rsidR="00480747" w:rsidRPr="00480747" w:rsidRDefault="009A1A07" w:rsidP="00480747">
      <w:pPr>
        <w:widowControl w:val="0"/>
        <w:pBdr>
          <w:top w:val="nil"/>
          <w:left w:val="nil"/>
          <w:bottom w:val="nil"/>
          <w:right w:val="nil"/>
          <w:between w:val="nil"/>
        </w:pBdr>
        <w:ind w:left="567" w:hanging="567"/>
        <w:jc w:val="both"/>
        <w:rPr>
          <w:rStyle w:val="Hyperlink"/>
          <w:rFonts w:ascii="Arial" w:hAnsi="Arial" w:cs="Arial"/>
          <w:color w:val="auto"/>
          <w:u w:val="none"/>
        </w:rPr>
      </w:pPr>
      <w:proofErr w:type="spellStart"/>
      <w:r w:rsidRPr="002D5FA4">
        <w:rPr>
          <w:rFonts w:ascii="Arial" w:hAnsi="Arial" w:cs="Arial"/>
          <w:lang w:val="es-US"/>
        </w:rPr>
        <w:t>Vacalares</w:t>
      </w:r>
      <w:proofErr w:type="spellEnd"/>
      <w:r w:rsidRPr="002D5FA4">
        <w:rPr>
          <w:rFonts w:ascii="Arial" w:hAnsi="Arial" w:cs="Arial"/>
          <w:lang w:val="es-US"/>
        </w:rPr>
        <w:t xml:space="preserve">, J. R., </w:t>
      </w:r>
      <w:proofErr w:type="spellStart"/>
      <w:r w:rsidRPr="002D5FA4">
        <w:rPr>
          <w:rFonts w:ascii="Arial" w:hAnsi="Arial" w:cs="Arial"/>
          <w:lang w:val="es-US"/>
        </w:rPr>
        <w:t>Gomez</w:t>
      </w:r>
      <w:proofErr w:type="spellEnd"/>
      <w:r w:rsidRPr="002D5FA4">
        <w:rPr>
          <w:rFonts w:ascii="Arial" w:hAnsi="Arial" w:cs="Arial"/>
          <w:lang w:val="es-US"/>
        </w:rPr>
        <w:t xml:space="preserve">, M. C., &amp; Reyes, P. F. (2023). </w:t>
      </w:r>
      <w:r w:rsidRPr="00480747">
        <w:rPr>
          <w:rFonts w:ascii="Arial" w:hAnsi="Arial" w:cs="Arial"/>
        </w:rPr>
        <w:t xml:space="preserve">Writing performance of tertiary students: A Philippine context. </w:t>
      </w:r>
      <w:r w:rsidRPr="00480747">
        <w:rPr>
          <w:rStyle w:val="Emphasis"/>
          <w:rFonts w:ascii="Arial" w:hAnsi="Arial" w:cs="Arial"/>
        </w:rPr>
        <w:t>International Journal of Language and Education, 7</w:t>
      </w:r>
      <w:r w:rsidRPr="00480747">
        <w:rPr>
          <w:rFonts w:ascii="Arial" w:hAnsi="Arial" w:cs="Arial"/>
        </w:rPr>
        <w:t xml:space="preserve">(4), 59–73. </w:t>
      </w:r>
      <w:hyperlink r:id="rId43" w:history="1">
        <w:r w:rsidRPr="00480747">
          <w:rPr>
            <w:rStyle w:val="Hyperlink"/>
            <w:rFonts w:ascii="Arial" w:hAnsi="Arial" w:cs="Arial"/>
            <w:color w:val="auto"/>
            <w:u w:val="none"/>
          </w:rPr>
          <w:t>https://doi.org/10.26858/ijole.v7i4.24567</w:t>
        </w:r>
      </w:hyperlink>
    </w:p>
    <w:p w14:paraId="3EA9F942" w14:textId="77777777" w:rsidR="004D4277" w:rsidRPr="00480747" w:rsidRDefault="009A1A07" w:rsidP="00480747">
      <w:pPr>
        <w:widowControl w:val="0"/>
        <w:pBdr>
          <w:top w:val="nil"/>
          <w:left w:val="nil"/>
          <w:bottom w:val="nil"/>
          <w:right w:val="nil"/>
          <w:between w:val="nil"/>
        </w:pBdr>
        <w:ind w:left="567" w:hanging="567"/>
        <w:jc w:val="both"/>
        <w:rPr>
          <w:rFonts w:ascii="Arial" w:hAnsi="Arial" w:cs="Arial"/>
        </w:rPr>
        <w:sectPr w:rsidR="004D4277" w:rsidRPr="00480747" w:rsidSect="001D6C3A">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r w:rsidRPr="00480747">
        <w:rPr>
          <w:rFonts w:ascii="Arial" w:hAnsi="Arial" w:cs="Arial"/>
        </w:rPr>
        <w:t xml:space="preserve">Wang, Z., &amp; Troia, G. A. (2023). The state of writing instruction and achievement: Insights from national and international data. </w:t>
      </w:r>
      <w:r w:rsidRPr="00480747">
        <w:rPr>
          <w:rStyle w:val="Emphasis"/>
          <w:rFonts w:ascii="Arial" w:hAnsi="Arial" w:cs="Arial"/>
        </w:rPr>
        <w:t>Reading and Writing Quarterly, 39</w:t>
      </w:r>
      <w:r w:rsidRPr="00480747">
        <w:rPr>
          <w:rFonts w:ascii="Arial" w:hAnsi="Arial" w:cs="Arial"/>
        </w:rPr>
        <w:t xml:space="preserve">(2), 101–120. </w:t>
      </w:r>
      <w:hyperlink r:id="rId48" w:history="1">
        <w:r w:rsidRPr="00480747">
          <w:rPr>
            <w:rStyle w:val="Hyperlink"/>
            <w:rFonts w:ascii="Arial" w:hAnsi="Arial" w:cs="Arial"/>
            <w:color w:val="auto"/>
            <w:u w:val="none"/>
          </w:rPr>
          <w:t>https://doi.org/10.1080/10573569.2023.2165305</w:t>
        </w:r>
      </w:hyperlink>
    </w:p>
    <w:p w14:paraId="19CC3212" w14:textId="77777777" w:rsidR="00B01FCD" w:rsidRPr="00FB3A86" w:rsidRDefault="00B01FCD" w:rsidP="009A1A07">
      <w:pPr>
        <w:pStyle w:val="Appendix"/>
        <w:spacing w:after="0"/>
        <w:ind w:left="1418"/>
        <w:jc w:val="both"/>
        <w:rPr>
          <w:rFonts w:ascii="Arial" w:hAnsi="Arial" w:cs="Arial"/>
          <w:b w:val="0"/>
        </w:rPr>
      </w:pPr>
    </w:p>
    <w:sectPr w:rsidR="00B01FCD" w:rsidRPr="00FB3A86" w:rsidSect="001D6C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6B032" w14:textId="77777777" w:rsidR="00F25148" w:rsidRDefault="00F25148" w:rsidP="00C37E61">
      <w:r>
        <w:separator/>
      </w:r>
    </w:p>
  </w:endnote>
  <w:endnote w:type="continuationSeparator" w:id="0">
    <w:p w14:paraId="0FC2A5BB" w14:textId="77777777" w:rsidR="00F25148" w:rsidRDefault="00F251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4C64" w14:textId="77777777" w:rsidR="001D6C3A" w:rsidRDefault="001D6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1DBF" w14:textId="77777777" w:rsidR="001D6C3A" w:rsidRDefault="001D6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4E8B" w14:textId="1DB265BE" w:rsidR="00A61F17" w:rsidRPr="002921D6" w:rsidRDefault="00A61F17" w:rsidP="002921D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BE20" w14:textId="77777777" w:rsidR="00A61F17" w:rsidRPr="00C37E61" w:rsidRDefault="00A61F1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1C083" w14:textId="77777777" w:rsidR="00F25148" w:rsidRDefault="00F25148" w:rsidP="00C37E61">
      <w:r>
        <w:separator/>
      </w:r>
    </w:p>
  </w:footnote>
  <w:footnote w:type="continuationSeparator" w:id="0">
    <w:p w14:paraId="38ED1290" w14:textId="77777777" w:rsidR="00F25148" w:rsidRDefault="00F251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1876" w14:textId="6FB72F4B" w:rsidR="001D6C3A" w:rsidRDefault="001D6C3A">
    <w:pPr>
      <w:pStyle w:val="Header"/>
    </w:pPr>
    <w:r>
      <w:rPr>
        <w:noProof/>
      </w:rPr>
      <w:pict w14:anchorId="09828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D849" w14:textId="783256AC" w:rsidR="001D6C3A" w:rsidRDefault="001D6C3A">
    <w:pPr>
      <w:pStyle w:val="Header"/>
    </w:pPr>
    <w:r>
      <w:rPr>
        <w:noProof/>
      </w:rPr>
      <w:pict w14:anchorId="39331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A2" w14:textId="6A838B09" w:rsidR="00A61F17" w:rsidRPr="00296529" w:rsidRDefault="001D6C3A" w:rsidP="00296529">
    <w:pPr>
      <w:ind w:left="2160"/>
      <w:jc w:val="center"/>
      <w:rPr>
        <w:rFonts w:ascii="Times New Roman" w:eastAsia="Calibri" w:hAnsi="Times New Roman"/>
        <w:i/>
        <w:sz w:val="18"/>
        <w:szCs w:val="22"/>
      </w:rPr>
    </w:pPr>
    <w:r>
      <w:rPr>
        <w:noProof/>
      </w:rPr>
      <w:pict w14:anchorId="65543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9294FF" w14:textId="77777777" w:rsidR="00A61F17" w:rsidRPr="00296529" w:rsidRDefault="00A61F1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E6AB7A0" w14:textId="77777777" w:rsidR="00A61F17" w:rsidRPr="00296529" w:rsidRDefault="00A61F1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136FC9" w14:textId="77777777" w:rsidR="00A61F17" w:rsidRPr="00296529" w:rsidRDefault="00A61F1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B432D4" w14:textId="77777777" w:rsidR="00A61F17" w:rsidRDefault="00A61F1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0EF3CA" w14:textId="77777777" w:rsidR="00A61F17" w:rsidRDefault="00A61F1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AB6120" w14:textId="77777777" w:rsidR="00A61F17" w:rsidRDefault="00A61F1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8937" w14:textId="502DC9DB" w:rsidR="001D6C3A" w:rsidRDefault="001D6C3A">
    <w:pPr>
      <w:pStyle w:val="Header"/>
    </w:pPr>
    <w:r>
      <w:rPr>
        <w:noProof/>
      </w:rPr>
      <w:pict w14:anchorId="5E1B1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ECB8" w14:textId="3876E8B6" w:rsidR="001D6C3A" w:rsidRDefault="001D6C3A">
    <w:pPr>
      <w:pStyle w:val="Header"/>
    </w:pPr>
    <w:r>
      <w:rPr>
        <w:noProof/>
      </w:rPr>
      <w:pict w14:anchorId="14270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8AA7" w14:textId="578D5840" w:rsidR="001D6C3A" w:rsidRDefault="001D6C3A">
    <w:pPr>
      <w:pStyle w:val="Header"/>
    </w:pPr>
    <w:r>
      <w:rPr>
        <w:noProof/>
      </w:rPr>
      <w:pict w14:anchorId="3C8BB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26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712B6"/>
    <w:multiLevelType w:val="hybridMultilevel"/>
    <w:tmpl w:val="3B76AF68"/>
    <w:lvl w:ilvl="0" w:tplc="DBB89B7C">
      <w:start w:val="1"/>
      <w:numFmt w:val="decimal"/>
      <w:lvlText w:val="%1."/>
      <w:lvlJc w:val="left"/>
      <w:pPr>
        <w:ind w:left="720" w:hanging="360"/>
      </w:pPr>
      <w:rPr>
        <w:rFonts w:ascii="Arial" w:eastAsia="Arial"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C6BA6"/>
    <w:multiLevelType w:val="hybridMultilevel"/>
    <w:tmpl w:val="124A19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9"/>
  </w:num>
  <w:num w:numId="29">
    <w:abstractNumId w:val="25"/>
  </w:num>
  <w:num w:numId="30">
    <w:abstractNumId w:val="1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MjYwMjexMDMytDBX0lEKTi0uzszPAykwrAUAzAreBiwAAAA="/>
  </w:docVars>
  <w:rsids>
    <w:rsidRoot w:val="00AA6219"/>
    <w:rsid w:val="00000F8F"/>
    <w:rsid w:val="00030174"/>
    <w:rsid w:val="0004579C"/>
    <w:rsid w:val="000A47FA"/>
    <w:rsid w:val="000A65D3"/>
    <w:rsid w:val="000B1E33"/>
    <w:rsid w:val="000C789D"/>
    <w:rsid w:val="000D689F"/>
    <w:rsid w:val="000E7B7B"/>
    <w:rsid w:val="000E7D62"/>
    <w:rsid w:val="00103357"/>
    <w:rsid w:val="00123C9F"/>
    <w:rsid w:val="00126190"/>
    <w:rsid w:val="00130F17"/>
    <w:rsid w:val="001320BF"/>
    <w:rsid w:val="00163BC4"/>
    <w:rsid w:val="001648C5"/>
    <w:rsid w:val="00185AEC"/>
    <w:rsid w:val="00191062"/>
    <w:rsid w:val="00192B72"/>
    <w:rsid w:val="001A29D8"/>
    <w:rsid w:val="001A5CAA"/>
    <w:rsid w:val="001B0427"/>
    <w:rsid w:val="001D3A51"/>
    <w:rsid w:val="001D6C3A"/>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1D6"/>
    <w:rsid w:val="00296529"/>
    <w:rsid w:val="00296907"/>
    <w:rsid w:val="002B1BCE"/>
    <w:rsid w:val="002B27FB"/>
    <w:rsid w:val="002B3B36"/>
    <w:rsid w:val="002B685A"/>
    <w:rsid w:val="002C57D2"/>
    <w:rsid w:val="002D5FA4"/>
    <w:rsid w:val="002E0D56"/>
    <w:rsid w:val="003029C5"/>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5902"/>
    <w:rsid w:val="00440F43"/>
    <w:rsid w:val="00441B6F"/>
    <w:rsid w:val="00446221"/>
    <w:rsid w:val="00450E62"/>
    <w:rsid w:val="004539DB"/>
    <w:rsid w:val="00471A80"/>
    <w:rsid w:val="00480747"/>
    <w:rsid w:val="004D305E"/>
    <w:rsid w:val="004D4277"/>
    <w:rsid w:val="00502516"/>
    <w:rsid w:val="00505F06"/>
    <w:rsid w:val="00506828"/>
    <w:rsid w:val="005156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59B"/>
    <w:rsid w:val="007369E6"/>
    <w:rsid w:val="00746E59"/>
    <w:rsid w:val="00754C9A"/>
    <w:rsid w:val="0075599A"/>
    <w:rsid w:val="00761D52"/>
    <w:rsid w:val="0077749E"/>
    <w:rsid w:val="00790ADA"/>
    <w:rsid w:val="007D2288"/>
    <w:rsid w:val="007E088F"/>
    <w:rsid w:val="007F7B32"/>
    <w:rsid w:val="00804BC2"/>
    <w:rsid w:val="0081431A"/>
    <w:rsid w:val="0083216F"/>
    <w:rsid w:val="00847334"/>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1044"/>
    <w:rsid w:val="009A1A07"/>
    <w:rsid w:val="009B3FB9"/>
    <w:rsid w:val="009C2465"/>
    <w:rsid w:val="009D216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F17"/>
    <w:rsid w:val="00A857D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09DE"/>
    <w:rsid w:val="00BC53A0"/>
    <w:rsid w:val="00BC6730"/>
    <w:rsid w:val="00BE62AD"/>
    <w:rsid w:val="00BF121F"/>
    <w:rsid w:val="00BF1F80"/>
    <w:rsid w:val="00C166EF"/>
    <w:rsid w:val="00C17EB0"/>
    <w:rsid w:val="00C27F5F"/>
    <w:rsid w:val="00C30A0F"/>
    <w:rsid w:val="00C37E61"/>
    <w:rsid w:val="00C70F1B"/>
    <w:rsid w:val="00C71A47"/>
    <w:rsid w:val="00C7464C"/>
    <w:rsid w:val="00C85588"/>
    <w:rsid w:val="00CB6B55"/>
    <w:rsid w:val="00CD6755"/>
    <w:rsid w:val="00CD6856"/>
    <w:rsid w:val="00CE0089"/>
    <w:rsid w:val="00CE793C"/>
    <w:rsid w:val="00CF193C"/>
    <w:rsid w:val="00D173F1"/>
    <w:rsid w:val="00D31BAC"/>
    <w:rsid w:val="00D74CB0"/>
    <w:rsid w:val="00D8295D"/>
    <w:rsid w:val="00DC2A65"/>
    <w:rsid w:val="00DE15F0"/>
    <w:rsid w:val="00DE5663"/>
    <w:rsid w:val="00DE78AA"/>
    <w:rsid w:val="00E053D0"/>
    <w:rsid w:val="00E15994"/>
    <w:rsid w:val="00E26211"/>
    <w:rsid w:val="00E3114E"/>
    <w:rsid w:val="00E31A70"/>
    <w:rsid w:val="00E35B02"/>
    <w:rsid w:val="00E66496"/>
    <w:rsid w:val="00E66B35"/>
    <w:rsid w:val="00E66E10"/>
    <w:rsid w:val="00E74E74"/>
    <w:rsid w:val="00E769F6"/>
    <w:rsid w:val="00E8407C"/>
    <w:rsid w:val="00E84F3C"/>
    <w:rsid w:val="00E97ECE"/>
    <w:rsid w:val="00EA012C"/>
    <w:rsid w:val="00EC6A55"/>
    <w:rsid w:val="00ED0288"/>
    <w:rsid w:val="00EE52CB"/>
    <w:rsid w:val="00EF581D"/>
    <w:rsid w:val="00EF7FD8"/>
    <w:rsid w:val="00F06F59"/>
    <w:rsid w:val="00F17988"/>
    <w:rsid w:val="00F25148"/>
    <w:rsid w:val="00F469F0"/>
    <w:rsid w:val="00F53273"/>
    <w:rsid w:val="00F57023"/>
    <w:rsid w:val="00F755E4"/>
    <w:rsid w:val="00F77D02"/>
    <w:rsid w:val="00FB3A86"/>
    <w:rsid w:val="00FD36C8"/>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FF243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61F17"/>
    <w:pPr>
      <w:spacing w:line="276" w:lineRule="auto"/>
      <w:ind w:left="720"/>
      <w:contextualSpacing/>
    </w:pPr>
    <w:rPr>
      <w:rFonts w:ascii="Arial" w:eastAsia="Arial" w:hAnsi="Arial" w:cs="Arial"/>
      <w:sz w:val="22"/>
      <w:szCs w:val="22"/>
      <w:lang w:val="en-PH" w:eastAsia="en-PH"/>
    </w:rPr>
  </w:style>
  <w:style w:type="character" w:styleId="Strong">
    <w:name w:val="Strong"/>
    <w:basedOn w:val="DefaultParagraphFont"/>
    <w:uiPriority w:val="22"/>
    <w:qFormat/>
    <w:rsid w:val="00A61F17"/>
    <w:rPr>
      <w:b/>
      <w:bCs/>
    </w:rPr>
  </w:style>
  <w:style w:type="paragraph" w:styleId="NormalWeb">
    <w:name w:val="Normal (Web)"/>
    <w:uiPriority w:val="99"/>
    <w:qFormat/>
    <w:rsid w:val="00A61F17"/>
    <w:pPr>
      <w:spacing w:beforeAutospacing="1" w:afterAutospacing="1"/>
    </w:pPr>
    <w:rPr>
      <w:rFonts w:eastAsia="SimSun"/>
      <w:sz w:val="24"/>
      <w:szCs w:val="24"/>
      <w:lang w:eastAsia="zh-CN"/>
    </w:rPr>
  </w:style>
  <w:style w:type="paragraph" w:styleId="Subtitle">
    <w:name w:val="Subtitle"/>
    <w:basedOn w:val="Normal"/>
    <w:next w:val="Normal"/>
    <w:link w:val="SubtitleChar"/>
    <w:uiPriority w:val="11"/>
    <w:qFormat/>
    <w:rsid w:val="00A61F17"/>
    <w:pPr>
      <w:keepNext/>
      <w:keepLines/>
      <w:spacing w:before="360" w:after="80" w:line="276" w:lineRule="auto"/>
    </w:pPr>
    <w:rPr>
      <w:rFonts w:ascii="Georgia" w:eastAsia="Georgia" w:hAnsi="Georgia" w:cs="Georgia"/>
      <w:i/>
      <w:color w:val="666666"/>
      <w:sz w:val="48"/>
      <w:szCs w:val="48"/>
      <w:lang w:val="en-PH" w:eastAsia="en-PH"/>
    </w:rPr>
  </w:style>
  <w:style w:type="character" w:customStyle="1" w:styleId="SubtitleChar">
    <w:name w:val="Subtitle Char"/>
    <w:basedOn w:val="DefaultParagraphFont"/>
    <w:link w:val="Subtitle"/>
    <w:uiPriority w:val="11"/>
    <w:rsid w:val="00A61F17"/>
    <w:rPr>
      <w:rFonts w:ascii="Georgia" w:eastAsia="Georgia" w:hAnsi="Georgia" w:cs="Georgia"/>
      <w:i/>
      <w:color w:val="666666"/>
      <w:sz w:val="48"/>
      <w:szCs w:val="48"/>
      <w:lang w:val="en-PH" w:eastAsia="en-PH"/>
    </w:rPr>
  </w:style>
  <w:style w:type="character" w:customStyle="1" w:styleId="whitespace-normal">
    <w:name w:val="whitespace-normal"/>
    <w:basedOn w:val="DefaultParagraphFont"/>
    <w:rsid w:val="00A61F17"/>
  </w:style>
  <w:style w:type="character" w:styleId="UnresolvedMention">
    <w:name w:val="Unresolved Mention"/>
    <w:basedOn w:val="DefaultParagraphFont"/>
    <w:uiPriority w:val="99"/>
    <w:semiHidden/>
    <w:unhideWhenUsed/>
    <w:rsid w:val="00F57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7/cbe.23-02-0020" TargetMode="External"/><Relationship Id="rId26" Type="http://schemas.openxmlformats.org/officeDocument/2006/relationships/hyperlink" Target="https://doi.org/10.25236/FER.2025.080419" TargetMode="External"/><Relationship Id="rId39" Type="http://schemas.openxmlformats.org/officeDocument/2006/relationships/hyperlink" Target="https://doi.org/10.33394/jollt.v12i1.12345" TargetMode="External"/><Relationship Id="rId21" Type="http://schemas.openxmlformats.org/officeDocument/2006/relationships/hyperlink" Target="https://research.acer.edu.au/ausse/19/" TargetMode="External"/><Relationship Id="rId34" Type="http://schemas.openxmlformats.org/officeDocument/2006/relationships/hyperlink" Target="https://doi.org/10.1007/s44217-025-00118-9" TargetMode="External"/><Relationship Id="rId42" Type="http://schemas.openxmlformats.org/officeDocument/2006/relationships/hyperlink" Target="https://www.scribbr.com/methodology/simple-random-sampling/"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10648-022-09672-2" TargetMode="External"/><Relationship Id="rId11" Type="http://schemas.openxmlformats.org/officeDocument/2006/relationships/footer" Target="footer2.xml"/><Relationship Id="rId24" Type="http://schemas.openxmlformats.org/officeDocument/2006/relationships/hyperlink" Target="https://doi.org/10.1080/00313831.2023.2204567" TargetMode="External"/><Relationship Id="rId32" Type="http://schemas.openxmlformats.org/officeDocument/2006/relationships/hyperlink" Target="https://doi.org/10.1037/edu0000762" TargetMode="External"/><Relationship Id="rId37" Type="http://schemas.openxmlformats.org/officeDocument/2006/relationships/hyperlink" Target="https://doi.org/10.1016/j.sbspro.2011.03.347" TargetMode="External"/><Relationship Id="rId40" Type="http://schemas.openxmlformats.org/officeDocument/2006/relationships/hyperlink" Target="https://doi.org/10.61672/jsi.v6i2.2853"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0/25741292.2023.1938752" TargetMode="External"/><Relationship Id="rId28" Type="http://schemas.openxmlformats.org/officeDocument/2006/relationships/hyperlink" Target="https://doi.org/10.2307/358881" TargetMode="External"/><Relationship Id="rId36" Type="http://schemas.openxmlformats.org/officeDocument/2006/relationships/hyperlink" Target="https://doi.org/10.7828/aje.v12i1.1784"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7828/pjes.v95i2.1584" TargetMode="External"/><Relationship Id="rId31" Type="http://schemas.openxmlformats.org/officeDocument/2006/relationships/hyperlink" Target="https://ejournal.unmuha.ac.id/index.php/accentia/article/view/2270"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0011000020926564" TargetMode="External"/><Relationship Id="rId27" Type="http://schemas.openxmlformats.org/officeDocument/2006/relationships/hyperlink" Target="https://doi.org/10.1177/09593543211069161" TargetMode="External"/><Relationship Id="rId30" Type="http://schemas.openxmlformats.org/officeDocument/2006/relationships/hyperlink" Target="https://doi.org/10.1093/oso/9780197639757.003.0012" TargetMode="External"/><Relationship Id="rId35" Type="http://schemas.openxmlformats.org/officeDocument/2006/relationships/hyperlink" Target="https://grad.ucdavis.edu/sites/g/files/dgvnsk9301/files/inline-files/questionnaire_aligning_expectations_in_mentoring_relationships_2018-05-1._.pdf" TargetMode="External"/><Relationship Id="rId43" Type="http://schemas.openxmlformats.org/officeDocument/2006/relationships/hyperlink" Target="https://doi.org/10.26858/ijole.v7i4.24567" TargetMode="External"/><Relationship Id="rId48" Type="http://schemas.openxmlformats.org/officeDocument/2006/relationships/hyperlink" Target="https://doi.org/10.1080/10573569.2023.216530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ciencedirect.com/topics/social-sciences/social-cognitive-theory" TargetMode="External"/><Relationship Id="rId25" Type="http://schemas.openxmlformats.org/officeDocument/2006/relationships/hyperlink" Target="https://doi.org/10.25299/jshmic.2025.vol12(2).21155" TargetMode="External"/><Relationship Id="rId33" Type="http://schemas.openxmlformats.org/officeDocument/2006/relationships/hyperlink" Target="https://doi.org/10.3389/fpsyg.2025.1668324" TargetMode="External"/><Relationship Id="rId38" Type="http://schemas.openxmlformats.org/officeDocument/2006/relationships/hyperlink" Target="https://www.ncbi.nlm.nih.gov/books/NBK574574/" TargetMode="External"/><Relationship Id="rId46" Type="http://schemas.openxmlformats.org/officeDocument/2006/relationships/footer" Target="footer4.xml"/><Relationship Id="rId20" Type="http://schemas.openxmlformats.org/officeDocument/2006/relationships/hyperlink" Target="https://clincalc.com" TargetMode="External"/><Relationship Id="rId41" Type="http://schemas.openxmlformats.org/officeDocument/2006/relationships/hyperlink" Target="https://doi.org/10.5281/zenodo.1477289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852F3-B61E-4411-B078-8D04EE5F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11</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2026-03-18T11:48:00Z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3098f372-d62e-43d1-816c-c7c0058f8f35</vt:lpwstr>
  </property>
</Properties>
</file>