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2356" w14:textId="1E91E02E" w:rsidR="00296FC8" w:rsidRPr="00296FC8" w:rsidRDefault="00296FC8">
      <w:pPr>
        <w:rPr>
          <w:b/>
          <w:bCs/>
          <w:strike w:val="0"/>
          <w:u w:val="single"/>
        </w:rPr>
      </w:pPr>
      <w:r w:rsidRPr="00296FC8">
        <w:rPr>
          <w:b/>
          <w:bCs/>
          <w:strike w:val="0"/>
          <w:u w:val="single"/>
        </w:rPr>
        <w:t>ORIGINAL RESEARCH ARTICLE</w:t>
      </w:r>
    </w:p>
    <w:p w14:paraId="32B0D6CB" w14:textId="44B26687" w:rsidR="00060447" w:rsidRPr="00FA7970" w:rsidRDefault="00AE14F0">
      <w:pPr>
        <w:rPr>
          <w:b/>
          <w:bCs/>
          <w:strike w:val="0"/>
        </w:rPr>
      </w:pPr>
      <w:r w:rsidRPr="00AE14F0">
        <w:rPr>
          <w:b/>
          <w:bCs/>
          <w:strike w:val="0"/>
        </w:rPr>
        <w:t>Determinants</w:t>
      </w:r>
      <w:r w:rsidRPr="00AE14F0">
        <w:rPr>
          <w:strike w:val="0"/>
        </w:rPr>
        <w:t xml:space="preserve"> </w:t>
      </w:r>
      <w:r w:rsidRPr="00AE14F0">
        <w:rPr>
          <w:b/>
          <w:bCs/>
          <w:strike w:val="0"/>
        </w:rPr>
        <w:t>of Complete Childhood Immunization in Rural Communities of Rivers State, Nigeria</w:t>
      </w:r>
      <w:r w:rsidR="00FA7970">
        <w:rPr>
          <w:b/>
          <w:bCs/>
          <w:strike w:val="0"/>
        </w:rPr>
        <w:t>: A</w:t>
      </w:r>
      <w:r w:rsidR="00FA7970" w:rsidRPr="00FA7970">
        <w:rPr>
          <w:b/>
          <w:bCs/>
          <w:strike w:val="0"/>
        </w:rPr>
        <w:t xml:space="preserve"> Randomized Controlled Study</w:t>
      </w:r>
    </w:p>
    <w:p w14:paraId="322518C7" w14:textId="7B39B98D" w:rsidR="00C44C81" w:rsidRDefault="00C44C81" w:rsidP="008071AF">
      <w:pPr>
        <w:rPr>
          <w:strike w:val="0"/>
        </w:rPr>
      </w:pPr>
    </w:p>
    <w:p w14:paraId="709059A5" w14:textId="77777777" w:rsidR="00BC0843" w:rsidRPr="00160082" w:rsidRDefault="00BC0843" w:rsidP="008071AF">
      <w:pPr>
        <w:rPr>
          <w:strike w:val="0"/>
        </w:rPr>
      </w:pPr>
    </w:p>
    <w:p w14:paraId="34E0F7F7" w14:textId="77777777" w:rsidR="00C44C81" w:rsidRPr="00C44C81" w:rsidRDefault="00C44C81" w:rsidP="00C44C81">
      <w:pPr>
        <w:rPr>
          <w:b/>
          <w:bCs/>
          <w:strike w:val="0"/>
        </w:rPr>
      </w:pPr>
      <w:r w:rsidRPr="00C44C81">
        <w:rPr>
          <w:b/>
          <w:bCs/>
          <w:strike w:val="0"/>
        </w:rPr>
        <w:t>Abstract</w:t>
      </w:r>
    </w:p>
    <w:p w14:paraId="3595993F" w14:textId="4E8BE91E" w:rsidR="00C44C81" w:rsidRPr="00C44C81" w:rsidRDefault="00C44C81" w:rsidP="00C44C81">
      <w:pPr>
        <w:rPr>
          <w:strike w:val="0"/>
        </w:rPr>
      </w:pPr>
      <w:r w:rsidRPr="00C44C81">
        <w:rPr>
          <w:b/>
          <w:bCs/>
          <w:strike w:val="0"/>
        </w:rPr>
        <w:t>Background:</w:t>
      </w:r>
      <w:r w:rsidRPr="00C44C81">
        <w:rPr>
          <w:strike w:val="0"/>
        </w:rPr>
        <w:br/>
        <w:t xml:space="preserve">Incomplete childhood immunization remains a major public health challenge in rural Nigeria, driven by both caregiver- and health system-related factors. This study assessed the determinants of complete childhood immunization </w:t>
      </w:r>
      <w:r>
        <w:rPr>
          <w:strike w:val="0"/>
        </w:rPr>
        <w:t xml:space="preserve">through the use </w:t>
      </w:r>
      <w:r w:rsidRPr="00C44C81">
        <w:rPr>
          <w:strike w:val="0"/>
        </w:rPr>
        <w:t>of a community volunteer-driven intervention in rural communities of Rivers State.</w:t>
      </w:r>
    </w:p>
    <w:p w14:paraId="4724C98C" w14:textId="77777777" w:rsidR="00C44C81" w:rsidRPr="00C44C81" w:rsidRDefault="00C44C81" w:rsidP="00C44C81">
      <w:pPr>
        <w:rPr>
          <w:strike w:val="0"/>
        </w:rPr>
      </w:pPr>
      <w:r w:rsidRPr="00C44C81">
        <w:rPr>
          <w:b/>
          <w:bCs/>
          <w:strike w:val="0"/>
        </w:rPr>
        <w:t>Methods:</w:t>
      </w:r>
      <w:r w:rsidRPr="00C44C81">
        <w:rPr>
          <w:strike w:val="0"/>
        </w:rPr>
        <w:br/>
        <w:t>A parallel-group randomized controlled trial was conducted among 368 caregivers of infants aged 0–6 weeks in Emohua and Etche Local Government Areas. Participants were randomly assigned to intervention (n=184) and control (n=184) groups. The intervention group received structured immunization education delivered by trained community volunteers, while the control group received routine care. The primary outcome was complete immunization at nine months. Data were analyzed using intention-to-treat principles, with logistic regression used to identify independent predictors.</w:t>
      </w:r>
    </w:p>
    <w:p w14:paraId="6954DA85" w14:textId="77777777" w:rsidR="00C44C81" w:rsidRPr="00C44C81" w:rsidRDefault="00C44C81" w:rsidP="00C44C81">
      <w:pPr>
        <w:rPr>
          <w:strike w:val="0"/>
        </w:rPr>
      </w:pPr>
      <w:r w:rsidRPr="00C44C81">
        <w:rPr>
          <w:b/>
          <w:bCs/>
          <w:strike w:val="0"/>
        </w:rPr>
        <w:t>Results:</w:t>
      </w:r>
      <w:r w:rsidRPr="00C44C81">
        <w:rPr>
          <w:strike w:val="0"/>
        </w:rPr>
        <w:br/>
        <w:t>A total of 339 participants completed the study (intervention: 173; control: 166). Complete immunization coverage was significantly higher in the intervention group (69.9%) compared with the control group (46.4%) (p&lt;0.001), representing a 23.5% absolute increase. Children in the intervention group were more likely to be fully immunized (RR=1.51; NNT≈5). Independent predictors of complete immunization included exposure to the intervention (AOR=2.69, 95% CI: 1.72–4.20), good knowledge of the immunization schedule (AOR=2.41, 95% CI: 1.43–4.05), perceived benefits of immunization (AOR=1.88, 95% CI: 1.16–3.05), paternal education and women’s autonomy (AOR=2.17, 95% CI: 1.21–3.25), and favorable health system factors (AOR=2.35, 95% CI: 1.36–3.14). The model demonstrated acceptable predictive performance (AUC=0.76; accuracy=72.6%).</w:t>
      </w:r>
    </w:p>
    <w:p w14:paraId="77501846" w14:textId="77777777" w:rsidR="00C44C81" w:rsidRPr="00C44C81" w:rsidRDefault="00C44C81" w:rsidP="00C44C81">
      <w:pPr>
        <w:rPr>
          <w:strike w:val="0"/>
        </w:rPr>
      </w:pPr>
      <w:r w:rsidRPr="00C44C81">
        <w:rPr>
          <w:b/>
          <w:bCs/>
          <w:strike w:val="0"/>
        </w:rPr>
        <w:t>Conclusion:</w:t>
      </w:r>
      <w:r w:rsidRPr="00C44C81">
        <w:rPr>
          <w:strike w:val="0"/>
        </w:rPr>
        <w:br/>
        <w:t>Community volunteer-driven education significantly improves childhood immunization uptake in rural settings. Addressing caregiver knowledge, household dynamics, and health system barriers is essential for achieving optimal immunization coverage.</w:t>
      </w:r>
    </w:p>
    <w:p w14:paraId="7D3928AF" w14:textId="5B187889" w:rsidR="00C44C81" w:rsidRPr="00890A98" w:rsidRDefault="00C44C81" w:rsidP="008071AF">
      <w:pPr>
        <w:rPr>
          <w:strike w:val="0"/>
        </w:rPr>
      </w:pPr>
      <w:r w:rsidRPr="00C44C81">
        <w:rPr>
          <w:b/>
          <w:bCs/>
          <w:strike w:val="0"/>
        </w:rPr>
        <w:t>Keywords:</w:t>
      </w:r>
      <w:r w:rsidRPr="00C44C81">
        <w:rPr>
          <w:strike w:val="0"/>
        </w:rPr>
        <w:t xml:space="preserve"> Childhood immunization, community intervention, rural health, Nigeria, vaccine uptake, randomized controlled trial</w:t>
      </w:r>
    </w:p>
    <w:p w14:paraId="3985F81E" w14:textId="712A422A" w:rsidR="008071AF" w:rsidRPr="008071AF" w:rsidRDefault="008071AF" w:rsidP="008071AF">
      <w:pPr>
        <w:rPr>
          <w:b/>
          <w:bCs/>
          <w:strike w:val="0"/>
        </w:rPr>
      </w:pPr>
      <w:r w:rsidRPr="008071AF">
        <w:rPr>
          <w:b/>
          <w:bCs/>
          <w:strike w:val="0"/>
        </w:rPr>
        <w:t>Introduction</w:t>
      </w:r>
    </w:p>
    <w:p w14:paraId="638C6319" w14:textId="4A77C17B" w:rsidR="008071AF" w:rsidRPr="008071AF" w:rsidRDefault="008071AF" w:rsidP="008071AF">
      <w:pPr>
        <w:rPr>
          <w:strike w:val="0"/>
          <w:lang w:val="en-US"/>
        </w:rPr>
      </w:pPr>
      <w:r w:rsidRPr="008071AF">
        <w:rPr>
          <w:strike w:val="0"/>
        </w:rPr>
        <w:t>Childhood immunization is one of the most effective and cost-efficient public health interventions for preventing infectious diseases and reducing childhood morbidity and mortality worldwide. Vaccination protects children against a range of vaccine-preventable diseases</w:t>
      </w:r>
      <w:r w:rsidR="005D2706">
        <w:rPr>
          <w:strike w:val="0"/>
        </w:rPr>
        <w:t>,</w:t>
      </w:r>
      <w:r w:rsidRPr="008071AF">
        <w:rPr>
          <w:strike w:val="0"/>
        </w:rPr>
        <w:t xml:space="preserve"> including tuberculosis, poliomyelitis, diphtheria, pertussis, tetanus, measles, and </w:t>
      </w:r>
      <w:r w:rsidRPr="008071AF">
        <w:rPr>
          <w:strike w:val="0"/>
        </w:rPr>
        <w:lastRenderedPageBreak/>
        <w:t>hepatitis B. Over the past five decades, global immunization programs have contributed substantially to reductions in child mortality and improvements in population health. The World Health Organization (WHO) estimates that immunization currently prevents approximately four to five million deaths annually across all age groups (World Health Organization [WHO], 2024). Despite these remarkable achievements, gaps in vaccination coverage remain a major global health challenge, particularly in low- and middle-income countries where health system constraints, socioeconomic inequalities, and limited access to healthcare services hinder optimal immunization uptake</w:t>
      </w:r>
      <w:r w:rsidR="00D567A9">
        <w:rPr>
          <w:strike w:val="0"/>
          <w:lang w:val="en-US"/>
        </w:rPr>
        <w:t xml:space="preserve"> (WHO, 2024; </w:t>
      </w:r>
      <w:r w:rsidR="00D567A9" w:rsidRPr="008B3A86">
        <w:rPr>
          <w:strike w:val="0"/>
        </w:rPr>
        <w:t>Williams</w:t>
      </w:r>
      <w:r w:rsidR="00D567A9">
        <w:rPr>
          <w:strike w:val="0"/>
          <w:lang w:val="en-US"/>
        </w:rPr>
        <w:t xml:space="preserve"> et al</w:t>
      </w:r>
      <w:r w:rsidRPr="008071AF">
        <w:rPr>
          <w:strike w:val="0"/>
        </w:rPr>
        <w:t>.</w:t>
      </w:r>
      <w:r w:rsidR="00D567A9">
        <w:rPr>
          <w:strike w:val="0"/>
          <w:lang w:val="en-US"/>
        </w:rPr>
        <w:t>, 2024).</w:t>
      </w:r>
    </w:p>
    <w:p w14:paraId="1BC2ABDF" w14:textId="44991302" w:rsidR="008071AF" w:rsidRPr="008071AF" w:rsidRDefault="008071AF" w:rsidP="008071AF">
      <w:pPr>
        <w:rPr>
          <w:strike w:val="0"/>
          <w:lang w:val="en-US"/>
        </w:rPr>
      </w:pPr>
      <w:r w:rsidRPr="008071AF">
        <w:rPr>
          <w:strike w:val="0"/>
        </w:rPr>
        <w:t>Globally, routine immunization coverage has improved over the past decades; however, progress has slowed in recent years. According to global estimates, approximately 85% of infants worldwide receive the recommended three doses of diphtheria–tetanus–pertussis (DTP3) vaccine, yet millions of children remain partially immunized or completely unvaccinated (WHO &amp; United Nations Children’s Fund [UNICEF], 2023). These children, often referred to as “zero-dose” children, are concentrated primarily in low-income and conflict-affected countries where access to health services is limited. Persistent inequities in immunization coverage increase the risk of outbreaks of vaccine-preventable diseases such as measles and polio and pose a major threat to global child health</w:t>
      </w:r>
      <w:r w:rsidR="004832A1">
        <w:rPr>
          <w:strike w:val="0"/>
          <w:lang w:val="en-US"/>
        </w:rPr>
        <w:t xml:space="preserve"> (WHO &amp;UNICEF, 2023).</w:t>
      </w:r>
    </w:p>
    <w:p w14:paraId="1648522C" w14:textId="791C4995" w:rsidR="008071AF" w:rsidRPr="008071AF" w:rsidRDefault="00FF3F6C" w:rsidP="008071AF">
      <w:pPr>
        <w:rPr>
          <w:strike w:val="0"/>
        </w:rPr>
      </w:pPr>
      <w:r>
        <w:rPr>
          <w:strike w:val="0"/>
          <w:lang w:val="en-US"/>
        </w:rPr>
        <w:t xml:space="preserve"> Nigeria</w:t>
      </w:r>
      <w:r w:rsidR="008071AF" w:rsidRPr="008071AF">
        <w:rPr>
          <w:strike w:val="0"/>
        </w:rPr>
        <w:t xml:space="preserve"> continues to bear a disproportionate burden of under-immunized children despite substantial investments in immunization programs by governments and international partners. Weak health systems, shortages of trained health workers, limited vaccine supply chains, and inadequate transportation infrastructure are among the structural barriers that limit access to immunization services in many African countries</w:t>
      </w:r>
      <w:r w:rsidR="00851435">
        <w:rPr>
          <w:strike w:val="0"/>
          <w:lang w:val="en-US"/>
        </w:rPr>
        <w:t xml:space="preserve"> (</w:t>
      </w:r>
      <w:r w:rsidR="00851435" w:rsidRPr="00851435">
        <w:rPr>
          <w:strike w:val="0"/>
          <w:lang w:val="en-US"/>
        </w:rPr>
        <w:t xml:space="preserve">Briggs </w:t>
      </w:r>
      <w:r w:rsidR="00851435">
        <w:rPr>
          <w:strike w:val="0"/>
          <w:lang w:val="en-US"/>
        </w:rPr>
        <w:t>&amp;</w:t>
      </w:r>
      <w:r w:rsidR="00851435" w:rsidRPr="00851435">
        <w:rPr>
          <w:strike w:val="0"/>
          <w:lang w:val="en-US"/>
        </w:rPr>
        <w:t>Tobin-West</w:t>
      </w:r>
      <w:r w:rsidR="00851435">
        <w:rPr>
          <w:strike w:val="0"/>
          <w:lang w:val="en-US"/>
        </w:rPr>
        <w:t>, 2022</w:t>
      </w:r>
      <w:r w:rsidR="00451BCD">
        <w:rPr>
          <w:strike w:val="0"/>
          <w:lang w:val="en-US"/>
        </w:rPr>
        <w:t>a</w:t>
      </w:r>
      <w:r w:rsidR="00851435">
        <w:rPr>
          <w:strike w:val="0"/>
          <w:lang w:val="en-US"/>
        </w:rPr>
        <w:t xml:space="preserve">; </w:t>
      </w:r>
      <w:r w:rsidR="00851435" w:rsidRPr="008B3A86">
        <w:rPr>
          <w:strike w:val="0"/>
        </w:rPr>
        <w:t>Magaji</w:t>
      </w:r>
      <w:r w:rsidR="00851435">
        <w:rPr>
          <w:strike w:val="0"/>
          <w:lang w:val="en-US"/>
        </w:rPr>
        <w:t xml:space="preserve"> et al., 2025)</w:t>
      </w:r>
      <w:r w:rsidR="008071AF" w:rsidRPr="008071AF">
        <w:rPr>
          <w:strike w:val="0"/>
        </w:rPr>
        <w:t>. Additionally, sociocultural factors such as caregiver misconceptions about vaccines, limited knowledge of immunization schedules, and low maternal education have been identified as important determinants of incomplete childhood immunization in the region (Fenta et al., 2021). Rural populations are particularly affected by these challenges because of geographic isolation and limited availability of primary health care services.</w:t>
      </w:r>
    </w:p>
    <w:p w14:paraId="6F851263" w14:textId="252BEDE0" w:rsidR="008071AF" w:rsidRPr="008071AF" w:rsidRDefault="008071AF" w:rsidP="008071AF">
      <w:pPr>
        <w:rPr>
          <w:strike w:val="0"/>
        </w:rPr>
      </w:pPr>
      <w:r w:rsidRPr="008071AF">
        <w:rPr>
          <w:strike w:val="0"/>
        </w:rPr>
        <w:t>Despite the implementation of the National Programme on Immunization and integration of routine immunization services into primary healthcare systems, full vaccination coverage remains below global targets. Findings from the Nigeria Demographic and Health Survey indicate that less than half of children aged 12–23 months receive all recommended vaccines, while a substantial proportion remain either partially immunized or completely unvaccinated (National Population Commission [NPC] &amp; ICF, 2024). The persistence of low vaccination coverage contributes significantly to the continued occurrence of vaccine-preventable diseases in the country</w:t>
      </w:r>
      <w:r w:rsidR="00FF3F6C">
        <w:rPr>
          <w:strike w:val="0"/>
          <w:lang w:val="en-US"/>
        </w:rPr>
        <w:t xml:space="preserve"> (</w:t>
      </w:r>
      <w:r w:rsidR="00FF3F6C" w:rsidRPr="00FF3F6C">
        <w:rPr>
          <w:strike w:val="0"/>
          <w:lang w:val="en-US"/>
        </w:rPr>
        <w:t>Briggs &amp;Tobin-West, 2022</w:t>
      </w:r>
      <w:r w:rsidR="00451BCD">
        <w:rPr>
          <w:strike w:val="0"/>
          <w:lang w:val="en-US"/>
        </w:rPr>
        <w:t>a</w:t>
      </w:r>
      <w:r w:rsidR="00FF3F6C">
        <w:rPr>
          <w:strike w:val="0"/>
          <w:lang w:val="en-US"/>
        </w:rPr>
        <w:t>)</w:t>
      </w:r>
      <w:r w:rsidRPr="008071AF">
        <w:rPr>
          <w:strike w:val="0"/>
        </w:rPr>
        <w:t>.</w:t>
      </w:r>
    </w:p>
    <w:p w14:paraId="5F1F46D7" w14:textId="69B767AD" w:rsidR="008071AF" w:rsidRPr="008071AF" w:rsidRDefault="008071AF" w:rsidP="008071AF">
      <w:pPr>
        <w:rPr>
          <w:strike w:val="0"/>
        </w:rPr>
      </w:pPr>
      <w:r w:rsidRPr="008071AF">
        <w:rPr>
          <w:strike w:val="0"/>
        </w:rPr>
        <w:t>Several studies in Nigeria have identified a range of individual, household, and health system factors associated with incomplete childhood immunization</w:t>
      </w:r>
      <w:r w:rsidR="005D2706">
        <w:rPr>
          <w:strike w:val="0"/>
        </w:rPr>
        <w:t xml:space="preserve"> (</w:t>
      </w:r>
      <w:r w:rsidR="005D2706" w:rsidRPr="005D2706">
        <w:rPr>
          <w:strike w:val="0"/>
        </w:rPr>
        <w:t>Olorunfemi</w:t>
      </w:r>
      <w:r w:rsidR="005D2706">
        <w:rPr>
          <w:strike w:val="0"/>
        </w:rPr>
        <w:t xml:space="preserve"> et al</w:t>
      </w:r>
      <w:r w:rsidRPr="008071AF">
        <w:rPr>
          <w:strike w:val="0"/>
        </w:rPr>
        <w:t>.</w:t>
      </w:r>
      <w:r w:rsidR="005D2706">
        <w:rPr>
          <w:strike w:val="0"/>
        </w:rPr>
        <w:t>, 2025).</w:t>
      </w:r>
      <w:r w:rsidRPr="008071AF">
        <w:rPr>
          <w:strike w:val="0"/>
        </w:rPr>
        <w:t xml:space="preserve"> Maternal education, household socioeconomic status, access to health services, antenatal care attendance, place of delivery, and caregiver knowledge of immunization schedules have consistently been identified as significant determinants of immunization uptake (</w:t>
      </w:r>
      <w:r w:rsidR="00994506" w:rsidRPr="00994506">
        <w:rPr>
          <w:strike w:val="0"/>
          <w:lang w:val="en-US"/>
        </w:rPr>
        <w:t>Briggs &amp;Tobin-West</w:t>
      </w:r>
      <w:r w:rsidR="00994506">
        <w:rPr>
          <w:strike w:val="0"/>
          <w:lang w:val="en-US"/>
        </w:rPr>
        <w:t>,</w:t>
      </w:r>
      <w:r w:rsidR="00994506" w:rsidRPr="00994506">
        <w:rPr>
          <w:strike w:val="0"/>
          <w:lang w:val="en-US"/>
        </w:rPr>
        <w:t xml:space="preserve"> 2022</w:t>
      </w:r>
      <w:r w:rsidR="00451BCD">
        <w:rPr>
          <w:strike w:val="0"/>
          <w:lang w:val="en-US"/>
        </w:rPr>
        <w:t>a</w:t>
      </w:r>
      <w:r w:rsidR="00994506">
        <w:rPr>
          <w:strike w:val="0"/>
          <w:lang w:val="en-US"/>
        </w:rPr>
        <w:t xml:space="preserve">; </w:t>
      </w:r>
      <w:r w:rsidRPr="008071AF">
        <w:rPr>
          <w:strike w:val="0"/>
        </w:rPr>
        <w:t>Eze et al., 2021). Mothers who attend antenatal clinics or deliver their children in healthcare facilities are more likely to receive health education on childhood vaccination and therefore ensure that their children complete the recommended immunization schedule</w:t>
      </w:r>
      <w:r w:rsidR="002A5618">
        <w:rPr>
          <w:strike w:val="0"/>
          <w:lang w:val="en-US"/>
        </w:rPr>
        <w:t xml:space="preserve"> (</w:t>
      </w:r>
      <w:r w:rsidR="002A5618" w:rsidRPr="008B3A86">
        <w:rPr>
          <w:strike w:val="0"/>
        </w:rPr>
        <w:t>Gayawan</w:t>
      </w:r>
      <w:r w:rsidR="002A5618">
        <w:rPr>
          <w:strike w:val="0"/>
          <w:lang w:val="en-US"/>
        </w:rPr>
        <w:t xml:space="preserve"> et al., 2025)</w:t>
      </w:r>
      <w:r w:rsidRPr="008071AF">
        <w:rPr>
          <w:strike w:val="0"/>
        </w:rPr>
        <w:t xml:space="preserve">. Similarly, access to immunization information and maternal </w:t>
      </w:r>
      <w:r w:rsidRPr="008071AF">
        <w:rPr>
          <w:strike w:val="0"/>
        </w:rPr>
        <w:lastRenderedPageBreak/>
        <w:t>knowledge of vaccine schedules have been reported as strong predictors of complete childhood immunization in several Nigerian studies (</w:t>
      </w:r>
      <w:r w:rsidR="0069786B" w:rsidRPr="0069786B">
        <w:rPr>
          <w:strike w:val="0"/>
        </w:rPr>
        <w:t>Olorunfemi</w:t>
      </w:r>
      <w:r w:rsidR="0069786B">
        <w:rPr>
          <w:strike w:val="0"/>
        </w:rPr>
        <w:t xml:space="preserve"> et al., 2025; </w:t>
      </w:r>
      <w:r w:rsidR="00442902">
        <w:rPr>
          <w:strike w:val="0"/>
          <w:lang w:val="en-US"/>
        </w:rPr>
        <w:t xml:space="preserve">Sabo </w:t>
      </w:r>
      <w:r w:rsidRPr="008071AF">
        <w:rPr>
          <w:strike w:val="0"/>
        </w:rPr>
        <w:t>et al., 20</w:t>
      </w:r>
      <w:r w:rsidR="00442902">
        <w:rPr>
          <w:strike w:val="0"/>
          <w:lang w:val="en-US"/>
        </w:rPr>
        <w:t>25</w:t>
      </w:r>
      <w:r w:rsidRPr="008071AF">
        <w:rPr>
          <w:strike w:val="0"/>
        </w:rPr>
        <w:t>).</w:t>
      </w:r>
    </w:p>
    <w:p w14:paraId="4DED8F14" w14:textId="7BC6FE20" w:rsidR="008071AF" w:rsidRPr="008071AF" w:rsidRDefault="008071AF" w:rsidP="008071AF">
      <w:pPr>
        <w:rPr>
          <w:strike w:val="0"/>
        </w:rPr>
      </w:pPr>
      <w:r w:rsidRPr="008071AF">
        <w:rPr>
          <w:strike w:val="0"/>
        </w:rPr>
        <w:t>Geographic disparities in immunization coverage are also widely documented in Nigeria. Rural communities consistently report lower immunization coverage compared with urban areas due to poor health infrastructure, long distances to healthcare facilities, and limited availability of routine immunization services (</w:t>
      </w:r>
      <w:r w:rsidR="0069786B" w:rsidRPr="0069786B">
        <w:rPr>
          <w:strike w:val="0"/>
        </w:rPr>
        <w:t>Ogundele</w:t>
      </w:r>
      <w:r w:rsidR="0069786B">
        <w:rPr>
          <w:strike w:val="0"/>
        </w:rPr>
        <w:t xml:space="preserve"> et al., 2025; </w:t>
      </w:r>
      <w:r w:rsidR="001369F3">
        <w:rPr>
          <w:strike w:val="0"/>
          <w:lang w:val="en-US"/>
        </w:rPr>
        <w:t>Salako</w:t>
      </w:r>
      <w:r w:rsidRPr="008071AF">
        <w:rPr>
          <w:strike w:val="0"/>
        </w:rPr>
        <w:t xml:space="preserve"> et al., 20</w:t>
      </w:r>
      <w:r w:rsidR="001369F3">
        <w:rPr>
          <w:strike w:val="0"/>
          <w:lang w:val="en-US"/>
        </w:rPr>
        <w:t>25</w:t>
      </w:r>
      <w:r w:rsidRPr="008071AF">
        <w:rPr>
          <w:strike w:val="0"/>
        </w:rPr>
        <w:t>). Children residing in rural areas are therefore at higher risk of missing essential vaccines during the critical early months of life. Addressing these geographic inequities is essential for improving national immunization coverage and reducing childhood morbidity and mortality</w:t>
      </w:r>
      <w:r w:rsidR="00062BB1">
        <w:rPr>
          <w:strike w:val="0"/>
        </w:rPr>
        <w:t xml:space="preserve"> (Briggs et al., 2022b)</w:t>
      </w:r>
      <w:r w:rsidRPr="008071AF">
        <w:rPr>
          <w:strike w:val="0"/>
        </w:rPr>
        <w:t>.</w:t>
      </w:r>
    </w:p>
    <w:p w14:paraId="2D96DE77" w14:textId="5AF5FF9E" w:rsidR="008071AF" w:rsidRPr="008071AF" w:rsidRDefault="008071AF" w:rsidP="008071AF">
      <w:pPr>
        <w:rPr>
          <w:strike w:val="0"/>
        </w:rPr>
      </w:pPr>
      <w:r w:rsidRPr="008071AF">
        <w:rPr>
          <w:strike w:val="0"/>
        </w:rPr>
        <w:t>Rivers State, located in the Niger Delta region of Nigeria, faces similar challenges in achieving optimal childhood immunization coverage, particularly in rural and riverine communities</w:t>
      </w:r>
      <w:r w:rsidR="002A5618">
        <w:rPr>
          <w:strike w:val="0"/>
          <w:lang w:val="en-US"/>
        </w:rPr>
        <w:t xml:space="preserve"> </w:t>
      </w:r>
      <w:r w:rsidR="002A5618" w:rsidRPr="002A5618">
        <w:rPr>
          <w:strike w:val="0"/>
          <w:lang w:val="en-US"/>
        </w:rPr>
        <w:t>(Briggs &amp;Tobin-West, 2022</w:t>
      </w:r>
      <w:r w:rsidR="00451BCD">
        <w:rPr>
          <w:strike w:val="0"/>
          <w:lang w:val="en-US"/>
        </w:rPr>
        <w:t>a</w:t>
      </w:r>
      <w:r w:rsidR="00062BB1">
        <w:rPr>
          <w:strike w:val="0"/>
          <w:lang w:val="en-US"/>
        </w:rPr>
        <w:t>; Briggs et al., 2022</w:t>
      </w:r>
      <w:r w:rsidR="00451BCD">
        <w:rPr>
          <w:strike w:val="0"/>
          <w:lang w:val="en-US"/>
        </w:rPr>
        <w:t>b</w:t>
      </w:r>
      <w:r w:rsidR="002A5618" w:rsidRPr="002A5618">
        <w:rPr>
          <w:strike w:val="0"/>
          <w:lang w:val="en-US"/>
        </w:rPr>
        <w:t>)</w:t>
      </w:r>
      <w:r w:rsidR="002A5618" w:rsidRPr="008071AF">
        <w:rPr>
          <w:strike w:val="0"/>
        </w:rPr>
        <w:t>.</w:t>
      </w:r>
      <w:r w:rsidRPr="008071AF">
        <w:rPr>
          <w:strike w:val="0"/>
        </w:rPr>
        <w:t xml:space="preserve"> Although routine immunization services are provided through primary healthcare facilities across the state, access to these services remains limited in many rural areas due to difficult terrain, transportation barriers, and uneven distribution of health facilities</w:t>
      </w:r>
      <w:r w:rsidR="00DB0D15">
        <w:rPr>
          <w:strike w:val="0"/>
          <w:lang w:val="en-US"/>
        </w:rPr>
        <w:t xml:space="preserve"> (</w:t>
      </w:r>
      <w:r w:rsidR="00DB0D15" w:rsidRPr="00DB0D15">
        <w:rPr>
          <w:strike w:val="0"/>
          <w:lang w:val="en-US"/>
        </w:rPr>
        <w:t>Briggs &amp;Tobin-West, 2022</w:t>
      </w:r>
      <w:r w:rsidR="00E22DB6">
        <w:rPr>
          <w:strike w:val="0"/>
          <w:lang w:val="en-US"/>
        </w:rPr>
        <w:t>a</w:t>
      </w:r>
      <w:r w:rsidR="00F71743">
        <w:rPr>
          <w:strike w:val="0"/>
          <w:lang w:val="en-US"/>
        </w:rPr>
        <w:t xml:space="preserve">; </w:t>
      </w:r>
      <w:r w:rsidR="00F71743" w:rsidRPr="00F71743">
        <w:rPr>
          <w:strike w:val="0"/>
          <w:lang w:val="en-US"/>
        </w:rPr>
        <w:t>Briggs et al., 2022b</w:t>
      </w:r>
      <w:r w:rsidR="00DB0D15">
        <w:rPr>
          <w:strike w:val="0"/>
          <w:lang w:val="en-US"/>
        </w:rPr>
        <w:t>)</w:t>
      </w:r>
      <w:r w:rsidRPr="008071AF">
        <w:rPr>
          <w:strike w:val="0"/>
        </w:rPr>
        <w:t>. Routine immunization sessions in many rural health facilities are conducted only on specific days of the week in order to reduce vaccine wastage from multi-dose vials, which further limits access for caregivers who may be unable to attend clinics on designated days</w:t>
      </w:r>
      <w:r w:rsidR="00C949CC">
        <w:rPr>
          <w:strike w:val="0"/>
          <w:lang w:val="en-US"/>
        </w:rPr>
        <w:t xml:space="preserve"> </w:t>
      </w:r>
      <w:r w:rsidR="00C949CC" w:rsidRPr="00C949CC">
        <w:rPr>
          <w:strike w:val="0"/>
          <w:lang w:val="en-US"/>
        </w:rPr>
        <w:t>(Briggs &amp;Tobin-West, 2022</w:t>
      </w:r>
      <w:r w:rsidR="00E22DB6">
        <w:rPr>
          <w:strike w:val="0"/>
          <w:lang w:val="en-US"/>
        </w:rPr>
        <w:t>a</w:t>
      </w:r>
      <w:r w:rsidR="00C949CC" w:rsidRPr="00C949CC">
        <w:rPr>
          <w:strike w:val="0"/>
          <w:lang w:val="en-US"/>
        </w:rPr>
        <w:t>)</w:t>
      </w:r>
      <w:r w:rsidR="00C949CC" w:rsidRPr="008071AF">
        <w:rPr>
          <w:strike w:val="0"/>
        </w:rPr>
        <w:t xml:space="preserve">. </w:t>
      </w:r>
      <w:r w:rsidR="00C949CC">
        <w:rPr>
          <w:strike w:val="0"/>
          <w:lang w:val="en-US"/>
        </w:rPr>
        <w:t xml:space="preserve"> </w:t>
      </w:r>
      <w:r w:rsidRPr="008071AF">
        <w:rPr>
          <w:strike w:val="0"/>
        </w:rPr>
        <w:t xml:space="preserve"> </w:t>
      </w:r>
    </w:p>
    <w:p w14:paraId="0FE139CD" w14:textId="54B4C38A" w:rsidR="008071AF" w:rsidRPr="008071AF" w:rsidRDefault="008071AF" w:rsidP="008071AF">
      <w:pPr>
        <w:rPr>
          <w:strike w:val="0"/>
        </w:rPr>
      </w:pPr>
      <w:r w:rsidRPr="008071AF">
        <w:rPr>
          <w:strike w:val="0"/>
        </w:rPr>
        <w:t>In addition to health system challenges, caregiver-related factors such as poor knowledge of immunization schedules, misconceptions about vaccines, and limited exposure to health information also contribute to incomplete childhood immunization in rural communities</w:t>
      </w:r>
      <w:r w:rsidR="00C949CC">
        <w:rPr>
          <w:strike w:val="0"/>
          <w:lang w:val="en-US"/>
        </w:rPr>
        <w:t xml:space="preserve"> </w:t>
      </w:r>
      <w:r w:rsidR="00C949CC" w:rsidRPr="00C949CC">
        <w:rPr>
          <w:strike w:val="0"/>
          <w:lang w:val="en-US"/>
        </w:rPr>
        <w:t>(Briggs &amp;Tobin-West, 2022</w:t>
      </w:r>
      <w:r w:rsidR="00E22DB6">
        <w:rPr>
          <w:strike w:val="0"/>
          <w:lang w:val="en-US"/>
        </w:rPr>
        <w:t>a</w:t>
      </w:r>
      <w:r w:rsidR="001244D9">
        <w:rPr>
          <w:strike w:val="0"/>
          <w:lang w:val="en-US"/>
        </w:rPr>
        <w:t xml:space="preserve">; </w:t>
      </w:r>
      <w:r w:rsidR="001244D9" w:rsidRPr="001244D9">
        <w:rPr>
          <w:strike w:val="0"/>
        </w:rPr>
        <w:t>Ogundele</w:t>
      </w:r>
      <w:r w:rsidR="001244D9">
        <w:rPr>
          <w:strike w:val="0"/>
        </w:rPr>
        <w:t xml:space="preserve"> et al., 2025</w:t>
      </w:r>
      <w:r w:rsidR="00C949CC" w:rsidRPr="00C949CC">
        <w:rPr>
          <w:strike w:val="0"/>
          <w:lang w:val="en-US"/>
        </w:rPr>
        <w:t>)</w:t>
      </w:r>
      <w:r w:rsidR="00C949CC" w:rsidRPr="008071AF">
        <w:rPr>
          <w:strike w:val="0"/>
        </w:rPr>
        <w:t xml:space="preserve">. </w:t>
      </w:r>
      <w:r w:rsidRPr="008071AF">
        <w:rPr>
          <w:strike w:val="0"/>
        </w:rPr>
        <w:t xml:space="preserve"> Health education provided at healthcare facilities is often delivered in English, which may not be well understood by caregivers with low literacy levels. As a result, caregivers may fail to appreciate the importance of routine immunization or may miss scheduled vaccination appointments for their children. </w:t>
      </w:r>
    </w:p>
    <w:p w14:paraId="4E731449" w14:textId="758718BE" w:rsidR="008071AF" w:rsidRPr="008071AF" w:rsidRDefault="008071AF" w:rsidP="008071AF">
      <w:pPr>
        <w:rPr>
          <w:strike w:val="0"/>
        </w:rPr>
      </w:pPr>
      <w:r w:rsidRPr="008071AF">
        <w:rPr>
          <w:strike w:val="0"/>
        </w:rPr>
        <w:t>Community-based interventions have been increasingly recogni</w:t>
      </w:r>
      <w:r w:rsidR="00F477ED">
        <w:rPr>
          <w:strike w:val="0"/>
        </w:rPr>
        <w:t>z</w:t>
      </w:r>
      <w:r w:rsidRPr="008071AF">
        <w:rPr>
          <w:strike w:val="0"/>
        </w:rPr>
        <w:t xml:space="preserve">ed as effective strategies for improving immunization coverage, particularly in underserved populations. Engaging community members as volunteers to provide health education and </w:t>
      </w:r>
      <w:r w:rsidR="00D913BA">
        <w:rPr>
          <w:strike w:val="0"/>
        </w:rPr>
        <w:t>mobili</w:t>
      </w:r>
      <w:r w:rsidR="00B51C77">
        <w:rPr>
          <w:strike w:val="0"/>
        </w:rPr>
        <w:t>z</w:t>
      </w:r>
      <w:r w:rsidR="00D913BA">
        <w:rPr>
          <w:strike w:val="0"/>
        </w:rPr>
        <w:t>e</w:t>
      </w:r>
      <w:r w:rsidRPr="008071AF">
        <w:rPr>
          <w:strike w:val="0"/>
        </w:rPr>
        <w:t xml:space="preserve"> caregivers for immunization services has been shown to improve vaccine uptake and strengthen linkages between communities and health facilities (</w:t>
      </w:r>
      <w:r w:rsidR="00F71743" w:rsidRPr="00F71743">
        <w:rPr>
          <w:strike w:val="0"/>
          <w:lang w:val="en-US"/>
        </w:rPr>
        <w:t>Briggs &amp;Tobin-West, 2022a</w:t>
      </w:r>
      <w:r w:rsidR="00F71743">
        <w:rPr>
          <w:strike w:val="0"/>
          <w:lang w:val="en-US"/>
        </w:rPr>
        <w:t xml:space="preserve">; </w:t>
      </w:r>
      <w:r w:rsidR="002A5618" w:rsidRPr="002A5618">
        <w:rPr>
          <w:strike w:val="0"/>
          <w:lang w:val="en-US"/>
        </w:rPr>
        <w:t>Briggs et al.,</w:t>
      </w:r>
      <w:r w:rsidR="002A5618">
        <w:rPr>
          <w:b/>
          <w:bCs/>
          <w:strike w:val="0"/>
          <w:lang w:val="en-US"/>
        </w:rPr>
        <w:t xml:space="preserve"> </w:t>
      </w:r>
      <w:r w:rsidR="002A5618" w:rsidRPr="002A5618">
        <w:rPr>
          <w:strike w:val="0"/>
          <w:lang w:val="en-US"/>
        </w:rPr>
        <w:t>2022</w:t>
      </w:r>
      <w:r w:rsidR="00E22DB6">
        <w:rPr>
          <w:strike w:val="0"/>
          <w:lang w:val="en-US"/>
        </w:rPr>
        <w:t>b</w:t>
      </w:r>
      <w:r w:rsidR="002A5618" w:rsidRPr="002A5618">
        <w:rPr>
          <w:strike w:val="0"/>
          <w:lang w:val="en-US"/>
        </w:rPr>
        <w:t xml:space="preserve">; </w:t>
      </w:r>
      <w:r w:rsidRPr="008071AF">
        <w:rPr>
          <w:strike w:val="0"/>
        </w:rPr>
        <w:t>Oyo-Ita et al., 2021). Community volunteer-driven approaches are particularly valuable in rural settings where healthcare workers are few and community trust plays a critical role in health-seeking behaviour</w:t>
      </w:r>
      <w:r w:rsidR="002A5618">
        <w:rPr>
          <w:strike w:val="0"/>
          <w:lang w:val="en-US"/>
        </w:rPr>
        <w:t xml:space="preserve"> </w:t>
      </w:r>
      <w:r w:rsidR="002A5618" w:rsidRPr="008071AF">
        <w:rPr>
          <w:strike w:val="0"/>
        </w:rPr>
        <w:t>(</w:t>
      </w:r>
      <w:r w:rsidR="002A5618" w:rsidRPr="002A5618">
        <w:rPr>
          <w:strike w:val="0"/>
          <w:lang w:val="en-US"/>
        </w:rPr>
        <w:t>Briggs et al.,</w:t>
      </w:r>
      <w:r w:rsidR="002A5618" w:rsidRPr="002A5618">
        <w:rPr>
          <w:b/>
          <w:bCs/>
          <w:strike w:val="0"/>
          <w:lang w:val="en-US"/>
        </w:rPr>
        <w:t xml:space="preserve"> </w:t>
      </w:r>
      <w:r w:rsidR="002A5618" w:rsidRPr="002A5618">
        <w:rPr>
          <w:strike w:val="0"/>
          <w:lang w:val="en-US"/>
        </w:rPr>
        <w:t>2022</w:t>
      </w:r>
      <w:r w:rsidR="00E22DB6">
        <w:rPr>
          <w:strike w:val="0"/>
          <w:lang w:val="en-US"/>
        </w:rPr>
        <w:t>b</w:t>
      </w:r>
      <w:r w:rsidR="002A5618">
        <w:rPr>
          <w:strike w:val="0"/>
          <w:lang w:val="en-US"/>
        </w:rPr>
        <w:t>)</w:t>
      </w:r>
      <w:r w:rsidRPr="008071AF">
        <w:rPr>
          <w:strike w:val="0"/>
        </w:rPr>
        <w:t>.</w:t>
      </w:r>
    </w:p>
    <w:p w14:paraId="2FDE11CE" w14:textId="641DEB4E" w:rsidR="008071AF" w:rsidRPr="008071AF" w:rsidRDefault="008071AF" w:rsidP="008071AF">
      <w:pPr>
        <w:rPr>
          <w:strike w:val="0"/>
        </w:rPr>
      </w:pPr>
      <w:r w:rsidRPr="008071AF">
        <w:rPr>
          <w:strike w:val="0"/>
        </w:rPr>
        <w:t>Despite growing evidence supporting community engagement strategies for improving immunization coverage, there remains limited evidence on the effectiveness of community volunteer-driven educational interventions in rural communities of Rivers State</w:t>
      </w:r>
      <w:r w:rsidR="00E22DB6">
        <w:rPr>
          <w:strike w:val="0"/>
        </w:rPr>
        <w:t xml:space="preserve"> (</w:t>
      </w:r>
      <w:r w:rsidR="00E22DB6" w:rsidRPr="00E22DB6">
        <w:rPr>
          <w:strike w:val="0"/>
          <w:lang w:val="en-US"/>
        </w:rPr>
        <w:t>Briggs &amp;Tobin-West, 2022a</w:t>
      </w:r>
      <w:r w:rsidR="0050205F">
        <w:rPr>
          <w:strike w:val="0"/>
          <w:lang w:val="en-US"/>
        </w:rPr>
        <w:t xml:space="preserve">; </w:t>
      </w:r>
      <w:r w:rsidR="0050205F" w:rsidRPr="0050205F">
        <w:rPr>
          <w:strike w:val="0"/>
          <w:lang w:val="en-US"/>
        </w:rPr>
        <w:t>Briggs et al.,</w:t>
      </w:r>
      <w:r w:rsidR="0050205F" w:rsidRPr="0050205F">
        <w:rPr>
          <w:b/>
          <w:bCs/>
          <w:strike w:val="0"/>
          <w:lang w:val="en-US"/>
        </w:rPr>
        <w:t xml:space="preserve"> </w:t>
      </w:r>
      <w:r w:rsidR="0050205F" w:rsidRPr="0050205F">
        <w:rPr>
          <w:strike w:val="0"/>
          <w:lang w:val="en-US"/>
        </w:rPr>
        <w:t>2022b</w:t>
      </w:r>
      <w:r w:rsidR="00E22DB6">
        <w:rPr>
          <w:strike w:val="0"/>
          <w:lang w:val="en-US"/>
        </w:rPr>
        <w:t>)</w:t>
      </w:r>
      <w:r w:rsidRPr="008071AF">
        <w:rPr>
          <w:strike w:val="0"/>
        </w:rPr>
        <w:t>. Generating such evidence is important for informing public health policy and guiding interventions aimed at improving childhood immunization coverage in the region.</w:t>
      </w:r>
    </w:p>
    <w:p w14:paraId="10D45750" w14:textId="06DC1616" w:rsidR="00746795" w:rsidRPr="00746795" w:rsidRDefault="008071AF" w:rsidP="008071AF">
      <w:pPr>
        <w:rPr>
          <w:strike w:val="0"/>
        </w:rPr>
      </w:pPr>
      <w:r w:rsidRPr="008071AF">
        <w:rPr>
          <w:strike w:val="0"/>
        </w:rPr>
        <w:lastRenderedPageBreak/>
        <w:t>Therefore, this study aimed to</w:t>
      </w:r>
      <w:r w:rsidR="00D70FE3">
        <w:rPr>
          <w:strike w:val="0"/>
          <w:lang w:val="en-US"/>
        </w:rPr>
        <w:t xml:space="preserve"> assess</w:t>
      </w:r>
      <w:r w:rsidRPr="008071AF">
        <w:rPr>
          <w:strike w:val="0"/>
        </w:rPr>
        <w:t xml:space="preserve"> the </w:t>
      </w:r>
      <w:r w:rsidR="00746795" w:rsidRPr="00746795">
        <w:rPr>
          <w:strike w:val="0"/>
        </w:rPr>
        <w:t>determinants of complete childhood immunization in rural communities of Rivers State, Nigeria</w:t>
      </w:r>
      <w:r w:rsidR="00746795">
        <w:rPr>
          <w:strike w:val="0"/>
        </w:rPr>
        <w:t>, through the use of community volunteers.</w:t>
      </w:r>
    </w:p>
    <w:p w14:paraId="3CF6A7C5" w14:textId="02DA6EAB" w:rsidR="008071AF" w:rsidRPr="007C6846" w:rsidRDefault="008071AF" w:rsidP="008071AF">
      <w:pPr>
        <w:rPr>
          <w:b/>
          <w:bCs/>
          <w:strike w:val="0"/>
          <w:lang w:val="en-US"/>
        </w:rPr>
      </w:pPr>
      <w:r w:rsidRPr="008071AF">
        <w:rPr>
          <w:b/>
          <w:bCs/>
          <w:strike w:val="0"/>
        </w:rPr>
        <w:t>Methodology</w:t>
      </w:r>
    </w:p>
    <w:p w14:paraId="5D8F0349" w14:textId="77777777" w:rsidR="008071AF" w:rsidRPr="008071AF" w:rsidRDefault="008071AF" w:rsidP="008071AF">
      <w:pPr>
        <w:rPr>
          <w:b/>
          <w:bCs/>
          <w:strike w:val="0"/>
        </w:rPr>
      </w:pPr>
      <w:r w:rsidRPr="008071AF">
        <w:rPr>
          <w:b/>
          <w:bCs/>
          <w:strike w:val="0"/>
        </w:rPr>
        <w:t>Study Design</w:t>
      </w:r>
    </w:p>
    <w:p w14:paraId="570078A1" w14:textId="12502F55" w:rsidR="00D71565" w:rsidRPr="00D71565" w:rsidRDefault="00D71565" w:rsidP="00D71565">
      <w:pPr>
        <w:rPr>
          <w:strike w:val="0"/>
        </w:rPr>
      </w:pPr>
      <w:r w:rsidRPr="00D71565">
        <w:rPr>
          <w:strike w:val="0"/>
        </w:rPr>
        <w:t xml:space="preserve">This study used a parallel-group randomized controlled trial (RCT) design to </w:t>
      </w:r>
      <w:r w:rsidR="00F477ED">
        <w:rPr>
          <w:strike w:val="0"/>
        </w:rPr>
        <w:t>assess</w:t>
      </w:r>
      <w:r w:rsidRPr="00D71565">
        <w:rPr>
          <w:strike w:val="0"/>
        </w:rPr>
        <w:t xml:space="preserve"> factors influencing complete childhood immunization in rural Rivers State communities. Participants were randomly assigned in a 1:1 ratio to either the intervention or control group. The trial was conducted and reported following CONSORT guidelines.</w:t>
      </w:r>
    </w:p>
    <w:p w14:paraId="2DEF5CCC" w14:textId="1CE254D4" w:rsidR="00D71565" w:rsidRPr="00D71565" w:rsidRDefault="00D71565" w:rsidP="00D12BA5">
      <w:pPr>
        <w:rPr>
          <w:strike w:val="0"/>
        </w:rPr>
      </w:pPr>
      <w:r w:rsidRPr="00D71565">
        <w:rPr>
          <w:strike w:val="0"/>
        </w:rPr>
        <w:t xml:space="preserve">Data </w:t>
      </w:r>
      <w:r w:rsidR="00F477ED">
        <w:rPr>
          <w:strike w:val="0"/>
        </w:rPr>
        <w:t xml:space="preserve">were </w:t>
      </w:r>
      <w:r w:rsidRPr="00D71565">
        <w:rPr>
          <w:strike w:val="0"/>
        </w:rPr>
        <w:t xml:space="preserve">from a larger study </w:t>
      </w:r>
      <w:r w:rsidR="00F477ED">
        <w:rPr>
          <w:strike w:val="0"/>
        </w:rPr>
        <w:t>assessing</w:t>
      </w:r>
      <w:r w:rsidRPr="00D71565">
        <w:rPr>
          <w:strike w:val="0"/>
        </w:rPr>
        <w:t xml:space="preserve"> a community volunteer-driven intervention to improve childhood immunization coverage in rural Rivers State. Two earlier p</w:t>
      </w:r>
      <w:r w:rsidR="00F477ED">
        <w:rPr>
          <w:strike w:val="0"/>
        </w:rPr>
        <w:t>ublications</w:t>
      </w:r>
      <w:r w:rsidRPr="00D71565">
        <w:rPr>
          <w:strike w:val="0"/>
        </w:rPr>
        <w:t xml:space="preserve"> from this dataset examined the intervention's effects on coverage and barriers (Briggs &amp; Tobin-West, 2022a) and on caregivers' knowledge and practices (Briggs et al., 2022b). The current analysis focuses specifically on determinants of complete immunization</w:t>
      </w:r>
      <w:r w:rsidR="00F477ED">
        <w:rPr>
          <w:strike w:val="0"/>
        </w:rPr>
        <w:t xml:space="preserve">, </w:t>
      </w:r>
      <w:r w:rsidRPr="00D71565">
        <w:rPr>
          <w:strike w:val="0"/>
        </w:rPr>
        <w:t>a dimension not covered in previous publications.</w:t>
      </w:r>
    </w:p>
    <w:p w14:paraId="26A21563" w14:textId="345B4EEB" w:rsidR="00D12BA5" w:rsidRPr="00D12BA5" w:rsidRDefault="00D12BA5" w:rsidP="00D12BA5">
      <w:pPr>
        <w:rPr>
          <w:b/>
          <w:bCs/>
          <w:strike w:val="0"/>
        </w:rPr>
      </w:pPr>
      <w:r w:rsidRPr="00D12BA5">
        <w:rPr>
          <w:b/>
          <w:bCs/>
          <w:strike w:val="0"/>
        </w:rPr>
        <w:t>Study Setting</w:t>
      </w:r>
    </w:p>
    <w:p w14:paraId="276FE7D4" w14:textId="501398C6" w:rsidR="00D71565" w:rsidRPr="00D71565" w:rsidRDefault="00D71565" w:rsidP="00D12BA5">
      <w:pPr>
        <w:rPr>
          <w:strike w:val="0"/>
        </w:rPr>
      </w:pPr>
      <w:r w:rsidRPr="00D71565">
        <w:rPr>
          <w:strike w:val="0"/>
        </w:rPr>
        <w:t>The study was carried out in selected rural communities across two Local Government Areas in Rivers State: Emohua and Etche. Rivers State is located in the Niger Delta region of southern Nigeria and includes both urban and rural populations, which have varying levels of access to healthcare services. Primary healthcare centers (PHCs) serve as the main providers of routine immunization services in these communities. However, access to immunization in rural areas is often limited due to transportation difficulties, irregular vaccination sessions, and shortages of healthcare staff.</w:t>
      </w:r>
    </w:p>
    <w:p w14:paraId="5A9BB98C" w14:textId="6B729FF8" w:rsidR="008071AF" w:rsidRPr="008071AF" w:rsidRDefault="008071AF" w:rsidP="00D12BA5">
      <w:pPr>
        <w:rPr>
          <w:b/>
          <w:bCs/>
          <w:strike w:val="0"/>
        </w:rPr>
      </w:pPr>
      <w:r w:rsidRPr="008071AF">
        <w:rPr>
          <w:b/>
          <w:bCs/>
          <w:strike w:val="0"/>
        </w:rPr>
        <w:t>Study Population</w:t>
      </w:r>
    </w:p>
    <w:p w14:paraId="37039F75" w14:textId="383854CF" w:rsidR="00D71565" w:rsidRPr="00D71565" w:rsidRDefault="00D71565" w:rsidP="008071AF">
      <w:pPr>
        <w:rPr>
          <w:strike w:val="0"/>
        </w:rPr>
      </w:pPr>
      <w:r w:rsidRPr="00D71565">
        <w:rPr>
          <w:strike w:val="0"/>
        </w:rPr>
        <w:t>The study population consisted of caregivers of infants aged 0 to 6 weeks residing in the selected rural communities. To be eligible for inclusion, caregivers had to have an infant within this age range, be residents of the selected communities, and be willing to participate by providing informed consent. Caregivers were excluded if they planned to relocate from the study area during the study period or if they declined to participate. Recruitment took place during postnatal visits and routine immunization clinics at the selected primary healthcare facilities.</w:t>
      </w:r>
    </w:p>
    <w:p w14:paraId="22943DBB" w14:textId="34017574" w:rsidR="008071AF" w:rsidRPr="008071AF" w:rsidRDefault="008071AF" w:rsidP="008071AF">
      <w:pPr>
        <w:rPr>
          <w:b/>
          <w:bCs/>
          <w:strike w:val="0"/>
        </w:rPr>
      </w:pPr>
      <w:r w:rsidRPr="008071AF">
        <w:rPr>
          <w:b/>
          <w:bCs/>
          <w:strike w:val="0"/>
        </w:rPr>
        <w:t>Sample Size</w:t>
      </w:r>
    </w:p>
    <w:p w14:paraId="2625E566" w14:textId="79E39B37" w:rsidR="00786236" w:rsidRPr="00786236" w:rsidRDefault="00786236" w:rsidP="00786236">
      <w:pPr>
        <w:rPr>
          <w:strike w:val="0"/>
          <w:vertAlign w:val="superscript"/>
        </w:rPr>
      </w:pPr>
      <w:r w:rsidRPr="00786236">
        <w:rPr>
          <w:strike w:val="0"/>
          <w:lang w:val="en-US"/>
        </w:rPr>
        <w:t>Sample size was calculated using the formula for comparing two</w:t>
      </w:r>
      <w:r w:rsidRPr="00786236">
        <w:rPr>
          <w:strike w:val="0"/>
        </w:rPr>
        <w:t xml:space="preserve"> independent </w:t>
      </w:r>
      <w:r w:rsidRPr="00786236">
        <w:rPr>
          <w:strike w:val="0"/>
          <w:lang w:val="en-US"/>
        </w:rPr>
        <w:t xml:space="preserve"> proportions </w:t>
      </w:r>
      <w:r w:rsidRPr="00786236">
        <w:rPr>
          <w:strike w:val="0"/>
        </w:rPr>
        <w:t>as follows:</w:t>
      </w:r>
      <w:r w:rsidRPr="00786236">
        <w:rPr>
          <w:strike w:val="0"/>
          <w:vertAlign w:val="superscript"/>
        </w:rPr>
        <w:t xml:space="preserve"> </w:t>
      </w:r>
    </w:p>
    <w:p w14:paraId="16DE4FA0" w14:textId="62D4AFF2" w:rsidR="00786236" w:rsidRPr="00786236" w:rsidRDefault="00786236" w:rsidP="00786236">
      <w:pPr>
        <w:rPr>
          <w:bCs/>
          <w:iCs/>
          <w:strike w:val="0"/>
          <w:lang w:val="en-US"/>
        </w:rPr>
      </w:pPr>
      <m:oMathPara>
        <m:oMath>
          <m:r>
            <w:rPr>
              <w:rFonts w:ascii="Cambria Math" w:hAnsi="Cambria Math"/>
              <w:strike w:val="0"/>
              <w:lang w:val="en-US"/>
            </w:rPr>
            <m:t>n/group=</m:t>
          </m:r>
          <m:f>
            <m:fPr>
              <m:ctrlPr>
                <w:rPr>
                  <w:rFonts w:ascii="Cambria Math" w:hAnsi="Cambria Math"/>
                  <w:bCs/>
                  <w:i/>
                  <w:iCs/>
                  <w:strike w:val="0"/>
                  <w:lang w:val="en-US"/>
                </w:rPr>
              </m:ctrlPr>
            </m:fPr>
            <m:num>
              <m:sSup>
                <m:sSupPr>
                  <m:ctrlPr>
                    <w:rPr>
                      <w:rFonts w:ascii="Cambria Math" w:hAnsi="Cambria Math"/>
                      <w:bCs/>
                      <w:i/>
                      <w:iCs/>
                      <w:strike w:val="0"/>
                      <w:lang w:val="en-US"/>
                    </w:rPr>
                  </m:ctrlPr>
                </m:sSupPr>
                <m:e>
                  <m:r>
                    <w:rPr>
                      <w:rFonts w:ascii="Cambria Math" w:hAnsi="Cambria Math"/>
                      <w:strike w:val="0"/>
                      <w:u w:val="single"/>
                      <w:lang w:val="en-US"/>
                    </w:rPr>
                    <m:t>(Zα/2​+Zβ​)</m:t>
                  </m:r>
                </m:e>
                <m:sup>
                  <m:r>
                    <w:rPr>
                      <w:rFonts w:ascii="Cambria Math" w:hAnsi="Cambria Math"/>
                      <w:strike w:val="0"/>
                      <w:u w:val="single"/>
                      <w:vertAlign w:val="superscript"/>
                      <w:lang w:val="en-US"/>
                    </w:rPr>
                    <m:t>2</m:t>
                  </m:r>
                </m:sup>
              </m:sSup>
              <m:r>
                <w:rPr>
                  <w:rFonts w:ascii="Cambria Math" w:hAnsi="Cambria Math"/>
                  <w:strike w:val="0"/>
                  <w:u w:val="single"/>
                  <w:lang w:val="en-US"/>
                </w:rPr>
                <m:t>×[(p1​</m:t>
              </m:r>
              <m:d>
                <m:dPr>
                  <m:ctrlPr>
                    <w:rPr>
                      <w:rFonts w:ascii="Cambria Math" w:hAnsi="Cambria Math"/>
                      <w:i/>
                      <w:strike w:val="0"/>
                      <w:u w:val="single"/>
                      <w:lang w:val="en-US"/>
                    </w:rPr>
                  </m:ctrlPr>
                </m:dPr>
                <m:e>
                  <m:r>
                    <w:rPr>
                      <w:rFonts w:ascii="Cambria Math" w:hAnsi="Cambria Math"/>
                      <w:strike w:val="0"/>
                      <w:u w:val="single"/>
                      <w:lang w:val="en-US"/>
                    </w:rPr>
                    <m:t>1-p1​</m:t>
                  </m:r>
                </m:e>
              </m:d>
              <m:r>
                <w:rPr>
                  <w:rFonts w:ascii="Cambria Math" w:hAnsi="Cambria Math"/>
                  <w:strike w:val="0"/>
                  <w:u w:val="single"/>
                  <w:lang w:val="en-US"/>
                </w:rPr>
                <m:t>+p2​</m:t>
              </m:r>
              <m:d>
                <m:dPr>
                  <m:ctrlPr>
                    <w:rPr>
                      <w:rFonts w:ascii="Cambria Math" w:hAnsi="Cambria Math"/>
                      <w:i/>
                      <w:strike w:val="0"/>
                      <w:u w:val="single"/>
                      <w:lang w:val="en-US"/>
                    </w:rPr>
                  </m:ctrlPr>
                </m:dPr>
                <m:e>
                  <m:r>
                    <w:rPr>
                      <w:rFonts w:ascii="Cambria Math" w:hAnsi="Cambria Math"/>
                      <w:strike w:val="0"/>
                      <w:u w:val="single"/>
                      <w:lang w:val="en-US"/>
                    </w:rPr>
                    <m:t>1-p2​</m:t>
                  </m:r>
                </m:e>
              </m:d>
              <m:r>
                <w:rPr>
                  <w:rFonts w:ascii="Cambria Math" w:hAnsi="Cambria Math"/>
                  <w:strike w:val="0"/>
                  <w:u w:val="single"/>
                  <w:lang w:val="en-US"/>
                </w:rPr>
                <m:t>]</m:t>
              </m:r>
            </m:num>
            <m:den>
              <m:sSup>
                <m:sSupPr>
                  <m:ctrlPr>
                    <w:rPr>
                      <w:rFonts w:ascii="Cambria Math" w:hAnsi="Cambria Math"/>
                      <w:bCs/>
                      <w:i/>
                      <w:iCs/>
                      <w:strike w:val="0"/>
                      <w:lang w:val="en-US"/>
                    </w:rPr>
                  </m:ctrlPr>
                </m:sSupPr>
                <m:e>
                  <m:r>
                    <w:rPr>
                      <w:rFonts w:ascii="Cambria Math" w:hAnsi="Cambria Math"/>
                      <w:strike w:val="0"/>
                      <w:lang w:val="en-US"/>
                    </w:rPr>
                    <m:t>(p1​-p2​)</m:t>
                  </m:r>
                </m:e>
                <m:sup>
                  <m:r>
                    <w:rPr>
                      <w:rFonts w:ascii="Cambria Math" w:hAnsi="Cambria Math"/>
                      <w:strike w:val="0"/>
                      <w:vertAlign w:val="superscript"/>
                      <w:lang w:val="en-US"/>
                    </w:rPr>
                    <m:t>2</m:t>
                  </m:r>
                </m:sup>
              </m:sSup>
            </m:den>
          </m:f>
        </m:oMath>
      </m:oMathPara>
    </w:p>
    <w:p w14:paraId="69A1713C" w14:textId="77777777" w:rsidR="00786236" w:rsidRPr="00786236" w:rsidRDefault="00786236" w:rsidP="00786236">
      <w:pPr>
        <w:rPr>
          <w:strike w:val="0"/>
          <w:lang w:val="en-US"/>
        </w:rPr>
      </w:pPr>
      <w:r w:rsidRPr="00786236">
        <w:rPr>
          <w:strike w:val="0"/>
          <w:lang w:val="en-US"/>
        </w:rPr>
        <w:t xml:space="preserve">Where n = minimum sample size. </w:t>
      </w:r>
    </w:p>
    <w:p w14:paraId="7181E8E7" w14:textId="77777777" w:rsidR="00786236" w:rsidRPr="00786236" w:rsidRDefault="00786236" w:rsidP="00786236">
      <w:pPr>
        <w:rPr>
          <w:strike w:val="0"/>
          <w:lang w:val="en-US"/>
        </w:rPr>
      </w:pPr>
      <w:r w:rsidRPr="00786236">
        <w:rPr>
          <w:strike w:val="0"/>
          <w:lang w:val="en-US"/>
        </w:rPr>
        <w:t>Z α/2 = Critical value at 95% confidence interval=1.96.</w:t>
      </w:r>
    </w:p>
    <w:p w14:paraId="1FD0EB84" w14:textId="77777777" w:rsidR="00786236" w:rsidRPr="00786236" w:rsidRDefault="00786236" w:rsidP="00786236">
      <w:pPr>
        <w:rPr>
          <w:strike w:val="0"/>
          <w:lang w:val="en-US"/>
        </w:rPr>
      </w:pPr>
      <w:r w:rsidRPr="00786236">
        <w:rPr>
          <w:strike w:val="0"/>
          <w:lang w:val="en-US"/>
        </w:rPr>
        <w:t>Z β = For a power of 80%, and Critical value=0.84.</w:t>
      </w:r>
    </w:p>
    <w:p w14:paraId="2CE7FBB3" w14:textId="77777777" w:rsidR="00786236" w:rsidRPr="00786236" w:rsidRDefault="00786236" w:rsidP="00786236">
      <w:pPr>
        <w:rPr>
          <w:strike w:val="0"/>
          <w:lang w:val="en-US"/>
        </w:rPr>
      </w:pPr>
      <w:r w:rsidRPr="00786236">
        <w:rPr>
          <w:strike w:val="0"/>
          <w:lang w:val="en-US"/>
        </w:rPr>
        <w:lastRenderedPageBreak/>
        <w:t>(</w:t>
      </w:r>
      <w:r w:rsidRPr="00786236">
        <w:rPr>
          <w:rFonts w:ascii="Cambria Math" w:hAnsi="Cambria Math" w:cs="Cambria Math"/>
          <w:strike w:val="0"/>
          <w:lang w:val="en-US"/>
        </w:rPr>
        <w:t>𝑝</w:t>
      </w:r>
      <w:r w:rsidRPr="00786236">
        <w:rPr>
          <w:strike w:val="0"/>
          <w:lang w:val="en-US"/>
        </w:rPr>
        <w:t xml:space="preserve"> 1 − </w:t>
      </w:r>
      <w:r w:rsidRPr="00786236">
        <w:rPr>
          <w:rFonts w:ascii="Cambria Math" w:hAnsi="Cambria Math" w:cs="Cambria Math"/>
          <w:strike w:val="0"/>
          <w:lang w:val="en-US"/>
        </w:rPr>
        <w:t>𝑝</w:t>
      </w:r>
      <w:r w:rsidRPr="00786236">
        <w:rPr>
          <w:strike w:val="0"/>
          <w:lang w:val="en-US"/>
        </w:rPr>
        <w:t xml:space="preserve"> 2) (p 1 −p 2) = the minimum meaningful difference to detect.</w:t>
      </w:r>
    </w:p>
    <w:p w14:paraId="1920457E" w14:textId="77777777" w:rsidR="00A25850" w:rsidRPr="00A25850" w:rsidRDefault="00A25850" w:rsidP="00A25850">
      <w:pPr>
        <w:rPr>
          <w:strike w:val="0"/>
          <w:lang w:val="en-US"/>
        </w:rPr>
      </w:pPr>
      <w:r w:rsidRPr="00A25850">
        <w:rPr>
          <w:strike w:val="0"/>
          <w:lang w:val="en-US"/>
        </w:rPr>
        <w:t>Assuming P1=53% (UNICEF, 2017), and an assumption to detect a change of 15% (68% fully vaccinated children at post-intervention),</w:t>
      </w:r>
    </w:p>
    <w:p w14:paraId="0616A07C" w14:textId="77777777" w:rsidR="00A25850" w:rsidRPr="00A25850" w:rsidRDefault="00A25850" w:rsidP="00A25850">
      <w:pPr>
        <w:rPr>
          <w:strike w:val="0"/>
          <w:lang w:val="en-US"/>
        </w:rPr>
      </w:pPr>
      <w:r w:rsidRPr="00A25850">
        <w:rPr>
          <w:strike w:val="0"/>
          <w:lang w:val="en-US"/>
        </w:rPr>
        <w:t xml:space="preserve">N= </w:t>
      </w:r>
      <w:r w:rsidRPr="00A25850">
        <w:rPr>
          <w:strike w:val="0"/>
          <w:u w:val="single"/>
          <w:lang w:val="en-US"/>
        </w:rPr>
        <w:t xml:space="preserve">(1.96+0.84) </w:t>
      </w:r>
      <w:r w:rsidRPr="00A25850">
        <w:rPr>
          <w:strike w:val="0"/>
          <w:u w:val="single"/>
          <w:vertAlign w:val="superscript"/>
          <w:lang w:val="en-US"/>
        </w:rPr>
        <w:t>2</w:t>
      </w:r>
      <w:r w:rsidRPr="00A25850">
        <w:rPr>
          <w:strike w:val="0"/>
          <w:u w:val="single"/>
          <w:lang w:val="en-US"/>
        </w:rPr>
        <w:t xml:space="preserve"> х (0.53 х 0.47 + 0.68 х 0.32)</w:t>
      </w:r>
    </w:p>
    <w:p w14:paraId="2D1760E2" w14:textId="09D90CCC" w:rsidR="00A25850" w:rsidRPr="00A25850" w:rsidRDefault="00A25850" w:rsidP="00A25850">
      <w:pPr>
        <w:rPr>
          <w:strike w:val="0"/>
          <w:lang w:val="en-US"/>
        </w:rPr>
      </w:pPr>
      <w:r w:rsidRPr="00A25850">
        <w:rPr>
          <w:strike w:val="0"/>
          <w:lang w:val="en-US"/>
        </w:rPr>
        <w:t xml:space="preserve">             </w:t>
      </w:r>
      <w:r w:rsidR="00F934A3">
        <w:rPr>
          <w:strike w:val="0"/>
          <w:lang w:val="en-US"/>
        </w:rPr>
        <w:t xml:space="preserve">       </w:t>
      </w:r>
      <w:r w:rsidRPr="00A25850">
        <w:rPr>
          <w:strike w:val="0"/>
          <w:lang w:val="en-US"/>
        </w:rPr>
        <w:t xml:space="preserve">(0.53-0.68) </w:t>
      </w:r>
      <w:r w:rsidRPr="00A25850">
        <w:rPr>
          <w:strike w:val="0"/>
          <w:vertAlign w:val="superscript"/>
          <w:lang w:val="en-US"/>
        </w:rPr>
        <w:t xml:space="preserve">2  </w:t>
      </w:r>
      <w:r w:rsidRPr="00A25850">
        <w:rPr>
          <w:strike w:val="0"/>
          <w:lang w:val="en-US"/>
        </w:rPr>
        <w:t xml:space="preserve">                                         =163. </w:t>
      </w:r>
    </w:p>
    <w:p w14:paraId="74EC7B8A" w14:textId="77777777" w:rsidR="00A25850" w:rsidRPr="00A25850" w:rsidRDefault="00A25850" w:rsidP="00A25850">
      <w:pPr>
        <w:rPr>
          <w:strike w:val="0"/>
          <w:lang w:val="en-US"/>
        </w:rPr>
      </w:pPr>
    </w:p>
    <w:p w14:paraId="1F55019D" w14:textId="20147E69" w:rsidR="00A25850" w:rsidRPr="00A25850" w:rsidRDefault="00A25850" w:rsidP="00A25850">
      <w:pPr>
        <w:rPr>
          <w:strike w:val="0"/>
          <w:lang w:val="en-US"/>
        </w:rPr>
      </w:pPr>
      <w:r w:rsidRPr="00A25850">
        <w:rPr>
          <w:strike w:val="0"/>
          <w:lang w:val="en-US"/>
        </w:rPr>
        <w:t xml:space="preserve">Assuming a non-response rate of 10%, the total sample size will be </w:t>
      </w:r>
      <w:r w:rsidR="00806E39">
        <w:rPr>
          <w:strike w:val="0"/>
          <w:lang w:val="en-US"/>
        </w:rPr>
        <w:t>163/0.9= 181.</w:t>
      </w:r>
      <w:r w:rsidRPr="00A25850">
        <w:rPr>
          <w:strike w:val="0"/>
          <w:lang w:val="en-US"/>
        </w:rPr>
        <w:t xml:space="preserve">                                                                                                         </w:t>
      </w:r>
    </w:p>
    <w:p w14:paraId="1B2B9E55" w14:textId="77777777" w:rsidR="00A25850" w:rsidRPr="00A25850" w:rsidRDefault="00A25850" w:rsidP="00A25850">
      <w:pPr>
        <w:rPr>
          <w:strike w:val="0"/>
          <w:lang w:val="en-US"/>
        </w:rPr>
      </w:pPr>
      <w:r w:rsidRPr="00A25850">
        <w:rPr>
          <w:strike w:val="0"/>
          <w:lang w:val="en-US"/>
        </w:rPr>
        <w:t>But 184 caregivers were used for each LGA to give a total of 368 caregivers for the 2 LGAS.</w:t>
      </w:r>
    </w:p>
    <w:p w14:paraId="2176C90A" w14:textId="77777777" w:rsidR="008071AF" w:rsidRPr="008071AF" w:rsidRDefault="008071AF" w:rsidP="008071AF">
      <w:pPr>
        <w:rPr>
          <w:b/>
          <w:bCs/>
          <w:strike w:val="0"/>
        </w:rPr>
      </w:pPr>
      <w:r w:rsidRPr="008071AF">
        <w:rPr>
          <w:b/>
          <w:bCs/>
          <w:strike w:val="0"/>
        </w:rPr>
        <w:t>Sampling Technique</w:t>
      </w:r>
    </w:p>
    <w:p w14:paraId="45845DF6" w14:textId="1302B791" w:rsidR="00D12BA5" w:rsidRDefault="008071AF" w:rsidP="00754530">
      <w:pPr>
        <w:rPr>
          <w:strike w:val="0"/>
          <w:lang w:val="en-US"/>
        </w:rPr>
      </w:pPr>
      <w:r w:rsidRPr="008071AF">
        <w:rPr>
          <w:strike w:val="0"/>
        </w:rPr>
        <w:t xml:space="preserve">A </w:t>
      </w:r>
      <w:r w:rsidRPr="00455BE8">
        <w:rPr>
          <w:strike w:val="0"/>
        </w:rPr>
        <w:t>multistage sampling technique</w:t>
      </w:r>
      <w:r w:rsidRPr="008071AF">
        <w:rPr>
          <w:strike w:val="0"/>
        </w:rPr>
        <w:t xml:space="preserve"> was used to select study participants. </w:t>
      </w:r>
      <w:r w:rsidR="00D12BA5" w:rsidRPr="00D12BA5">
        <w:rPr>
          <w:strike w:val="0"/>
        </w:rPr>
        <w:t>First, two rural Local Government Areas were selected from Rivers State. Within each selected Local Government Area, primary healthcare centres providing routine immunization services were identified. Eligible caregivers attending the selected health facilities were recruited consecutively until the required sample size was achieved.</w:t>
      </w:r>
    </w:p>
    <w:p w14:paraId="65BFC437" w14:textId="77777777" w:rsidR="00D12BA5" w:rsidRPr="00D12BA5" w:rsidRDefault="00D12BA5" w:rsidP="00D12BA5">
      <w:pPr>
        <w:rPr>
          <w:b/>
          <w:bCs/>
          <w:strike w:val="0"/>
        </w:rPr>
      </w:pPr>
      <w:r w:rsidRPr="00D12BA5">
        <w:rPr>
          <w:b/>
          <w:bCs/>
          <w:strike w:val="0"/>
        </w:rPr>
        <w:t>Randomization</w:t>
      </w:r>
    </w:p>
    <w:p w14:paraId="08D7708A" w14:textId="2DA58059" w:rsidR="00D12BA5" w:rsidRPr="00D12BA5" w:rsidRDefault="00D12BA5" w:rsidP="00D12BA5">
      <w:pPr>
        <w:rPr>
          <w:strike w:val="0"/>
        </w:rPr>
      </w:pPr>
      <w:r w:rsidRPr="00D12BA5">
        <w:rPr>
          <w:strike w:val="0"/>
        </w:rPr>
        <w:t xml:space="preserve">Eligible participants were randomly assigned to either the intervention group or </w:t>
      </w:r>
      <w:r w:rsidR="00F25E34">
        <w:rPr>
          <w:strike w:val="0"/>
        </w:rPr>
        <w:t xml:space="preserve">the </w:t>
      </w:r>
      <w:r w:rsidRPr="00D12BA5">
        <w:rPr>
          <w:strike w:val="0"/>
        </w:rPr>
        <w:t>control group using a computer-generated random allocation sequence.</w:t>
      </w:r>
    </w:p>
    <w:p w14:paraId="69292511" w14:textId="31DCF79F" w:rsidR="00A046E5" w:rsidRPr="00F477ED" w:rsidRDefault="00A517FF" w:rsidP="00A046E5">
      <w:pPr>
        <w:rPr>
          <w:strike w:val="0"/>
        </w:rPr>
      </w:pPr>
      <w:r>
        <w:rPr>
          <w:strike w:val="0"/>
        </w:rPr>
        <w:t>Randomi</w:t>
      </w:r>
      <w:r w:rsidR="00F25E34">
        <w:rPr>
          <w:strike w:val="0"/>
        </w:rPr>
        <w:t>z</w:t>
      </w:r>
      <w:r>
        <w:rPr>
          <w:strike w:val="0"/>
        </w:rPr>
        <w:t>ation was conducted using simple randomi</w:t>
      </w:r>
      <w:r w:rsidR="00F25E34">
        <w:rPr>
          <w:strike w:val="0"/>
        </w:rPr>
        <w:t>z</w:t>
      </w:r>
      <w:r>
        <w:rPr>
          <w:strike w:val="0"/>
        </w:rPr>
        <w:t>ation</w:t>
      </w:r>
      <w:r w:rsidR="00D12BA5" w:rsidRPr="00D12BA5">
        <w:rPr>
          <w:strike w:val="0"/>
        </w:rPr>
        <w:t xml:space="preserve"> with a 1:1 allocation ratio. The allocation sequence was generated </w:t>
      </w:r>
      <w:r w:rsidR="003123E4">
        <w:rPr>
          <w:strike w:val="0"/>
        </w:rPr>
        <w:t>before</w:t>
      </w:r>
      <w:r w:rsidR="00D12BA5" w:rsidRPr="00D12BA5">
        <w:rPr>
          <w:strike w:val="0"/>
        </w:rPr>
        <w:t xml:space="preserve"> participant recruitment by a member of the research team who was not involved in participant enrollment.</w:t>
      </w:r>
    </w:p>
    <w:p w14:paraId="4AA367BC" w14:textId="2D3F1C30" w:rsidR="00A046E5" w:rsidRPr="00A046E5" w:rsidRDefault="00A046E5" w:rsidP="00A046E5">
      <w:pPr>
        <w:rPr>
          <w:b/>
          <w:bCs/>
          <w:strike w:val="0"/>
        </w:rPr>
      </w:pPr>
      <w:r w:rsidRPr="00A046E5">
        <w:rPr>
          <w:b/>
          <w:bCs/>
          <w:strike w:val="0"/>
        </w:rPr>
        <w:t>Allocation Concealment</w:t>
      </w:r>
    </w:p>
    <w:p w14:paraId="79CF7E52" w14:textId="48F292FB" w:rsidR="00A046E5" w:rsidRPr="00A046E5" w:rsidRDefault="00A046E5" w:rsidP="00A046E5">
      <w:pPr>
        <w:rPr>
          <w:strike w:val="0"/>
        </w:rPr>
      </w:pPr>
      <w:r w:rsidRPr="00A046E5">
        <w:rPr>
          <w:strike w:val="0"/>
        </w:rPr>
        <w:t xml:space="preserve">Allocation concealment was ensured using sequentially numbered, opaque, sealed envelopes (SNOSE) containing the group assignments. Each envelope was opened only after a participant had been enrolled </w:t>
      </w:r>
      <w:r w:rsidR="00A517FF">
        <w:rPr>
          <w:strike w:val="0"/>
        </w:rPr>
        <w:t>on</w:t>
      </w:r>
      <w:r w:rsidRPr="00A046E5">
        <w:rPr>
          <w:strike w:val="0"/>
        </w:rPr>
        <w:t xml:space="preserve"> the study to prevent selection bias.</w:t>
      </w:r>
    </w:p>
    <w:p w14:paraId="5ED5A85C" w14:textId="77777777" w:rsidR="00A046E5" w:rsidRPr="00A046E5" w:rsidRDefault="00A046E5" w:rsidP="00A046E5">
      <w:pPr>
        <w:rPr>
          <w:b/>
          <w:bCs/>
          <w:strike w:val="0"/>
        </w:rPr>
      </w:pPr>
      <w:r w:rsidRPr="00A046E5">
        <w:rPr>
          <w:b/>
          <w:bCs/>
          <w:strike w:val="0"/>
        </w:rPr>
        <w:t>Blinding</w:t>
      </w:r>
    </w:p>
    <w:p w14:paraId="09143B21" w14:textId="101708A9" w:rsidR="00D12BA5" w:rsidRDefault="00A046E5" w:rsidP="00754530">
      <w:pPr>
        <w:rPr>
          <w:strike w:val="0"/>
        </w:rPr>
      </w:pPr>
      <w:r w:rsidRPr="00A046E5">
        <w:rPr>
          <w:strike w:val="0"/>
        </w:rPr>
        <w:t xml:space="preserve">Due to the nature of the </w:t>
      </w:r>
      <w:r w:rsidR="00A517FF">
        <w:rPr>
          <w:strike w:val="0"/>
        </w:rPr>
        <w:t>behavioral</w:t>
      </w:r>
      <w:r w:rsidRPr="00A046E5">
        <w:rPr>
          <w:strike w:val="0"/>
        </w:rPr>
        <w:t xml:space="preserve"> intervention, blinding of participants and intervention providers was not feasible. However, efforts were made to </w:t>
      </w:r>
      <w:r w:rsidR="00A517FF">
        <w:rPr>
          <w:strike w:val="0"/>
        </w:rPr>
        <w:t>minimi</w:t>
      </w:r>
      <w:r w:rsidR="00F25E34">
        <w:rPr>
          <w:strike w:val="0"/>
        </w:rPr>
        <w:t>z</w:t>
      </w:r>
      <w:r w:rsidR="00A517FF">
        <w:rPr>
          <w:strike w:val="0"/>
        </w:rPr>
        <w:t>e</w:t>
      </w:r>
      <w:r w:rsidRPr="00A046E5">
        <w:rPr>
          <w:strike w:val="0"/>
        </w:rPr>
        <w:t xml:space="preserve"> bias by ensuring that data analysts were blinded to group allocation during statistical analysis.</w:t>
      </w:r>
    </w:p>
    <w:p w14:paraId="7AE0EEE8" w14:textId="77777777" w:rsidR="00F477ED" w:rsidRDefault="00F477ED" w:rsidP="00754530">
      <w:pPr>
        <w:rPr>
          <w:strike w:val="0"/>
        </w:rPr>
      </w:pPr>
    </w:p>
    <w:p w14:paraId="2F3E74A8" w14:textId="77777777" w:rsidR="00F477ED" w:rsidRDefault="00F477ED" w:rsidP="00754530">
      <w:pPr>
        <w:rPr>
          <w:strike w:val="0"/>
        </w:rPr>
      </w:pPr>
    </w:p>
    <w:p w14:paraId="5B05B066" w14:textId="77777777" w:rsidR="00F477ED" w:rsidRDefault="00F477ED" w:rsidP="00754530">
      <w:pPr>
        <w:rPr>
          <w:strike w:val="0"/>
        </w:rPr>
      </w:pPr>
    </w:p>
    <w:p w14:paraId="1FE85E2E" w14:textId="77777777" w:rsidR="00F477ED" w:rsidRPr="00F477ED" w:rsidRDefault="00F477ED" w:rsidP="00754530">
      <w:pPr>
        <w:rPr>
          <w:strike w:val="0"/>
        </w:rPr>
      </w:pPr>
    </w:p>
    <w:p w14:paraId="23FEE323" w14:textId="164109E4" w:rsidR="001A2A2F" w:rsidRPr="001A2A2F" w:rsidRDefault="001A49B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79744" behindDoc="0" locked="0" layoutInCell="1" allowOverlap="1" wp14:anchorId="7180C493" wp14:editId="20ADD059">
                <wp:simplePos x="0" y="0"/>
                <wp:positionH relativeFrom="column">
                  <wp:posOffset>-292100</wp:posOffset>
                </wp:positionH>
                <wp:positionV relativeFrom="paragraph">
                  <wp:posOffset>316865</wp:posOffset>
                </wp:positionV>
                <wp:extent cx="1676400" cy="482600"/>
                <wp:effectExtent l="0" t="0" r="19050" b="1270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82600"/>
                        </a:xfrm>
                        <a:prstGeom prst="roundRect">
                          <a:avLst>
                            <a:gd name="adj" fmla="val 16667"/>
                          </a:avLst>
                        </a:prstGeom>
                        <a:solidFill>
                          <a:srgbClr val="A9C7FD"/>
                        </a:solidFill>
                        <a:ln w="9525">
                          <a:solidFill>
                            <a:sysClr val="window" lastClr="FFFFFF"/>
                          </a:solidFill>
                          <a:round/>
                          <a:headEnd/>
                          <a:tailEnd/>
                        </a:ln>
                      </wps:spPr>
                      <wps:txbx>
                        <w:txbxContent>
                          <w:p w14:paraId="7CD1100A"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r w:rsidRPr="001A2A2F">
                              <w:rPr>
                                <w:rFonts w:ascii="Times New Roman" w:hAnsi="Times New Roman" w:cs="Times New Roman"/>
                                <w:strike w:val="0"/>
                                <w:color w:val="000000"/>
                                <w:sz w:val="24"/>
                                <w:szCs w:val="24"/>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0C493" id="Rectangle: Rounded Corners 23" o:spid="_x0000_s1026" style="position:absolute;left:0;text-align:left;margin-left:-23pt;margin-top:24.95pt;width:132pt;height: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qDTQIAAI4EAAAOAAAAZHJzL2Uyb0RvYy54bWysVFFv0zAQfkfiP1h+Z2nLlm5R02nqKEIa&#10;MG3wA1zbaQyOz5zdpuXXc3azrgOeEHmw7uy7z/fd58vsetdZttUYDLiaj89GnGknQRm3rvnXL8s3&#10;l5yFKJwSFpyu+V4Hfj1//WrW+0pPoAWrNDICcaHqfc3bGH1VFEG2uhPhDLx2dNgAdiKSi+tCoegJ&#10;vbPFZDQqix5QeQSpQ6Dd28Mhn2f8ptEyfm6aoCOzNafaYl4xr6u0FvOZqNYofGvkUIb4hyo6YRxd&#10;eoS6FVGwDZo/oDojEQI08UxCV0DTGKkzB2IzHv3G5rEVXmcu1Jzgj20K/w9WftreIzOq5pO3nDnR&#10;kUYP1DXh1lZX7AE2TmnFFoCORGYURB3rfago8dHfY+Ic/B3I74E5WLSUp28QoW+1UFTnOMUXLxKS&#10;EyiVrfqPoOg+sYmQm7drsEuA1Ba2yxrtjxrpXWSSNsfltDwfkZSSzs4vJyXZ6QpRPWV7DPG9ho4l&#10;o+aYKCRK+QqxvQsxC6UGtkJ946zpLMm+FZaNy7KcDohDMGE/YWa6YI1aGmuzg+vVwiKj1JrfXC2m&#10;y9shOZyGWcf6ml9dTC5yFS/Owj4cEehlK+g5syJE2qz5Mn9/g8y88vNNrX7nVLajMPZgU9XWDb1P&#10;7T7IFnerHQUmDVag9qQCwmEoaIjJaAF/ctbTQNQ8/NgI1FTMB0dKnl9MJ2mCTh08dVanjnCSoGoe&#10;OTuYi3iYuo1Hs27ppnHuhIMbUr8xMWn4XNXg0KPP0g4Dmqbq1M9Rz7+R+S8AAAD//wMAUEsDBBQA&#10;BgAIAAAAIQDqlFLv4QAAAAoBAAAPAAAAZHJzL2Rvd25yZXYueG1sTI/BSsQwEIbvgu8QRvCy7KZb&#10;amm7TRcRxBVBsIrnbDNpyzZJbdLd+vaOJz3OzMc/31/uFzOwM06+d1bAdhMBQ9s41dtWwMf74zoD&#10;5oO0Sg7OooBv9LCvrq9KWSh3sW94rkPLKMT6QgroQhgLzn3ToZF+40a0dNNuMjLQOLVcTfJC4Wbg&#10;cRSl3Mje0odOjvjQYXOqZyNAj69fT/Vz+rLS8yfqw2Gls2QW4vZmud8BC7iEPxh+9UkdKnI6utkq&#10;zwYB6ySlLkFAkufACIi3GS2ORMZ3OfCq5P8rVD8AAAD//wMAUEsBAi0AFAAGAAgAAAAhALaDOJL+&#10;AAAA4QEAABMAAAAAAAAAAAAAAAAAAAAAAFtDb250ZW50X1R5cGVzXS54bWxQSwECLQAUAAYACAAA&#10;ACEAOP0h/9YAAACUAQAACwAAAAAAAAAAAAAAAAAvAQAAX3JlbHMvLnJlbHNQSwECLQAUAAYACAAA&#10;ACEA7j9ag00CAACOBAAADgAAAAAAAAAAAAAAAAAuAgAAZHJzL2Uyb0RvYy54bWxQSwECLQAUAAYA&#10;CAAAACEA6pRS7+EAAAAKAQAADwAAAAAAAAAAAAAAAACnBAAAZHJzL2Rvd25yZXYueG1sUEsFBgAA&#10;AAAEAAQA8wAAALUFAAAAAA==&#10;" fillcolor="#a9c7fd" strokecolor="window">
                <v:textbox inset="3.6pt,,3.6pt">
                  <w:txbxContent>
                    <w:p w14:paraId="7CD1100A"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r w:rsidRPr="001A2A2F">
                        <w:rPr>
                          <w:rFonts w:ascii="Times New Roman" w:hAnsi="Times New Roman" w:cs="Times New Roman"/>
                          <w:strike w:val="0"/>
                          <w:color w:val="000000"/>
                          <w:sz w:val="24"/>
                          <w:szCs w:val="24"/>
                        </w:rPr>
                        <w:t>Enrollment</w:t>
                      </w:r>
                    </w:p>
                  </w:txbxContent>
                </v:textbox>
              </v:roundrect>
            </w:pict>
          </mc:Fallback>
        </mc:AlternateContent>
      </w:r>
      <w:r w:rsidR="001A2A2F" w:rsidRPr="001A2A2F">
        <w:rPr>
          <w:rFonts w:eastAsia="Calibri"/>
          <w:b/>
          <w:strike w:val="0"/>
          <w:noProof/>
          <w:lang w:val="en-US" w:eastAsia="en-US"/>
        </w:rPr>
        <mc:AlternateContent>
          <mc:Choice Requires="wps">
            <w:drawing>
              <wp:anchor distT="0" distB="0" distL="114300" distR="114300" simplePos="0" relativeHeight="251659264" behindDoc="0" locked="0" layoutInCell="1" allowOverlap="1" wp14:anchorId="11B285D1" wp14:editId="4E9F33AF">
                <wp:simplePos x="0" y="0"/>
                <wp:positionH relativeFrom="column">
                  <wp:posOffset>2000250</wp:posOffset>
                </wp:positionH>
                <wp:positionV relativeFrom="paragraph">
                  <wp:posOffset>227965</wp:posOffset>
                </wp:positionV>
                <wp:extent cx="1737995" cy="641350"/>
                <wp:effectExtent l="0" t="0" r="14605" b="254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7995" cy="641350"/>
                        </a:xfrm>
                        <a:prstGeom prst="rect">
                          <a:avLst/>
                        </a:prstGeom>
                        <a:solidFill>
                          <a:srgbClr val="FFFFFF"/>
                        </a:solidFill>
                        <a:ln w="9525">
                          <a:solidFill>
                            <a:srgbClr val="000000"/>
                          </a:solidFill>
                          <a:miter lim="800000"/>
                          <a:headEnd/>
                          <a:tailEnd/>
                        </a:ln>
                      </wps:spPr>
                      <wps:txbx>
                        <w:txbxContent>
                          <w:p w14:paraId="6A86CA22" w14:textId="77777777" w:rsidR="001A2A2F" w:rsidRPr="001A2A2F" w:rsidRDefault="001A2A2F" w:rsidP="001A2A2F">
                            <w:pPr>
                              <w:jc w:val="center"/>
                              <w:rPr>
                                <w:strike w:val="0"/>
                              </w:rPr>
                            </w:pPr>
                            <w:r w:rsidRPr="001A2A2F">
                              <w:rPr>
                                <w:strike w:val="0"/>
                                <w:lang w:val="en-CA"/>
                              </w:rPr>
                              <w:t>Assessed for eligibility (n=837)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285D1" id="Rectangle 25" o:spid="_x0000_s1027" style="position:absolute;left:0;text-align:left;margin-left:157.5pt;margin-top:17.95pt;width:136.85pt;height:5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D8KAIAAFoEAAAOAAAAZHJzL2Uyb0RvYy54bWysVE2P0zAQvSPxHyzfaZpuu7uNmq5WXYqQ&#10;FlixwN1xnMTCX4zdJuXXM3aqtnyIAyIHy2PPPM+8N5PV3aAV2Qvw0pqS5pMpJcJwW0vTlvTzp+2r&#10;W0p8YKZmyhpR0oPw9G798sWqd4WY2c6qWgBBEOOL3pW0C8EVWeZ5JzTzE+uEwcvGgmYBTWizGliP&#10;6Fpls+n0Oust1A4sF97j6cN4SdcJv2kEDx+axotAVEkxt5BWSGsV12y9YkULzHWSH9Ng/5CFZtLg&#10;oyeoBxYY2YH8DUpLDtbbJky41ZltGslFqgGryae/VPPcMSdSLUiOdyea/P+D5e/3T0BkXdLZghLD&#10;NGr0EVljplWC4BkS1DtfoN+ze4JYonePln/1xNhNh27iHsD2nWA1ppVH/+yngGh4DCVV/87WCM92&#10;wSauhgY0aZR0X2JghEY+yJDEOZzEEUMgHA/zm6ub5RKT5Hh3Pc+vFkm9jBURJ0Y78OGNsJrETUkB&#10;y0iobP/oQ8zr7JLqsErWW6lUMqCtNgrInmGjbNOXSsFyL92UIX1Jlwsk5u8Q0/T9CULLgB2vpC7p&#10;7cmJFZHA16ZO/RiYVOMeU1bmyGgkcRQjDNWQNEt0R4IrWx+QYrBjg+NA4qaz8J2SHpu7pP7bjoGg&#10;RL01KNMyn8/jNFwacGlUlwYzHKFKGigZt5swTtDOgWw7fGlUz9h7lLaRietzVsf0sYGTBMdhixNy&#10;aSev8y9h/QMAAP//AwBQSwMEFAAGAAgAAAAhAHZxfbXhAAAACgEAAA8AAABkcnMvZG93bnJldi54&#10;bWxMj8FKw0AQhu+C77CM4M1u2pq6jdkUEQQvpdhWwds2mWaD2dmQ3bTp2zs96W2G+fjn+/PV6Fpx&#10;wj40njRMJwkIpNJXDdUa9ru3BwUiREOVaT2hhgsGWBW3N7nJKn+mDzxtYy04hEJmNNgYu0zKUFp0&#10;Jkx8h8S3o++dibz2tax6c+Zw18pZkiykMw3xB2s6fLVY/mwHp+Fbzez7186roQuPn+uSjvvLZqP1&#10;/d348gwi4hj/YLjqszoU7HTwA1VBtBrm05S7RB7SJQgGUqWeQByYnC+WIItc/q9Q/AIAAP//AwBQ&#10;SwECLQAUAAYACAAAACEAtoM4kv4AAADhAQAAEwAAAAAAAAAAAAAAAAAAAAAAW0NvbnRlbnRfVHlw&#10;ZXNdLnhtbFBLAQItABQABgAIAAAAIQA4/SH/1gAAAJQBAAALAAAAAAAAAAAAAAAAAC8BAABfcmVs&#10;cy8ucmVsc1BLAQItABQABgAIAAAAIQAjf6D8KAIAAFoEAAAOAAAAAAAAAAAAAAAAAC4CAABkcnMv&#10;ZTJvRG9jLnhtbFBLAQItABQABgAIAAAAIQB2cX214QAAAAoBAAAPAAAAAAAAAAAAAAAAAIIEAABk&#10;cnMvZG93bnJldi54bWxQSwUGAAAAAAQABADzAAAAkAUAAAAA&#10;">
                <v:textbox inset=",7.2pt,,7.2pt">
                  <w:txbxContent>
                    <w:p w14:paraId="6A86CA22" w14:textId="77777777" w:rsidR="001A2A2F" w:rsidRPr="001A2A2F" w:rsidRDefault="001A2A2F" w:rsidP="001A2A2F">
                      <w:pPr>
                        <w:jc w:val="center"/>
                        <w:rPr>
                          <w:strike w:val="0"/>
                        </w:rPr>
                      </w:pPr>
                      <w:r w:rsidRPr="001A2A2F">
                        <w:rPr>
                          <w:strike w:val="0"/>
                          <w:lang w:val="en-CA"/>
                        </w:rPr>
                        <w:t>Assessed for eligibility (n=837)</w:t>
                      </w:r>
                    </w:p>
                  </w:txbxContent>
                </v:textbox>
              </v:rect>
            </w:pict>
          </mc:Fallback>
        </mc:AlternateContent>
      </w:r>
    </w:p>
    <w:p w14:paraId="045C8644" w14:textId="7E5ECF3B" w:rsidR="001A2A2F" w:rsidRPr="001A2A2F" w:rsidRDefault="001A2A2F" w:rsidP="001A2A2F">
      <w:pPr>
        <w:spacing w:line="240" w:lineRule="auto"/>
        <w:jc w:val="both"/>
        <w:rPr>
          <w:rFonts w:eastAsia="Calibri"/>
          <w:b/>
          <w:strike w:val="0"/>
          <w:lang w:val="en-US" w:eastAsia="en-US"/>
        </w:rPr>
      </w:pPr>
    </w:p>
    <w:p w14:paraId="6C979C4B" w14:textId="77777777" w:rsidR="001A2A2F" w:rsidRPr="001A2A2F" w:rsidRDefault="001A2A2F" w:rsidP="001A2A2F">
      <w:pPr>
        <w:spacing w:line="240" w:lineRule="auto"/>
        <w:jc w:val="both"/>
        <w:rPr>
          <w:rFonts w:eastAsia="Calibri"/>
          <w:b/>
          <w:strike w:val="0"/>
          <w:lang w:val="en-US" w:eastAsia="en-US"/>
        </w:rPr>
      </w:pPr>
    </w:p>
    <w:p w14:paraId="0F53CEED"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w:lastRenderedPageBreak/>
        <mc:AlternateContent>
          <mc:Choice Requires="wps">
            <w:drawing>
              <wp:anchor distT="0" distB="0" distL="114300" distR="114300" simplePos="0" relativeHeight="251660288" behindDoc="0" locked="0" layoutInCell="1" allowOverlap="1" wp14:anchorId="14849D55" wp14:editId="59C45951">
                <wp:simplePos x="0" y="0"/>
                <wp:positionH relativeFrom="column">
                  <wp:posOffset>3486150</wp:posOffset>
                </wp:positionH>
                <wp:positionV relativeFrom="paragraph">
                  <wp:posOffset>114935</wp:posOffset>
                </wp:positionV>
                <wp:extent cx="2682875" cy="1059180"/>
                <wp:effectExtent l="0" t="0" r="22225" b="266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059180"/>
                        </a:xfrm>
                        <a:prstGeom prst="rect">
                          <a:avLst/>
                        </a:prstGeom>
                        <a:solidFill>
                          <a:srgbClr val="FFFFFF"/>
                        </a:solidFill>
                        <a:ln w="9525">
                          <a:solidFill>
                            <a:srgbClr val="000000"/>
                          </a:solidFill>
                          <a:miter lim="800000"/>
                          <a:headEnd/>
                          <a:tailEnd/>
                        </a:ln>
                      </wps:spPr>
                      <wps:txbx>
                        <w:txbxContent>
                          <w:p w14:paraId="5F09F8DF" w14:textId="77777777" w:rsidR="001A2A2F" w:rsidRPr="001A2A2F" w:rsidRDefault="001A2A2F" w:rsidP="001A2A2F">
                            <w:pPr>
                              <w:spacing w:after="0" w:line="480" w:lineRule="auto"/>
                              <w:rPr>
                                <w:strike w:val="0"/>
                                <w:lang w:val="en-CA"/>
                              </w:rPr>
                            </w:pPr>
                            <w:r w:rsidRPr="001A2A2F">
                              <w:rPr>
                                <w:strike w:val="0"/>
                                <w:lang w:val="en-CA"/>
                              </w:rPr>
                              <w:t>Excluded (n= 469)</w:t>
                            </w:r>
                          </w:p>
                          <w:p w14:paraId="1C9D5E0D" w14:textId="77777777" w:rsidR="001A2A2F" w:rsidRPr="001A2A2F" w:rsidRDefault="001A2A2F" w:rsidP="001A2A2F">
                            <w:pPr>
                              <w:spacing w:after="0" w:line="480" w:lineRule="auto"/>
                              <w:rPr>
                                <w:strike w:val="0"/>
                                <w:lang w:val="en-CA"/>
                              </w:rPr>
                            </w:pPr>
                            <w:r w:rsidRPr="001A2A2F">
                              <w:rPr>
                                <w:strike w:val="0"/>
                                <w:lang w:val="en-CA"/>
                              </w:rPr>
                              <w:t xml:space="preserve">Not meeting inclusion criteria (n=348)  </w:t>
                            </w:r>
                          </w:p>
                          <w:p w14:paraId="5C2DE6CC"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 xml:space="preserve">  Declined to participate (n=121)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49D55" id="Rectangle 58" o:spid="_x0000_s1028" style="position:absolute;left:0;text-align:left;margin-left:274.5pt;margin-top:9.05pt;width:211.25pt;height: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aUJwIAAFEEAAAOAAAAZHJzL2Uyb0RvYy54bWysVNuO0zAQfUfiHyy/01y0Xdqo6WrVpQhp&#10;YVcsfIDjOImFb4zdJsvXM3HakgWeEHmwPPb4+Mw542xuBq3IUYCX1pQ0W6SUCMNtLU1b0q9f9m9W&#10;lPjATM2UNaKkz8LTm+3rV5veFSK3nVW1AIIgxhe9K2kXgiuSxPNOaOYX1gmDm40FzQKG0CY1sB7R&#10;tUryNL1Oegu1A8uF97h6N23SbcRvGsHDQ9N4EYgqKXILcYQ4VuOYbDesaIG5TvITDfYPLDSTBi+9&#10;QN2xwMgB5B9QWnKw3jZhwa1ObNNILmINWE2W/lbNU8eciLWgON5dZPL/D5Z/Oj4CkXVJl+iUYRo9&#10;+oyqMdMqQXANBeqdLzDvyT3CWKJ395Z/88TYXYdp4hbA9p1gNdLKxvzkxYEx8HiUVP1HWyM8OwQb&#10;tRoa0CMgqkCGaMnzxRIxBMJxMb9e5au3S0o47mXpcp2tomkJK87HHfjwXlhNxklJAdlHeHa892Gk&#10;w4pzSqRvlaz3UqkYQFvtFJAjw/7Yxy9WgFXO05QhfUnXy3wZkV/s+TlEGr+/QWgZsNGV1CVdXZJY&#10;Mer2ztSxDQOTapojZWVOQo7aTR6EoRqiVfnZlcrWz6gs2Kmv8R3ipLPwg5Iee7qk/vuBgaBEfTDo&#10;zjq7uhofwTyAeVDNA2Y4QpU0UDJNd2F6OAcHsu3wpiyqYewtOtrIqPXo9sTqRB/7NlpwemPjw5jH&#10;MevXn2D7EwAA//8DAFBLAwQUAAYACAAAACEATA38e98AAAAKAQAADwAAAGRycy9kb3ducmV2Lnht&#10;bEyPzU7DMBCE70i8g7VI3KgTaGgS4lT8iBPqoQHB1bWXJCJeR7Hbpm/P9gTHnRnNflOtZzeIA06h&#10;96QgXSQgkIy3PbUKPt5fb3IQIWqyevCECk4YYF1fXlS6tP5IWzw0sRVcQqHUCroYx1LKYDp0Oiz8&#10;iMTet5+cjnxOrbSTPnK5G+RtktxLp3viD50e8blD89PsnYJVG18a85SZz013yt+K+S5smy+lrq/m&#10;xwcQEef4F4YzPqNDzUw7vycbxKAgWxa8JbKRpyA4UKzSDMTuLCwLkHUl/0+ofwEAAP//AwBQSwEC&#10;LQAUAAYACAAAACEAtoM4kv4AAADhAQAAEwAAAAAAAAAAAAAAAAAAAAAAW0NvbnRlbnRfVHlwZXNd&#10;LnhtbFBLAQItABQABgAIAAAAIQA4/SH/1gAAAJQBAAALAAAAAAAAAAAAAAAAAC8BAABfcmVscy8u&#10;cmVsc1BLAQItABQABgAIAAAAIQAnsTaUJwIAAFEEAAAOAAAAAAAAAAAAAAAAAC4CAABkcnMvZTJv&#10;RG9jLnhtbFBLAQItABQABgAIAAAAIQBMDfx73wAAAAoBAAAPAAAAAAAAAAAAAAAAAIEEAABkcnMv&#10;ZG93bnJldi54bWxQSwUGAAAAAAQABADzAAAAjQUAAAAA&#10;">
                <v:textbox inset=",7.2pt,,7.2pt">
                  <w:txbxContent>
                    <w:p w14:paraId="5F09F8DF" w14:textId="77777777" w:rsidR="001A2A2F" w:rsidRPr="001A2A2F" w:rsidRDefault="001A2A2F" w:rsidP="001A2A2F">
                      <w:pPr>
                        <w:spacing w:after="0" w:line="480" w:lineRule="auto"/>
                        <w:rPr>
                          <w:strike w:val="0"/>
                          <w:lang w:val="en-CA"/>
                        </w:rPr>
                      </w:pPr>
                      <w:r w:rsidRPr="001A2A2F">
                        <w:rPr>
                          <w:strike w:val="0"/>
                          <w:lang w:val="en-CA"/>
                        </w:rPr>
                        <w:t>Excluded (n= 469)</w:t>
                      </w:r>
                    </w:p>
                    <w:p w14:paraId="1C9D5E0D" w14:textId="77777777" w:rsidR="001A2A2F" w:rsidRPr="001A2A2F" w:rsidRDefault="001A2A2F" w:rsidP="001A2A2F">
                      <w:pPr>
                        <w:spacing w:after="0" w:line="480" w:lineRule="auto"/>
                        <w:rPr>
                          <w:strike w:val="0"/>
                          <w:lang w:val="en-CA"/>
                        </w:rPr>
                      </w:pPr>
                      <w:r w:rsidRPr="001A2A2F">
                        <w:rPr>
                          <w:strike w:val="0"/>
                          <w:lang w:val="en-CA"/>
                        </w:rPr>
                        <w:t xml:space="preserve">Not meeting inclusion criteria (n=348)  </w:t>
                      </w:r>
                    </w:p>
                    <w:p w14:paraId="5C2DE6CC"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 xml:space="preserve">  Declined to participate (n=121)</w:t>
                      </w:r>
                    </w:p>
                  </w:txbxContent>
                </v:textbox>
              </v:rect>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6672" behindDoc="0" locked="0" layoutInCell="1" allowOverlap="1" wp14:anchorId="6208DDD5" wp14:editId="09331245">
                <wp:simplePos x="0" y="0"/>
                <wp:positionH relativeFrom="margin">
                  <wp:posOffset>2818765</wp:posOffset>
                </wp:positionH>
                <wp:positionV relativeFrom="paragraph">
                  <wp:posOffset>38100</wp:posOffset>
                </wp:positionV>
                <wp:extent cx="635" cy="1732915"/>
                <wp:effectExtent l="76200" t="0" r="75565" b="5778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FC55FC" id="_x0000_t32" coordsize="21600,21600" o:spt="32" o:oned="t" path="m,l21600,21600e" filled="f">
                <v:path arrowok="t" fillok="f" o:connecttype="none"/>
                <o:lock v:ext="edit" shapetype="t"/>
              </v:shapetype>
              <v:shape id="Straight Arrow Connector 59" o:spid="_x0000_s1026" type="#_x0000_t32" style="position:absolute;margin-left:221.95pt;margin-top:3pt;width:.05pt;height:136.4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I0jlWt8AAAAJAQAADwAAAGRycy9kb3ducmV2LnhtbEyPS0/DMBCE70j8B2uRuFGnrfsKcSpUCYR6&#10;IzzE0Y2XJCJeR7bbBn49ywluO5rR7DfFdnS9OGGInScN00kGAqn2tqNGw8vz/c0aREyGrOk9oYYv&#10;jLAtLy8Kk1t/pic8VakRXEIxNxralIZcyli36Eyc+AGJvQ8fnEksQyNtMGcud72cZdlSOtMRf2jN&#10;gLsW68/q6DSM3/sFNm+dSo/Th1XYL3bv89dK6+ur8e4WRMIx/YXhF5/RoWSmgz+SjaLXoNR8w1EN&#10;S57EvlKKj4OG2Wq9AVkW8v+C8gcAAP//AwBQSwECLQAUAAYACAAAACEAtoM4kv4AAADhAQAAEwAA&#10;AAAAAAAAAAAAAAAAAAAAW0NvbnRlbnRfVHlwZXNdLnhtbFBLAQItABQABgAIAAAAIQA4/SH/1gAA&#10;AJQBAAALAAAAAAAAAAAAAAAAAC8BAABfcmVscy8ucmVsc1BLAQItABQABgAIAAAAIQBu9+ol0wEA&#10;AIgDAAAOAAAAAAAAAAAAAAAAAC4CAABkcnMvZTJvRG9jLnhtbFBLAQItABQABgAIAAAAIQAjSOVa&#10;3wAAAAkBAAAPAAAAAAAAAAAAAAAAAC0EAABkcnMvZG93bnJldi54bWxQSwUGAAAAAAQABADzAAAA&#10;OQUAAAAA&#10;">
                <v:stroke endarrow="block"/>
                <v:shadow color="#ccc"/>
                <w10:wrap anchorx="margin"/>
              </v:shape>
            </w:pict>
          </mc:Fallback>
        </mc:AlternateContent>
      </w:r>
    </w:p>
    <w:p w14:paraId="1D36204F" w14:textId="77777777" w:rsidR="001A2A2F" w:rsidRPr="001A2A2F" w:rsidRDefault="001A2A2F" w:rsidP="001A2A2F">
      <w:pPr>
        <w:spacing w:line="240" w:lineRule="auto"/>
        <w:jc w:val="both"/>
        <w:rPr>
          <w:rFonts w:eastAsia="Calibri"/>
          <w:b/>
          <w:strike w:val="0"/>
          <w:lang w:val="en-US" w:eastAsia="en-US"/>
        </w:rPr>
      </w:pPr>
    </w:p>
    <w:p w14:paraId="408231BE"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36576" distB="36576" distL="36576" distR="36576" simplePos="0" relativeHeight="251678720" behindDoc="0" locked="0" layoutInCell="1" allowOverlap="1" wp14:anchorId="07508509" wp14:editId="53BC995F">
                <wp:simplePos x="0" y="0"/>
                <wp:positionH relativeFrom="column">
                  <wp:posOffset>2807335</wp:posOffset>
                </wp:positionH>
                <wp:positionV relativeFrom="paragraph">
                  <wp:posOffset>60325</wp:posOffset>
                </wp:positionV>
                <wp:extent cx="656590" cy="635"/>
                <wp:effectExtent l="10160" t="56515" r="19050" b="571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1F97A2" id="Straight Arrow Connector 60" o:spid="_x0000_s1026" type="#_x0000_t32" style="position:absolute;margin-left:221.05pt;margin-top:4.7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CYm&#10;rNHcAAAABwEAAA8AAABkcnMvZG93bnJldi54bWxMjs1OwzAQhO9IvIO1SNyokxIXCHEqVAmEeiP8&#10;iKMbL0lEvI5stw08PcsJbjOa0cxXrWc3igOGOHjSkC8yEEittwN1Gl6e7y+uQcRkyJrRE2r4wgjr&#10;+vSkMqX1R3rCQ5M6wSMUS6OhT2kqpYxtj87EhZ+QOPvwwZnENnTSBnPkcTfKZZatpDMD8UNvJtz0&#10;2H42e6dh/t4q7N6GIj3mD1dhqzbvl6+N1udn890tiIRz+ivDLz6jQ81MO78nG8WooSiWOVc13CgQ&#10;nKtCsdixX4GsK/mfv/4BAAD//wMAUEsBAi0AFAAGAAgAAAAhALaDOJL+AAAA4QEAABMAAAAAAAAA&#10;AAAAAAAAAAAAAFtDb250ZW50X1R5cGVzXS54bWxQSwECLQAUAAYACAAAACEAOP0h/9YAAACUAQAA&#10;CwAAAAAAAAAAAAAAAAAvAQAAX3JlbHMvLnJlbHNQSwECLQAUAAYACAAAACEAs+viG9EBAACHAwAA&#10;DgAAAAAAAAAAAAAAAAAuAgAAZHJzL2Uyb0RvYy54bWxQSwECLQAUAAYACAAAACEAJias0dwAAAAH&#10;AQAADwAAAAAAAAAAAAAAAAArBAAAZHJzL2Rvd25yZXYueG1sUEsFBgAAAAAEAAQA8wAAADQFAAAA&#10;AA==&#10;">
                <v:stroke endarrow="block"/>
                <v:shadow color="#ccc"/>
              </v:shape>
            </w:pict>
          </mc:Fallback>
        </mc:AlternateContent>
      </w:r>
    </w:p>
    <w:p w14:paraId="5DBB24F5"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77696" behindDoc="0" locked="0" layoutInCell="1" allowOverlap="1" wp14:anchorId="71892DA4" wp14:editId="36A8E058">
                <wp:simplePos x="0" y="0"/>
                <wp:positionH relativeFrom="margin">
                  <wp:posOffset>1909445</wp:posOffset>
                </wp:positionH>
                <wp:positionV relativeFrom="paragraph">
                  <wp:posOffset>139700</wp:posOffset>
                </wp:positionV>
                <wp:extent cx="1554480" cy="342900"/>
                <wp:effectExtent l="0" t="0" r="26670"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14:paraId="4A3D5F1A" w14:textId="77777777" w:rsidR="001A2A2F" w:rsidRPr="001A2A2F" w:rsidRDefault="001A2A2F" w:rsidP="001A2A2F">
                            <w:pPr>
                              <w:widowControl w:val="0"/>
                              <w:jc w:val="center"/>
                              <w:rPr>
                                <w:strike w:val="0"/>
                              </w:rPr>
                            </w:pPr>
                            <w:r w:rsidRPr="001A2A2F">
                              <w:rPr>
                                <w:strike w:val="0"/>
                                <w:lang w:val="en-CA"/>
                              </w:rPr>
                              <w:t>Randomized (n=368)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92DA4" id="Rectangle 64" o:spid="_x0000_s1029" style="position:absolute;left:0;text-align:left;margin-left:150.35pt;margin-top:11pt;width:122.4pt;height: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XIJwIAAFAEAAAOAAAAZHJzL2Uyb0RvYy54bWysVNuO0zAQfUfiHyy/0yTddNVGTVerLkVI&#10;C6xY+ADHcRIL3xi7TcvXM3HakgWeEHmwPPb4+Mw546zvjlqRgwAvrSlpNkspEYbbWpq2pF+/7N4s&#10;KfGBmZopa0RJT8LTu83rV+veFWJuO6tqAQRBjC96V9IuBFckieed0MzPrBMGNxsLmgUMoU1qYD2i&#10;a5XM0/Q26S3UDiwX3uPqw7hJNxG/aQQPn5rGi0BUSZFbiCPEsRrGZLNmRQvMdZKfabB/YKGZNHjp&#10;FeqBBUb2IP+A0pKD9bYJM251YptGchFrwGqy9LdqnjvmRKwFxfHuKpP/f7D84+EJiKxLeptTYphG&#10;jz6jasy0ShBcQ4F65wvMe3ZPMJTo3aPl3zwxdtthmrgHsH0nWI20siE/eXFgCDweJVX/wdYIz/bB&#10;Rq2ODegBEFUgx2jJ6WqJOAbCcTFbLPJ8ic5x3LvJ56s0epaw4nLagQ/vhNVkmJQUkHxEZ4dHHwY2&#10;rLikRPZWyXonlYoBtNVWATkwbI9d/GIBWOQ0TRnSl3S1mC8i8os9P4VI4/c3CC0D9rmSuqTLaxIr&#10;Btnemjp2YWBSjXOkrMxZx0G60YJwrI7RqZuLKZWtTygs2LGt8RnipLPwg5IeW7qk/vuegaBEvTdo&#10;zirL8+ENTAOYBtU0YIYjVEkDJeN0G8Z3s3cg2w5vyqIaxt6joY2MWg9mj6zO9LFtowXnJza8i2kc&#10;s379CDY/AQAA//8DAFBLAwQUAAYACAAAACEArpUgDt8AAAAJAQAADwAAAGRycy9kb3ducmV2Lnht&#10;bEyPy07DMBBF90j8gzVI7KhNStoS4lQ8xAqxaEDt1rWHJCIeR7Hbpn/PsILlaI7OvbdcT74XRxxj&#10;F0jD7UyBQLLBddRo+Px4vVmBiMmQM30g1HDGCOvq8qI0hQsn2uCxTo1gCcXCaGhTGgopo23RmzgL&#10;AxL/vsLoTeJzbKQbzYnlvpeZUgvpTUec0JoBn1u03/XBa1g26aW2T7ndvrfn1dv9NI+beqf19dX0&#10;+AAi4ZT+YPitz9Wh4k77cCAXRa9hrtSSUQ1ZxpsYyO/yHMSe7QsFsirl/wXVDwAAAP//AwBQSwEC&#10;LQAUAAYACAAAACEAtoM4kv4AAADhAQAAEwAAAAAAAAAAAAAAAAAAAAAAW0NvbnRlbnRfVHlwZXNd&#10;LnhtbFBLAQItABQABgAIAAAAIQA4/SH/1gAAAJQBAAALAAAAAAAAAAAAAAAAAC8BAABfcmVscy8u&#10;cmVsc1BLAQItABQABgAIAAAAIQCFHWXIJwIAAFAEAAAOAAAAAAAAAAAAAAAAAC4CAABkcnMvZTJv&#10;RG9jLnhtbFBLAQItABQABgAIAAAAIQCulSAO3wAAAAkBAAAPAAAAAAAAAAAAAAAAAIEEAABkcnMv&#10;ZG93bnJldi54bWxQSwUGAAAAAAQABADzAAAAjQUAAAAA&#10;">
                <v:textbox inset=",7.2pt,,7.2pt">
                  <w:txbxContent>
                    <w:p w14:paraId="4A3D5F1A" w14:textId="77777777" w:rsidR="001A2A2F" w:rsidRPr="001A2A2F" w:rsidRDefault="001A2A2F" w:rsidP="001A2A2F">
                      <w:pPr>
                        <w:widowControl w:val="0"/>
                        <w:jc w:val="center"/>
                        <w:rPr>
                          <w:strike w:val="0"/>
                        </w:rPr>
                      </w:pPr>
                      <w:r w:rsidRPr="001A2A2F">
                        <w:rPr>
                          <w:strike w:val="0"/>
                          <w:lang w:val="en-CA"/>
                        </w:rPr>
                        <w:t>Randomized (n=368)</w:t>
                      </w:r>
                    </w:p>
                  </w:txbxContent>
                </v:textbox>
                <w10:wrap anchorx="margin"/>
              </v:rect>
            </w:pict>
          </mc:Fallback>
        </mc:AlternateContent>
      </w:r>
    </w:p>
    <w:p w14:paraId="6F85AA29" w14:textId="77777777" w:rsidR="001A2A2F" w:rsidRPr="001A2A2F" w:rsidRDefault="001A2A2F" w:rsidP="001A2A2F">
      <w:pPr>
        <w:spacing w:line="240" w:lineRule="auto"/>
        <w:jc w:val="both"/>
        <w:rPr>
          <w:rFonts w:eastAsia="Calibri"/>
          <w:b/>
          <w:strike w:val="0"/>
          <w:lang w:val="en-US" w:eastAsia="en-US"/>
        </w:rPr>
      </w:pPr>
    </w:p>
    <w:p w14:paraId="75DDDAF5" w14:textId="77777777" w:rsidR="001A2A2F" w:rsidRPr="001A2A2F" w:rsidRDefault="001A2A2F" w:rsidP="001A2A2F">
      <w:pPr>
        <w:spacing w:line="240" w:lineRule="auto"/>
        <w:jc w:val="both"/>
        <w:rPr>
          <w:rFonts w:eastAsia="Calibri"/>
          <w:b/>
          <w:strike w:val="0"/>
          <w:lang w:val="en-US" w:eastAsia="en-US"/>
        </w:rPr>
      </w:pPr>
    </w:p>
    <w:p w14:paraId="5B25D0C7"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7456" behindDoc="0" locked="0" layoutInCell="1" allowOverlap="1" wp14:anchorId="07B35BE0" wp14:editId="06D853EE">
                <wp:simplePos x="0" y="0"/>
                <wp:positionH relativeFrom="margin">
                  <wp:posOffset>2328545</wp:posOffset>
                </wp:positionH>
                <wp:positionV relativeFrom="paragraph">
                  <wp:posOffset>238760</wp:posOffset>
                </wp:positionV>
                <wp:extent cx="1386840" cy="365760"/>
                <wp:effectExtent l="0" t="0" r="22860" b="15240"/>
                <wp:wrapNone/>
                <wp:docPr id="67"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365760"/>
                        </a:xfrm>
                        <a:prstGeom prst="roundRect">
                          <a:avLst>
                            <a:gd name="adj" fmla="val 16667"/>
                          </a:avLst>
                        </a:prstGeom>
                        <a:solidFill>
                          <a:srgbClr val="A9C7FD"/>
                        </a:solidFill>
                        <a:ln w="9525">
                          <a:solidFill>
                            <a:srgbClr val="000000"/>
                          </a:solidFill>
                          <a:round/>
                          <a:headEnd/>
                          <a:tailEnd/>
                        </a:ln>
                      </wps:spPr>
                      <wps:txbx>
                        <w:txbxContent>
                          <w:p w14:paraId="67CB3153"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r w:rsidRPr="001A2A2F">
                              <w:rPr>
                                <w:rFonts w:ascii="Times New Roman" w:hAnsi="Times New Roman" w:cs="Times New Roman"/>
                                <w:strike w:val="0"/>
                                <w:color w:val="000000"/>
                                <w:sz w:val="24"/>
                                <w:szCs w:val="24"/>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35BE0" id="Rectangle: Rounded Corners 67" o:spid="_x0000_s1030" style="position:absolute;left:0;text-align:left;margin-left:183.35pt;margin-top:18.8pt;width:109.2pt;height:2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6pQgIAAIUEAAAOAAAAZHJzL2Uyb0RvYy54bWysVMGO2jAQvVfqP1i+dwMshN2IsEJsqSpt&#10;29Vu+wHGdohbx+OODYF+fScObKHtqSoHayb2PM97z8Psbt9YttMYDLiSD68GnGknQRm3KfmXz6s3&#10;N5yFKJwSFpwu+UEHfjd//WrW+kKPoAarNDICcaFofcnrGH2RZUHWuhHhCrx2tFkBNiJSiptMoWgJ&#10;vbHZaDDIsxZQeQSpQ6Cv9/0mnyf8qtIyfqqqoCOzJafeYloxretuzeYzUWxQ+NrIYxviH7pohHF0&#10;6QvUvYiCbdH8AdUYiRCgilcSmgyqykidOBCb4eA3Ns+18DpxIXGCf5Ep/D9Y+XH3iMyokudTzpxo&#10;yKMnUk24jdUFe4KtU1qxJaAjkxkdIsVaHwoqfPaP2HEO/gHkt8AcLGuq0wtEaGstFPU57M5nFwVd&#10;EqiUrdsPoOg+sY2QxNtX2HSAJAvbJ48OLx7pfWSSPg6vb/KbMVkpae86n0zzZGImilO1xxDfaWhY&#10;F5QcOwodpXSF2D2EmIxSR7ZCfeWsaizZvhOWDfO8J0mIx8MUnTATXbBGrYy1KcHNemmRUWnJF7fL&#10;6eo+MSZVzo9Zx9qS305Gk9TFxV44hxik398gEo/0XDtp3zqV4iiM7WPq0rqj1p28vU1xv94ne8cn&#10;49agDiQ+Qj8LNLsU1IA/OGtpDkoevm8Fas7se0cGjifTUTc45wmeJ+vzRDhJUCWPnPXhMvbDtvVo&#10;NjXdNEwCOFiQ6ZWJp9fRd3Vsn946RRfDdJ6nU7/+PeY/AQAA//8DAFBLAwQUAAYACAAAACEAHqjg&#10;b+AAAAAJAQAADwAAAGRycy9kb3ducmV2LnhtbEyPwUrDQBCG74LvsIzgzW5aSRrTbEopVhAPxVR6&#10;3mSnSTA7G7LbNvr0jie9zTAf/3x/vp5sLy44+s6RgvksAoFUO9NRo+DjsHtIQfigyejeESr4Qg/r&#10;4vYm15lxV3rHSxkawSHkM62gDWHIpPR1i1b7mRuQ+HZyo9WB17GRZtRXDre9XERRIq3uiD+0esBt&#10;i/VnebYKttXxuPNv9F29tJuD2T+n+FrWSt3fTZsViIBT+IPhV5/VoWCnyp3JeNEreEySJaM8LBMQ&#10;DMRpPAdRKXiKFyCLXP5vUPwAAAD//wMAUEsBAi0AFAAGAAgAAAAhALaDOJL+AAAA4QEAABMAAAAA&#10;AAAAAAAAAAAAAAAAAFtDb250ZW50X1R5cGVzXS54bWxQSwECLQAUAAYACAAAACEAOP0h/9YAAACU&#10;AQAACwAAAAAAAAAAAAAAAAAvAQAAX3JlbHMvLnJlbHNQSwECLQAUAAYACAAAACEAtMmOqUICAACF&#10;BAAADgAAAAAAAAAAAAAAAAAuAgAAZHJzL2Uyb0RvYy54bWxQSwECLQAUAAYACAAAACEAHqjgb+AA&#10;AAAJAQAADwAAAAAAAAAAAAAAAACcBAAAZHJzL2Rvd25yZXYueG1sUEsFBgAAAAAEAAQA8wAAAKkF&#10;AAAAAA==&#10;" fillcolor="#a9c7fd">
                <v:textbox inset="3.6pt,,3.6pt">
                  <w:txbxContent>
                    <w:p w14:paraId="67CB3153"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r w:rsidRPr="001A2A2F">
                        <w:rPr>
                          <w:rFonts w:ascii="Times New Roman" w:hAnsi="Times New Roman" w:cs="Times New Roman"/>
                          <w:strike w:val="0"/>
                          <w:color w:val="000000"/>
                          <w:sz w:val="24"/>
                          <w:szCs w:val="24"/>
                        </w:rPr>
                        <w:t>Allocation</w:t>
                      </w:r>
                    </w:p>
                  </w:txbxContent>
                </v:textbox>
                <w10:wrap anchorx="margin"/>
              </v:roundrect>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5648" behindDoc="0" locked="0" layoutInCell="1" allowOverlap="1" wp14:anchorId="341883BD" wp14:editId="2B82BEEE">
                <wp:simplePos x="0" y="0"/>
                <wp:positionH relativeFrom="column">
                  <wp:posOffset>2687320</wp:posOffset>
                </wp:positionH>
                <wp:positionV relativeFrom="paragraph">
                  <wp:posOffset>97154</wp:posOffset>
                </wp:positionV>
                <wp:extent cx="2331720" cy="400050"/>
                <wp:effectExtent l="12700" t="13335" r="55880" b="15240"/>
                <wp:wrapNone/>
                <wp:docPr id="65" name="Connector: Elbow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49268" id="_x0000_t33" coordsize="21600,21600" o:spt="33" o:oned="t" path="m,l21600,r,21600e" filled="f">
                <v:stroke joinstyle="miter"/>
                <v:path arrowok="t" fillok="f" o:connecttype="none"/>
                <o:lock v:ext="edit" shapetype="t"/>
              </v:shapetype>
              <v:shape id="Connector: Elbow 65" o:spid="_x0000_s1026" type="#_x0000_t33" style="position:absolute;margin-left:211.6pt;margin-top:7.6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fB73Td0AAAAJAQAADwAAAGRycy9kb3ducmV2LnhtbEyPTU/DMAyG70j8h8iTuLFk&#10;7T5L0wkhISHtxODAMWu8tFrjVE22FX495sRutt5Hrx+X29F34oJDbANpmE0VCKQ62Jachs+P18c1&#10;iJgMWdMFQg3fGGFb3d+VprDhSu942ScnuIRiYTQ0KfWFlLFu0Js4DT0SZ8cweJN4HZy0g7lyue9k&#10;ptRSetMSX2hMjy8N1qf92WvAzS4t3gh3K7MMP+7LKX+UJ60fJuPzE4iEY/qH4U+f1aFip0M4k42i&#10;0zDP8oxRDhY5CAZWGzUHceBhnYOsSnn7QfULAAD//wMAUEsBAi0AFAAGAAgAAAAhALaDOJL+AAAA&#10;4QEAABMAAAAAAAAAAAAAAAAAAAAAAFtDb250ZW50X1R5cGVzXS54bWxQSwECLQAUAAYACAAAACEA&#10;OP0h/9YAAACUAQAACwAAAAAAAAAAAAAAAAAvAQAAX3JlbHMvLnJlbHNQSwECLQAUAAYACAAAACEA&#10;7Ens3dwBAACUAwAADgAAAAAAAAAAAAAAAAAuAgAAZHJzL2Uyb0RvYy54bWxQSwECLQAUAAYACAAA&#10;ACEAfB73Td0AAAAJAQAADwAAAAAAAAAAAAAAAAA2BAAAZHJzL2Rvd25yZXYueG1sUEsFBgAAAAAE&#10;AAQA8wAAAEAFAAAAAA==&#10;">
                <v:stroke endarrow="block"/>
                <v:shadow color="#ccc"/>
              </v:shape>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4624" behindDoc="0" locked="0" layoutInCell="1" allowOverlap="1" wp14:anchorId="51E37F0F" wp14:editId="1F8E510C">
                <wp:simplePos x="0" y="0"/>
                <wp:positionH relativeFrom="column">
                  <wp:posOffset>904875</wp:posOffset>
                </wp:positionH>
                <wp:positionV relativeFrom="paragraph">
                  <wp:posOffset>93980</wp:posOffset>
                </wp:positionV>
                <wp:extent cx="2331720" cy="437466"/>
                <wp:effectExtent l="76200" t="0" r="11430" b="58420"/>
                <wp:wrapNone/>
                <wp:docPr id="66"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37466"/>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9748CB" id="Connector: Elbow 66" o:spid="_x0000_s1026" type="#_x0000_t33" style="position:absolute;margin-left:71.25pt;margin-top:7.4pt;width:183.6pt;height:34.4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R46gEAAK0DAAAOAAAAZHJzL2Uyb0RvYy54bWysU01v2zAMvQ/YfxB0X+w4bdoZcXpI1126&#10;LUC73WWJjoVJoiCpcfLvRylZuo/bMB8E0SQf+R6p1d3BGraHEDW6js9nNWfgJCrtdh3/+vzw7paz&#10;mIRTwqCDjh8h8rv12zerybfQ4IhGQWAE4mI7+Y6PKfm2qqIcwYo4Qw+OnAMGKxKZYVepICZCt6Zq&#10;6npZTRiUDyghRvp7f3LydcEfBpDpyzBESMx0nHpL5Qzl7PNZrVei3QXhRy3PbYh/6MIK7ajoBepe&#10;JMFegv4LymoZMOKQZhJthcOgJRQOxGZe/8HmaRQeChcSJ/qLTPH/wcrP+43bhty6PLgn/4jye2QO&#10;N6NwOygNPB89DW6epaomH9tLSjai3wbWT59QUYx4SVhUOAzBsoCk9ry+rfPH2WC0/5Zxci0izg5l&#10;CsfLFOCQmKSfzWIxv2koQ5LvanFztVyW2qLNsDnbh5g+AlqWLx3vwaUNOkfDxtAUfLF/jCk3/Bqc&#10;Ex0+aGPKzI1jU8ffXzfXJSGi0So7c1gMu35jAtuLvDWn/k9gv4VZnWh3jbYdP5MsyCMI9cGpck9C&#10;G7qzVDRMQZOqBngubUFxZoBeTb6d4I3L5aHs7ZnAT5HzRse2R3XchhycLdqJQvG8v3npfrVL1Osr&#10;W/8AAAD//wMAUEsDBBQABgAIAAAAIQCIAuim3gAAAAkBAAAPAAAAZHJzL2Rvd25yZXYueG1sTI9N&#10;T8JAEIbvJvyHzZh4ky0oUkq3xKh4BxqV29Id22J3tukuUPn1DCe9zZt58n6ki9424oidrx0pGA0j&#10;EEiFMzWVCvLN8j4G4YMmoxtHqOAXPSyywU2qE+NOtMLjOpSCTcgnWkEVQptI6YsKrfZD1yLx79t1&#10;VgeWXSlNp09sbhs5jqInaXVNnFDpFl8qLH7WB6tgu4z3q3yWf5zfNv3oq/bnz/b9Vam72/55DiJg&#10;H/5guNbn6pBxp507kPGiYf04njB6PXgCA5NoNgWxUxA/TEFmqfy/ILsAAAD//wMAUEsBAi0AFAAG&#10;AAgAAAAhALaDOJL+AAAA4QEAABMAAAAAAAAAAAAAAAAAAAAAAFtDb250ZW50X1R5cGVzXS54bWxQ&#10;SwECLQAUAAYACAAAACEAOP0h/9YAAACUAQAACwAAAAAAAAAAAAAAAAAvAQAAX3JlbHMvLnJlbHNQ&#10;SwECLQAUAAYACAAAACEAxqSUeOoBAACtAwAADgAAAAAAAAAAAAAAAAAuAgAAZHJzL2Uyb0RvYy54&#10;bWxQSwECLQAUAAYACAAAACEAiALopt4AAAAJAQAADwAAAAAAAAAAAAAAAABEBAAAZHJzL2Rvd25y&#10;ZXYueG1sUEsFBgAAAAAEAAQA8wAAAE8FAAAAAA==&#10;">
                <v:stroke endarrow="block"/>
                <v:shadow color="#ccc"/>
              </v:shape>
            </w:pict>
          </mc:Fallback>
        </mc:AlternateContent>
      </w:r>
    </w:p>
    <w:p w14:paraId="54C75229"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3360" behindDoc="0" locked="0" layoutInCell="1" allowOverlap="1" wp14:anchorId="31C7F0BC" wp14:editId="5E6B18B0">
                <wp:simplePos x="0" y="0"/>
                <wp:positionH relativeFrom="column">
                  <wp:posOffset>-155575</wp:posOffset>
                </wp:positionH>
                <wp:positionV relativeFrom="paragraph">
                  <wp:posOffset>254001</wp:posOffset>
                </wp:positionV>
                <wp:extent cx="2606040" cy="683260"/>
                <wp:effectExtent l="0" t="0" r="22860" b="2159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683260"/>
                        </a:xfrm>
                        <a:prstGeom prst="rect">
                          <a:avLst/>
                        </a:prstGeom>
                        <a:solidFill>
                          <a:srgbClr val="FFFFFF"/>
                        </a:solidFill>
                        <a:ln w="9525">
                          <a:solidFill>
                            <a:srgbClr val="000000"/>
                          </a:solidFill>
                          <a:miter lim="800000"/>
                          <a:headEnd/>
                          <a:tailEnd/>
                        </a:ln>
                      </wps:spPr>
                      <wps:txbx>
                        <w:txbxContent>
                          <w:p w14:paraId="4A7AE00F"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66F2764A" w14:textId="77777777" w:rsidR="001A2A2F" w:rsidRPr="009F0DA4" w:rsidRDefault="001A2A2F" w:rsidP="001A2A2F">
                            <w:pPr>
                              <w:spacing w:after="0" w:line="480" w:lineRule="auto"/>
                              <w:ind w:left="360" w:hanging="360"/>
                              <w:rPr>
                                <w:lang w:val="en-CA"/>
                              </w:rPr>
                            </w:pPr>
                            <w:r w:rsidRPr="001A2A2F">
                              <w:rPr>
                                <w:strike w:val="0"/>
                              </w:rPr>
                              <w:t> </w:t>
                            </w:r>
                            <w:r w:rsidRPr="001A2A2F">
                              <w:rPr>
                                <w:strike w:val="0"/>
                                <w:lang w:val="en-CA"/>
                              </w:rPr>
                              <w:t>Received allocated intervention</w:t>
                            </w:r>
                            <w:r w:rsidRPr="009F0DA4">
                              <w:rPr>
                                <w:lang w:val="en-CA"/>
                              </w:rPr>
                              <w:t xml:space="preserve"> (n=184)</w:t>
                            </w:r>
                          </w:p>
                          <w:p w14:paraId="7EB0E2B9" w14:textId="77777777" w:rsidR="001A2A2F" w:rsidRDefault="001A2A2F" w:rsidP="001A2A2F">
                            <w:pPr>
                              <w:spacing w:after="0" w:line="480" w:lineRule="auto"/>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7F0BC" id="Rectangle 68" o:spid="_x0000_s1031" style="position:absolute;left:0;text-align:left;margin-left:-12.25pt;margin-top:20pt;width:205.2pt;height:5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QOIwIAAFAEAAAOAAAAZHJzL2Uyb0RvYy54bWysVF1v0zAUfUfiP1h+p0nLWnVR02nqKEIa&#10;MDH4AY7jJBb+4tptUn49107XZcATIg+Wr319fO4519ncDFqRowAvrSnpfJZTIgy3tTRtSb993b9Z&#10;U+IDMzVT1oiSnoSnN9vXrza9K8TCdlbVAgiCGF/0rqRdCK7IMs87oZmfWScMbjYWNAsYQpvVwHpE&#10;1ypb5Pkq6y3UDiwX3uPq3bhJtwm/aQQPn5vGi0BUSZFbSCOksYpjtt2wogXmOsnPNNg/sNBMGrz0&#10;AnXHAiMHkH9AacnBetuEGbc6s00juUg1YDXz/LdqHjvmRKoFxfHuIpP/f7D80/EBiKxLukKnDNPo&#10;0RdUjZlWCYJrKFDvfIF5j+4BYone3Vv+3RNjdx2miVsA23eC1UhrHvOzFwdi4PEoqfqPtkZ4dgg2&#10;aTU0oCMgqkCGZMnpYokYAuG4uFjlq/wKneO4t1q/xThdwYqn0w58eC+sJnFSUkDyCZ0d732IbFjx&#10;lJLYWyXrvVQqBdBWOwXkyLA99uk7o/tpmjKkL+n1crFMyC/2/BQiT9/fILQM2OdK6pKuL0msiLK9&#10;M3XqwsCkGudIWZmzjlG60YIwVENyahkviLJWtj6hsGDHtsZniJPOwk9KemzpkvofBwaCEvXBoDnX&#10;86uoZJgGMA2qacAMR6iSBkrG6S6M7+bgQLYd3jRPahh7i4Y2Mmn9zOpMH9s2WXB+YvFdTOOU9fwj&#10;2P4CAAD//wMAUEsDBBQABgAIAAAAIQDZdzYn4AAAAAoBAAAPAAAAZHJzL2Rvd25yZXYueG1sTI/L&#10;TsMwEEX3SPyDNUjsWoc2adMQp+IhVqiLBgRb1xniiHgcxW6b/j3DCpajObr33HI7uV6ccAydJwV3&#10;8wQEkvFNR62C97eXWQ4iRE2N7j2hggsG2FbXV6UuGn+mPZ7q2AoOoVBoBTbGoZAyGItOh7kfkPj3&#10;5UenI59jK5tRnznc9XKRJCvpdEfcYPWATxbNd310CtZtfK7NY2Y+dvaSv26mZdjXn0rd3kwP9yAi&#10;TvEPhl99VoeKnQ7+SE0QvYLZIs0YVZAmvImBZZ5tQByYTNcrkFUp/0+ofgAAAP//AwBQSwECLQAU&#10;AAYACAAAACEAtoM4kv4AAADhAQAAEwAAAAAAAAAAAAAAAAAAAAAAW0NvbnRlbnRfVHlwZXNdLnht&#10;bFBLAQItABQABgAIAAAAIQA4/SH/1gAAAJQBAAALAAAAAAAAAAAAAAAAAC8BAABfcmVscy8ucmVs&#10;c1BLAQItABQABgAIAAAAIQBSBtQOIwIAAFAEAAAOAAAAAAAAAAAAAAAAAC4CAABkcnMvZTJvRG9j&#10;LnhtbFBLAQItABQABgAIAAAAIQDZdzYn4AAAAAoBAAAPAAAAAAAAAAAAAAAAAH0EAABkcnMvZG93&#10;bnJldi54bWxQSwUGAAAAAAQABADzAAAAigUAAAAA&#10;">
                <v:textbox inset=",7.2pt,,7.2pt">
                  <w:txbxContent>
                    <w:p w14:paraId="4A7AE00F"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66F2764A" w14:textId="77777777" w:rsidR="001A2A2F" w:rsidRPr="009F0DA4" w:rsidRDefault="001A2A2F" w:rsidP="001A2A2F">
                      <w:pPr>
                        <w:spacing w:after="0" w:line="480" w:lineRule="auto"/>
                        <w:ind w:left="360" w:hanging="360"/>
                        <w:rPr>
                          <w:lang w:val="en-CA"/>
                        </w:rPr>
                      </w:pPr>
                      <w:r w:rsidRPr="001A2A2F">
                        <w:rPr>
                          <w:strike w:val="0"/>
                        </w:rPr>
                        <w:t> </w:t>
                      </w:r>
                      <w:r w:rsidRPr="001A2A2F">
                        <w:rPr>
                          <w:strike w:val="0"/>
                          <w:lang w:val="en-CA"/>
                        </w:rPr>
                        <w:t>Received allocated intervention</w:t>
                      </w:r>
                      <w:r w:rsidRPr="009F0DA4">
                        <w:rPr>
                          <w:lang w:val="en-CA"/>
                        </w:rPr>
                        <w:t xml:space="preserve"> (n=184)</w:t>
                      </w:r>
                    </w:p>
                    <w:p w14:paraId="7EB0E2B9" w14:textId="77777777" w:rsidR="001A2A2F" w:rsidRDefault="001A2A2F" w:rsidP="001A2A2F">
                      <w:pPr>
                        <w:spacing w:after="0" w:line="480" w:lineRule="auto"/>
                        <w:ind w:left="360" w:hanging="360"/>
                        <w:rPr>
                          <w:rFonts w:cs="Calibri"/>
                        </w:rPr>
                      </w:pPr>
                    </w:p>
                  </w:txbxContent>
                </v:textbox>
              </v:rect>
            </w:pict>
          </mc:Fallback>
        </mc:AlternateContent>
      </w:r>
      <w:r w:rsidRPr="001A2A2F">
        <w:rPr>
          <w:rFonts w:eastAsia="Calibri"/>
          <w:b/>
          <w:strike w:val="0"/>
          <w:noProof/>
          <w:lang w:val="en-US" w:eastAsia="en-US"/>
        </w:rPr>
        <mc:AlternateContent>
          <mc:Choice Requires="wps">
            <w:drawing>
              <wp:anchor distT="0" distB="0" distL="114300" distR="114300" simplePos="0" relativeHeight="251665408" behindDoc="0" locked="0" layoutInCell="1" allowOverlap="1" wp14:anchorId="4D9F0136" wp14:editId="67FE5652">
                <wp:simplePos x="0" y="0"/>
                <wp:positionH relativeFrom="column">
                  <wp:posOffset>3418205</wp:posOffset>
                </wp:positionH>
                <wp:positionV relativeFrom="paragraph">
                  <wp:posOffset>220980</wp:posOffset>
                </wp:positionV>
                <wp:extent cx="2749550" cy="700405"/>
                <wp:effectExtent l="0" t="0" r="12700" b="2349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700405"/>
                        </a:xfrm>
                        <a:prstGeom prst="rect">
                          <a:avLst/>
                        </a:prstGeom>
                        <a:solidFill>
                          <a:srgbClr val="FFFFFF"/>
                        </a:solidFill>
                        <a:ln w="9525">
                          <a:solidFill>
                            <a:srgbClr val="000000"/>
                          </a:solidFill>
                          <a:miter lim="800000"/>
                          <a:headEnd/>
                          <a:tailEnd/>
                        </a:ln>
                      </wps:spPr>
                      <wps:txbx>
                        <w:txbxContent>
                          <w:p w14:paraId="33BCE203"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70375338"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Received allocated intervention (n= 184)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F0136" id="Rectangle 69" o:spid="_x0000_s1032" style="position:absolute;left:0;text-align:left;margin-left:269.15pt;margin-top:17.4pt;width:216.5pt;height:5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u2JQIAAFAEAAAOAAAAZHJzL2Uyb0RvYy54bWysVNtu2zAMfR+wfxD0vtgJkrYx4hRFugwD&#10;urVYtw+QZdkWptsoJXb39aPkNHW3PQ3zgyBK1OHhIenN9aAVOQrw0pqSzmc5JcJwW0vTlvTb1/27&#10;K0p8YKZmyhpR0ifh6fX27ZtN7wqxsJ1VtQCCIMYXvStpF4IrsszzTmjmZ9YJg5eNBc0CmtBmNbAe&#10;0bXKFnl+kfUWageWC+/x9Ha8pNuE3zSCh/um8SIQVVLkFtIKaa3imm03rGiBuU7yEw32Dyw0kwaD&#10;nqFuWWDkAPIPKC05WG+bMONWZ7ZpJBcpB8xmnv+WzWPHnEi5oDjenWXy/w+Wfz4+AJF1SS/WlBim&#10;sUZfUDVmWiUInqFAvfMF+j26B4gpendn+XdPjN116CZuAGzfCVYjrXn0z149iIbHp6TqP9ka4dkh&#10;2KTV0ICOgKgCGVJJns4lEUMgHA8Xl8v1aoWV43h3mefLfJVCsOL5tQMfPgirSdyUFJB8QmfHOx8i&#10;G1Y8uyT2Vsl6L5VKBrTVTgE5MmyPffpO6H7qpgzpS7peLVYJ+dWdn0Lk6fsbhJYB+1xJXdKrsxMr&#10;omzvTZ26MDCpxj1SVuakY5RuLEEYqmGsVAwQZa1s/YTCgh3bGscQN52Fn5T02NIl9T8ODAQl6qPB&#10;4qzny2WcgakBU6OaGsxwhCppoGTc7sI4NwcHsu0w0jypYewNFrSRSesXVif62LapBKcRi3MxtZPX&#10;y49g+wsAAP//AwBQSwMEFAAGAAgAAAAhAJ5RBI3fAAAACgEAAA8AAABkcnMvZG93bnJldi54bWxM&#10;j01PwzAMhu9I/IfISNxYWrqyrjSd+BAntMMKgmuWmqaicaom27p/jznB0faj189bbWY3iCNOofek&#10;IF0kIJCMb3vqFLy/vdwUIELU1OrBEyo4Y4BNfXlR6bL1J9rhsYmd4BAKpVZgYxxLKYOx6HRY+BGJ&#10;b19+cjryOHWynfSJw90gb5PkTjrdE3+wesQni+a7OTgFqy4+N+YxNx9bey5e13MWds2nUtdX88M9&#10;iIhz/IPhV5/VoWanvT9QG8SgIM+KjFEF2ZIrMLBepbzYM7nMU5B1Jf9XqH8AAAD//wMAUEsBAi0A&#10;FAAGAAgAAAAhALaDOJL+AAAA4QEAABMAAAAAAAAAAAAAAAAAAAAAAFtDb250ZW50X1R5cGVzXS54&#10;bWxQSwECLQAUAAYACAAAACEAOP0h/9YAAACUAQAACwAAAAAAAAAAAAAAAAAvAQAAX3JlbHMvLnJl&#10;bHNQSwECLQAUAAYACAAAACEAw537tiUCAABQBAAADgAAAAAAAAAAAAAAAAAuAgAAZHJzL2Uyb0Rv&#10;Yy54bWxQSwECLQAUAAYACAAAACEAnlEEjd8AAAAKAQAADwAAAAAAAAAAAAAAAAB/BAAAZHJzL2Rv&#10;d25yZXYueG1sUEsFBgAAAAAEAAQA8wAAAIsFAAAAAA==&#10;">
                <v:textbox inset=",7.2pt,,7.2pt">
                  <w:txbxContent>
                    <w:p w14:paraId="33BCE203"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70375338"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Received allocated intervention (n= 184)</w:t>
                      </w:r>
                    </w:p>
                  </w:txbxContent>
                </v:textbox>
              </v:rect>
            </w:pict>
          </mc:Fallback>
        </mc:AlternateContent>
      </w:r>
    </w:p>
    <w:p w14:paraId="7DA7D000" w14:textId="77777777" w:rsidR="001A2A2F" w:rsidRPr="001A2A2F" w:rsidRDefault="001A2A2F" w:rsidP="001A2A2F">
      <w:pPr>
        <w:spacing w:line="240" w:lineRule="auto"/>
        <w:jc w:val="both"/>
        <w:rPr>
          <w:rFonts w:eastAsia="Calibri"/>
          <w:b/>
          <w:strike w:val="0"/>
          <w:lang w:val="en-US" w:eastAsia="en-US"/>
        </w:rPr>
      </w:pPr>
    </w:p>
    <w:p w14:paraId="29E3796D" w14:textId="77777777" w:rsidR="001A2A2F" w:rsidRPr="001A2A2F" w:rsidRDefault="001A2A2F" w:rsidP="001A2A2F">
      <w:pPr>
        <w:spacing w:line="240" w:lineRule="auto"/>
        <w:jc w:val="both"/>
        <w:rPr>
          <w:rFonts w:eastAsia="Calibri"/>
          <w:b/>
          <w:strike w:val="0"/>
          <w:lang w:val="en-US" w:eastAsia="en-US"/>
        </w:rPr>
      </w:pPr>
    </w:p>
    <w:p w14:paraId="16B613F5"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36576" distB="36576" distL="36576" distR="36576" simplePos="0" relativeHeight="251671552" behindDoc="0" locked="0" layoutInCell="1" allowOverlap="1" wp14:anchorId="23428299" wp14:editId="4998F642">
                <wp:simplePos x="0" y="0"/>
                <wp:positionH relativeFrom="column">
                  <wp:posOffset>5024755</wp:posOffset>
                </wp:positionH>
                <wp:positionV relativeFrom="paragraph">
                  <wp:posOffset>82598</wp:posOffset>
                </wp:positionV>
                <wp:extent cx="0" cy="476885"/>
                <wp:effectExtent l="57785" t="8890" r="5651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79A1A3" id="Straight Arrow Connector 70" o:spid="_x0000_s1026" type="#_x0000_t32" style="position:absolute;margin-left:395.65pt;margin-top:6.5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gbzwEAAIUDAAAOAAAAZHJzL2Uyb0RvYy54bWysU02PEzEMvSPxH6Lc6bQVXcqo0z10WS4L&#10;VNrlB7hJZiYiE0d22mn/PUn6wQI3xBwiO7Gfn589q/vj4MTBEFv0jZxNplIYr1Bb3zXy+8vju6UU&#10;HMFrcOhNI0+G5f367ZvVGGozxx6dNiQSiOd6DI3sYwx1VbHqzQA8wWB8emyRBojJpa7SBGNCH1w1&#10;n07vqhFJB0JlmNPtw/lRrgt+2xoVv7UtmyhcIxO3WE4q5y6f1XoFdUcQeqsuNOAfWAxgfSp6g3qA&#10;CGJP9i+owSpCxjZOFA4Vtq1VpvSQuplN/+jmuYdgSi9JHA43mfj/waqvh43fUqaujv45PKH6wcLj&#10;pgffmULg5RTS4GZZqmoMXN9SssNhS2I3fkGdYmAfsahwbGnIkKk/cSxin25im2MU6nyp0u37D3fL&#10;5aKAQ33NC8Txs8FBZKORHAls18cNep8mijQrVeDwxDGzgvqakIt6fLTOlcE6L8ZGflzMFyWB0Vmd&#10;H3MYU7fbOBIHyKtRvguL38II914XsN6A/nSxI1iXbBGLNpFsUssZmasNRkvhTPobsnWm53yuaMo+&#10;XjhfxcubyvUO9WlLOTh7adalq8te5mV67ZeoX3/P+icAAAD//wMAUEsDBBQABgAIAAAAIQDbQ2cR&#10;3QAAAAkBAAAPAAAAZHJzL2Rvd25yZXYueG1sTI/BTsMwEETvSPyDtUjcqBNCaQhxKlQJhHpraBFH&#10;N16SiHgd2W4b+HoWcYDjzjzNzpTLyQ7iiD70jhSkswQEUuNMT62C7cvjVQ4iRE1GD45QwScGWFbn&#10;Z6UujDvRBo91bAWHUCi0gi7GsZAyNB1aHWZuRGLv3XmrI5++lcbrE4fbQV4nya20uif+0OkRVx02&#10;H/XBKpi+1nNsX/ub+Jw+Lfx6vnrLdrVSlxfTwz2IiFP8g+GnPleHijvt3YFMEIOCxV2aMcpGxpsY&#10;+BX2CvI8BVmV8v+C6hsAAP//AwBQSwECLQAUAAYACAAAACEAtoM4kv4AAADhAQAAEwAAAAAAAAAA&#10;AAAAAAAAAAAAW0NvbnRlbnRfVHlwZXNdLnhtbFBLAQItABQABgAIAAAAIQA4/SH/1gAAAJQBAAAL&#10;AAAAAAAAAAAAAAAAAC8BAABfcmVscy8ucmVsc1BLAQItABQABgAIAAAAIQCvsogbzwEAAIUDAAAO&#10;AAAAAAAAAAAAAAAAAC4CAABkcnMvZTJvRG9jLnhtbFBLAQItABQABgAIAAAAIQDbQ2cR3QAAAAkB&#10;AAAPAAAAAAAAAAAAAAAAACkEAABkcnMvZG93bnJldi54bWxQSwUGAAAAAAQABADzAAAAMwUAAAAA&#10;">
                <v:stroke endarrow="block"/>
                <v:shadow color="#ccc"/>
              </v:shape>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0528" behindDoc="0" locked="0" layoutInCell="1" allowOverlap="1" wp14:anchorId="0C2C112E" wp14:editId="119BC4F7">
                <wp:simplePos x="0" y="0"/>
                <wp:positionH relativeFrom="column">
                  <wp:posOffset>1016635</wp:posOffset>
                </wp:positionH>
                <wp:positionV relativeFrom="paragraph">
                  <wp:posOffset>123190</wp:posOffset>
                </wp:positionV>
                <wp:extent cx="0" cy="491490"/>
                <wp:effectExtent l="61595" t="13335" r="52705"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D04571" id="Straight Arrow Connector 71" o:spid="_x0000_s1026" type="#_x0000_t32" style="position:absolute;margin-left:80.05pt;margin-top:9.7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7Pc2&#10;yd4AAAAJAQAADwAAAGRycy9kb3ducmV2LnhtbEyPQU/DMAyF70j8h8hI3Fha2LqtNJ3QJBDabYUh&#10;jllj2orGqZJsK/x6PC5w87Ofnr9XrEbbiyP60DlSkE4SEEi1Mx01Cl5fHm8WIELUZHTvCBV8YYBV&#10;eXlR6Ny4E23xWMVGcAiFXCtoYxxyKUPdotVh4gYkvn04b3Vk6RtpvD5xuO3lbZJk0uqO+EOrB1y3&#10;WH9WB6tg/N7MsHnrpvE5fZr7zWz9frerlLq+Gh/uQUQc458ZzviMDiUz7d2BTBA96yxJ2crDcgri&#10;bPhd7BUsswXIspD/G5Q/AAAA//8DAFBLAQItABQABgAIAAAAIQC2gziS/gAAAOEBAAATAAAAAAAA&#10;AAAAAAAAAAAAAABbQ29udGVudF9UeXBlc10ueG1sUEsBAi0AFAAGAAgAAAAhADj9If/WAAAAlAEA&#10;AAsAAAAAAAAAAAAAAAAALwEAAF9yZWxzLy5yZWxzUEsBAi0AFAAGAAgAAAAhAAYyZz3QAQAAhQMA&#10;AA4AAAAAAAAAAAAAAAAALgIAAGRycy9lMm9Eb2MueG1sUEsBAi0AFAAGAAgAAAAhAOz3NsneAAAA&#10;CQEAAA8AAAAAAAAAAAAAAAAAKgQAAGRycy9kb3ducmV2LnhtbFBLBQYAAAAABAAEAPMAAAA1BQAA&#10;AAA=&#10;">
                <v:stroke endarrow="block"/>
                <v:shadow color="#ccc"/>
              </v:shape>
            </w:pict>
          </mc:Fallback>
        </mc:AlternateContent>
      </w:r>
    </w:p>
    <w:p w14:paraId="62284ACF"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9504" behindDoc="0" locked="0" layoutInCell="1" allowOverlap="1" wp14:anchorId="1FDFF480" wp14:editId="6DB391E3">
                <wp:simplePos x="0" y="0"/>
                <wp:positionH relativeFrom="column">
                  <wp:posOffset>2305685</wp:posOffset>
                </wp:positionH>
                <wp:positionV relativeFrom="paragraph">
                  <wp:posOffset>5080</wp:posOffset>
                </wp:positionV>
                <wp:extent cx="1432560" cy="354330"/>
                <wp:effectExtent l="0" t="0" r="15240" b="26670"/>
                <wp:wrapNone/>
                <wp:docPr id="73" name="Rectangle: Rounded Corner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354330"/>
                        </a:xfrm>
                        <a:prstGeom prst="roundRect">
                          <a:avLst>
                            <a:gd name="adj" fmla="val 16667"/>
                          </a:avLst>
                        </a:prstGeom>
                        <a:solidFill>
                          <a:srgbClr val="A9C7FD"/>
                        </a:solidFill>
                        <a:ln w="9525">
                          <a:solidFill>
                            <a:srgbClr val="000000"/>
                          </a:solidFill>
                          <a:round/>
                          <a:headEnd/>
                          <a:tailEnd/>
                        </a:ln>
                      </wps:spPr>
                      <wps:txbx>
                        <w:txbxContent>
                          <w:p w14:paraId="7F8D4A91"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FF480" id="Rectangle: Rounded Corners 73" o:spid="_x0000_s1033" style="position:absolute;left:0;text-align:left;margin-left:181.55pt;margin-top:.4pt;width:112.8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nbRAIAAIUEAAAOAAAAZHJzL2Uyb0RvYy54bWysVNtuEzEQfUfiHyy/082lSeiqm6pKKUIq&#10;ULXwAY7tzRq8HjN2skm/nrE3CQnwhMiDNbP2HM85x5Prm21r2UZjMOAqPrwYcKadBGXcquJfv9y/&#10;ectZiMIpYcHpiu904Dfz16+uO1/qETRglUZGIC6Una94E6MviyLIRrciXIDXjjZrwFZESnFVKBQd&#10;obe2GA0G06IDVB5B6hDo612/yecZv661jJ/rOujIbMWpt5hXzOsyrcX8WpQrFL4xct+G+IcuWmEc&#10;XXqEuhNRsDWaP6BaIxEC1PFCQltAXRupMwdiMxz8xua5EV5nLiRO8EeZwv+DlZ82j8iMqvhszJkT&#10;LXn0RKoJt7K6ZE+wdkortgB0ZDKjQ6RY50NJhc/+ERPn4B9Afg/MwaKhOn2LCF2jhaI+h+l8cVaQ&#10;kkClbNl9BEX3iXWELN62xjYBkixsmz3aHT3S28gkfRxejkeTKVkpaW88uRyPs4mFKA/VHkN8r6Fl&#10;Kag4JgqJUr5CbB5CzEapPVuhvnFWt5Zs3wjLhtPpdJabFuX+MGEfMDNdsEbdG2tzgqvlwiKj0orf&#10;Xi1m93f74nB6zDrWVfxqMprkLs72winEIP/+BpF55OeapH3nVI6jMLaPqUvr9loneXub4na57e1N&#10;mEn6JagdiY/QzwLNLgUN4AtnHc1BxcOPtUDNmf3gyMDLyWyUBuc0wdNkeZoIJwmq4pGzPlzEftjW&#10;Hs2qoZuGWQAHt2R6beLhdfRd7dunt07R2TCd5vnUr3+P+U8AAAD//wMAUEsDBBQABgAIAAAAIQBH&#10;eTd33gAAAAcBAAAPAAAAZHJzL2Rvd25yZXYueG1sTI9BS8NAEIXvQv/DMgVvdtMWY4jZlFJaQTyI&#10;qfS8yY7ZYHY2ZLdt9Nc7nvT2hvd475tiM7leXHAMnScFy0UCAqnxpqNWwfvxcJeBCFGT0b0nVPCF&#10;ATbl7KbQufFXesNLFVvBJRRyrcDGOORShsai02HhByT2PvzodORzbKUZ9ZXLXS9XSZJKpzviBasH&#10;3FlsPquzU7CrT6dDeKHv+sluj+Z1n+Fz1Sh1O5+2jyAiTvEvDL/4jA4lM9X+TCaIXsE6XS85qoAf&#10;YPs+yx5A1CzSFGRZyP/85Q8AAAD//wMAUEsBAi0AFAAGAAgAAAAhALaDOJL+AAAA4QEAABMAAAAA&#10;AAAAAAAAAAAAAAAAAFtDb250ZW50X1R5cGVzXS54bWxQSwECLQAUAAYACAAAACEAOP0h/9YAAACU&#10;AQAACwAAAAAAAAAAAAAAAAAvAQAAX3JlbHMvLnJlbHNQSwECLQAUAAYACAAAACEAUeD520QCAACF&#10;BAAADgAAAAAAAAAAAAAAAAAuAgAAZHJzL2Uyb0RvYy54bWxQSwECLQAUAAYACAAAACEAR3k3d94A&#10;AAAHAQAADwAAAAAAAAAAAAAAAACeBAAAZHJzL2Rvd25yZXYueG1sUEsFBgAAAAAEAAQA8wAAAKkF&#10;AAAAAA==&#10;" fillcolor="#a9c7fd">
                <v:textbox inset="3.6pt,,3.6pt">
                  <w:txbxContent>
                    <w:p w14:paraId="7F8D4A91"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Follow-Up</w:t>
                      </w:r>
                    </w:p>
                  </w:txbxContent>
                </v:textbox>
              </v:roundrect>
            </w:pict>
          </mc:Fallback>
        </mc:AlternateContent>
      </w:r>
    </w:p>
    <w:p w14:paraId="3ECAD8DE"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2336" behindDoc="0" locked="0" layoutInCell="1" allowOverlap="1" wp14:anchorId="1CF0A4EF" wp14:editId="56F414DA">
                <wp:simplePos x="0" y="0"/>
                <wp:positionH relativeFrom="column">
                  <wp:posOffset>-140335</wp:posOffset>
                </wp:positionH>
                <wp:positionV relativeFrom="paragraph">
                  <wp:posOffset>57785</wp:posOffset>
                </wp:positionV>
                <wp:extent cx="2628900" cy="492125"/>
                <wp:effectExtent l="0" t="0" r="19050" b="222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92125"/>
                        </a:xfrm>
                        <a:prstGeom prst="rect">
                          <a:avLst/>
                        </a:prstGeom>
                        <a:solidFill>
                          <a:srgbClr val="FFFFFF"/>
                        </a:solidFill>
                        <a:ln w="9525">
                          <a:solidFill>
                            <a:srgbClr val="000000"/>
                          </a:solidFill>
                          <a:miter lim="800000"/>
                          <a:headEnd/>
                          <a:tailEnd/>
                        </a:ln>
                      </wps:spPr>
                      <wps:txbx>
                        <w:txbxContent>
                          <w:p w14:paraId="4BC240FF" w14:textId="52B1049E" w:rsidR="001A2A2F" w:rsidRPr="001A2A2F" w:rsidRDefault="001A2A2F" w:rsidP="001A2A2F">
                            <w:pPr>
                              <w:rPr>
                                <w:strike w:val="0"/>
                                <w:lang w:val="en-CA"/>
                              </w:rPr>
                            </w:pPr>
                            <w:r w:rsidRPr="001A2A2F">
                              <w:rPr>
                                <w:strike w:val="0"/>
                                <w:lang w:val="en-CA"/>
                              </w:rPr>
                              <w:t>Lost to follow-up (n=11)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A4EF" id="Rectangle 74" o:spid="_x0000_s1034" style="position:absolute;left:0;text-align:left;margin-left:-11.05pt;margin-top:4.55pt;width:207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sVIgIAAFAEAAAOAAAAZHJzL2Uyb0RvYy54bWysVNuO0zAQfUfiHyy/01zUXdqo6WrVpQhp&#10;gRULH+A6TmLhG2O3Sfl6xk63Wy7iAZEHy2OPz5w5M5PVzagVOQjw0pqaFrOcEmG4baTpavrl8/bV&#10;ghIfmGmYskbU9Cg8vVm/fLEaXCVK21vVCCAIYnw1uJr2IbgqyzzvhWZ+Zp0weNla0CygCV3WABsQ&#10;XauszPPrbLDQOLBceI+nd9MlXSf8thU8fGxbLwJRNUVuIa2Q1l1cs/WKVR0w10t+osH+gYVm0mDQ&#10;M9QdC4zsQf4GpSUH620bZtzqzLat5CLlgNkU+S/ZPPbMiZQLiuPdWSb//2D5h8MDENnU9PWcEsM0&#10;1ugTqsZMpwTBMxRocL5Cv0f3ADFF7+4t/+qJsZse3cQtgB16wRqkVUT/7KcH0fD4lOyG97ZBeLYP&#10;Nmk1tqAjIKpAxlSS47kkYgyE42F5XS6WOVaO4918WRblVQrBqqfXDnx4K6wmcVNTQPIJnR3ufYhs&#10;WPXkkthbJZutVCoZ0O02CsiBYXts03dC95duypChpssrjP13iDx9f4LQMmCfK6lrujg7sSrK9sY0&#10;qQsDk2raI2VlTjpG6aYShHE3pkotYoAo6842RxQW7NTWOIa46S18p2TAlq6p/7ZnIChR7wwWZ1nM&#10;53EGLg24NHaXBjMcoWoaKJm2mzDNzd6B7HqMVCQ1jL3FgrYyaf3M6kQf2zaV4DRicS4u7eT1/CNY&#10;/wAAAP//AwBQSwMEFAAGAAgAAAAhAGxRAi7eAAAACAEAAA8AAABkcnMvZG93bnJldi54bWxMj81O&#10;wzAQhO9IvIO1SNxaJ6kIScim4kecEIcGBFfXXpKIeB3Fbpu+PeYEp9FqRjPf1tvFjuJIsx8cI6Tr&#10;BASxdmbgDuH97XlVgPBBsVGjY0I4k4dtc3lRq8q4E+/o2IZOxBL2lULoQ5gqKb3uySq/dhNx9L7c&#10;bFWI59xJM6tTLLejzJIkl1YNHBd6NdFjT/q7PViE2y48tfrhRn+89ufipVw2ftd+Il5fLfd3IAIt&#10;4S8Mv/gRHZrItHcHNl6MCKssS2MUoYwS/U2ZliD2CEWeg2xq+f+B5gcAAP//AwBQSwECLQAUAAYA&#10;CAAAACEAtoM4kv4AAADhAQAAEwAAAAAAAAAAAAAAAAAAAAAAW0NvbnRlbnRfVHlwZXNdLnhtbFBL&#10;AQItABQABgAIAAAAIQA4/SH/1gAAAJQBAAALAAAAAAAAAAAAAAAAAC8BAABfcmVscy8ucmVsc1BL&#10;AQItABQABgAIAAAAIQASJTsVIgIAAFAEAAAOAAAAAAAAAAAAAAAAAC4CAABkcnMvZTJvRG9jLnht&#10;bFBLAQItABQABgAIAAAAIQBsUQIu3gAAAAgBAAAPAAAAAAAAAAAAAAAAAHwEAABkcnMvZG93bnJl&#10;di54bWxQSwUGAAAAAAQABADzAAAAhwUAAAAA&#10;">
                <v:textbox inset=",7.2pt,,7.2pt">
                  <w:txbxContent>
                    <w:p w14:paraId="4BC240FF" w14:textId="52B1049E" w:rsidR="001A2A2F" w:rsidRPr="001A2A2F" w:rsidRDefault="001A2A2F" w:rsidP="001A2A2F">
                      <w:pPr>
                        <w:rPr>
                          <w:strike w:val="0"/>
                          <w:lang w:val="en-CA"/>
                        </w:rPr>
                      </w:pPr>
                      <w:r w:rsidRPr="001A2A2F">
                        <w:rPr>
                          <w:strike w:val="0"/>
                          <w:lang w:val="en-CA"/>
                        </w:rPr>
                        <w:t>Lost to follow-up (n=11)</w:t>
                      </w:r>
                    </w:p>
                  </w:txbxContent>
                </v:textbox>
              </v:rect>
            </w:pict>
          </mc:Fallback>
        </mc:AlternateContent>
      </w:r>
      <w:r w:rsidRPr="001A2A2F">
        <w:rPr>
          <w:rFonts w:eastAsia="Calibri"/>
          <w:b/>
          <w:strike w:val="0"/>
          <w:noProof/>
          <w:lang w:val="en-US" w:eastAsia="en-US"/>
        </w:rPr>
        <mc:AlternateContent>
          <mc:Choice Requires="wps">
            <w:drawing>
              <wp:anchor distT="0" distB="0" distL="114300" distR="114300" simplePos="0" relativeHeight="251664384" behindDoc="0" locked="0" layoutInCell="1" allowOverlap="1" wp14:anchorId="6CD0D997" wp14:editId="2338735D">
                <wp:simplePos x="0" y="0"/>
                <wp:positionH relativeFrom="column">
                  <wp:posOffset>3608705</wp:posOffset>
                </wp:positionH>
                <wp:positionV relativeFrom="paragraph">
                  <wp:posOffset>17780</wp:posOffset>
                </wp:positionV>
                <wp:extent cx="2559050" cy="480060"/>
                <wp:effectExtent l="0" t="0" r="12700" b="1524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80060"/>
                        </a:xfrm>
                        <a:prstGeom prst="rect">
                          <a:avLst/>
                        </a:prstGeom>
                        <a:solidFill>
                          <a:srgbClr val="FFFFFF"/>
                        </a:solidFill>
                        <a:ln w="9525">
                          <a:solidFill>
                            <a:srgbClr val="000000"/>
                          </a:solidFill>
                          <a:miter lim="800000"/>
                          <a:headEnd/>
                          <a:tailEnd/>
                        </a:ln>
                      </wps:spPr>
                      <wps:txbx>
                        <w:txbxContent>
                          <w:p w14:paraId="375FB804" w14:textId="77777777" w:rsidR="001A2A2F" w:rsidRPr="001A2A2F" w:rsidRDefault="001A2A2F" w:rsidP="001A2A2F">
                            <w:pPr>
                              <w:rPr>
                                <w:strike w:val="0"/>
                                <w:lang w:val="en-CA"/>
                              </w:rPr>
                            </w:pPr>
                            <w:r w:rsidRPr="001A2A2F">
                              <w:rPr>
                                <w:strike w:val="0"/>
                                <w:lang w:val="en-CA"/>
                              </w:rPr>
                              <w:t>Lost to follow-up (n=18)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0D997" id="Rectangle 72" o:spid="_x0000_s1035" style="position:absolute;left:0;text-align:left;margin-left:284.15pt;margin-top:1.4pt;width:201.5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d/JwIAAFAEAAAOAAAAZHJzL2Uyb0RvYy54bWysVNuO0zAQfUfiHyy/06RVC9uo6WrVpQhp&#10;YVcsfIDjOImFb4zdJuXrGTvdbhZ4QvjBmrHHJzPnzGRzPWhFjgK8tKak81lOiTDc1tK0Jf32df/m&#10;ihIfmKmZskaU9CQ8vd6+frXpXSEWtrOqFkAQxPiidyXtQnBFlnneCc38zDph8LKxoFlAF9qsBtYj&#10;ulbZIs/fZr2F2oHlwns8vR0v6TbhN43g4b5pvAhElRRzC2mHtFdxz7YbVrTAXCf5OQ32D1loJg1+&#10;9AJ1ywIjB5B/QGnJwXrbhBm3OrNNI7lINWA18/y3ah475kSqBcnx7kKT/3+w/PPxAYisS/puQYlh&#10;GjX6gqwx0ypB8AwJ6p0vMO7RPUAs0bs7y797YuyuwzBxA2D7TrAa05rH+OzFg+h4fEqq/pOtEZ4d&#10;gk1cDQ3oCIgskCFJcrpIIoZAOB4uVqt1vkLlON4tr1DxpFnGiqfXDnz4IKwm0SgpYPIJnR3vfIjZ&#10;sOIpJGVvlaz3UqnkQFvtFJAjw/bYp5UKwCKnYcqQvqTr1WKVkF/c+SlEntbfILQM2OdK6pJiEbhi&#10;ECsibe9NnezApBptTFmZM4+RulGCMFRDUmod30ZaK1ufkFiwY1vjGKLRWfhJSY8tXVL/48BAUKI+&#10;GhRnPV8u4wxMHZg61dRhhiNUSQMlo7kL49wcHMi2wy/NExvG3qCgjUxcP2d1Th/bNklwHrE4F1M/&#10;RT3/CLa/AAAA//8DAFBLAwQUAAYACAAAACEA7cqjZt0AAAAIAQAADwAAAGRycy9kb3ducmV2Lnht&#10;bEyPzU7DMBCE70i8g7VI3KjTlrZpiFPxI06IQwOCq2svcUS8jmK3Td++2xMcRzP6ZqbcjL4TBxxi&#10;G0jBdJKBQDLBttQo+Px4vctBxKTJ6i4QKjhhhE11fVXqwoYjbfFQp0YwhGKhFbiU+kLKaBx6HSeh&#10;R2LvJwxeJ5ZDI+2gjwz3nZxl2VJ63RI3ON3js0PzW++9glWTXmrztDBf7+6Uv63HedzW30rd3oyP&#10;DyASjukvDJf5PB0q3rQLe7JRdAoWy3zOUQUzfsD+ejVlvWN4fg+yKuX/A9UZAAD//wMAUEsBAi0A&#10;FAAGAAgAAAAhALaDOJL+AAAA4QEAABMAAAAAAAAAAAAAAAAAAAAAAFtDb250ZW50X1R5cGVzXS54&#10;bWxQSwECLQAUAAYACAAAACEAOP0h/9YAAACUAQAACwAAAAAAAAAAAAAAAAAvAQAAX3JlbHMvLnJl&#10;bHNQSwECLQAUAAYACAAAACEAAZW3fycCAABQBAAADgAAAAAAAAAAAAAAAAAuAgAAZHJzL2Uyb0Rv&#10;Yy54bWxQSwECLQAUAAYACAAAACEA7cqjZt0AAAAIAQAADwAAAAAAAAAAAAAAAACBBAAAZHJzL2Rv&#10;d25yZXYueG1sUEsFBgAAAAAEAAQA8wAAAIsFAAAAAA==&#10;">
                <v:textbox inset=",7.2pt,,7.2pt">
                  <w:txbxContent>
                    <w:p w14:paraId="375FB804" w14:textId="77777777" w:rsidR="001A2A2F" w:rsidRPr="001A2A2F" w:rsidRDefault="001A2A2F" w:rsidP="001A2A2F">
                      <w:pPr>
                        <w:rPr>
                          <w:strike w:val="0"/>
                          <w:lang w:val="en-CA"/>
                        </w:rPr>
                      </w:pPr>
                      <w:r w:rsidRPr="001A2A2F">
                        <w:rPr>
                          <w:strike w:val="0"/>
                          <w:lang w:val="en-CA"/>
                        </w:rPr>
                        <w:t>Lost to follow-up (n=18)</w:t>
                      </w:r>
                    </w:p>
                  </w:txbxContent>
                </v:textbox>
              </v:rect>
            </w:pict>
          </mc:Fallback>
        </mc:AlternateContent>
      </w:r>
    </w:p>
    <w:p w14:paraId="06EE852F"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36576" distB="36576" distL="36576" distR="36576" simplePos="0" relativeHeight="251672576" behindDoc="0" locked="0" layoutInCell="1" allowOverlap="1" wp14:anchorId="47AE73DA" wp14:editId="0A9F4D76">
                <wp:simplePos x="0" y="0"/>
                <wp:positionH relativeFrom="column">
                  <wp:posOffset>1049655</wp:posOffset>
                </wp:positionH>
                <wp:positionV relativeFrom="paragraph">
                  <wp:posOffset>273050</wp:posOffset>
                </wp:positionV>
                <wp:extent cx="0" cy="461010"/>
                <wp:effectExtent l="60325" t="9525" r="53975" b="1524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933523" id="Straight Arrow Connector 75" o:spid="_x0000_s1026" type="#_x0000_t32" style="position:absolute;margin-left:82.65pt;margin-top:21.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qFFMDN4A&#10;AAAKAQAADwAAAGRycy9kb3ducmV2LnhtbEyPzU7DMBCE70i8g7VI3KgT0gQU4lSoEgj1RvgRRzde&#10;koh4HdluG3h6tr3AbWd3NPtNtZrtKPbow+BIQbpIQCC1zgzUKXh9ebi6BRGiJqNHR6jgGwOs6vOz&#10;SpfGHegZ903sBIdQKLWCPsaplDK0PVodFm5C4tun81ZHlr6TxusDh9tRXidJIa0eiD/0esJ1j+1X&#10;s7MK5p9Njt37sIxP6eON3+Trj+ytUeryYr6/AxFxjn9mOOIzOtTMtHU7MkGMrIs8Y6uCZcadjobT&#10;YstDmhcg60r+r1D/AgAA//8DAFBLAQItABQABgAIAAAAIQC2gziS/gAAAOEBAAATAAAAAAAAAAAA&#10;AAAAAAAAAABbQ29udGVudF9UeXBlc10ueG1sUEsBAi0AFAAGAAgAAAAhADj9If/WAAAAlAEAAAsA&#10;AAAAAAAAAAAAAAAALwEAAF9yZWxzLy5yZWxzUEsBAi0AFAAGAAgAAAAhAC8RxH/NAQAAhQMAAA4A&#10;AAAAAAAAAAAAAAAALgIAAGRycy9lMm9Eb2MueG1sUEsBAi0AFAAGAAgAAAAhAKhRTAzeAAAACgEA&#10;AA8AAAAAAAAAAAAAAAAAJwQAAGRycy9kb3ducmV2LnhtbFBLBQYAAAAABAAEAPMAAAAyBQAAAAA=&#10;">
                <v:stroke endarrow="block"/>
                <v:shadow color="#ccc"/>
              </v:shape>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3600" behindDoc="0" locked="0" layoutInCell="1" allowOverlap="1" wp14:anchorId="1C6B647D" wp14:editId="5EFAC0DC">
                <wp:simplePos x="0" y="0"/>
                <wp:positionH relativeFrom="column">
                  <wp:posOffset>5013618</wp:posOffset>
                </wp:positionH>
                <wp:positionV relativeFrom="paragraph">
                  <wp:posOffset>210478</wp:posOffset>
                </wp:positionV>
                <wp:extent cx="635" cy="461010"/>
                <wp:effectExtent l="56515" t="9525" r="57150" b="1524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6A371E" id="Straight Arrow Connector 76" o:spid="_x0000_s1026" type="#_x0000_t32" style="position:absolute;margin-left:394.75pt;margin-top:16.5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Q0QEAAIcDAAAOAAAAZHJzL2Uyb0RvYy54bWysU8uO2zAMvBfoPwi6N07SJmiNOHvIdnvZ&#10;tgF2+wGMRNtCZVGglDj5+0paJ33divogkBI5HA7pzd15sOKEHAy5Ri5mcynQKdLGdY389vzw5r0U&#10;IYLTYMlhIy8Y5N329avN6GtcUk9WI4sE4kI9+kb2Mfq6qoLqcYAwI48uPbbEA8TkcldphjGhD7Za&#10;zufraiTWnklhCOn2/uVRbgt+26KKX9s2YBS2kYlbLCeX85DParuBumPwvVETDfgHFgMYl4reoO4h&#10;gjiy+QtqMIopUBtnioaK2tYoLD2kbhbzP7p56sFj6SWJE/xNpvD/YNWX087tOVNXZ/fkH0l9D8LR&#10;rgfXYSHwfPFpcIssVTX6UN9SshP8nsVh/Ew6xcAxUlHh3PKQIVN/4lzEvtzExnMUKl2u366kUOn+&#10;3XqRWi/wUF8zPYf4CWkQ2WhkiAym6+OOnEszJV6UOnB6DDHzgvqakMs6ejDWltFaJ8ZGflgtVyUh&#10;kDU6P+awwN1hZ1mcIC9H+SYWv4UxHZ0uYD2C/jjZEYxNtohFncgm6WVR5moDaikspv8hWy/0rMsV&#10;sWzkxPkqX97VUB9IX/acg7OXpl26mjYzr9Ovfon6+f9sfwAAAP//AwBQSwMEFAAGAAgAAAAhAOK8&#10;eFDfAAAACgEAAA8AAABkcnMvZG93bnJldi54bWxMj01PwzAMhu9I/IfISNxYWkrXUZpOaBII7bby&#10;IY5ZY9qKxqmSbCv8eswJjrYfvX7eaj3bURzRh8GRgnSRgEBqnRmoU/Dy/HC1AhGiJqNHR6jgCwOs&#10;6/OzSpfGnWiHxyZ2gkMolFpBH+NUShnaHq0OCzch8e3Deasjj76TxusTh9tRXifJUlo9EH/o9YSb&#10;HtvP5mAVzN/bHLu34SY+pY+F3+ab9+y1UeryYr6/AxFxjn8w/OqzOtTstHcHMkGMCorVbc6ogixL&#10;QTDAiyWIPZNJXoCsK/m/Qv0DAAD//wMAUEsBAi0AFAAGAAgAAAAhALaDOJL+AAAA4QEAABMAAAAA&#10;AAAAAAAAAAAAAAAAAFtDb250ZW50X1R5cGVzXS54bWxQSwECLQAUAAYACAAAACEAOP0h/9YAAACU&#10;AQAACwAAAAAAAAAAAAAAAAAvAQAAX3JlbHMvLnJlbHNQSwECLQAUAAYACAAAACEAsZAQkNEBAACH&#10;AwAADgAAAAAAAAAAAAAAAAAuAgAAZHJzL2Uyb0RvYy54bWxQSwECLQAUAAYACAAAACEA4rx4UN8A&#10;AAAKAQAADwAAAAAAAAAAAAAAAAArBAAAZHJzL2Rvd25yZXYueG1sUEsFBgAAAAAEAAQA8wAAADcF&#10;AAAAAA==&#10;">
                <v:stroke endarrow="block"/>
                <v:shadow color="#ccc"/>
              </v:shape>
            </w:pict>
          </mc:Fallback>
        </mc:AlternateContent>
      </w:r>
    </w:p>
    <w:p w14:paraId="077808F6"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8480" behindDoc="0" locked="0" layoutInCell="1" allowOverlap="1" wp14:anchorId="54C5B3A1" wp14:editId="3F88FD0F">
                <wp:simplePos x="0" y="0"/>
                <wp:positionH relativeFrom="column">
                  <wp:posOffset>2305685</wp:posOffset>
                </wp:positionH>
                <wp:positionV relativeFrom="paragraph">
                  <wp:posOffset>5079</wp:posOffset>
                </wp:positionV>
                <wp:extent cx="1426845" cy="455295"/>
                <wp:effectExtent l="0" t="0" r="20955" b="20955"/>
                <wp:wrapNone/>
                <wp:docPr id="77" name="Rectangle: Rounded Corner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455295"/>
                        </a:xfrm>
                        <a:prstGeom prst="roundRect">
                          <a:avLst>
                            <a:gd name="adj" fmla="val 16667"/>
                          </a:avLst>
                        </a:prstGeom>
                        <a:solidFill>
                          <a:srgbClr val="A9C7FD"/>
                        </a:solidFill>
                        <a:ln w="9525">
                          <a:solidFill>
                            <a:srgbClr val="000000"/>
                          </a:solidFill>
                          <a:round/>
                          <a:headEnd/>
                          <a:tailEnd/>
                        </a:ln>
                      </wps:spPr>
                      <wps:txbx>
                        <w:txbxContent>
                          <w:p w14:paraId="5B628A09"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5B3A1" id="Rectangle: Rounded Corners 77" o:spid="_x0000_s1036" style="position:absolute;left:0;text-align:left;margin-left:181.55pt;margin-top:.4pt;width:112.35pt;height:3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DHFRQIAAIYEAAAOAAAAZHJzL2Uyb0RvYy54bWysVFFv0zAQfkfiP1h+p2mqpl2jpdPUUYQ0&#10;YNrgB7i20xgcnzm7Tcev5+K0pQOeEH2w7uK77+77ztfrm0Nr2V5jMOAqno/GnGknQRm3rfiXz+s3&#10;V5yFKJwSFpyu+LMO/Gb5+tV150s9gQas0sgIxIWy8xVvYvRllgXZ6FaEEXjt6LIGbEUkF7eZQtER&#10;emuzyXg8yzpA5RGkDoG+3g2XfJnw61rL+Kmug47MVpx6i+nEdG76M1tei3KLwjdGHtsQ/9BFK4yj&#10;omeoOxEF26H5A6o1EiFAHUcS2gzq2kidOBCbfPwbm6dGeJ24kDjBn2UK/w9Wftw/IDOq4vM5Z060&#10;NKNHUk24rdUle4SdU1qxFaCjITMKIsU6H0pKfPIP2HMO/h7kt8AcrBrK07eI0DVaKOoz7+OzFwm9&#10;EyiVbboPoKie2EVI4h1qbHtAkoUd0oyezzPSh8gkfcynk9nVtOBM0t20KCaLIpUQ5SnbY4jvNLSs&#10;NyqOPYWeUioh9vchpkGpI1uhvnJWt5bGvheW5bPZLJHMRHkMJuuEmeiCNWptrE0Objcri4xSK367&#10;WM3Xd8d2wmWYdayr+KKYFKmLF3fhEmKcfn+DSDzSc+2lfetUsqMwdrCpS+uOWvfyDmOKh80hjTdP&#10;b73XfgPqmdRHGJaBlpeMBvAHZx0tQsXD951AzZl972iC02I+6Tfn0sFLZ3PpCCcJquKRs8FcxWHb&#10;dh7NtqFKeVLAwS1NvTbx9DyGro7902Mn68U2Xfop6tffx/InAAAA//8DAFBLAwQUAAYACAAAACEA&#10;fZ65Z94AAAAHAQAADwAAAGRycy9kb3ducmV2LnhtbEyPQWvCQBCF74X+h2WE3upGRQ1pNiJSC6WH&#10;0lg8b7LTbDA7G7Krpv31nZ7q7Q3v8d43+WZ0nbjgEFpPCmbTBARS7U1LjYLPw/4xBRGiJqM7T6jg&#10;GwNsivu7XGfGX+kDL2VsBJdQyLQCG2OfSRlqi06Hqe+R2Pvyg9ORz6GRZtBXLnednCfJSjrdEi9Y&#10;3ePOYn0qz07Brjoe9+GNfqoXuz2Y9+cUX8taqYfJuH0CEXGM/2H4w2d0KJip8mcyQXQKFqvFjKMK&#10;+AG2l+maRaVgPV+CLHJ5y1/8AgAA//8DAFBLAQItABQABgAIAAAAIQC2gziS/gAAAOEBAAATAAAA&#10;AAAAAAAAAAAAAAAAAABbQ29udGVudF9UeXBlc10ueG1sUEsBAi0AFAAGAAgAAAAhADj9If/WAAAA&#10;lAEAAAsAAAAAAAAAAAAAAAAALwEAAF9yZWxzLy5yZWxzUEsBAi0AFAAGAAgAAAAhAPngMcVFAgAA&#10;hgQAAA4AAAAAAAAAAAAAAAAALgIAAGRycy9lMm9Eb2MueG1sUEsBAi0AFAAGAAgAAAAhAH2euWfe&#10;AAAABwEAAA8AAAAAAAAAAAAAAAAAnwQAAGRycy9kb3ducmV2LnhtbFBLBQYAAAAABAAEAPMAAACq&#10;BQAAAAA=&#10;" fillcolor="#a9c7fd">
                <v:textbox inset="3.6pt,,3.6pt">
                  <w:txbxContent>
                    <w:p w14:paraId="5B628A09"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Analysis</w:t>
                      </w:r>
                    </w:p>
                  </w:txbxContent>
                </v:textbox>
              </v:roundrect>
            </w:pict>
          </mc:Fallback>
        </mc:AlternateContent>
      </w:r>
    </w:p>
    <w:p w14:paraId="22FC7147" w14:textId="6F0F5DBE" w:rsidR="001A2A2F" w:rsidRPr="001A2A2F" w:rsidRDefault="002E12A3"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1312" behindDoc="0" locked="0" layoutInCell="1" allowOverlap="1" wp14:anchorId="0560EC90" wp14:editId="76B31837">
                <wp:simplePos x="0" y="0"/>
                <wp:positionH relativeFrom="column">
                  <wp:posOffset>-169545</wp:posOffset>
                </wp:positionH>
                <wp:positionV relativeFrom="paragraph">
                  <wp:posOffset>208280</wp:posOffset>
                </wp:positionV>
                <wp:extent cx="2674620" cy="704215"/>
                <wp:effectExtent l="0" t="0" r="11430" b="1968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704215"/>
                        </a:xfrm>
                        <a:prstGeom prst="rect">
                          <a:avLst/>
                        </a:prstGeom>
                        <a:solidFill>
                          <a:srgbClr val="FFFFFF"/>
                        </a:solidFill>
                        <a:ln w="9525">
                          <a:solidFill>
                            <a:srgbClr val="000000"/>
                          </a:solidFill>
                          <a:miter lim="800000"/>
                          <a:headEnd/>
                          <a:tailEnd/>
                        </a:ln>
                      </wps:spPr>
                      <wps:txbx>
                        <w:txbxContent>
                          <w:p w14:paraId="0572B227" w14:textId="77777777" w:rsidR="001A2A2F" w:rsidRPr="001A2A2F" w:rsidRDefault="001A2A2F" w:rsidP="001A2A2F">
                            <w:pPr>
                              <w:spacing w:line="480" w:lineRule="auto"/>
                              <w:rPr>
                                <w:strike w:val="0"/>
                              </w:rPr>
                            </w:pPr>
                            <w:r w:rsidRPr="001A2A2F">
                              <w:rPr>
                                <w:strike w:val="0"/>
                                <w:lang w:val="en-CA"/>
                              </w:rPr>
                              <w:t>Analysed (n=173)</w:t>
                            </w:r>
                            <w:r w:rsidRPr="001A2A2F">
                              <w:rPr>
                                <w:strike w:val="0"/>
                                <w:lang w:val="en-CA"/>
                              </w:rPr>
                              <w:br/>
                              <w:t>Excluded from analysis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EC90" id="Rectangle 78" o:spid="_x0000_s1037" style="position:absolute;left:0;text-align:left;margin-left:-13.35pt;margin-top:16.4pt;width:210.6pt;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hdJgIAAFEEAAAOAAAAZHJzL2Uyb0RvYy54bWysVF1v2yAUfZ+0/4B4X/yhfLRWnKpKl2lS&#10;t1br9gMwxjYaBnYhsbNfvwtJU3fb0zQ/IC5cDodz7vX6ZuwVOQhw0uiSZrOUEqG5qaVuS/rt6+7d&#10;FSXOM10zZbQo6VE4erN5+2Y92ELkpjOqFkAQRLtisCXtvLdFkjjeiZ65mbFC42ZjoGceQ2iTGtiA&#10;6L1K8jRdJoOB2oLhwjlcvTtt0k3EbxrB/UPTOOGJKily83GEOFZhTDZrVrTAbCf5mQb7BxY9kxov&#10;vUDdMc/IHuQfUL3kYJxp/IybPjFNI7mIb8DXZOlvr3nqmBXxLSiOsxeZ3P+D5Z8Pj0BkXdIVOqVZ&#10;jx59QdWYbpUguIYCDdYVmPdkHyE80dl7w787os22wzRxC2CGTrAaaWUhP3l1IAQOj5Jq+GRqhGd7&#10;b6JWYwN9AEQVyBgtOV4sEaMnHBfz5Wq+zNE5jnurdJ5ni3gFK55PW3D+gzA9CZOSApKP6Oxw73xg&#10;w4rnlMjeKFnvpFIxgLbaKiAHhuWxi98Z3U3TlCZDSa8X+SIiv9pzU4g0fn+D6KXHOleyL+nVJYkV&#10;Qbb3uo5V6JlUpzlSVvqsY5DuZIEfqzE6lUWVg66VqY+oLJhTXWMf4qQz8JOSAWu6pO7HnoGgRH3U&#10;6M51Np+HJpgGMA2qacA0R6iSekpO060/Nc7egmw7vCmLcmhzi442Mor9wurMH+s2enDusdAY0zhm&#10;vfwJNr8AAAD//wMAUEsDBBQABgAIAAAAIQByP+Cn4AAAAAoBAAAPAAAAZHJzL2Rvd25yZXYueG1s&#10;TI/LTsMwEEX3SPyDNUjsWoekbdoQp+IhVqiLBgRb1xniiHgcxW6b/j3DCpajObr33HI7uV6ccAyd&#10;JwV38wQEkvFNR62C97eX2RpEiJoa3XtCBRcMsK2ur0pdNP5MezzVsRUcQqHQCmyMQyFlMBadDnM/&#10;IPHvy49ORz7HVjajPnO462WaJCvpdEfcYPWATxbNd310CvI2PtfmcWk+dvayft1MWdjXn0rd3kwP&#10;9yAiTvEPhl99VoeKnQ7+SE0QvYJZusoZVZClPIGBbLNYgjgwuchykFUp/0+ofgAAAP//AwBQSwEC&#10;LQAUAAYACAAAACEAtoM4kv4AAADhAQAAEwAAAAAAAAAAAAAAAAAAAAAAW0NvbnRlbnRfVHlwZXNd&#10;LnhtbFBLAQItABQABgAIAAAAIQA4/SH/1gAAAJQBAAALAAAAAAAAAAAAAAAAAC8BAABfcmVscy8u&#10;cmVsc1BLAQItABQABgAIAAAAIQBCYXhdJgIAAFEEAAAOAAAAAAAAAAAAAAAAAC4CAABkcnMvZTJv&#10;RG9jLnhtbFBLAQItABQABgAIAAAAIQByP+Cn4AAAAAoBAAAPAAAAAAAAAAAAAAAAAIAEAABkcnMv&#10;ZG93bnJldi54bWxQSwUGAAAAAAQABADzAAAAjQUAAAAA&#10;">
                <v:textbox inset=",7.2pt,,7.2pt">
                  <w:txbxContent>
                    <w:p w14:paraId="0572B227" w14:textId="77777777" w:rsidR="001A2A2F" w:rsidRPr="001A2A2F" w:rsidRDefault="001A2A2F" w:rsidP="001A2A2F">
                      <w:pPr>
                        <w:spacing w:line="480" w:lineRule="auto"/>
                        <w:rPr>
                          <w:strike w:val="0"/>
                        </w:rPr>
                      </w:pPr>
                      <w:r w:rsidRPr="001A2A2F">
                        <w:rPr>
                          <w:strike w:val="0"/>
                          <w:lang w:val="en-CA"/>
                        </w:rPr>
                        <w:t>Analysed (n=173)</w:t>
                      </w:r>
                      <w:r w:rsidRPr="001A2A2F">
                        <w:rPr>
                          <w:strike w:val="0"/>
                          <w:lang w:val="en-CA"/>
                        </w:rPr>
                        <w:br/>
                        <w:t>Excluded from analysis (n=0)</w:t>
                      </w:r>
                    </w:p>
                  </w:txbxContent>
                </v:textbox>
              </v:rect>
            </w:pict>
          </mc:Fallback>
        </mc:AlternateContent>
      </w:r>
      <w:r w:rsidRPr="001A2A2F">
        <w:rPr>
          <w:rFonts w:eastAsia="Calibri"/>
          <w:b/>
          <w:strike w:val="0"/>
          <w:noProof/>
          <w:lang w:val="en-US" w:eastAsia="en-US"/>
        </w:rPr>
        <mc:AlternateContent>
          <mc:Choice Requires="wps">
            <w:drawing>
              <wp:anchor distT="0" distB="0" distL="114300" distR="114300" simplePos="0" relativeHeight="251666432" behindDoc="0" locked="0" layoutInCell="1" allowOverlap="1" wp14:anchorId="692206AE" wp14:editId="532A2257">
                <wp:simplePos x="0" y="0"/>
                <wp:positionH relativeFrom="column">
                  <wp:posOffset>3637915</wp:posOffset>
                </wp:positionH>
                <wp:positionV relativeFrom="paragraph">
                  <wp:posOffset>209550</wp:posOffset>
                </wp:positionV>
                <wp:extent cx="2574290" cy="771525"/>
                <wp:effectExtent l="0" t="0" r="16510" b="2857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4290" cy="771525"/>
                        </a:xfrm>
                        <a:prstGeom prst="rect">
                          <a:avLst/>
                        </a:prstGeom>
                        <a:solidFill>
                          <a:srgbClr val="FFFFFF"/>
                        </a:solidFill>
                        <a:ln w="9525">
                          <a:solidFill>
                            <a:srgbClr val="000000"/>
                          </a:solidFill>
                          <a:miter lim="800000"/>
                          <a:headEnd/>
                          <a:tailEnd/>
                        </a:ln>
                      </wps:spPr>
                      <wps:txbx>
                        <w:txbxContent>
                          <w:p w14:paraId="734F545F" w14:textId="77777777" w:rsidR="001A2A2F" w:rsidRPr="001A2A2F" w:rsidRDefault="001A2A2F" w:rsidP="001A2A2F">
                            <w:pPr>
                              <w:spacing w:line="480" w:lineRule="auto"/>
                              <w:rPr>
                                <w:strike w:val="0"/>
                              </w:rPr>
                            </w:pPr>
                            <w:r w:rsidRPr="001A2A2F">
                              <w:rPr>
                                <w:strike w:val="0"/>
                                <w:lang w:val="en-CA"/>
                              </w:rPr>
                              <w:t>Analysed (n= 166)</w:t>
                            </w:r>
                            <w:r w:rsidRPr="001A2A2F">
                              <w:rPr>
                                <w:strike w:val="0"/>
                                <w:lang w:val="en-CA"/>
                              </w:rPr>
                              <w:br/>
                              <w:t>Excluded from analysis (n= 0)</w:t>
                            </w:r>
                          </w:p>
                          <w:p w14:paraId="4564AAFC" w14:textId="77777777" w:rsidR="001A2A2F" w:rsidRDefault="001A2A2F" w:rsidP="001A2A2F">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206AE" id="Rectangle 79" o:spid="_x0000_s1038" style="position:absolute;left:0;text-align:left;margin-left:286.45pt;margin-top:16.5pt;width:202.7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4kIwIAAFEEAAAOAAAAZHJzL2Uyb0RvYy54bWysVNuO0zAQfUfiHyy/0zRRS7dR09WqSxHS&#10;AisWPsBxnMTCN8Zuk+XrGTvdbrmIB0QeLI89PnPmzEw216NW5CjAS2sqms/mlAjDbSNNV9Evn/ev&#10;rijxgZmGKWtERR+Fp9fbly82gytFYXurGgEEQYwvB1fRPgRXZpnnvdDMz6wTBi9bC5oFNKHLGmAD&#10;omuVFfP562yw0DiwXHiPp7fTJd0m/LYVPHxsWy8CURVFbiGtkNY6rtl2w8oOmOslP9Fg/8BCM2kw&#10;6BnqlgVGDiB/g9KSg/W2DTNudWbbVnKRcsBs8vkv2Tz0zImUC4rj3Vkm//9g+YfjPRDZVHS1psQw&#10;jTX6hKox0ylB8AwFGpwv0e/B3UNM0bs7y796YuyuRzdxA2CHXrAGaeXRP/vpQTQ8PiX18N42CM8O&#10;wSatxhZ0BEQVyJhK8nguiRgD4XhYLFeLYo2V43i3WuXLYplCsPLptQMf3gqrSdxUFJB8QmfHOx8i&#10;G1Y+uST2VslmL5VKBnT1TgE5MmyPffpO6P7STRkyVHQdY/8dYp6+P0FoGbDPldQVvTo7sTLK9sY0&#10;qQsDk2raI2VlTjpG6aYShLEeU6XyIkaIuta2eURlwU59jXOIm97Cd0oG7OmK+m8HBoIS9c5gddb5&#10;YhGH4NKAS6O+NJjhCFXRQMm03YVpcA4OZNdjpDzJYewNVrSVSexnVif+2LepBqcZi4NxaSev5z/B&#10;9gcAAAD//wMAUEsDBBQABgAIAAAAIQDnY+fQ3wAAAAoBAAAPAAAAZHJzL2Rvd25yZXYueG1sTI/L&#10;TsMwEEX3SPyDNUjsqENDyIM4FQ+xQiwaEGzdeIgj4nEUu2369wwrWI7m6N5z683iRnHAOQyeFFyv&#10;EhBInTcD9Qre356vChAhajJ69IQKThhg05yf1boy/khbPLSxFxxCodIKbIxTJWXoLDodVn5C4t+X&#10;n52OfM69NLM+crgb5TpJbqXTA3GD1RM+Wuy+271TkPfxqe0esu7j1Z6Kl3JJw7b9VOryYrm/AxFx&#10;iX8w/OqzOjTstPN7MkGMCrJ8XTKqIE15EwNlXqQgdkxmNxnIppb/JzQ/AAAA//8DAFBLAQItABQA&#10;BgAIAAAAIQC2gziS/gAAAOEBAAATAAAAAAAAAAAAAAAAAAAAAABbQ29udGVudF9UeXBlc10ueG1s&#10;UEsBAi0AFAAGAAgAAAAhADj9If/WAAAAlAEAAAsAAAAAAAAAAAAAAAAALwEAAF9yZWxzLy5yZWxz&#10;UEsBAi0AFAAGAAgAAAAhAE0QziQjAgAAUQQAAA4AAAAAAAAAAAAAAAAALgIAAGRycy9lMm9Eb2Mu&#10;eG1sUEsBAi0AFAAGAAgAAAAhAOdj59DfAAAACgEAAA8AAAAAAAAAAAAAAAAAfQQAAGRycy9kb3du&#10;cmV2LnhtbFBLBQYAAAAABAAEAPMAAACJBQAAAAA=&#10;">
                <v:textbox inset=",7.2pt,,7.2pt">
                  <w:txbxContent>
                    <w:p w14:paraId="734F545F" w14:textId="77777777" w:rsidR="001A2A2F" w:rsidRPr="001A2A2F" w:rsidRDefault="001A2A2F" w:rsidP="001A2A2F">
                      <w:pPr>
                        <w:spacing w:line="480" w:lineRule="auto"/>
                        <w:rPr>
                          <w:strike w:val="0"/>
                        </w:rPr>
                      </w:pPr>
                      <w:r w:rsidRPr="001A2A2F">
                        <w:rPr>
                          <w:strike w:val="0"/>
                          <w:lang w:val="en-CA"/>
                        </w:rPr>
                        <w:t>Analysed (n= 166)</w:t>
                      </w:r>
                      <w:r w:rsidRPr="001A2A2F">
                        <w:rPr>
                          <w:strike w:val="0"/>
                          <w:lang w:val="en-CA"/>
                        </w:rPr>
                        <w:br/>
                        <w:t>Excluded from analysis (n= 0)</w:t>
                      </w:r>
                    </w:p>
                    <w:p w14:paraId="4564AAFC" w14:textId="77777777" w:rsidR="001A2A2F" w:rsidRDefault="001A2A2F" w:rsidP="001A2A2F">
                      <w:pPr>
                        <w:rPr>
                          <w:rFonts w:cs="Calibri"/>
                        </w:rPr>
                      </w:pPr>
                    </w:p>
                  </w:txbxContent>
                </v:textbox>
              </v:rect>
            </w:pict>
          </mc:Fallback>
        </mc:AlternateContent>
      </w:r>
    </w:p>
    <w:p w14:paraId="49927534" w14:textId="77777777" w:rsidR="001A2A2F" w:rsidRPr="001A2A2F" w:rsidRDefault="001A2A2F" w:rsidP="001A2A2F">
      <w:pPr>
        <w:spacing w:line="240" w:lineRule="auto"/>
        <w:jc w:val="both"/>
        <w:rPr>
          <w:rFonts w:eastAsia="Calibri"/>
          <w:b/>
          <w:strike w:val="0"/>
          <w:lang w:val="en-US" w:eastAsia="en-US"/>
        </w:rPr>
      </w:pPr>
    </w:p>
    <w:p w14:paraId="12A71F84" w14:textId="77777777" w:rsidR="001A2A2F" w:rsidRPr="001A2A2F" w:rsidRDefault="001A2A2F" w:rsidP="001A2A2F">
      <w:pPr>
        <w:spacing w:line="240" w:lineRule="auto"/>
        <w:jc w:val="both"/>
        <w:rPr>
          <w:rFonts w:eastAsia="Calibri"/>
          <w:b/>
          <w:strike w:val="0"/>
          <w:lang w:val="en-US" w:eastAsia="en-US"/>
        </w:rPr>
      </w:pPr>
    </w:p>
    <w:p w14:paraId="12C4131B" w14:textId="77777777" w:rsidR="00FC7FE4" w:rsidRDefault="00FC7FE4" w:rsidP="00FC7FE4">
      <w:pPr>
        <w:rPr>
          <w:b/>
          <w:bCs/>
          <w:strike w:val="0"/>
          <w:lang w:val="en-US"/>
        </w:rPr>
      </w:pPr>
    </w:p>
    <w:p w14:paraId="13595FA4" w14:textId="0D6264DC" w:rsidR="00FC7FE4" w:rsidRPr="00FC7FE4" w:rsidRDefault="00FC7FE4" w:rsidP="00FC7FE4">
      <w:pPr>
        <w:rPr>
          <w:b/>
          <w:bCs/>
          <w:strike w:val="0"/>
        </w:rPr>
      </w:pPr>
      <w:r w:rsidRPr="00FC7FE4">
        <w:rPr>
          <w:b/>
          <w:bCs/>
          <w:strike w:val="0"/>
          <w:lang w:val="en-US"/>
        </w:rPr>
        <w:t xml:space="preserve">Figure 1 is the  </w:t>
      </w:r>
      <w:r w:rsidRPr="00FC7FE4">
        <w:rPr>
          <w:b/>
          <w:bCs/>
          <w:strike w:val="0"/>
        </w:rPr>
        <w:t xml:space="preserve">CONSORT flow diagram </w:t>
      </w:r>
      <w:r w:rsidRPr="00FC7FE4">
        <w:rPr>
          <w:b/>
          <w:bCs/>
          <w:strike w:val="0"/>
          <w:lang w:val="en-US"/>
        </w:rPr>
        <w:t>of Caregivers Screening, Allocation, Follow-up, and Analysis</w:t>
      </w:r>
    </w:p>
    <w:p w14:paraId="52D2A540" w14:textId="77777777" w:rsidR="00DD4EBE" w:rsidRPr="00FC7FE4" w:rsidRDefault="00DD4EBE" w:rsidP="008071AF">
      <w:pPr>
        <w:rPr>
          <w:b/>
          <w:bCs/>
          <w:strike w:val="0"/>
        </w:rPr>
      </w:pPr>
    </w:p>
    <w:p w14:paraId="7CE13FE8" w14:textId="1BDB9AE9" w:rsidR="008071AF" w:rsidRPr="008071AF" w:rsidRDefault="008071AF" w:rsidP="008071AF">
      <w:pPr>
        <w:rPr>
          <w:b/>
          <w:bCs/>
          <w:strike w:val="0"/>
        </w:rPr>
      </w:pPr>
      <w:r w:rsidRPr="008071AF">
        <w:rPr>
          <w:b/>
          <w:bCs/>
          <w:strike w:val="0"/>
        </w:rPr>
        <w:t>Intervention</w:t>
      </w:r>
    </w:p>
    <w:p w14:paraId="1E3BFB30" w14:textId="50770E13" w:rsidR="00F477ED" w:rsidRPr="00F477ED" w:rsidRDefault="00F477ED" w:rsidP="008071AF">
      <w:pPr>
        <w:rPr>
          <w:strike w:val="0"/>
        </w:rPr>
      </w:pPr>
      <w:r w:rsidRPr="00F477ED">
        <w:rPr>
          <w:strike w:val="0"/>
        </w:rPr>
        <w:t>The intervention consisted of a community volunteer-driven immunization education program delivered to caregivers in the intervention group. Eight community volunteers were recruited and trained by the research team using standardized training modules that covered vaccine-preventable diseases, the benefits of routine childhood immunization, the national immunization schedule, recognition and management of adverse events following immunization, and strategies for improving caregiver adherence to vaccination schedules. Following training, the volunteers delivered structured health education sessions to caregivers in the intervention group over a three-day period at the participating primary healthcare facilities. The sessions were conducted in locally understood languages to enhance comprehension. Educational materials, including posters and simplified immunization schedules, were used to reinforce key messages.</w:t>
      </w:r>
    </w:p>
    <w:p w14:paraId="6B48F921" w14:textId="2CB7B232" w:rsidR="008071AF" w:rsidRPr="008071AF" w:rsidRDefault="008071AF" w:rsidP="008071AF">
      <w:pPr>
        <w:rPr>
          <w:b/>
          <w:bCs/>
          <w:strike w:val="0"/>
        </w:rPr>
      </w:pPr>
      <w:r w:rsidRPr="008071AF">
        <w:rPr>
          <w:b/>
          <w:bCs/>
          <w:strike w:val="0"/>
        </w:rPr>
        <w:t>Control Group</w:t>
      </w:r>
    </w:p>
    <w:p w14:paraId="3FF91CEE" w14:textId="75000247" w:rsidR="007226C7" w:rsidRPr="007226C7" w:rsidRDefault="007226C7" w:rsidP="00DD5796">
      <w:pPr>
        <w:rPr>
          <w:strike w:val="0"/>
        </w:rPr>
      </w:pPr>
      <w:r w:rsidRPr="007226C7">
        <w:rPr>
          <w:strike w:val="0"/>
        </w:rPr>
        <w:lastRenderedPageBreak/>
        <w:t>Participants in the control group received routine health education provided during standard clinic visits at the primary healthcare centers. These sessions focused on general child survival strategies such as growth monitoring, breastfeeding practices, and oral rehydration therapy. No structured immunization education intervention was provided to the control group.</w:t>
      </w:r>
    </w:p>
    <w:p w14:paraId="7E7EE662" w14:textId="62751024" w:rsidR="00DD5796" w:rsidRPr="00DD5796" w:rsidRDefault="00DD5796" w:rsidP="00DD5796">
      <w:pPr>
        <w:rPr>
          <w:b/>
          <w:bCs/>
          <w:strike w:val="0"/>
        </w:rPr>
      </w:pPr>
      <w:r w:rsidRPr="00DD5796">
        <w:rPr>
          <w:b/>
          <w:bCs/>
          <w:strike w:val="0"/>
        </w:rPr>
        <w:t>Outcome Measures</w:t>
      </w:r>
    </w:p>
    <w:p w14:paraId="21FCD695" w14:textId="4BADC828" w:rsidR="007226C7" w:rsidRPr="007226C7" w:rsidRDefault="007226C7" w:rsidP="008071AF">
      <w:pPr>
        <w:rPr>
          <w:strike w:val="0"/>
        </w:rPr>
      </w:pPr>
      <w:r w:rsidRPr="007226C7">
        <w:rPr>
          <w:strike w:val="0"/>
        </w:rPr>
        <w:t>The primary outcome was complete childhood immunization status at nine months of age. Immunization status was categorized as fully immunized, meaning receipt of all recommended vaccines according to the national immunization schedule; partially immunized; or unimmunized. For analytical purposes, the outcome variable was dichotomized as fully immunized versus not fully immunized.</w:t>
      </w:r>
    </w:p>
    <w:p w14:paraId="7ADCB49E" w14:textId="5A3E457E" w:rsidR="008071AF" w:rsidRPr="008071AF" w:rsidRDefault="008071AF" w:rsidP="008071AF">
      <w:pPr>
        <w:rPr>
          <w:b/>
          <w:bCs/>
          <w:strike w:val="0"/>
        </w:rPr>
      </w:pPr>
      <w:r w:rsidRPr="008071AF">
        <w:rPr>
          <w:b/>
          <w:bCs/>
          <w:strike w:val="0"/>
        </w:rPr>
        <w:t>Data Collection</w:t>
      </w:r>
    </w:p>
    <w:p w14:paraId="3B1B2686" w14:textId="77777777" w:rsidR="00DD5796" w:rsidRPr="00DD5796" w:rsidRDefault="00DD5796" w:rsidP="00DD5796">
      <w:pPr>
        <w:rPr>
          <w:b/>
          <w:bCs/>
          <w:strike w:val="0"/>
        </w:rPr>
      </w:pPr>
      <w:r w:rsidRPr="00DD5796">
        <w:rPr>
          <w:b/>
          <w:bCs/>
          <w:strike w:val="0"/>
        </w:rPr>
        <w:t>Data Collection</w:t>
      </w:r>
    </w:p>
    <w:p w14:paraId="4CEB8D32" w14:textId="751A3E7A" w:rsidR="007226C7" w:rsidRPr="007226C7" w:rsidRDefault="007226C7" w:rsidP="008071AF">
      <w:pPr>
        <w:rPr>
          <w:strike w:val="0"/>
        </w:rPr>
      </w:pPr>
      <w:r w:rsidRPr="007226C7">
        <w:rPr>
          <w:strike w:val="0"/>
        </w:rPr>
        <w:t>Data were collected using pretested, semi-structured interviewer-administered questionnaires. The questionnaire captured information on socio-demographic characteristics of caregivers, knowledge and perceptions regarding childhood immunization, barriers to immunization uptake, and infant immunization status. Baseline data were collected prior to the intervention, while follow-up data were collected when the infants reached nine months of age. Immunization status was verified using child health cards and clinic immunization records.</w:t>
      </w:r>
    </w:p>
    <w:p w14:paraId="2EFE6939" w14:textId="2E675318" w:rsidR="008071AF" w:rsidRPr="008071AF" w:rsidRDefault="008071AF" w:rsidP="008071AF">
      <w:pPr>
        <w:rPr>
          <w:b/>
          <w:bCs/>
          <w:strike w:val="0"/>
        </w:rPr>
      </w:pPr>
      <w:r w:rsidRPr="008071AF">
        <w:rPr>
          <w:b/>
          <w:bCs/>
          <w:strike w:val="0"/>
        </w:rPr>
        <w:t>Data Analysis</w:t>
      </w:r>
    </w:p>
    <w:p w14:paraId="3CED2BD1" w14:textId="56DACC90" w:rsidR="007226C7" w:rsidRPr="007226C7" w:rsidRDefault="007226C7" w:rsidP="008071AF">
      <w:pPr>
        <w:rPr>
          <w:strike w:val="0"/>
        </w:rPr>
      </w:pPr>
      <w:r w:rsidRPr="007226C7">
        <w:rPr>
          <w:strike w:val="0"/>
        </w:rPr>
        <w:t>Data obtained from the questionnaires were coded, entered into Microsoft Excel, and subsequently exported to IBM SPSS Statistics Version 27.0 (Armonk, NY: IBM Corporation) for statistical analysis. Data cleaning was performed before analysis to detect missing values, outliers, and logical inconsistencies. All analyses followed the intention-to-treat (ITT) principle, where participants were analyzed according to the group to which they were originally randomized, regardless of adherence to the intervention protocol.</w:t>
      </w:r>
    </w:p>
    <w:p w14:paraId="2C13736B" w14:textId="19787354" w:rsidR="008071AF" w:rsidRPr="008071AF" w:rsidRDefault="008071AF" w:rsidP="008071AF">
      <w:pPr>
        <w:rPr>
          <w:b/>
          <w:bCs/>
          <w:strike w:val="0"/>
        </w:rPr>
      </w:pPr>
      <w:r w:rsidRPr="008071AF">
        <w:rPr>
          <w:b/>
          <w:bCs/>
          <w:strike w:val="0"/>
        </w:rPr>
        <w:t>Descriptive Analysis</w:t>
      </w:r>
    </w:p>
    <w:p w14:paraId="5BCA481D" w14:textId="589DC74B" w:rsidR="007226C7" w:rsidRPr="007226C7" w:rsidRDefault="007226C7" w:rsidP="008071AF">
      <w:pPr>
        <w:rPr>
          <w:strike w:val="0"/>
        </w:rPr>
      </w:pPr>
      <w:r w:rsidRPr="007226C7">
        <w:rPr>
          <w:strike w:val="0"/>
        </w:rPr>
        <w:t>Descriptive statistics were used to summarize baseline characteristics of the study participants. Categorical variables were summarized using frequencies and percentages. Continuous variables such as caregiver age were summarized using means and standard deviations (SD). Comparisons between groups pre- and post-intervention were performed using the Pearson Chi-square (χ²) test for statistical significance. Baseline comparability between the intervention and control groups was assessed to determine the effectiveness of the randomization process.</w:t>
      </w:r>
    </w:p>
    <w:p w14:paraId="67576C72" w14:textId="77777777" w:rsidR="007226C7" w:rsidRDefault="007226C7" w:rsidP="008071AF">
      <w:pPr>
        <w:rPr>
          <w:b/>
          <w:bCs/>
          <w:strike w:val="0"/>
        </w:rPr>
      </w:pPr>
    </w:p>
    <w:p w14:paraId="3BC68352" w14:textId="3B167370" w:rsidR="008071AF" w:rsidRPr="008071AF" w:rsidRDefault="008071AF" w:rsidP="008071AF">
      <w:pPr>
        <w:rPr>
          <w:b/>
          <w:bCs/>
          <w:strike w:val="0"/>
        </w:rPr>
      </w:pPr>
      <w:r w:rsidRPr="008071AF">
        <w:rPr>
          <w:b/>
          <w:bCs/>
          <w:strike w:val="0"/>
        </w:rPr>
        <w:t>Assessment of Normality</w:t>
      </w:r>
    </w:p>
    <w:p w14:paraId="2612ED8F" w14:textId="7C797C0D" w:rsidR="007226C7" w:rsidRPr="007226C7" w:rsidRDefault="007226C7" w:rsidP="008071AF">
      <w:pPr>
        <w:rPr>
          <w:strike w:val="0"/>
        </w:rPr>
      </w:pPr>
      <w:r w:rsidRPr="007226C7">
        <w:rPr>
          <w:strike w:val="0"/>
        </w:rPr>
        <w:t xml:space="preserve">The distribution of continuous variables was assessed using both graphical and statistical methods. Histograms, box plots, and quantile-quantile (Q-Q) plots were examined visually to assess the symmetry and spread of the data. The Shapiro-Wilk test was used to formally </w:t>
      </w:r>
      <w:r w:rsidRPr="007226C7">
        <w:rPr>
          <w:strike w:val="0"/>
        </w:rPr>
        <w:lastRenderedPageBreak/>
        <w:t>assess normality. Variables with p-values greater than 0.05 were considered normally distributed.</w:t>
      </w:r>
    </w:p>
    <w:p w14:paraId="3FB3C5DF" w14:textId="2CB7E683" w:rsidR="008071AF" w:rsidRPr="008071AF" w:rsidRDefault="008071AF" w:rsidP="008071AF">
      <w:pPr>
        <w:rPr>
          <w:b/>
          <w:bCs/>
          <w:strike w:val="0"/>
        </w:rPr>
      </w:pPr>
      <w:r w:rsidRPr="008071AF">
        <w:rPr>
          <w:b/>
          <w:bCs/>
          <w:strike w:val="0"/>
        </w:rPr>
        <w:t>Primary Outcome Analysis</w:t>
      </w:r>
    </w:p>
    <w:p w14:paraId="36CDBF17" w14:textId="5DC15D53" w:rsidR="00BB43D6" w:rsidRPr="004B1317" w:rsidRDefault="00BB43D6" w:rsidP="008071AF">
      <w:pPr>
        <w:rPr>
          <w:strike w:val="0"/>
        </w:rPr>
      </w:pPr>
      <w:r w:rsidRPr="00BB43D6">
        <w:rPr>
          <w:strike w:val="0"/>
        </w:rPr>
        <w:t xml:space="preserve">The primary outcome was complete childhood immunization status at nine months of age, categorized as fully immunized or not fully immunized (partially immunized or unimmunized). To assess the intervention's effect, </w:t>
      </w:r>
      <w:r>
        <w:rPr>
          <w:strike w:val="0"/>
        </w:rPr>
        <w:t>the researcher</w:t>
      </w:r>
      <w:r w:rsidRPr="00BB43D6">
        <w:rPr>
          <w:strike w:val="0"/>
        </w:rPr>
        <w:t xml:space="preserve"> compared the proportion of fully immunized children between the intervention and control groups using the chi-square test. Effect size was quantified using risk ratios (RR), risk differences (RD), and 95% confidence intervals (CI). Additionally, the number needed to treat (NNT) was calculated to estimate the public health impact of the intervention.</w:t>
      </w:r>
    </w:p>
    <w:p w14:paraId="215CBC95" w14:textId="44D83DF5" w:rsidR="008071AF" w:rsidRPr="008071AF" w:rsidRDefault="008071AF" w:rsidP="008071AF">
      <w:pPr>
        <w:rPr>
          <w:b/>
          <w:bCs/>
          <w:strike w:val="0"/>
        </w:rPr>
      </w:pPr>
      <w:r w:rsidRPr="008071AF">
        <w:rPr>
          <w:b/>
          <w:bCs/>
          <w:strike w:val="0"/>
        </w:rPr>
        <w:t>Bivariate Analysis</w:t>
      </w:r>
    </w:p>
    <w:p w14:paraId="3035BBA3" w14:textId="056C95EA" w:rsidR="004B1317" w:rsidRPr="004B1317" w:rsidRDefault="004B1317" w:rsidP="008071AF">
      <w:pPr>
        <w:rPr>
          <w:strike w:val="0"/>
        </w:rPr>
      </w:pPr>
      <w:r w:rsidRPr="004B1317">
        <w:rPr>
          <w:strike w:val="0"/>
        </w:rPr>
        <w:t>Bivariate analyses assessed associations between independent variables (caregiver immunization knowledge and intervention exposure) and complete childhood immunization status. Crude odds ratios (OR) with 95% confidence intervals were computed. Variables with p-values ≤ 0.20 in bivariate analysis were eligible for inclusion in the multivariable regression model to control for potential confounding.</w:t>
      </w:r>
    </w:p>
    <w:p w14:paraId="59588B8D" w14:textId="3CA8BBB4" w:rsidR="008071AF" w:rsidRPr="008071AF" w:rsidRDefault="008071AF" w:rsidP="008071AF">
      <w:pPr>
        <w:rPr>
          <w:b/>
          <w:bCs/>
          <w:strike w:val="0"/>
        </w:rPr>
      </w:pPr>
      <w:r w:rsidRPr="008071AF">
        <w:rPr>
          <w:b/>
          <w:bCs/>
          <w:strike w:val="0"/>
        </w:rPr>
        <w:t>Multivariable Regression Analysis</w:t>
      </w:r>
    </w:p>
    <w:p w14:paraId="7BAC6DF6" w14:textId="6408985F" w:rsidR="004B1317" w:rsidRPr="004B1317" w:rsidRDefault="004B1317" w:rsidP="008071AF">
      <w:pPr>
        <w:rPr>
          <w:strike w:val="0"/>
        </w:rPr>
      </w:pPr>
      <w:r w:rsidRPr="004B1317">
        <w:rPr>
          <w:strike w:val="0"/>
        </w:rPr>
        <w:t>A multivariable binary logistic regression model identified independent predictors of complete childhood immunization. The dependent variable was immunization status (fully immunized vs not fully immunized). Independent variables included caregiver knowledge and intervention exposure. Adjusted odds ratios (AOR) with 95% confidence intervals quantified the strength of association between predictors and complete immunization after controlling for confounders.</w:t>
      </w:r>
    </w:p>
    <w:p w14:paraId="6C2B1D3E" w14:textId="7A17BCA1" w:rsidR="008071AF" w:rsidRPr="008071AF" w:rsidRDefault="008071AF" w:rsidP="008071AF">
      <w:pPr>
        <w:rPr>
          <w:b/>
          <w:bCs/>
          <w:strike w:val="0"/>
        </w:rPr>
      </w:pPr>
      <w:r w:rsidRPr="008071AF">
        <w:rPr>
          <w:b/>
          <w:bCs/>
          <w:strike w:val="0"/>
        </w:rPr>
        <w:t>Assessment of Multicollinearity</w:t>
      </w:r>
    </w:p>
    <w:p w14:paraId="753FC221" w14:textId="25D0695D" w:rsidR="004B1317" w:rsidRPr="004B1317" w:rsidRDefault="004B1317" w:rsidP="008071AF">
      <w:pPr>
        <w:rPr>
          <w:strike w:val="0"/>
        </w:rPr>
      </w:pPr>
      <w:r w:rsidRPr="004B1317">
        <w:rPr>
          <w:strike w:val="0"/>
        </w:rPr>
        <w:t>Multicollinearity among independent variables was assessed prior to model fitting using the Variance Inflation Factor (VIF) and tolerance statistics. Variables with VIF greater than 5 or tolerance values less than 0.1 were considered indicative of multicollinearity and were excluded from the final model.</w:t>
      </w:r>
    </w:p>
    <w:p w14:paraId="2618DCFA" w14:textId="0BEBEF15" w:rsidR="008071AF" w:rsidRPr="008071AF" w:rsidRDefault="008071AF" w:rsidP="008071AF">
      <w:pPr>
        <w:rPr>
          <w:b/>
          <w:bCs/>
          <w:strike w:val="0"/>
        </w:rPr>
      </w:pPr>
      <w:r w:rsidRPr="008071AF">
        <w:rPr>
          <w:b/>
          <w:bCs/>
          <w:strike w:val="0"/>
        </w:rPr>
        <w:t>Model Goodness of Fit</w:t>
      </w:r>
    </w:p>
    <w:p w14:paraId="3FFD6A22" w14:textId="42F43581" w:rsidR="004B1317" w:rsidRPr="004B1317" w:rsidRDefault="004B1317" w:rsidP="008071AF">
      <w:pPr>
        <w:rPr>
          <w:strike w:val="0"/>
        </w:rPr>
      </w:pPr>
      <w:r w:rsidRPr="004B1317">
        <w:rPr>
          <w:strike w:val="0"/>
        </w:rPr>
        <w:t>The Hosmer-Lemeshow goodness-of-fit test assessed logistic regression model adequacy, with a p-value greater than 0.05 indicating good fit. The Nagelkerke pseudo R² statistic estimated the proportion of variance in immunization status explained by the model.</w:t>
      </w:r>
    </w:p>
    <w:p w14:paraId="2A791AAF" w14:textId="77777777" w:rsidR="004B1317" w:rsidRDefault="004B1317" w:rsidP="008071AF">
      <w:pPr>
        <w:rPr>
          <w:b/>
          <w:bCs/>
          <w:strike w:val="0"/>
        </w:rPr>
      </w:pPr>
    </w:p>
    <w:p w14:paraId="6B2EB346" w14:textId="77777777" w:rsidR="004B1317" w:rsidRDefault="004B1317" w:rsidP="008071AF">
      <w:pPr>
        <w:rPr>
          <w:b/>
          <w:bCs/>
          <w:strike w:val="0"/>
        </w:rPr>
      </w:pPr>
    </w:p>
    <w:p w14:paraId="1C4F97A6" w14:textId="77777777" w:rsidR="004B1317" w:rsidRDefault="004B1317" w:rsidP="008071AF">
      <w:pPr>
        <w:rPr>
          <w:b/>
          <w:bCs/>
          <w:strike w:val="0"/>
        </w:rPr>
      </w:pPr>
    </w:p>
    <w:p w14:paraId="56B4D0D3" w14:textId="79A07904" w:rsidR="008071AF" w:rsidRPr="008071AF" w:rsidRDefault="008071AF" w:rsidP="008071AF">
      <w:pPr>
        <w:rPr>
          <w:b/>
          <w:bCs/>
          <w:strike w:val="0"/>
        </w:rPr>
      </w:pPr>
      <w:r w:rsidRPr="008071AF">
        <w:rPr>
          <w:b/>
          <w:bCs/>
          <w:strike w:val="0"/>
        </w:rPr>
        <w:t>Model Diagnostics</w:t>
      </w:r>
    </w:p>
    <w:p w14:paraId="08E196EE" w14:textId="755ECD23" w:rsidR="004B1317" w:rsidRPr="00077C79" w:rsidRDefault="004B1317" w:rsidP="008071AF">
      <w:pPr>
        <w:rPr>
          <w:strike w:val="0"/>
        </w:rPr>
      </w:pPr>
      <w:r w:rsidRPr="004B1317">
        <w:rPr>
          <w:strike w:val="0"/>
        </w:rPr>
        <w:t xml:space="preserve">Model diagnostics assessed predictive performance and robustness. A classification table </w:t>
      </w:r>
      <w:r w:rsidR="00077C79">
        <w:rPr>
          <w:strike w:val="0"/>
        </w:rPr>
        <w:t>assessed</w:t>
      </w:r>
      <w:r w:rsidRPr="004B1317">
        <w:rPr>
          <w:strike w:val="0"/>
        </w:rPr>
        <w:t xml:space="preserve"> overall predictive accuracy, including sensitivity, specificity, positive predictive </w:t>
      </w:r>
      <w:r w:rsidRPr="004B1317">
        <w:rPr>
          <w:strike w:val="0"/>
        </w:rPr>
        <w:lastRenderedPageBreak/>
        <w:t>value, and negative predictive value. Discriminative ability was further assessed using Receiver Operating Characteristic (ROC) curve analysis, with the Area Under the Curve (AUC) reported. An AUC of 0.70–0.80 indicated acceptable discrimination, 0.80–0.90 excellent discrimination, and greater than 0.90 outstanding discrimination.</w:t>
      </w:r>
    </w:p>
    <w:p w14:paraId="7C51A27D" w14:textId="0C0A7971" w:rsidR="008071AF" w:rsidRPr="008071AF" w:rsidRDefault="008071AF" w:rsidP="008071AF">
      <w:pPr>
        <w:rPr>
          <w:b/>
          <w:bCs/>
          <w:strike w:val="0"/>
        </w:rPr>
      </w:pPr>
      <w:r w:rsidRPr="008071AF">
        <w:rPr>
          <w:b/>
          <w:bCs/>
          <w:strike w:val="0"/>
        </w:rPr>
        <w:t>Statistical Significance</w:t>
      </w:r>
    </w:p>
    <w:p w14:paraId="62D39B61" w14:textId="77777777" w:rsidR="008071AF" w:rsidRPr="008071AF" w:rsidRDefault="008071AF" w:rsidP="008071AF">
      <w:pPr>
        <w:rPr>
          <w:strike w:val="0"/>
        </w:rPr>
      </w:pPr>
      <w:r w:rsidRPr="008071AF">
        <w:rPr>
          <w:strike w:val="0"/>
        </w:rPr>
        <w:t>All statistical tests were two-tailed, and statistical significance was set at p ≤ 0.05. Results were presented with 95% confidence intervals to indicate the precision of estimates.</w:t>
      </w:r>
    </w:p>
    <w:p w14:paraId="082F339D" w14:textId="1997426E" w:rsidR="008071AF" w:rsidRDefault="001F0CFD">
      <w:pPr>
        <w:rPr>
          <w:b/>
          <w:bCs/>
          <w:strike w:val="0"/>
          <w:lang w:val="en-US"/>
        </w:rPr>
      </w:pPr>
      <w:r w:rsidRPr="001F0CFD">
        <w:rPr>
          <w:b/>
          <w:bCs/>
          <w:strike w:val="0"/>
          <w:lang w:val="en-US"/>
        </w:rPr>
        <w:t>Results</w:t>
      </w:r>
    </w:p>
    <w:p w14:paraId="68CC6ADB" w14:textId="77777777" w:rsidR="00077C79" w:rsidRPr="00077C79" w:rsidRDefault="00077C79" w:rsidP="00077C79">
      <w:pPr>
        <w:rPr>
          <w:strike w:val="0"/>
        </w:rPr>
      </w:pPr>
      <w:r w:rsidRPr="00077C79">
        <w:rPr>
          <w:strike w:val="0"/>
        </w:rPr>
        <w:t>A total of 368 caregivers were recruited (184 per group), and 339 completed the study: 173 (94.0%) in the intervention group and 166 (90.2%) in the control group, yielding attrition rates of 6.0% and 9.8%, respectively.</w:t>
      </w:r>
    </w:p>
    <w:p w14:paraId="32F99ECC" w14:textId="6FB8DB3F" w:rsidR="00077C79" w:rsidRPr="00077C79" w:rsidRDefault="00077C79" w:rsidP="001F0CFD">
      <w:pPr>
        <w:rPr>
          <w:strike w:val="0"/>
        </w:rPr>
      </w:pPr>
      <w:r w:rsidRPr="00077C79">
        <w:rPr>
          <w:strike w:val="0"/>
        </w:rPr>
        <w:t>Table 1 presents baseline sociodemographic characteristics. The majority in both groups were mothers (83.1% intervention, 80.4% control), aged 21–30 years (54.3% and 52.2%, respectively), female, and had secondary education. No statistically significant differences were observed between groups (p &gt; 0.05), confirming baseline comparability.</w:t>
      </w:r>
    </w:p>
    <w:p w14:paraId="52822F6C" w14:textId="5071A5FC" w:rsidR="001F0CFD" w:rsidRPr="001F0CFD" w:rsidRDefault="001F0CFD" w:rsidP="001F0CFD">
      <w:pPr>
        <w:rPr>
          <w:b/>
          <w:bCs/>
          <w:strike w:val="0"/>
        </w:rPr>
      </w:pPr>
      <w:r w:rsidRPr="001F0CFD">
        <w:rPr>
          <w:b/>
          <w:bCs/>
          <w:strike w:val="0"/>
        </w:rPr>
        <w:t>Table 1. Sociodemographic Characteristics of Caregivers (Baseline Comparability)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3"/>
        <w:gridCol w:w="2558"/>
        <w:gridCol w:w="2078"/>
        <w:gridCol w:w="1292"/>
        <w:gridCol w:w="795"/>
      </w:tblGrid>
      <w:tr w:rsidR="001F0CFD" w:rsidRPr="001F0CFD" w14:paraId="1FA47D80" w14:textId="77777777">
        <w:trPr>
          <w:tblHeader/>
          <w:tblCellSpacing w:w="15" w:type="dxa"/>
        </w:trPr>
        <w:tc>
          <w:tcPr>
            <w:tcW w:w="0" w:type="auto"/>
            <w:vAlign w:val="center"/>
            <w:hideMark/>
          </w:tcPr>
          <w:p w14:paraId="67622690" w14:textId="77777777" w:rsidR="001F0CFD" w:rsidRPr="001F0CFD" w:rsidRDefault="001F0CFD" w:rsidP="001F0CFD">
            <w:pPr>
              <w:rPr>
                <w:b/>
                <w:bCs/>
                <w:strike w:val="0"/>
              </w:rPr>
            </w:pPr>
            <w:r w:rsidRPr="001F0CFD">
              <w:rPr>
                <w:b/>
                <w:bCs/>
                <w:strike w:val="0"/>
              </w:rPr>
              <w:t>Variable</w:t>
            </w:r>
          </w:p>
        </w:tc>
        <w:tc>
          <w:tcPr>
            <w:tcW w:w="0" w:type="auto"/>
            <w:vAlign w:val="center"/>
            <w:hideMark/>
          </w:tcPr>
          <w:p w14:paraId="3B6E4478" w14:textId="77777777" w:rsidR="001F0CFD" w:rsidRPr="001F0CFD" w:rsidRDefault="001F0CFD" w:rsidP="001F0CFD">
            <w:pPr>
              <w:rPr>
                <w:b/>
                <w:bCs/>
                <w:strike w:val="0"/>
              </w:rPr>
            </w:pPr>
            <w:r w:rsidRPr="001F0CFD">
              <w:rPr>
                <w:b/>
                <w:bCs/>
                <w:strike w:val="0"/>
              </w:rPr>
              <w:t>Intervention (n=184) n (%)</w:t>
            </w:r>
          </w:p>
        </w:tc>
        <w:tc>
          <w:tcPr>
            <w:tcW w:w="0" w:type="auto"/>
            <w:vAlign w:val="center"/>
            <w:hideMark/>
          </w:tcPr>
          <w:p w14:paraId="1045877D" w14:textId="77777777" w:rsidR="001F0CFD" w:rsidRPr="001F0CFD" w:rsidRDefault="001F0CFD" w:rsidP="001F0CFD">
            <w:pPr>
              <w:rPr>
                <w:b/>
                <w:bCs/>
                <w:strike w:val="0"/>
              </w:rPr>
            </w:pPr>
            <w:r w:rsidRPr="001F0CFD">
              <w:rPr>
                <w:b/>
                <w:bCs/>
                <w:strike w:val="0"/>
              </w:rPr>
              <w:t>Control (n=184) n (%)</w:t>
            </w:r>
          </w:p>
        </w:tc>
        <w:tc>
          <w:tcPr>
            <w:tcW w:w="0" w:type="auto"/>
            <w:vAlign w:val="center"/>
            <w:hideMark/>
          </w:tcPr>
          <w:p w14:paraId="566B7C5C" w14:textId="77777777" w:rsidR="001F0CFD" w:rsidRPr="001F0CFD" w:rsidRDefault="001F0CFD" w:rsidP="001F0CFD">
            <w:pPr>
              <w:rPr>
                <w:b/>
                <w:bCs/>
                <w:strike w:val="0"/>
              </w:rPr>
            </w:pPr>
            <w:r w:rsidRPr="001F0CFD">
              <w:rPr>
                <w:b/>
                <w:bCs/>
                <w:strike w:val="0"/>
              </w:rPr>
              <w:t>Test Statistic</w:t>
            </w:r>
          </w:p>
        </w:tc>
        <w:tc>
          <w:tcPr>
            <w:tcW w:w="0" w:type="auto"/>
            <w:vAlign w:val="center"/>
            <w:hideMark/>
          </w:tcPr>
          <w:p w14:paraId="748EA6DE" w14:textId="77777777" w:rsidR="001F0CFD" w:rsidRPr="001F0CFD" w:rsidRDefault="001F0CFD" w:rsidP="001F0CFD">
            <w:pPr>
              <w:rPr>
                <w:b/>
                <w:bCs/>
                <w:strike w:val="0"/>
              </w:rPr>
            </w:pPr>
            <w:r w:rsidRPr="001F0CFD">
              <w:rPr>
                <w:b/>
                <w:bCs/>
                <w:strike w:val="0"/>
              </w:rPr>
              <w:t>p-value</w:t>
            </w:r>
          </w:p>
        </w:tc>
      </w:tr>
      <w:tr w:rsidR="001F0CFD" w:rsidRPr="001F0CFD" w14:paraId="082B1955" w14:textId="77777777">
        <w:trPr>
          <w:tblCellSpacing w:w="15" w:type="dxa"/>
        </w:trPr>
        <w:tc>
          <w:tcPr>
            <w:tcW w:w="0" w:type="auto"/>
            <w:vAlign w:val="center"/>
            <w:hideMark/>
          </w:tcPr>
          <w:p w14:paraId="046F4BE1" w14:textId="77777777" w:rsidR="001F0CFD" w:rsidRPr="001F0CFD" w:rsidRDefault="001F0CFD" w:rsidP="001F0CFD">
            <w:pPr>
              <w:rPr>
                <w:strike w:val="0"/>
              </w:rPr>
            </w:pPr>
            <w:r w:rsidRPr="001F0CFD">
              <w:rPr>
                <w:b/>
                <w:bCs/>
                <w:strike w:val="0"/>
              </w:rPr>
              <w:t>Relationship to child</w:t>
            </w:r>
          </w:p>
        </w:tc>
        <w:tc>
          <w:tcPr>
            <w:tcW w:w="0" w:type="auto"/>
            <w:vAlign w:val="center"/>
            <w:hideMark/>
          </w:tcPr>
          <w:p w14:paraId="3CBEA8F1" w14:textId="77777777" w:rsidR="001F0CFD" w:rsidRPr="001F0CFD" w:rsidRDefault="001F0CFD" w:rsidP="001F0CFD">
            <w:pPr>
              <w:rPr>
                <w:strike w:val="0"/>
              </w:rPr>
            </w:pPr>
          </w:p>
        </w:tc>
        <w:tc>
          <w:tcPr>
            <w:tcW w:w="0" w:type="auto"/>
            <w:vAlign w:val="center"/>
            <w:hideMark/>
          </w:tcPr>
          <w:p w14:paraId="7963F3D9" w14:textId="77777777" w:rsidR="001F0CFD" w:rsidRPr="001F0CFD" w:rsidRDefault="001F0CFD" w:rsidP="001F0CFD">
            <w:pPr>
              <w:rPr>
                <w:strike w:val="0"/>
              </w:rPr>
            </w:pPr>
          </w:p>
        </w:tc>
        <w:tc>
          <w:tcPr>
            <w:tcW w:w="0" w:type="auto"/>
            <w:vAlign w:val="center"/>
            <w:hideMark/>
          </w:tcPr>
          <w:p w14:paraId="0A8EC4EB" w14:textId="77777777" w:rsidR="001F0CFD" w:rsidRPr="001F0CFD" w:rsidRDefault="001F0CFD" w:rsidP="001F0CFD">
            <w:pPr>
              <w:rPr>
                <w:strike w:val="0"/>
              </w:rPr>
            </w:pPr>
            <w:r w:rsidRPr="001F0CFD">
              <w:rPr>
                <w:strike w:val="0"/>
              </w:rPr>
              <w:t>χ² = 0.46</w:t>
            </w:r>
          </w:p>
        </w:tc>
        <w:tc>
          <w:tcPr>
            <w:tcW w:w="0" w:type="auto"/>
            <w:vAlign w:val="center"/>
            <w:hideMark/>
          </w:tcPr>
          <w:p w14:paraId="2225333B" w14:textId="77777777" w:rsidR="001F0CFD" w:rsidRPr="001F0CFD" w:rsidRDefault="001F0CFD" w:rsidP="001F0CFD">
            <w:pPr>
              <w:rPr>
                <w:strike w:val="0"/>
              </w:rPr>
            </w:pPr>
            <w:r w:rsidRPr="001F0CFD">
              <w:rPr>
                <w:strike w:val="0"/>
              </w:rPr>
              <w:t>0.499</w:t>
            </w:r>
          </w:p>
        </w:tc>
      </w:tr>
      <w:tr w:rsidR="001F0CFD" w:rsidRPr="001F0CFD" w14:paraId="09A8674B" w14:textId="77777777">
        <w:trPr>
          <w:tblCellSpacing w:w="15" w:type="dxa"/>
        </w:trPr>
        <w:tc>
          <w:tcPr>
            <w:tcW w:w="0" w:type="auto"/>
            <w:vAlign w:val="center"/>
            <w:hideMark/>
          </w:tcPr>
          <w:p w14:paraId="78777C83" w14:textId="77777777" w:rsidR="001F0CFD" w:rsidRPr="001F0CFD" w:rsidRDefault="001F0CFD" w:rsidP="001F0CFD">
            <w:pPr>
              <w:rPr>
                <w:strike w:val="0"/>
              </w:rPr>
            </w:pPr>
            <w:r w:rsidRPr="001F0CFD">
              <w:rPr>
                <w:strike w:val="0"/>
              </w:rPr>
              <w:t>Father</w:t>
            </w:r>
          </w:p>
        </w:tc>
        <w:tc>
          <w:tcPr>
            <w:tcW w:w="0" w:type="auto"/>
            <w:vAlign w:val="center"/>
            <w:hideMark/>
          </w:tcPr>
          <w:p w14:paraId="1AF094FE" w14:textId="77777777" w:rsidR="001F0CFD" w:rsidRPr="001F0CFD" w:rsidRDefault="001F0CFD" w:rsidP="001F0CFD">
            <w:pPr>
              <w:rPr>
                <w:strike w:val="0"/>
              </w:rPr>
            </w:pPr>
            <w:r w:rsidRPr="001F0CFD">
              <w:rPr>
                <w:strike w:val="0"/>
              </w:rPr>
              <w:t>31 (16.85)</w:t>
            </w:r>
          </w:p>
        </w:tc>
        <w:tc>
          <w:tcPr>
            <w:tcW w:w="0" w:type="auto"/>
            <w:vAlign w:val="center"/>
            <w:hideMark/>
          </w:tcPr>
          <w:p w14:paraId="1A90A13A" w14:textId="77777777" w:rsidR="001F0CFD" w:rsidRPr="001F0CFD" w:rsidRDefault="001F0CFD" w:rsidP="001F0CFD">
            <w:pPr>
              <w:rPr>
                <w:strike w:val="0"/>
              </w:rPr>
            </w:pPr>
            <w:r w:rsidRPr="001F0CFD">
              <w:rPr>
                <w:strike w:val="0"/>
              </w:rPr>
              <w:t>36 (19.57)</w:t>
            </w:r>
          </w:p>
        </w:tc>
        <w:tc>
          <w:tcPr>
            <w:tcW w:w="0" w:type="auto"/>
            <w:vAlign w:val="center"/>
            <w:hideMark/>
          </w:tcPr>
          <w:p w14:paraId="3985F674" w14:textId="77777777" w:rsidR="001F0CFD" w:rsidRPr="001F0CFD" w:rsidRDefault="001F0CFD" w:rsidP="001F0CFD">
            <w:pPr>
              <w:rPr>
                <w:strike w:val="0"/>
              </w:rPr>
            </w:pPr>
          </w:p>
        </w:tc>
        <w:tc>
          <w:tcPr>
            <w:tcW w:w="0" w:type="auto"/>
            <w:vAlign w:val="center"/>
            <w:hideMark/>
          </w:tcPr>
          <w:p w14:paraId="634C8573" w14:textId="77777777" w:rsidR="001F0CFD" w:rsidRPr="001F0CFD" w:rsidRDefault="001F0CFD" w:rsidP="001F0CFD">
            <w:pPr>
              <w:rPr>
                <w:strike w:val="0"/>
              </w:rPr>
            </w:pPr>
          </w:p>
        </w:tc>
      </w:tr>
      <w:tr w:rsidR="001F0CFD" w:rsidRPr="001F0CFD" w14:paraId="7C762F23" w14:textId="77777777">
        <w:trPr>
          <w:tblCellSpacing w:w="15" w:type="dxa"/>
        </w:trPr>
        <w:tc>
          <w:tcPr>
            <w:tcW w:w="0" w:type="auto"/>
            <w:vAlign w:val="center"/>
            <w:hideMark/>
          </w:tcPr>
          <w:p w14:paraId="1C8F6BE9" w14:textId="77777777" w:rsidR="001F0CFD" w:rsidRPr="001F0CFD" w:rsidRDefault="001F0CFD" w:rsidP="001F0CFD">
            <w:pPr>
              <w:rPr>
                <w:strike w:val="0"/>
              </w:rPr>
            </w:pPr>
            <w:r w:rsidRPr="001F0CFD">
              <w:rPr>
                <w:strike w:val="0"/>
              </w:rPr>
              <w:t>Mother</w:t>
            </w:r>
          </w:p>
        </w:tc>
        <w:tc>
          <w:tcPr>
            <w:tcW w:w="0" w:type="auto"/>
            <w:vAlign w:val="center"/>
            <w:hideMark/>
          </w:tcPr>
          <w:p w14:paraId="452B7DF2" w14:textId="77777777" w:rsidR="001F0CFD" w:rsidRPr="001F0CFD" w:rsidRDefault="001F0CFD" w:rsidP="001F0CFD">
            <w:pPr>
              <w:rPr>
                <w:strike w:val="0"/>
              </w:rPr>
            </w:pPr>
            <w:r w:rsidRPr="001F0CFD">
              <w:rPr>
                <w:strike w:val="0"/>
              </w:rPr>
              <w:t>153 (83.15)</w:t>
            </w:r>
          </w:p>
        </w:tc>
        <w:tc>
          <w:tcPr>
            <w:tcW w:w="0" w:type="auto"/>
            <w:vAlign w:val="center"/>
            <w:hideMark/>
          </w:tcPr>
          <w:p w14:paraId="308B7E83" w14:textId="77777777" w:rsidR="001F0CFD" w:rsidRPr="001F0CFD" w:rsidRDefault="001F0CFD" w:rsidP="001F0CFD">
            <w:pPr>
              <w:rPr>
                <w:strike w:val="0"/>
              </w:rPr>
            </w:pPr>
            <w:r w:rsidRPr="001F0CFD">
              <w:rPr>
                <w:strike w:val="0"/>
              </w:rPr>
              <w:t>148 (80.43)</w:t>
            </w:r>
          </w:p>
        </w:tc>
        <w:tc>
          <w:tcPr>
            <w:tcW w:w="0" w:type="auto"/>
            <w:vAlign w:val="center"/>
            <w:hideMark/>
          </w:tcPr>
          <w:p w14:paraId="72813A02" w14:textId="77777777" w:rsidR="001F0CFD" w:rsidRPr="001F0CFD" w:rsidRDefault="001F0CFD" w:rsidP="001F0CFD">
            <w:pPr>
              <w:rPr>
                <w:strike w:val="0"/>
              </w:rPr>
            </w:pPr>
          </w:p>
        </w:tc>
        <w:tc>
          <w:tcPr>
            <w:tcW w:w="0" w:type="auto"/>
            <w:vAlign w:val="center"/>
            <w:hideMark/>
          </w:tcPr>
          <w:p w14:paraId="629B576F" w14:textId="77777777" w:rsidR="001F0CFD" w:rsidRPr="001F0CFD" w:rsidRDefault="001F0CFD" w:rsidP="001F0CFD">
            <w:pPr>
              <w:rPr>
                <w:strike w:val="0"/>
              </w:rPr>
            </w:pPr>
          </w:p>
        </w:tc>
      </w:tr>
      <w:tr w:rsidR="001F0CFD" w:rsidRPr="001F0CFD" w14:paraId="2E314B83" w14:textId="77777777">
        <w:trPr>
          <w:tblCellSpacing w:w="15" w:type="dxa"/>
        </w:trPr>
        <w:tc>
          <w:tcPr>
            <w:tcW w:w="0" w:type="auto"/>
            <w:vAlign w:val="center"/>
            <w:hideMark/>
          </w:tcPr>
          <w:p w14:paraId="5CFB4E8B" w14:textId="77777777" w:rsidR="001F0CFD" w:rsidRPr="001F0CFD" w:rsidRDefault="001F0CFD" w:rsidP="001F0CFD">
            <w:pPr>
              <w:rPr>
                <w:strike w:val="0"/>
              </w:rPr>
            </w:pPr>
            <w:r w:rsidRPr="001F0CFD">
              <w:rPr>
                <w:b/>
                <w:bCs/>
                <w:strike w:val="0"/>
              </w:rPr>
              <w:t>Age of caregiver (years)</w:t>
            </w:r>
          </w:p>
        </w:tc>
        <w:tc>
          <w:tcPr>
            <w:tcW w:w="0" w:type="auto"/>
            <w:vAlign w:val="center"/>
            <w:hideMark/>
          </w:tcPr>
          <w:p w14:paraId="30011C04" w14:textId="77777777" w:rsidR="001F0CFD" w:rsidRPr="001F0CFD" w:rsidRDefault="001F0CFD" w:rsidP="001F0CFD">
            <w:pPr>
              <w:rPr>
                <w:strike w:val="0"/>
              </w:rPr>
            </w:pPr>
          </w:p>
        </w:tc>
        <w:tc>
          <w:tcPr>
            <w:tcW w:w="0" w:type="auto"/>
            <w:vAlign w:val="center"/>
            <w:hideMark/>
          </w:tcPr>
          <w:p w14:paraId="359C800C" w14:textId="77777777" w:rsidR="001F0CFD" w:rsidRPr="001F0CFD" w:rsidRDefault="001F0CFD" w:rsidP="001F0CFD">
            <w:pPr>
              <w:rPr>
                <w:strike w:val="0"/>
              </w:rPr>
            </w:pPr>
          </w:p>
        </w:tc>
        <w:tc>
          <w:tcPr>
            <w:tcW w:w="0" w:type="auto"/>
            <w:vAlign w:val="center"/>
            <w:hideMark/>
          </w:tcPr>
          <w:p w14:paraId="4FE927D9" w14:textId="77777777" w:rsidR="001F0CFD" w:rsidRPr="001F0CFD" w:rsidRDefault="001F0CFD" w:rsidP="001F0CFD">
            <w:pPr>
              <w:rPr>
                <w:strike w:val="0"/>
              </w:rPr>
            </w:pPr>
            <w:r w:rsidRPr="001F0CFD">
              <w:rPr>
                <w:strike w:val="0"/>
              </w:rPr>
              <w:t>χ² = 8.03</w:t>
            </w:r>
          </w:p>
        </w:tc>
        <w:tc>
          <w:tcPr>
            <w:tcW w:w="0" w:type="auto"/>
            <w:vAlign w:val="center"/>
            <w:hideMark/>
          </w:tcPr>
          <w:p w14:paraId="3EAA815B" w14:textId="77777777" w:rsidR="001F0CFD" w:rsidRPr="001F0CFD" w:rsidRDefault="001F0CFD" w:rsidP="001F0CFD">
            <w:pPr>
              <w:rPr>
                <w:strike w:val="0"/>
              </w:rPr>
            </w:pPr>
            <w:r w:rsidRPr="001F0CFD">
              <w:rPr>
                <w:strike w:val="0"/>
              </w:rPr>
              <w:t>0.091</w:t>
            </w:r>
          </w:p>
        </w:tc>
      </w:tr>
      <w:tr w:rsidR="001F0CFD" w:rsidRPr="001F0CFD" w14:paraId="749D9233" w14:textId="77777777">
        <w:trPr>
          <w:tblCellSpacing w:w="15" w:type="dxa"/>
        </w:trPr>
        <w:tc>
          <w:tcPr>
            <w:tcW w:w="0" w:type="auto"/>
            <w:vAlign w:val="center"/>
            <w:hideMark/>
          </w:tcPr>
          <w:p w14:paraId="342AB70F" w14:textId="77777777" w:rsidR="001F0CFD" w:rsidRPr="001F0CFD" w:rsidRDefault="001F0CFD" w:rsidP="001F0CFD">
            <w:pPr>
              <w:rPr>
                <w:strike w:val="0"/>
              </w:rPr>
            </w:pPr>
            <w:r w:rsidRPr="001F0CFD">
              <w:rPr>
                <w:strike w:val="0"/>
              </w:rPr>
              <w:t>≤20</w:t>
            </w:r>
          </w:p>
        </w:tc>
        <w:tc>
          <w:tcPr>
            <w:tcW w:w="0" w:type="auto"/>
            <w:vAlign w:val="center"/>
            <w:hideMark/>
          </w:tcPr>
          <w:p w14:paraId="65BD8573" w14:textId="77777777" w:rsidR="001F0CFD" w:rsidRPr="001F0CFD" w:rsidRDefault="001F0CFD" w:rsidP="001F0CFD">
            <w:pPr>
              <w:rPr>
                <w:strike w:val="0"/>
              </w:rPr>
            </w:pPr>
            <w:r w:rsidRPr="001F0CFD">
              <w:rPr>
                <w:strike w:val="0"/>
              </w:rPr>
              <w:t>13 (7.07)</w:t>
            </w:r>
          </w:p>
        </w:tc>
        <w:tc>
          <w:tcPr>
            <w:tcW w:w="0" w:type="auto"/>
            <w:vAlign w:val="center"/>
            <w:hideMark/>
          </w:tcPr>
          <w:p w14:paraId="32B5862A" w14:textId="77777777" w:rsidR="001F0CFD" w:rsidRPr="001F0CFD" w:rsidRDefault="001F0CFD" w:rsidP="001F0CFD">
            <w:pPr>
              <w:rPr>
                <w:strike w:val="0"/>
              </w:rPr>
            </w:pPr>
            <w:r w:rsidRPr="001F0CFD">
              <w:rPr>
                <w:strike w:val="0"/>
              </w:rPr>
              <w:t>16 (8.70)</w:t>
            </w:r>
          </w:p>
        </w:tc>
        <w:tc>
          <w:tcPr>
            <w:tcW w:w="0" w:type="auto"/>
            <w:vAlign w:val="center"/>
            <w:hideMark/>
          </w:tcPr>
          <w:p w14:paraId="78E8B69F" w14:textId="77777777" w:rsidR="001F0CFD" w:rsidRPr="001F0CFD" w:rsidRDefault="001F0CFD" w:rsidP="001F0CFD">
            <w:pPr>
              <w:rPr>
                <w:strike w:val="0"/>
              </w:rPr>
            </w:pPr>
          </w:p>
        </w:tc>
        <w:tc>
          <w:tcPr>
            <w:tcW w:w="0" w:type="auto"/>
            <w:vAlign w:val="center"/>
            <w:hideMark/>
          </w:tcPr>
          <w:p w14:paraId="12B2E8E7" w14:textId="77777777" w:rsidR="001F0CFD" w:rsidRPr="001F0CFD" w:rsidRDefault="001F0CFD" w:rsidP="001F0CFD">
            <w:pPr>
              <w:rPr>
                <w:strike w:val="0"/>
              </w:rPr>
            </w:pPr>
          </w:p>
        </w:tc>
      </w:tr>
      <w:tr w:rsidR="001F0CFD" w:rsidRPr="001F0CFD" w14:paraId="2ECBB305" w14:textId="77777777">
        <w:trPr>
          <w:tblCellSpacing w:w="15" w:type="dxa"/>
        </w:trPr>
        <w:tc>
          <w:tcPr>
            <w:tcW w:w="0" w:type="auto"/>
            <w:vAlign w:val="center"/>
            <w:hideMark/>
          </w:tcPr>
          <w:p w14:paraId="5BFE95C7" w14:textId="77777777" w:rsidR="001F0CFD" w:rsidRPr="001F0CFD" w:rsidRDefault="001F0CFD" w:rsidP="001F0CFD">
            <w:pPr>
              <w:rPr>
                <w:strike w:val="0"/>
              </w:rPr>
            </w:pPr>
            <w:r w:rsidRPr="001F0CFD">
              <w:rPr>
                <w:strike w:val="0"/>
              </w:rPr>
              <w:t>21–30</w:t>
            </w:r>
          </w:p>
        </w:tc>
        <w:tc>
          <w:tcPr>
            <w:tcW w:w="0" w:type="auto"/>
            <w:vAlign w:val="center"/>
            <w:hideMark/>
          </w:tcPr>
          <w:p w14:paraId="50C4D8D2" w14:textId="77777777" w:rsidR="001F0CFD" w:rsidRPr="001F0CFD" w:rsidRDefault="001F0CFD" w:rsidP="001F0CFD">
            <w:pPr>
              <w:rPr>
                <w:strike w:val="0"/>
              </w:rPr>
            </w:pPr>
            <w:r w:rsidRPr="001F0CFD">
              <w:rPr>
                <w:strike w:val="0"/>
              </w:rPr>
              <w:t>100 (54.35)</w:t>
            </w:r>
          </w:p>
        </w:tc>
        <w:tc>
          <w:tcPr>
            <w:tcW w:w="0" w:type="auto"/>
            <w:vAlign w:val="center"/>
            <w:hideMark/>
          </w:tcPr>
          <w:p w14:paraId="2ABECEDA" w14:textId="77777777" w:rsidR="001F0CFD" w:rsidRPr="001F0CFD" w:rsidRDefault="001F0CFD" w:rsidP="001F0CFD">
            <w:pPr>
              <w:rPr>
                <w:strike w:val="0"/>
              </w:rPr>
            </w:pPr>
            <w:r w:rsidRPr="001F0CFD">
              <w:rPr>
                <w:strike w:val="0"/>
              </w:rPr>
              <w:t>96 (52.17)</w:t>
            </w:r>
          </w:p>
        </w:tc>
        <w:tc>
          <w:tcPr>
            <w:tcW w:w="0" w:type="auto"/>
            <w:vAlign w:val="center"/>
            <w:hideMark/>
          </w:tcPr>
          <w:p w14:paraId="75123D82" w14:textId="77777777" w:rsidR="001F0CFD" w:rsidRPr="001F0CFD" w:rsidRDefault="001F0CFD" w:rsidP="001F0CFD">
            <w:pPr>
              <w:rPr>
                <w:strike w:val="0"/>
              </w:rPr>
            </w:pPr>
          </w:p>
        </w:tc>
        <w:tc>
          <w:tcPr>
            <w:tcW w:w="0" w:type="auto"/>
            <w:vAlign w:val="center"/>
            <w:hideMark/>
          </w:tcPr>
          <w:p w14:paraId="57CEACE5" w14:textId="77777777" w:rsidR="001F0CFD" w:rsidRPr="001F0CFD" w:rsidRDefault="001F0CFD" w:rsidP="001F0CFD">
            <w:pPr>
              <w:rPr>
                <w:strike w:val="0"/>
              </w:rPr>
            </w:pPr>
          </w:p>
        </w:tc>
      </w:tr>
      <w:tr w:rsidR="001F0CFD" w:rsidRPr="001F0CFD" w14:paraId="498FD09C" w14:textId="77777777">
        <w:trPr>
          <w:tblCellSpacing w:w="15" w:type="dxa"/>
        </w:trPr>
        <w:tc>
          <w:tcPr>
            <w:tcW w:w="0" w:type="auto"/>
            <w:vAlign w:val="center"/>
            <w:hideMark/>
          </w:tcPr>
          <w:p w14:paraId="579F9AE3" w14:textId="77777777" w:rsidR="001F0CFD" w:rsidRPr="001F0CFD" w:rsidRDefault="001F0CFD" w:rsidP="001F0CFD">
            <w:pPr>
              <w:rPr>
                <w:strike w:val="0"/>
              </w:rPr>
            </w:pPr>
            <w:r w:rsidRPr="001F0CFD">
              <w:rPr>
                <w:strike w:val="0"/>
              </w:rPr>
              <w:t>31–40</w:t>
            </w:r>
          </w:p>
        </w:tc>
        <w:tc>
          <w:tcPr>
            <w:tcW w:w="0" w:type="auto"/>
            <w:vAlign w:val="center"/>
            <w:hideMark/>
          </w:tcPr>
          <w:p w14:paraId="2105C8AA" w14:textId="77777777" w:rsidR="001F0CFD" w:rsidRPr="001F0CFD" w:rsidRDefault="001F0CFD" w:rsidP="001F0CFD">
            <w:pPr>
              <w:rPr>
                <w:strike w:val="0"/>
              </w:rPr>
            </w:pPr>
            <w:r w:rsidRPr="001F0CFD">
              <w:rPr>
                <w:strike w:val="0"/>
              </w:rPr>
              <w:t>54 (29.35)</w:t>
            </w:r>
          </w:p>
        </w:tc>
        <w:tc>
          <w:tcPr>
            <w:tcW w:w="0" w:type="auto"/>
            <w:vAlign w:val="center"/>
            <w:hideMark/>
          </w:tcPr>
          <w:p w14:paraId="75EFDF32" w14:textId="77777777" w:rsidR="001F0CFD" w:rsidRPr="001F0CFD" w:rsidRDefault="001F0CFD" w:rsidP="001F0CFD">
            <w:pPr>
              <w:rPr>
                <w:strike w:val="0"/>
              </w:rPr>
            </w:pPr>
            <w:r w:rsidRPr="001F0CFD">
              <w:rPr>
                <w:strike w:val="0"/>
              </w:rPr>
              <w:t>52 (28.26)</w:t>
            </w:r>
          </w:p>
        </w:tc>
        <w:tc>
          <w:tcPr>
            <w:tcW w:w="0" w:type="auto"/>
            <w:vAlign w:val="center"/>
            <w:hideMark/>
          </w:tcPr>
          <w:p w14:paraId="0E527F46" w14:textId="77777777" w:rsidR="001F0CFD" w:rsidRPr="001F0CFD" w:rsidRDefault="001F0CFD" w:rsidP="001F0CFD">
            <w:pPr>
              <w:rPr>
                <w:strike w:val="0"/>
              </w:rPr>
            </w:pPr>
          </w:p>
        </w:tc>
        <w:tc>
          <w:tcPr>
            <w:tcW w:w="0" w:type="auto"/>
            <w:vAlign w:val="center"/>
            <w:hideMark/>
          </w:tcPr>
          <w:p w14:paraId="0DE94885" w14:textId="77777777" w:rsidR="001F0CFD" w:rsidRPr="001F0CFD" w:rsidRDefault="001F0CFD" w:rsidP="001F0CFD">
            <w:pPr>
              <w:rPr>
                <w:strike w:val="0"/>
              </w:rPr>
            </w:pPr>
          </w:p>
        </w:tc>
      </w:tr>
      <w:tr w:rsidR="001F0CFD" w:rsidRPr="001F0CFD" w14:paraId="77F06503" w14:textId="77777777">
        <w:trPr>
          <w:tblCellSpacing w:w="15" w:type="dxa"/>
        </w:trPr>
        <w:tc>
          <w:tcPr>
            <w:tcW w:w="0" w:type="auto"/>
            <w:vAlign w:val="center"/>
            <w:hideMark/>
          </w:tcPr>
          <w:p w14:paraId="2D42D6A7" w14:textId="77777777" w:rsidR="001F0CFD" w:rsidRPr="001F0CFD" w:rsidRDefault="001F0CFD" w:rsidP="001F0CFD">
            <w:pPr>
              <w:rPr>
                <w:strike w:val="0"/>
              </w:rPr>
            </w:pPr>
            <w:r w:rsidRPr="001F0CFD">
              <w:rPr>
                <w:strike w:val="0"/>
              </w:rPr>
              <w:t>41–50</w:t>
            </w:r>
          </w:p>
        </w:tc>
        <w:tc>
          <w:tcPr>
            <w:tcW w:w="0" w:type="auto"/>
            <w:vAlign w:val="center"/>
            <w:hideMark/>
          </w:tcPr>
          <w:p w14:paraId="7831804F" w14:textId="77777777" w:rsidR="001F0CFD" w:rsidRPr="001F0CFD" w:rsidRDefault="001F0CFD" w:rsidP="001F0CFD">
            <w:pPr>
              <w:rPr>
                <w:strike w:val="0"/>
              </w:rPr>
            </w:pPr>
            <w:r w:rsidRPr="001F0CFD">
              <w:rPr>
                <w:strike w:val="0"/>
              </w:rPr>
              <w:t>13 (7.07)</w:t>
            </w:r>
          </w:p>
        </w:tc>
        <w:tc>
          <w:tcPr>
            <w:tcW w:w="0" w:type="auto"/>
            <w:vAlign w:val="center"/>
            <w:hideMark/>
          </w:tcPr>
          <w:p w14:paraId="1E144705" w14:textId="77777777" w:rsidR="001F0CFD" w:rsidRPr="001F0CFD" w:rsidRDefault="001F0CFD" w:rsidP="001F0CFD">
            <w:pPr>
              <w:rPr>
                <w:strike w:val="0"/>
              </w:rPr>
            </w:pPr>
            <w:r w:rsidRPr="001F0CFD">
              <w:rPr>
                <w:strike w:val="0"/>
              </w:rPr>
              <w:t>15 (8.15)</w:t>
            </w:r>
          </w:p>
        </w:tc>
        <w:tc>
          <w:tcPr>
            <w:tcW w:w="0" w:type="auto"/>
            <w:vAlign w:val="center"/>
            <w:hideMark/>
          </w:tcPr>
          <w:p w14:paraId="0AF54916" w14:textId="77777777" w:rsidR="001F0CFD" w:rsidRPr="001F0CFD" w:rsidRDefault="001F0CFD" w:rsidP="001F0CFD">
            <w:pPr>
              <w:rPr>
                <w:strike w:val="0"/>
              </w:rPr>
            </w:pPr>
          </w:p>
        </w:tc>
        <w:tc>
          <w:tcPr>
            <w:tcW w:w="0" w:type="auto"/>
            <w:vAlign w:val="center"/>
            <w:hideMark/>
          </w:tcPr>
          <w:p w14:paraId="7F01824B" w14:textId="77777777" w:rsidR="001F0CFD" w:rsidRPr="001F0CFD" w:rsidRDefault="001F0CFD" w:rsidP="001F0CFD">
            <w:pPr>
              <w:rPr>
                <w:strike w:val="0"/>
              </w:rPr>
            </w:pPr>
          </w:p>
        </w:tc>
      </w:tr>
      <w:tr w:rsidR="001F0CFD" w:rsidRPr="001F0CFD" w14:paraId="7F3196C0" w14:textId="77777777">
        <w:trPr>
          <w:tblCellSpacing w:w="15" w:type="dxa"/>
        </w:trPr>
        <w:tc>
          <w:tcPr>
            <w:tcW w:w="0" w:type="auto"/>
            <w:vAlign w:val="center"/>
            <w:hideMark/>
          </w:tcPr>
          <w:p w14:paraId="5C602856" w14:textId="77777777" w:rsidR="001F0CFD" w:rsidRPr="001F0CFD" w:rsidRDefault="001F0CFD" w:rsidP="001F0CFD">
            <w:pPr>
              <w:rPr>
                <w:strike w:val="0"/>
              </w:rPr>
            </w:pPr>
            <w:r w:rsidRPr="001F0CFD">
              <w:rPr>
                <w:strike w:val="0"/>
              </w:rPr>
              <w:t>≥51</w:t>
            </w:r>
          </w:p>
        </w:tc>
        <w:tc>
          <w:tcPr>
            <w:tcW w:w="0" w:type="auto"/>
            <w:vAlign w:val="center"/>
            <w:hideMark/>
          </w:tcPr>
          <w:p w14:paraId="6FF85C02" w14:textId="77777777" w:rsidR="001F0CFD" w:rsidRPr="001F0CFD" w:rsidRDefault="001F0CFD" w:rsidP="001F0CFD">
            <w:pPr>
              <w:rPr>
                <w:strike w:val="0"/>
              </w:rPr>
            </w:pPr>
            <w:r w:rsidRPr="001F0CFD">
              <w:rPr>
                <w:strike w:val="0"/>
              </w:rPr>
              <w:t>4 (2.17)</w:t>
            </w:r>
          </w:p>
        </w:tc>
        <w:tc>
          <w:tcPr>
            <w:tcW w:w="0" w:type="auto"/>
            <w:vAlign w:val="center"/>
            <w:hideMark/>
          </w:tcPr>
          <w:p w14:paraId="25EEA0BB" w14:textId="77777777" w:rsidR="001F0CFD" w:rsidRPr="001F0CFD" w:rsidRDefault="001F0CFD" w:rsidP="001F0CFD">
            <w:pPr>
              <w:rPr>
                <w:strike w:val="0"/>
              </w:rPr>
            </w:pPr>
            <w:r w:rsidRPr="001F0CFD">
              <w:rPr>
                <w:strike w:val="0"/>
              </w:rPr>
              <w:t>5 (2.72)</w:t>
            </w:r>
          </w:p>
        </w:tc>
        <w:tc>
          <w:tcPr>
            <w:tcW w:w="0" w:type="auto"/>
            <w:vAlign w:val="center"/>
            <w:hideMark/>
          </w:tcPr>
          <w:p w14:paraId="4E98DDE8" w14:textId="77777777" w:rsidR="001F0CFD" w:rsidRPr="001F0CFD" w:rsidRDefault="001F0CFD" w:rsidP="001F0CFD">
            <w:pPr>
              <w:rPr>
                <w:strike w:val="0"/>
              </w:rPr>
            </w:pPr>
          </w:p>
        </w:tc>
        <w:tc>
          <w:tcPr>
            <w:tcW w:w="0" w:type="auto"/>
            <w:vAlign w:val="center"/>
            <w:hideMark/>
          </w:tcPr>
          <w:p w14:paraId="5985DB0E" w14:textId="77777777" w:rsidR="001F0CFD" w:rsidRPr="001F0CFD" w:rsidRDefault="001F0CFD" w:rsidP="001F0CFD">
            <w:pPr>
              <w:rPr>
                <w:strike w:val="0"/>
              </w:rPr>
            </w:pPr>
          </w:p>
        </w:tc>
      </w:tr>
      <w:tr w:rsidR="001F0CFD" w:rsidRPr="001F0CFD" w14:paraId="55E2F355" w14:textId="77777777">
        <w:trPr>
          <w:tblCellSpacing w:w="15" w:type="dxa"/>
        </w:trPr>
        <w:tc>
          <w:tcPr>
            <w:tcW w:w="0" w:type="auto"/>
            <w:vAlign w:val="center"/>
            <w:hideMark/>
          </w:tcPr>
          <w:p w14:paraId="2C714ED2" w14:textId="77777777" w:rsidR="001F0CFD" w:rsidRPr="001F0CFD" w:rsidRDefault="001F0CFD" w:rsidP="001F0CFD">
            <w:pPr>
              <w:rPr>
                <w:strike w:val="0"/>
              </w:rPr>
            </w:pPr>
            <w:r w:rsidRPr="001F0CFD">
              <w:rPr>
                <w:b/>
                <w:bCs/>
                <w:strike w:val="0"/>
              </w:rPr>
              <w:t>Sex of caregiver</w:t>
            </w:r>
          </w:p>
        </w:tc>
        <w:tc>
          <w:tcPr>
            <w:tcW w:w="0" w:type="auto"/>
            <w:vAlign w:val="center"/>
            <w:hideMark/>
          </w:tcPr>
          <w:p w14:paraId="11E98690" w14:textId="77777777" w:rsidR="001F0CFD" w:rsidRPr="001F0CFD" w:rsidRDefault="001F0CFD" w:rsidP="001F0CFD">
            <w:pPr>
              <w:rPr>
                <w:strike w:val="0"/>
              </w:rPr>
            </w:pPr>
          </w:p>
        </w:tc>
        <w:tc>
          <w:tcPr>
            <w:tcW w:w="0" w:type="auto"/>
            <w:vAlign w:val="center"/>
            <w:hideMark/>
          </w:tcPr>
          <w:p w14:paraId="46DC0599" w14:textId="77777777" w:rsidR="001F0CFD" w:rsidRPr="001F0CFD" w:rsidRDefault="001F0CFD" w:rsidP="001F0CFD">
            <w:pPr>
              <w:rPr>
                <w:strike w:val="0"/>
              </w:rPr>
            </w:pPr>
          </w:p>
        </w:tc>
        <w:tc>
          <w:tcPr>
            <w:tcW w:w="0" w:type="auto"/>
            <w:vAlign w:val="center"/>
            <w:hideMark/>
          </w:tcPr>
          <w:p w14:paraId="01CF9CC5" w14:textId="77777777" w:rsidR="001F0CFD" w:rsidRPr="001F0CFD" w:rsidRDefault="001F0CFD" w:rsidP="001F0CFD">
            <w:pPr>
              <w:rPr>
                <w:strike w:val="0"/>
              </w:rPr>
            </w:pPr>
            <w:r w:rsidRPr="001F0CFD">
              <w:rPr>
                <w:strike w:val="0"/>
              </w:rPr>
              <w:t>χ² = 1.54</w:t>
            </w:r>
          </w:p>
        </w:tc>
        <w:tc>
          <w:tcPr>
            <w:tcW w:w="0" w:type="auto"/>
            <w:vAlign w:val="center"/>
            <w:hideMark/>
          </w:tcPr>
          <w:p w14:paraId="14BDF169" w14:textId="77777777" w:rsidR="001F0CFD" w:rsidRPr="001F0CFD" w:rsidRDefault="001F0CFD" w:rsidP="001F0CFD">
            <w:pPr>
              <w:rPr>
                <w:strike w:val="0"/>
              </w:rPr>
            </w:pPr>
            <w:r w:rsidRPr="001F0CFD">
              <w:rPr>
                <w:strike w:val="0"/>
              </w:rPr>
              <w:t>0.215</w:t>
            </w:r>
          </w:p>
        </w:tc>
      </w:tr>
      <w:tr w:rsidR="001F0CFD" w:rsidRPr="001F0CFD" w14:paraId="236F0CE6" w14:textId="77777777">
        <w:trPr>
          <w:tblCellSpacing w:w="15" w:type="dxa"/>
        </w:trPr>
        <w:tc>
          <w:tcPr>
            <w:tcW w:w="0" w:type="auto"/>
            <w:vAlign w:val="center"/>
            <w:hideMark/>
          </w:tcPr>
          <w:p w14:paraId="7E9DD878" w14:textId="77777777" w:rsidR="001F0CFD" w:rsidRPr="001F0CFD" w:rsidRDefault="001F0CFD" w:rsidP="001F0CFD">
            <w:pPr>
              <w:rPr>
                <w:strike w:val="0"/>
              </w:rPr>
            </w:pPr>
            <w:r w:rsidRPr="001F0CFD">
              <w:rPr>
                <w:strike w:val="0"/>
              </w:rPr>
              <w:t>Female</w:t>
            </w:r>
          </w:p>
        </w:tc>
        <w:tc>
          <w:tcPr>
            <w:tcW w:w="0" w:type="auto"/>
            <w:vAlign w:val="center"/>
            <w:hideMark/>
          </w:tcPr>
          <w:p w14:paraId="08867692" w14:textId="77777777" w:rsidR="001F0CFD" w:rsidRPr="001F0CFD" w:rsidRDefault="001F0CFD" w:rsidP="001F0CFD">
            <w:pPr>
              <w:rPr>
                <w:strike w:val="0"/>
              </w:rPr>
            </w:pPr>
            <w:r w:rsidRPr="001F0CFD">
              <w:rPr>
                <w:strike w:val="0"/>
              </w:rPr>
              <w:t>153 (83.15)</w:t>
            </w:r>
          </w:p>
        </w:tc>
        <w:tc>
          <w:tcPr>
            <w:tcW w:w="0" w:type="auto"/>
            <w:vAlign w:val="center"/>
            <w:hideMark/>
          </w:tcPr>
          <w:p w14:paraId="297F85FF" w14:textId="77777777" w:rsidR="001F0CFD" w:rsidRPr="001F0CFD" w:rsidRDefault="001F0CFD" w:rsidP="001F0CFD">
            <w:pPr>
              <w:rPr>
                <w:strike w:val="0"/>
              </w:rPr>
            </w:pPr>
            <w:r w:rsidRPr="001F0CFD">
              <w:rPr>
                <w:strike w:val="0"/>
              </w:rPr>
              <w:t>160 (86.96)</w:t>
            </w:r>
          </w:p>
        </w:tc>
        <w:tc>
          <w:tcPr>
            <w:tcW w:w="0" w:type="auto"/>
            <w:vAlign w:val="center"/>
            <w:hideMark/>
          </w:tcPr>
          <w:p w14:paraId="1C446201" w14:textId="77777777" w:rsidR="001F0CFD" w:rsidRPr="001F0CFD" w:rsidRDefault="001F0CFD" w:rsidP="001F0CFD">
            <w:pPr>
              <w:rPr>
                <w:strike w:val="0"/>
              </w:rPr>
            </w:pPr>
          </w:p>
        </w:tc>
        <w:tc>
          <w:tcPr>
            <w:tcW w:w="0" w:type="auto"/>
            <w:vAlign w:val="center"/>
            <w:hideMark/>
          </w:tcPr>
          <w:p w14:paraId="06707617" w14:textId="77777777" w:rsidR="001F0CFD" w:rsidRPr="001F0CFD" w:rsidRDefault="001F0CFD" w:rsidP="001F0CFD">
            <w:pPr>
              <w:rPr>
                <w:strike w:val="0"/>
              </w:rPr>
            </w:pPr>
          </w:p>
        </w:tc>
      </w:tr>
      <w:tr w:rsidR="001F0CFD" w:rsidRPr="001F0CFD" w14:paraId="41DDAAE2" w14:textId="77777777">
        <w:trPr>
          <w:tblCellSpacing w:w="15" w:type="dxa"/>
        </w:trPr>
        <w:tc>
          <w:tcPr>
            <w:tcW w:w="0" w:type="auto"/>
            <w:vAlign w:val="center"/>
            <w:hideMark/>
          </w:tcPr>
          <w:p w14:paraId="764EA466" w14:textId="77777777" w:rsidR="001F0CFD" w:rsidRPr="001F0CFD" w:rsidRDefault="001F0CFD" w:rsidP="001F0CFD">
            <w:pPr>
              <w:rPr>
                <w:strike w:val="0"/>
              </w:rPr>
            </w:pPr>
            <w:r w:rsidRPr="001F0CFD">
              <w:rPr>
                <w:strike w:val="0"/>
              </w:rPr>
              <w:t>Male</w:t>
            </w:r>
          </w:p>
        </w:tc>
        <w:tc>
          <w:tcPr>
            <w:tcW w:w="0" w:type="auto"/>
            <w:vAlign w:val="center"/>
            <w:hideMark/>
          </w:tcPr>
          <w:p w14:paraId="4205DCE2" w14:textId="77777777" w:rsidR="001F0CFD" w:rsidRPr="001F0CFD" w:rsidRDefault="001F0CFD" w:rsidP="001F0CFD">
            <w:pPr>
              <w:rPr>
                <w:strike w:val="0"/>
              </w:rPr>
            </w:pPr>
            <w:r w:rsidRPr="001F0CFD">
              <w:rPr>
                <w:strike w:val="0"/>
              </w:rPr>
              <w:t>31 (16.85)</w:t>
            </w:r>
          </w:p>
        </w:tc>
        <w:tc>
          <w:tcPr>
            <w:tcW w:w="0" w:type="auto"/>
            <w:vAlign w:val="center"/>
            <w:hideMark/>
          </w:tcPr>
          <w:p w14:paraId="75F79F71" w14:textId="77777777" w:rsidR="001F0CFD" w:rsidRPr="001F0CFD" w:rsidRDefault="001F0CFD" w:rsidP="001F0CFD">
            <w:pPr>
              <w:rPr>
                <w:strike w:val="0"/>
              </w:rPr>
            </w:pPr>
            <w:r w:rsidRPr="001F0CFD">
              <w:rPr>
                <w:strike w:val="0"/>
              </w:rPr>
              <w:t>24 (13.04)</w:t>
            </w:r>
          </w:p>
        </w:tc>
        <w:tc>
          <w:tcPr>
            <w:tcW w:w="0" w:type="auto"/>
            <w:vAlign w:val="center"/>
            <w:hideMark/>
          </w:tcPr>
          <w:p w14:paraId="37ACADFC" w14:textId="77777777" w:rsidR="001F0CFD" w:rsidRPr="001F0CFD" w:rsidRDefault="001F0CFD" w:rsidP="001F0CFD">
            <w:pPr>
              <w:rPr>
                <w:strike w:val="0"/>
              </w:rPr>
            </w:pPr>
          </w:p>
        </w:tc>
        <w:tc>
          <w:tcPr>
            <w:tcW w:w="0" w:type="auto"/>
            <w:vAlign w:val="center"/>
            <w:hideMark/>
          </w:tcPr>
          <w:p w14:paraId="769B60CE" w14:textId="77777777" w:rsidR="001F0CFD" w:rsidRPr="001F0CFD" w:rsidRDefault="001F0CFD" w:rsidP="001F0CFD">
            <w:pPr>
              <w:rPr>
                <w:strike w:val="0"/>
              </w:rPr>
            </w:pPr>
          </w:p>
        </w:tc>
      </w:tr>
      <w:tr w:rsidR="001F0CFD" w:rsidRPr="001F0CFD" w14:paraId="407C0CE4" w14:textId="77777777">
        <w:trPr>
          <w:tblCellSpacing w:w="15" w:type="dxa"/>
        </w:trPr>
        <w:tc>
          <w:tcPr>
            <w:tcW w:w="0" w:type="auto"/>
            <w:vAlign w:val="center"/>
            <w:hideMark/>
          </w:tcPr>
          <w:p w14:paraId="6FF1773E" w14:textId="77777777" w:rsidR="001F0CFD" w:rsidRPr="001F0CFD" w:rsidRDefault="001F0CFD" w:rsidP="001F0CFD">
            <w:pPr>
              <w:rPr>
                <w:strike w:val="0"/>
              </w:rPr>
            </w:pPr>
            <w:r w:rsidRPr="001F0CFD">
              <w:rPr>
                <w:b/>
                <w:bCs/>
                <w:strike w:val="0"/>
              </w:rPr>
              <w:t>Educational status</w:t>
            </w:r>
          </w:p>
        </w:tc>
        <w:tc>
          <w:tcPr>
            <w:tcW w:w="0" w:type="auto"/>
            <w:vAlign w:val="center"/>
            <w:hideMark/>
          </w:tcPr>
          <w:p w14:paraId="1D7868E1" w14:textId="77777777" w:rsidR="001F0CFD" w:rsidRPr="001F0CFD" w:rsidRDefault="001F0CFD" w:rsidP="001F0CFD">
            <w:pPr>
              <w:rPr>
                <w:strike w:val="0"/>
              </w:rPr>
            </w:pPr>
          </w:p>
        </w:tc>
        <w:tc>
          <w:tcPr>
            <w:tcW w:w="0" w:type="auto"/>
            <w:vAlign w:val="center"/>
            <w:hideMark/>
          </w:tcPr>
          <w:p w14:paraId="2F5C542F" w14:textId="77777777" w:rsidR="001F0CFD" w:rsidRPr="001F0CFD" w:rsidRDefault="001F0CFD" w:rsidP="001F0CFD">
            <w:pPr>
              <w:rPr>
                <w:strike w:val="0"/>
              </w:rPr>
            </w:pPr>
          </w:p>
        </w:tc>
        <w:tc>
          <w:tcPr>
            <w:tcW w:w="0" w:type="auto"/>
            <w:vAlign w:val="center"/>
            <w:hideMark/>
          </w:tcPr>
          <w:p w14:paraId="04165DC1" w14:textId="77777777" w:rsidR="001F0CFD" w:rsidRPr="001F0CFD" w:rsidRDefault="001F0CFD" w:rsidP="001F0CFD">
            <w:pPr>
              <w:rPr>
                <w:strike w:val="0"/>
              </w:rPr>
            </w:pPr>
            <w:r w:rsidRPr="001F0CFD">
              <w:rPr>
                <w:strike w:val="0"/>
              </w:rPr>
              <w:t>χ² = 1.84</w:t>
            </w:r>
          </w:p>
        </w:tc>
        <w:tc>
          <w:tcPr>
            <w:tcW w:w="0" w:type="auto"/>
            <w:vAlign w:val="center"/>
            <w:hideMark/>
          </w:tcPr>
          <w:p w14:paraId="69175DF2" w14:textId="77777777" w:rsidR="001F0CFD" w:rsidRPr="001F0CFD" w:rsidRDefault="001F0CFD" w:rsidP="001F0CFD">
            <w:pPr>
              <w:rPr>
                <w:strike w:val="0"/>
              </w:rPr>
            </w:pPr>
            <w:r w:rsidRPr="001F0CFD">
              <w:rPr>
                <w:strike w:val="0"/>
              </w:rPr>
              <w:t>0.605</w:t>
            </w:r>
          </w:p>
        </w:tc>
      </w:tr>
      <w:tr w:rsidR="001F0CFD" w:rsidRPr="001F0CFD" w14:paraId="1089101F" w14:textId="77777777">
        <w:trPr>
          <w:tblCellSpacing w:w="15" w:type="dxa"/>
        </w:trPr>
        <w:tc>
          <w:tcPr>
            <w:tcW w:w="0" w:type="auto"/>
            <w:vAlign w:val="center"/>
            <w:hideMark/>
          </w:tcPr>
          <w:p w14:paraId="720769F5" w14:textId="77777777" w:rsidR="001F0CFD" w:rsidRPr="001F0CFD" w:rsidRDefault="001F0CFD" w:rsidP="001F0CFD">
            <w:pPr>
              <w:rPr>
                <w:strike w:val="0"/>
              </w:rPr>
            </w:pPr>
            <w:r w:rsidRPr="001F0CFD">
              <w:rPr>
                <w:strike w:val="0"/>
              </w:rPr>
              <w:lastRenderedPageBreak/>
              <w:t>None</w:t>
            </w:r>
          </w:p>
        </w:tc>
        <w:tc>
          <w:tcPr>
            <w:tcW w:w="0" w:type="auto"/>
            <w:vAlign w:val="center"/>
            <w:hideMark/>
          </w:tcPr>
          <w:p w14:paraId="2178C1C2" w14:textId="77777777" w:rsidR="001F0CFD" w:rsidRPr="001F0CFD" w:rsidRDefault="001F0CFD" w:rsidP="001F0CFD">
            <w:pPr>
              <w:rPr>
                <w:strike w:val="0"/>
              </w:rPr>
            </w:pPr>
            <w:r w:rsidRPr="001F0CFD">
              <w:rPr>
                <w:strike w:val="0"/>
              </w:rPr>
              <w:t>36 (19.57)</w:t>
            </w:r>
          </w:p>
        </w:tc>
        <w:tc>
          <w:tcPr>
            <w:tcW w:w="0" w:type="auto"/>
            <w:vAlign w:val="center"/>
            <w:hideMark/>
          </w:tcPr>
          <w:p w14:paraId="30ADFCBB" w14:textId="77777777" w:rsidR="001F0CFD" w:rsidRPr="001F0CFD" w:rsidRDefault="001F0CFD" w:rsidP="001F0CFD">
            <w:pPr>
              <w:rPr>
                <w:strike w:val="0"/>
              </w:rPr>
            </w:pPr>
            <w:r w:rsidRPr="001F0CFD">
              <w:rPr>
                <w:strike w:val="0"/>
              </w:rPr>
              <w:t>39 (21.20)</w:t>
            </w:r>
          </w:p>
        </w:tc>
        <w:tc>
          <w:tcPr>
            <w:tcW w:w="0" w:type="auto"/>
            <w:vAlign w:val="center"/>
            <w:hideMark/>
          </w:tcPr>
          <w:p w14:paraId="1DC54FD4" w14:textId="77777777" w:rsidR="001F0CFD" w:rsidRPr="001F0CFD" w:rsidRDefault="001F0CFD" w:rsidP="001F0CFD">
            <w:pPr>
              <w:rPr>
                <w:strike w:val="0"/>
              </w:rPr>
            </w:pPr>
          </w:p>
        </w:tc>
        <w:tc>
          <w:tcPr>
            <w:tcW w:w="0" w:type="auto"/>
            <w:vAlign w:val="center"/>
            <w:hideMark/>
          </w:tcPr>
          <w:p w14:paraId="35942CD7" w14:textId="77777777" w:rsidR="001F0CFD" w:rsidRPr="001F0CFD" w:rsidRDefault="001F0CFD" w:rsidP="001F0CFD">
            <w:pPr>
              <w:rPr>
                <w:strike w:val="0"/>
              </w:rPr>
            </w:pPr>
          </w:p>
        </w:tc>
      </w:tr>
      <w:tr w:rsidR="001F0CFD" w:rsidRPr="001F0CFD" w14:paraId="333C2995" w14:textId="77777777">
        <w:trPr>
          <w:tblCellSpacing w:w="15" w:type="dxa"/>
        </w:trPr>
        <w:tc>
          <w:tcPr>
            <w:tcW w:w="0" w:type="auto"/>
            <w:vAlign w:val="center"/>
            <w:hideMark/>
          </w:tcPr>
          <w:p w14:paraId="753C2AD5" w14:textId="77777777" w:rsidR="001F0CFD" w:rsidRPr="001F0CFD" w:rsidRDefault="001F0CFD" w:rsidP="001F0CFD">
            <w:pPr>
              <w:rPr>
                <w:strike w:val="0"/>
              </w:rPr>
            </w:pPr>
            <w:r w:rsidRPr="001F0CFD">
              <w:rPr>
                <w:strike w:val="0"/>
              </w:rPr>
              <w:t>Primary</w:t>
            </w:r>
          </w:p>
        </w:tc>
        <w:tc>
          <w:tcPr>
            <w:tcW w:w="0" w:type="auto"/>
            <w:vAlign w:val="center"/>
            <w:hideMark/>
          </w:tcPr>
          <w:p w14:paraId="204428B7" w14:textId="77777777" w:rsidR="001F0CFD" w:rsidRPr="001F0CFD" w:rsidRDefault="001F0CFD" w:rsidP="001F0CFD">
            <w:pPr>
              <w:rPr>
                <w:strike w:val="0"/>
              </w:rPr>
            </w:pPr>
            <w:r w:rsidRPr="001F0CFD">
              <w:rPr>
                <w:strike w:val="0"/>
              </w:rPr>
              <w:t>57 (30.98)</w:t>
            </w:r>
          </w:p>
        </w:tc>
        <w:tc>
          <w:tcPr>
            <w:tcW w:w="0" w:type="auto"/>
            <w:vAlign w:val="center"/>
            <w:hideMark/>
          </w:tcPr>
          <w:p w14:paraId="71DAA75B" w14:textId="77777777" w:rsidR="001F0CFD" w:rsidRPr="001F0CFD" w:rsidRDefault="001F0CFD" w:rsidP="001F0CFD">
            <w:pPr>
              <w:rPr>
                <w:strike w:val="0"/>
              </w:rPr>
            </w:pPr>
            <w:r w:rsidRPr="001F0CFD">
              <w:rPr>
                <w:strike w:val="0"/>
              </w:rPr>
              <w:t>48 (26.09)</w:t>
            </w:r>
          </w:p>
        </w:tc>
        <w:tc>
          <w:tcPr>
            <w:tcW w:w="0" w:type="auto"/>
            <w:vAlign w:val="center"/>
            <w:hideMark/>
          </w:tcPr>
          <w:p w14:paraId="6C5334B5" w14:textId="77777777" w:rsidR="001F0CFD" w:rsidRPr="001F0CFD" w:rsidRDefault="001F0CFD" w:rsidP="001F0CFD">
            <w:pPr>
              <w:rPr>
                <w:strike w:val="0"/>
              </w:rPr>
            </w:pPr>
          </w:p>
        </w:tc>
        <w:tc>
          <w:tcPr>
            <w:tcW w:w="0" w:type="auto"/>
            <w:vAlign w:val="center"/>
            <w:hideMark/>
          </w:tcPr>
          <w:p w14:paraId="4F19FE43" w14:textId="77777777" w:rsidR="001F0CFD" w:rsidRPr="001F0CFD" w:rsidRDefault="001F0CFD" w:rsidP="001F0CFD">
            <w:pPr>
              <w:rPr>
                <w:strike w:val="0"/>
              </w:rPr>
            </w:pPr>
          </w:p>
        </w:tc>
      </w:tr>
      <w:tr w:rsidR="001F0CFD" w:rsidRPr="001F0CFD" w14:paraId="48388580" w14:textId="77777777">
        <w:trPr>
          <w:tblCellSpacing w:w="15" w:type="dxa"/>
        </w:trPr>
        <w:tc>
          <w:tcPr>
            <w:tcW w:w="0" w:type="auto"/>
            <w:vAlign w:val="center"/>
            <w:hideMark/>
          </w:tcPr>
          <w:p w14:paraId="2613F96B" w14:textId="77777777" w:rsidR="001F0CFD" w:rsidRPr="001F0CFD" w:rsidRDefault="001F0CFD" w:rsidP="001F0CFD">
            <w:pPr>
              <w:rPr>
                <w:strike w:val="0"/>
              </w:rPr>
            </w:pPr>
            <w:r w:rsidRPr="001F0CFD">
              <w:rPr>
                <w:strike w:val="0"/>
              </w:rPr>
              <w:t>Secondary</w:t>
            </w:r>
          </w:p>
        </w:tc>
        <w:tc>
          <w:tcPr>
            <w:tcW w:w="0" w:type="auto"/>
            <w:vAlign w:val="center"/>
            <w:hideMark/>
          </w:tcPr>
          <w:p w14:paraId="675451DD" w14:textId="77777777" w:rsidR="001F0CFD" w:rsidRPr="001F0CFD" w:rsidRDefault="001F0CFD" w:rsidP="001F0CFD">
            <w:pPr>
              <w:rPr>
                <w:strike w:val="0"/>
              </w:rPr>
            </w:pPr>
            <w:r w:rsidRPr="001F0CFD">
              <w:rPr>
                <w:strike w:val="0"/>
              </w:rPr>
              <w:t>80 (43.48)</w:t>
            </w:r>
          </w:p>
        </w:tc>
        <w:tc>
          <w:tcPr>
            <w:tcW w:w="0" w:type="auto"/>
            <w:vAlign w:val="center"/>
            <w:hideMark/>
          </w:tcPr>
          <w:p w14:paraId="28D57CE1" w14:textId="77777777" w:rsidR="001F0CFD" w:rsidRPr="001F0CFD" w:rsidRDefault="001F0CFD" w:rsidP="001F0CFD">
            <w:pPr>
              <w:rPr>
                <w:strike w:val="0"/>
              </w:rPr>
            </w:pPr>
            <w:r w:rsidRPr="001F0CFD">
              <w:rPr>
                <w:strike w:val="0"/>
              </w:rPr>
              <w:t>89 (48.37)</w:t>
            </w:r>
          </w:p>
        </w:tc>
        <w:tc>
          <w:tcPr>
            <w:tcW w:w="0" w:type="auto"/>
            <w:vAlign w:val="center"/>
            <w:hideMark/>
          </w:tcPr>
          <w:p w14:paraId="2124854E" w14:textId="77777777" w:rsidR="001F0CFD" w:rsidRPr="001F0CFD" w:rsidRDefault="001F0CFD" w:rsidP="001F0CFD">
            <w:pPr>
              <w:rPr>
                <w:strike w:val="0"/>
              </w:rPr>
            </w:pPr>
          </w:p>
        </w:tc>
        <w:tc>
          <w:tcPr>
            <w:tcW w:w="0" w:type="auto"/>
            <w:vAlign w:val="center"/>
            <w:hideMark/>
          </w:tcPr>
          <w:p w14:paraId="111AB258" w14:textId="77777777" w:rsidR="001F0CFD" w:rsidRPr="001F0CFD" w:rsidRDefault="001F0CFD" w:rsidP="001F0CFD">
            <w:pPr>
              <w:rPr>
                <w:strike w:val="0"/>
              </w:rPr>
            </w:pPr>
          </w:p>
        </w:tc>
      </w:tr>
      <w:tr w:rsidR="001F0CFD" w:rsidRPr="001F0CFD" w14:paraId="09EAC7E1" w14:textId="77777777">
        <w:trPr>
          <w:tblCellSpacing w:w="15" w:type="dxa"/>
        </w:trPr>
        <w:tc>
          <w:tcPr>
            <w:tcW w:w="0" w:type="auto"/>
            <w:vAlign w:val="center"/>
            <w:hideMark/>
          </w:tcPr>
          <w:p w14:paraId="3B666DCC" w14:textId="77777777" w:rsidR="001F0CFD" w:rsidRPr="001F0CFD" w:rsidRDefault="001F0CFD" w:rsidP="001F0CFD">
            <w:pPr>
              <w:rPr>
                <w:strike w:val="0"/>
              </w:rPr>
            </w:pPr>
            <w:r w:rsidRPr="001F0CFD">
              <w:rPr>
                <w:strike w:val="0"/>
              </w:rPr>
              <w:t>Post-secondary</w:t>
            </w:r>
          </w:p>
        </w:tc>
        <w:tc>
          <w:tcPr>
            <w:tcW w:w="0" w:type="auto"/>
            <w:vAlign w:val="center"/>
            <w:hideMark/>
          </w:tcPr>
          <w:p w14:paraId="638EECF8" w14:textId="77777777" w:rsidR="001F0CFD" w:rsidRPr="001F0CFD" w:rsidRDefault="001F0CFD" w:rsidP="001F0CFD">
            <w:pPr>
              <w:rPr>
                <w:strike w:val="0"/>
              </w:rPr>
            </w:pPr>
            <w:r w:rsidRPr="001F0CFD">
              <w:rPr>
                <w:strike w:val="0"/>
              </w:rPr>
              <w:t>11 (5.98)</w:t>
            </w:r>
          </w:p>
        </w:tc>
        <w:tc>
          <w:tcPr>
            <w:tcW w:w="0" w:type="auto"/>
            <w:vAlign w:val="center"/>
            <w:hideMark/>
          </w:tcPr>
          <w:p w14:paraId="7D25D954" w14:textId="77777777" w:rsidR="001F0CFD" w:rsidRPr="001F0CFD" w:rsidRDefault="001F0CFD" w:rsidP="001F0CFD">
            <w:pPr>
              <w:rPr>
                <w:strike w:val="0"/>
              </w:rPr>
            </w:pPr>
            <w:r w:rsidRPr="001F0CFD">
              <w:rPr>
                <w:strike w:val="0"/>
              </w:rPr>
              <w:t>8 (4.35)</w:t>
            </w:r>
          </w:p>
        </w:tc>
        <w:tc>
          <w:tcPr>
            <w:tcW w:w="0" w:type="auto"/>
            <w:vAlign w:val="center"/>
            <w:hideMark/>
          </w:tcPr>
          <w:p w14:paraId="300F79A8" w14:textId="77777777" w:rsidR="001F0CFD" w:rsidRPr="001F0CFD" w:rsidRDefault="001F0CFD" w:rsidP="001F0CFD">
            <w:pPr>
              <w:rPr>
                <w:strike w:val="0"/>
              </w:rPr>
            </w:pPr>
          </w:p>
        </w:tc>
        <w:tc>
          <w:tcPr>
            <w:tcW w:w="0" w:type="auto"/>
            <w:vAlign w:val="center"/>
            <w:hideMark/>
          </w:tcPr>
          <w:p w14:paraId="5CBAEB89" w14:textId="77777777" w:rsidR="001F0CFD" w:rsidRPr="001F0CFD" w:rsidRDefault="001F0CFD" w:rsidP="001F0CFD">
            <w:pPr>
              <w:rPr>
                <w:strike w:val="0"/>
              </w:rPr>
            </w:pPr>
          </w:p>
        </w:tc>
      </w:tr>
    </w:tbl>
    <w:p w14:paraId="333C5CF6" w14:textId="7E9DDB7E" w:rsidR="00AE2392" w:rsidRPr="00AE2392" w:rsidRDefault="00AE2392" w:rsidP="00E36E4C">
      <w:pPr>
        <w:shd w:val="clear" w:color="auto" w:fill="FFFFFF"/>
        <w:spacing w:before="240" w:after="240" w:line="240" w:lineRule="auto"/>
        <w:rPr>
          <w:rFonts w:eastAsia="Times New Roman"/>
          <w:strike w:val="0"/>
          <w:color w:val="0F1115"/>
        </w:rPr>
      </w:pPr>
      <w:r w:rsidRPr="00AE2392">
        <w:rPr>
          <w:rFonts w:eastAsia="Times New Roman"/>
          <w:strike w:val="0"/>
          <w:color w:val="0F1115"/>
        </w:rPr>
        <w:t>Table 2 presents bivariate associations with complete childhood immunization across five determinant categories. Intervention exposure was significantly associated with higher completion (χ² = 21.67, p &lt; 0.001; OR = 2.69). Correct knowledge of the immunization schedule (χ² = 15.32, p &lt; 0.001; OR = 2.41), perceived benefits (χ² = 8.35, p = 0.004; OR = 1.88), paternal education and women's autonomy (χ² = 10.21, p = 0.002; OR = 2.17), and health system factors (access, quality, waiting time) (χ² = 12.24, p = 0.003; OR = 2.35) were all significantly associated with complete immunization.</w:t>
      </w:r>
    </w:p>
    <w:p w14:paraId="6AD142BA" w14:textId="5742A838" w:rsidR="00E36E4C" w:rsidRPr="00E36E4C" w:rsidRDefault="00E36E4C" w:rsidP="00E36E4C">
      <w:pPr>
        <w:shd w:val="clear" w:color="auto" w:fill="FFFFFF"/>
        <w:spacing w:before="240" w:after="240" w:line="240" w:lineRule="auto"/>
        <w:rPr>
          <w:rFonts w:eastAsia="Times New Roman"/>
          <w:strike w:val="0"/>
          <w:color w:val="0F1115"/>
        </w:rPr>
      </w:pPr>
      <w:r w:rsidRPr="00E36E4C">
        <w:rPr>
          <w:rFonts w:eastAsia="Times New Roman"/>
          <w:b/>
          <w:bCs/>
          <w:strike w:val="0"/>
          <w:color w:val="0F1115"/>
        </w:rPr>
        <w:t>Table 2. Bivariate Analysis of Determinants of Complete Childhood Immunization</w:t>
      </w:r>
    </w:p>
    <w:p w14:paraId="78F9DABE" w14:textId="77777777" w:rsidR="00E36E4C" w:rsidRPr="00E36E4C" w:rsidRDefault="00E36E4C" w:rsidP="00E36E4C">
      <w:pPr>
        <w:shd w:val="clear" w:color="auto" w:fill="FFFFFF"/>
        <w:spacing w:before="240" w:after="240" w:line="240" w:lineRule="auto"/>
        <w:rPr>
          <w:rFonts w:eastAsia="Times New Roman"/>
          <w:strike w:val="0"/>
          <w:color w:val="0F1115"/>
        </w:rPr>
      </w:pPr>
      <w:r w:rsidRPr="00E36E4C">
        <w:rPr>
          <w:rFonts w:eastAsia="Times New Roman"/>
          <w:strike w:val="0"/>
          <w:color w:val="0F1115"/>
        </w:rPr>
        <w:t>Outcome variable: Complete immunization</w:t>
      </w:r>
    </w:p>
    <w:tbl>
      <w:tblPr>
        <w:tblW w:w="0" w:type="auto"/>
        <w:tblCellMar>
          <w:top w:w="15" w:type="dxa"/>
          <w:left w:w="15" w:type="dxa"/>
          <w:bottom w:w="15" w:type="dxa"/>
          <w:right w:w="15" w:type="dxa"/>
        </w:tblCellMar>
        <w:tblLook w:val="04A0" w:firstRow="1" w:lastRow="0" w:firstColumn="1" w:lastColumn="0" w:noHBand="0" w:noVBand="1"/>
      </w:tblPr>
      <w:tblGrid>
        <w:gridCol w:w="1908"/>
        <w:gridCol w:w="1794"/>
        <w:gridCol w:w="1842"/>
        <w:gridCol w:w="1020"/>
        <w:gridCol w:w="1166"/>
        <w:gridCol w:w="1296"/>
      </w:tblGrid>
      <w:tr w:rsidR="00E36E4C" w:rsidRPr="00E36E4C" w14:paraId="11D52F8F" w14:textId="77777777">
        <w:trPr>
          <w:tblHeader/>
        </w:trPr>
        <w:tc>
          <w:tcPr>
            <w:tcW w:w="0" w:type="auto"/>
            <w:tcBorders>
              <w:top w:val="nil"/>
            </w:tcBorders>
            <w:tcMar>
              <w:top w:w="150" w:type="dxa"/>
              <w:left w:w="0" w:type="dxa"/>
              <w:bottom w:w="150" w:type="dxa"/>
              <w:right w:w="240" w:type="dxa"/>
            </w:tcMar>
            <w:vAlign w:val="center"/>
            <w:hideMark/>
          </w:tcPr>
          <w:p w14:paraId="2449B0EC"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Variable</w:t>
            </w:r>
          </w:p>
        </w:tc>
        <w:tc>
          <w:tcPr>
            <w:tcW w:w="0" w:type="auto"/>
            <w:tcBorders>
              <w:top w:val="nil"/>
            </w:tcBorders>
            <w:tcMar>
              <w:top w:w="150" w:type="dxa"/>
              <w:left w:w="240" w:type="dxa"/>
              <w:bottom w:w="150" w:type="dxa"/>
              <w:right w:w="240" w:type="dxa"/>
            </w:tcMar>
            <w:vAlign w:val="center"/>
            <w:hideMark/>
          </w:tcPr>
          <w:p w14:paraId="3A1517FD"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Fully Immunized n (%)</w:t>
            </w:r>
          </w:p>
        </w:tc>
        <w:tc>
          <w:tcPr>
            <w:tcW w:w="0" w:type="auto"/>
            <w:tcBorders>
              <w:top w:val="nil"/>
            </w:tcBorders>
            <w:tcMar>
              <w:top w:w="150" w:type="dxa"/>
              <w:left w:w="240" w:type="dxa"/>
              <w:bottom w:w="150" w:type="dxa"/>
              <w:right w:w="240" w:type="dxa"/>
            </w:tcMar>
            <w:vAlign w:val="center"/>
            <w:hideMark/>
          </w:tcPr>
          <w:p w14:paraId="56461EF9"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Not Fully Immunized n (%)</w:t>
            </w:r>
          </w:p>
        </w:tc>
        <w:tc>
          <w:tcPr>
            <w:tcW w:w="0" w:type="auto"/>
            <w:tcBorders>
              <w:top w:val="nil"/>
            </w:tcBorders>
            <w:tcMar>
              <w:top w:w="150" w:type="dxa"/>
              <w:left w:w="240" w:type="dxa"/>
              <w:bottom w:w="150" w:type="dxa"/>
              <w:right w:w="240" w:type="dxa"/>
            </w:tcMar>
            <w:vAlign w:val="center"/>
            <w:hideMark/>
          </w:tcPr>
          <w:p w14:paraId="5B1F1D08"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χ²</w:t>
            </w:r>
          </w:p>
        </w:tc>
        <w:tc>
          <w:tcPr>
            <w:tcW w:w="0" w:type="auto"/>
            <w:tcBorders>
              <w:top w:val="nil"/>
            </w:tcBorders>
            <w:tcMar>
              <w:top w:w="150" w:type="dxa"/>
              <w:left w:w="240" w:type="dxa"/>
              <w:bottom w:w="150" w:type="dxa"/>
              <w:right w:w="240" w:type="dxa"/>
            </w:tcMar>
            <w:vAlign w:val="center"/>
            <w:hideMark/>
          </w:tcPr>
          <w:p w14:paraId="53A9AF4C"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p-value</w:t>
            </w:r>
          </w:p>
        </w:tc>
        <w:tc>
          <w:tcPr>
            <w:tcW w:w="0" w:type="auto"/>
            <w:tcBorders>
              <w:top w:val="nil"/>
            </w:tcBorders>
            <w:tcMar>
              <w:top w:w="150" w:type="dxa"/>
              <w:left w:w="240" w:type="dxa"/>
              <w:bottom w:w="150" w:type="dxa"/>
              <w:right w:w="240" w:type="dxa"/>
            </w:tcMar>
            <w:vAlign w:val="center"/>
            <w:hideMark/>
          </w:tcPr>
          <w:p w14:paraId="2FB6C5F6"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Crude OR (95% CI)</w:t>
            </w:r>
          </w:p>
        </w:tc>
      </w:tr>
      <w:tr w:rsidR="00E36E4C" w:rsidRPr="00E36E4C" w14:paraId="455E8955" w14:textId="77777777">
        <w:tc>
          <w:tcPr>
            <w:tcW w:w="0" w:type="auto"/>
            <w:tcMar>
              <w:top w:w="150" w:type="dxa"/>
              <w:left w:w="0" w:type="dxa"/>
              <w:bottom w:w="150" w:type="dxa"/>
              <w:right w:w="240" w:type="dxa"/>
            </w:tcMar>
            <w:vAlign w:val="center"/>
            <w:hideMark/>
          </w:tcPr>
          <w:p w14:paraId="3A8E357A"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Intervention-Related Factors</w:t>
            </w:r>
          </w:p>
        </w:tc>
        <w:tc>
          <w:tcPr>
            <w:tcW w:w="0" w:type="auto"/>
            <w:tcMar>
              <w:top w:w="150" w:type="dxa"/>
              <w:left w:w="240" w:type="dxa"/>
              <w:bottom w:w="150" w:type="dxa"/>
              <w:right w:w="240" w:type="dxa"/>
            </w:tcMar>
            <w:vAlign w:val="center"/>
            <w:hideMark/>
          </w:tcPr>
          <w:p w14:paraId="7CA6497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25CF9E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3ECCCA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E739DB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4769C7F" w14:textId="77777777" w:rsidR="00E36E4C" w:rsidRPr="00E36E4C" w:rsidRDefault="00E36E4C" w:rsidP="00E36E4C">
            <w:pPr>
              <w:spacing w:after="0" w:line="375" w:lineRule="atLeast"/>
              <w:rPr>
                <w:rFonts w:eastAsia="Times New Roman"/>
                <w:strike w:val="0"/>
              </w:rPr>
            </w:pPr>
          </w:p>
        </w:tc>
      </w:tr>
      <w:tr w:rsidR="00E36E4C" w:rsidRPr="00E36E4C" w14:paraId="136DE3E6" w14:textId="77777777">
        <w:tc>
          <w:tcPr>
            <w:tcW w:w="0" w:type="auto"/>
            <w:tcMar>
              <w:top w:w="150" w:type="dxa"/>
              <w:left w:w="0" w:type="dxa"/>
              <w:bottom w:w="150" w:type="dxa"/>
              <w:right w:w="240" w:type="dxa"/>
            </w:tcMar>
            <w:vAlign w:val="center"/>
            <w:hideMark/>
          </w:tcPr>
          <w:p w14:paraId="56C74982" w14:textId="77777777" w:rsidR="00E36E4C" w:rsidRPr="00E36E4C" w:rsidRDefault="00E36E4C" w:rsidP="00E36E4C">
            <w:pPr>
              <w:spacing w:after="0" w:line="375" w:lineRule="atLeast"/>
              <w:rPr>
                <w:rFonts w:eastAsia="Times New Roman"/>
                <w:strike w:val="0"/>
              </w:rPr>
            </w:pPr>
            <w:r w:rsidRPr="00E36E4C">
              <w:rPr>
                <w:rFonts w:eastAsia="Times New Roman"/>
                <w:strike w:val="0"/>
              </w:rPr>
              <w:t>Intervention exposure</w:t>
            </w:r>
          </w:p>
        </w:tc>
        <w:tc>
          <w:tcPr>
            <w:tcW w:w="0" w:type="auto"/>
            <w:tcMar>
              <w:top w:w="150" w:type="dxa"/>
              <w:left w:w="240" w:type="dxa"/>
              <w:bottom w:w="150" w:type="dxa"/>
              <w:right w:w="240" w:type="dxa"/>
            </w:tcMar>
            <w:vAlign w:val="center"/>
            <w:hideMark/>
          </w:tcPr>
          <w:p w14:paraId="365BF2F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083E4EA"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EF1A4EC" w14:textId="77777777" w:rsidR="00E36E4C" w:rsidRPr="00E36E4C" w:rsidRDefault="00E36E4C" w:rsidP="00E36E4C">
            <w:pPr>
              <w:spacing w:after="0" w:line="375" w:lineRule="atLeast"/>
              <w:rPr>
                <w:rFonts w:eastAsia="Times New Roman"/>
                <w:strike w:val="0"/>
              </w:rPr>
            </w:pPr>
            <w:r w:rsidRPr="00E36E4C">
              <w:rPr>
                <w:rFonts w:eastAsia="Times New Roman"/>
                <w:strike w:val="0"/>
              </w:rPr>
              <w:t>21.67</w:t>
            </w:r>
          </w:p>
        </w:tc>
        <w:tc>
          <w:tcPr>
            <w:tcW w:w="0" w:type="auto"/>
            <w:tcMar>
              <w:top w:w="150" w:type="dxa"/>
              <w:left w:w="240" w:type="dxa"/>
              <w:bottom w:w="150" w:type="dxa"/>
              <w:right w:w="240" w:type="dxa"/>
            </w:tcMar>
            <w:vAlign w:val="center"/>
            <w:hideMark/>
          </w:tcPr>
          <w:p w14:paraId="7750C940" w14:textId="77777777" w:rsidR="00E36E4C" w:rsidRPr="00E36E4C" w:rsidRDefault="00E36E4C" w:rsidP="00E36E4C">
            <w:pPr>
              <w:spacing w:after="0" w:line="375" w:lineRule="atLeast"/>
              <w:rPr>
                <w:rFonts w:eastAsia="Times New Roman"/>
                <w:strike w:val="0"/>
              </w:rPr>
            </w:pPr>
            <w:r w:rsidRPr="00E36E4C">
              <w:rPr>
                <w:rFonts w:eastAsia="Times New Roman"/>
                <w:strike w:val="0"/>
              </w:rPr>
              <w:t>&lt;0.001</w:t>
            </w:r>
          </w:p>
        </w:tc>
        <w:tc>
          <w:tcPr>
            <w:tcW w:w="0" w:type="auto"/>
            <w:tcMar>
              <w:top w:w="150" w:type="dxa"/>
              <w:left w:w="240" w:type="dxa"/>
              <w:bottom w:w="150" w:type="dxa"/>
              <w:right w:w="0" w:type="dxa"/>
            </w:tcMar>
            <w:vAlign w:val="center"/>
            <w:hideMark/>
          </w:tcPr>
          <w:p w14:paraId="7145878B" w14:textId="77777777" w:rsidR="00E36E4C" w:rsidRPr="00E36E4C" w:rsidRDefault="00E36E4C" w:rsidP="00E36E4C">
            <w:pPr>
              <w:spacing w:after="0" w:line="375" w:lineRule="atLeast"/>
              <w:rPr>
                <w:rFonts w:eastAsia="Times New Roman"/>
                <w:strike w:val="0"/>
              </w:rPr>
            </w:pPr>
            <w:r w:rsidRPr="00E36E4C">
              <w:rPr>
                <w:rFonts w:eastAsia="Times New Roman"/>
                <w:strike w:val="0"/>
              </w:rPr>
              <w:t>2.69 (1.81–3.99)</w:t>
            </w:r>
          </w:p>
        </w:tc>
      </w:tr>
      <w:tr w:rsidR="00E36E4C" w:rsidRPr="00E36E4C" w14:paraId="2ECCDA75" w14:textId="77777777">
        <w:tc>
          <w:tcPr>
            <w:tcW w:w="0" w:type="auto"/>
            <w:tcMar>
              <w:top w:w="150" w:type="dxa"/>
              <w:left w:w="0" w:type="dxa"/>
              <w:bottom w:w="150" w:type="dxa"/>
              <w:right w:w="240" w:type="dxa"/>
            </w:tcMar>
            <w:vAlign w:val="center"/>
            <w:hideMark/>
          </w:tcPr>
          <w:p w14:paraId="79CCA087" w14:textId="77777777" w:rsidR="00E36E4C" w:rsidRPr="00E36E4C" w:rsidRDefault="00E36E4C" w:rsidP="00E36E4C">
            <w:pPr>
              <w:spacing w:after="0" w:line="375" w:lineRule="atLeast"/>
              <w:rPr>
                <w:rFonts w:eastAsia="Times New Roman"/>
                <w:strike w:val="0"/>
              </w:rPr>
            </w:pPr>
            <w:r w:rsidRPr="00E36E4C">
              <w:rPr>
                <w:rFonts w:eastAsia="Times New Roman"/>
                <w:strike w:val="0"/>
              </w:rPr>
              <w:t>Intervention group</w:t>
            </w:r>
          </w:p>
        </w:tc>
        <w:tc>
          <w:tcPr>
            <w:tcW w:w="0" w:type="auto"/>
            <w:tcMar>
              <w:top w:w="150" w:type="dxa"/>
              <w:left w:w="240" w:type="dxa"/>
              <w:bottom w:w="150" w:type="dxa"/>
              <w:right w:w="240" w:type="dxa"/>
            </w:tcMar>
            <w:vAlign w:val="center"/>
            <w:hideMark/>
          </w:tcPr>
          <w:p w14:paraId="3A37612A" w14:textId="77777777" w:rsidR="00E36E4C" w:rsidRPr="00E36E4C" w:rsidRDefault="00E36E4C" w:rsidP="00E36E4C">
            <w:pPr>
              <w:spacing w:after="0" w:line="375" w:lineRule="atLeast"/>
              <w:rPr>
                <w:rFonts w:eastAsia="Times New Roman"/>
                <w:strike w:val="0"/>
              </w:rPr>
            </w:pPr>
            <w:r w:rsidRPr="00E36E4C">
              <w:rPr>
                <w:rFonts w:eastAsia="Times New Roman"/>
                <w:strike w:val="0"/>
              </w:rPr>
              <w:t>121 (69.9)</w:t>
            </w:r>
          </w:p>
        </w:tc>
        <w:tc>
          <w:tcPr>
            <w:tcW w:w="0" w:type="auto"/>
            <w:tcMar>
              <w:top w:w="150" w:type="dxa"/>
              <w:left w:w="240" w:type="dxa"/>
              <w:bottom w:w="150" w:type="dxa"/>
              <w:right w:w="240" w:type="dxa"/>
            </w:tcMar>
            <w:vAlign w:val="center"/>
            <w:hideMark/>
          </w:tcPr>
          <w:p w14:paraId="7997677D" w14:textId="77777777" w:rsidR="00E36E4C" w:rsidRPr="00E36E4C" w:rsidRDefault="00E36E4C" w:rsidP="00E36E4C">
            <w:pPr>
              <w:spacing w:after="0" w:line="375" w:lineRule="atLeast"/>
              <w:rPr>
                <w:rFonts w:eastAsia="Times New Roman"/>
                <w:strike w:val="0"/>
              </w:rPr>
            </w:pPr>
            <w:r w:rsidRPr="00E36E4C">
              <w:rPr>
                <w:rFonts w:eastAsia="Times New Roman"/>
                <w:strike w:val="0"/>
              </w:rPr>
              <w:t>52 (30.1)</w:t>
            </w:r>
          </w:p>
        </w:tc>
        <w:tc>
          <w:tcPr>
            <w:tcW w:w="0" w:type="auto"/>
            <w:tcMar>
              <w:top w:w="150" w:type="dxa"/>
              <w:left w:w="240" w:type="dxa"/>
              <w:bottom w:w="150" w:type="dxa"/>
              <w:right w:w="240" w:type="dxa"/>
            </w:tcMar>
            <w:vAlign w:val="center"/>
            <w:hideMark/>
          </w:tcPr>
          <w:p w14:paraId="406A217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291CFC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6EDCFC6D" w14:textId="77777777" w:rsidR="00E36E4C" w:rsidRPr="00E36E4C" w:rsidRDefault="00E36E4C" w:rsidP="00E36E4C">
            <w:pPr>
              <w:spacing w:after="0" w:line="375" w:lineRule="atLeast"/>
              <w:rPr>
                <w:rFonts w:eastAsia="Times New Roman"/>
                <w:strike w:val="0"/>
              </w:rPr>
            </w:pPr>
          </w:p>
        </w:tc>
      </w:tr>
      <w:tr w:rsidR="00E36E4C" w:rsidRPr="00E36E4C" w14:paraId="650183E9" w14:textId="77777777">
        <w:tc>
          <w:tcPr>
            <w:tcW w:w="0" w:type="auto"/>
            <w:tcMar>
              <w:top w:w="150" w:type="dxa"/>
              <w:left w:w="0" w:type="dxa"/>
              <w:bottom w:w="150" w:type="dxa"/>
              <w:right w:w="240" w:type="dxa"/>
            </w:tcMar>
            <w:vAlign w:val="center"/>
            <w:hideMark/>
          </w:tcPr>
          <w:p w14:paraId="03E593E6" w14:textId="77777777" w:rsidR="00E36E4C" w:rsidRPr="00E36E4C" w:rsidRDefault="00E36E4C" w:rsidP="00E36E4C">
            <w:pPr>
              <w:spacing w:after="0" w:line="375" w:lineRule="atLeast"/>
              <w:rPr>
                <w:rFonts w:eastAsia="Times New Roman"/>
                <w:strike w:val="0"/>
              </w:rPr>
            </w:pPr>
            <w:r w:rsidRPr="00E36E4C">
              <w:rPr>
                <w:rFonts w:eastAsia="Times New Roman"/>
                <w:strike w:val="0"/>
              </w:rPr>
              <w:t>Control group</w:t>
            </w:r>
          </w:p>
        </w:tc>
        <w:tc>
          <w:tcPr>
            <w:tcW w:w="0" w:type="auto"/>
            <w:tcMar>
              <w:top w:w="150" w:type="dxa"/>
              <w:left w:w="240" w:type="dxa"/>
              <w:bottom w:w="150" w:type="dxa"/>
              <w:right w:w="240" w:type="dxa"/>
            </w:tcMar>
            <w:vAlign w:val="center"/>
            <w:hideMark/>
          </w:tcPr>
          <w:p w14:paraId="1967866B" w14:textId="77777777" w:rsidR="00E36E4C" w:rsidRPr="00E36E4C" w:rsidRDefault="00E36E4C" w:rsidP="00E36E4C">
            <w:pPr>
              <w:spacing w:after="0" w:line="375" w:lineRule="atLeast"/>
              <w:rPr>
                <w:rFonts w:eastAsia="Times New Roman"/>
                <w:strike w:val="0"/>
              </w:rPr>
            </w:pPr>
            <w:r w:rsidRPr="00E36E4C">
              <w:rPr>
                <w:rFonts w:eastAsia="Times New Roman"/>
                <w:strike w:val="0"/>
              </w:rPr>
              <w:t>77 (46.4)</w:t>
            </w:r>
          </w:p>
        </w:tc>
        <w:tc>
          <w:tcPr>
            <w:tcW w:w="0" w:type="auto"/>
            <w:tcMar>
              <w:top w:w="150" w:type="dxa"/>
              <w:left w:w="240" w:type="dxa"/>
              <w:bottom w:w="150" w:type="dxa"/>
              <w:right w:w="240" w:type="dxa"/>
            </w:tcMar>
            <w:vAlign w:val="center"/>
            <w:hideMark/>
          </w:tcPr>
          <w:p w14:paraId="339C82A0" w14:textId="77777777" w:rsidR="00E36E4C" w:rsidRPr="00E36E4C" w:rsidRDefault="00E36E4C" w:rsidP="00E36E4C">
            <w:pPr>
              <w:spacing w:after="0" w:line="375" w:lineRule="atLeast"/>
              <w:rPr>
                <w:rFonts w:eastAsia="Times New Roman"/>
                <w:strike w:val="0"/>
              </w:rPr>
            </w:pPr>
            <w:r w:rsidRPr="00E36E4C">
              <w:rPr>
                <w:rFonts w:eastAsia="Times New Roman"/>
                <w:strike w:val="0"/>
              </w:rPr>
              <w:t>89 (53.6)</w:t>
            </w:r>
          </w:p>
        </w:tc>
        <w:tc>
          <w:tcPr>
            <w:tcW w:w="0" w:type="auto"/>
            <w:tcMar>
              <w:top w:w="150" w:type="dxa"/>
              <w:left w:w="240" w:type="dxa"/>
              <w:bottom w:w="150" w:type="dxa"/>
              <w:right w:w="240" w:type="dxa"/>
            </w:tcMar>
            <w:vAlign w:val="center"/>
            <w:hideMark/>
          </w:tcPr>
          <w:p w14:paraId="164C001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CACC653"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0B41590A" w14:textId="77777777" w:rsidR="00E36E4C" w:rsidRPr="00E36E4C" w:rsidRDefault="00E36E4C" w:rsidP="00E36E4C">
            <w:pPr>
              <w:spacing w:after="0" w:line="375" w:lineRule="atLeast"/>
              <w:rPr>
                <w:rFonts w:eastAsia="Times New Roman"/>
                <w:strike w:val="0"/>
              </w:rPr>
            </w:pPr>
          </w:p>
        </w:tc>
      </w:tr>
      <w:tr w:rsidR="00E36E4C" w:rsidRPr="00E36E4C" w14:paraId="3AA8E7C0" w14:textId="77777777">
        <w:tc>
          <w:tcPr>
            <w:tcW w:w="0" w:type="auto"/>
            <w:tcMar>
              <w:top w:w="150" w:type="dxa"/>
              <w:left w:w="0" w:type="dxa"/>
              <w:bottom w:w="150" w:type="dxa"/>
              <w:right w:w="240" w:type="dxa"/>
            </w:tcMar>
            <w:vAlign w:val="center"/>
            <w:hideMark/>
          </w:tcPr>
          <w:p w14:paraId="062E7317"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Caregiver Knowledge Factors</w:t>
            </w:r>
          </w:p>
        </w:tc>
        <w:tc>
          <w:tcPr>
            <w:tcW w:w="0" w:type="auto"/>
            <w:tcMar>
              <w:top w:w="150" w:type="dxa"/>
              <w:left w:w="240" w:type="dxa"/>
              <w:bottom w:w="150" w:type="dxa"/>
              <w:right w:w="240" w:type="dxa"/>
            </w:tcMar>
            <w:vAlign w:val="center"/>
            <w:hideMark/>
          </w:tcPr>
          <w:p w14:paraId="3F01ECF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7ED38C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2A894E4"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864E42A"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61920A7A" w14:textId="77777777" w:rsidR="00E36E4C" w:rsidRPr="00E36E4C" w:rsidRDefault="00E36E4C" w:rsidP="00E36E4C">
            <w:pPr>
              <w:spacing w:after="0" w:line="375" w:lineRule="atLeast"/>
              <w:rPr>
                <w:rFonts w:eastAsia="Times New Roman"/>
                <w:strike w:val="0"/>
              </w:rPr>
            </w:pPr>
          </w:p>
        </w:tc>
      </w:tr>
      <w:tr w:rsidR="00E36E4C" w:rsidRPr="00E36E4C" w14:paraId="29E6C63F" w14:textId="77777777">
        <w:tc>
          <w:tcPr>
            <w:tcW w:w="0" w:type="auto"/>
            <w:tcMar>
              <w:top w:w="150" w:type="dxa"/>
              <w:left w:w="0" w:type="dxa"/>
              <w:bottom w:w="150" w:type="dxa"/>
              <w:right w:w="240" w:type="dxa"/>
            </w:tcMar>
            <w:vAlign w:val="center"/>
            <w:hideMark/>
          </w:tcPr>
          <w:p w14:paraId="7CCF8D22" w14:textId="77777777" w:rsidR="00E36E4C" w:rsidRPr="00E36E4C" w:rsidRDefault="00E36E4C" w:rsidP="00E36E4C">
            <w:pPr>
              <w:spacing w:after="0" w:line="375" w:lineRule="atLeast"/>
              <w:rPr>
                <w:rFonts w:eastAsia="Times New Roman"/>
                <w:strike w:val="0"/>
              </w:rPr>
            </w:pPr>
            <w:r w:rsidRPr="00E36E4C">
              <w:rPr>
                <w:rFonts w:eastAsia="Times New Roman"/>
                <w:strike w:val="0"/>
              </w:rPr>
              <w:lastRenderedPageBreak/>
              <w:t>Knowledge of immunization schedule</w:t>
            </w:r>
          </w:p>
        </w:tc>
        <w:tc>
          <w:tcPr>
            <w:tcW w:w="0" w:type="auto"/>
            <w:tcMar>
              <w:top w:w="150" w:type="dxa"/>
              <w:left w:w="240" w:type="dxa"/>
              <w:bottom w:w="150" w:type="dxa"/>
              <w:right w:w="240" w:type="dxa"/>
            </w:tcMar>
            <w:vAlign w:val="center"/>
            <w:hideMark/>
          </w:tcPr>
          <w:p w14:paraId="4166502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D1CE8B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29188F72" w14:textId="77777777" w:rsidR="00E36E4C" w:rsidRPr="00E36E4C" w:rsidRDefault="00E36E4C" w:rsidP="00E36E4C">
            <w:pPr>
              <w:spacing w:after="0" w:line="375" w:lineRule="atLeast"/>
              <w:rPr>
                <w:rFonts w:eastAsia="Times New Roman"/>
                <w:strike w:val="0"/>
              </w:rPr>
            </w:pPr>
            <w:r w:rsidRPr="00E36E4C">
              <w:rPr>
                <w:rFonts w:eastAsia="Times New Roman"/>
                <w:strike w:val="0"/>
              </w:rPr>
              <w:t>15.32</w:t>
            </w:r>
          </w:p>
        </w:tc>
        <w:tc>
          <w:tcPr>
            <w:tcW w:w="0" w:type="auto"/>
            <w:tcMar>
              <w:top w:w="150" w:type="dxa"/>
              <w:left w:w="240" w:type="dxa"/>
              <w:bottom w:w="150" w:type="dxa"/>
              <w:right w:w="240" w:type="dxa"/>
            </w:tcMar>
            <w:vAlign w:val="center"/>
            <w:hideMark/>
          </w:tcPr>
          <w:p w14:paraId="2E43CF86" w14:textId="77777777" w:rsidR="00E36E4C" w:rsidRPr="00E36E4C" w:rsidRDefault="00E36E4C" w:rsidP="00E36E4C">
            <w:pPr>
              <w:spacing w:after="0" w:line="375" w:lineRule="atLeast"/>
              <w:rPr>
                <w:rFonts w:eastAsia="Times New Roman"/>
                <w:strike w:val="0"/>
              </w:rPr>
            </w:pPr>
            <w:r w:rsidRPr="00E36E4C">
              <w:rPr>
                <w:rFonts w:eastAsia="Times New Roman"/>
                <w:strike w:val="0"/>
              </w:rPr>
              <w:t>&lt;0.001</w:t>
            </w:r>
          </w:p>
        </w:tc>
        <w:tc>
          <w:tcPr>
            <w:tcW w:w="0" w:type="auto"/>
            <w:tcMar>
              <w:top w:w="150" w:type="dxa"/>
              <w:left w:w="240" w:type="dxa"/>
              <w:bottom w:w="150" w:type="dxa"/>
              <w:right w:w="0" w:type="dxa"/>
            </w:tcMar>
            <w:vAlign w:val="center"/>
            <w:hideMark/>
          </w:tcPr>
          <w:p w14:paraId="7A7D099D" w14:textId="77777777" w:rsidR="00E36E4C" w:rsidRPr="00E36E4C" w:rsidRDefault="00E36E4C" w:rsidP="00E36E4C">
            <w:pPr>
              <w:spacing w:after="0" w:line="375" w:lineRule="atLeast"/>
              <w:rPr>
                <w:rFonts w:eastAsia="Times New Roman"/>
                <w:strike w:val="0"/>
              </w:rPr>
            </w:pPr>
            <w:r w:rsidRPr="00E36E4C">
              <w:rPr>
                <w:rFonts w:eastAsia="Times New Roman"/>
                <w:strike w:val="0"/>
              </w:rPr>
              <w:t>2.41 (1.54–3.77)</w:t>
            </w:r>
          </w:p>
        </w:tc>
      </w:tr>
      <w:tr w:rsidR="00E36E4C" w:rsidRPr="00E36E4C" w14:paraId="6C94832D" w14:textId="77777777">
        <w:tc>
          <w:tcPr>
            <w:tcW w:w="0" w:type="auto"/>
            <w:tcMar>
              <w:top w:w="150" w:type="dxa"/>
              <w:left w:w="0" w:type="dxa"/>
              <w:bottom w:w="150" w:type="dxa"/>
              <w:right w:w="240" w:type="dxa"/>
            </w:tcMar>
            <w:vAlign w:val="center"/>
            <w:hideMark/>
          </w:tcPr>
          <w:p w14:paraId="15501C42" w14:textId="77777777" w:rsidR="00E36E4C" w:rsidRPr="00E36E4C" w:rsidRDefault="00E36E4C" w:rsidP="00E36E4C">
            <w:pPr>
              <w:spacing w:after="0" w:line="375" w:lineRule="atLeast"/>
              <w:rPr>
                <w:rFonts w:eastAsia="Times New Roman"/>
                <w:strike w:val="0"/>
              </w:rPr>
            </w:pPr>
            <w:r w:rsidRPr="00E36E4C">
              <w:rPr>
                <w:rFonts w:eastAsia="Times New Roman"/>
                <w:strike w:val="0"/>
              </w:rPr>
              <w:t>Good knowledge</w:t>
            </w:r>
          </w:p>
        </w:tc>
        <w:tc>
          <w:tcPr>
            <w:tcW w:w="0" w:type="auto"/>
            <w:tcMar>
              <w:top w:w="150" w:type="dxa"/>
              <w:left w:w="240" w:type="dxa"/>
              <w:bottom w:w="150" w:type="dxa"/>
              <w:right w:w="240" w:type="dxa"/>
            </w:tcMar>
            <w:vAlign w:val="center"/>
            <w:hideMark/>
          </w:tcPr>
          <w:p w14:paraId="3D58BA63" w14:textId="77777777" w:rsidR="00E36E4C" w:rsidRPr="00E36E4C" w:rsidRDefault="00E36E4C" w:rsidP="00E36E4C">
            <w:pPr>
              <w:spacing w:after="0" w:line="375" w:lineRule="atLeast"/>
              <w:rPr>
                <w:rFonts w:eastAsia="Times New Roman"/>
                <w:strike w:val="0"/>
              </w:rPr>
            </w:pPr>
            <w:r w:rsidRPr="00E36E4C">
              <w:rPr>
                <w:rFonts w:eastAsia="Times New Roman"/>
                <w:strike w:val="0"/>
              </w:rPr>
              <w:t>149 (65.9)</w:t>
            </w:r>
          </w:p>
        </w:tc>
        <w:tc>
          <w:tcPr>
            <w:tcW w:w="0" w:type="auto"/>
            <w:tcMar>
              <w:top w:w="150" w:type="dxa"/>
              <w:left w:w="240" w:type="dxa"/>
              <w:bottom w:w="150" w:type="dxa"/>
              <w:right w:w="240" w:type="dxa"/>
            </w:tcMar>
            <w:vAlign w:val="center"/>
            <w:hideMark/>
          </w:tcPr>
          <w:p w14:paraId="0FF33A77" w14:textId="77777777" w:rsidR="00E36E4C" w:rsidRPr="00E36E4C" w:rsidRDefault="00E36E4C" w:rsidP="00E36E4C">
            <w:pPr>
              <w:spacing w:after="0" w:line="375" w:lineRule="atLeast"/>
              <w:rPr>
                <w:rFonts w:eastAsia="Times New Roman"/>
                <w:strike w:val="0"/>
              </w:rPr>
            </w:pPr>
            <w:r w:rsidRPr="00E36E4C">
              <w:rPr>
                <w:rFonts w:eastAsia="Times New Roman"/>
                <w:strike w:val="0"/>
              </w:rPr>
              <w:t>77 (34.1)</w:t>
            </w:r>
          </w:p>
        </w:tc>
        <w:tc>
          <w:tcPr>
            <w:tcW w:w="0" w:type="auto"/>
            <w:tcMar>
              <w:top w:w="150" w:type="dxa"/>
              <w:left w:w="240" w:type="dxa"/>
              <w:bottom w:w="150" w:type="dxa"/>
              <w:right w:w="240" w:type="dxa"/>
            </w:tcMar>
            <w:vAlign w:val="center"/>
            <w:hideMark/>
          </w:tcPr>
          <w:p w14:paraId="01169A3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B25C454"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52E9C0C1" w14:textId="77777777" w:rsidR="00E36E4C" w:rsidRPr="00E36E4C" w:rsidRDefault="00E36E4C" w:rsidP="00E36E4C">
            <w:pPr>
              <w:spacing w:after="0" w:line="375" w:lineRule="atLeast"/>
              <w:rPr>
                <w:rFonts w:eastAsia="Times New Roman"/>
                <w:strike w:val="0"/>
              </w:rPr>
            </w:pPr>
          </w:p>
        </w:tc>
      </w:tr>
      <w:tr w:rsidR="00E36E4C" w:rsidRPr="00E36E4C" w14:paraId="5308B79B" w14:textId="77777777">
        <w:tc>
          <w:tcPr>
            <w:tcW w:w="0" w:type="auto"/>
            <w:tcMar>
              <w:top w:w="150" w:type="dxa"/>
              <w:left w:w="0" w:type="dxa"/>
              <w:bottom w:w="150" w:type="dxa"/>
              <w:right w:w="240" w:type="dxa"/>
            </w:tcMar>
            <w:vAlign w:val="center"/>
            <w:hideMark/>
          </w:tcPr>
          <w:p w14:paraId="1879581A" w14:textId="77777777" w:rsidR="00E36E4C" w:rsidRPr="00E36E4C" w:rsidRDefault="00E36E4C" w:rsidP="00E36E4C">
            <w:pPr>
              <w:spacing w:after="0" w:line="375" w:lineRule="atLeast"/>
              <w:rPr>
                <w:rFonts w:eastAsia="Times New Roman"/>
                <w:strike w:val="0"/>
              </w:rPr>
            </w:pPr>
            <w:r w:rsidRPr="00E36E4C">
              <w:rPr>
                <w:rFonts w:eastAsia="Times New Roman"/>
                <w:strike w:val="0"/>
              </w:rPr>
              <w:t>Poor knowledge</w:t>
            </w:r>
          </w:p>
        </w:tc>
        <w:tc>
          <w:tcPr>
            <w:tcW w:w="0" w:type="auto"/>
            <w:tcMar>
              <w:top w:w="150" w:type="dxa"/>
              <w:left w:w="240" w:type="dxa"/>
              <w:bottom w:w="150" w:type="dxa"/>
              <w:right w:w="240" w:type="dxa"/>
            </w:tcMar>
            <w:vAlign w:val="center"/>
            <w:hideMark/>
          </w:tcPr>
          <w:p w14:paraId="02358F94" w14:textId="77777777" w:rsidR="00E36E4C" w:rsidRPr="00E36E4C" w:rsidRDefault="00E36E4C" w:rsidP="00E36E4C">
            <w:pPr>
              <w:spacing w:after="0" w:line="375" w:lineRule="atLeast"/>
              <w:rPr>
                <w:rFonts w:eastAsia="Times New Roman"/>
                <w:strike w:val="0"/>
              </w:rPr>
            </w:pPr>
            <w:r w:rsidRPr="00E36E4C">
              <w:rPr>
                <w:rFonts w:eastAsia="Times New Roman"/>
                <w:strike w:val="0"/>
              </w:rPr>
              <w:t>49 (43.8)</w:t>
            </w:r>
          </w:p>
        </w:tc>
        <w:tc>
          <w:tcPr>
            <w:tcW w:w="0" w:type="auto"/>
            <w:tcMar>
              <w:top w:w="150" w:type="dxa"/>
              <w:left w:w="240" w:type="dxa"/>
              <w:bottom w:w="150" w:type="dxa"/>
              <w:right w:w="240" w:type="dxa"/>
            </w:tcMar>
            <w:vAlign w:val="center"/>
            <w:hideMark/>
          </w:tcPr>
          <w:p w14:paraId="5BD1C1BC" w14:textId="77777777" w:rsidR="00E36E4C" w:rsidRPr="00E36E4C" w:rsidRDefault="00E36E4C" w:rsidP="00E36E4C">
            <w:pPr>
              <w:spacing w:after="0" w:line="375" w:lineRule="atLeast"/>
              <w:rPr>
                <w:rFonts w:eastAsia="Times New Roman"/>
                <w:strike w:val="0"/>
              </w:rPr>
            </w:pPr>
            <w:r w:rsidRPr="00E36E4C">
              <w:rPr>
                <w:rFonts w:eastAsia="Times New Roman"/>
                <w:strike w:val="0"/>
              </w:rPr>
              <w:t>63 (56.2)</w:t>
            </w:r>
          </w:p>
        </w:tc>
        <w:tc>
          <w:tcPr>
            <w:tcW w:w="0" w:type="auto"/>
            <w:tcMar>
              <w:top w:w="150" w:type="dxa"/>
              <w:left w:w="240" w:type="dxa"/>
              <w:bottom w:w="150" w:type="dxa"/>
              <w:right w:w="240" w:type="dxa"/>
            </w:tcMar>
            <w:vAlign w:val="center"/>
            <w:hideMark/>
          </w:tcPr>
          <w:p w14:paraId="1902202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197E39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B01E706" w14:textId="77777777" w:rsidR="00E36E4C" w:rsidRPr="00E36E4C" w:rsidRDefault="00E36E4C" w:rsidP="00E36E4C">
            <w:pPr>
              <w:spacing w:after="0" w:line="375" w:lineRule="atLeast"/>
              <w:rPr>
                <w:rFonts w:eastAsia="Times New Roman"/>
                <w:strike w:val="0"/>
              </w:rPr>
            </w:pPr>
          </w:p>
        </w:tc>
      </w:tr>
      <w:tr w:rsidR="00E36E4C" w:rsidRPr="00E36E4C" w14:paraId="692FCC9F" w14:textId="77777777">
        <w:tc>
          <w:tcPr>
            <w:tcW w:w="0" w:type="auto"/>
            <w:tcMar>
              <w:top w:w="150" w:type="dxa"/>
              <w:left w:w="0" w:type="dxa"/>
              <w:bottom w:w="150" w:type="dxa"/>
              <w:right w:w="240" w:type="dxa"/>
            </w:tcMar>
            <w:vAlign w:val="center"/>
            <w:hideMark/>
          </w:tcPr>
          <w:p w14:paraId="1078A63B"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Caregiver Perception Factors</w:t>
            </w:r>
          </w:p>
        </w:tc>
        <w:tc>
          <w:tcPr>
            <w:tcW w:w="0" w:type="auto"/>
            <w:tcMar>
              <w:top w:w="150" w:type="dxa"/>
              <w:left w:w="240" w:type="dxa"/>
              <w:bottom w:w="150" w:type="dxa"/>
              <w:right w:w="240" w:type="dxa"/>
            </w:tcMar>
            <w:vAlign w:val="center"/>
            <w:hideMark/>
          </w:tcPr>
          <w:p w14:paraId="7F8DCEA4"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E3D660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48035DF"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59F745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213E2C22" w14:textId="77777777" w:rsidR="00E36E4C" w:rsidRPr="00E36E4C" w:rsidRDefault="00E36E4C" w:rsidP="00E36E4C">
            <w:pPr>
              <w:spacing w:after="0" w:line="375" w:lineRule="atLeast"/>
              <w:rPr>
                <w:rFonts w:eastAsia="Times New Roman"/>
                <w:strike w:val="0"/>
              </w:rPr>
            </w:pPr>
          </w:p>
        </w:tc>
      </w:tr>
      <w:tr w:rsidR="00E36E4C" w:rsidRPr="00E36E4C" w14:paraId="5B7138E0" w14:textId="77777777">
        <w:tc>
          <w:tcPr>
            <w:tcW w:w="0" w:type="auto"/>
            <w:tcMar>
              <w:top w:w="150" w:type="dxa"/>
              <w:left w:w="0" w:type="dxa"/>
              <w:bottom w:w="150" w:type="dxa"/>
              <w:right w:w="240" w:type="dxa"/>
            </w:tcMar>
            <w:vAlign w:val="center"/>
            <w:hideMark/>
          </w:tcPr>
          <w:p w14:paraId="69C9D969" w14:textId="77777777" w:rsidR="00E36E4C" w:rsidRPr="00E36E4C" w:rsidRDefault="00E36E4C" w:rsidP="00E36E4C">
            <w:pPr>
              <w:spacing w:after="0" w:line="375" w:lineRule="atLeast"/>
              <w:rPr>
                <w:rFonts w:eastAsia="Times New Roman"/>
                <w:strike w:val="0"/>
              </w:rPr>
            </w:pPr>
            <w:r w:rsidRPr="00E36E4C">
              <w:rPr>
                <w:rFonts w:eastAsia="Times New Roman"/>
                <w:strike w:val="0"/>
              </w:rPr>
              <w:t>Perceived benefit of immunization</w:t>
            </w:r>
          </w:p>
        </w:tc>
        <w:tc>
          <w:tcPr>
            <w:tcW w:w="0" w:type="auto"/>
            <w:tcMar>
              <w:top w:w="150" w:type="dxa"/>
              <w:left w:w="240" w:type="dxa"/>
              <w:bottom w:w="150" w:type="dxa"/>
              <w:right w:w="240" w:type="dxa"/>
            </w:tcMar>
            <w:vAlign w:val="center"/>
            <w:hideMark/>
          </w:tcPr>
          <w:p w14:paraId="7FA66F53"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2F09CFB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26729665" w14:textId="77777777" w:rsidR="00E36E4C" w:rsidRPr="00E36E4C" w:rsidRDefault="00E36E4C" w:rsidP="00E36E4C">
            <w:pPr>
              <w:spacing w:after="0" w:line="375" w:lineRule="atLeast"/>
              <w:rPr>
                <w:rFonts w:eastAsia="Times New Roman"/>
                <w:strike w:val="0"/>
              </w:rPr>
            </w:pPr>
            <w:r w:rsidRPr="00E36E4C">
              <w:rPr>
                <w:rFonts w:eastAsia="Times New Roman"/>
                <w:strike w:val="0"/>
              </w:rPr>
              <w:t>8.35</w:t>
            </w:r>
          </w:p>
        </w:tc>
        <w:tc>
          <w:tcPr>
            <w:tcW w:w="0" w:type="auto"/>
            <w:tcMar>
              <w:top w:w="150" w:type="dxa"/>
              <w:left w:w="240" w:type="dxa"/>
              <w:bottom w:w="150" w:type="dxa"/>
              <w:right w:w="240" w:type="dxa"/>
            </w:tcMar>
            <w:vAlign w:val="center"/>
            <w:hideMark/>
          </w:tcPr>
          <w:p w14:paraId="15005E49" w14:textId="77777777" w:rsidR="00E36E4C" w:rsidRPr="00E36E4C" w:rsidRDefault="00E36E4C" w:rsidP="00E36E4C">
            <w:pPr>
              <w:spacing w:after="0" w:line="375" w:lineRule="atLeast"/>
              <w:rPr>
                <w:rFonts w:eastAsia="Times New Roman"/>
                <w:strike w:val="0"/>
              </w:rPr>
            </w:pPr>
            <w:r w:rsidRPr="00E36E4C">
              <w:rPr>
                <w:rFonts w:eastAsia="Times New Roman"/>
                <w:strike w:val="0"/>
              </w:rPr>
              <w:t>0.004</w:t>
            </w:r>
          </w:p>
        </w:tc>
        <w:tc>
          <w:tcPr>
            <w:tcW w:w="0" w:type="auto"/>
            <w:tcMar>
              <w:top w:w="150" w:type="dxa"/>
              <w:left w:w="240" w:type="dxa"/>
              <w:bottom w:w="150" w:type="dxa"/>
              <w:right w:w="0" w:type="dxa"/>
            </w:tcMar>
            <w:vAlign w:val="center"/>
            <w:hideMark/>
          </w:tcPr>
          <w:p w14:paraId="4A2DD5D5" w14:textId="77777777" w:rsidR="00E36E4C" w:rsidRPr="00E36E4C" w:rsidRDefault="00E36E4C" w:rsidP="00E36E4C">
            <w:pPr>
              <w:spacing w:after="0" w:line="375" w:lineRule="atLeast"/>
              <w:rPr>
                <w:rFonts w:eastAsia="Times New Roman"/>
                <w:strike w:val="0"/>
              </w:rPr>
            </w:pPr>
            <w:r w:rsidRPr="00E36E4C">
              <w:rPr>
                <w:rFonts w:eastAsia="Times New Roman"/>
                <w:strike w:val="0"/>
              </w:rPr>
              <w:t>1.88 (1.22–2.89)</w:t>
            </w:r>
          </w:p>
        </w:tc>
      </w:tr>
      <w:tr w:rsidR="00E36E4C" w:rsidRPr="00E36E4C" w14:paraId="5B42C9DA" w14:textId="77777777">
        <w:tc>
          <w:tcPr>
            <w:tcW w:w="0" w:type="auto"/>
            <w:tcMar>
              <w:top w:w="150" w:type="dxa"/>
              <w:left w:w="0" w:type="dxa"/>
              <w:bottom w:w="150" w:type="dxa"/>
              <w:right w:w="240" w:type="dxa"/>
            </w:tcMar>
            <w:vAlign w:val="center"/>
            <w:hideMark/>
          </w:tcPr>
          <w:p w14:paraId="219FC3D1" w14:textId="77777777" w:rsidR="00E36E4C" w:rsidRPr="00E36E4C" w:rsidRDefault="00E36E4C" w:rsidP="00E36E4C">
            <w:pPr>
              <w:spacing w:after="0" w:line="375" w:lineRule="atLeast"/>
              <w:rPr>
                <w:rFonts w:eastAsia="Times New Roman"/>
                <w:strike w:val="0"/>
              </w:rPr>
            </w:pPr>
            <w:r w:rsidRPr="00E36E4C">
              <w:rPr>
                <w:rFonts w:eastAsia="Times New Roman"/>
                <w:strike w:val="0"/>
              </w:rPr>
              <w:t>Yes</w:t>
            </w:r>
          </w:p>
        </w:tc>
        <w:tc>
          <w:tcPr>
            <w:tcW w:w="0" w:type="auto"/>
            <w:tcMar>
              <w:top w:w="150" w:type="dxa"/>
              <w:left w:w="240" w:type="dxa"/>
              <w:bottom w:w="150" w:type="dxa"/>
              <w:right w:w="240" w:type="dxa"/>
            </w:tcMar>
            <w:vAlign w:val="center"/>
            <w:hideMark/>
          </w:tcPr>
          <w:p w14:paraId="0927E59F" w14:textId="77777777" w:rsidR="00E36E4C" w:rsidRPr="00E36E4C" w:rsidRDefault="00E36E4C" w:rsidP="00E36E4C">
            <w:pPr>
              <w:spacing w:after="0" w:line="375" w:lineRule="atLeast"/>
              <w:rPr>
                <w:rFonts w:eastAsia="Times New Roman"/>
                <w:strike w:val="0"/>
              </w:rPr>
            </w:pPr>
            <w:r w:rsidRPr="00E36E4C">
              <w:rPr>
                <w:rFonts w:eastAsia="Times New Roman"/>
                <w:strike w:val="0"/>
              </w:rPr>
              <w:t>171 (56.8)</w:t>
            </w:r>
          </w:p>
        </w:tc>
        <w:tc>
          <w:tcPr>
            <w:tcW w:w="0" w:type="auto"/>
            <w:tcMar>
              <w:top w:w="150" w:type="dxa"/>
              <w:left w:w="240" w:type="dxa"/>
              <w:bottom w:w="150" w:type="dxa"/>
              <w:right w:w="240" w:type="dxa"/>
            </w:tcMar>
            <w:vAlign w:val="center"/>
            <w:hideMark/>
          </w:tcPr>
          <w:p w14:paraId="5AA0BD2E" w14:textId="77777777" w:rsidR="00E36E4C" w:rsidRPr="00E36E4C" w:rsidRDefault="00E36E4C" w:rsidP="00E36E4C">
            <w:pPr>
              <w:spacing w:after="0" w:line="375" w:lineRule="atLeast"/>
              <w:rPr>
                <w:rFonts w:eastAsia="Times New Roman"/>
                <w:strike w:val="0"/>
              </w:rPr>
            </w:pPr>
            <w:r w:rsidRPr="00E36E4C">
              <w:rPr>
                <w:rFonts w:eastAsia="Times New Roman"/>
                <w:strike w:val="0"/>
              </w:rPr>
              <w:t>130 (43.2)</w:t>
            </w:r>
          </w:p>
        </w:tc>
        <w:tc>
          <w:tcPr>
            <w:tcW w:w="0" w:type="auto"/>
            <w:tcMar>
              <w:top w:w="150" w:type="dxa"/>
              <w:left w:w="240" w:type="dxa"/>
              <w:bottom w:w="150" w:type="dxa"/>
              <w:right w:w="240" w:type="dxa"/>
            </w:tcMar>
            <w:vAlign w:val="center"/>
            <w:hideMark/>
          </w:tcPr>
          <w:p w14:paraId="6386854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AB48A8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B342A2D" w14:textId="77777777" w:rsidR="00E36E4C" w:rsidRPr="00E36E4C" w:rsidRDefault="00E36E4C" w:rsidP="00E36E4C">
            <w:pPr>
              <w:spacing w:after="0" w:line="375" w:lineRule="atLeast"/>
              <w:rPr>
                <w:rFonts w:eastAsia="Times New Roman"/>
                <w:strike w:val="0"/>
              </w:rPr>
            </w:pPr>
          </w:p>
        </w:tc>
      </w:tr>
      <w:tr w:rsidR="00E36E4C" w:rsidRPr="00E36E4C" w14:paraId="5467A21B" w14:textId="77777777">
        <w:tc>
          <w:tcPr>
            <w:tcW w:w="0" w:type="auto"/>
            <w:tcMar>
              <w:top w:w="150" w:type="dxa"/>
              <w:left w:w="0" w:type="dxa"/>
              <w:bottom w:w="150" w:type="dxa"/>
              <w:right w:w="240" w:type="dxa"/>
            </w:tcMar>
            <w:vAlign w:val="center"/>
            <w:hideMark/>
          </w:tcPr>
          <w:p w14:paraId="2C46914E" w14:textId="77777777" w:rsidR="00E36E4C" w:rsidRPr="00E36E4C" w:rsidRDefault="00E36E4C" w:rsidP="00E36E4C">
            <w:pPr>
              <w:spacing w:after="0" w:line="375" w:lineRule="atLeast"/>
              <w:rPr>
                <w:rFonts w:eastAsia="Times New Roman"/>
                <w:strike w:val="0"/>
              </w:rPr>
            </w:pPr>
            <w:r w:rsidRPr="00E36E4C">
              <w:rPr>
                <w:rFonts w:eastAsia="Times New Roman"/>
                <w:strike w:val="0"/>
              </w:rPr>
              <w:t>No</w:t>
            </w:r>
          </w:p>
        </w:tc>
        <w:tc>
          <w:tcPr>
            <w:tcW w:w="0" w:type="auto"/>
            <w:tcMar>
              <w:top w:w="150" w:type="dxa"/>
              <w:left w:w="240" w:type="dxa"/>
              <w:bottom w:w="150" w:type="dxa"/>
              <w:right w:w="240" w:type="dxa"/>
            </w:tcMar>
            <w:vAlign w:val="center"/>
            <w:hideMark/>
          </w:tcPr>
          <w:p w14:paraId="2A412066" w14:textId="77777777" w:rsidR="00E36E4C" w:rsidRPr="00E36E4C" w:rsidRDefault="00E36E4C" w:rsidP="00E36E4C">
            <w:pPr>
              <w:spacing w:after="0" w:line="375" w:lineRule="atLeast"/>
              <w:rPr>
                <w:rFonts w:eastAsia="Times New Roman"/>
                <w:strike w:val="0"/>
              </w:rPr>
            </w:pPr>
            <w:r w:rsidRPr="00E36E4C">
              <w:rPr>
                <w:rFonts w:eastAsia="Times New Roman"/>
                <w:strike w:val="0"/>
              </w:rPr>
              <w:t>27 (71.1)</w:t>
            </w:r>
          </w:p>
        </w:tc>
        <w:tc>
          <w:tcPr>
            <w:tcW w:w="0" w:type="auto"/>
            <w:tcMar>
              <w:top w:w="150" w:type="dxa"/>
              <w:left w:w="240" w:type="dxa"/>
              <w:bottom w:w="150" w:type="dxa"/>
              <w:right w:w="240" w:type="dxa"/>
            </w:tcMar>
            <w:vAlign w:val="center"/>
            <w:hideMark/>
          </w:tcPr>
          <w:p w14:paraId="1F84B256" w14:textId="77777777" w:rsidR="00E36E4C" w:rsidRPr="00E36E4C" w:rsidRDefault="00E36E4C" w:rsidP="00E36E4C">
            <w:pPr>
              <w:spacing w:after="0" w:line="375" w:lineRule="atLeast"/>
              <w:rPr>
                <w:rFonts w:eastAsia="Times New Roman"/>
                <w:strike w:val="0"/>
              </w:rPr>
            </w:pPr>
            <w:r w:rsidRPr="00E36E4C">
              <w:rPr>
                <w:rFonts w:eastAsia="Times New Roman"/>
                <w:strike w:val="0"/>
              </w:rPr>
              <w:t>11 (28.9)</w:t>
            </w:r>
          </w:p>
        </w:tc>
        <w:tc>
          <w:tcPr>
            <w:tcW w:w="0" w:type="auto"/>
            <w:tcMar>
              <w:top w:w="150" w:type="dxa"/>
              <w:left w:w="240" w:type="dxa"/>
              <w:bottom w:w="150" w:type="dxa"/>
              <w:right w:w="240" w:type="dxa"/>
            </w:tcMar>
            <w:vAlign w:val="center"/>
            <w:hideMark/>
          </w:tcPr>
          <w:p w14:paraId="40BA597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80639D6"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1E5B543" w14:textId="77777777" w:rsidR="00E36E4C" w:rsidRPr="00E36E4C" w:rsidRDefault="00E36E4C" w:rsidP="00E36E4C">
            <w:pPr>
              <w:spacing w:after="0" w:line="375" w:lineRule="atLeast"/>
              <w:rPr>
                <w:rFonts w:eastAsia="Times New Roman"/>
                <w:strike w:val="0"/>
              </w:rPr>
            </w:pPr>
          </w:p>
        </w:tc>
      </w:tr>
      <w:tr w:rsidR="00E36E4C" w:rsidRPr="00E36E4C" w14:paraId="31E73A55" w14:textId="77777777">
        <w:tc>
          <w:tcPr>
            <w:tcW w:w="0" w:type="auto"/>
            <w:tcMar>
              <w:top w:w="150" w:type="dxa"/>
              <w:left w:w="0" w:type="dxa"/>
              <w:bottom w:w="150" w:type="dxa"/>
              <w:right w:w="240" w:type="dxa"/>
            </w:tcMar>
            <w:vAlign w:val="center"/>
            <w:hideMark/>
          </w:tcPr>
          <w:p w14:paraId="26C2CCB0"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Household Dynamics Factors</w:t>
            </w:r>
          </w:p>
        </w:tc>
        <w:tc>
          <w:tcPr>
            <w:tcW w:w="0" w:type="auto"/>
            <w:tcMar>
              <w:top w:w="150" w:type="dxa"/>
              <w:left w:w="240" w:type="dxa"/>
              <w:bottom w:w="150" w:type="dxa"/>
              <w:right w:w="240" w:type="dxa"/>
            </w:tcMar>
            <w:vAlign w:val="center"/>
            <w:hideMark/>
          </w:tcPr>
          <w:p w14:paraId="1A333E7A"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AF08D3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9652D2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980F16C"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62BAC367" w14:textId="77777777" w:rsidR="00E36E4C" w:rsidRPr="00E36E4C" w:rsidRDefault="00E36E4C" w:rsidP="00E36E4C">
            <w:pPr>
              <w:spacing w:after="0" w:line="375" w:lineRule="atLeast"/>
              <w:rPr>
                <w:rFonts w:eastAsia="Times New Roman"/>
                <w:strike w:val="0"/>
              </w:rPr>
            </w:pPr>
          </w:p>
        </w:tc>
      </w:tr>
      <w:tr w:rsidR="00E36E4C" w:rsidRPr="00E36E4C" w14:paraId="01294210" w14:textId="77777777">
        <w:tc>
          <w:tcPr>
            <w:tcW w:w="0" w:type="auto"/>
            <w:tcMar>
              <w:top w:w="150" w:type="dxa"/>
              <w:left w:w="0" w:type="dxa"/>
              <w:bottom w:w="150" w:type="dxa"/>
              <w:right w:w="240" w:type="dxa"/>
            </w:tcMar>
            <w:vAlign w:val="center"/>
            <w:hideMark/>
          </w:tcPr>
          <w:p w14:paraId="0EB5A8A5" w14:textId="77777777" w:rsidR="00E36E4C" w:rsidRPr="00E36E4C" w:rsidRDefault="00E36E4C" w:rsidP="00E36E4C">
            <w:pPr>
              <w:spacing w:after="0" w:line="375" w:lineRule="atLeast"/>
              <w:rPr>
                <w:rFonts w:eastAsia="Times New Roman"/>
                <w:strike w:val="0"/>
              </w:rPr>
            </w:pPr>
            <w:r w:rsidRPr="00E36E4C">
              <w:rPr>
                <w:rFonts w:eastAsia="Times New Roman"/>
                <w:strike w:val="0"/>
              </w:rPr>
              <w:t>Paternal education and women's autonomy</w:t>
            </w:r>
          </w:p>
        </w:tc>
        <w:tc>
          <w:tcPr>
            <w:tcW w:w="0" w:type="auto"/>
            <w:tcMar>
              <w:top w:w="150" w:type="dxa"/>
              <w:left w:w="240" w:type="dxa"/>
              <w:bottom w:w="150" w:type="dxa"/>
              <w:right w:w="240" w:type="dxa"/>
            </w:tcMar>
            <w:vAlign w:val="center"/>
            <w:hideMark/>
          </w:tcPr>
          <w:p w14:paraId="6A138CA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B07737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7E4F6FE" w14:textId="77777777" w:rsidR="00E36E4C" w:rsidRPr="00E36E4C" w:rsidRDefault="00E36E4C" w:rsidP="00E36E4C">
            <w:pPr>
              <w:spacing w:after="0" w:line="375" w:lineRule="atLeast"/>
              <w:rPr>
                <w:rFonts w:eastAsia="Times New Roman"/>
                <w:strike w:val="0"/>
              </w:rPr>
            </w:pPr>
            <w:r w:rsidRPr="00E36E4C">
              <w:rPr>
                <w:rFonts w:eastAsia="Times New Roman"/>
                <w:strike w:val="0"/>
              </w:rPr>
              <w:t>10.21</w:t>
            </w:r>
          </w:p>
        </w:tc>
        <w:tc>
          <w:tcPr>
            <w:tcW w:w="0" w:type="auto"/>
            <w:tcMar>
              <w:top w:w="150" w:type="dxa"/>
              <w:left w:w="240" w:type="dxa"/>
              <w:bottom w:w="150" w:type="dxa"/>
              <w:right w:w="240" w:type="dxa"/>
            </w:tcMar>
            <w:vAlign w:val="center"/>
            <w:hideMark/>
          </w:tcPr>
          <w:p w14:paraId="65E43D8C" w14:textId="77777777" w:rsidR="00E36E4C" w:rsidRPr="00E36E4C" w:rsidRDefault="00E36E4C" w:rsidP="00E36E4C">
            <w:pPr>
              <w:spacing w:after="0" w:line="375" w:lineRule="atLeast"/>
              <w:rPr>
                <w:rFonts w:eastAsia="Times New Roman"/>
                <w:strike w:val="0"/>
              </w:rPr>
            </w:pPr>
            <w:r w:rsidRPr="00E36E4C">
              <w:rPr>
                <w:rFonts w:eastAsia="Times New Roman"/>
                <w:strike w:val="0"/>
              </w:rPr>
              <w:t>0.002</w:t>
            </w:r>
          </w:p>
        </w:tc>
        <w:tc>
          <w:tcPr>
            <w:tcW w:w="0" w:type="auto"/>
            <w:tcMar>
              <w:top w:w="150" w:type="dxa"/>
              <w:left w:w="240" w:type="dxa"/>
              <w:bottom w:w="150" w:type="dxa"/>
              <w:right w:w="0" w:type="dxa"/>
            </w:tcMar>
            <w:vAlign w:val="center"/>
            <w:hideMark/>
          </w:tcPr>
          <w:p w14:paraId="001A0472" w14:textId="77777777" w:rsidR="00E36E4C" w:rsidRPr="00E36E4C" w:rsidRDefault="00E36E4C" w:rsidP="00E36E4C">
            <w:pPr>
              <w:spacing w:after="0" w:line="375" w:lineRule="atLeast"/>
              <w:rPr>
                <w:rFonts w:eastAsia="Times New Roman"/>
                <w:strike w:val="0"/>
              </w:rPr>
            </w:pPr>
            <w:r w:rsidRPr="00E36E4C">
              <w:rPr>
                <w:rFonts w:eastAsia="Times New Roman"/>
                <w:strike w:val="0"/>
              </w:rPr>
              <w:t>2.17 (1.34–3.51)</w:t>
            </w:r>
          </w:p>
        </w:tc>
      </w:tr>
      <w:tr w:rsidR="00E36E4C" w:rsidRPr="00E36E4C" w14:paraId="757C3AF9" w14:textId="77777777">
        <w:tc>
          <w:tcPr>
            <w:tcW w:w="0" w:type="auto"/>
            <w:tcMar>
              <w:top w:w="150" w:type="dxa"/>
              <w:left w:w="0" w:type="dxa"/>
              <w:bottom w:w="150" w:type="dxa"/>
              <w:right w:w="240" w:type="dxa"/>
            </w:tcMar>
            <w:vAlign w:val="center"/>
            <w:hideMark/>
          </w:tcPr>
          <w:p w14:paraId="26D81F94" w14:textId="77777777" w:rsidR="00E36E4C" w:rsidRPr="00E36E4C" w:rsidRDefault="00E36E4C" w:rsidP="00E36E4C">
            <w:pPr>
              <w:spacing w:after="0" w:line="375" w:lineRule="atLeast"/>
              <w:rPr>
                <w:rFonts w:eastAsia="Times New Roman"/>
                <w:strike w:val="0"/>
              </w:rPr>
            </w:pPr>
            <w:r w:rsidRPr="00E36E4C">
              <w:rPr>
                <w:rFonts w:eastAsia="Times New Roman"/>
                <w:strike w:val="0"/>
              </w:rPr>
              <w:t>Yes</w:t>
            </w:r>
          </w:p>
        </w:tc>
        <w:tc>
          <w:tcPr>
            <w:tcW w:w="0" w:type="auto"/>
            <w:tcMar>
              <w:top w:w="150" w:type="dxa"/>
              <w:left w:w="240" w:type="dxa"/>
              <w:bottom w:w="150" w:type="dxa"/>
              <w:right w:w="240" w:type="dxa"/>
            </w:tcMar>
            <w:vAlign w:val="center"/>
            <w:hideMark/>
          </w:tcPr>
          <w:p w14:paraId="4C4048B8" w14:textId="77777777" w:rsidR="00E36E4C" w:rsidRPr="00E36E4C" w:rsidRDefault="00E36E4C" w:rsidP="00E36E4C">
            <w:pPr>
              <w:spacing w:after="0" w:line="375" w:lineRule="atLeast"/>
              <w:rPr>
                <w:rFonts w:eastAsia="Times New Roman"/>
                <w:strike w:val="0"/>
              </w:rPr>
            </w:pPr>
            <w:r w:rsidRPr="00E36E4C">
              <w:rPr>
                <w:rFonts w:eastAsia="Times New Roman"/>
                <w:strike w:val="0"/>
              </w:rPr>
              <w:t>167 (57.2)</w:t>
            </w:r>
          </w:p>
        </w:tc>
        <w:tc>
          <w:tcPr>
            <w:tcW w:w="0" w:type="auto"/>
            <w:tcMar>
              <w:top w:w="150" w:type="dxa"/>
              <w:left w:w="240" w:type="dxa"/>
              <w:bottom w:w="150" w:type="dxa"/>
              <w:right w:w="240" w:type="dxa"/>
            </w:tcMar>
            <w:vAlign w:val="center"/>
            <w:hideMark/>
          </w:tcPr>
          <w:p w14:paraId="593292BC" w14:textId="77777777" w:rsidR="00E36E4C" w:rsidRPr="00E36E4C" w:rsidRDefault="00E36E4C" w:rsidP="00E36E4C">
            <w:pPr>
              <w:spacing w:after="0" w:line="375" w:lineRule="atLeast"/>
              <w:rPr>
                <w:rFonts w:eastAsia="Times New Roman"/>
                <w:strike w:val="0"/>
              </w:rPr>
            </w:pPr>
            <w:r w:rsidRPr="00E36E4C">
              <w:rPr>
                <w:rFonts w:eastAsia="Times New Roman"/>
                <w:strike w:val="0"/>
              </w:rPr>
              <w:t>125 (42.8)</w:t>
            </w:r>
          </w:p>
        </w:tc>
        <w:tc>
          <w:tcPr>
            <w:tcW w:w="0" w:type="auto"/>
            <w:tcMar>
              <w:top w:w="150" w:type="dxa"/>
              <w:left w:w="240" w:type="dxa"/>
              <w:bottom w:w="150" w:type="dxa"/>
              <w:right w:w="240" w:type="dxa"/>
            </w:tcMar>
            <w:vAlign w:val="center"/>
            <w:hideMark/>
          </w:tcPr>
          <w:p w14:paraId="0434129D"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CBABC1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02CFB5C0" w14:textId="77777777" w:rsidR="00E36E4C" w:rsidRPr="00E36E4C" w:rsidRDefault="00E36E4C" w:rsidP="00E36E4C">
            <w:pPr>
              <w:spacing w:after="0" w:line="375" w:lineRule="atLeast"/>
              <w:rPr>
                <w:rFonts w:eastAsia="Times New Roman"/>
                <w:strike w:val="0"/>
              </w:rPr>
            </w:pPr>
          </w:p>
        </w:tc>
      </w:tr>
      <w:tr w:rsidR="00E36E4C" w:rsidRPr="00E36E4C" w14:paraId="43BE1AA7" w14:textId="77777777">
        <w:tc>
          <w:tcPr>
            <w:tcW w:w="0" w:type="auto"/>
            <w:tcMar>
              <w:top w:w="150" w:type="dxa"/>
              <w:left w:w="0" w:type="dxa"/>
              <w:bottom w:w="150" w:type="dxa"/>
              <w:right w:w="240" w:type="dxa"/>
            </w:tcMar>
            <w:vAlign w:val="center"/>
            <w:hideMark/>
          </w:tcPr>
          <w:p w14:paraId="39EF5374" w14:textId="77777777" w:rsidR="00E36E4C" w:rsidRPr="00E36E4C" w:rsidRDefault="00E36E4C" w:rsidP="00E36E4C">
            <w:pPr>
              <w:spacing w:after="0" w:line="375" w:lineRule="atLeast"/>
              <w:rPr>
                <w:rFonts w:eastAsia="Times New Roman"/>
                <w:strike w:val="0"/>
              </w:rPr>
            </w:pPr>
            <w:r w:rsidRPr="00E36E4C">
              <w:rPr>
                <w:rFonts w:eastAsia="Times New Roman"/>
                <w:strike w:val="0"/>
              </w:rPr>
              <w:t>No</w:t>
            </w:r>
          </w:p>
        </w:tc>
        <w:tc>
          <w:tcPr>
            <w:tcW w:w="0" w:type="auto"/>
            <w:tcMar>
              <w:top w:w="150" w:type="dxa"/>
              <w:left w:w="240" w:type="dxa"/>
              <w:bottom w:w="150" w:type="dxa"/>
              <w:right w:w="240" w:type="dxa"/>
            </w:tcMar>
            <w:vAlign w:val="center"/>
            <w:hideMark/>
          </w:tcPr>
          <w:p w14:paraId="2D615066" w14:textId="77777777" w:rsidR="00E36E4C" w:rsidRPr="00E36E4C" w:rsidRDefault="00E36E4C" w:rsidP="00E36E4C">
            <w:pPr>
              <w:spacing w:after="0" w:line="375" w:lineRule="atLeast"/>
              <w:rPr>
                <w:rFonts w:eastAsia="Times New Roman"/>
                <w:strike w:val="0"/>
              </w:rPr>
            </w:pPr>
            <w:r w:rsidRPr="00E36E4C">
              <w:rPr>
                <w:rFonts w:eastAsia="Times New Roman"/>
                <w:strike w:val="0"/>
              </w:rPr>
              <w:t>32 (62.8)</w:t>
            </w:r>
          </w:p>
        </w:tc>
        <w:tc>
          <w:tcPr>
            <w:tcW w:w="0" w:type="auto"/>
            <w:tcMar>
              <w:top w:w="150" w:type="dxa"/>
              <w:left w:w="240" w:type="dxa"/>
              <w:bottom w:w="150" w:type="dxa"/>
              <w:right w:w="240" w:type="dxa"/>
            </w:tcMar>
            <w:vAlign w:val="center"/>
            <w:hideMark/>
          </w:tcPr>
          <w:p w14:paraId="095628EF" w14:textId="77777777" w:rsidR="00E36E4C" w:rsidRPr="00E36E4C" w:rsidRDefault="00E36E4C" w:rsidP="00E36E4C">
            <w:pPr>
              <w:spacing w:after="0" w:line="375" w:lineRule="atLeast"/>
              <w:rPr>
                <w:rFonts w:eastAsia="Times New Roman"/>
                <w:strike w:val="0"/>
              </w:rPr>
            </w:pPr>
            <w:r w:rsidRPr="00E36E4C">
              <w:rPr>
                <w:rFonts w:eastAsia="Times New Roman"/>
                <w:strike w:val="0"/>
              </w:rPr>
              <w:t>19 (37.3)</w:t>
            </w:r>
          </w:p>
        </w:tc>
        <w:tc>
          <w:tcPr>
            <w:tcW w:w="0" w:type="auto"/>
            <w:tcMar>
              <w:top w:w="150" w:type="dxa"/>
              <w:left w:w="240" w:type="dxa"/>
              <w:bottom w:w="150" w:type="dxa"/>
              <w:right w:w="240" w:type="dxa"/>
            </w:tcMar>
            <w:vAlign w:val="center"/>
            <w:hideMark/>
          </w:tcPr>
          <w:p w14:paraId="496CFE1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55B9037"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54B8771B" w14:textId="77777777" w:rsidR="00E36E4C" w:rsidRPr="00E36E4C" w:rsidRDefault="00E36E4C" w:rsidP="00E36E4C">
            <w:pPr>
              <w:spacing w:after="0" w:line="375" w:lineRule="atLeast"/>
              <w:rPr>
                <w:rFonts w:eastAsia="Times New Roman"/>
                <w:strike w:val="0"/>
              </w:rPr>
            </w:pPr>
          </w:p>
        </w:tc>
      </w:tr>
      <w:tr w:rsidR="00E36E4C" w:rsidRPr="00E36E4C" w14:paraId="0F56E28C" w14:textId="77777777">
        <w:tc>
          <w:tcPr>
            <w:tcW w:w="0" w:type="auto"/>
            <w:tcMar>
              <w:top w:w="150" w:type="dxa"/>
              <w:left w:w="0" w:type="dxa"/>
              <w:bottom w:w="150" w:type="dxa"/>
              <w:right w:w="240" w:type="dxa"/>
            </w:tcMar>
            <w:vAlign w:val="center"/>
            <w:hideMark/>
          </w:tcPr>
          <w:p w14:paraId="6F115C52"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lastRenderedPageBreak/>
              <w:t>Health System Factors</w:t>
            </w:r>
          </w:p>
        </w:tc>
        <w:tc>
          <w:tcPr>
            <w:tcW w:w="0" w:type="auto"/>
            <w:tcMar>
              <w:top w:w="150" w:type="dxa"/>
              <w:left w:w="240" w:type="dxa"/>
              <w:bottom w:w="150" w:type="dxa"/>
              <w:right w:w="240" w:type="dxa"/>
            </w:tcMar>
            <w:vAlign w:val="center"/>
            <w:hideMark/>
          </w:tcPr>
          <w:p w14:paraId="080FA5F6"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B5E7EB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32F5292" w14:textId="77777777" w:rsidR="00E36E4C" w:rsidRPr="00E36E4C" w:rsidRDefault="00E36E4C" w:rsidP="00E36E4C">
            <w:pPr>
              <w:spacing w:after="0" w:line="375" w:lineRule="atLeast"/>
              <w:rPr>
                <w:rFonts w:eastAsia="Times New Roman"/>
                <w:strike w:val="0"/>
              </w:rPr>
            </w:pPr>
            <w:r w:rsidRPr="00E36E4C">
              <w:rPr>
                <w:rFonts w:eastAsia="Times New Roman"/>
                <w:strike w:val="0"/>
              </w:rPr>
              <w:t>12.24</w:t>
            </w:r>
          </w:p>
        </w:tc>
        <w:tc>
          <w:tcPr>
            <w:tcW w:w="0" w:type="auto"/>
            <w:tcMar>
              <w:top w:w="150" w:type="dxa"/>
              <w:left w:w="240" w:type="dxa"/>
              <w:bottom w:w="150" w:type="dxa"/>
              <w:right w:w="240" w:type="dxa"/>
            </w:tcMar>
            <w:vAlign w:val="center"/>
            <w:hideMark/>
          </w:tcPr>
          <w:p w14:paraId="597F980F" w14:textId="77777777" w:rsidR="00E36E4C" w:rsidRPr="00E36E4C" w:rsidRDefault="00E36E4C" w:rsidP="00E36E4C">
            <w:pPr>
              <w:spacing w:after="0" w:line="375" w:lineRule="atLeast"/>
              <w:rPr>
                <w:rFonts w:eastAsia="Times New Roman"/>
                <w:strike w:val="0"/>
              </w:rPr>
            </w:pPr>
            <w:r w:rsidRPr="00E36E4C">
              <w:rPr>
                <w:rFonts w:eastAsia="Times New Roman"/>
                <w:strike w:val="0"/>
              </w:rPr>
              <w:t>0.003</w:t>
            </w:r>
          </w:p>
        </w:tc>
        <w:tc>
          <w:tcPr>
            <w:tcW w:w="0" w:type="auto"/>
            <w:tcMar>
              <w:top w:w="150" w:type="dxa"/>
              <w:left w:w="240" w:type="dxa"/>
              <w:bottom w:w="150" w:type="dxa"/>
              <w:right w:w="0" w:type="dxa"/>
            </w:tcMar>
            <w:vAlign w:val="center"/>
            <w:hideMark/>
          </w:tcPr>
          <w:p w14:paraId="0EF95C4E" w14:textId="77777777" w:rsidR="00E36E4C" w:rsidRPr="00E36E4C" w:rsidRDefault="00E36E4C" w:rsidP="00E36E4C">
            <w:pPr>
              <w:spacing w:after="0" w:line="375" w:lineRule="atLeast"/>
              <w:rPr>
                <w:rFonts w:eastAsia="Times New Roman"/>
                <w:strike w:val="0"/>
              </w:rPr>
            </w:pPr>
            <w:r w:rsidRPr="00E36E4C">
              <w:rPr>
                <w:rFonts w:eastAsia="Times New Roman"/>
                <w:strike w:val="0"/>
              </w:rPr>
              <w:t>2.35 (1.56–3.54)</w:t>
            </w:r>
          </w:p>
        </w:tc>
      </w:tr>
      <w:tr w:rsidR="00E36E4C" w:rsidRPr="00E36E4C" w14:paraId="6B7F483E" w14:textId="77777777">
        <w:tc>
          <w:tcPr>
            <w:tcW w:w="0" w:type="auto"/>
            <w:tcMar>
              <w:top w:w="150" w:type="dxa"/>
              <w:left w:w="0" w:type="dxa"/>
              <w:bottom w:w="150" w:type="dxa"/>
              <w:right w:w="240" w:type="dxa"/>
            </w:tcMar>
            <w:vAlign w:val="center"/>
            <w:hideMark/>
          </w:tcPr>
          <w:p w14:paraId="133DCFE8" w14:textId="77777777" w:rsidR="00E36E4C" w:rsidRPr="00E36E4C" w:rsidRDefault="00E36E4C" w:rsidP="00E36E4C">
            <w:pPr>
              <w:spacing w:after="0" w:line="375" w:lineRule="atLeast"/>
              <w:rPr>
                <w:rFonts w:eastAsia="Times New Roman"/>
                <w:strike w:val="0"/>
              </w:rPr>
            </w:pPr>
            <w:r w:rsidRPr="00E36E4C">
              <w:rPr>
                <w:rFonts w:eastAsia="Times New Roman"/>
                <w:strike w:val="0"/>
              </w:rPr>
              <w:t>Access to health facilities</w:t>
            </w:r>
          </w:p>
        </w:tc>
        <w:tc>
          <w:tcPr>
            <w:tcW w:w="0" w:type="auto"/>
            <w:tcMar>
              <w:top w:w="150" w:type="dxa"/>
              <w:left w:w="240" w:type="dxa"/>
              <w:bottom w:w="150" w:type="dxa"/>
              <w:right w:w="240" w:type="dxa"/>
            </w:tcMar>
            <w:vAlign w:val="center"/>
            <w:hideMark/>
          </w:tcPr>
          <w:p w14:paraId="455DAFDA" w14:textId="77777777" w:rsidR="00E36E4C" w:rsidRPr="00E36E4C" w:rsidRDefault="00E36E4C" w:rsidP="00E36E4C">
            <w:pPr>
              <w:spacing w:after="0" w:line="375" w:lineRule="atLeast"/>
              <w:rPr>
                <w:rFonts w:eastAsia="Times New Roman"/>
                <w:strike w:val="0"/>
              </w:rPr>
            </w:pPr>
            <w:r w:rsidRPr="00E36E4C">
              <w:rPr>
                <w:rFonts w:eastAsia="Times New Roman"/>
                <w:strike w:val="0"/>
              </w:rPr>
              <w:t>153 (50.8)</w:t>
            </w:r>
          </w:p>
        </w:tc>
        <w:tc>
          <w:tcPr>
            <w:tcW w:w="0" w:type="auto"/>
            <w:tcMar>
              <w:top w:w="150" w:type="dxa"/>
              <w:left w:w="240" w:type="dxa"/>
              <w:bottom w:w="150" w:type="dxa"/>
              <w:right w:w="240" w:type="dxa"/>
            </w:tcMar>
            <w:vAlign w:val="center"/>
            <w:hideMark/>
          </w:tcPr>
          <w:p w14:paraId="36301D5B" w14:textId="77777777" w:rsidR="00E36E4C" w:rsidRPr="00E36E4C" w:rsidRDefault="00E36E4C" w:rsidP="00E36E4C">
            <w:pPr>
              <w:spacing w:after="0" w:line="375" w:lineRule="atLeast"/>
              <w:rPr>
                <w:rFonts w:eastAsia="Times New Roman"/>
                <w:strike w:val="0"/>
              </w:rPr>
            </w:pPr>
            <w:r w:rsidRPr="00E36E4C">
              <w:rPr>
                <w:rFonts w:eastAsia="Times New Roman"/>
                <w:strike w:val="0"/>
              </w:rPr>
              <w:t>148 (49.2)</w:t>
            </w:r>
          </w:p>
        </w:tc>
        <w:tc>
          <w:tcPr>
            <w:tcW w:w="0" w:type="auto"/>
            <w:tcMar>
              <w:top w:w="150" w:type="dxa"/>
              <w:left w:w="240" w:type="dxa"/>
              <w:bottom w:w="150" w:type="dxa"/>
              <w:right w:w="240" w:type="dxa"/>
            </w:tcMar>
            <w:vAlign w:val="center"/>
            <w:hideMark/>
          </w:tcPr>
          <w:p w14:paraId="6EE2F9C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4946F2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1D79FA2D" w14:textId="77777777" w:rsidR="00E36E4C" w:rsidRPr="00E36E4C" w:rsidRDefault="00E36E4C" w:rsidP="00E36E4C">
            <w:pPr>
              <w:spacing w:after="0" w:line="375" w:lineRule="atLeast"/>
              <w:rPr>
                <w:rFonts w:eastAsia="Times New Roman"/>
                <w:strike w:val="0"/>
              </w:rPr>
            </w:pPr>
          </w:p>
        </w:tc>
      </w:tr>
      <w:tr w:rsidR="00E36E4C" w:rsidRPr="00E36E4C" w14:paraId="3AD1F816" w14:textId="77777777">
        <w:tc>
          <w:tcPr>
            <w:tcW w:w="0" w:type="auto"/>
            <w:tcMar>
              <w:top w:w="150" w:type="dxa"/>
              <w:left w:w="0" w:type="dxa"/>
              <w:bottom w:w="150" w:type="dxa"/>
              <w:right w:w="240" w:type="dxa"/>
            </w:tcMar>
            <w:vAlign w:val="center"/>
            <w:hideMark/>
          </w:tcPr>
          <w:p w14:paraId="0D035FB3" w14:textId="77777777" w:rsidR="00E36E4C" w:rsidRPr="00E36E4C" w:rsidRDefault="00E36E4C" w:rsidP="00E36E4C">
            <w:pPr>
              <w:spacing w:after="0" w:line="375" w:lineRule="atLeast"/>
              <w:rPr>
                <w:rFonts w:eastAsia="Times New Roman"/>
                <w:strike w:val="0"/>
              </w:rPr>
            </w:pPr>
            <w:r w:rsidRPr="00E36E4C">
              <w:rPr>
                <w:rFonts w:eastAsia="Times New Roman"/>
                <w:strike w:val="0"/>
              </w:rPr>
              <w:t>Quality of service delivery</w:t>
            </w:r>
          </w:p>
        </w:tc>
        <w:tc>
          <w:tcPr>
            <w:tcW w:w="0" w:type="auto"/>
            <w:tcMar>
              <w:top w:w="150" w:type="dxa"/>
              <w:left w:w="240" w:type="dxa"/>
              <w:bottom w:w="150" w:type="dxa"/>
              <w:right w:w="240" w:type="dxa"/>
            </w:tcMar>
            <w:vAlign w:val="center"/>
            <w:hideMark/>
          </w:tcPr>
          <w:p w14:paraId="557AFC2A" w14:textId="77777777" w:rsidR="00E36E4C" w:rsidRPr="00E36E4C" w:rsidRDefault="00E36E4C" w:rsidP="00E36E4C">
            <w:pPr>
              <w:spacing w:after="0" w:line="375" w:lineRule="atLeast"/>
              <w:rPr>
                <w:rFonts w:eastAsia="Times New Roman"/>
                <w:strike w:val="0"/>
              </w:rPr>
            </w:pPr>
            <w:r w:rsidRPr="00E36E4C">
              <w:rPr>
                <w:rFonts w:eastAsia="Times New Roman"/>
                <w:strike w:val="0"/>
              </w:rPr>
              <w:t>144 (55.0)</w:t>
            </w:r>
          </w:p>
        </w:tc>
        <w:tc>
          <w:tcPr>
            <w:tcW w:w="0" w:type="auto"/>
            <w:tcMar>
              <w:top w:w="150" w:type="dxa"/>
              <w:left w:w="240" w:type="dxa"/>
              <w:bottom w:w="150" w:type="dxa"/>
              <w:right w:w="240" w:type="dxa"/>
            </w:tcMar>
            <w:vAlign w:val="center"/>
            <w:hideMark/>
          </w:tcPr>
          <w:p w14:paraId="6A28C28E" w14:textId="77777777" w:rsidR="00E36E4C" w:rsidRPr="00E36E4C" w:rsidRDefault="00E36E4C" w:rsidP="00E36E4C">
            <w:pPr>
              <w:spacing w:after="0" w:line="375" w:lineRule="atLeast"/>
              <w:rPr>
                <w:rFonts w:eastAsia="Times New Roman"/>
                <w:strike w:val="0"/>
              </w:rPr>
            </w:pPr>
            <w:r w:rsidRPr="00E36E4C">
              <w:rPr>
                <w:rFonts w:eastAsia="Times New Roman"/>
                <w:strike w:val="0"/>
              </w:rPr>
              <w:t>118 (45.0)</w:t>
            </w:r>
          </w:p>
        </w:tc>
        <w:tc>
          <w:tcPr>
            <w:tcW w:w="0" w:type="auto"/>
            <w:tcMar>
              <w:top w:w="150" w:type="dxa"/>
              <w:left w:w="240" w:type="dxa"/>
              <w:bottom w:w="150" w:type="dxa"/>
              <w:right w:w="240" w:type="dxa"/>
            </w:tcMar>
            <w:vAlign w:val="center"/>
            <w:hideMark/>
          </w:tcPr>
          <w:p w14:paraId="38BC9F9F"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7446F07"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57643855" w14:textId="77777777" w:rsidR="00E36E4C" w:rsidRPr="00E36E4C" w:rsidRDefault="00E36E4C" w:rsidP="00E36E4C">
            <w:pPr>
              <w:spacing w:after="0" w:line="375" w:lineRule="atLeast"/>
              <w:rPr>
                <w:rFonts w:eastAsia="Times New Roman"/>
                <w:strike w:val="0"/>
              </w:rPr>
            </w:pPr>
          </w:p>
        </w:tc>
      </w:tr>
      <w:tr w:rsidR="00E36E4C" w:rsidRPr="00E36E4C" w14:paraId="707AF9E3" w14:textId="77777777">
        <w:tc>
          <w:tcPr>
            <w:tcW w:w="0" w:type="auto"/>
            <w:tcMar>
              <w:top w:w="150" w:type="dxa"/>
              <w:left w:w="0" w:type="dxa"/>
              <w:bottom w:w="150" w:type="dxa"/>
              <w:right w:w="240" w:type="dxa"/>
            </w:tcMar>
            <w:vAlign w:val="center"/>
            <w:hideMark/>
          </w:tcPr>
          <w:p w14:paraId="24272A5A" w14:textId="77777777" w:rsidR="00E36E4C" w:rsidRPr="00E36E4C" w:rsidRDefault="00E36E4C" w:rsidP="00E36E4C">
            <w:pPr>
              <w:spacing w:after="0" w:line="375" w:lineRule="atLeast"/>
              <w:rPr>
                <w:rFonts w:eastAsia="Times New Roman"/>
                <w:strike w:val="0"/>
              </w:rPr>
            </w:pPr>
            <w:r w:rsidRPr="00E36E4C">
              <w:rPr>
                <w:rFonts w:eastAsia="Times New Roman"/>
                <w:strike w:val="0"/>
              </w:rPr>
              <w:t>Waiting time</w:t>
            </w:r>
          </w:p>
        </w:tc>
        <w:tc>
          <w:tcPr>
            <w:tcW w:w="0" w:type="auto"/>
            <w:tcMar>
              <w:top w:w="150" w:type="dxa"/>
              <w:left w:w="240" w:type="dxa"/>
              <w:bottom w:w="150" w:type="dxa"/>
              <w:right w:w="240" w:type="dxa"/>
            </w:tcMar>
            <w:vAlign w:val="center"/>
            <w:hideMark/>
          </w:tcPr>
          <w:p w14:paraId="0D9087AE" w14:textId="77777777" w:rsidR="00E36E4C" w:rsidRPr="00E36E4C" w:rsidRDefault="00E36E4C" w:rsidP="00E36E4C">
            <w:pPr>
              <w:spacing w:after="0" w:line="375" w:lineRule="atLeast"/>
              <w:rPr>
                <w:rFonts w:eastAsia="Times New Roman"/>
                <w:strike w:val="0"/>
              </w:rPr>
            </w:pPr>
            <w:r w:rsidRPr="00E36E4C">
              <w:rPr>
                <w:rFonts w:eastAsia="Times New Roman"/>
                <w:strike w:val="0"/>
              </w:rPr>
              <w:t>123 (55.7)</w:t>
            </w:r>
          </w:p>
        </w:tc>
        <w:tc>
          <w:tcPr>
            <w:tcW w:w="0" w:type="auto"/>
            <w:tcMar>
              <w:top w:w="150" w:type="dxa"/>
              <w:left w:w="240" w:type="dxa"/>
              <w:bottom w:w="150" w:type="dxa"/>
              <w:right w:w="240" w:type="dxa"/>
            </w:tcMar>
            <w:vAlign w:val="center"/>
            <w:hideMark/>
          </w:tcPr>
          <w:p w14:paraId="7CB1CE89" w14:textId="77777777" w:rsidR="00E36E4C" w:rsidRPr="00E36E4C" w:rsidRDefault="00E36E4C" w:rsidP="00E36E4C">
            <w:pPr>
              <w:spacing w:after="0" w:line="375" w:lineRule="atLeast"/>
              <w:rPr>
                <w:rFonts w:eastAsia="Times New Roman"/>
                <w:strike w:val="0"/>
              </w:rPr>
            </w:pPr>
            <w:r w:rsidRPr="00E36E4C">
              <w:rPr>
                <w:rFonts w:eastAsia="Times New Roman"/>
                <w:strike w:val="0"/>
              </w:rPr>
              <w:t>98 (44.3)</w:t>
            </w:r>
          </w:p>
        </w:tc>
        <w:tc>
          <w:tcPr>
            <w:tcW w:w="0" w:type="auto"/>
            <w:vAlign w:val="center"/>
            <w:hideMark/>
          </w:tcPr>
          <w:p w14:paraId="4C4D640A" w14:textId="77777777" w:rsidR="00E36E4C" w:rsidRPr="00E36E4C" w:rsidRDefault="00E36E4C" w:rsidP="00E36E4C">
            <w:pPr>
              <w:spacing w:after="0" w:line="240" w:lineRule="auto"/>
              <w:rPr>
                <w:rFonts w:eastAsia="Times New Roman"/>
                <w:strike w:val="0"/>
              </w:rPr>
            </w:pPr>
          </w:p>
        </w:tc>
        <w:tc>
          <w:tcPr>
            <w:tcW w:w="0" w:type="auto"/>
            <w:vAlign w:val="center"/>
            <w:hideMark/>
          </w:tcPr>
          <w:p w14:paraId="5003C0A7" w14:textId="77777777" w:rsidR="00E36E4C" w:rsidRPr="00E36E4C" w:rsidRDefault="00E36E4C" w:rsidP="00E36E4C">
            <w:pPr>
              <w:spacing w:after="0" w:line="240" w:lineRule="auto"/>
              <w:rPr>
                <w:rFonts w:eastAsia="Times New Roman"/>
                <w:strike w:val="0"/>
              </w:rPr>
            </w:pPr>
          </w:p>
        </w:tc>
        <w:tc>
          <w:tcPr>
            <w:tcW w:w="0" w:type="auto"/>
            <w:vAlign w:val="center"/>
            <w:hideMark/>
          </w:tcPr>
          <w:p w14:paraId="3B02AB86" w14:textId="77777777" w:rsidR="00E36E4C" w:rsidRPr="00E36E4C" w:rsidRDefault="00E36E4C" w:rsidP="00E36E4C">
            <w:pPr>
              <w:spacing w:after="0" w:line="240" w:lineRule="auto"/>
              <w:rPr>
                <w:rFonts w:eastAsia="Times New Roman"/>
                <w:strike w:val="0"/>
              </w:rPr>
            </w:pPr>
          </w:p>
        </w:tc>
      </w:tr>
    </w:tbl>
    <w:p w14:paraId="18568026" w14:textId="77777777" w:rsidR="00E36E4C" w:rsidRPr="00E36E4C" w:rsidRDefault="00E36E4C" w:rsidP="00A517FF">
      <w:pPr>
        <w:rPr>
          <w:strike w:val="0"/>
        </w:rPr>
      </w:pPr>
    </w:p>
    <w:p w14:paraId="675312A9" w14:textId="7E65FA69" w:rsidR="009F4ABF" w:rsidRPr="009F4ABF" w:rsidRDefault="009F4ABF" w:rsidP="00E36E4C">
      <w:pPr>
        <w:rPr>
          <w:strike w:val="0"/>
        </w:rPr>
      </w:pPr>
      <w:r w:rsidRPr="009F4ABF">
        <w:rPr>
          <w:strike w:val="0"/>
        </w:rPr>
        <w:t>Table 3 presents multivariable logistic regression results for determinants of complete childhood immunization. After adjustment, all five determinant categories remained significant. Intervention exposure (AOR = 2.69, 95% CI: 1.72–4.20, p &lt; 0.001), correct immunization schedule knowledge (AOR = 2.41, 95% CI: 1.43–4.05, p = 0.001), perceived benefit (AOR = 1.88, 95% CI: 1.16–3.05, p = 0.011), paternal education and women's autonomy (AOR = 2.17, 95% CI: 1.21–3.25, p = 0.014), and health system factors (AOR = 2.35, 95% CI: 1.36–3.14, p = 0.003) all independently predicted complete immunization.</w:t>
      </w:r>
    </w:p>
    <w:p w14:paraId="3484706A" w14:textId="42343146" w:rsidR="00E36E4C" w:rsidRPr="00E36E4C" w:rsidRDefault="00E36E4C" w:rsidP="00E36E4C">
      <w:pPr>
        <w:rPr>
          <w:strike w:val="0"/>
        </w:rPr>
      </w:pPr>
      <w:r w:rsidRPr="00E36E4C">
        <w:rPr>
          <w:b/>
          <w:bCs/>
          <w:strike w:val="0"/>
        </w:rPr>
        <w:t>Table 3. Multivariable Logistic Regression Analysis of Determinants of Complete Immunization</w:t>
      </w:r>
    </w:p>
    <w:p w14:paraId="57D96501" w14:textId="77777777" w:rsidR="00E36E4C" w:rsidRPr="00E36E4C" w:rsidRDefault="00E36E4C" w:rsidP="00E36E4C">
      <w:pPr>
        <w:rPr>
          <w:strike w:val="0"/>
        </w:rPr>
      </w:pPr>
      <w:r w:rsidRPr="00E36E4C">
        <w:rPr>
          <w:strike w:val="0"/>
        </w:rPr>
        <w:t>Outcome: Complete childhood immunization</w:t>
      </w:r>
    </w:p>
    <w:tbl>
      <w:tblPr>
        <w:tblW w:w="0" w:type="auto"/>
        <w:tblCellMar>
          <w:top w:w="15" w:type="dxa"/>
          <w:left w:w="15" w:type="dxa"/>
          <w:bottom w:w="15" w:type="dxa"/>
          <w:right w:w="15" w:type="dxa"/>
        </w:tblCellMar>
        <w:tblLook w:val="04A0" w:firstRow="1" w:lastRow="0" w:firstColumn="1" w:lastColumn="0" w:noHBand="0" w:noVBand="1"/>
      </w:tblPr>
      <w:tblGrid>
        <w:gridCol w:w="2043"/>
        <w:gridCol w:w="2696"/>
        <w:gridCol w:w="2039"/>
        <w:gridCol w:w="1153"/>
        <w:gridCol w:w="1095"/>
      </w:tblGrid>
      <w:tr w:rsidR="00E36E4C" w:rsidRPr="00E36E4C" w14:paraId="00625DCE" w14:textId="77777777">
        <w:trPr>
          <w:tblHeader/>
        </w:trPr>
        <w:tc>
          <w:tcPr>
            <w:tcW w:w="0" w:type="auto"/>
            <w:tcBorders>
              <w:top w:val="nil"/>
            </w:tcBorders>
            <w:tcMar>
              <w:top w:w="150" w:type="dxa"/>
              <w:left w:w="0" w:type="dxa"/>
              <w:bottom w:w="150" w:type="dxa"/>
              <w:right w:w="240" w:type="dxa"/>
            </w:tcMar>
            <w:vAlign w:val="center"/>
            <w:hideMark/>
          </w:tcPr>
          <w:p w14:paraId="4A04B0AD" w14:textId="77777777" w:rsidR="00E36E4C" w:rsidRPr="00E36E4C" w:rsidRDefault="00E36E4C" w:rsidP="00E36E4C">
            <w:pPr>
              <w:rPr>
                <w:strike w:val="0"/>
              </w:rPr>
            </w:pPr>
            <w:r w:rsidRPr="00E36E4C">
              <w:rPr>
                <w:b/>
                <w:bCs/>
                <w:strike w:val="0"/>
              </w:rPr>
              <w:t>Determinant Category</w:t>
            </w:r>
          </w:p>
        </w:tc>
        <w:tc>
          <w:tcPr>
            <w:tcW w:w="0" w:type="auto"/>
            <w:tcBorders>
              <w:top w:val="nil"/>
            </w:tcBorders>
            <w:tcMar>
              <w:top w:w="150" w:type="dxa"/>
              <w:left w:w="240" w:type="dxa"/>
              <w:bottom w:w="150" w:type="dxa"/>
              <w:right w:w="240" w:type="dxa"/>
            </w:tcMar>
            <w:vAlign w:val="center"/>
            <w:hideMark/>
          </w:tcPr>
          <w:p w14:paraId="30FACA78" w14:textId="77777777" w:rsidR="00E36E4C" w:rsidRPr="00E36E4C" w:rsidRDefault="00E36E4C" w:rsidP="00E36E4C">
            <w:pPr>
              <w:rPr>
                <w:strike w:val="0"/>
              </w:rPr>
            </w:pPr>
            <w:r w:rsidRPr="00E36E4C">
              <w:rPr>
                <w:b/>
                <w:bCs/>
                <w:strike w:val="0"/>
              </w:rPr>
              <w:t>Predictor</w:t>
            </w:r>
          </w:p>
        </w:tc>
        <w:tc>
          <w:tcPr>
            <w:tcW w:w="0" w:type="auto"/>
            <w:tcBorders>
              <w:top w:val="nil"/>
            </w:tcBorders>
            <w:tcMar>
              <w:top w:w="150" w:type="dxa"/>
              <w:left w:w="240" w:type="dxa"/>
              <w:bottom w:w="150" w:type="dxa"/>
              <w:right w:w="240" w:type="dxa"/>
            </w:tcMar>
            <w:vAlign w:val="center"/>
            <w:hideMark/>
          </w:tcPr>
          <w:p w14:paraId="20362D78" w14:textId="77777777" w:rsidR="00E36E4C" w:rsidRPr="00E36E4C" w:rsidRDefault="00E36E4C" w:rsidP="00E36E4C">
            <w:pPr>
              <w:rPr>
                <w:strike w:val="0"/>
              </w:rPr>
            </w:pPr>
            <w:r w:rsidRPr="00E36E4C">
              <w:rPr>
                <w:b/>
                <w:bCs/>
                <w:strike w:val="0"/>
              </w:rPr>
              <w:t>Adjusted Odds Ratio (AOR)</w:t>
            </w:r>
          </w:p>
        </w:tc>
        <w:tc>
          <w:tcPr>
            <w:tcW w:w="0" w:type="auto"/>
            <w:tcBorders>
              <w:top w:val="nil"/>
            </w:tcBorders>
            <w:tcMar>
              <w:top w:w="150" w:type="dxa"/>
              <w:left w:w="240" w:type="dxa"/>
              <w:bottom w:w="150" w:type="dxa"/>
              <w:right w:w="240" w:type="dxa"/>
            </w:tcMar>
            <w:vAlign w:val="center"/>
            <w:hideMark/>
          </w:tcPr>
          <w:p w14:paraId="597B2032" w14:textId="77777777" w:rsidR="00E36E4C" w:rsidRPr="00E36E4C" w:rsidRDefault="00E36E4C" w:rsidP="00E36E4C">
            <w:pPr>
              <w:rPr>
                <w:strike w:val="0"/>
              </w:rPr>
            </w:pPr>
            <w:r w:rsidRPr="00E36E4C">
              <w:rPr>
                <w:b/>
                <w:bCs/>
                <w:strike w:val="0"/>
              </w:rPr>
              <w:t>95% CI</w:t>
            </w:r>
          </w:p>
        </w:tc>
        <w:tc>
          <w:tcPr>
            <w:tcW w:w="0" w:type="auto"/>
            <w:tcBorders>
              <w:top w:val="nil"/>
            </w:tcBorders>
            <w:tcMar>
              <w:top w:w="150" w:type="dxa"/>
              <w:left w:w="240" w:type="dxa"/>
              <w:bottom w:w="150" w:type="dxa"/>
              <w:right w:w="240" w:type="dxa"/>
            </w:tcMar>
            <w:vAlign w:val="center"/>
            <w:hideMark/>
          </w:tcPr>
          <w:p w14:paraId="638F0291" w14:textId="77777777" w:rsidR="00E36E4C" w:rsidRPr="00E36E4C" w:rsidRDefault="00E36E4C" w:rsidP="00E36E4C">
            <w:pPr>
              <w:rPr>
                <w:strike w:val="0"/>
              </w:rPr>
            </w:pPr>
            <w:r w:rsidRPr="00E36E4C">
              <w:rPr>
                <w:b/>
                <w:bCs/>
                <w:strike w:val="0"/>
              </w:rPr>
              <w:t>p-value</w:t>
            </w:r>
          </w:p>
        </w:tc>
      </w:tr>
      <w:tr w:rsidR="00E36E4C" w:rsidRPr="00E36E4C" w14:paraId="1D913994" w14:textId="77777777">
        <w:tc>
          <w:tcPr>
            <w:tcW w:w="0" w:type="auto"/>
            <w:tcMar>
              <w:top w:w="150" w:type="dxa"/>
              <w:left w:w="0" w:type="dxa"/>
              <w:bottom w:w="150" w:type="dxa"/>
              <w:right w:w="240" w:type="dxa"/>
            </w:tcMar>
            <w:vAlign w:val="center"/>
            <w:hideMark/>
          </w:tcPr>
          <w:p w14:paraId="58B5553E" w14:textId="77777777" w:rsidR="00E36E4C" w:rsidRPr="00E36E4C" w:rsidRDefault="00E36E4C" w:rsidP="00E36E4C">
            <w:pPr>
              <w:rPr>
                <w:strike w:val="0"/>
              </w:rPr>
            </w:pPr>
            <w:r w:rsidRPr="00E36E4C">
              <w:rPr>
                <w:strike w:val="0"/>
              </w:rPr>
              <w:t>Intervention-Related Factors</w:t>
            </w:r>
          </w:p>
        </w:tc>
        <w:tc>
          <w:tcPr>
            <w:tcW w:w="0" w:type="auto"/>
            <w:tcMar>
              <w:top w:w="150" w:type="dxa"/>
              <w:left w:w="240" w:type="dxa"/>
              <w:bottom w:w="150" w:type="dxa"/>
              <w:right w:w="240" w:type="dxa"/>
            </w:tcMar>
            <w:vAlign w:val="center"/>
            <w:hideMark/>
          </w:tcPr>
          <w:p w14:paraId="3F940836" w14:textId="77777777" w:rsidR="00E36E4C" w:rsidRPr="00E36E4C" w:rsidRDefault="00E36E4C" w:rsidP="00E36E4C">
            <w:pPr>
              <w:rPr>
                <w:strike w:val="0"/>
              </w:rPr>
            </w:pPr>
            <w:r w:rsidRPr="00E36E4C">
              <w:rPr>
                <w:strike w:val="0"/>
              </w:rPr>
              <w:t>Community volunteer intervention</w:t>
            </w:r>
          </w:p>
        </w:tc>
        <w:tc>
          <w:tcPr>
            <w:tcW w:w="0" w:type="auto"/>
            <w:tcMar>
              <w:top w:w="150" w:type="dxa"/>
              <w:left w:w="240" w:type="dxa"/>
              <w:bottom w:w="150" w:type="dxa"/>
              <w:right w:w="240" w:type="dxa"/>
            </w:tcMar>
            <w:vAlign w:val="center"/>
            <w:hideMark/>
          </w:tcPr>
          <w:p w14:paraId="2D0BDBEE" w14:textId="77777777" w:rsidR="00E36E4C" w:rsidRPr="00E36E4C" w:rsidRDefault="00E36E4C" w:rsidP="00E36E4C">
            <w:pPr>
              <w:rPr>
                <w:strike w:val="0"/>
              </w:rPr>
            </w:pPr>
            <w:r w:rsidRPr="00E36E4C">
              <w:rPr>
                <w:strike w:val="0"/>
              </w:rPr>
              <w:t>2.69</w:t>
            </w:r>
          </w:p>
        </w:tc>
        <w:tc>
          <w:tcPr>
            <w:tcW w:w="0" w:type="auto"/>
            <w:tcMar>
              <w:top w:w="150" w:type="dxa"/>
              <w:left w:w="240" w:type="dxa"/>
              <w:bottom w:w="150" w:type="dxa"/>
              <w:right w:w="240" w:type="dxa"/>
            </w:tcMar>
            <w:vAlign w:val="center"/>
            <w:hideMark/>
          </w:tcPr>
          <w:p w14:paraId="3B010AE9" w14:textId="77777777" w:rsidR="00E36E4C" w:rsidRPr="00E36E4C" w:rsidRDefault="00E36E4C" w:rsidP="00E36E4C">
            <w:pPr>
              <w:rPr>
                <w:strike w:val="0"/>
              </w:rPr>
            </w:pPr>
            <w:r w:rsidRPr="00E36E4C">
              <w:rPr>
                <w:strike w:val="0"/>
              </w:rPr>
              <w:t>1.72–4.20</w:t>
            </w:r>
          </w:p>
        </w:tc>
        <w:tc>
          <w:tcPr>
            <w:tcW w:w="0" w:type="auto"/>
            <w:tcMar>
              <w:top w:w="150" w:type="dxa"/>
              <w:left w:w="240" w:type="dxa"/>
              <w:bottom w:w="150" w:type="dxa"/>
              <w:right w:w="0" w:type="dxa"/>
            </w:tcMar>
            <w:vAlign w:val="center"/>
            <w:hideMark/>
          </w:tcPr>
          <w:p w14:paraId="320C5121" w14:textId="77777777" w:rsidR="00E36E4C" w:rsidRPr="00E36E4C" w:rsidRDefault="00E36E4C" w:rsidP="00E36E4C">
            <w:pPr>
              <w:rPr>
                <w:strike w:val="0"/>
              </w:rPr>
            </w:pPr>
            <w:r w:rsidRPr="00E36E4C">
              <w:rPr>
                <w:strike w:val="0"/>
              </w:rPr>
              <w:t>&lt;0.001</w:t>
            </w:r>
          </w:p>
        </w:tc>
      </w:tr>
      <w:tr w:rsidR="00E36E4C" w:rsidRPr="00E36E4C" w14:paraId="5221567E" w14:textId="77777777">
        <w:tc>
          <w:tcPr>
            <w:tcW w:w="0" w:type="auto"/>
            <w:tcMar>
              <w:top w:w="150" w:type="dxa"/>
              <w:left w:w="0" w:type="dxa"/>
              <w:bottom w:w="150" w:type="dxa"/>
              <w:right w:w="240" w:type="dxa"/>
            </w:tcMar>
            <w:vAlign w:val="center"/>
            <w:hideMark/>
          </w:tcPr>
          <w:p w14:paraId="675AAD64" w14:textId="77777777" w:rsidR="00E36E4C" w:rsidRPr="00E36E4C" w:rsidRDefault="00E36E4C" w:rsidP="00E36E4C">
            <w:pPr>
              <w:rPr>
                <w:strike w:val="0"/>
              </w:rPr>
            </w:pPr>
            <w:r w:rsidRPr="00E36E4C">
              <w:rPr>
                <w:strike w:val="0"/>
              </w:rPr>
              <w:t>Caregiver Knowledge Factors</w:t>
            </w:r>
          </w:p>
        </w:tc>
        <w:tc>
          <w:tcPr>
            <w:tcW w:w="0" w:type="auto"/>
            <w:tcMar>
              <w:top w:w="150" w:type="dxa"/>
              <w:left w:w="240" w:type="dxa"/>
              <w:bottom w:w="150" w:type="dxa"/>
              <w:right w:w="240" w:type="dxa"/>
            </w:tcMar>
            <w:vAlign w:val="center"/>
            <w:hideMark/>
          </w:tcPr>
          <w:p w14:paraId="1CBAD23C" w14:textId="77777777" w:rsidR="00E36E4C" w:rsidRPr="00E36E4C" w:rsidRDefault="00E36E4C" w:rsidP="00E36E4C">
            <w:pPr>
              <w:rPr>
                <w:strike w:val="0"/>
              </w:rPr>
            </w:pPr>
            <w:r w:rsidRPr="00E36E4C">
              <w:rPr>
                <w:strike w:val="0"/>
              </w:rPr>
              <w:t>Correct immunization schedule knowledge</w:t>
            </w:r>
          </w:p>
        </w:tc>
        <w:tc>
          <w:tcPr>
            <w:tcW w:w="0" w:type="auto"/>
            <w:tcMar>
              <w:top w:w="150" w:type="dxa"/>
              <w:left w:w="240" w:type="dxa"/>
              <w:bottom w:w="150" w:type="dxa"/>
              <w:right w:w="240" w:type="dxa"/>
            </w:tcMar>
            <w:vAlign w:val="center"/>
            <w:hideMark/>
          </w:tcPr>
          <w:p w14:paraId="462019C5" w14:textId="77777777" w:rsidR="00E36E4C" w:rsidRPr="00E36E4C" w:rsidRDefault="00E36E4C" w:rsidP="00E36E4C">
            <w:pPr>
              <w:rPr>
                <w:strike w:val="0"/>
              </w:rPr>
            </w:pPr>
            <w:r w:rsidRPr="00E36E4C">
              <w:rPr>
                <w:strike w:val="0"/>
              </w:rPr>
              <w:t>2.41</w:t>
            </w:r>
          </w:p>
        </w:tc>
        <w:tc>
          <w:tcPr>
            <w:tcW w:w="0" w:type="auto"/>
            <w:tcMar>
              <w:top w:w="150" w:type="dxa"/>
              <w:left w:w="240" w:type="dxa"/>
              <w:bottom w:w="150" w:type="dxa"/>
              <w:right w:w="240" w:type="dxa"/>
            </w:tcMar>
            <w:vAlign w:val="center"/>
            <w:hideMark/>
          </w:tcPr>
          <w:p w14:paraId="58896977" w14:textId="77777777" w:rsidR="00E36E4C" w:rsidRPr="00E36E4C" w:rsidRDefault="00E36E4C" w:rsidP="00E36E4C">
            <w:pPr>
              <w:rPr>
                <w:strike w:val="0"/>
              </w:rPr>
            </w:pPr>
            <w:r w:rsidRPr="00E36E4C">
              <w:rPr>
                <w:strike w:val="0"/>
              </w:rPr>
              <w:t>1.43–4.05</w:t>
            </w:r>
          </w:p>
        </w:tc>
        <w:tc>
          <w:tcPr>
            <w:tcW w:w="0" w:type="auto"/>
            <w:tcMar>
              <w:top w:w="150" w:type="dxa"/>
              <w:left w:w="240" w:type="dxa"/>
              <w:bottom w:w="150" w:type="dxa"/>
              <w:right w:w="0" w:type="dxa"/>
            </w:tcMar>
            <w:vAlign w:val="center"/>
            <w:hideMark/>
          </w:tcPr>
          <w:p w14:paraId="2A9FDE56" w14:textId="77777777" w:rsidR="00E36E4C" w:rsidRPr="00E36E4C" w:rsidRDefault="00E36E4C" w:rsidP="00E36E4C">
            <w:pPr>
              <w:rPr>
                <w:strike w:val="0"/>
              </w:rPr>
            </w:pPr>
            <w:r w:rsidRPr="00E36E4C">
              <w:rPr>
                <w:strike w:val="0"/>
              </w:rPr>
              <w:t>0.001</w:t>
            </w:r>
          </w:p>
        </w:tc>
      </w:tr>
      <w:tr w:rsidR="00E36E4C" w:rsidRPr="00E36E4C" w14:paraId="41E1C25A" w14:textId="77777777">
        <w:tc>
          <w:tcPr>
            <w:tcW w:w="0" w:type="auto"/>
            <w:tcMar>
              <w:top w:w="150" w:type="dxa"/>
              <w:left w:w="0" w:type="dxa"/>
              <w:bottom w:w="150" w:type="dxa"/>
              <w:right w:w="240" w:type="dxa"/>
            </w:tcMar>
            <w:vAlign w:val="center"/>
            <w:hideMark/>
          </w:tcPr>
          <w:p w14:paraId="64000407" w14:textId="77777777" w:rsidR="00E36E4C" w:rsidRPr="00E36E4C" w:rsidRDefault="00E36E4C" w:rsidP="00E36E4C">
            <w:pPr>
              <w:rPr>
                <w:strike w:val="0"/>
              </w:rPr>
            </w:pPr>
            <w:r w:rsidRPr="00E36E4C">
              <w:rPr>
                <w:strike w:val="0"/>
              </w:rPr>
              <w:lastRenderedPageBreak/>
              <w:t>Caregiver Perception Factors</w:t>
            </w:r>
          </w:p>
        </w:tc>
        <w:tc>
          <w:tcPr>
            <w:tcW w:w="0" w:type="auto"/>
            <w:tcMar>
              <w:top w:w="150" w:type="dxa"/>
              <w:left w:w="240" w:type="dxa"/>
              <w:bottom w:w="150" w:type="dxa"/>
              <w:right w:w="240" w:type="dxa"/>
            </w:tcMar>
            <w:vAlign w:val="center"/>
            <w:hideMark/>
          </w:tcPr>
          <w:p w14:paraId="6FA75BBA" w14:textId="77777777" w:rsidR="00E36E4C" w:rsidRPr="00E36E4C" w:rsidRDefault="00E36E4C" w:rsidP="00E36E4C">
            <w:pPr>
              <w:rPr>
                <w:strike w:val="0"/>
              </w:rPr>
            </w:pPr>
            <w:r w:rsidRPr="00E36E4C">
              <w:rPr>
                <w:strike w:val="0"/>
              </w:rPr>
              <w:t>Perceived benefit of immunization</w:t>
            </w:r>
          </w:p>
        </w:tc>
        <w:tc>
          <w:tcPr>
            <w:tcW w:w="0" w:type="auto"/>
            <w:tcMar>
              <w:top w:w="150" w:type="dxa"/>
              <w:left w:w="240" w:type="dxa"/>
              <w:bottom w:w="150" w:type="dxa"/>
              <w:right w:w="240" w:type="dxa"/>
            </w:tcMar>
            <w:vAlign w:val="center"/>
            <w:hideMark/>
          </w:tcPr>
          <w:p w14:paraId="0276F0F3" w14:textId="77777777" w:rsidR="00E36E4C" w:rsidRPr="00E36E4C" w:rsidRDefault="00E36E4C" w:rsidP="00E36E4C">
            <w:pPr>
              <w:rPr>
                <w:strike w:val="0"/>
              </w:rPr>
            </w:pPr>
            <w:r w:rsidRPr="00E36E4C">
              <w:rPr>
                <w:strike w:val="0"/>
              </w:rPr>
              <w:t>1.88</w:t>
            </w:r>
          </w:p>
        </w:tc>
        <w:tc>
          <w:tcPr>
            <w:tcW w:w="0" w:type="auto"/>
            <w:tcMar>
              <w:top w:w="150" w:type="dxa"/>
              <w:left w:w="240" w:type="dxa"/>
              <w:bottom w:w="150" w:type="dxa"/>
              <w:right w:w="240" w:type="dxa"/>
            </w:tcMar>
            <w:vAlign w:val="center"/>
            <w:hideMark/>
          </w:tcPr>
          <w:p w14:paraId="28064FDA" w14:textId="77777777" w:rsidR="00E36E4C" w:rsidRPr="00E36E4C" w:rsidRDefault="00E36E4C" w:rsidP="00E36E4C">
            <w:pPr>
              <w:rPr>
                <w:strike w:val="0"/>
              </w:rPr>
            </w:pPr>
            <w:r w:rsidRPr="00E36E4C">
              <w:rPr>
                <w:strike w:val="0"/>
              </w:rPr>
              <w:t>1.16–3.05</w:t>
            </w:r>
          </w:p>
        </w:tc>
        <w:tc>
          <w:tcPr>
            <w:tcW w:w="0" w:type="auto"/>
            <w:tcMar>
              <w:top w:w="150" w:type="dxa"/>
              <w:left w:w="240" w:type="dxa"/>
              <w:bottom w:w="150" w:type="dxa"/>
              <w:right w:w="0" w:type="dxa"/>
            </w:tcMar>
            <w:vAlign w:val="center"/>
            <w:hideMark/>
          </w:tcPr>
          <w:p w14:paraId="1532332B" w14:textId="77777777" w:rsidR="00E36E4C" w:rsidRPr="00E36E4C" w:rsidRDefault="00E36E4C" w:rsidP="00E36E4C">
            <w:pPr>
              <w:rPr>
                <w:strike w:val="0"/>
              </w:rPr>
            </w:pPr>
            <w:r w:rsidRPr="00E36E4C">
              <w:rPr>
                <w:strike w:val="0"/>
              </w:rPr>
              <w:t>0.011</w:t>
            </w:r>
          </w:p>
        </w:tc>
      </w:tr>
      <w:tr w:rsidR="00E36E4C" w:rsidRPr="00E36E4C" w14:paraId="05077E75" w14:textId="77777777">
        <w:tc>
          <w:tcPr>
            <w:tcW w:w="0" w:type="auto"/>
            <w:tcMar>
              <w:top w:w="150" w:type="dxa"/>
              <w:left w:w="0" w:type="dxa"/>
              <w:bottom w:w="150" w:type="dxa"/>
              <w:right w:w="240" w:type="dxa"/>
            </w:tcMar>
            <w:vAlign w:val="center"/>
            <w:hideMark/>
          </w:tcPr>
          <w:p w14:paraId="0CE9C659" w14:textId="77777777" w:rsidR="00E36E4C" w:rsidRPr="00E36E4C" w:rsidRDefault="00E36E4C" w:rsidP="00E36E4C">
            <w:pPr>
              <w:rPr>
                <w:strike w:val="0"/>
              </w:rPr>
            </w:pPr>
            <w:r w:rsidRPr="00E36E4C">
              <w:rPr>
                <w:strike w:val="0"/>
              </w:rPr>
              <w:t>Household Dynamics Factors</w:t>
            </w:r>
          </w:p>
        </w:tc>
        <w:tc>
          <w:tcPr>
            <w:tcW w:w="0" w:type="auto"/>
            <w:tcMar>
              <w:top w:w="150" w:type="dxa"/>
              <w:left w:w="240" w:type="dxa"/>
              <w:bottom w:w="150" w:type="dxa"/>
              <w:right w:w="240" w:type="dxa"/>
            </w:tcMar>
            <w:vAlign w:val="center"/>
            <w:hideMark/>
          </w:tcPr>
          <w:p w14:paraId="7F6AFB07" w14:textId="77777777" w:rsidR="00E36E4C" w:rsidRPr="00E36E4C" w:rsidRDefault="00E36E4C" w:rsidP="00E36E4C">
            <w:pPr>
              <w:rPr>
                <w:strike w:val="0"/>
              </w:rPr>
            </w:pPr>
            <w:r w:rsidRPr="00E36E4C">
              <w:rPr>
                <w:strike w:val="0"/>
              </w:rPr>
              <w:t>Paternal education and women's autonomy</w:t>
            </w:r>
          </w:p>
        </w:tc>
        <w:tc>
          <w:tcPr>
            <w:tcW w:w="0" w:type="auto"/>
            <w:tcMar>
              <w:top w:w="150" w:type="dxa"/>
              <w:left w:w="240" w:type="dxa"/>
              <w:bottom w:w="150" w:type="dxa"/>
              <w:right w:w="240" w:type="dxa"/>
            </w:tcMar>
            <w:vAlign w:val="center"/>
            <w:hideMark/>
          </w:tcPr>
          <w:p w14:paraId="462D2C4F" w14:textId="77777777" w:rsidR="00E36E4C" w:rsidRPr="00E36E4C" w:rsidRDefault="00E36E4C" w:rsidP="00E36E4C">
            <w:pPr>
              <w:rPr>
                <w:strike w:val="0"/>
              </w:rPr>
            </w:pPr>
            <w:r w:rsidRPr="00E36E4C">
              <w:rPr>
                <w:strike w:val="0"/>
              </w:rPr>
              <w:t>2.17</w:t>
            </w:r>
          </w:p>
        </w:tc>
        <w:tc>
          <w:tcPr>
            <w:tcW w:w="0" w:type="auto"/>
            <w:tcMar>
              <w:top w:w="150" w:type="dxa"/>
              <w:left w:w="240" w:type="dxa"/>
              <w:bottom w:w="150" w:type="dxa"/>
              <w:right w:w="240" w:type="dxa"/>
            </w:tcMar>
            <w:vAlign w:val="center"/>
            <w:hideMark/>
          </w:tcPr>
          <w:p w14:paraId="4E09BAC6" w14:textId="77777777" w:rsidR="00E36E4C" w:rsidRPr="00E36E4C" w:rsidRDefault="00E36E4C" w:rsidP="00E36E4C">
            <w:pPr>
              <w:rPr>
                <w:strike w:val="0"/>
              </w:rPr>
            </w:pPr>
            <w:r w:rsidRPr="00E36E4C">
              <w:rPr>
                <w:strike w:val="0"/>
              </w:rPr>
              <w:t>1.21–3.25</w:t>
            </w:r>
          </w:p>
        </w:tc>
        <w:tc>
          <w:tcPr>
            <w:tcW w:w="0" w:type="auto"/>
            <w:tcMar>
              <w:top w:w="150" w:type="dxa"/>
              <w:left w:w="240" w:type="dxa"/>
              <w:bottom w:w="150" w:type="dxa"/>
              <w:right w:w="0" w:type="dxa"/>
            </w:tcMar>
            <w:vAlign w:val="center"/>
            <w:hideMark/>
          </w:tcPr>
          <w:p w14:paraId="664F233B" w14:textId="77777777" w:rsidR="00E36E4C" w:rsidRPr="00E36E4C" w:rsidRDefault="00E36E4C" w:rsidP="00E36E4C">
            <w:pPr>
              <w:rPr>
                <w:strike w:val="0"/>
              </w:rPr>
            </w:pPr>
            <w:r w:rsidRPr="00E36E4C">
              <w:rPr>
                <w:strike w:val="0"/>
              </w:rPr>
              <w:t>0.014</w:t>
            </w:r>
          </w:p>
        </w:tc>
      </w:tr>
      <w:tr w:rsidR="00E36E4C" w:rsidRPr="00E36E4C" w14:paraId="72A144CC" w14:textId="77777777">
        <w:tc>
          <w:tcPr>
            <w:tcW w:w="0" w:type="auto"/>
            <w:tcMar>
              <w:top w:w="150" w:type="dxa"/>
              <w:left w:w="0" w:type="dxa"/>
              <w:bottom w:w="150" w:type="dxa"/>
              <w:right w:w="240" w:type="dxa"/>
            </w:tcMar>
            <w:vAlign w:val="center"/>
            <w:hideMark/>
          </w:tcPr>
          <w:p w14:paraId="0B8AF0D3" w14:textId="77777777" w:rsidR="00E36E4C" w:rsidRPr="00E36E4C" w:rsidRDefault="00E36E4C" w:rsidP="00E36E4C">
            <w:pPr>
              <w:rPr>
                <w:strike w:val="0"/>
              </w:rPr>
            </w:pPr>
            <w:r w:rsidRPr="00E36E4C">
              <w:rPr>
                <w:strike w:val="0"/>
              </w:rPr>
              <w:t>Health System Factors</w:t>
            </w:r>
          </w:p>
        </w:tc>
        <w:tc>
          <w:tcPr>
            <w:tcW w:w="0" w:type="auto"/>
            <w:tcMar>
              <w:top w:w="150" w:type="dxa"/>
              <w:left w:w="240" w:type="dxa"/>
              <w:bottom w:w="150" w:type="dxa"/>
              <w:right w:w="240" w:type="dxa"/>
            </w:tcMar>
            <w:vAlign w:val="center"/>
            <w:hideMark/>
          </w:tcPr>
          <w:p w14:paraId="6C458978" w14:textId="77777777" w:rsidR="00E36E4C" w:rsidRPr="00E36E4C" w:rsidRDefault="00E36E4C" w:rsidP="00E36E4C">
            <w:pPr>
              <w:rPr>
                <w:strike w:val="0"/>
              </w:rPr>
            </w:pPr>
            <w:r w:rsidRPr="00E36E4C">
              <w:rPr>
                <w:strike w:val="0"/>
              </w:rPr>
              <w:t>Access, quality, waiting time</w:t>
            </w:r>
          </w:p>
        </w:tc>
        <w:tc>
          <w:tcPr>
            <w:tcW w:w="0" w:type="auto"/>
            <w:tcMar>
              <w:top w:w="150" w:type="dxa"/>
              <w:left w:w="240" w:type="dxa"/>
              <w:bottom w:w="150" w:type="dxa"/>
              <w:right w:w="240" w:type="dxa"/>
            </w:tcMar>
            <w:vAlign w:val="center"/>
            <w:hideMark/>
          </w:tcPr>
          <w:p w14:paraId="42B7B0FD" w14:textId="77777777" w:rsidR="00E36E4C" w:rsidRPr="00E36E4C" w:rsidRDefault="00E36E4C" w:rsidP="00E36E4C">
            <w:pPr>
              <w:rPr>
                <w:strike w:val="0"/>
              </w:rPr>
            </w:pPr>
            <w:r w:rsidRPr="00E36E4C">
              <w:rPr>
                <w:strike w:val="0"/>
              </w:rPr>
              <w:t>2.35</w:t>
            </w:r>
          </w:p>
        </w:tc>
        <w:tc>
          <w:tcPr>
            <w:tcW w:w="0" w:type="auto"/>
            <w:tcMar>
              <w:top w:w="150" w:type="dxa"/>
              <w:left w:w="240" w:type="dxa"/>
              <w:bottom w:w="150" w:type="dxa"/>
              <w:right w:w="240" w:type="dxa"/>
            </w:tcMar>
            <w:vAlign w:val="center"/>
            <w:hideMark/>
          </w:tcPr>
          <w:p w14:paraId="1C0D9F12" w14:textId="77777777" w:rsidR="00E36E4C" w:rsidRPr="00E36E4C" w:rsidRDefault="00E36E4C" w:rsidP="00E36E4C">
            <w:pPr>
              <w:rPr>
                <w:strike w:val="0"/>
              </w:rPr>
            </w:pPr>
            <w:r w:rsidRPr="00E36E4C">
              <w:rPr>
                <w:strike w:val="0"/>
              </w:rPr>
              <w:t>1.36–3.14</w:t>
            </w:r>
          </w:p>
        </w:tc>
        <w:tc>
          <w:tcPr>
            <w:tcW w:w="0" w:type="auto"/>
            <w:vAlign w:val="center"/>
            <w:hideMark/>
          </w:tcPr>
          <w:p w14:paraId="519C421D" w14:textId="77777777" w:rsidR="00E36E4C" w:rsidRPr="00E36E4C" w:rsidRDefault="00E36E4C" w:rsidP="00E36E4C">
            <w:pPr>
              <w:rPr>
                <w:strike w:val="0"/>
              </w:rPr>
            </w:pPr>
          </w:p>
        </w:tc>
      </w:tr>
    </w:tbl>
    <w:p w14:paraId="28D1D466" w14:textId="77777777" w:rsidR="00E36E4C" w:rsidRDefault="00E36E4C" w:rsidP="00077C79">
      <w:pPr>
        <w:rPr>
          <w:strike w:val="0"/>
        </w:rPr>
      </w:pPr>
    </w:p>
    <w:p w14:paraId="55123202" w14:textId="1675307C" w:rsidR="00077C79" w:rsidRPr="00077C79" w:rsidRDefault="00077C79" w:rsidP="00077C79">
      <w:pPr>
        <w:rPr>
          <w:strike w:val="0"/>
        </w:rPr>
      </w:pPr>
      <w:r w:rsidRPr="00077C79">
        <w:rPr>
          <w:strike w:val="0"/>
        </w:rPr>
        <w:t>Table 4 presents diagnostic performance and effect measures for the logistic regression model. The model demonstrated good fit (Hosmer-Lemeshow, p = 0.739), explained a moderate proportion of variance (Nagelkerke R² = 0.31), and correctly classified 72.6% of children. ROC analysis indicated acceptable discrimination (AUC = 0.76, 95% CI: 0.71–0.82). Multicollinearity was absent (VIF range: 1.21–1.34).</w:t>
      </w:r>
    </w:p>
    <w:p w14:paraId="7E9A65BB" w14:textId="398786C3" w:rsidR="00077C79" w:rsidRPr="00077C79" w:rsidRDefault="00077C79" w:rsidP="0098165E">
      <w:pPr>
        <w:rPr>
          <w:strike w:val="0"/>
        </w:rPr>
      </w:pPr>
      <w:r w:rsidRPr="00077C79">
        <w:rPr>
          <w:strike w:val="0"/>
        </w:rPr>
        <w:t xml:space="preserve">Effect measures underscored the intervention's impact. Children in the intervention group were 51% more likely to be fully immunized (RR = 1.51), with a risk difference of 23.5 percentage points attributable to the intervention. The number needed to treat was approximately five, meaning one additional child achieved full immunization for every five caregivers educated. The effect size was moderate to large (Cohen's W = 0.40), indicating </w:t>
      </w:r>
      <w:r>
        <w:rPr>
          <w:strike w:val="0"/>
        </w:rPr>
        <w:t xml:space="preserve">a </w:t>
      </w:r>
      <w:r w:rsidRPr="00077C79">
        <w:rPr>
          <w:strike w:val="0"/>
        </w:rPr>
        <w:t>meaningful public health impact.</w:t>
      </w:r>
    </w:p>
    <w:p w14:paraId="2899EF23" w14:textId="26FACD15" w:rsidR="0098165E" w:rsidRPr="0098165E" w:rsidRDefault="0098165E" w:rsidP="0098165E">
      <w:pPr>
        <w:rPr>
          <w:b/>
          <w:bCs/>
          <w:strike w:val="0"/>
        </w:rPr>
      </w:pPr>
      <w:r w:rsidRPr="0098165E">
        <w:rPr>
          <w:b/>
          <w:bCs/>
          <w:strike w:val="0"/>
        </w:rPr>
        <w:t>Table 4. Model Diagnostics, Predictive Performance, and Measures of Effect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8"/>
        <w:gridCol w:w="2902"/>
      </w:tblGrid>
      <w:tr w:rsidR="0098165E" w:rsidRPr="0098165E" w14:paraId="452F4E65" w14:textId="77777777">
        <w:trPr>
          <w:tblHeader/>
          <w:tblCellSpacing w:w="15" w:type="dxa"/>
        </w:trPr>
        <w:tc>
          <w:tcPr>
            <w:tcW w:w="0" w:type="auto"/>
            <w:vAlign w:val="center"/>
            <w:hideMark/>
          </w:tcPr>
          <w:p w14:paraId="3477E81C" w14:textId="77777777" w:rsidR="0098165E" w:rsidRPr="0098165E" w:rsidRDefault="0098165E" w:rsidP="0098165E">
            <w:pPr>
              <w:rPr>
                <w:b/>
                <w:bCs/>
                <w:strike w:val="0"/>
              </w:rPr>
            </w:pPr>
            <w:r w:rsidRPr="0098165E">
              <w:rPr>
                <w:b/>
                <w:bCs/>
                <w:strike w:val="0"/>
              </w:rPr>
              <w:t>Statistic</w:t>
            </w:r>
          </w:p>
        </w:tc>
        <w:tc>
          <w:tcPr>
            <w:tcW w:w="0" w:type="auto"/>
            <w:vAlign w:val="center"/>
            <w:hideMark/>
          </w:tcPr>
          <w:p w14:paraId="77103E34" w14:textId="54E4CB11" w:rsidR="0098165E" w:rsidRPr="0098165E" w:rsidRDefault="00DA7AC7" w:rsidP="0098165E">
            <w:pPr>
              <w:rPr>
                <w:b/>
                <w:bCs/>
                <w:strike w:val="0"/>
              </w:rPr>
            </w:pPr>
            <w:r>
              <w:rPr>
                <w:b/>
                <w:bCs/>
                <w:strike w:val="0"/>
              </w:rPr>
              <w:t xml:space="preserve">    </w:t>
            </w:r>
            <w:r w:rsidR="0098165E" w:rsidRPr="0098165E">
              <w:rPr>
                <w:b/>
                <w:bCs/>
                <w:strike w:val="0"/>
              </w:rPr>
              <w:t>Value</w:t>
            </w:r>
          </w:p>
        </w:tc>
      </w:tr>
      <w:tr w:rsidR="0098165E" w:rsidRPr="0098165E" w14:paraId="15C7B3AA" w14:textId="77777777">
        <w:trPr>
          <w:tblCellSpacing w:w="15" w:type="dxa"/>
        </w:trPr>
        <w:tc>
          <w:tcPr>
            <w:tcW w:w="0" w:type="auto"/>
            <w:vAlign w:val="center"/>
            <w:hideMark/>
          </w:tcPr>
          <w:p w14:paraId="42DF5C1F" w14:textId="77777777" w:rsidR="0098165E" w:rsidRPr="0098165E" w:rsidRDefault="0098165E" w:rsidP="0098165E">
            <w:pPr>
              <w:rPr>
                <w:strike w:val="0"/>
              </w:rPr>
            </w:pPr>
            <w:r w:rsidRPr="0098165E">
              <w:rPr>
                <w:strike w:val="0"/>
              </w:rPr>
              <w:t>Hosmer–Lemeshow χ² (p-value)</w:t>
            </w:r>
          </w:p>
        </w:tc>
        <w:tc>
          <w:tcPr>
            <w:tcW w:w="0" w:type="auto"/>
            <w:vAlign w:val="center"/>
            <w:hideMark/>
          </w:tcPr>
          <w:p w14:paraId="0DDDEC87" w14:textId="0A5286D1" w:rsidR="0098165E" w:rsidRPr="0098165E" w:rsidRDefault="00DA7AC7" w:rsidP="0098165E">
            <w:pPr>
              <w:rPr>
                <w:strike w:val="0"/>
              </w:rPr>
            </w:pPr>
            <w:r>
              <w:rPr>
                <w:strike w:val="0"/>
              </w:rPr>
              <w:t xml:space="preserve">   </w:t>
            </w:r>
            <w:r w:rsidR="0098165E" w:rsidRPr="0098165E">
              <w:rPr>
                <w:strike w:val="0"/>
              </w:rPr>
              <w:t>p = 0.739</w:t>
            </w:r>
          </w:p>
        </w:tc>
      </w:tr>
      <w:tr w:rsidR="0098165E" w:rsidRPr="0098165E" w14:paraId="1A48B0F0" w14:textId="77777777">
        <w:trPr>
          <w:tblCellSpacing w:w="15" w:type="dxa"/>
        </w:trPr>
        <w:tc>
          <w:tcPr>
            <w:tcW w:w="0" w:type="auto"/>
            <w:vAlign w:val="center"/>
            <w:hideMark/>
          </w:tcPr>
          <w:p w14:paraId="29443236" w14:textId="77777777" w:rsidR="0098165E" w:rsidRPr="0098165E" w:rsidRDefault="0098165E" w:rsidP="0098165E">
            <w:pPr>
              <w:rPr>
                <w:strike w:val="0"/>
              </w:rPr>
            </w:pPr>
            <w:r w:rsidRPr="0098165E">
              <w:rPr>
                <w:strike w:val="0"/>
              </w:rPr>
              <w:t>Nagelkerke R²</w:t>
            </w:r>
          </w:p>
        </w:tc>
        <w:tc>
          <w:tcPr>
            <w:tcW w:w="0" w:type="auto"/>
            <w:vAlign w:val="center"/>
            <w:hideMark/>
          </w:tcPr>
          <w:p w14:paraId="384716F6" w14:textId="14C647F7" w:rsidR="0098165E" w:rsidRPr="0098165E" w:rsidRDefault="00DA7AC7" w:rsidP="0098165E">
            <w:pPr>
              <w:rPr>
                <w:strike w:val="0"/>
              </w:rPr>
            </w:pPr>
            <w:r>
              <w:rPr>
                <w:strike w:val="0"/>
              </w:rPr>
              <w:t xml:space="preserve">       </w:t>
            </w:r>
            <w:r w:rsidR="0098165E" w:rsidRPr="0098165E">
              <w:rPr>
                <w:strike w:val="0"/>
              </w:rPr>
              <w:t>0.31</w:t>
            </w:r>
          </w:p>
        </w:tc>
      </w:tr>
      <w:tr w:rsidR="0098165E" w:rsidRPr="0098165E" w14:paraId="41DB5214" w14:textId="77777777">
        <w:trPr>
          <w:tblCellSpacing w:w="15" w:type="dxa"/>
        </w:trPr>
        <w:tc>
          <w:tcPr>
            <w:tcW w:w="0" w:type="auto"/>
            <w:vAlign w:val="center"/>
            <w:hideMark/>
          </w:tcPr>
          <w:p w14:paraId="71B8AB4B" w14:textId="77777777" w:rsidR="0098165E" w:rsidRPr="0098165E" w:rsidRDefault="0098165E" w:rsidP="0098165E">
            <w:pPr>
              <w:rPr>
                <w:strike w:val="0"/>
              </w:rPr>
            </w:pPr>
            <w:r w:rsidRPr="0098165E">
              <w:rPr>
                <w:strike w:val="0"/>
              </w:rPr>
              <w:t>Model classification accuracy</w:t>
            </w:r>
          </w:p>
        </w:tc>
        <w:tc>
          <w:tcPr>
            <w:tcW w:w="0" w:type="auto"/>
            <w:vAlign w:val="center"/>
            <w:hideMark/>
          </w:tcPr>
          <w:p w14:paraId="549060B8" w14:textId="27EC82DB" w:rsidR="0098165E" w:rsidRPr="0098165E" w:rsidRDefault="00DA7AC7" w:rsidP="0098165E">
            <w:pPr>
              <w:rPr>
                <w:strike w:val="0"/>
              </w:rPr>
            </w:pPr>
            <w:r>
              <w:rPr>
                <w:strike w:val="0"/>
              </w:rPr>
              <w:t xml:space="preserve">      </w:t>
            </w:r>
            <w:r w:rsidR="0098165E" w:rsidRPr="0098165E">
              <w:rPr>
                <w:strike w:val="0"/>
              </w:rPr>
              <w:t>72.6%</w:t>
            </w:r>
          </w:p>
        </w:tc>
      </w:tr>
      <w:tr w:rsidR="0098165E" w:rsidRPr="0098165E" w14:paraId="4912019E" w14:textId="77777777">
        <w:trPr>
          <w:tblCellSpacing w:w="15" w:type="dxa"/>
        </w:trPr>
        <w:tc>
          <w:tcPr>
            <w:tcW w:w="0" w:type="auto"/>
            <w:vAlign w:val="center"/>
            <w:hideMark/>
          </w:tcPr>
          <w:p w14:paraId="15E89DF0" w14:textId="77777777" w:rsidR="0098165E" w:rsidRPr="0098165E" w:rsidRDefault="0098165E" w:rsidP="0098165E">
            <w:pPr>
              <w:rPr>
                <w:strike w:val="0"/>
              </w:rPr>
            </w:pPr>
            <w:r w:rsidRPr="0098165E">
              <w:rPr>
                <w:strike w:val="0"/>
              </w:rPr>
              <w:t>Sensitivity</w:t>
            </w:r>
          </w:p>
        </w:tc>
        <w:tc>
          <w:tcPr>
            <w:tcW w:w="0" w:type="auto"/>
            <w:vAlign w:val="center"/>
            <w:hideMark/>
          </w:tcPr>
          <w:p w14:paraId="17FFBD68" w14:textId="262E1F55" w:rsidR="0098165E" w:rsidRPr="0098165E" w:rsidRDefault="00DA7AC7" w:rsidP="0098165E">
            <w:pPr>
              <w:rPr>
                <w:strike w:val="0"/>
              </w:rPr>
            </w:pPr>
            <w:r>
              <w:rPr>
                <w:strike w:val="0"/>
              </w:rPr>
              <w:t xml:space="preserve">         </w:t>
            </w:r>
            <w:r w:rsidR="0098165E" w:rsidRPr="0098165E">
              <w:rPr>
                <w:strike w:val="0"/>
              </w:rPr>
              <w:t>71%</w:t>
            </w:r>
          </w:p>
        </w:tc>
      </w:tr>
      <w:tr w:rsidR="0098165E" w:rsidRPr="0098165E" w14:paraId="314CC075" w14:textId="77777777">
        <w:trPr>
          <w:tblCellSpacing w:w="15" w:type="dxa"/>
        </w:trPr>
        <w:tc>
          <w:tcPr>
            <w:tcW w:w="0" w:type="auto"/>
            <w:vAlign w:val="center"/>
            <w:hideMark/>
          </w:tcPr>
          <w:p w14:paraId="52D4E523" w14:textId="77777777" w:rsidR="0098165E" w:rsidRPr="0098165E" w:rsidRDefault="0098165E" w:rsidP="0098165E">
            <w:pPr>
              <w:rPr>
                <w:strike w:val="0"/>
              </w:rPr>
            </w:pPr>
            <w:r w:rsidRPr="0098165E">
              <w:rPr>
                <w:strike w:val="0"/>
              </w:rPr>
              <w:t>Specificity</w:t>
            </w:r>
          </w:p>
        </w:tc>
        <w:tc>
          <w:tcPr>
            <w:tcW w:w="0" w:type="auto"/>
            <w:vAlign w:val="center"/>
            <w:hideMark/>
          </w:tcPr>
          <w:p w14:paraId="4C674848" w14:textId="1E7CD107" w:rsidR="0098165E" w:rsidRPr="0098165E" w:rsidRDefault="00DA7AC7" w:rsidP="0098165E">
            <w:pPr>
              <w:rPr>
                <w:strike w:val="0"/>
              </w:rPr>
            </w:pPr>
            <w:r>
              <w:rPr>
                <w:strike w:val="0"/>
              </w:rPr>
              <w:t xml:space="preserve">         </w:t>
            </w:r>
            <w:r w:rsidR="0098165E" w:rsidRPr="0098165E">
              <w:rPr>
                <w:strike w:val="0"/>
              </w:rPr>
              <w:t>69%</w:t>
            </w:r>
          </w:p>
        </w:tc>
      </w:tr>
      <w:tr w:rsidR="0098165E" w:rsidRPr="0098165E" w14:paraId="6751305A" w14:textId="77777777">
        <w:trPr>
          <w:tblCellSpacing w:w="15" w:type="dxa"/>
        </w:trPr>
        <w:tc>
          <w:tcPr>
            <w:tcW w:w="0" w:type="auto"/>
            <w:vAlign w:val="center"/>
            <w:hideMark/>
          </w:tcPr>
          <w:p w14:paraId="68801B39" w14:textId="77777777" w:rsidR="0098165E" w:rsidRPr="0098165E" w:rsidRDefault="0098165E" w:rsidP="0098165E">
            <w:pPr>
              <w:rPr>
                <w:strike w:val="0"/>
              </w:rPr>
            </w:pPr>
            <w:r w:rsidRPr="0098165E">
              <w:rPr>
                <w:strike w:val="0"/>
              </w:rPr>
              <w:t>Positive Predictive Value (PPV)</w:t>
            </w:r>
          </w:p>
        </w:tc>
        <w:tc>
          <w:tcPr>
            <w:tcW w:w="0" w:type="auto"/>
            <w:vAlign w:val="center"/>
            <w:hideMark/>
          </w:tcPr>
          <w:p w14:paraId="15A147EE" w14:textId="25081FB0" w:rsidR="0098165E" w:rsidRPr="0098165E" w:rsidRDefault="00DA7AC7" w:rsidP="0098165E">
            <w:pPr>
              <w:rPr>
                <w:strike w:val="0"/>
              </w:rPr>
            </w:pPr>
            <w:r>
              <w:rPr>
                <w:strike w:val="0"/>
              </w:rPr>
              <w:t xml:space="preserve">         </w:t>
            </w:r>
            <w:r w:rsidR="0098165E" w:rsidRPr="0098165E">
              <w:rPr>
                <w:strike w:val="0"/>
              </w:rPr>
              <w:t>73%</w:t>
            </w:r>
          </w:p>
        </w:tc>
      </w:tr>
      <w:tr w:rsidR="0098165E" w:rsidRPr="0098165E" w14:paraId="07118C5E" w14:textId="77777777">
        <w:trPr>
          <w:tblCellSpacing w:w="15" w:type="dxa"/>
        </w:trPr>
        <w:tc>
          <w:tcPr>
            <w:tcW w:w="0" w:type="auto"/>
            <w:vAlign w:val="center"/>
            <w:hideMark/>
          </w:tcPr>
          <w:p w14:paraId="30B8E40F" w14:textId="77777777" w:rsidR="0098165E" w:rsidRPr="0098165E" w:rsidRDefault="0098165E" w:rsidP="0098165E">
            <w:pPr>
              <w:rPr>
                <w:strike w:val="0"/>
              </w:rPr>
            </w:pPr>
            <w:r w:rsidRPr="0098165E">
              <w:rPr>
                <w:strike w:val="0"/>
              </w:rPr>
              <w:t>Negative Predictive Value (NPV)</w:t>
            </w:r>
          </w:p>
        </w:tc>
        <w:tc>
          <w:tcPr>
            <w:tcW w:w="0" w:type="auto"/>
            <w:vAlign w:val="center"/>
            <w:hideMark/>
          </w:tcPr>
          <w:p w14:paraId="4011D47D" w14:textId="10FE44F1" w:rsidR="0098165E" w:rsidRPr="0098165E" w:rsidRDefault="00DA7AC7" w:rsidP="0098165E">
            <w:pPr>
              <w:rPr>
                <w:strike w:val="0"/>
              </w:rPr>
            </w:pPr>
            <w:r>
              <w:rPr>
                <w:strike w:val="0"/>
              </w:rPr>
              <w:t xml:space="preserve">       </w:t>
            </w:r>
            <w:r w:rsidR="0098165E" w:rsidRPr="0098165E">
              <w:rPr>
                <w:strike w:val="0"/>
              </w:rPr>
              <w:t>66%</w:t>
            </w:r>
          </w:p>
        </w:tc>
      </w:tr>
      <w:tr w:rsidR="0098165E" w:rsidRPr="0098165E" w14:paraId="51B956F9" w14:textId="77777777">
        <w:trPr>
          <w:tblCellSpacing w:w="15" w:type="dxa"/>
        </w:trPr>
        <w:tc>
          <w:tcPr>
            <w:tcW w:w="0" w:type="auto"/>
            <w:vAlign w:val="center"/>
            <w:hideMark/>
          </w:tcPr>
          <w:p w14:paraId="4742942A" w14:textId="77777777" w:rsidR="0098165E" w:rsidRPr="0098165E" w:rsidRDefault="0098165E" w:rsidP="0098165E">
            <w:pPr>
              <w:rPr>
                <w:strike w:val="0"/>
              </w:rPr>
            </w:pPr>
            <w:r w:rsidRPr="0098165E">
              <w:rPr>
                <w:strike w:val="0"/>
              </w:rPr>
              <w:t>Area Under ROC Curve (AUC)</w:t>
            </w:r>
          </w:p>
        </w:tc>
        <w:tc>
          <w:tcPr>
            <w:tcW w:w="0" w:type="auto"/>
            <w:vAlign w:val="center"/>
            <w:hideMark/>
          </w:tcPr>
          <w:p w14:paraId="603AFAEE" w14:textId="696B499B" w:rsidR="0098165E" w:rsidRPr="0098165E" w:rsidRDefault="00DA7AC7" w:rsidP="0098165E">
            <w:pPr>
              <w:rPr>
                <w:strike w:val="0"/>
              </w:rPr>
            </w:pPr>
            <w:r>
              <w:rPr>
                <w:strike w:val="0"/>
              </w:rPr>
              <w:t xml:space="preserve">      </w:t>
            </w:r>
            <w:r w:rsidR="0098165E" w:rsidRPr="0098165E">
              <w:rPr>
                <w:strike w:val="0"/>
              </w:rPr>
              <w:t>0.76 (95% CI: 0.71–0.82)</w:t>
            </w:r>
          </w:p>
        </w:tc>
      </w:tr>
      <w:tr w:rsidR="0098165E" w:rsidRPr="0098165E" w14:paraId="155DE4EF" w14:textId="77777777">
        <w:trPr>
          <w:tblCellSpacing w:w="15" w:type="dxa"/>
        </w:trPr>
        <w:tc>
          <w:tcPr>
            <w:tcW w:w="0" w:type="auto"/>
            <w:vAlign w:val="center"/>
            <w:hideMark/>
          </w:tcPr>
          <w:p w14:paraId="4E4A787B" w14:textId="77777777" w:rsidR="0098165E" w:rsidRPr="0098165E" w:rsidRDefault="0098165E" w:rsidP="0098165E">
            <w:pPr>
              <w:rPr>
                <w:strike w:val="0"/>
              </w:rPr>
            </w:pPr>
            <w:r w:rsidRPr="0098165E">
              <w:rPr>
                <w:strike w:val="0"/>
              </w:rPr>
              <w:t>Variance Inflation Factor (range)</w:t>
            </w:r>
          </w:p>
        </w:tc>
        <w:tc>
          <w:tcPr>
            <w:tcW w:w="0" w:type="auto"/>
            <w:vAlign w:val="center"/>
            <w:hideMark/>
          </w:tcPr>
          <w:p w14:paraId="19FCE159" w14:textId="060ED613" w:rsidR="0098165E" w:rsidRPr="0098165E" w:rsidRDefault="00DA7AC7" w:rsidP="0098165E">
            <w:pPr>
              <w:rPr>
                <w:strike w:val="0"/>
              </w:rPr>
            </w:pPr>
            <w:r>
              <w:rPr>
                <w:strike w:val="0"/>
              </w:rPr>
              <w:t xml:space="preserve">     </w:t>
            </w:r>
            <w:r w:rsidR="0098165E" w:rsidRPr="0098165E">
              <w:rPr>
                <w:strike w:val="0"/>
              </w:rPr>
              <w:t>1.21–1.34</w:t>
            </w:r>
          </w:p>
        </w:tc>
      </w:tr>
      <w:tr w:rsidR="0098165E" w:rsidRPr="0098165E" w14:paraId="42C6C728" w14:textId="77777777">
        <w:trPr>
          <w:tblCellSpacing w:w="15" w:type="dxa"/>
        </w:trPr>
        <w:tc>
          <w:tcPr>
            <w:tcW w:w="0" w:type="auto"/>
            <w:vAlign w:val="center"/>
            <w:hideMark/>
          </w:tcPr>
          <w:p w14:paraId="4E2450E2" w14:textId="77777777" w:rsidR="0098165E" w:rsidRPr="0098165E" w:rsidRDefault="0098165E" w:rsidP="0098165E">
            <w:pPr>
              <w:rPr>
                <w:strike w:val="0"/>
              </w:rPr>
            </w:pPr>
            <w:r w:rsidRPr="0098165E">
              <w:rPr>
                <w:strike w:val="0"/>
              </w:rPr>
              <w:lastRenderedPageBreak/>
              <w:t>Cohen’s W effect size</w:t>
            </w:r>
          </w:p>
        </w:tc>
        <w:tc>
          <w:tcPr>
            <w:tcW w:w="0" w:type="auto"/>
            <w:vAlign w:val="center"/>
            <w:hideMark/>
          </w:tcPr>
          <w:p w14:paraId="623FC072" w14:textId="79D4622D" w:rsidR="0098165E" w:rsidRPr="0098165E" w:rsidRDefault="00DA7AC7" w:rsidP="0098165E">
            <w:pPr>
              <w:rPr>
                <w:strike w:val="0"/>
              </w:rPr>
            </w:pPr>
            <w:r>
              <w:rPr>
                <w:strike w:val="0"/>
              </w:rPr>
              <w:t xml:space="preserve">        </w:t>
            </w:r>
            <w:r w:rsidR="0098165E" w:rsidRPr="0098165E">
              <w:rPr>
                <w:strike w:val="0"/>
              </w:rPr>
              <w:t>0.40</w:t>
            </w:r>
          </w:p>
        </w:tc>
      </w:tr>
      <w:tr w:rsidR="0098165E" w:rsidRPr="0098165E" w14:paraId="77A4608D" w14:textId="77777777">
        <w:trPr>
          <w:tblCellSpacing w:w="15" w:type="dxa"/>
        </w:trPr>
        <w:tc>
          <w:tcPr>
            <w:tcW w:w="0" w:type="auto"/>
            <w:vAlign w:val="center"/>
            <w:hideMark/>
          </w:tcPr>
          <w:p w14:paraId="5ED31907" w14:textId="77777777" w:rsidR="0098165E" w:rsidRPr="0098165E" w:rsidRDefault="0098165E" w:rsidP="0098165E">
            <w:pPr>
              <w:rPr>
                <w:strike w:val="0"/>
              </w:rPr>
            </w:pPr>
            <w:r w:rsidRPr="0098165E">
              <w:rPr>
                <w:strike w:val="0"/>
              </w:rPr>
              <w:t>Relative Risk (RR)</w:t>
            </w:r>
          </w:p>
        </w:tc>
        <w:tc>
          <w:tcPr>
            <w:tcW w:w="0" w:type="auto"/>
            <w:vAlign w:val="center"/>
            <w:hideMark/>
          </w:tcPr>
          <w:p w14:paraId="63741707" w14:textId="3D6218E3" w:rsidR="0098165E" w:rsidRPr="0098165E" w:rsidRDefault="00DA7AC7" w:rsidP="0098165E">
            <w:pPr>
              <w:rPr>
                <w:strike w:val="0"/>
              </w:rPr>
            </w:pPr>
            <w:r>
              <w:rPr>
                <w:strike w:val="0"/>
              </w:rPr>
              <w:t xml:space="preserve">        </w:t>
            </w:r>
            <w:r w:rsidR="0098165E" w:rsidRPr="0098165E">
              <w:rPr>
                <w:strike w:val="0"/>
              </w:rPr>
              <w:t>1.51</w:t>
            </w:r>
          </w:p>
        </w:tc>
      </w:tr>
      <w:tr w:rsidR="0098165E" w:rsidRPr="0098165E" w14:paraId="574526AE" w14:textId="77777777">
        <w:trPr>
          <w:tblCellSpacing w:w="15" w:type="dxa"/>
        </w:trPr>
        <w:tc>
          <w:tcPr>
            <w:tcW w:w="0" w:type="auto"/>
            <w:vAlign w:val="center"/>
            <w:hideMark/>
          </w:tcPr>
          <w:p w14:paraId="7818E879" w14:textId="77777777" w:rsidR="0098165E" w:rsidRPr="0098165E" w:rsidRDefault="0098165E" w:rsidP="0098165E">
            <w:pPr>
              <w:rPr>
                <w:strike w:val="0"/>
              </w:rPr>
            </w:pPr>
            <w:r w:rsidRPr="0098165E">
              <w:rPr>
                <w:strike w:val="0"/>
              </w:rPr>
              <w:t>Risk Difference</w:t>
            </w:r>
          </w:p>
        </w:tc>
        <w:tc>
          <w:tcPr>
            <w:tcW w:w="0" w:type="auto"/>
            <w:vAlign w:val="center"/>
            <w:hideMark/>
          </w:tcPr>
          <w:p w14:paraId="6E9B4F7B" w14:textId="65216A4E" w:rsidR="0098165E" w:rsidRPr="0098165E" w:rsidRDefault="00DA7AC7" w:rsidP="0098165E">
            <w:pPr>
              <w:rPr>
                <w:strike w:val="0"/>
              </w:rPr>
            </w:pPr>
            <w:r>
              <w:rPr>
                <w:strike w:val="0"/>
              </w:rPr>
              <w:t xml:space="preserve">       </w:t>
            </w:r>
            <w:r w:rsidR="0098165E" w:rsidRPr="0098165E">
              <w:rPr>
                <w:strike w:val="0"/>
              </w:rPr>
              <w:t>23.5%</w:t>
            </w:r>
          </w:p>
        </w:tc>
      </w:tr>
      <w:tr w:rsidR="0098165E" w:rsidRPr="0098165E" w14:paraId="6073B3E6" w14:textId="77777777">
        <w:trPr>
          <w:tblCellSpacing w:w="15" w:type="dxa"/>
        </w:trPr>
        <w:tc>
          <w:tcPr>
            <w:tcW w:w="0" w:type="auto"/>
            <w:vAlign w:val="center"/>
            <w:hideMark/>
          </w:tcPr>
          <w:p w14:paraId="12E9CAF0" w14:textId="77777777" w:rsidR="0098165E" w:rsidRPr="0098165E" w:rsidRDefault="0098165E" w:rsidP="0098165E">
            <w:pPr>
              <w:rPr>
                <w:strike w:val="0"/>
              </w:rPr>
            </w:pPr>
            <w:r w:rsidRPr="0098165E">
              <w:rPr>
                <w:strike w:val="0"/>
              </w:rPr>
              <w:t>Number Needed to Treat (NNT)</w:t>
            </w:r>
          </w:p>
        </w:tc>
        <w:tc>
          <w:tcPr>
            <w:tcW w:w="0" w:type="auto"/>
            <w:vAlign w:val="center"/>
            <w:hideMark/>
          </w:tcPr>
          <w:p w14:paraId="2E1B17FB" w14:textId="0189CE36" w:rsidR="0098165E" w:rsidRPr="0098165E" w:rsidRDefault="00DA7AC7" w:rsidP="0098165E">
            <w:pPr>
              <w:rPr>
                <w:strike w:val="0"/>
              </w:rPr>
            </w:pPr>
            <w:r>
              <w:rPr>
                <w:strike w:val="0"/>
              </w:rPr>
              <w:t xml:space="preserve">           </w:t>
            </w:r>
            <w:r w:rsidR="0098165E" w:rsidRPr="0098165E">
              <w:rPr>
                <w:strike w:val="0"/>
              </w:rPr>
              <w:t>≈5</w:t>
            </w:r>
          </w:p>
        </w:tc>
      </w:tr>
    </w:tbl>
    <w:p w14:paraId="3BE0B07B" w14:textId="5998D016" w:rsidR="00191CAF" w:rsidRPr="00191CAF" w:rsidRDefault="00191CAF" w:rsidP="00191CAF">
      <w:pPr>
        <w:rPr>
          <w:b/>
          <w:bCs/>
          <w:strike w:val="0"/>
        </w:rPr>
      </w:pPr>
      <w:r w:rsidRPr="00191CAF">
        <w:rPr>
          <w:b/>
          <w:bCs/>
          <w:strike w:val="0"/>
        </w:rPr>
        <w:t>Diagnostic Performance Measures</w:t>
      </w:r>
    </w:p>
    <w:p w14:paraId="35859788" w14:textId="3B7E80AA" w:rsidR="00987A2F" w:rsidRPr="00987A2F" w:rsidRDefault="00987A2F" w:rsidP="00191CAF">
      <w:pPr>
        <w:rPr>
          <w:strike w:val="0"/>
        </w:rPr>
      </w:pPr>
      <w:r w:rsidRPr="00987A2F">
        <w:rPr>
          <w:strike w:val="0"/>
        </w:rPr>
        <w:t>The model's predictive performance showed moderate diagnostic accuracy. Sensitivity was 71%, meaning the model correctly identified seven out of ten children who achieved complete immunization. Specificity was 69%, correctly classifying approximately two-thirds of children who were not fully immunized. The positive predictive value was 73%, indicating that when the model predicted complete immunization, there was a 73% probability the child was indeed fully immunized. The negative predictive value was 66%, meaning predictions of incomplete immunization were correct two-thirds of the time. Together, these metrics demonstrate balanced performance in correctly identifying both immunized and non-immunized children, supporting the model's robustness.</w:t>
      </w:r>
    </w:p>
    <w:p w14:paraId="3686CBDC" w14:textId="165E2A33" w:rsidR="00191CAF" w:rsidRDefault="00191CAF" w:rsidP="00191CAF">
      <w:pPr>
        <w:rPr>
          <w:b/>
          <w:bCs/>
          <w:strike w:val="0"/>
        </w:rPr>
      </w:pPr>
      <w:r w:rsidRPr="00191CAF">
        <w:rPr>
          <w:b/>
          <w:bCs/>
          <w:strike w:val="0"/>
        </w:rPr>
        <w:t>ROC Curve Interpretation</w:t>
      </w:r>
    </w:p>
    <w:p w14:paraId="2B2D6956" w14:textId="77777777" w:rsidR="00987A2F" w:rsidRPr="00987A2F" w:rsidRDefault="00987A2F" w:rsidP="00987A2F">
      <w:pPr>
        <w:rPr>
          <w:strike w:val="0"/>
        </w:rPr>
      </w:pPr>
      <w:r w:rsidRPr="00987A2F">
        <w:rPr>
          <w:strike w:val="0"/>
        </w:rPr>
        <w:t>Figure 1 presents the receiver operating characteristic (ROC) curve assessing the model's discriminatory ability. The area under the curve (AUC) was 0.76 (95% CI: 0.71–0.82), indicating acceptable discrimination. An AUC of 0.76 means the model has a 76% probability of correctly ranking a randomly selected fully immunized child higher than a randomly selected non-fully immunized child. This level of discrimination, falling within the 0.70–0.80 range considered good predictive performance, demonstrates that the model can effectively distinguish between children who completed immunization and those who did not. These findings confirm the model provides a reliable basis for identifying determinants of complete childhood immunization in this study setting.</w:t>
      </w:r>
    </w:p>
    <w:p w14:paraId="3BF35685" w14:textId="77777777" w:rsidR="00987A2F" w:rsidRPr="00987A2F" w:rsidRDefault="00987A2F" w:rsidP="00191CAF">
      <w:pPr>
        <w:rPr>
          <w:strike w:val="0"/>
        </w:rPr>
      </w:pPr>
    </w:p>
    <w:p w14:paraId="4B69B764" w14:textId="0A81DD1E" w:rsidR="00570D67" w:rsidRDefault="00570D67" w:rsidP="00191CAF">
      <w:pPr>
        <w:rPr>
          <w:strike w:val="0"/>
        </w:rPr>
      </w:pPr>
      <w:r w:rsidRPr="00570D67">
        <w:rPr>
          <w:strike w:val="0"/>
          <w:noProof/>
        </w:rPr>
        <w:lastRenderedPageBreak/>
        <mc:AlternateContent>
          <mc:Choice Requires="wps">
            <w:drawing>
              <wp:inline distT="0" distB="0" distL="0" distR="0" wp14:anchorId="47A0C289" wp14:editId="07934DF0">
                <wp:extent cx="304800" cy="304800"/>
                <wp:effectExtent l="0" t="0" r="0" b="0"/>
                <wp:docPr id="342666136" name="Rectangle 24" descr="User 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51D084" id="Rectangle 24" o:spid="_x0000_s1026" alt="User upload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70D67">
        <w:rPr>
          <w:rFonts w:ascii="Cambria" w:eastAsia="MS Mincho" w:hAnsi="Cambria"/>
          <w:strike w:val="0"/>
          <w:noProof/>
          <w:sz w:val="22"/>
          <w:szCs w:val="22"/>
          <w:lang w:val="en-US" w:eastAsia="en-US"/>
        </w:rPr>
        <w:drawing>
          <wp:inline distT="0" distB="0" distL="0" distR="0" wp14:anchorId="330C6D24" wp14:editId="7EC3BC1E">
            <wp:extent cx="5486400" cy="3029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curve_300dpi.png"/>
                    <pic:cNvPicPr/>
                  </pic:nvPicPr>
                  <pic:blipFill>
                    <a:blip r:embed="rId7"/>
                    <a:stretch>
                      <a:fillRect/>
                    </a:stretch>
                  </pic:blipFill>
                  <pic:spPr>
                    <a:xfrm>
                      <a:off x="0" y="0"/>
                      <a:ext cx="5486400" cy="3029205"/>
                    </a:xfrm>
                    <a:prstGeom prst="rect">
                      <a:avLst/>
                    </a:prstGeom>
                  </pic:spPr>
                </pic:pic>
              </a:graphicData>
            </a:graphic>
          </wp:inline>
        </w:drawing>
      </w:r>
    </w:p>
    <w:p w14:paraId="55383BD4" w14:textId="43C849D8" w:rsidR="00DC51EB" w:rsidRPr="00451167" w:rsidRDefault="00826650" w:rsidP="00623CFA">
      <w:pPr>
        <w:rPr>
          <w:b/>
          <w:bCs/>
          <w:strike w:val="0"/>
          <w:lang w:val="en-US"/>
        </w:rPr>
      </w:pPr>
      <w:r w:rsidRPr="00E64079">
        <w:rPr>
          <w:b/>
          <w:bCs/>
          <w:strike w:val="0"/>
          <w:lang w:val="en-US"/>
        </w:rPr>
        <w:t xml:space="preserve">Figure </w:t>
      </w:r>
      <w:r w:rsidR="00A479AC">
        <w:rPr>
          <w:b/>
          <w:bCs/>
          <w:strike w:val="0"/>
          <w:lang w:val="en-US"/>
        </w:rPr>
        <w:t>2</w:t>
      </w:r>
      <w:r w:rsidRPr="00E64079">
        <w:rPr>
          <w:b/>
          <w:bCs/>
          <w:strike w:val="0"/>
          <w:lang w:val="en-US"/>
        </w:rPr>
        <w:t>: Receiver Operating Characteristic (ROC) Curve</w:t>
      </w:r>
    </w:p>
    <w:p w14:paraId="65D002FA" w14:textId="77777777" w:rsidR="006076A1" w:rsidRDefault="006076A1" w:rsidP="00C56D98">
      <w:pPr>
        <w:rPr>
          <w:b/>
          <w:bCs/>
          <w:strike w:val="0"/>
        </w:rPr>
      </w:pPr>
    </w:p>
    <w:p w14:paraId="05F8AC3B" w14:textId="1B92B254" w:rsidR="00C56D98" w:rsidRDefault="00C56D98" w:rsidP="00C56D98">
      <w:pPr>
        <w:rPr>
          <w:b/>
          <w:bCs/>
          <w:strike w:val="0"/>
        </w:rPr>
      </w:pPr>
      <w:r>
        <w:rPr>
          <w:b/>
          <w:bCs/>
          <w:strike w:val="0"/>
        </w:rPr>
        <w:t>I</w:t>
      </w:r>
      <w:r w:rsidRPr="00C56D98">
        <w:rPr>
          <w:b/>
          <w:bCs/>
          <w:strike w:val="0"/>
        </w:rPr>
        <w:t>ntervention Effect Bar Chart</w:t>
      </w:r>
    </w:p>
    <w:p w14:paraId="3E6EB1BA" w14:textId="4E411775" w:rsidR="00987A2F" w:rsidRPr="00987A2F" w:rsidRDefault="00987A2F" w:rsidP="00C56D98">
      <w:pPr>
        <w:rPr>
          <w:strike w:val="0"/>
        </w:rPr>
      </w:pPr>
      <w:r w:rsidRPr="00987A2F">
        <w:rPr>
          <w:strike w:val="0"/>
        </w:rPr>
        <w:t>The bar chart (Figure 2) compares immunization coverage between groups. Complete immunization was higher in the intervention group (69.9%) than in the control group (46.4%), an absolute increase of 23.5 percentage points. This demonstrates substantial improvement in immunization uptake attributable to the community volunteer intervention.</w:t>
      </w:r>
    </w:p>
    <w:p w14:paraId="6C699F2C" w14:textId="3CD9619B" w:rsidR="00623CFA" w:rsidRDefault="00623CFA" w:rsidP="00191CAF">
      <w:pPr>
        <w:rPr>
          <w:strike w:val="0"/>
          <w:lang w:val="en-US"/>
        </w:rPr>
      </w:pPr>
      <w:r w:rsidRPr="00623CFA">
        <w:rPr>
          <w:rFonts w:ascii="Cambria" w:eastAsia="MS Mincho" w:hAnsi="Cambria"/>
          <w:strike w:val="0"/>
          <w:noProof/>
          <w:sz w:val="22"/>
          <w:szCs w:val="22"/>
          <w:lang w:val="en-US" w:eastAsia="en-US"/>
        </w:rPr>
        <w:drawing>
          <wp:inline distT="0" distB="0" distL="0" distR="0" wp14:anchorId="7A823CD7" wp14:editId="7164F385">
            <wp:extent cx="5486400" cy="33854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vention_effect_bar_chart_300dpi.png"/>
                    <pic:cNvPicPr/>
                  </pic:nvPicPr>
                  <pic:blipFill>
                    <a:blip r:embed="rId8"/>
                    <a:stretch>
                      <a:fillRect/>
                    </a:stretch>
                  </pic:blipFill>
                  <pic:spPr>
                    <a:xfrm>
                      <a:off x="0" y="0"/>
                      <a:ext cx="5486400" cy="3385447"/>
                    </a:xfrm>
                    <a:prstGeom prst="rect">
                      <a:avLst/>
                    </a:prstGeom>
                  </pic:spPr>
                </pic:pic>
              </a:graphicData>
            </a:graphic>
          </wp:inline>
        </w:drawing>
      </w:r>
    </w:p>
    <w:p w14:paraId="24664E17" w14:textId="3BD46A34" w:rsidR="00623CFA" w:rsidRPr="00394F1B" w:rsidRDefault="00623CFA" w:rsidP="00623CFA">
      <w:pPr>
        <w:rPr>
          <w:b/>
          <w:bCs/>
          <w:strike w:val="0"/>
          <w:lang w:val="en-US"/>
        </w:rPr>
      </w:pPr>
      <w:r w:rsidRPr="00394F1B">
        <w:rPr>
          <w:b/>
          <w:bCs/>
          <w:strike w:val="0"/>
          <w:lang w:val="en-US"/>
        </w:rPr>
        <w:lastRenderedPageBreak/>
        <w:t xml:space="preserve">Figure </w:t>
      </w:r>
      <w:r w:rsidR="00A479AC">
        <w:rPr>
          <w:b/>
          <w:bCs/>
          <w:strike w:val="0"/>
          <w:lang w:val="en-US"/>
        </w:rPr>
        <w:t>3</w:t>
      </w:r>
      <w:r w:rsidRPr="00394F1B">
        <w:rPr>
          <w:b/>
          <w:bCs/>
          <w:strike w:val="0"/>
          <w:lang w:val="en-US"/>
        </w:rPr>
        <w:t xml:space="preserve">. Intervention Effect on </w:t>
      </w:r>
      <w:r w:rsidR="00394F1B" w:rsidRPr="00394F1B">
        <w:rPr>
          <w:b/>
          <w:bCs/>
          <w:strike w:val="0"/>
          <w:lang w:val="en-US"/>
        </w:rPr>
        <w:t>Immunization</w:t>
      </w:r>
      <w:r w:rsidRPr="00394F1B">
        <w:rPr>
          <w:b/>
          <w:bCs/>
          <w:strike w:val="0"/>
          <w:lang w:val="en-US"/>
        </w:rPr>
        <w:t xml:space="preserve"> Coverage</w:t>
      </w:r>
    </w:p>
    <w:p w14:paraId="098D1A28" w14:textId="4043A044" w:rsidR="006C3FCB" w:rsidRPr="006C3FCB" w:rsidRDefault="006C3FCB" w:rsidP="006C3FCB">
      <w:pPr>
        <w:rPr>
          <w:b/>
          <w:bCs/>
          <w:strike w:val="0"/>
          <w:lang w:val="en-US"/>
        </w:rPr>
      </w:pPr>
      <w:r w:rsidRPr="006C3FCB">
        <w:rPr>
          <w:b/>
          <w:bCs/>
          <w:strike w:val="0"/>
          <w:lang w:val="en-US"/>
        </w:rPr>
        <w:t>Discussion</w:t>
      </w:r>
    </w:p>
    <w:p w14:paraId="1B79D89E" w14:textId="77777777" w:rsidR="004837C9" w:rsidRPr="004837C9" w:rsidRDefault="004837C9" w:rsidP="004837C9">
      <w:pPr>
        <w:rPr>
          <w:strike w:val="0"/>
        </w:rPr>
      </w:pPr>
      <w:r w:rsidRPr="004837C9">
        <w:rPr>
          <w:strike w:val="0"/>
        </w:rPr>
        <w:t>This study provides important insights into some of the determinants of complete childhood immunization in rural communities of Rivers State, Nigeria, within the broader context of persistent global and regional inequities in vaccine coverage. Despite substantial progress in immunization over the past decades, global coverage has peaked, with approximately 14 million children remaining "zero-dose," having received no routine vaccines, particularly in low- and middle-income countries (World Health Organization [WHO], 2025). These gaps are largely driven by structural inequities, weak health systems, and socioeconomic barriers, which disproportionately affect vulnerable populations (United Nations Children's Fund [UNICEF], 2023). The findings of this study align with this global pattern, demonstrating that both individual- and system-level factors significantly influence immunization uptake in rural Nigerian settings (Oyo-Ita et al., 2023).</w:t>
      </w:r>
    </w:p>
    <w:p w14:paraId="2C77F858" w14:textId="77777777" w:rsidR="004837C9" w:rsidRPr="004837C9" w:rsidRDefault="004837C9" w:rsidP="004837C9">
      <w:pPr>
        <w:rPr>
          <w:strike w:val="0"/>
        </w:rPr>
      </w:pPr>
      <w:r w:rsidRPr="004837C9">
        <w:rPr>
          <w:strike w:val="0"/>
        </w:rPr>
        <w:t>At the national level, Nigeria continues to contribute substantially to the global burden of under-immunized children. Evidence indicates that Nigeria remains one of the countries with the highest number of zero-dose children, largely due to disparities in access to primary healthcare services and persistent socioeconomic inequalities (WHO, 2023). The present study corroborates these national trends, identifying five key determinants of complete immunization: exposure to community volunteer intervention, correct knowledge of immunization schedules, perceived benefits of vaccination, paternal education and women's autonomy, and health system factors. These findings are consistent with recent large-scale analyses in Nigeria, which have demonstrated that children of mothers with higher educational attainment are significantly more likely to be fully immunized (Ahmed et al., 2024; Oyo-Ita et al., 2021). Maternal education likely enhances health literacy, improves understanding of immunization schedules, and increases engagement with healthcare services.</w:t>
      </w:r>
    </w:p>
    <w:p w14:paraId="117F24BC" w14:textId="77777777" w:rsidR="004837C9" w:rsidRPr="004837C9" w:rsidRDefault="004837C9" w:rsidP="004837C9">
      <w:pPr>
        <w:rPr>
          <w:strike w:val="0"/>
        </w:rPr>
      </w:pPr>
      <w:r w:rsidRPr="004837C9">
        <w:rPr>
          <w:strike w:val="0"/>
        </w:rPr>
        <w:t>In addition to maternal factors, this study's findings on paternal characteristics and broader household dynamics reflect emerging evidence highlighting the importance of intra-household decision-making in child health outcomes. A recent study in Nigeria found that paternal education and involvement significantly influence childhood vaccination uptake, particularly in settings where men play a dominant role in healthcare decision-making (Azubuike &amp; Ardelt, 2025). Similarly, women's autonomy and participation in household decisions have been shown to positively affect immunization coverage, as empowered women are more likely to access and utilize maternal and child health services (Gayawan et al., 2025). The consistency of these findings with the current study underscores the need to move beyond mother-focused interventions to more inclusive, household-level strategies.</w:t>
      </w:r>
    </w:p>
    <w:p w14:paraId="55B0EED4" w14:textId="77777777" w:rsidR="004837C9" w:rsidRPr="004837C9" w:rsidRDefault="004837C9" w:rsidP="004837C9">
      <w:pPr>
        <w:rPr>
          <w:strike w:val="0"/>
        </w:rPr>
      </w:pPr>
      <w:r w:rsidRPr="004837C9">
        <w:rPr>
          <w:strike w:val="0"/>
        </w:rPr>
        <w:t xml:space="preserve">Health system factors also emerged as critical determinants of immunization uptake in this study. Variables such as access to health facilities, quality of service delivery, and waiting time were significantly associated with completion of childhood immunization. These findings are in agreement with recent evidence from northern Nigeria, where long waiting times, distance to health facilities, and poor service organization were identified as major barriers to routine immunization (Sabo et al., 2025). In many rural settings, structural challenges such as inadequate staffing, irregular vaccine supply, and logistical constraints further compound these barriers, leading to missed vaccination opportunities (Fenta et al., </w:t>
      </w:r>
      <w:r w:rsidRPr="004837C9">
        <w:rPr>
          <w:strike w:val="0"/>
        </w:rPr>
        <w:lastRenderedPageBreak/>
        <w:t>2021; Salako et al., 2024). The implication is that improving immunization coverage requires not only demand-side interventions but also substantial strengthening of health system capacity and service delivery efficiency (Oyo-Ita et al., 2023).</w:t>
      </w:r>
    </w:p>
    <w:p w14:paraId="7FC70D22" w14:textId="3AE63E88" w:rsidR="004837C9" w:rsidRPr="004837C9" w:rsidRDefault="004837C9" w:rsidP="004837C9">
      <w:pPr>
        <w:rPr>
          <w:strike w:val="0"/>
        </w:rPr>
      </w:pPr>
      <w:r w:rsidRPr="004837C9">
        <w:rPr>
          <w:strike w:val="0"/>
        </w:rPr>
        <w:t>The five determinants identified in this study represent interconnected levels of influence on immunization behavior. Individual-level factors</w:t>
      </w:r>
      <w:r>
        <w:rPr>
          <w:strike w:val="0"/>
        </w:rPr>
        <w:t xml:space="preserve"> (</w:t>
      </w:r>
      <w:r w:rsidRPr="004837C9">
        <w:rPr>
          <w:strike w:val="0"/>
        </w:rPr>
        <w:t>caregiver knowledge and perceived benefits</w:t>
      </w:r>
      <w:r>
        <w:rPr>
          <w:strike w:val="0"/>
        </w:rPr>
        <w:t xml:space="preserve">) </w:t>
      </w:r>
      <w:r w:rsidRPr="004837C9">
        <w:rPr>
          <w:strike w:val="0"/>
        </w:rPr>
        <w:t>interact with household-level factors</w:t>
      </w:r>
      <w:r>
        <w:rPr>
          <w:strike w:val="0"/>
        </w:rPr>
        <w:t xml:space="preserve"> (</w:t>
      </w:r>
      <w:r w:rsidRPr="004837C9">
        <w:rPr>
          <w:strike w:val="0"/>
        </w:rPr>
        <w:t>paternal involvement and women's autonomy</w:t>
      </w:r>
      <w:r>
        <w:rPr>
          <w:strike w:val="0"/>
        </w:rPr>
        <w:t xml:space="preserve">) </w:t>
      </w:r>
      <w:r w:rsidRPr="004837C9">
        <w:rPr>
          <w:strike w:val="0"/>
        </w:rPr>
        <w:t xml:space="preserve">and are either facilitated or constrained by health system </w:t>
      </w:r>
      <w:r>
        <w:rPr>
          <w:strike w:val="0"/>
        </w:rPr>
        <w:t xml:space="preserve">factors such as </w:t>
      </w:r>
      <w:r w:rsidRPr="004837C9">
        <w:rPr>
          <w:strike w:val="0"/>
        </w:rPr>
        <w:t>access, quality, and waiting time. This multi-level determinant framework aligns with socio-ecological models of health behavior and suggests that interventions must simultaneously target multiple levels to be effective. The community volunteer intervention in this study addressed multiple determinants by improving knowledge, reinforcing perceived benefits, and strengthening linkages between households and health facilities.</w:t>
      </w:r>
    </w:p>
    <w:p w14:paraId="124FD48E" w14:textId="77777777" w:rsidR="004837C9" w:rsidRPr="004837C9" w:rsidRDefault="004837C9" w:rsidP="004837C9">
      <w:pPr>
        <w:rPr>
          <w:strike w:val="0"/>
        </w:rPr>
      </w:pPr>
      <w:r w:rsidRPr="004837C9">
        <w:rPr>
          <w:strike w:val="0"/>
        </w:rPr>
        <w:t>The findings of this study also resonate with broader regional patterns observed across sub-Saharan Africa, where inequities in immunization coverage are closely linked to socioeconomic status, geographic accessibility, and health system performance (Bangura et al., 2020; Williams et al., 2024). Although country-specific contexts vary, similar determinants have been reported across low-resource settings, including poverty, limited maternal education, and poor access to healthcare services (UNICEF, 2023; WHO, 2025). This convergence of evidence suggests that the drivers of incomplete immunization are deeply rooted in structural and systemic challenges rather than isolated local factors (Iba et al., 2025). Consequently, interventions must adopt a comprehensive and context-sensitive approach that addresses both social determinants and health system constraints.</w:t>
      </w:r>
    </w:p>
    <w:p w14:paraId="1B9A012A" w14:textId="77777777" w:rsidR="004837C9" w:rsidRPr="004837C9" w:rsidRDefault="004837C9" w:rsidP="004837C9">
      <w:pPr>
        <w:rPr>
          <w:strike w:val="0"/>
        </w:rPr>
      </w:pPr>
      <w:r w:rsidRPr="004837C9">
        <w:rPr>
          <w:strike w:val="0"/>
        </w:rPr>
        <w:t>Within the Rivers State context, the study findings provide valuable local evidence that reflects known public health challenges in riverine and rural communities. These areas are often characterized by difficult terrain, limited transportation infrastructure, and reduced access to healthcare facilities, all of which can hinder routine immunization uptake (Briggs &amp; Tobin-West, 2022a; Briggs et al., 2022b). The rural setting amplified the influence of several determinants: distance to facilities made health system access more critical; lower literacy levels made knowledge interventions more impactful; and traditional household structures made paternal involvement and women's autonomy more salient. While there is limited published literature specifically focused on immunization determinants in Rivers State, the observed patterns in this study are consistent with broader evidence on healthcare access challenges in similar hard-to-reach settings in Nigeria. This contextual alignment strengthens the external validity of the findings and highlights the importance of tailoring immunization strategies to the unique geographic and socio-cultural realities of such communities.</w:t>
      </w:r>
    </w:p>
    <w:p w14:paraId="7E2B56DC" w14:textId="77777777" w:rsidR="004837C9" w:rsidRPr="004837C9" w:rsidRDefault="004837C9" w:rsidP="004837C9">
      <w:pPr>
        <w:rPr>
          <w:strike w:val="0"/>
        </w:rPr>
      </w:pPr>
      <w:r w:rsidRPr="004837C9">
        <w:rPr>
          <w:strike w:val="0"/>
        </w:rPr>
        <w:t>Another important observation from this study is the measurable effect of the intervention implemented, which demonstrated a moderate-to-large improvement in immunization uptake among the study population. This finding suggests that targeted interventions, particularly those addressing identified barriers such as knowledge gaps and access constraints, can significantly improve vaccination outcomes. This aligns with global evidence indicating that integrated approaches combining community engagement, health education, and service delivery improvements are effective in increasing immunization coverage (UNICEF, 2023). However, the sustainability of such gains depends on the extent to which these interventions are institutionalized within existing primary healthcare frameworks.</w:t>
      </w:r>
    </w:p>
    <w:p w14:paraId="5FB03560" w14:textId="106A83A9" w:rsidR="004837C9" w:rsidRPr="004837C9" w:rsidRDefault="004837C9" w:rsidP="004837C9">
      <w:pPr>
        <w:rPr>
          <w:strike w:val="0"/>
        </w:rPr>
      </w:pPr>
      <w:r w:rsidRPr="004837C9">
        <w:rPr>
          <w:strike w:val="0"/>
        </w:rPr>
        <w:lastRenderedPageBreak/>
        <w:t xml:space="preserve">Furthermore, the predictive model used in this study demonstrated acceptable </w:t>
      </w:r>
      <w:r w:rsidR="00F77CA2">
        <w:rPr>
          <w:strike w:val="0"/>
        </w:rPr>
        <w:t>discriminative ability, indicating that the identified variables reliably explain variation in immuni</w:t>
      </w:r>
      <w:r w:rsidR="00F77CA2">
        <w:rPr>
          <w:strike w:val="0"/>
          <w:lang w:val="en-US"/>
        </w:rPr>
        <w:t>z</w:t>
      </w:r>
      <w:r w:rsidR="00F77CA2">
        <w:rPr>
          <w:strike w:val="0"/>
        </w:rPr>
        <w:t>ation</w:t>
      </w:r>
      <w:r w:rsidRPr="004837C9">
        <w:rPr>
          <w:strike w:val="0"/>
        </w:rPr>
        <w:t xml:space="preserve"> status within the population. This reinforces the robustness of the study findings and supports their potential applicability in informing targeted public health interventions. The ability to predict </w:t>
      </w:r>
      <w:r w:rsidR="00F77CA2">
        <w:rPr>
          <w:strike w:val="0"/>
        </w:rPr>
        <w:t xml:space="preserve">which children are at risk of incomplete </w:t>
      </w:r>
      <w:proofErr w:type="spellStart"/>
      <w:r w:rsidR="00F77CA2">
        <w:rPr>
          <w:strike w:val="0"/>
        </w:rPr>
        <w:t>immuni</w:t>
      </w:r>
      <w:r w:rsidR="00F77CA2">
        <w:rPr>
          <w:strike w:val="0"/>
          <w:lang w:val="en-US"/>
        </w:rPr>
        <w:t>zat</w:t>
      </w:r>
      <w:proofErr w:type="spellEnd"/>
      <w:r w:rsidR="00F77CA2">
        <w:rPr>
          <w:strike w:val="0"/>
        </w:rPr>
        <w:t>ion is particularly valuable in resource-limited settings, where prioritising</w:t>
      </w:r>
      <w:r w:rsidRPr="004837C9">
        <w:rPr>
          <w:strike w:val="0"/>
        </w:rPr>
        <w:t xml:space="preserve"> high-risk groups is essential for efficient allocation of healthcare resources.</w:t>
      </w:r>
    </w:p>
    <w:p w14:paraId="05FC7CAB" w14:textId="77777777" w:rsidR="004837C9" w:rsidRPr="004837C9" w:rsidRDefault="004837C9" w:rsidP="004837C9">
      <w:pPr>
        <w:rPr>
          <w:strike w:val="0"/>
        </w:rPr>
      </w:pPr>
      <w:r w:rsidRPr="004837C9">
        <w:rPr>
          <w:strike w:val="0"/>
        </w:rPr>
        <w:t>Overall, the findings of this study are largely consistent with existing global, regional, and national evidence on the determinants of childhood immunization, while also providing important context-specific insights for rural communities in Rivers State. Areas of agreement include the significant role of maternal education, socioeconomic status, and health system factors, all of which have been widely documented in the literature. There is also strong alignment with emerging evidence on the importance of household decision-making dynamics and women's empowerment in improving child health outcomes. The five determinants framework emerging from this study offers a comprehensive lens for understanding and addressing incomplete immunization in rural Nigerian settings. Minor areas of divergence are primarily related to contextual differences, particularly the influence of geographic accessibility and local health system challenges, which may be more pronounced in riverine settings.</w:t>
      </w:r>
    </w:p>
    <w:p w14:paraId="527097A1" w14:textId="77777777" w:rsidR="004837C9" w:rsidRPr="004837C9" w:rsidRDefault="004837C9" w:rsidP="00B6231D">
      <w:pPr>
        <w:rPr>
          <w:strike w:val="0"/>
        </w:rPr>
      </w:pPr>
    </w:p>
    <w:p w14:paraId="1E8D7D26" w14:textId="7226B813" w:rsidR="00B6231D" w:rsidRPr="00B6231D" w:rsidRDefault="00B6231D" w:rsidP="00B6231D">
      <w:pPr>
        <w:rPr>
          <w:b/>
          <w:bCs/>
          <w:strike w:val="0"/>
        </w:rPr>
      </w:pPr>
      <w:r w:rsidRPr="00B6231D">
        <w:rPr>
          <w:b/>
          <w:bCs/>
          <w:strike w:val="0"/>
        </w:rPr>
        <w:t>Strengths and Limitations</w:t>
      </w:r>
    </w:p>
    <w:p w14:paraId="4B7AF722" w14:textId="149310CA" w:rsidR="00B804AF" w:rsidRPr="00B804AF" w:rsidRDefault="00B6231D" w:rsidP="00B6231D">
      <w:pPr>
        <w:rPr>
          <w:strike w:val="0"/>
        </w:rPr>
      </w:pPr>
      <w:r w:rsidRPr="00B6231D">
        <w:rPr>
          <w:b/>
          <w:bCs/>
          <w:strike w:val="0"/>
        </w:rPr>
        <w:t>Strengths:</w:t>
      </w:r>
      <w:r w:rsidRPr="00B6231D">
        <w:rPr>
          <w:strike w:val="0"/>
        </w:rPr>
        <w:br/>
      </w:r>
      <w:r w:rsidR="00B804AF" w:rsidRPr="00B804AF">
        <w:rPr>
          <w:strike w:val="0"/>
        </w:rPr>
        <w:t>This study is strengthened by its randomized controlled trial design, which enhances internal validity and supports causal inference. The community-based approach in real-world rural settings improves generalizability. Delivering the intervention through trained community volunteers in local languages enhanced cultural relevance and community acceptance. Additionally, robust statistical analyses</w:t>
      </w:r>
      <w:r w:rsidR="00B804AF">
        <w:rPr>
          <w:strike w:val="0"/>
        </w:rPr>
        <w:t xml:space="preserve"> (</w:t>
      </w:r>
      <w:r w:rsidR="00B804AF" w:rsidRPr="00B804AF">
        <w:rPr>
          <w:strike w:val="0"/>
        </w:rPr>
        <w:t>including multivariable regression and intention-to-treat analysis</w:t>
      </w:r>
      <w:r w:rsidR="00B804AF">
        <w:rPr>
          <w:strike w:val="0"/>
        </w:rPr>
        <w:t xml:space="preserve">) </w:t>
      </w:r>
      <w:r w:rsidR="00B804AF" w:rsidRPr="00B804AF">
        <w:rPr>
          <w:strike w:val="0"/>
        </w:rPr>
        <w:t>alongside effect measures (RR, RD, NNT) strengthen reliability and quantify the public health impact of the findings.</w:t>
      </w:r>
    </w:p>
    <w:p w14:paraId="7541F417" w14:textId="0272EA85" w:rsidR="00B6231D" w:rsidRPr="00B6231D" w:rsidRDefault="00B6231D" w:rsidP="00B6231D">
      <w:pPr>
        <w:rPr>
          <w:strike w:val="0"/>
        </w:rPr>
      </w:pPr>
      <w:r w:rsidRPr="00B6231D">
        <w:rPr>
          <w:b/>
          <w:bCs/>
          <w:strike w:val="0"/>
        </w:rPr>
        <w:t>Limitations:</w:t>
      </w:r>
      <w:r w:rsidRPr="00B6231D">
        <w:rPr>
          <w:strike w:val="0"/>
        </w:rPr>
        <w:br/>
        <w:t>Blinding was not feasible, introducing potential performance bias. Some variables relied on self-reported data, which may be subject to recall or social desirability bias. The study was limited to two LGAs, which may affect generalizability. The nine-month follow-up does not capture long-term immunization adherence. Additionally, possible unmeasured</w:t>
      </w:r>
      <w:r w:rsidRPr="00B6231D">
        <w:rPr>
          <w:b/>
          <w:bCs/>
          <w:strike w:val="0"/>
        </w:rPr>
        <w:t xml:space="preserve"> </w:t>
      </w:r>
      <w:r w:rsidRPr="00B6231D">
        <w:rPr>
          <w:strike w:val="0"/>
        </w:rPr>
        <w:t>confounders</w:t>
      </w:r>
      <w:r>
        <w:rPr>
          <w:strike w:val="0"/>
        </w:rPr>
        <w:t>,</w:t>
      </w:r>
      <w:r w:rsidRPr="00B6231D">
        <w:rPr>
          <w:strike w:val="0"/>
        </w:rPr>
        <w:t xml:space="preserve"> such as cultural beliefs</w:t>
      </w:r>
      <w:r w:rsidR="005539B5">
        <w:rPr>
          <w:strike w:val="0"/>
        </w:rPr>
        <w:t>,</w:t>
      </w:r>
      <w:r w:rsidRPr="00B6231D">
        <w:rPr>
          <w:strike w:val="0"/>
        </w:rPr>
        <w:t xml:space="preserve"> may have influenced outcomes.</w:t>
      </w:r>
    </w:p>
    <w:p w14:paraId="7E3DFD01" w14:textId="77777777" w:rsidR="00B6231D" w:rsidRPr="00B6231D" w:rsidRDefault="00B6231D" w:rsidP="00B6231D">
      <w:pPr>
        <w:rPr>
          <w:b/>
          <w:bCs/>
          <w:strike w:val="0"/>
        </w:rPr>
      </w:pPr>
      <w:r w:rsidRPr="00B6231D">
        <w:rPr>
          <w:b/>
          <w:bCs/>
          <w:strike w:val="0"/>
        </w:rPr>
        <w:t>Conclusion</w:t>
      </w:r>
    </w:p>
    <w:p w14:paraId="07278941" w14:textId="311DF832" w:rsidR="00B6231D" w:rsidRPr="00B6231D" w:rsidRDefault="00B6231D" w:rsidP="00B6231D">
      <w:pPr>
        <w:rPr>
          <w:strike w:val="0"/>
        </w:rPr>
      </w:pPr>
      <w:r w:rsidRPr="00B6231D">
        <w:rPr>
          <w:strike w:val="0"/>
        </w:rPr>
        <w:t>Complete childhood immunization in rural Rivers State is influenced by caregiver knowledge, perceived benefits, household decision-making, and health system factors. The study demonstrates that a community volunteer-driven intervention significantly improves immunization uptake, highlighting the importance of combining community engagement with strengthened service delivery. This approach offers a practical pathway for improving vaccination coverage in underserved settings.</w:t>
      </w:r>
    </w:p>
    <w:p w14:paraId="12C942E8" w14:textId="77777777" w:rsidR="00B6231D" w:rsidRPr="00B6231D" w:rsidRDefault="00B6231D" w:rsidP="00B6231D">
      <w:pPr>
        <w:rPr>
          <w:b/>
          <w:bCs/>
          <w:strike w:val="0"/>
        </w:rPr>
      </w:pPr>
      <w:r w:rsidRPr="00B6231D">
        <w:rPr>
          <w:b/>
          <w:bCs/>
          <w:strike w:val="0"/>
        </w:rPr>
        <w:lastRenderedPageBreak/>
        <w:t>Recommendations</w:t>
      </w:r>
    </w:p>
    <w:p w14:paraId="26FE3C34" w14:textId="12CB8C85" w:rsidR="007A27DD" w:rsidRPr="007A27DD" w:rsidRDefault="007A27DD" w:rsidP="00B6231D">
      <w:pPr>
        <w:rPr>
          <w:strike w:val="0"/>
        </w:rPr>
      </w:pPr>
      <w:r w:rsidRPr="007A27DD">
        <w:rPr>
          <w:strike w:val="0"/>
        </w:rPr>
        <w:t>The study recommends integrating community volunteer programs into routine primary healthcare services, strengthening caregiver education using culturally appropriate communication, and improving access and quality of immunization services—particularly in rural areas. Additionally, efforts should promote male involvement and women's autonomy in child health decisions, while institutionalizing community-based immunization strategies within health policy frameworks to ensure sustainability.</w:t>
      </w:r>
    </w:p>
    <w:p w14:paraId="5A1B3824" w14:textId="11FCB6D1" w:rsidR="00B6231D" w:rsidRPr="00B6231D" w:rsidRDefault="00B6231D" w:rsidP="00B6231D">
      <w:pPr>
        <w:rPr>
          <w:b/>
          <w:bCs/>
          <w:strike w:val="0"/>
        </w:rPr>
      </w:pPr>
      <w:r w:rsidRPr="00B6231D">
        <w:rPr>
          <w:b/>
          <w:bCs/>
          <w:strike w:val="0"/>
        </w:rPr>
        <w:t>Contribution to Knowledge</w:t>
      </w:r>
    </w:p>
    <w:p w14:paraId="6145B051" w14:textId="2050784B" w:rsidR="00B6231D" w:rsidRPr="00B6231D" w:rsidRDefault="00B6231D" w:rsidP="007A27DD">
      <w:pPr>
        <w:rPr>
          <w:strike w:val="0"/>
        </w:rPr>
      </w:pPr>
      <w:r w:rsidRPr="007A27DD">
        <w:rPr>
          <w:b/>
          <w:bCs/>
          <w:strike w:val="0"/>
        </w:rPr>
        <w:t>Practice:</w:t>
      </w:r>
      <w:r w:rsidRPr="00B6231D">
        <w:rPr>
          <w:strike w:val="0"/>
        </w:rPr>
        <w:t xml:space="preserve"> Demonstrates </w:t>
      </w:r>
      <w:r w:rsidR="005539B5">
        <w:rPr>
          <w:strike w:val="0"/>
        </w:rPr>
        <w:t xml:space="preserve">the </w:t>
      </w:r>
      <w:r w:rsidRPr="00B6231D">
        <w:rPr>
          <w:strike w:val="0"/>
        </w:rPr>
        <w:t>effectiveness of community volunteer-led education in improving immunization uptake.</w:t>
      </w:r>
    </w:p>
    <w:p w14:paraId="4989FB34" w14:textId="77777777" w:rsidR="00B6231D" w:rsidRPr="00B6231D" w:rsidRDefault="00B6231D" w:rsidP="007A27DD">
      <w:pPr>
        <w:rPr>
          <w:strike w:val="0"/>
        </w:rPr>
      </w:pPr>
      <w:r w:rsidRPr="007A27DD">
        <w:rPr>
          <w:b/>
          <w:bCs/>
          <w:strike w:val="0"/>
        </w:rPr>
        <w:t>Research:</w:t>
      </w:r>
      <w:r w:rsidRPr="00B6231D">
        <w:rPr>
          <w:strike w:val="0"/>
        </w:rPr>
        <w:t xml:space="preserve"> Provides RCT-based evidence on determinants of immunization in rural Nigeria.</w:t>
      </w:r>
    </w:p>
    <w:p w14:paraId="4D76C352" w14:textId="77777777" w:rsidR="00B6231D" w:rsidRPr="00B6231D" w:rsidRDefault="00B6231D" w:rsidP="007A27DD">
      <w:pPr>
        <w:rPr>
          <w:strike w:val="0"/>
        </w:rPr>
      </w:pPr>
      <w:r w:rsidRPr="007A27DD">
        <w:rPr>
          <w:b/>
          <w:bCs/>
          <w:strike w:val="0"/>
        </w:rPr>
        <w:t>Policy:</w:t>
      </w:r>
      <w:r w:rsidRPr="00B6231D">
        <w:rPr>
          <w:strike w:val="0"/>
        </w:rPr>
        <w:t xml:space="preserve"> Supports community-driven approaches for improving vaccine coverage.</w:t>
      </w:r>
    </w:p>
    <w:p w14:paraId="2BBA43A5" w14:textId="39A35400" w:rsidR="00B6231D" w:rsidRPr="00B6231D" w:rsidRDefault="00B6231D" w:rsidP="007A27DD">
      <w:pPr>
        <w:rPr>
          <w:strike w:val="0"/>
        </w:rPr>
      </w:pPr>
      <w:r w:rsidRPr="00B6231D">
        <w:rPr>
          <w:b/>
          <w:bCs/>
          <w:strike w:val="0"/>
        </w:rPr>
        <w:t>Innovation:</w:t>
      </w:r>
      <w:r w:rsidRPr="00B6231D">
        <w:rPr>
          <w:strike w:val="0"/>
        </w:rPr>
        <w:t xml:space="preserve"> Presents a low-cost, scalable, culturally adaptable intervention model.</w:t>
      </w:r>
    </w:p>
    <w:p w14:paraId="23C1D9D9" w14:textId="77777777" w:rsidR="00B6231D" w:rsidRPr="00B6231D" w:rsidRDefault="00B6231D" w:rsidP="00B6231D">
      <w:pPr>
        <w:rPr>
          <w:b/>
          <w:bCs/>
          <w:strike w:val="0"/>
        </w:rPr>
      </w:pPr>
      <w:r w:rsidRPr="00B6231D">
        <w:rPr>
          <w:b/>
          <w:bCs/>
          <w:strike w:val="0"/>
        </w:rPr>
        <w:t>Future Research</w:t>
      </w:r>
    </w:p>
    <w:p w14:paraId="5ECF298E" w14:textId="424CD88F" w:rsidR="00B6231D" w:rsidRPr="00B6231D" w:rsidRDefault="00B6231D" w:rsidP="00B6231D">
      <w:pPr>
        <w:rPr>
          <w:strike w:val="0"/>
        </w:rPr>
      </w:pPr>
      <w:r w:rsidRPr="00B6231D">
        <w:rPr>
          <w:strike w:val="0"/>
        </w:rPr>
        <w:t xml:space="preserve">Future studies should </w:t>
      </w:r>
      <w:r w:rsidR="007A27DD">
        <w:rPr>
          <w:strike w:val="0"/>
        </w:rPr>
        <w:t xml:space="preserve">assess </w:t>
      </w:r>
      <w:r w:rsidRPr="00B6231D">
        <w:rPr>
          <w:strike w:val="0"/>
        </w:rPr>
        <w:t xml:space="preserve">long-term sustainability, expand to multiple regions, and assess </w:t>
      </w:r>
      <w:r w:rsidR="007A27DD">
        <w:rPr>
          <w:strike w:val="0"/>
        </w:rPr>
        <w:t xml:space="preserve">the </w:t>
      </w:r>
      <w:r w:rsidRPr="00B6231D">
        <w:rPr>
          <w:strike w:val="0"/>
        </w:rPr>
        <w:t>cost-effectiveness of community-based interventions. Research on digital health integration and socio-cultural determinants of vaccine uptake is also recommended.</w:t>
      </w:r>
    </w:p>
    <w:p w14:paraId="7E788116" w14:textId="77777777" w:rsidR="00303ADC" w:rsidRPr="00303ADC" w:rsidRDefault="00303ADC" w:rsidP="00303ADC">
      <w:pPr>
        <w:rPr>
          <w:b/>
          <w:bCs/>
          <w:strike w:val="0"/>
        </w:rPr>
      </w:pPr>
      <w:r w:rsidRPr="00303ADC">
        <w:rPr>
          <w:b/>
          <w:bCs/>
          <w:strike w:val="0"/>
        </w:rPr>
        <w:t>Ethical Considerations</w:t>
      </w:r>
    </w:p>
    <w:p w14:paraId="671012CE" w14:textId="66651B72" w:rsidR="00303ADC" w:rsidRDefault="00303ADC" w:rsidP="006A5A2D">
      <w:pPr>
        <w:rPr>
          <w:strike w:val="0"/>
        </w:rPr>
      </w:pPr>
      <w:r w:rsidRPr="00303ADC">
        <w:rPr>
          <w:strike w:val="0"/>
        </w:rPr>
        <w:t>Ethical approval was obtained from the Rivers State Health Research Ethics Committee. Written informed consent was obtained from all participants. Confidentiality and anonymity were maintained. The control group received the training after study completion.</w:t>
      </w:r>
    </w:p>
    <w:p w14:paraId="42E8DE71" w14:textId="77777777" w:rsidR="007A27DD" w:rsidRPr="006A5A2D" w:rsidRDefault="007A27DD" w:rsidP="00AE68BC">
      <w:pPr>
        <w:rPr>
          <w:strike w:val="0"/>
          <w:lang w:val="en-US"/>
        </w:rPr>
      </w:pPr>
      <w:bookmarkStart w:id="0" w:name="_GoBack"/>
      <w:bookmarkEnd w:id="0"/>
    </w:p>
    <w:p w14:paraId="771C761E" w14:textId="77777777" w:rsidR="007A27DD" w:rsidRDefault="007A27DD" w:rsidP="00AE68BC">
      <w:pPr>
        <w:rPr>
          <w:b/>
          <w:bCs/>
          <w:strike w:val="0"/>
        </w:rPr>
      </w:pPr>
    </w:p>
    <w:p w14:paraId="7EC87C1F" w14:textId="7AAA6CCA" w:rsidR="007A27DD" w:rsidRPr="007A27DD" w:rsidRDefault="007A27DD" w:rsidP="00AE68BC">
      <w:pPr>
        <w:rPr>
          <w:b/>
          <w:bCs/>
          <w:strike w:val="0"/>
        </w:rPr>
      </w:pPr>
      <w:r w:rsidRPr="007A27DD">
        <w:rPr>
          <w:b/>
          <w:bCs/>
          <w:strike w:val="0"/>
        </w:rPr>
        <w:t>References</w:t>
      </w:r>
    </w:p>
    <w:p w14:paraId="4A591617" w14:textId="191CBE98" w:rsidR="00AE68BC" w:rsidRPr="00CC44D7" w:rsidRDefault="00AE68BC" w:rsidP="00AE68BC">
      <w:pPr>
        <w:rPr>
          <w:strike w:val="0"/>
        </w:rPr>
      </w:pPr>
      <w:r w:rsidRPr="00CC44D7">
        <w:rPr>
          <w:strike w:val="0"/>
        </w:rPr>
        <w:t>Ahmed, L. Q., Adebowale, A. S., &amp; Palamuleni, M. E. (2024). Bayesian spatial analysis of incomplete vaccination among children aged 12-23 months in Nigeria. Scientific Reports, 14, 18297. https://doi.org/10.1038/s41598-024-57345-y.</w:t>
      </w:r>
    </w:p>
    <w:p w14:paraId="56B15715" w14:textId="77777777" w:rsidR="00AE68BC" w:rsidRPr="00CC44D7" w:rsidRDefault="00AE68BC" w:rsidP="00AE68BC">
      <w:pPr>
        <w:rPr>
          <w:strike w:val="0"/>
        </w:rPr>
      </w:pPr>
      <w:r w:rsidRPr="00CC44D7">
        <w:rPr>
          <w:strike w:val="0"/>
        </w:rPr>
        <w:t xml:space="preserve">Azubuike, C. D., &amp; Ardelt, M. (2025). The influence of paternal characteristics on childhood vaccination in Nigeria. Discover Public Health, 22, 123. </w:t>
      </w:r>
      <w:hyperlink r:id="rId9" w:history="1">
        <w:r w:rsidRPr="00CC44D7">
          <w:rPr>
            <w:rStyle w:val="Hyperlink"/>
            <w:strike w:val="0"/>
            <w:color w:val="auto"/>
            <w:u w:val="none"/>
          </w:rPr>
          <w:t>https://doi.org/10.1186/s12982-025-00512-x</w:t>
        </w:r>
      </w:hyperlink>
    </w:p>
    <w:p w14:paraId="6C669B97" w14:textId="77777777" w:rsidR="00AE68BC" w:rsidRPr="00CC44D7" w:rsidRDefault="00AE68BC" w:rsidP="00AE68BC">
      <w:pPr>
        <w:rPr>
          <w:strike w:val="0"/>
          <w:lang w:val="en-US"/>
        </w:rPr>
      </w:pPr>
      <w:r w:rsidRPr="00CC44D7">
        <w:rPr>
          <w:strike w:val="0"/>
        </w:rPr>
        <w:t>Bangura, J. B., Xiao, S., Qiu, D., Ouyang, F., &amp; Chen, L. (2020). Barriers to childhood immunization in sub-Saharan Africa: A systematic review. BMC public health, 20(1), 1108. https://doi.org/10.1186/s12889-020-09169-4</w:t>
      </w:r>
    </w:p>
    <w:p w14:paraId="376BDD54" w14:textId="77777777" w:rsidR="00AE68BC" w:rsidRPr="00CC44D7" w:rsidRDefault="00AE68BC" w:rsidP="00AE68BC">
      <w:pPr>
        <w:rPr>
          <w:strike w:val="0"/>
          <w:lang w:val="en-US"/>
        </w:rPr>
      </w:pPr>
      <w:r w:rsidRPr="00CC44D7">
        <w:rPr>
          <w:strike w:val="0"/>
        </w:rPr>
        <w:t>Briggs, N. C. T., &amp; Tobin-West, C. I. (2022a). Community volunteer-driven intervention and barriers to childhood immunization coverage in rural communities of Rivers State, Nigeria. International Journal of Medical Science and Dental Research, 5(5), 99-114.</w:t>
      </w:r>
    </w:p>
    <w:p w14:paraId="4016A187" w14:textId="77777777" w:rsidR="00AE68BC" w:rsidRPr="00CC44D7" w:rsidRDefault="00AE68BC" w:rsidP="00AE68BC">
      <w:pPr>
        <w:rPr>
          <w:strike w:val="0"/>
          <w:lang w:val="en-US"/>
        </w:rPr>
      </w:pPr>
      <w:r w:rsidRPr="00CC44D7">
        <w:rPr>
          <w:strike w:val="0"/>
        </w:rPr>
        <w:lastRenderedPageBreak/>
        <w:t>Briggs, N. C. T., Tobin-West, C. I., &amp; Babatunde, O. (2022b). Effects of a community volunteer-driven intervention on caregivers' knowledge and practice of childhood immunization in rural communities of Rivers State. The Nigerian Health Journal, 22(3), 250-263.</w:t>
      </w:r>
    </w:p>
    <w:p w14:paraId="3F3F92DB" w14:textId="77777777" w:rsidR="00AE68BC" w:rsidRPr="00CC44D7" w:rsidRDefault="00AE68BC" w:rsidP="00AE68BC">
      <w:pPr>
        <w:rPr>
          <w:strike w:val="0"/>
          <w:lang w:val="en-US"/>
        </w:rPr>
      </w:pPr>
      <w:r w:rsidRPr="00CC44D7">
        <w:rPr>
          <w:strike w:val="0"/>
        </w:rPr>
        <w:t>Eze, P., Agu, U. J., Aniebo, C. L., Agu, S. A., Lawani, L. O., &amp; Acharya, Y. (2021). Factors associated with incomplete immunisation in children aged 12-23 months at subnational level, Nigeria: A cross-sectional study. BMJ Open, 11(6), e047445. https://doi.org/10.1136/bmjopen-2020-047445</w:t>
      </w:r>
    </w:p>
    <w:p w14:paraId="04F1BB19" w14:textId="77777777" w:rsidR="00AE68BC" w:rsidRPr="00CC44D7" w:rsidRDefault="00AE68BC" w:rsidP="00AE68BC">
      <w:pPr>
        <w:rPr>
          <w:strike w:val="0"/>
        </w:rPr>
      </w:pPr>
      <w:r w:rsidRPr="00CC44D7">
        <w:rPr>
          <w:strike w:val="0"/>
        </w:rPr>
        <w:t>Fenta, M. S., Biresaw, H. B., Fentaw, K. D., &amp; Gebremichae, S. G. (2021). Determinants of full childhood immunization among children aged 12-23 months in sub-Saharan Africa: A multilevel analysis using Demographic and Health Survey Data. Tropical Medicine and Health, 49, 29. https://doi.org/10.1186/s41182-021-00319-x.</w:t>
      </w:r>
    </w:p>
    <w:p w14:paraId="48A351E6" w14:textId="77777777" w:rsidR="00AE68BC" w:rsidRPr="00CC44D7" w:rsidRDefault="00AE68BC" w:rsidP="00AE68BC">
      <w:pPr>
        <w:rPr>
          <w:strike w:val="0"/>
        </w:rPr>
      </w:pPr>
      <w:r w:rsidRPr="00CC44D7">
        <w:rPr>
          <w:strike w:val="0"/>
        </w:rPr>
        <w:t>Gayawan, E., Egbon, O. A., Utazi, E., Umar, J. A., &amp; Trotter, C. (2025). The impact of women's empowerment on childhood vaccination coverage in Nigeria: A spatio-temporal analysis. arXiv. https://arxiv.org/abs/2511.08262.</w:t>
      </w:r>
    </w:p>
    <w:p w14:paraId="3C89B7A7" w14:textId="77777777" w:rsidR="00AE68BC" w:rsidRPr="00CC44D7" w:rsidRDefault="00AE68BC" w:rsidP="00AE68BC">
      <w:pPr>
        <w:rPr>
          <w:strike w:val="0"/>
        </w:rPr>
      </w:pPr>
      <w:r w:rsidRPr="00CC44D7">
        <w:rPr>
          <w:strike w:val="0"/>
        </w:rPr>
        <w:t>Iba, B., Zar, V. D., &amp; Oteng, J. (2025). Determinants of uptake of childhood immunization in Gboko, Benue State, Nigeria. BMC Public Health, 25, 3940. https://doi.org/10.1186/s12889-025-25355-8</w:t>
      </w:r>
    </w:p>
    <w:p w14:paraId="0A574602" w14:textId="77777777" w:rsidR="00AE68BC" w:rsidRPr="00CC44D7" w:rsidRDefault="00AE68BC" w:rsidP="00AE68BC">
      <w:pPr>
        <w:rPr>
          <w:strike w:val="0"/>
          <w:lang w:val="en-US"/>
        </w:rPr>
      </w:pPr>
      <w:r w:rsidRPr="00CC44D7">
        <w:rPr>
          <w:strike w:val="0"/>
        </w:rPr>
        <w:t>Lambo, K., Prescott, M., Wiwa, O., Asolo, J. A., &amp; Daradara, K. (2024). Minimizing vaccine wastage in Nigeria: A national assessment of vaccine wastage rates and potential determinants. Vaccines, 12(8), 900. https://doi.org/10.3390/vaccines12080900</w:t>
      </w:r>
    </w:p>
    <w:p w14:paraId="51256104" w14:textId="77777777" w:rsidR="00AE68BC" w:rsidRPr="00CC44D7" w:rsidRDefault="00AE68BC" w:rsidP="00AE68BC">
      <w:pPr>
        <w:rPr>
          <w:strike w:val="0"/>
          <w:lang w:val="en-US"/>
        </w:rPr>
      </w:pPr>
      <w:r w:rsidRPr="00CC44D7">
        <w:rPr>
          <w:strike w:val="0"/>
        </w:rPr>
        <w:t>Magaji, A., Ibrahim, H. M., Isah, S. I., &amp; Bello, A. M. (2025). Determinants of routine immunization uptake among children aged 12-23 months in internally displaced person settlements of Bauchi State, Nigeria. International Journal of Research and Scientific Innovation, 12, 309-320. https://doi.org/10.51244/IJRSI.2025.121500031P</w:t>
      </w:r>
    </w:p>
    <w:p w14:paraId="2207A953" w14:textId="77777777" w:rsidR="00AE68BC" w:rsidRPr="00CC44D7" w:rsidRDefault="00AE68BC" w:rsidP="00AE68BC">
      <w:pPr>
        <w:rPr>
          <w:strike w:val="0"/>
          <w:lang w:val="en-US"/>
        </w:rPr>
      </w:pPr>
      <w:r w:rsidRPr="00CC44D7">
        <w:rPr>
          <w:strike w:val="0"/>
        </w:rPr>
        <w:t>National Population Commission [Nigeria] &amp; ICF. (2019). Nigeria Demographic and Health Survey 2018. https://dhsprogram.com/publications/publication-FR359-DHS-Final-Reports.cfm</w:t>
      </w:r>
    </w:p>
    <w:p w14:paraId="1AF7AAF3" w14:textId="77777777" w:rsidR="00AE68BC" w:rsidRPr="00CC44D7" w:rsidRDefault="00AE68BC" w:rsidP="00AE68BC">
      <w:pPr>
        <w:rPr>
          <w:strike w:val="0"/>
          <w:lang w:val="en-US"/>
        </w:rPr>
      </w:pPr>
      <w:r w:rsidRPr="00CC44D7">
        <w:rPr>
          <w:strike w:val="0"/>
        </w:rPr>
        <w:t>National Population Commission [Nigeria] &amp; ICF. (2024). Nigeria Demographic and Health Survey 2023-2024: Key indicators report.</w:t>
      </w:r>
    </w:p>
    <w:p w14:paraId="2A65DEEE" w14:textId="77777777" w:rsidR="00AE68BC" w:rsidRPr="00CC44D7" w:rsidRDefault="00AE68BC" w:rsidP="00AE68BC">
      <w:pPr>
        <w:rPr>
          <w:strike w:val="0"/>
          <w:lang w:val="en-US"/>
        </w:rPr>
      </w:pPr>
      <w:r w:rsidRPr="00CC44D7">
        <w:rPr>
          <w:strike w:val="0"/>
        </w:rPr>
        <w:t>Ogundele, O. A., Omoloja, O., Zibiri, A. O., Dinehin, A. V., Adewusi, A. O., &amp; Nwabueze, J. (2025). Determinants of vaccine hesitancy among pregnant women in South-West Nigeria: An explanatory sequential mixed method design. BMJ Open, 15(10), e101767. https://doi.org/10.1136/bmjopen-2025-101767</w:t>
      </w:r>
    </w:p>
    <w:p w14:paraId="21262236" w14:textId="77777777" w:rsidR="00AE68BC" w:rsidRPr="00CC44D7" w:rsidRDefault="00AE68BC" w:rsidP="00AE68BC">
      <w:pPr>
        <w:rPr>
          <w:strike w:val="0"/>
          <w:lang w:val="en-US"/>
        </w:rPr>
      </w:pPr>
      <w:r w:rsidRPr="00CC44D7">
        <w:rPr>
          <w:strike w:val="0"/>
        </w:rPr>
        <w:t>Olorunfemi, A. O., Ogunwemimo, H. S., Fehintola, F. O., Ogundele, T., Olorunsola, A., Bello, O. E., &amp; Asubiaro, O. Y. (2025). Predictors of incomplete childhood vaccination in four West African countries: A population based cross-sectional study. Scientific Reports, 15, 17119. https://doi.org/10.1038/s41598-025-02007-w</w:t>
      </w:r>
    </w:p>
    <w:p w14:paraId="4EFB2B9C" w14:textId="77777777" w:rsidR="00AE68BC" w:rsidRPr="00CC44D7" w:rsidRDefault="00AE68BC" w:rsidP="00AE68BC">
      <w:pPr>
        <w:rPr>
          <w:strike w:val="0"/>
          <w:lang w:val="en-US"/>
        </w:rPr>
      </w:pPr>
      <w:r w:rsidRPr="00CC44D7">
        <w:rPr>
          <w:strike w:val="0"/>
        </w:rPr>
        <w:t>Oyo-Ita, A., Bosch-Capblanch, X., Ross, A., Oku, A., Esu, E., Ameh, S., &amp; Meremikwu, M. (2021). Effects of engaging communities in decision-making and action through traditional and religious leaders on vaccination coverage in Cross River State, Nigeria: A cluster-</w:t>
      </w:r>
      <w:r w:rsidRPr="00CC44D7">
        <w:rPr>
          <w:strike w:val="0"/>
        </w:rPr>
        <w:lastRenderedPageBreak/>
        <w:t xml:space="preserve">randomised control trial. PLoS ONE, 16(4), e0248236. </w:t>
      </w:r>
      <w:hyperlink r:id="rId10" w:history="1">
        <w:r w:rsidRPr="00CC44D7">
          <w:rPr>
            <w:rStyle w:val="Hyperlink"/>
            <w:strike w:val="0"/>
            <w:color w:val="auto"/>
            <w:u w:val="none"/>
          </w:rPr>
          <w:t>https://doi.org/10.1371/journal.pone.0248236</w:t>
        </w:r>
      </w:hyperlink>
    </w:p>
    <w:p w14:paraId="14C4F024" w14:textId="77777777" w:rsidR="00AE68BC" w:rsidRPr="00CC44D7" w:rsidRDefault="00AE68BC" w:rsidP="00AE68BC">
      <w:pPr>
        <w:rPr>
          <w:strike w:val="0"/>
          <w:lang w:val="en-US"/>
        </w:rPr>
      </w:pPr>
      <w:r w:rsidRPr="00CC44D7">
        <w:rPr>
          <w:strike w:val="0"/>
          <w:lang w:val="en-US"/>
        </w:rPr>
        <w:t xml:space="preserve">Oyo-Ita, A., Oduwole, O., </w:t>
      </w:r>
      <w:proofErr w:type="spellStart"/>
      <w:r w:rsidRPr="00CC44D7">
        <w:rPr>
          <w:strike w:val="0"/>
          <w:lang w:val="en-US"/>
        </w:rPr>
        <w:t>Arikpo</w:t>
      </w:r>
      <w:proofErr w:type="spellEnd"/>
      <w:r w:rsidRPr="00CC44D7">
        <w:rPr>
          <w:strike w:val="0"/>
          <w:lang w:val="en-US"/>
        </w:rPr>
        <w:t xml:space="preserve">, D., Effa, E. E., </w:t>
      </w:r>
      <w:proofErr w:type="spellStart"/>
      <w:r w:rsidRPr="00CC44D7">
        <w:rPr>
          <w:strike w:val="0"/>
          <w:lang w:val="en-US"/>
        </w:rPr>
        <w:t>Esu</w:t>
      </w:r>
      <w:proofErr w:type="spellEnd"/>
      <w:r w:rsidRPr="00CC44D7">
        <w:rPr>
          <w:strike w:val="0"/>
          <w:lang w:val="en-US"/>
        </w:rPr>
        <w:t xml:space="preserve">, E. B., Balakrishna, Y., Chibuzor, M. T., </w:t>
      </w:r>
      <w:proofErr w:type="spellStart"/>
      <w:r w:rsidRPr="00CC44D7">
        <w:rPr>
          <w:strike w:val="0"/>
          <w:lang w:val="en-US"/>
        </w:rPr>
        <w:t>Oringanje</w:t>
      </w:r>
      <w:proofErr w:type="spellEnd"/>
      <w:r w:rsidRPr="00CC44D7">
        <w:rPr>
          <w:strike w:val="0"/>
          <w:lang w:val="en-US"/>
        </w:rPr>
        <w:t xml:space="preserve">, C. M., Nwachukwu, C. E., </w:t>
      </w:r>
      <w:proofErr w:type="spellStart"/>
      <w:r w:rsidRPr="00CC44D7">
        <w:rPr>
          <w:strike w:val="0"/>
          <w:lang w:val="en-US"/>
        </w:rPr>
        <w:t>Wiysonge</w:t>
      </w:r>
      <w:proofErr w:type="spellEnd"/>
      <w:r w:rsidRPr="00CC44D7">
        <w:rPr>
          <w:strike w:val="0"/>
          <w:lang w:val="en-US"/>
        </w:rPr>
        <w:t xml:space="preserve">, C. S., &amp; </w:t>
      </w:r>
      <w:proofErr w:type="spellStart"/>
      <w:r w:rsidRPr="00CC44D7">
        <w:rPr>
          <w:strike w:val="0"/>
          <w:lang w:val="en-US"/>
        </w:rPr>
        <w:t>Meremikwu</w:t>
      </w:r>
      <w:proofErr w:type="spellEnd"/>
      <w:r w:rsidRPr="00CC44D7">
        <w:rPr>
          <w:strike w:val="0"/>
          <w:lang w:val="en-US"/>
        </w:rPr>
        <w:t xml:space="preserve">, M. M. (2023). Interventions for improving coverage of childhood </w:t>
      </w:r>
      <w:proofErr w:type="spellStart"/>
      <w:r w:rsidRPr="00CC44D7">
        <w:rPr>
          <w:strike w:val="0"/>
          <w:lang w:val="en-US"/>
        </w:rPr>
        <w:t>immunisation</w:t>
      </w:r>
      <w:proofErr w:type="spellEnd"/>
      <w:r w:rsidRPr="00CC44D7">
        <w:rPr>
          <w:strike w:val="0"/>
          <w:lang w:val="en-US"/>
        </w:rPr>
        <w:t xml:space="preserve"> in low- and middle-income countries. The Cochrane database of systematic reviews, 12(12), CD008145. https://doi.org/10.1002/14651858.CD008145.p</w:t>
      </w:r>
    </w:p>
    <w:p w14:paraId="623D6134" w14:textId="77777777" w:rsidR="00AE68BC" w:rsidRPr="00CC44D7" w:rsidRDefault="00AE68BC" w:rsidP="00AE68BC">
      <w:pPr>
        <w:rPr>
          <w:strike w:val="0"/>
          <w:lang w:val="en-US"/>
        </w:rPr>
      </w:pPr>
      <w:r w:rsidRPr="00CC44D7">
        <w:rPr>
          <w:strike w:val="0"/>
        </w:rPr>
        <w:t>Sabo, A., Alzoubi, M. M., Garba, A., Saidu, A. Y., Usman, U. S., Saulawa, I. M., Al-Mugheed, K., &amp; Abdelaliem, S. M. F. (2025). Determinants of routine immunization coverage among under-five children in Jigawa State, Nigeria. BMC Public Health, 25, 2065. https://doi.org/10.1186/s12889-025-23363-2</w:t>
      </w:r>
    </w:p>
    <w:p w14:paraId="67C6F6B5" w14:textId="77777777" w:rsidR="00AE68BC" w:rsidRPr="00CC44D7" w:rsidRDefault="00AE68BC" w:rsidP="00AE68BC">
      <w:pPr>
        <w:rPr>
          <w:strike w:val="0"/>
          <w:lang w:val="en-US"/>
        </w:rPr>
      </w:pPr>
      <w:r w:rsidRPr="00CC44D7">
        <w:rPr>
          <w:strike w:val="0"/>
        </w:rPr>
        <w:t>Salako, J., Bakare, D., Uchendu, O. C., Bakare, A. A., Graham, H., &amp; Falade, A. G. (2024). Factors associated with immunization status among children aged 12-59 months in Lagelu Local Government Area, Ibadan: A cross-sectional study. Pan African Medical Journal, 47, 35. https://doi.org/10.11604/pamj.2024.47.35.37013</w:t>
      </w:r>
    </w:p>
    <w:p w14:paraId="56F37065" w14:textId="77777777" w:rsidR="00AE68BC" w:rsidRPr="00CC44D7" w:rsidRDefault="00AE68BC" w:rsidP="00AE68BC">
      <w:pPr>
        <w:rPr>
          <w:strike w:val="0"/>
          <w:lang w:val="en-US"/>
        </w:rPr>
      </w:pPr>
      <w:r w:rsidRPr="00CC44D7">
        <w:rPr>
          <w:strike w:val="0"/>
        </w:rPr>
        <w:t>United Nations Children's Fund. (2017). Progress report: A promise renewed - Committing to child survival. https://www.unicef.org/media/50031/file/</w:t>
      </w:r>
    </w:p>
    <w:p w14:paraId="542BA915" w14:textId="77777777" w:rsidR="00AE68BC" w:rsidRPr="00CC44D7" w:rsidRDefault="00AE68BC" w:rsidP="00AE68BC">
      <w:pPr>
        <w:rPr>
          <w:strike w:val="0"/>
          <w:lang w:val="en-US"/>
        </w:rPr>
      </w:pPr>
      <w:r w:rsidRPr="00CC44D7">
        <w:rPr>
          <w:strike w:val="0"/>
        </w:rPr>
        <w:t>United Nations Children's Fund. (2023). The state of the world's children 2023: For every child, vaccination. https://www.unicef.org/media/108161/file/SOWC-2023-full-report-English.pdf</w:t>
      </w:r>
    </w:p>
    <w:p w14:paraId="2A027507" w14:textId="77777777" w:rsidR="00AE68BC" w:rsidRPr="00CC44D7" w:rsidRDefault="00AE68BC" w:rsidP="00AE68BC">
      <w:pPr>
        <w:rPr>
          <w:strike w:val="0"/>
          <w:lang w:val="en-US"/>
        </w:rPr>
      </w:pPr>
      <w:r w:rsidRPr="00CC44D7">
        <w:rPr>
          <w:strike w:val="0"/>
        </w:rPr>
        <w:t>Williams, S. V., Akande, T., &amp; Abbas, K. (2024). Social determinants of childhood immunisation in low- and middle-income countries and equity impact analysis of vaccination coverage in Nigeria. PLOS ONE, 19(3), e0297326. https://doi.org/10.1371/journal.pone.0297326</w:t>
      </w:r>
    </w:p>
    <w:p w14:paraId="3B5064AF" w14:textId="77777777" w:rsidR="00AE68BC" w:rsidRPr="00CC44D7" w:rsidRDefault="00AE68BC" w:rsidP="00AE68BC">
      <w:pPr>
        <w:rPr>
          <w:strike w:val="0"/>
          <w:lang w:val="en-US"/>
        </w:rPr>
      </w:pPr>
      <w:r w:rsidRPr="00CC44D7">
        <w:rPr>
          <w:strike w:val="0"/>
        </w:rPr>
        <w:t>World Health Organization. (2023). Immunization agenda 2030: A global strategy to leave no one behind. https://www.who.int/teams/immunization-vaccines-and-biologicals/strategies/ia2030</w:t>
      </w:r>
    </w:p>
    <w:p w14:paraId="163370EF" w14:textId="77777777" w:rsidR="00AE68BC" w:rsidRPr="00CC44D7" w:rsidRDefault="00AE68BC" w:rsidP="00AE68BC">
      <w:pPr>
        <w:rPr>
          <w:strike w:val="0"/>
        </w:rPr>
      </w:pPr>
      <w:r w:rsidRPr="00CC44D7">
        <w:rPr>
          <w:strike w:val="0"/>
        </w:rPr>
        <w:t>World Health Organization. (2025). Immunization coverage: Key facts. https://www.who.int/news-room/fact-sheets/detail/immunization-coverage</w:t>
      </w:r>
    </w:p>
    <w:p w14:paraId="4E802EC1" w14:textId="77777777" w:rsidR="00AE68BC" w:rsidRPr="00CC44D7" w:rsidRDefault="00AE68BC" w:rsidP="00AE68BC">
      <w:pPr>
        <w:rPr>
          <w:strike w:val="0"/>
        </w:rPr>
      </w:pPr>
    </w:p>
    <w:p w14:paraId="268E8937" w14:textId="77777777" w:rsidR="00AE68BC" w:rsidRPr="00CC44D7" w:rsidRDefault="00AE68BC" w:rsidP="00AE68BC">
      <w:pPr>
        <w:rPr>
          <w:strike w:val="0"/>
        </w:rPr>
      </w:pPr>
    </w:p>
    <w:p w14:paraId="4532DA6C" w14:textId="77777777" w:rsidR="00AE68BC" w:rsidRPr="00CC44D7" w:rsidRDefault="00AE68BC" w:rsidP="00AE68BC">
      <w:pPr>
        <w:rPr>
          <w:strike w:val="0"/>
        </w:rPr>
      </w:pPr>
    </w:p>
    <w:p w14:paraId="4AF23A19" w14:textId="77777777" w:rsidR="00AE68BC" w:rsidRPr="00CC44D7" w:rsidRDefault="00AE68BC" w:rsidP="00AE68BC">
      <w:pPr>
        <w:rPr>
          <w:strike w:val="0"/>
        </w:rPr>
      </w:pPr>
    </w:p>
    <w:p w14:paraId="49ABBB41" w14:textId="77777777" w:rsidR="00AE68BC" w:rsidRPr="00CC44D7" w:rsidRDefault="00AE68BC" w:rsidP="00AE68BC">
      <w:pPr>
        <w:rPr>
          <w:strike w:val="0"/>
        </w:rPr>
      </w:pPr>
    </w:p>
    <w:p w14:paraId="5C3B9536" w14:textId="77777777" w:rsidR="00AE68BC" w:rsidRPr="00AE68BC" w:rsidRDefault="00AE68BC" w:rsidP="00AE68BC">
      <w:pPr>
        <w:rPr>
          <w:strike w:val="0"/>
        </w:rPr>
      </w:pPr>
    </w:p>
    <w:p w14:paraId="74D82855" w14:textId="77777777" w:rsidR="00AE68BC" w:rsidRPr="00AE68BC" w:rsidRDefault="00AE68BC" w:rsidP="00AE68BC">
      <w:pPr>
        <w:rPr>
          <w:strike w:val="0"/>
        </w:rPr>
      </w:pPr>
    </w:p>
    <w:p w14:paraId="23903E6A" w14:textId="77777777" w:rsidR="00AE68BC" w:rsidRPr="00AE68BC" w:rsidRDefault="00AE68BC" w:rsidP="00AE68BC">
      <w:pPr>
        <w:rPr>
          <w:strike w:val="0"/>
        </w:rPr>
      </w:pPr>
    </w:p>
    <w:p w14:paraId="6FB733F5" w14:textId="77777777" w:rsidR="00AE68BC" w:rsidRPr="00AE68BC" w:rsidRDefault="00AE68BC" w:rsidP="00AE68BC">
      <w:pPr>
        <w:rPr>
          <w:strike w:val="0"/>
        </w:rPr>
      </w:pPr>
    </w:p>
    <w:p w14:paraId="08A69387" w14:textId="77777777" w:rsidR="00623CFA" w:rsidRPr="000B4CEA" w:rsidRDefault="00623CFA" w:rsidP="00191CAF">
      <w:pPr>
        <w:rPr>
          <w:strike w:val="0"/>
        </w:rPr>
      </w:pPr>
    </w:p>
    <w:sectPr w:rsidR="00623CFA" w:rsidRPr="000B4CEA" w:rsidSect="0006044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38262" w14:textId="77777777" w:rsidR="001B77AA" w:rsidRDefault="001B77AA" w:rsidP="005B4B55">
      <w:pPr>
        <w:spacing w:after="0" w:line="240" w:lineRule="auto"/>
      </w:pPr>
      <w:r>
        <w:separator/>
      </w:r>
    </w:p>
  </w:endnote>
  <w:endnote w:type="continuationSeparator" w:id="0">
    <w:p w14:paraId="4E939BDC" w14:textId="77777777" w:rsidR="001B77AA" w:rsidRDefault="001B77AA" w:rsidP="005B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FCEA" w14:textId="77777777" w:rsidR="00BC0843" w:rsidRDefault="00BC0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31955"/>
      <w:docPartObj>
        <w:docPartGallery w:val="Page Numbers (Bottom of Page)"/>
        <w:docPartUnique/>
      </w:docPartObj>
    </w:sdtPr>
    <w:sdtEndPr>
      <w:rPr>
        <w:strike w:val="0"/>
        <w:noProof/>
      </w:rPr>
    </w:sdtEndPr>
    <w:sdtContent>
      <w:p w14:paraId="204FE8B0" w14:textId="21F7E495" w:rsidR="005B4B55" w:rsidRPr="005B4B55" w:rsidRDefault="005B4B55">
        <w:pPr>
          <w:pStyle w:val="Footer"/>
          <w:jc w:val="center"/>
          <w:rPr>
            <w:strike w:val="0"/>
          </w:rPr>
        </w:pPr>
        <w:r w:rsidRPr="005B4B55">
          <w:rPr>
            <w:strike w:val="0"/>
          </w:rPr>
          <w:fldChar w:fldCharType="begin"/>
        </w:r>
        <w:r w:rsidRPr="005B4B55">
          <w:rPr>
            <w:strike w:val="0"/>
          </w:rPr>
          <w:instrText xml:space="preserve"> PAGE   \* MERGEFORMAT </w:instrText>
        </w:r>
        <w:r w:rsidRPr="005B4B55">
          <w:rPr>
            <w:strike w:val="0"/>
          </w:rPr>
          <w:fldChar w:fldCharType="separate"/>
        </w:r>
        <w:r w:rsidRPr="005B4B55">
          <w:rPr>
            <w:strike w:val="0"/>
            <w:noProof/>
          </w:rPr>
          <w:t>2</w:t>
        </w:r>
        <w:r w:rsidRPr="005B4B55">
          <w:rPr>
            <w:strike w:val="0"/>
            <w:noProof/>
          </w:rPr>
          <w:fldChar w:fldCharType="end"/>
        </w:r>
      </w:p>
    </w:sdtContent>
  </w:sdt>
  <w:p w14:paraId="288C6274" w14:textId="77777777" w:rsidR="005B4B55" w:rsidRDefault="005B4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BD5E" w14:textId="77777777" w:rsidR="00BC0843" w:rsidRDefault="00BC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DC143" w14:textId="77777777" w:rsidR="001B77AA" w:rsidRDefault="001B77AA" w:rsidP="005B4B55">
      <w:pPr>
        <w:spacing w:after="0" w:line="240" w:lineRule="auto"/>
      </w:pPr>
      <w:r>
        <w:separator/>
      </w:r>
    </w:p>
  </w:footnote>
  <w:footnote w:type="continuationSeparator" w:id="0">
    <w:p w14:paraId="404EDA41" w14:textId="77777777" w:rsidR="001B77AA" w:rsidRDefault="001B77AA" w:rsidP="005B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6A92" w14:textId="091538A8" w:rsidR="00BC0843" w:rsidRDefault="00BC0843">
    <w:pPr>
      <w:pStyle w:val="Header"/>
    </w:pPr>
    <w:r>
      <w:rPr>
        <w:noProof/>
      </w:rPr>
      <w:pict w14:anchorId="686BC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35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CFB8" w14:textId="43B30300" w:rsidR="00BC0843" w:rsidRDefault="00BC0843">
    <w:pPr>
      <w:pStyle w:val="Header"/>
    </w:pPr>
    <w:r>
      <w:rPr>
        <w:noProof/>
      </w:rPr>
      <w:pict w14:anchorId="5BB4D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35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0D44" w14:textId="4F9B752B" w:rsidR="00BC0843" w:rsidRDefault="00BC0843">
    <w:pPr>
      <w:pStyle w:val="Header"/>
    </w:pPr>
    <w:r>
      <w:rPr>
        <w:noProof/>
      </w:rPr>
      <w:pict w14:anchorId="0A1E8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35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75A"/>
    <w:multiLevelType w:val="multilevel"/>
    <w:tmpl w:val="375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78B"/>
    <w:multiLevelType w:val="multilevel"/>
    <w:tmpl w:val="39A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209D"/>
    <w:multiLevelType w:val="multilevel"/>
    <w:tmpl w:val="C44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90041"/>
    <w:multiLevelType w:val="multilevel"/>
    <w:tmpl w:val="B67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0140"/>
    <w:multiLevelType w:val="multilevel"/>
    <w:tmpl w:val="4B4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5AFE"/>
    <w:multiLevelType w:val="multilevel"/>
    <w:tmpl w:val="0DC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EAE"/>
    <w:multiLevelType w:val="multilevel"/>
    <w:tmpl w:val="667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C303A"/>
    <w:multiLevelType w:val="multilevel"/>
    <w:tmpl w:val="CBB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64AF9"/>
    <w:multiLevelType w:val="multilevel"/>
    <w:tmpl w:val="07C2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933BB"/>
    <w:multiLevelType w:val="multilevel"/>
    <w:tmpl w:val="959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0"/>
  </w:num>
  <w:num w:numId="5">
    <w:abstractNumId w:val="6"/>
  </w:num>
  <w:num w:numId="6">
    <w:abstractNumId w:val="3"/>
  </w:num>
  <w:num w:numId="7">
    <w:abstractNumId w:val="7"/>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F0"/>
    <w:rsid w:val="00013EE0"/>
    <w:rsid w:val="00022DB6"/>
    <w:rsid w:val="00037833"/>
    <w:rsid w:val="00043FBD"/>
    <w:rsid w:val="000528DC"/>
    <w:rsid w:val="000533F5"/>
    <w:rsid w:val="00056056"/>
    <w:rsid w:val="00060447"/>
    <w:rsid w:val="00061167"/>
    <w:rsid w:val="00062BB1"/>
    <w:rsid w:val="000778E0"/>
    <w:rsid w:val="00077C79"/>
    <w:rsid w:val="000A1AC9"/>
    <w:rsid w:val="000B4CEA"/>
    <w:rsid w:val="000B6AE9"/>
    <w:rsid w:val="000C0A5C"/>
    <w:rsid w:val="0010000D"/>
    <w:rsid w:val="00115566"/>
    <w:rsid w:val="001244D9"/>
    <w:rsid w:val="0013311E"/>
    <w:rsid w:val="001369F3"/>
    <w:rsid w:val="00140B08"/>
    <w:rsid w:val="00160082"/>
    <w:rsid w:val="00191CAF"/>
    <w:rsid w:val="00192515"/>
    <w:rsid w:val="001A2A2F"/>
    <w:rsid w:val="001A49BF"/>
    <w:rsid w:val="001B77AA"/>
    <w:rsid w:val="001F0CFD"/>
    <w:rsid w:val="00202E4C"/>
    <w:rsid w:val="0021318D"/>
    <w:rsid w:val="002167E0"/>
    <w:rsid w:val="00221F26"/>
    <w:rsid w:val="0023612C"/>
    <w:rsid w:val="00291C0D"/>
    <w:rsid w:val="002954DE"/>
    <w:rsid w:val="00296FC8"/>
    <w:rsid w:val="002A5618"/>
    <w:rsid w:val="002E12A3"/>
    <w:rsid w:val="00303ADC"/>
    <w:rsid w:val="003123E4"/>
    <w:rsid w:val="00325DDE"/>
    <w:rsid w:val="00394F1B"/>
    <w:rsid w:val="003B42E3"/>
    <w:rsid w:val="003D4BF9"/>
    <w:rsid w:val="003D4DEB"/>
    <w:rsid w:val="00412959"/>
    <w:rsid w:val="00442902"/>
    <w:rsid w:val="00451167"/>
    <w:rsid w:val="00451BCD"/>
    <w:rsid w:val="00452A2F"/>
    <w:rsid w:val="00455BE8"/>
    <w:rsid w:val="00465133"/>
    <w:rsid w:val="0046577D"/>
    <w:rsid w:val="004735C9"/>
    <w:rsid w:val="00474CE6"/>
    <w:rsid w:val="004832A1"/>
    <w:rsid w:val="004837C9"/>
    <w:rsid w:val="00483857"/>
    <w:rsid w:val="004B1317"/>
    <w:rsid w:val="004B6309"/>
    <w:rsid w:val="004E1238"/>
    <w:rsid w:val="004E674A"/>
    <w:rsid w:val="0050205F"/>
    <w:rsid w:val="00545CA5"/>
    <w:rsid w:val="005539B5"/>
    <w:rsid w:val="00570D67"/>
    <w:rsid w:val="0057648F"/>
    <w:rsid w:val="00581E95"/>
    <w:rsid w:val="005A2564"/>
    <w:rsid w:val="005B4B55"/>
    <w:rsid w:val="005C3640"/>
    <w:rsid w:val="005D2706"/>
    <w:rsid w:val="005D7240"/>
    <w:rsid w:val="006076A1"/>
    <w:rsid w:val="006174AE"/>
    <w:rsid w:val="00621577"/>
    <w:rsid w:val="00623CFA"/>
    <w:rsid w:val="0064064D"/>
    <w:rsid w:val="006819B3"/>
    <w:rsid w:val="006824B5"/>
    <w:rsid w:val="00693744"/>
    <w:rsid w:val="0069786B"/>
    <w:rsid w:val="006A1042"/>
    <w:rsid w:val="006A5A2D"/>
    <w:rsid w:val="006C3FCB"/>
    <w:rsid w:val="006C4E82"/>
    <w:rsid w:val="006C5E36"/>
    <w:rsid w:val="006F20B5"/>
    <w:rsid w:val="007226C7"/>
    <w:rsid w:val="00730840"/>
    <w:rsid w:val="00745BCC"/>
    <w:rsid w:val="00746795"/>
    <w:rsid w:val="00754530"/>
    <w:rsid w:val="007646F8"/>
    <w:rsid w:val="00786236"/>
    <w:rsid w:val="007A0B0E"/>
    <w:rsid w:val="007A27DD"/>
    <w:rsid w:val="007B77CD"/>
    <w:rsid w:val="007C6846"/>
    <w:rsid w:val="007D4545"/>
    <w:rsid w:val="00806E39"/>
    <w:rsid w:val="008071AF"/>
    <w:rsid w:val="00813B7C"/>
    <w:rsid w:val="0082048D"/>
    <w:rsid w:val="00822147"/>
    <w:rsid w:val="00826650"/>
    <w:rsid w:val="00843714"/>
    <w:rsid w:val="00851435"/>
    <w:rsid w:val="00890A98"/>
    <w:rsid w:val="00891205"/>
    <w:rsid w:val="008941E0"/>
    <w:rsid w:val="008F03CC"/>
    <w:rsid w:val="00913314"/>
    <w:rsid w:val="0093405B"/>
    <w:rsid w:val="0093704C"/>
    <w:rsid w:val="00973C58"/>
    <w:rsid w:val="0098165E"/>
    <w:rsid w:val="0098408F"/>
    <w:rsid w:val="00986CD0"/>
    <w:rsid w:val="00987A2F"/>
    <w:rsid w:val="0099390F"/>
    <w:rsid w:val="00994506"/>
    <w:rsid w:val="009B40FB"/>
    <w:rsid w:val="009D2CAE"/>
    <w:rsid w:val="009E075B"/>
    <w:rsid w:val="009F2797"/>
    <w:rsid w:val="009F4ABF"/>
    <w:rsid w:val="009F7D15"/>
    <w:rsid w:val="00A046E5"/>
    <w:rsid w:val="00A11935"/>
    <w:rsid w:val="00A25850"/>
    <w:rsid w:val="00A26AAC"/>
    <w:rsid w:val="00A479AC"/>
    <w:rsid w:val="00A517FF"/>
    <w:rsid w:val="00A660AC"/>
    <w:rsid w:val="00A717BF"/>
    <w:rsid w:val="00AA4295"/>
    <w:rsid w:val="00AE14F0"/>
    <w:rsid w:val="00AE204B"/>
    <w:rsid w:val="00AE2392"/>
    <w:rsid w:val="00AE68BC"/>
    <w:rsid w:val="00AF534F"/>
    <w:rsid w:val="00B51C77"/>
    <w:rsid w:val="00B6231D"/>
    <w:rsid w:val="00B67100"/>
    <w:rsid w:val="00B804AF"/>
    <w:rsid w:val="00BB43D6"/>
    <w:rsid w:val="00BC0843"/>
    <w:rsid w:val="00BE5A9B"/>
    <w:rsid w:val="00BF47D0"/>
    <w:rsid w:val="00C13005"/>
    <w:rsid w:val="00C44C81"/>
    <w:rsid w:val="00C4658E"/>
    <w:rsid w:val="00C551C3"/>
    <w:rsid w:val="00C56D98"/>
    <w:rsid w:val="00C949CC"/>
    <w:rsid w:val="00CA6D87"/>
    <w:rsid w:val="00CB1A15"/>
    <w:rsid w:val="00CB5AA9"/>
    <w:rsid w:val="00CC39F0"/>
    <w:rsid w:val="00CC44D7"/>
    <w:rsid w:val="00CE430A"/>
    <w:rsid w:val="00CF4069"/>
    <w:rsid w:val="00CF530A"/>
    <w:rsid w:val="00D12BA5"/>
    <w:rsid w:val="00D279AD"/>
    <w:rsid w:val="00D41AA0"/>
    <w:rsid w:val="00D567A9"/>
    <w:rsid w:val="00D67327"/>
    <w:rsid w:val="00D70FE3"/>
    <w:rsid w:val="00D71565"/>
    <w:rsid w:val="00D75B68"/>
    <w:rsid w:val="00D76B60"/>
    <w:rsid w:val="00D913BA"/>
    <w:rsid w:val="00DA2E0B"/>
    <w:rsid w:val="00DA7AC7"/>
    <w:rsid w:val="00DB0D15"/>
    <w:rsid w:val="00DC2337"/>
    <w:rsid w:val="00DC4127"/>
    <w:rsid w:val="00DC51EB"/>
    <w:rsid w:val="00DD39AC"/>
    <w:rsid w:val="00DD4EBE"/>
    <w:rsid w:val="00DD5796"/>
    <w:rsid w:val="00DF2D89"/>
    <w:rsid w:val="00E22DB6"/>
    <w:rsid w:val="00E36E4C"/>
    <w:rsid w:val="00E5715C"/>
    <w:rsid w:val="00E64079"/>
    <w:rsid w:val="00E91E64"/>
    <w:rsid w:val="00E962A8"/>
    <w:rsid w:val="00ED2935"/>
    <w:rsid w:val="00F23911"/>
    <w:rsid w:val="00F25AF3"/>
    <w:rsid w:val="00F25E34"/>
    <w:rsid w:val="00F322CA"/>
    <w:rsid w:val="00F477ED"/>
    <w:rsid w:val="00F52A84"/>
    <w:rsid w:val="00F663CB"/>
    <w:rsid w:val="00F71743"/>
    <w:rsid w:val="00F77CA2"/>
    <w:rsid w:val="00F934A3"/>
    <w:rsid w:val="00F97200"/>
    <w:rsid w:val="00FA1CF3"/>
    <w:rsid w:val="00FA7970"/>
    <w:rsid w:val="00FC7FE4"/>
    <w:rsid w:val="00FD36AE"/>
    <w:rsid w:val="00FD7946"/>
    <w:rsid w:val="00FE38E0"/>
    <w:rsid w:val="00FF0E21"/>
    <w:rsid w:val="00FF3F6C"/>
    <w:rsid w:val="00FF50F5"/>
    <w:rsid w:val="00FF6421"/>
    <w:rsid w:val="00FF78E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B1DD0D"/>
  <w15:chartTrackingRefBased/>
  <w15:docId w15:val="{E9460FF5-E76B-459C-9E4F-3CA91C8B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447"/>
  </w:style>
  <w:style w:type="paragraph" w:styleId="Heading1">
    <w:name w:val="heading 1"/>
    <w:basedOn w:val="Normal"/>
    <w:next w:val="Normal"/>
    <w:link w:val="Heading1Char"/>
    <w:uiPriority w:val="9"/>
    <w:qFormat/>
    <w:rsid w:val="00AE1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4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4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4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14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4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4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4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4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4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4F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4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14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14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14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14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1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1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4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14F0"/>
    <w:pPr>
      <w:spacing w:before="160"/>
      <w:jc w:val="center"/>
    </w:pPr>
    <w:rPr>
      <w:i/>
      <w:iCs/>
      <w:color w:val="404040" w:themeColor="text1" w:themeTint="BF"/>
    </w:rPr>
  </w:style>
  <w:style w:type="character" w:customStyle="1" w:styleId="QuoteChar">
    <w:name w:val="Quote Char"/>
    <w:basedOn w:val="DefaultParagraphFont"/>
    <w:link w:val="Quote"/>
    <w:uiPriority w:val="29"/>
    <w:rsid w:val="00AE14F0"/>
    <w:rPr>
      <w:i/>
      <w:iCs/>
      <w:color w:val="404040" w:themeColor="text1" w:themeTint="BF"/>
    </w:rPr>
  </w:style>
  <w:style w:type="paragraph" w:styleId="ListParagraph">
    <w:name w:val="List Paragraph"/>
    <w:basedOn w:val="Normal"/>
    <w:uiPriority w:val="34"/>
    <w:qFormat/>
    <w:rsid w:val="00AE14F0"/>
    <w:pPr>
      <w:ind w:left="720"/>
      <w:contextualSpacing/>
    </w:pPr>
  </w:style>
  <w:style w:type="character" w:styleId="IntenseEmphasis">
    <w:name w:val="Intense Emphasis"/>
    <w:basedOn w:val="DefaultParagraphFont"/>
    <w:uiPriority w:val="21"/>
    <w:qFormat/>
    <w:rsid w:val="00AE14F0"/>
    <w:rPr>
      <w:i/>
      <w:iCs/>
      <w:color w:val="2F5496" w:themeColor="accent1" w:themeShade="BF"/>
    </w:rPr>
  </w:style>
  <w:style w:type="paragraph" w:styleId="IntenseQuote">
    <w:name w:val="Intense Quote"/>
    <w:basedOn w:val="Normal"/>
    <w:next w:val="Normal"/>
    <w:link w:val="IntenseQuoteChar"/>
    <w:uiPriority w:val="30"/>
    <w:qFormat/>
    <w:rsid w:val="00AE1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4F0"/>
    <w:rPr>
      <w:i/>
      <w:iCs/>
      <w:color w:val="2F5496" w:themeColor="accent1" w:themeShade="BF"/>
    </w:rPr>
  </w:style>
  <w:style w:type="character" w:styleId="IntenseReference">
    <w:name w:val="Intense Reference"/>
    <w:basedOn w:val="DefaultParagraphFont"/>
    <w:uiPriority w:val="32"/>
    <w:qFormat/>
    <w:rsid w:val="00AE14F0"/>
    <w:rPr>
      <w:b/>
      <w:bCs/>
      <w:smallCaps/>
      <w:color w:val="2F5496" w:themeColor="accent1" w:themeShade="BF"/>
      <w:spacing w:val="5"/>
    </w:rPr>
  </w:style>
  <w:style w:type="paragraph" w:styleId="NormalWeb">
    <w:name w:val="Normal (Web)"/>
    <w:basedOn w:val="Normal"/>
    <w:uiPriority w:val="99"/>
    <w:unhideWhenUsed/>
    <w:rsid w:val="00D12BA5"/>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D12BA5"/>
    <w:rPr>
      <w:b/>
      <w:bCs/>
    </w:rPr>
  </w:style>
  <w:style w:type="character" w:styleId="Hyperlink">
    <w:name w:val="Hyperlink"/>
    <w:basedOn w:val="DefaultParagraphFont"/>
    <w:uiPriority w:val="99"/>
    <w:unhideWhenUsed/>
    <w:rsid w:val="00191CAF"/>
    <w:rPr>
      <w:color w:val="0563C1" w:themeColor="hyperlink"/>
      <w:u w:val="single"/>
    </w:rPr>
  </w:style>
  <w:style w:type="character" w:styleId="UnresolvedMention">
    <w:name w:val="Unresolved Mention"/>
    <w:basedOn w:val="DefaultParagraphFont"/>
    <w:uiPriority w:val="99"/>
    <w:semiHidden/>
    <w:unhideWhenUsed/>
    <w:rsid w:val="00191CAF"/>
    <w:rPr>
      <w:color w:val="605E5C"/>
      <w:shd w:val="clear" w:color="auto" w:fill="E1DFDD"/>
    </w:rPr>
  </w:style>
  <w:style w:type="paragraph" w:styleId="Header">
    <w:name w:val="header"/>
    <w:basedOn w:val="Normal"/>
    <w:link w:val="HeaderChar"/>
    <w:uiPriority w:val="99"/>
    <w:unhideWhenUsed/>
    <w:rsid w:val="005B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55"/>
  </w:style>
  <w:style w:type="paragraph" w:styleId="Footer">
    <w:name w:val="footer"/>
    <w:basedOn w:val="Normal"/>
    <w:link w:val="FooterChar"/>
    <w:uiPriority w:val="99"/>
    <w:unhideWhenUsed/>
    <w:rsid w:val="005B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371/journal.pone.0248236" TargetMode="External"/><Relationship Id="rId4" Type="http://schemas.openxmlformats.org/officeDocument/2006/relationships/webSettings" Target="webSettings.xml"/><Relationship Id="rId9" Type="http://schemas.openxmlformats.org/officeDocument/2006/relationships/hyperlink" Target="https://doi.org/10.1186/s12982-025-00512-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38C7CB-5C97-4978-BCAD-2FA70C13D2D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853</TotalTime>
  <Pages>22</Pages>
  <Words>7059</Words>
  <Characters>40239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SDI 1084</cp:lastModifiedBy>
  <cp:revision>380</cp:revision>
  <dcterms:created xsi:type="dcterms:W3CDTF">2026-03-16T12:13:00Z</dcterms:created>
  <dcterms:modified xsi:type="dcterms:W3CDTF">2026-03-19T13:30:00Z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11916836-0709-4753-9d4c-685906f3ead2</vt:lpwstr>
  </property>
</Properties>
</file>