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E4E52" w14:textId="39BC90FA" w:rsidR="00754C9A" w:rsidRPr="00AC30BA" w:rsidRDefault="00AC30BA" w:rsidP="00AC30BA">
      <w:pPr>
        <w:pStyle w:val="Title"/>
        <w:spacing w:after="0"/>
        <w:rPr>
          <w:rFonts w:ascii="Arial" w:hAnsi="Arial" w:cs="Arial"/>
          <w:i/>
          <w:sz w:val="40"/>
          <w:u w:val="single"/>
        </w:rPr>
      </w:pPr>
      <w:r w:rsidRPr="00AC30BA">
        <w:rPr>
          <w:rFonts w:ascii="Arial" w:hAnsi="Arial" w:cs="Arial"/>
          <w:i/>
          <w:sz w:val="40"/>
          <w:u w:val="single"/>
        </w:rPr>
        <w:t>Original Research Article</w:t>
      </w:r>
    </w:p>
    <w:p w14:paraId="121296D9" w14:textId="77777777" w:rsidR="00AC30BA" w:rsidRPr="00F05812" w:rsidRDefault="00AC30BA" w:rsidP="00441B6F">
      <w:pPr>
        <w:pStyle w:val="Title"/>
        <w:spacing w:after="0"/>
        <w:jc w:val="both"/>
        <w:rPr>
          <w:rFonts w:ascii="Arial" w:hAnsi="Arial" w:cs="Arial"/>
        </w:rPr>
      </w:pPr>
    </w:p>
    <w:p w14:paraId="56DB1BFB" w14:textId="3F4F9E55" w:rsidR="00A258C3" w:rsidRDefault="006421F7" w:rsidP="006421F7">
      <w:pPr>
        <w:pStyle w:val="Author"/>
        <w:spacing w:line="240" w:lineRule="auto"/>
        <w:rPr>
          <w:rFonts w:ascii="Arial" w:hAnsi="Arial" w:cs="Arial"/>
          <w:sz w:val="36"/>
        </w:rPr>
      </w:pPr>
      <w:r w:rsidRPr="006421F7">
        <w:rPr>
          <w:rFonts w:ascii="Arial" w:hAnsi="Arial" w:cs="Arial"/>
          <w:i/>
          <w:sz w:val="36"/>
        </w:rPr>
        <w:t>In Silico</w:t>
      </w:r>
      <w:r w:rsidRPr="006421F7">
        <w:rPr>
          <w:rFonts w:ascii="Arial" w:hAnsi="Arial" w:cs="Arial"/>
          <w:sz w:val="36"/>
        </w:rPr>
        <w:t xml:space="preserve"> Multi-Epitope Vaccine Design Targeting Key Immunogenic Properties of Cryptococcus neoformans for the Prevention of Cryptococcal Meningitis</w:t>
      </w:r>
    </w:p>
    <w:p w14:paraId="52F81B6F" w14:textId="77777777" w:rsidR="006421F7" w:rsidRPr="00F05812" w:rsidRDefault="006421F7" w:rsidP="00441B6F">
      <w:pPr>
        <w:pStyle w:val="Author"/>
        <w:spacing w:line="240" w:lineRule="auto"/>
        <w:jc w:val="both"/>
        <w:rPr>
          <w:rFonts w:ascii="Arial" w:hAnsi="Arial" w:cs="Arial"/>
          <w:sz w:val="36"/>
        </w:rPr>
      </w:pPr>
    </w:p>
    <w:p w14:paraId="634F7720" w14:textId="5CF5B181" w:rsidR="00FE014B" w:rsidRPr="006421F7" w:rsidRDefault="00FE014B" w:rsidP="00FE014B">
      <w:pPr>
        <w:pStyle w:val="Copyright"/>
        <w:spacing w:after="0" w:line="240" w:lineRule="auto"/>
        <w:jc w:val="right"/>
        <w:rPr>
          <w:rFonts w:ascii="Arial" w:hAnsi="Arial" w:cs="Arial"/>
        </w:rPr>
      </w:pPr>
    </w:p>
    <w:p w14:paraId="3F99CE90" w14:textId="5E1E0D1D" w:rsidR="00B01FCD" w:rsidRPr="00F05812" w:rsidRDefault="00D13921" w:rsidP="00851FA7">
      <w:pPr>
        <w:pStyle w:val="Copyright"/>
        <w:spacing w:after="0" w:line="240" w:lineRule="auto"/>
        <w:jc w:val="right"/>
        <w:rPr>
          <w:rFonts w:ascii="Arial" w:hAnsi="Arial" w:cs="Arial"/>
        </w:rPr>
        <w:sectPr w:rsidR="00B01FCD" w:rsidRPr="00F05812" w:rsidSect="001D54D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F05812">
        <w:rPr>
          <w:rFonts w:ascii="Arial" w:hAnsi="Arial" w:cs="Arial"/>
          <w:noProof/>
        </w:rPr>
        <mc:AlternateContent>
          <mc:Choice Requires="wps">
            <w:drawing>
              <wp:inline distT="0" distB="0" distL="0" distR="0" wp14:anchorId="6FAB2F4A" wp14:editId="008465BC">
                <wp:extent cx="5303520" cy="635"/>
                <wp:effectExtent l="17145" t="13970" r="13335" b="14605"/>
                <wp:docPr id="21351719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990BCA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A963CE3" w14:textId="7EC16521" w:rsidR="00B01FCD" w:rsidRPr="00F05812" w:rsidRDefault="00B01FCD" w:rsidP="00441B6F">
      <w:pPr>
        <w:pStyle w:val="AbstHead"/>
        <w:spacing w:after="0"/>
        <w:jc w:val="both"/>
        <w:rPr>
          <w:rFonts w:ascii="Arial" w:hAnsi="Arial" w:cs="Arial"/>
        </w:rPr>
      </w:pPr>
      <w:r w:rsidRPr="00F05812">
        <w:rPr>
          <w:rFonts w:ascii="Arial" w:hAnsi="Arial" w:cs="Arial"/>
        </w:rPr>
        <w:t>ABSTRACT</w:t>
      </w:r>
      <w:r w:rsidR="0066510A" w:rsidRPr="00F05812">
        <w:rPr>
          <w:rFonts w:ascii="Arial" w:hAnsi="Arial" w:cs="Arial"/>
        </w:rPr>
        <w:t xml:space="preserve"> </w:t>
      </w:r>
    </w:p>
    <w:p w14:paraId="40AA8A62" w14:textId="77777777" w:rsidR="00790ADA" w:rsidRPr="00F0581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F05812" w14:paraId="0385365E" w14:textId="77777777" w:rsidTr="001E44FE">
        <w:tc>
          <w:tcPr>
            <w:tcW w:w="9576" w:type="dxa"/>
            <w:shd w:val="clear" w:color="auto" w:fill="F2F2F2"/>
          </w:tcPr>
          <w:p w14:paraId="78DE27EE" w14:textId="5EDDAA76" w:rsidR="00BA1B01" w:rsidRPr="00F05812" w:rsidRDefault="00BA1B01" w:rsidP="00441B6F">
            <w:pPr>
              <w:pStyle w:val="Body"/>
              <w:spacing w:after="0"/>
              <w:rPr>
                <w:rFonts w:ascii="Arial" w:eastAsia="Calibri" w:hAnsi="Arial" w:cs="Arial"/>
                <w:szCs w:val="22"/>
              </w:rPr>
            </w:pPr>
            <w:r w:rsidRPr="00F05812">
              <w:rPr>
                <w:rFonts w:ascii="Arial" w:eastAsia="Calibri" w:hAnsi="Arial" w:cs="Arial"/>
                <w:b/>
                <w:szCs w:val="22"/>
              </w:rPr>
              <w:t xml:space="preserve">Aims: </w:t>
            </w:r>
            <w:r w:rsidR="00851FA7" w:rsidRPr="00F05812">
              <w:rPr>
                <w:rFonts w:ascii="Arial" w:eastAsia="Calibri" w:hAnsi="Arial" w:cs="Arial"/>
                <w:szCs w:val="22"/>
              </w:rPr>
              <w:t>To develop a multi-epitope vaccine against Cryptococcus neoformans using computational immunoinformatics approaches for the prevention of cryptococcal meningitis.</w:t>
            </w:r>
          </w:p>
          <w:p w14:paraId="7AC1DFC2" w14:textId="77777777" w:rsidR="00851FA7" w:rsidRPr="00F05812" w:rsidRDefault="00BA1B01" w:rsidP="00851FA7">
            <w:pPr>
              <w:pStyle w:val="Body"/>
              <w:spacing w:after="0"/>
              <w:rPr>
                <w:rFonts w:ascii="Arial" w:eastAsia="Calibri" w:hAnsi="Arial" w:cs="Arial"/>
                <w:szCs w:val="22"/>
              </w:rPr>
            </w:pPr>
            <w:r w:rsidRPr="00F05812">
              <w:rPr>
                <w:rFonts w:ascii="Arial" w:eastAsia="Calibri" w:hAnsi="Arial" w:cs="Arial"/>
                <w:b/>
                <w:szCs w:val="22"/>
              </w:rPr>
              <w:t>Study design:</w:t>
            </w:r>
            <w:r w:rsidRPr="00F05812">
              <w:rPr>
                <w:rFonts w:ascii="Arial" w:eastAsia="Calibri" w:hAnsi="Arial" w:cs="Arial"/>
                <w:szCs w:val="22"/>
              </w:rPr>
              <w:t xml:space="preserve">  </w:t>
            </w:r>
            <w:r w:rsidR="00851FA7" w:rsidRPr="00F05812">
              <w:rPr>
                <w:rFonts w:ascii="Arial" w:eastAsia="Calibri" w:hAnsi="Arial" w:cs="Arial"/>
                <w:szCs w:val="22"/>
              </w:rPr>
              <w:t>Computational in silico vaccine design study.</w:t>
            </w:r>
          </w:p>
          <w:p w14:paraId="393D4478" w14:textId="77777777" w:rsidR="00851FA7" w:rsidRPr="00F05812" w:rsidRDefault="00BA1B01" w:rsidP="00851FA7">
            <w:pPr>
              <w:pStyle w:val="Body"/>
              <w:rPr>
                <w:rFonts w:ascii="Arial" w:eastAsia="Calibri" w:hAnsi="Arial" w:cs="Arial"/>
                <w:szCs w:val="22"/>
              </w:rPr>
            </w:pPr>
            <w:r w:rsidRPr="00F05812">
              <w:rPr>
                <w:rFonts w:ascii="Arial" w:eastAsia="Calibri" w:hAnsi="Arial" w:cs="Arial"/>
                <w:b/>
                <w:szCs w:val="22"/>
              </w:rPr>
              <w:t>Place and Duration of Study:</w:t>
            </w:r>
            <w:r w:rsidRPr="00F05812">
              <w:rPr>
                <w:rFonts w:ascii="Arial" w:eastAsia="Calibri" w:hAnsi="Arial" w:cs="Arial"/>
                <w:szCs w:val="22"/>
              </w:rPr>
              <w:t xml:space="preserve"> </w:t>
            </w:r>
            <w:r w:rsidR="00851FA7" w:rsidRPr="00F05812">
              <w:rPr>
                <w:rFonts w:ascii="Arial" w:eastAsia="Calibri" w:hAnsi="Arial" w:cs="Arial"/>
                <w:szCs w:val="22"/>
              </w:rPr>
              <w:t>The study was performed using publicly available protein sequence databases and bioinformatics tools during the project period.</w:t>
            </w:r>
          </w:p>
          <w:p w14:paraId="5B4D418D" w14:textId="521B94E8" w:rsidR="00BA1B01" w:rsidRPr="00F05812" w:rsidRDefault="00BA1B01" w:rsidP="00851FA7">
            <w:pPr>
              <w:pStyle w:val="Body"/>
              <w:rPr>
                <w:rFonts w:ascii="Arial" w:eastAsia="Calibri" w:hAnsi="Arial" w:cs="Arial"/>
                <w:szCs w:val="22"/>
              </w:rPr>
            </w:pPr>
            <w:r w:rsidRPr="00F05812">
              <w:rPr>
                <w:rFonts w:ascii="Arial" w:eastAsia="Calibri" w:hAnsi="Arial" w:cs="Arial"/>
                <w:b/>
                <w:bCs/>
                <w:szCs w:val="22"/>
              </w:rPr>
              <w:t>Methodology:</w:t>
            </w:r>
            <w:r w:rsidRPr="00F05812">
              <w:rPr>
                <w:rFonts w:ascii="Arial" w:eastAsia="Calibri" w:hAnsi="Arial" w:cs="Arial"/>
                <w:szCs w:val="22"/>
              </w:rPr>
              <w:t xml:space="preserve"> </w:t>
            </w:r>
            <w:r w:rsidR="00101A81" w:rsidRPr="00F05812">
              <w:rPr>
                <w:rFonts w:ascii="Arial" w:eastAsia="Calibri" w:hAnsi="Arial" w:cs="Arial"/>
                <w:szCs w:val="22"/>
              </w:rPr>
              <w:t>Four immunogenic proteins—Mp88, Hsp70, Chitin Deacetylase 2, and a GPI-anchored cell wall protein—were selected as vaccine targets. Cytotoxic T-cell, Helper T-cell, and B-cell epitopes were predicted and screened for antigenicity, immunogenicity, allergenicity, and toxicity. Selected epitopes were linked with suitable linkers and adjuvants to design a multi-epitope vaccine construct. Physicochemical properties, structural modelling, molecular docking with immune receptors, molecular dynamics simulations, codon optimization, and in silico cloning were performed.</w:t>
            </w:r>
          </w:p>
          <w:p w14:paraId="3DD89EE1" w14:textId="0B5F455C" w:rsidR="00BA1B01" w:rsidRPr="00F05812" w:rsidRDefault="00BA1B01" w:rsidP="00441B6F">
            <w:pPr>
              <w:pStyle w:val="Body"/>
              <w:spacing w:after="0"/>
              <w:rPr>
                <w:rFonts w:ascii="Arial" w:eastAsia="Calibri" w:hAnsi="Arial" w:cs="Arial"/>
                <w:b/>
                <w:bCs/>
                <w:szCs w:val="22"/>
              </w:rPr>
            </w:pPr>
            <w:r w:rsidRPr="00F05812">
              <w:rPr>
                <w:rFonts w:ascii="Arial" w:eastAsia="Calibri" w:hAnsi="Arial" w:cs="Arial"/>
                <w:b/>
                <w:bCs/>
                <w:szCs w:val="22"/>
              </w:rPr>
              <w:t>Results:</w:t>
            </w:r>
            <w:r w:rsidRPr="00F05812">
              <w:rPr>
                <w:rFonts w:ascii="Arial" w:eastAsia="Calibri" w:hAnsi="Arial" w:cs="Arial"/>
                <w:szCs w:val="22"/>
              </w:rPr>
              <w:t xml:space="preserve"> </w:t>
            </w:r>
            <w:r w:rsidR="00101A81" w:rsidRPr="00F05812">
              <w:rPr>
                <w:rFonts w:ascii="Arial" w:eastAsia="Calibri" w:hAnsi="Arial" w:cs="Arial"/>
                <w:szCs w:val="22"/>
              </w:rPr>
              <w:t>The final vaccine construct showed favorable physicochemical properties, structural stability, and strong interaction with immune receptor targets. Molecular dynamics simulations confirmed stability of the vaccine–receptor complex. Codon optimization and in silico cloning indicated efficient expression potential in a suitable host system.</w:t>
            </w:r>
          </w:p>
          <w:p w14:paraId="441F657D" w14:textId="316A86EA" w:rsidR="00505F06" w:rsidRPr="00F05812" w:rsidRDefault="00BA1B01" w:rsidP="00441B6F">
            <w:pPr>
              <w:pStyle w:val="Body"/>
              <w:spacing w:after="0"/>
              <w:rPr>
                <w:rFonts w:ascii="Arial" w:eastAsia="Calibri" w:hAnsi="Arial" w:cs="Arial"/>
                <w:szCs w:val="22"/>
              </w:rPr>
            </w:pPr>
            <w:r w:rsidRPr="00F05812">
              <w:rPr>
                <w:rFonts w:ascii="Arial" w:eastAsia="Calibri" w:hAnsi="Arial" w:cs="Arial"/>
                <w:b/>
                <w:bCs/>
                <w:szCs w:val="22"/>
              </w:rPr>
              <w:t>Conclusion:</w:t>
            </w:r>
            <w:r w:rsidRPr="00F05812">
              <w:rPr>
                <w:rFonts w:ascii="Arial" w:eastAsia="Calibri" w:hAnsi="Arial" w:cs="Arial"/>
                <w:szCs w:val="22"/>
              </w:rPr>
              <w:t xml:space="preserve"> </w:t>
            </w:r>
            <w:r w:rsidR="00101A81" w:rsidRPr="00F05812">
              <w:rPr>
                <w:rFonts w:ascii="Arial" w:eastAsia="Calibri" w:hAnsi="Arial" w:cs="Arial"/>
                <w:szCs w:val="22"/>
              </w:rPr>
              <w:t>The proposed multi-epitope vaccine construct is predicted to be stable, immunogenic, and suitable for further experimental validation as a preventive strategy against cryptococcal meningitis.</w:t>
            </w:r>
          </w:p>
        </w:tc>
      </w:tr>
    </w:tbl>
    <w:p w14:paraId="28837257" w14:textId="77777777" w:rsidR="00636EB2" w:rsidRPr="00F05812" w:rsidRDefault="00636EB2" w:rsidP="00441B6F">
      <w:pPr>
        <w:pStyle w:val="Body"/>
        <w:spacing w:after="0"/>
        <w:rPr>
          <w:rFonts w:ascii="Arial" w:hAnsi="Arial" w:cs="Arial"/>
          <w:i/>
        </w:rPr>
      </w:pPr>
    </w:p>
    <w:p w14:paraId="1773A58A" w14:textId="5E509117" w:rsidR="00505F06" w:rsidRPr="00F05812" w:rsidRDefault="00101A81" w:rsidP="005806BD">
      <w:pPr>
        <w:pStyle w:val="Body"/>
        <w:rPr>
          <w:rFonts w:ascii="Arial" w:hAnsi="Arial" w:cs="Arial"/>
          <w:i/>
          <w:iCs/>
        </w:rPr>
      </w:pPr>
      <w:r w:rsidRPr="00F05812">
        <w:rPr>
          <w:rFonts w:ascii="Arial" w:hAnsi="Arial" w:cs="Arial"/>
          <w:b/>
          <w:bCs/>
          <w:i/>
          <w:iCs/>
        </w:rPr>
        <w:t>Keywords:</w:t>
      </w:r>
      <w:r w:rsidRPr="00F05812">
        <w:rPr>
          <w:rFonts w:ascii="Arial" w:hAnsi="Arial" w:cs="Arial"/>
          <w:i/>
          <w:iCs/>
        </w:rPr>
        <w:t xml:space="preserve"> Cryptococcal meningitis; multi-epitope vaccine; immunoinformatics; Cryptococcus neoformans</w:t>
      </w:r>
    </w:p>
    <w:p w14:paraId="4AA24D37" w14:textId="76064909" w:rsidR="007F7B32" w:rsidRPr="00F05812" w:rsidRDefault="00B01FCD" w:rsidP="005806BD">
      <w:pPr>
        <w:pStyle w:val="Heading1"/>
        <w:numPr>
          <w:ilvl w:val="0"/>
          <w:numId w:val="33"/>
        </w:numPr>
        <w:ind w:left="284" w:hanging="284"/>
        <w:rPr>
          <w:rFonts w:cs="Arial"/>
          <w:sz w:val="22"/>
          <w:szCs w:val="16"/>
        </w:rPr>
      </w:pPr>
      <w:r w:rsidRPr="00F05812">
        <w:rPr>
          <w:rFonts w:cs="Arial"/>
          <w:sz w:val="22"/>
          <w:szCs w:val="16"/>
        </w:rPr>
        <w:t>INTRODUCTION</w:t>
      </w:r>
      <w:r w:rsidR="007F7B32" w:rsidRPr="00F05812">
        <w:rPr>
          <w:rFonts w:cs="Arial"/>
          <w:sz w:val="22"/>
          <w:szCs w:val="16"/>
        </w:rPr>
        <w:t xml:space="preserve"> </w:t>
      </w:r>
    </w:p>
    <w:p w14:paraId="4F7905A8" w14:textId="77777777" w:rsidR="00790ADA" w:rsidRPr="00F05812" w:rsidRDefault="00790ADA" w:rsidP="00441B6F">
      <w:pPr>
        <w:pStyle w:val="AbstHead"/>
        <w:spacing w:after="0"/>
        <w:jc w:val="both"/>
        <w:rPr>
          <w:rFonts w:ascii="Arial" w:hAnsi="Arial" w:cs="Arial"/>
        </w:rPr>
      </w:pPr>
    </w:p>
    <w:p w14:paraId="32F51E8D" w14:textId="2DA7B5BB" w:rsidR="005806BD" w:rsidRPr="00F05812" w:rsidRDefault="005806BD" w:rsidP="005806BD">
      <w:pPr>
        <w:pStyle w:val="Body"/>
        <w:rPr>
          <w:rFonts w:ascii="Arial" w:hAnsi="Arial" w:cs="Arial"/>
        </w:rPr>
      </w:pPr>
      <w:r w:rsidRPr="00F05812">
        <w:rPr>
          <w:rFonts w:ascii="Arial" w:hAnsi="Arial" w:cs="Arial"/>
        </w:rPr>
        <w:t>Cryptococcus neoformans is the primary cause of cryptococcal meningitis, a potentially lethal infection that primarily affects immunocompromised individuals, particularly those living with HIV/AIDS [1, 2, 3</w:t>
      </w:r>
      <w:r w:rsidR="00E05C0E">
        <w:rPr>
          <w:rFonts w:ascii="Arial" w:hAnsi="Arial" w:cs="Arial"/>
        </w:rPr>
        <w:t xml:space="preserve">]. </w:t>
      </w:r>
      <w:r w:rsidRPr="00F05812">
        <w:rPr>
          <w:rFonts w:ascii="Arial" w:hAnsi="Arial" w:cs="Arial"/>
        </w:rPr>
        <w:t xml:space="preserve"> Approximately 180,000 people worldwide succumb to cryptococcal meningitis annually, with a disproportionate burden in low- and middle-income countries where diagnostic and treatment resources are limited [4, 5</w:t>
      </w:r>
      <w:r w:rsidR="00E05C0E">
        <w:rPr>
          <w:rFonts w:ascii="Arial" w:hAnsi="Arial" w:cs="Arial"/>
        </w:rPr>
        <w:t xml:space="preserve">]. </w:t>
      </w:r>
      <w:r w:rsidRPr="00F05812">
        <w:rPr>
          <w:rFonts w:ascii="Arial" w:hAnsi="Arial" w:cs="Arial"/>
        </w:rPr>
        <w:t xml:space="preserve"> Despite advancements in antifungal therapy, current treatment approaches remain largely reactive, relying on prolonged courses of medications that are often toxic, expensive, and difficult to access [6, 7</w:t>
      </w:r>
      <w:r w:rsidR="00E05C0E">
        <w:rPr>
          <w:rFonts w:ascii="Arial" w:hAnsi="Arial" w:cs="Arial"/>
        </w:rPr>
        <w:t xml:space="preserve">]. </w:t>
      </w:r>
      <w:r w:rsidRPr="00F05812">
        <w:rPr>
          <w:rFonts w:ascii="Arial" w:hAnsi="Arial" w:cs="Arial"/>
        </w:rPr>
        <w:t xml:space="preserve"> Furthermore, the emergence of antifungal resistance and the risk of immune reconstitution inflammatory syndrome (IRIS) remain significant clinical concerns [8, 9</w:t>
      </w:r>
      <w:r w:rsidR="00E05C0E">
        <w:rPr>
          <w:rFonts w:ascii="Arial" w:hAnsi="Arial" w:cs="Arial"/>
        </w:rPr>
        <w:t xml:space="preserve">]. </w:t>
      </w:r>
      <w:r w:rsidRPr="00F05812">
        <w:rPr>
          <w:rFonts w:ascii="Arial" w:hAnsi="Arial" w:cs="Arial"/>
        </w:rPr>
        <w:t xml:space="preserve"> Currently, there is no approved </w:t>
      </w:r>
      <w:r w:rsidRPr="00F05812">
        <w:rPr>
          <w:rFonts w:ascii="Arial" w:hAnsi="Arial" w:cs="Arial"/>
        </w:rPr>
        <w:lastRenderedPageBreak/>
        <w:t>vaccine for cryptococcal disease, leaving a critical gap in preventive measures against this fatal infection [2, 10</w:t>
      </w:r>
      <w:r w:rsidR="00E05C0E">
        <w:rPr>
          <w:rFonts w:ascii="Arial" w:hAnsi="Arial" w:cs="Arial"/>
        </w:rPr>
        <w:t xml:space="preserve">]. </w:t>
      </w:r>
    </w:p>
    <w:p w14:paraId="00A1E5C9" w14:textId="39962547" w:rsidR="005806BD" w:rsidRPr="00F05812" w:rsidRDefault="005806BD" w:rsidP="005806BD">
      <w:pPr>
        <w:pStyle w:val="Body"/>
        <w:rPr>
          <w:rFonts w:ascii="Arial" w:hAnsi="Arial" w:cs="Arial"/>
        </w:rPr>
      </w:pPr>
      <w:r w:rsidRPr="00F05812">
        <w:rPr>
          <w:rFonts w:ascii="Arial" w:hAnsi="Arial" w:cs="Arial"/>
        </w:rPr>
        <w:t>Recent progress in genomics and computational biology has facilitated the rise of reverse vaccinology. This approach utilizes immunoinformatics tools and genome-derived protein sequences to identify potential vaccine candidates without the requirement for pathogen cultivation [11, 12</w:t>
      </w:r>
      <w:r w:rsidR="00E05C0E">
        <w:rPr>
          <w:rFonts w:ascii="Arial" w:hAnsi="Arial" w:cs="Arial"/>
        </w:rPr>
        <w:t xml:space="preserve">]. </w:t>
      </w:r>
      <w:r w:rsidRPr="00F05812">
        <w:rPr>
          <w:rFonts w:ascii="Arial" w:hAnsi="Arial" w:cs="Arial"/>
        </w:rPr>
        <w:t xml:space="preserve"> Reverse vaccinology represents a logical and cost-effective strategy for vaccine design, especially for complex fungal pathogens where traditional methods may fail.</w:t>
      </w:r>
    </w:p>
    <w:p w14:paraId="5DF90C56" w14:textId="18E73037" w:rsidR="005806BD" w:rsidRPr="00F05812" w:rsidRDefault="005806BD" w:rsidP="005806BD">
      <w:pPr>
        <w:pStyle w:val="Body"/>
        <w:rPr>
          <w:rFonts w:ascii="Arial" w:hAnsi="Arial" w:cs="Arial"/>
        </w:rPr>
      </w:pPr>
      <w:r w:rsidRPr="00F05812">
        <w:rPr>
          <w:rFonts w:ascii="Arial" w:hAnsi="Arial" w:cs="Arial"/>
        </w:rPr>
        <w:t>To minimize safety risks while eliciting robust humoral and cellular immune responses, multi-epitope vaccine design has emerged as an advanced subunit strategy. This method involves predicting and combining specific B-cell and T-cell epitopes into a single synthetic construct [10, 9</w:t>
      </w:r>
      <w:r w:rsidR="00E05C0E">
        <w:rPr>
          <w:rFonts w:ascii="Arial" w:hAnsi="Arial" w:cs="Arial"/>
        </w:rPr>
        <w:t xml:space="preserve">]. </w:t>
      </w:r>
    </w:p>
    <w:p w14:paraId="15002A0D" w14:textId="1DB8E609" w:rsidR="00505F06" w:rsidRPr="00F05812" w:rsidRDefault="005806BD" w:rsidP="005806BD">
      <w:pPr>
        <w:pStyle w:val="Body"/>
        <w:spacing w:after="0"/>
        <w:rPr>
          <w:rFonts w:ascii="Arial" w:hAnsi="Arial" w:cs="Arial"/>
        </w:rPr>
      </w:pPr>
      <w:r w:rsidRPr="00F05812">
        <w:rPr>
          <w:rFonts w:ascii="Arial" w:hAnsi="Arial" w:cs="Arial"/>
        </w:rPr>
        <w:t>Recent silico studies have demonstrated the potential of these immunoinformatics-driven constructs as viable defensive prospects against various pathogens, including C. neoformans [11, 9</w:t>
      </w:r>
      <w:r w:rsidR="00E05C0E">
        <w:rPr>
          <w:rFonts w:ascii="Arial" w:hAnsi="Arial" w:cs="Arial"/>
        </w:rPr>
        <w:t xml:space="preserve">]. </w:t>
      </w:r>
      <w:r w:rsidRPr="00F05812">
        <w:rPr>
          <w:rFonts w:ascii="Arial" w:hAnsi="Arial" w:cs="Arial"/>
        </w:rPr>
        <w:t xml:space="preserve"> In this study, four proteins were selected based on their immunogenic potential: Mp88, Hsp70, Chitin Deacetylase 2 (Cda2), and GPI-anchored cell wall protein. The FASTA sequences for these targets were retrieved from the UniProtKB database for further analysis</w:t>
      </w:r>
    </w:p>
    <w:p w14:paraId="4259F17D" w14:textId="77777777" w:rsidR="00B01FCD" w:rsidRPr="00F05812" w:rsidRDefault="006B57D0" w:rsidP="00441B6F">
      <w:pPr>
        <w:pStyle w:val="Body"/>
        <w:spacing w:after="0"/>
        <w:rPr>
          <w:rFonts w:ascii="Arial" w:hAnsi="Arial" w:cs="Arial"/>
        </w:rPr>
      </w:pPr>
      <w:r w:rsidRPr="00F05812">
        <w:rPr>
          <w:rFonts w:ascii="Arial" w:hAnsi="Arial" w:cs="Arial"/>
        </w:rPr>
        <w:t>Provide a factual background, clearly defined problem, proposed solution, a brief literature survey and the scope and justification of the work done.]</w:t>
      </w:r>
    </w:p>
    <w:p w14:paraId="0F922E2B" w14:textId="77777777" w:rsidR="00790ADA" w:rsidRPr="00F05812" w:rsidRDefault="00790ADA" w:rsidP="00441B6F">
      <w:pPr>
        <w:pStyle w:val="Body"/>
        <w:spacing w:after="0"/>
        <w:rPr>
          <w:rFonts w:ascii="Arial" w:hAnsi="Arial" w:cs="Arial"/>
        </w:rPr>
      </w:pPr>
    </w:p>
    <w:p w14:paraId="6CF2D1CF" w14:textId="3B166ED4" w:rsidR="00A3151D" w:rsidRPr="00F05812" w:rsidRDefault="00902823" w:rsidP="004F67EE">
      <w:pPr>
        <w:pStyle w:val="AbstHead"/>
        <w:numPr>
          <w:ilvl w:val="0"/>
          <w:numId w:val="33"/>
        </w:numPr>
        <w:spacing w:after="0"/>
        <w:ind w:left="284" w:hanging="284"/>
        <w:jc w:val="both"/>
        <w:rPr>
          <w:rFonts w:ascii="Arial" w:hAnsi="Arial" w:cs="Arial"/>
        </w:rPr>
      </w:pPr>
      <w:r w:rsidRPr="00F05812">
        <w:rPr>
          <w:rFonts w:ascii="Arial" w:hAnsi="Arial" w:cs="Arial"/>
        </w:rPr>
        <w:t>material and method</w:t>
      </w:r>
      <w:r w:rsidR="00000F8F" w:rsidRPr="00F05812">
        <w:rPr>
          <w:rFonts w:ascii="Arial" w:hAnsi="Arial" w:cs="Arial"/>
        </w:rPr>
        <w:t xml:space="preserve">s </w:t>
      </w:r>
    </w:p>
    <w:p w14:paraId="0392A936" w14:textId="77777777" w:rsidR="00A3151D" w:rsidRPr="00F05812" w:rsidRDefault="00A3151D" w:rsidP="00AE7D54">
      <w:pPr>
        <w:pStyle w:val="Body"/>
        <w:spacing w:after="0"/>
        <w:ind w:left="360"/>
        <w:rPr>
          <w:rFonts w:ascii="Arial" w:hAnsi="Arial" w:cs="Arial"/>
        </w:rPr>
      </w:pPr>
    </w:p>
    <w:p w14:paraId="1FD4E334" w14:textId="328000F6" w:rsidR="001F35C8" w:rsidRPr="00F05812" w:rsidRDefault="001F35C8" w:rsidP="001F35C8">
      <w:pPr>
        <w:pStyle w:val="ListParagraph"/>
        <w:numPr>
          <w:ilvl w:val="1"/>
          <w:numId w:val="33"/>
        </w:numPr>
        <w:ind w:left="426" w:hanging="426"/>
        <w:jc w:val="both"/>
        <w:rPr>
          <w:rFonts w:ascii="Arial" w:hAnsi="Arial" w:cs="Arial"/>
          <w:b/>
          <w:caps/>
        </w:rPr>
      </w:pPr>
      <w:r w:rsidRPr="00F05812">
        <w:rPr>
          <w:rFonts w:ascii="Arial" w:hAnsi="Arial" w:cs="Arial"/>
          <w:b/>
        </w:rPr>
        <w:t>Target protein selection</w:t>
      </w:r>
    </w:p>
    <w:p w14:paraId="507AEB14" w14:textId="780357AD" w:rsidR="004F67EE" w:rsidRPr="00F05812" w:rsidRDefault="004F67EE" w:rsidP="00984E97">
      <w:pPr>
        <w:pStyle w:val="ListParagraph"/>
        <w:ind w:left="0"/>
        <w:jc w:val="both"/>
        <w:rPr>
          <w:rFonts w:ascii="Arial" w:hAnsi="Arial" w:cs="Arial"/>
          <w:bCs/>
        </w:rPr>
      </w:pPr>
      <w:r w:rsidRPr="00F05812">
        <w:rPr>
          <w:rFonts w:ascii="Arial" w:hAnsi="Arial" w:cs="Arial"/>
          <w:bCs/>
        </w:rPr>
        <w:t>To identify the most effective vaccine candidates, four specific proteins were selected based on their high immunogenic potential and their critical roles in the pathogen's lifecycle. These included MP88 [17], HSP70 [16], chitin deacetylase 2 (CDA2) [15], and a GPI-anchored cell wall protein [14</w:t>
      </w:r>
      <w:r w:rsidR="00E05C0E">
        <w:rPr>
          <w:rFonts w:ascii="Arial" w:hAnsi="Arial" w:cs="Arial"/>
          <w:bCs/>
        </w:rPr>
        <w:t xml:space="preserve">]. </w:t>
      </w:r>
      <w:r w:rsidRPr="00F05812">
        <w:rPr>
          <w:rFonts w:ascii="Arial" w:hAnsi="Arial" w:cs="Arial"/>
          <w:bCs/>
        </w:rPr>
        <w:t xml:space="preserve"> These targets were chosen because of their known ability to trigger a robust immune response and their accessibility on the fungal cell surface.</w:t>
      </w:r>
    </w:p>
    <w:p w14:paraId="64B7A74A" w14:textId="578F0B3F" w:rsidR="004E5D94" w:rsidRPr="00F05812" w:rsidRDefault="004F67EE" w:rsidP="00984E97">
      <w:pPr>
        <w:pStyle w:val="ListParagraph"/>
        <w:ind w:left="0"/>
        <w:jc w:val="both"/>
        <w:rPr>
          <w:rFonts w:ascii="Arial" w:hAnsi="Arial" w:cs="Arial"/>
          <w:bCs/>
        </w:rPr>
      </w:pPr>
      <w:r w:rsidRPr="00F05812">
        <w:rPr>
          <w:rFonts w:ascii="Arial" w:hAnsi="Arial" w:cs="Arial"/>
          <w:bCs/>
        </w:rPr>
        <w:t>The primary amino acid sequences for each of these targets were retrieved in FASTA format from the UniProtKB database [13</w:t>
      </w:r>
      <w:r w:rsidR="00E05C0E">
        <w:rPr>
          <w:rFonts w:ascii="Arial" w:hAnsi="Arial" w:cs="Arial"/>
          <w:bCs/>
        </w:rPr>
        <w:t xml:space="preserve">]. </w:t>
      </w:r>
      <w:r w:rsidRPr="00F05812">
        <w:rPr>
          <w:rFonts w:ascii="Arial" w:hAnsi="Arial" w:cs="Arial"/>
          <w:bCs/>
        </w:rPr>
        <w:t xml:space="preserve"> This ensured that the most accurate, manually curated, and up-to-date sequences were used as the foundation for all subsequent computational modeling and epitope mapping.</w:t>
      </w:r>
    </w:p>
    <w:p w14:paraId="641563BE" w14:textId="77777777" w:rsidR="004F67EE" w:rsidRPr="00F05812" w:rsidRDefault="004F67EE" w:rsidP="00984E97">
      <w:pPr>
        <w:pStyle w:val="ListParagraph"/>
        <w:ind w:left="0"/>
        <w:jc w:val="both"/>
        <w:rPr>
          <w:rFonts w:ascii="Arial" w:hAnsi="Arial" w:cs="Arial"/>
          <w:bCs/>
        </w:rPr>
      </w:pPr>
    </w:p>
    <w:p w14:paraId="17A0F115" w14:textId="6EBBEA4D" w:rsidR="00A3151D" w:rsidRPr="00F05812" w:rsidRDefault="00A3151D" w:rsidP="001F35C8">
      <w:pPr>
        <w:pStyle w:val="ListParagraph"/>
        <w:numPr>
          <w:ilvl w:val="1"/>
          <w:numId w:val="33"/>
        </w:numPr>
        <w:ind w:left="426" w:hanging="426"/>
        <w:jc w:val="both"/>
        <w:rPr>
          <w:rFonts w:ascii="Arial" w:hAnsi="Arial" w:cs="Arial"/>
          <w:b/>
          <w:caps/>
        </w:rPr>
      </w:pPr>
      <w:r w:rsidRPr="00F05812">
        <w:rPr>
          <w:rFonts w:ascii="Arial" w:hAnsi="Arial" w:cs="Arial"/>
          <w:b/>
          <w:caps/>
        </w:rPr>
        <w:t xml:space="preserve"> </w:t>
      </w:r>
      <w:r w:rsidR="002F75EE" w:rsidRPr="00F05812">
        <w:rPr>
          <w:rFonts w:ascii="Arial" w:hAnsi="Arial" w:cs="Arial"/>
          <w:b/>
        </w:rPr>
        <w:t>Epitope prediction and screening</w:t>
      </w:r>
    </w:p>
    <w:p w14:paraId="39A36A4D" w14:textId="2EBC179F" w:rsidR="006465B2" w:rsidRPr="00F05812" w:rsidRDefault="006465B2" w:rsidP="006465B2">
      <w:pPr>
        <w:pStyle w:val="ListParagraph"/>
        <w:ind w:left="0"/>
        <w:jc w:val="both"/>
        <w:rPr>
          <w:rFonts w:ascii="Arial" w:hAnsi="Arial" w:cs="Arial"/>
        </w:rPr>
      </w:pPr>
      <w:r w:rsidRPr="00F05812">
        <w:rPr>
          <w:rFonts w:ascii="Arial" w:hAnsi="Arial" w:cs="Arial"/>
        </w:rPr>
        <w:t>Using IEDB [18] and NetMHCpan [19] the Cytotoxic T lymphocyte (MHC-I), Helper t lymphocyte (MHC-II), and B-cell epitopes were predicted. ·VaxiJen [20], AllerTOP [21], ToxinPred [22], and IFNepitope [23] screened for antigenicity, allergenicity, toxicity, and</w:t>
      </w:r>
    </w:p>
    <w:p w14:paraId="7F9176C7" w14:textId="78638AC3" w:rsidR="00A3151D" w:rsidRPr="00F05812" w:rsidRDefault="006465B2" w:rsidP="006465B2">
      <w:pPr>
        <w:jc w:val="both"/>
        <w:rPr>
          <w:rFonts w:ascii="Arial" w:hAnsi="Arial" w:cs="Arial"/>
        </w:rPr>
      </w:pPr>
      <w:r w:rsidRPr="00F05812">
        <w:rPr>
          <w:rFonts w:ascii="Arial" w:hAnsi="Arial" w:cs="Arial"/>
        </w:rPr>
        <w:t>IFN-γ induction respectively. The Population coverage analysis [24] ensured global applicability.</w:t>
      </w:r>
    </w:p>
    <w:p w14:paraId="4B8444DA" w14:textId="77777777" w:rsidR="006465B2" w:rsidRPr="00F05812" w:rsidRDefault="006465B2" w:rsidP="006465B2">
      <w:pPr>
        <w:jc w:val="both"/>
        <w:rPr>
          <w:rFonts w:ascii="Arial" w:hAnsi="Arial" w:cs="Arial"/>
        </w:rPr>
      </w:pPr>
    </w:p>
    <w:p w14:paraId="1D08E0EB" w14:textId="1F6014DC" w:rsidR="00A3151D" w:rsidRPr="00F05812" w:rsidRDefault="002F75EE" w:rsidP="001F35C8">
      <w:pPr>
        <w:pStyle w:val="ListParagraph"/>
        <w:numPr>
          <w:ilvl w:val="1"/>
          <w:numId w:val="33"/>
        </w:numPr>
        <w:ind w:left="426" w:hanging="426"/>
        <w:jc w:val="both"/>
        <w:rPr>
          <w:rFonts w:ascii="Arial" w:hAnsi="Arial" w:cs="Arial"/>
          <w:b/>
          <w:caps/>
        </w:rPr>
      </w:pPr>
      <w:r w:rsidRPr="00F05812">
        <w:rPr>
          <w:rFonts w:ascii="Arial" w:hAnsi="Arial" w:cs="Arial"/>
          <w:b/>
        </w:rPr>
        <w:t xml:space="preserve"> Vaccine construct design </w:t>
      </w:r>
    </w:p>
    <w:p w14:paraId="32FE8202" w14:textId="54E7E57C" w:rsidR="004F67EE" w:rsidRPr="00F05812" w:rsidRDefault="004F67EE" w:rsidP="00984E97">
      <w:pPr>
        <w:jc w:val="both"/>
        <w:rPr>
          <w:rFonts w:ascii="Arial" w:hAnsi="Arial" w:cs="Arial"/>
        </w:rPr>
      </w:pPr>
      <w:r w:rsidRPr="00F05812">
        <w:rPr>
          <w:rFonts w:ascii="Arial" w:hAnsi="Arial" w:cs="Arial"/>
        </w:rPr>
        <w:t>The assembly of the multi-epitope vaccine was strategically engineered to ensure both structural stability and high processing efficiency. To prevent the formation of "junctional epitopes" and to facilitate proper proteasomal cleavage, the selected epitopes were merged using specialized AAY, GPGPG, and KK linkers [20</w:t>
      </w:r>
      <w:r w:rsidR="00E05C0E">
        <w:rPr>
          <w:rFonts w:ascii="Arial" w:hAnsi="Arial" w:cs="Arial"/>
        </w:rPr>
        <w:t xml:space="preserve">]. </w:t>
      </w:r>
      <w:r w:rsidRPr="00F05812">
        <w:rPr>
          <w:rFonts w:ascii="Arial" w:hAnsi="Arial" w:cs="Arial"/>
        </w:rPr>
        <w:t xml:space="preserve"> These linkers act as physical spacers that allow each epitope to be presented effectively to the immune system without structural interference.</w:t>
      </w:r>
    </w:p>
    <w:p w14:paraId="41AC46C8" w14:textId="6FCC55ED" w:rsidR="004F67EE" w:rsidRPr="00F05812" w:rsidRDefault="004F67EE" w:rsidP="00984E97">
      <w:pPr>
        <w:jc w:val="both"/>
        <w:rPr>
          <w:rFonts w:ascii="Arial" w:hAnsi="Arial" w:cs="Arial"/>
        </w:rPr>
      </w:pPr>
      <w:r w:rsidRPr="00F05812">
        <w:rPr>
          <w:rFonts w:ascii="Arial" w:hAnsi="Arial" w:cs="Arial"/>
        </w:rPr>
        <w:t xml:space="preserve">To further boost the vaccine's potency, </w:t>
      </w:r>
      <w:r w:rsidR="006465B2" w:rsidRPr="00F05812">
        <w:rPr>
          <w:rFonts w:ascii="Arial" w:hAnsi="Arial" w:cs="Arial"/>
        </w:rPr>
        <w:t>alpha</w:t>
      </w:r>
      <w:r w:rsidRPr="00F05812">
        <w:rPr>
          <w:rFonts w:ascii="Arial" w:hAnsi="Arial" w:cs="Arial"/>
        </w:rPr>
        <w:t>-defensin adjuvant was incorporated at the N-terminus, alongside a PADRE sequence, both of which serve to significantly enhance the overall immunogenicity of the construct [21</w:t>
      </w:r>
      <w:r w:rsidR="00E05C0E">
        <w:rPr>
          <w:rFonts w:ascii="Arial" w:hAnsi="Arial" w:cs="Arial"/>
        </w:rPr>
        <w:t xml:space="preserve">]. </w:t>
      </w:r>
      <w:r w:rsidRPr="00F05812">
        <w:rPr>
          <w:rFonts w:ascii="Arial" w:hAnsi="Arial" w:cs="Arial"/>
        </w:rPr>
        <w:t xml:space="preserve"> These elements are vital for stimulating both innate and adaptive immune pathways. The final vaccine sequence, which attained a total length of 360 amino acids, was also appended with a 6xHis tag at the C-terminus to facilitate </w:t>
      </w:r>
      <w:r w:rsidRPr="00F05812">
        <w:rPr>
          <w:rFonts w:ascii="Arial" w:hAnsi="Arial" w:cs="Arial"/>
        </w:rPr>
        <w:lastRenderedPageBreak/>
        <w:t>future downstream protein purification and detection. Throughout the design process, careful consideration was given to the role of post-translational modifications, as these factors are often decisive in determining the ultimate stability and biological efficacy of the vaccine within a host system [22</w:t>
      </w:r>
      <w:r w:rsidR="00E05C0E">
        <w:rPr>
          <w:rFonts w:ascii="Arial" w:hAnsi="Arial" w:cs="Arial"/>
        </w:rPr>
        <w:t xml:space="preserve">]. </w:t>
      </w:r>
    </w:p>
    <w:p w14:paraId="77E7E007" w14:textId="77777777" w:rsidR="00A3151D" w:rsidRPr="00F05812" w:rsidRDefault="00A3151D" w:rsidP="004F67EE">
      <w:pPr>
        <w:jc w:val="both"/>
        <w:rPr>
          <w:rFonts w:ascii="Arial" w:hAnsi="Arial" w:cs="Arial"/>
          <w:b/>
          <w:caps/>
        </w:rPr>
      </w:pPr>
    </w:p>
    <w:p w14:paraId="669B2C1E" w14:textId="53B73F3D" w:rsidR="00A3151D" w:rsidRPr="00F05812" w:rsidRDefault="00A3151D" w:rsidP="001F35C8">
      <w:pPr>
        <w:pStyle w:val="ListParagraph"/>
        <w:numPr>
          <w:ilvl w:val="1"/>
          <w:numId w:val="33"/>
        </w:numPr>
        <w:ind w:left="426" w:hanging="426"/>
        <w:jc w:val="both"/>
        <w:rPr>
          <w:rFonts w:ascii="Arial" w:hAnsi="Arial" w:cs="Arial"/>
          <w:b/>
          <w:caps/>
        </w:rPr>
      </w:pPr>
      <w:r w:rsidRPr="00F05812">
        <w:rPr>
          <w:rFonts w:ascii="Arial" w:hAnsi="Arial" w:cs="Arial"/>
          <w:b/>
          <w:caps/>
        </w:rPr>
        <w:t xml:space="preserve"> </w:t>
      </w:r>
      <w:r w:rsidR="002F75EE" w:rsidRPr="00F05812">
        <w:rPr>
          <w:rFonts w:ascii="Arial" w:hAnsi="Arial" w:cs="Arial"/>
          <w:b/>
        </w:rPr>
        <w:t>Physicochemical analysis</w:t>
      </w:r>
    </w:p>
    <w:p w14:paraId="3C2FDA16" w14:textId="417489E9" w:rsidR="00A3151D" w:rsidRPr="00F05812" w:rsidRDefault="001F35C8" w:rsidP="006465B2">
      <w:pPr>
        <w:jc w:val="both"/>
        <w:rPr>
          <w:rFonts w:ascii="Arial" w:hAnsi="Arial" w:cs="Arial"/>
        </w:rPr>
      </w:pPr>
      <w:r w:rsidRPr="00F05812">
        <w:rPr>
          <w:rFonts w:ascii="Arial" w:hAnsi="Arial" w:cs="Arial"/>
        </w:rPr>
        <w:t>ProtParam is an ExPASy tool that computes crucial physicochemical parameters—such</w:t>
      </w:r>
      <w:r w:rsidR="006465B2" w:rsidRPr="00F05812">
        <w:rPr>
          <w:rFonts w:ascii="Arial" w:hAnsi="Arial" w:cs="Arial"/>
        </w:rPr>
        <w:t xml:space="preserve"> </w:t>
      </w:r>
      <w:r w:rsidRPr="00F05812">
        <w:rPr>
          <w:rFonts w:ascii="Arial" w:hAnsi="Arial" w:cs="Arial"/>
        </w:rPr>
        <w:t>as molecular weight, theoretical pI, amino acid composition, instability index, and</w:t>
      </w:r>
      <w:r w:rsidR="006465B2" w:rsidRPr="00F05812">
        <w:rPr>
          <w:rFonts w:ascii="Arial" w:hAnsi="Arial" w:cs="Arial"/>
        </w:rPr>
        <w:t xml:space="preserve"> </w:t>
      </w:r>
      <w:r w:rsidRPr="00F05812">
        <w:rPr>
          <w:rFonts w:ascii="Arial" w:hAnsi="Arial" w:cs="Arial"/>
        </w:rPr>
        <w:t>hydropathicity (GRAVY)—from a protein's primary sequence to predict its stability and</w:t>
      </w:r>
      <w:r w:rsidR="006465B2" w:rsidRPr="00F05812">
        <w:rPr>
          <w:rFonts w:ascii="Arial" w:hAnsi="Arial" w:cs="Arial"/>
        </w:rPr>
        <w:t xml:space="preserve"> </w:t>
      </w:r>
      <w:r w:rsidRPr="00F05812">
        <w:rPr>
          <w:rFonts w:ascii="Arial" w:hAnsi="Arial" w:cs="Arial"/>
        </w:rPr>
        <w:t>behavior. ProtParam</w:t>
      </w:r>
      <w:r w:rsidR="00A3151D" w:rsidRPr="00F05812">
        <w:rPr>
          <w:rFonts w:ascii="Arial" w:hAnsi="Arial" w:cs="Arial"/>
        </w:rPr>
        <w:t xml:space="preserve"> analysis confirmed the vaccine to be [</w:t>
      </w:r>
      <w:proofErr w:type="gramStart"/>
      <w:r w:rsidR="00A3151D" w:rsidRPr="00F05812">
        <w:rPr>
          <w:rFonts w:ascii="Arial" w:hAnsi="Arial" w:cs="Arial"/>
        </w:rPr>
        <w:t>25]Stable</w:t>
      </w:r>
      <w:proofErr w:type="gramEnd"/>
      <w:r w:rsidR="00A3151D" w:rsidRPr="00F05812">
        <w:rPr>
          <w:rFonts w:ascii="Arial" w:hAnsi="Arial" w:cs="Arial"/>
        </w:rPr>
        <w:t xml:space="preserve"> (Instability Index:</w:t>
      </w:r>
      <w:r w:rsidR="006465B2" w:rsidRPr="00F05812">
        <w:rPr>
          <w:rFonts w:ascii="Arial" w:hAnsi="Arial" w:cs="Arial"/>
        </w:rPr>
        <w:t xml:space="preserve"> </w:t>
      </w:r>
      <w:r w:rsidR="00A3151D" w:rsidRPr="00F05812">
        <w:rPr>
          <w:rFonts w:ascii="Arial" w:hAnsi="Arial" w:cs="Arial"/>
        </w:rPr>
        <w:t>25.81)</w:t>
      </w:r>
      <w:r w:rsidRPr="00F05812">
        <w:rPr>
          <w:rFonts w:ascii="Arial" w:hAnsi="Arial" w:cs="Arial"/>
        </w:rPr>
        <w:t xml:space="preserve">, </w:t>
      </w:r>
      <w:r w:rsidR="00A3151D" w:rsidRPr="00F05812">
        <w:rPr>
          <w:rFonts w:ascii="Arial" w:hAnsi="Arial" w:cs="Arial"/>
        </w:rPr>
        <w:t>Hydrophilic (GRAVY: -0.138)</w:t>
      </w:r>
      <w:r w:rsidRPr="00F05812">
        <w:rPr>
          <w:rFonts w:ascii="Arial" w:hAnsi="Arial" w:cs="Arial"/>
        </w:rPr>
        <w:t xml:space="preserve">, </w:t>
      </w:r>
      <w:r w:rsidR="00A3151D" w:rsidRPr="00F05812">
        <w:rPr>
          <w:rFonts w:ascii="Arial" w:hAnsi="Arial" w:cs="Arial"/>
        </w:rPr>
        <w:t>Thermostable (Aliphatic Index: 73.11).</w:t>
      </w:r>
    </w:p>
    <w:p w14:paraId="40875DE3" w14:textId="77777777" w:rsidR="00A3151D" w:rsidRPr="00F05812" w:rsidRDefault="00A3151D" w:rsidP="00B86710">
      <w:pPr>
        <w:jc w:val="both"/>
        <w:rPr>
          <w:rFonts w:ascii="Arial" w:hAnsi="Arial" w:cs="Arial"/>
        </w:rPr>
      </w:pPr>
    </w:p>
    <w:p w14:paraId="3FFE37F0" w14:textId="77777777" w:rsidR="001F35C8" w:rsidRPr="00F05812" w:rsidRDefault="00A3151D" w:rsidP="001F35C8">
      <w:pPr>
        <w:pStyle w:val="ListParagraph"/>
        <w:numPr>
          <w:ilvl w:val="1"/>
          <w:numId w:val="33"/>
        </w:numPr>
        <w:ind w:left="426" w:hanging="426"/>
        <w:jc w:val="both"/>
        <w:rPr>
          <w:rFonts w:ascii="Arial" w:hAnsi="Arial" w:cs="Arial"/>
          <w:b/>
          <w:caps/>
        </w:rPr>
      </w:pPr>
      <w:r w:rsidRPr="00F05812">
        <w:rPr>
          <w:rFonts w:ascii="Arial" w:hAnsi="Arial" w:cs="Arial"/>
          <w:b/>
          <w:caps/>
        </w:rPr>
        <w:t xml:space="preserve"> </w:t>
      </w:r>
      <w:r w:rsidR="002F75EE" w:rsidRPr="00F05812">
        <w:rPr>
          <w:rFonts w:ascii="Arial" w:hAnsi="Arial" w:cs="Arial"/>
          <w:b/>
        </w:rPr>
        <w:t>Structure modeling and validation</w:t>
      </w:r>
    </w:p>
    <w:p w14:paraId="757D934E" w14:textId="2A45A19D" w:rsidR="00A3151D" w:rsidRPr="00F05812" w:rsidRDefault="001F35C8" w:rsidP="006465B2">
      <w:pPr>
        <w:pStyle w:val="ListParagraph"/>
        <w:ind w:left="0"/>
        <w:jc w:val="both"/>
        <w:rPr>
          <w:rFonts w:ascii="Arial" w:hAnsi="Arial" w:cs="Arial"/>
          <w:b/>
          <w:caps/>
        </w:rPr>
      </w:pPr>
      <w:r w:rsidRPr="00F05812">
        <w:rPr>
          <w:rFonts w:ascii="Arial" w:hAnsi="Arial" w:cs="Arial"/>
          <w:bCs/>
        </w:rPr>
        <w:t>The</w:t>
      </w:r>
      <w:r w:rsidRPr="00F05812">
        <w:rPr>
          <w:rFonts w:ascii="Arial" w:hAnsi="Arial" w:cs="Arial"/>
          <w:b/>
        </w:rPr>
        <w:t xml:space="preserve"> </w:t>
      </w:r>
      <w:r w:rsidRPr="00F05812">
        <w:rPr>
          <w:rFonts w:ascii="Arial" w:hAnsi="Arial" w:cs="Arial"/>
        </w:rPr>
        <w:t>t</w:t>
      </w:r>
      <w:r w:rsidR="00A3151D" w:rsidRPr="00F05812">
        <w:rPr>
          <w:rFonts w:ascii="Arial" w:hAnsi="Arial" w:cs="Arial"/>
        </w:rPr>
        <w:t>ertiary structure</w:t>
      </w:r>
      <w:r w:rsidRPr="00F05812">
        <w:rPr>
          <w:rFonts w:ascii="Arial" w:hAnsi="Arial" w:cs="Arial"/>
        </w:rPr>
        <w:t xml:space="preserve"> of the protein was</w:t>
      </w:r>
      <w:r w:rsidR="00A3151D" w:rsidRPr="00F05812">
        <w:rPr>
          <w:rFonts w:ascii="Arial" w:hAnsi="Arial" w:cs="Arial"/>
        </w:rPr>
        <w:t xml:space="preserve"> predicted via AlphaFold</w:t>
      </w:r>
      <w:r w:rsidR="004E5D94" w:rsidRPr="00F05812">
        <w:rPr>
          <w:rFonts w:ascii="Arial" w:hAnsi="Arial" w:cs="Arial"/>
        </w:rPr>
        <w:t xml:space="preserve"> which gives high-accuracy structural predictions. </w:t>
      </w:r>
      <w:r w:rsidR="00A3151D" w:rsidRPr="00F05812">
        <w:rPr>
          <w:rFonts w:ascii="Arial" w:hAnsi="Arial" w:cs="Arial"/>
        </w:rPr>
        <w:t>[26]</w:t>
      </w:r>
      <w:r w:rsidR="004E5D94" w:rsidRPr="00F05812">
        <w:rPr>
          <w:rFonts w:ascii="Arial" w:hAnsi="Arial" w:cs="Arial"/>
        </w:rPr>
        <w:t xml:space="preserve"> To optimize local geometry and eliminate potential steric clashes, the raw model generated by AlphaFold was processed through</w:t>
      </w:r>
      <w:r w:rsidRPr="00F05812">
        <w:rPr>
          <w:rFonts w:ascii="Arial" w:hAnsi="Arial" w:cs="Arial"/>
        </w:rPr>
        <w:t xml:space="preserve"> </w:t>
      </w:r>
      <w:r w:rsidR="00A3151D" w:rsidRPr="00F05812">
        <w:rPr>
          <w:rFonts w:ascii="Arial" w:hAnsi="Arial" w:cs="Arial"/>
        </w:rPr>
        <w:t>GalaxyRefine</w:t>
      </w:r>
      <w:r w:rsidR="004E5D94" w:rsidRPr="00F05812">
        <w:rPr>
          <w:rFonts w:ascii="Arial" w:hAnsi="Arial" w:cs="Arial"/>
        </w:rPr>
        <w:t xml:space="preserve"> server</w:t>
      </w:r>
      <w:r w:rsidR="00A3151D" w:rsidRPr="00F05812">
        <w:rPr>
          <w:rFonts w:ascii="Arial" w:hAnsi="Arial" w:cs="Arial"/>
        </w:rPr>
        <w:t>. [27]</w:t>
      </w:r>
      <w:r w:rsidRPr="00F05812">
        <w:rPr>
          <w:rFonts w:ascii="Arial" w:hAnsi="Arial" w:cs="Arial"/>
        </w:rPr>
        <w:t xml:space="preserve"> Post refining it was </w:t>
      </w:r>
      <w:r w:rsidR="004E5D94" w:rsidRPr="00F05812">
        <w:rPr>
          <w:rFonts w:ascii="Arial" w:hAnsi="Arial" w:cs="Arial"/>
        </w:rPr>
        <w:t>assessed through the validation tools</w:t>
      </w:r>
      <w:r w:rsidR="00A3151D" w:rsidRPr="00F05812">
        <w:rPr>
          <w:rFonts w:ascii="Arial" w:hAnsi="Arial" w:cs="Arial"/>
        </w:rPr>
        <w:t xml:space="preserve"> PROCHECK [28], ERRAT [29], and ProSA-web [30]</w:t>
      </w:r>
      <w:r w:rsidR="004E5D94" w:rsidRPr="00F05812">
        <w:rPr>
          <w:rFonts w:ascii="Arial" w:hAnsi="Arial" w:cs="Arial"/>
        </w:rPr>
        <w:t xml:space="preserve"> to ensure residues were within the favorable regions of the Ramachandran plot.</w:t>
      </w:r>
    </w:p>
    <w:p w14:paraId="1883BD2F" w14:textId="77777777" w:rsidR="00B31F65" w:rsidRPr="00F05812" w:rsidRDefault="00B31F65" w:rsidP="00B31F65">
      <w:pPr>
        <w:pStyle w:val="ListParagraph"/>
        <w:ind w:left="928"/>
        <w:jc w:val="both"/>
        <w:rPr>
          <w:rFonts w:ascii="Arial" w:hAnsi="Arial" w:cs="Arial"/>
          <w:b/>
          <w:caps/>
        </w:rPr>
      </w:pPr>
    </w:p>
    <w:p w14:paraId="7807072E" w14:textId="77777777" w:rsidR="001F35C8" w:rsidRPr="00F05812" w:rsidRDefault="00A3151D" w:rsidP="006465B2">
      <w:pPr>
        <w:pStyle w:val="ListParagraph"/>
        <w:numPr>
          <w:ilvl w:val="1"/>
          <w:numId w:val="33"/>
        </w:numPr>
        <w:ind w:left="426" w:hanging="426"/>
        <w:jc w:val="both"/>
        <w:rPr>
          <w:rFonts w:ascii="Arial" w:hAnsi="Arial" w:cs="Arial"/>
          <w:b/>
          <w:caps/>
        </w:rPr>
      </w:pPr>
      <w:r w:rsidRPr="00F05812">
        <w:rPr>
          <w:rFonts w:ascii="Arial" w:hAnsi="Arial" w:cs="Arial"/>
        </w:rPr>
        <w:t xml:space="preserve"> </w:t>
      </w:r>
      <w:r w:rsidR="002F75EE" w:rsidRPr="00F05812">
        <w:rPr>
          <w:rFonts w:ascii="Arial" w:hAnsi="Arial" w:cs="Arial"/>
          <w:b/>
          <w:bCs/>
        </w:rPr>
        <w:t>Molecular docking &amp; dynamics</w:t>
      </w:r>
    </w:p>
    <w:p w14:paraId="448EDD2B" w14:textId="3A2747D3" w:rsidR="004E5D94" w:rsidRPr="00F05812" w:rsidRDefault="00A3151D" w:rsidP="006465B2">
      <w:pPr>
        <w:pStyle w:val="ListParagraph"/>
        <w:ind w:left="0"/>
        <w:jc w:val="both"/>
        <w:rPr>
          <w:rFonts w:ascii="Arial" w:hAnsi="Arial" w:cs="Arial"/>
        </w:rPr>
      </w:pPr>
      <w:r w:rsidRPr="00F05812">
        <w:rPr>
          <w:rFonts w:ascii="Arial" w:hAnsi="Arial" w:cs="Arial"/>
        </w:rPr>
        <w:t>Docking with TLR4 via HADDOCK [31] yielded a strong binding score (-89.8).</w:t>
      </w:r>
      <w:r w:rsidR="004E5D94" w:rsidRPr="00F05812">
        <w:rPr>
          <w:rFonts w:ascii="Arial" w:hAnsi="Arial" w:cs="Arial"/>
        </w:rPr>
        <w:t xml:space="preserve"> The i</w:t>
      </w:r>
      <w:r w:rsidRPr="00F05812">
        <w:rPr>
          <w:rFonts w:ascii="Arial" w:hAnsi="Arial" w:cs="Arial"/>
        </w:rPr>
        <w:t>nteraction maps confirmed receptor engagement via PDBsum [32</w:t>
      </w:r>
      <w:r w:rsidR="00E05C0E">
        <w:rPr>
          <w:rFonts w:ascii="Arial" w:hAnsi="Arial" w:cs="Arial"/>
        </w:rPr>
        <w:t xml:space="preserve">]. </w:t>
      </w:r>
    </w:p>
    <w:p w14:paraId="2A13C2AC" w14:textId="37485CFD" w:rsidR="00A3151D" w:rsidRPr="00F05812" w:rsidRDefault="004E5D94" w:rsidP="006465B2">
      <w:pPr>
        <w:pStyle w:val="ListParagraph"/>
        <w:ind w:left="0"/>
        <w:jc w:val="both"/>
        <w:rPr>
          <w:rFonts w:ascii="Arial" w:hAnsi="Arial" w:cs="Arial"/>
        </w:rPr>
      </w:pPr>
      <w:r w:rsidRPr="00F05812">
        <w:rPr>
          <w:rFonts w:ascii="Arial" w:hAnsi="Arial" w:cs="Arial"/>
        </w:rPr>
        <w:t>Molecular dynamics (MD) simulation in GROMACS, being a standard protocol for studying protein-ligand complexes, it provides enough time to observe protein stability, binding site dynamics, and conformational changes over the time of 100ns. GROMACS simulation (100 ns) [33] showed structural stability (RMSD ~1.0 nm, stable Rg and SASA).</w:t>
      </w:r>
    </w:p>
    <w:p w14:paraId="6D1FAFAA" w14:textId="77777777" w:rsidR="00A3151D" w:rsidRPr="00F05812" w:rsidRDefault="00A3151D" w:rsidP="00AE7D54">
      <w:pPr>
        <w:pStyle w:val="ListParagraph"/>
        <w:ind w:left="993"/>
        <w:jc w:val="both"/>
        <w:rPr>
          <w:rFonts w:ascii="Arial" w:hAnsi="Arial" w:cs="Arial"/>
        </w:rPr>
      </w:pPr>
    </w:p>
    <w:p w14:paraId="642BCC7B" w14:textId="77777777" w:rsidR="00354964" w:rsidRPr="00F05812" w:rsidRDefault="00A3151D" w:rsidP="006465B2">
      <w:pPr>
        <w:pStyle w:val="ListParagraph"/>
        <w:numPr>
          <w:ilvl w:val="1"/>
          <w:numId w:val="33"/>
        </w:numPr>
        <w:ind w:left="426" w:hanging="426"/>
        <w:jc w:val="both"/>
        <w:rPr>
          <w:rFonts w:ascii="Arial" w:hAnsi="Arial" w:cs="Arial"/>
          <w:b/>
          <w:caps/>
        </w:rPr>
      </w:pPr>
      <w:r w:rsidRPr="00F05812">
        <w:rPr>
          <w:rFonts w:ascii="Arial" w:hAnsi="Arial" w:cs="Arial"/>
          <w:b/>
          <w:caps/>
        </w:rPr>
        <w:t xml:space="preserve"> </w:t>
      </w:r>
      <w:r w:rsidR="002F75EE" w:rsidRPr="00F05812">
        <w:rPr>
          <w:rFonts w:ascii="Arial" w:hAnsi="Arial" w:cs="Arial"/>
          <w:b/>
        </w:rPr>
        <w:t>Expression analysis</w:t>
      </w:r>
    </w:p>
    <w:p w14:paraId="67578A59" w14:textId="571C6A60" w:rsidR="00354964" w:rsidRPr="00F05812" w:rsidRDefault="00A3151D" w:rsidP="006465B2">
      <w:pPr>
        <w:pStyle w:val="ListParagraph"/>
        <w:ind w:left="0"/>
        <w:jc w:val="both"/>
        <w:rPr>
          <w:rFonts w:ascii="Arial" w:hAnsi="Arial" w:cs="Arial"/>
        </w:rPr>
      </w:pPr>
      <w:r w:rsidRPr="00F05812">
        <w:rPr>
          <w:rFonts w:ascii="Arial" w:hAnsi="Arial" w:cs="Arial"/>
        </w:rPr>
        <w:t xml:space="preserve">Codon optimization via </w:t>
      </w:r>
      <w:r w:rsidR="00354964" w:rsidRPr="00F05812">
        <w:rPr>
          <w:rFonts w:ascii="Arial" w:hAnsi="Arial" w:cs="Arial"/>
        </w:rPr>
        <w:t xml:space="preserve">Java Codon Adaptation Tool (JCat) </w:t>
      </w:r>
      <w:r w:rsidRPr="00F05812">
        <w:rPr>
          <w:rFonts w:ascii="Arial" w:hAnsi="Arial" w:cs="Arial"/>
        </w:rPr>
        <w:t>[34]:</w:t>
      </w:r>
      <w:r w:rsidR="00354964" w:rsidRPr="00F05812">
        <w:rPr>
          <w:rFonts w:ascii="Arial" w:hAnsi="Arial" w:cs="Arial"/>
        </w:rPr>
        <w:t xml:space="preserve"> This process yielded a Codon Adaptation Index (CAI) of </w:t>
      </w:r>
      <w:r w:rsidRPr="00F05812">
        <w:rPr>
          <w:rFonts w:ascii="Arial" w:hAnsi="Arial" w:cs="Arial"/>
        </w:rPr>
        <w:t>1.0, GC</w:t>
      </w:r>
      <w:r w:rsidR="00354964" w:rsidRPr="00F05812">
        <w:rPr>
          <w:rFonts w:ascii="Arial" w:hAnsi="Arial" w:cs="Arial"/>
        </w:rPr>
        <w:t xml:space="preserve"> content of</w:t>
      </w:r>
      <w:r w:rsidRPr="00F05812">
        <w:rPr>
          <w:rFonts w:ascii="Arial" w:hAnsi="Arial" w:cs="Arial"/>
        </w:rPr>
        <w:t xml:space="preserve"> 51.67%</w:t>
      </w:r>
      <w:r w:rsidR="00354964" w:rsidRPr="00F05812">
        <w:rPr>
          <w:rFonts w:ascii="Arial" w:hAnsi="Arial" w:cs="Arial"/>
        </w:rPr>
        <w:t xml:space="preserve"> indicating an ideal match with the host’s tRNA availability and stable mRNA formation.</w:t>
      </w:r>
    </w:p>
    <w:p w14:paraId="155074BB" w14:textId="3436B782" w:rsidR="00A3151D" w:rsidRPr="00F05812" w:rsidRDefault="00354964" w:rsidP="006465B2">
      <w:pPr>
        <w:pStyle w:val="ListParagraph"/>
        <w:ind w:left="0"/>
        <w:jc w:val="both"/>
        <w:rPr>
          <w:rFonts w:ascii="Arial" w:hAnsi="Arial" w:cs="Arial"/>
        </w:rPr>
      </w:pPr>
      <w:r w:rsidRPr="00F05812">
        <w:rPr>
          <w:rFonts w:ascii="Arial" w:hAnsi="Arial" w:cs="Arial"/>
        </w:rPr>
        <w:t>Following the optimization, the sequence was computationally inserted into the pET28</w:t>
      </w:r>
      <w:proofErr w:type="gramStart"/>
      <w:r w:rsidRPr="00F05812">
        <w:rPr>
          <w:rFonts w:ascii="Arial" w:hAnsi="Arial" w:cs="Arial"/>
        </w:rPr>
        <w:t>a(</w:t>
      </w:r>
      <w:proofErr w:type="gramEnd"/>
      <w:r w:rsidRPr="00F05812">
        <w:rPr>
          <w:rFonts w:ascii="Arial" w:hAnsi="Arial" w:cs="Arial"/>
        </w:rPr>
        <w:t>+) expression vector.</w:t>
      </w:r>
      <w:r w:rsidR="004F67EE" w:rsidRPr="00F05812">
        <w:rPr>
          <w:rFonts w:ascii="Arial" w:hAnsi="Arial" w:cs="Arial"/>
        </w:rPr>
        <w:t xml:space="preserve"> </w:t>
      </w:r>
      <w:r w:rsidRPr="00F05812">
        <w:rPr>
          <w:rFonts w:ascii="Arial" w:hAnsi="Arial" w:cs="Arial"/>
        </w:rPr>
        <w:t xml:space="preserve">The successful orientation of the construct was then verified and visualized using SnapGene </w:t>
      </w:r>
      <w:r w:rsidR="00A3151D" w:rsidRPr="00F05812">
        <w:rPr>
          <w:rFonts w:ascii="Arial" w:hAnsi="Arial" w:cs="Arial"/>
        </w:rPr>
        <w:t>[35</w:t>
      </w:r>
      <w:r w:rsidR="00E05C0E">
        <w:rPr>
          <w:rFonts w:ascii="Arial" w:hAnsi="Arial" w:cs="Arial"/>
        </w:rPr>
        <w:t xml:space="preserve">]. </w:t>
      </w:r>
    </w:p>
    <w:p w14:paraId="4418E501" w14:textId="77777777" w:rsidR="00790ADA" w:rsidRPr="00F05812" w:rsidRDefault="00790ADA" w:rsidP="00441B6F">
      <w:pPr>
        <w:pStyle w:val="Body"/>
        <w:spacing w:after="0"/>
        <w:rPr>
          <w:rFonts w:ascii="Arial" w:hAnsi="Arial" w:cs="Arial"/>
        </w:rPr>
      </w:pPr>
    </w:p>
    <w:p w14:paraId="459BE4A4" w14:textId="7EC574A1" w:rsidR="00EE5169" w:rsidRPr="00F05812" w:rsidRDefault="00000F8F" w:rsidP="006465B2">
      <w:pPr>
        <w:pStyle w:val="Head1"/>
        <w:numPr>
          <w:ilvl w:val="0"/>
          <w:numId w:val="33"/>
        </w:numPr>
        <w:spacing w:after="0"/>
        <w:ind w:left="284" w:hanging="284"/>
        <w:jc w:val="both"/>
        <w:rPr>
          <w:rFonts w:ascii="Arial" w:hAnsi="Arial" w:cs="Arial"/>
        </w:rPr>
      </w:pPr>
      <w:r w:rsidRPr="00F05812">
        <w:rPr>
          <w:rFonts w:ascii="Arial" w:hAnsi="Arial" w:cs="Arial"/>
        </w:rPr>
        <w:t xml:space="preserve">results </w:t>
      </w:r>
    </w:p>
    <w:p w14:paraId="42323BAB" w14:textId="77777777" w:rsidR="00B86710" w:rsidRPr="00F05812" w:rsidRDefault="00B86710" w:rsidP="00B86710">
      <w:pPr>
        <w:pStyle w:val="Head1"/>
        <w:spacing w:after="0"/>
        <w:ind w:left="426"/>
        <w:jc w:val="both"/>
        <w:rPr>
          <w:rFonts w:ascii="Arial" w:hAnsi="Arial" w:cs="Arial"/>
        </w:rPr>
      </w:pPr>
    </w:p>
    <w:p w14:paraId="4B102AE2" w14:textId="77777777" w:rsidR="00B86710" w:rsidRPr="00F05812" w:rsidRDefault="00B86710" w:rsidP="006465B2">
      <w:pPr>
        <w:pStyle w:val="ListParagraph"/>
        <w:numPr>
          <w:ilvl w:val="1"/>
          <w:numId w:val="33"/>
        </w:numPr>
        <w:ind w:left="426" w:hanging="426"/>
        <w:jc w:val="both"/>
        <w:rPr>
          <w:rFonts w:ascii="Arial" w:hAnsi="Arial" w:cs="Arial"/>
          <w:b/>
          <w:caps/>
        </w:rPr>
      </w:pPr>
      <w:r w:rsidRPr="00F05812">
        <w:rPr>
          <w:rFonts w:ascii="Arial" w:hAnsi="Arial" w:cs="Arial"/>
          <w:b/>
        </w:rPr>
        <w:t xml:space="preserve"> Sequence retrieval from NCBI:</w:t>
      </w:r>
    </w:p>
    <w:p w14:paraId="57281BD5" w14:textId="2E8E5895" w:rsidR="00D01F10" w:rsidRPr="00F05812" w:rsidRDefault="00B86710" w:rsidP="00B1731E">
      <w:pPr>
        <w:pStyle w:val="ListParagraph"/>
        <w:ind w:left="0" w:right="-14"/>
        <w:jc w:val="both"/>
        <w:rPr>
          <w:rFonts w:ascii="Arial" w:hAnsi="Arial" w:cs="Arial"/>
        </w:rPr>
      </w:pPr>
      <w:r w:rsidRPr="00F05812">
        <w:rPr>
          <w:rFonts w:ascii="Arial" w:hAnsi="Arial" w:cs="Arial"/>
        </w:rPr>
        <w:t>The primary amino acid sequence of the target protein was successfully retrieved in FASTA format from the UniProtKB database [13</w:t>
      </w:r>
      <w:r w:rsidR="00E05C0E">
        <w:rPr>
          <w:rFonts w:ascii="Arial" w:hAnsi="Arial" w:cs="Arial"/>
        </w:rPr>
        <w:t xml:space="preserve">]. </w:t>
      </w:r>
      <w:r w:rsidRPr="00F05812">
        <w:rPr>
          <w:rFonts w:ascii="Arial" w:hAnsi="Arial" w:cs="Arial"/>
        </w:rPr>
        <w:t xml:space="preserve"> This step was essential to ensure the use of a high-quality, manually curated sequence that is cross-referenced with existing experimental data. By sourcing the sequence from this comprehensive repository, a reliable foundation was established for all subsequent computational modeling and structural analysis.</w:t>
      </w:r>
    </w:p>
    <w:p w14:paraId="6BF6D8CB" w14:textId="77777777" w:rsidR="00B1731E" w:rsidRPr="00F05812" w:rsidRDefault="00B1731E" w:rsidP="00B1731E">
      <w:pPr>
        <w:pStyle w:val="ListParagraph"/>
        <w:ind w:left="0"/>
        <w:jc w:val="both"/>
        <w:rPr>
          <w:rFonts w:ascii="Arial" w:hAnsi="Arial" w:cs="Arial"/>
        </w:rPr>
      </w:pPr>
    </w:p>
    <w:p w14:paraId="2D5CB5A2" w14:textId="5D6161DB" w:rsidR="00984E97" w:rsidRPr="00F05812" w:rsidRDefault="00984E97" w:rsidP="00B1731E">
      <w:pPr>
        <w:pStyle w:val="ListParagraph"/>
        <w:numPr>
          <w:ilvl w:val="1"/>
          <w:numId w:val="33"/>
        </w:numPr>
        <w:ind w:left="426" w:hanging="426"/>
        <w:jc w:val="both"/>
        <w:rPr>
          <w:rFonts w:ascii="Arial" w:hAnsi="Arial" w:cs="Arial"/>
          <w:b/>
          <w:caps/>
        </w:rPr>
      </w:pPr>
      <w:r w:rsidRPr="00F05812">
        <w:rPr>
          <w:rFonts w:ascii="Arial" w:hAnsi="Arial" w:cs="Arial"/>
          <w:b/>
        </w:rPr>
        <w:t>Screening of epitopes:</w:t>
      </w:r>
    </w:p>
    <w:p w14:paraId="7E0A8674" w14:textId="46817822" w:rsidR="00984E97" w:rsidRPr="00F05812" w:rsidRDefault="00984E97" w:rsidP="00B1731E">
      <w:pPr>
        <w:pStyle w:val="ListParagraph"/>
        <w:ind w:left="0"/>
        <w:jc w:val="both"/>
        <w:rPr>
          <w:rFonts w:ascii="Arial" w:hAnsi="Arial" w:cs="Arial"/>
          <w:b/>
          <w:caps/>
        </w:rPr>
      </w:pPr>
      <w:r w:rsidRPr="00F05812">
        <w:rPr>
          <w:rFonts w:ascii="Arial" w:hAnsi="Arial" w:cs="Arial"/>
        </w:rPr>
        <w:t xml:space="preserve">Candidate epitopes were rigorously screened based on their antigenicity, allergenicity, and toxicity profiles to ensure the selection of only the most potent and safe peptides for the final vaccine construct </w:t>
      </w:r>
    </w:p>
    <w:p w14:paraId="14FA678C" w14:textId="77777777" w:rsidR="00984E97" w:rsidRPr="00F05812" w:rsidRDefault="00984E97" w:rsidP="00984E97">
      <w:pPr>
        <w:pStyle w:val="ListParagraph"/>
        <w:ind w:left="426"/>
        <w:jc w:val="both"/>
        <w:rPr>
          <w:rFonts w:ascii="Arial" w:hAnsi="Arial" w:cs="Arial"/>
          <w:b/>
          <w:caps/>
        </w:rPr>
      </w:pPr>
    </w:p>
    <w:p w14:paraId="54E4D930" w14:textId="728FB5CD" w:rsidR="00553C54" w:rsidRPr="00F05812" w:rsidRDefault="00984E97" w:rsidP="00B1731E">
      <w:pPr>
        <w:pStyle w:val="Head1"/>
        <w:numPr>
          <w:ilvl w:val="2"/>
          <w:numId w:val="33"/>
        </w:numPr>
        <w:spacing w:after="0"/>
        <w:ind w:left="567" w:hanging="567"/>
        <w:jc w:val="both"/>
        <w:rPr>
          <w:rFonts w:ascii="Arial" w:hAnsi="Arial" w:cs="Arial"/>
          <w:sz w:val="20"/>
          <w:szCs w:val="18"/>
        </w:rPr>
      </w:pPr>
      <w:r w:rsidRPr="00F05812">
        <w:rPr>
          <w:rFonts w:ascii="Arial" w:hAnsi="Arial" w:cs="Arial"/>
          <w:caps w:val="0"/>
          <w:sz w:val="20"/>
          <w:szCs w:val="18"/>
        </w:rPr>
        <w:t>Screening of CTL and HTL epitopes:</w:t>
      </w:r>
    </w:p>
    <w:p w14:paraId="4889FA0B" w14:textId="358397BC" w:rsidR="00553C54" w:rsidRPr="00F05812" w:rsidRDefault="00553C54" w:rsidP="00B1731E">
      <w:pPr>
        <w:spacing w:after="240"/>
        <w:jc w:val="both"/>
        <w:rPr>
          <w:rFonts w:ascii="Arial" w:hAnsi="Arial" w:cs="Arial"/>
        </w:rPr>
      </w:pPr>
      <w:r w:rsidRPr="00F05812">
        <w:rPr>
          <w:rFonts w:ascii="Arial" w:hAnsi="Arial" w:cs="Arial"/>
        </w:rPr>
        <w:t xml:space="preserve">Using the IEDB server, both CTL (MHCI) and HTL (MHC-II) epitopes were predicted from selected Cryptococcus neoformans proteins. These epitopes were screened for antigenicity, non-toxicity, non-allergenicity, and IFN-γ induction potential using tools like VaxiJen, </w:t>
      </w:r>
      <w:r w:rsidRPr="00F05812">
        <w:rPr>
          <w:rFonts w:ascii="Arial" w:hAnsi="Arial" w:cs="Arial"/>
        </w:rPr>
        <w:lastRenderedPageBreak/>
        <w:t>ToxinPred, AllerTOP, and IFNepitope. Based on this analysis, 6 CTL and 7 HTL epitopes were shortlisted for the final vaccine construct due to their strong immunogenic profiles and safety characteristics (Table 1</w:t>
      </w:r>
      <w:r w:rsidR="00291ED8">
        <w:rPr>
          <w:rFonts w:ascii="Arial" w:hAnsi="Arial" w:cs="Arial"/>
        </w:rPr>
        <w:t>a</w:t>
      </w:r>
      <w:r w:rsidRPr="00F05812">
        <w:rPr>
          <w:rFonts w:ascii="Arial" w:hAnsi="Arial" w:cs="Arial"/>
        </w:rPr>
        <w:t xml:space="preserve"> and Table 1</w:t>
      </w:r>
      <w:r w:rsidR="00291ED8">
        <w:rPr>
          <w:rFonts w:ascii="Arial" w:hAnsi="Arial" w:cs="Arial"/>
        </w:rPr>
        <w:t>b</w:t>
      </w:r>
      <w:r w:rsidRPr="00F05812">
        <w:rPr>
          <w:rFonts w:ascii="Arial" w:hAnsi="Arial" w:cs="Arial"/>
        </w:rPr>
        <w:t>)</w:t>
      </w:r>
    </w:p>
    <w:p w14:paraId="41221EE3" w14:textId="2861F93A" w:rsidR="00B31F65" w:rsidRPr="00F05812" w:rsidRDefault="00B31F65" w:rsidP="002D7657">
      <w:pPr>
        <w:spacing w:after="240"/>
        <w:jc w:val="both"/>
        <w:rPr>
          <w:rFonts w:ascii="Arial" w:hAnsi="Arial" w:cs="Arial"/>
          <w:b/>
          <w:bCs/>
          <w:i/>
          <w:iCs/>
        </w:rPr>
      </w:pPr>
      <w:r w:rsidRPr="00F05812">
        <w:rPr>
          <w:rFonts w:ascii="Arial" w:hAnsi="Arial" w:cs="Arial"/>
          <w:b/>
          <w:bCs/>
          <w:i/>
          <w:iCs/>
        </w:rPr>
        <w:t>Table 1</w:t>
      </w:r>
      <w:r w:rsidR="00487768">
        <w:rPr>
          <w:rFonts w:ascii="Arial" w:hAnsi="Arial" w:cs="Arial"/>
          <w:b/>
          <w:bCs/>
          <w:i/>
          <w:iCs/>
        </w:rPr>
        <w:t>a</w:t>
      </w:r>
      <w:r w:rsidRPr="00F05812">
        <w:rPr>
          <w:rFonts w:ascii="Arial" w:hAnsi="Arial" w:cs="Arial"/>
          <w:b/>
          <w:bCs/>
          <w:i/>
          <w:iCs/>
        </w:rPr>
        <w:t>. Screened MHC-I epitopes.</w:t>
      </w:r>
    </w:p>
    <w:tbl>
      <w:tblPr>
        <w:tblStyle w:val="TableGrid"/>
        <w:tblW w:w="8322" w:type="dxa"/>
        <w:tblLayout w:type="fixed"/>
        <w:tblLook w:val="04A0" w:firstRow="1" w:lastRow="0" w:firstColumn="1" w:lastColumn="0" w:noHBand="0" w:noVBand="1"/>
      </w:tblPr>
      <w:tblGrid>
        <w:gridCol w:w="1003"/>
        <w:gridCol w:w="1329"/>
        <w:gridCol w:w="1023"/>
        <w:gridCol w:w="1315"/>
        <w:gridCol w:w="1168"/>
        <w:gridCol w:w="1023"/>
        <w:gridCol w:w="1461"/>
      </w:tblGrid>
      <w:tr w:rsidR="006B31A1" w:rsidRPr="00F05812" w14:paraId="06588903" w14:textId="77777777" w:rsidTr="006B31A1">
        <w:trPr>
          <w:trHeight w:val="545"/>
        </w:trPr>
        <w:tc>
          <w:tcPr>
            <w:tcW w:w="1003" w:type="dxa"/>
            <w:hideMark/>
          </w:tcPr>
          <w:p w14:paraId="023C1B1C" w14:textId="77777777" w:rsidR="00B31F65" w:rsidRPr="00F05812" w:rsidRDefault="00B31F65" w:rsidP="00B31F65">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Protein</w:t>
            </w:r>
          </w:p>
        </w:tc>
        <w:tc>
          <w:tcPr>
            <w:tcW w:w="1329" w:type="dxa"/>
            <w:hideMark/>
          </w:tcPr>
          <w:p w14:paraId="56E8AFED" w14:textId="77777777" w:rsidR="00B31F65" w:rsidRPr="00F05812" w:rsidRDefault="00B31F65" w:rsidP="00B31F65">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Peptide</w:t>
            </w:r>
          </w:p>
        </w:tc>
        <w:tc>
          <w:tcPr>
            <w:tcW w:w="1023" w:type="dxa"/>
            <w:hideMark/>
          </w:tcPr>
          <w:p w14:paraId="37B1FE21" w14:textId="77777777" w:rsidR="00B31F65" w:rsidRPr="00F05812" w:rsidRDefault="00B31F65" w:rsidP="00B31F65">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Allele</w:t>
            </w:r>
          </w:p>
        </w:tc>
        <w:tc>
          <w:tcPr>
            <w:tcW w:w="1315" w:type="dxa"/>
            <w:hideMark/>
          </w:tcPr>
          <w:p w14:paraId="426EF91A" w14:textId="77777777" w:rsidR="00B31F65" w:rsidRPr="00F05812" w:rsidRDefault="00B31F65" w:rsidP="00B31F65">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Toxicity</w:t>
            </w:r>
          </w:p>
        </w:tc>
        <w:tc>
          <w:tcPr>
            <w:tcW w:w="1168" w:type="dxa"/>
            <w:hideMark/>
          </w:tcPr>
          <w:p w14:paraId="36572E5E" w14:textId="2FE937AB" w:rsidR="00B31F65" w:rsidRPr="00F05812" w:rsidRDefault="00B31F65" w:rsidP="00B31F65">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Allergenicity</w:t>
            </w:r>
          </w:p>
        </w:tc>
        <w:tc>
          <w:tcPr>
            <w:tcW w:w="1023" w:type="dxa"/>
            <w:hideMark/>
          </w:tcPr>
          <w:p w14:paraId="499A9068" w14:textId="0A0AD30E" w:rsidR="00B31F65" w:rsidRPr="00F05812" w:rsidRDefault="00B1731E" w:rsidP="00B31F65">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Antigenicity</w:t>
            </w:r>
          </w:p>
        </w:tc>
        <w:tc>
          <w:tcPr>
            <w:tcW w:w="1461" w:type="dxa"/>
            <w:hideMark/>
          </w:tcPr>
          <w:p w14:paraId="49A2D1D4" w14:textId="6DCB4E62" w:rsidR="00B31F65" w:rsidRPr="00F05812" w:rsidRDefault="00B31F65" w:rsidP="00B31F65">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Immunogen</w:t>
            </w:r>
            <w:r w:rsidR="00B1731E" w:rsidRPr="00F05812">
              <w:rPr>
                <w:rFonts w:ascii="Arial" w:hAnsi="Arial" w:cs="Arial"/>
                <w:b/>
                <w:bCs/>
                <w:color w:val="000000"/>
                <w:sz w:val="20"/>
                <w:szCs w:val="20"/>
                <w:lang w:val="en-IN" w:eastAsia="en-IN"/>
              </w:rPr>
              <w:t>ic</w:t>
            </w:r>
            <w:r w:rsidRPr="00F05812">
              <w:rPr>
                <w:rFonts w:ascii="Arial" w:hAnsi="Arial" w:cs="Arial"/>
                <w:b/>
                <w:bCs/>
                <w:color w:val="000000"/>
                <w:sz w:val="20"/>
                <w:szCs w:val="20"/>
                <w:lang w:val="en-IN" w:eastAsia="en-IN"/>
              </w:rPr>
              <w:t>ity</w:t>
            </w:r>
          </w:p>
        </w:tc>
      </w:tr>
      <w:tr w:rsidR="006B31A1" w:rsidRPr="00F05812" w14:paraId="35561394" w14:textId="77777777" w:rsidTr="006B31A1">
        <w:trPr>
          <w:trHeight w:val="296"/>
        </w:trPr>
        <w:tc>
          <w:tcPr>
            <w:tcW w:w="1003" w:type="dxa"/>
            <w:hideMark/>
          </w:tcPr>
          <w:p w14:paraId="0D8CE726" w14:textId="77777777" w:rsidR="00B31F65" w:rsidRPr="00F05812" w:rsidRDefault="00B31F65" w:rsidP="00B31F65">
            <w:pP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Mp88</w:t>
            </w:r>
          </w:p>
        </w:tc>
        <w:tc>
          <w:tcPr>
            <w:tcW w:w="1329" w:type="dxa"/>
            <w:hideMark/>
          </w:tcPr>
          <w:p w14:paraId="718C52FA"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AMAGVISVV</w:t>
            </w:r>
          </w:p>
        </w:tc>
        <w:tc>
          <w:tcPr>
            <w:tcW w:w="1023" w:type="dxa"/>
            <w:hideMark/>
          </w:tcPr>
          <w:p w14:paraId="2F58272C"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HLA-A*02:03</w:t>
            </w:r>
          </w:p>
        </w:tc>
        <w:tc>
          <w:tcPr>
            <w:tcW w:w="1315" w:type="dxa"/>
            <w:hideMark/>
          </w:tcPr>
          <w:p w14:paraId="63E3A19E" w14:textId="745D8DAF"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2EBC140C" w14:textId="7DC15F9F"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0059EE8C"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152130B4"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377FE328" w14:textId="77777777" w:rsidTr="006B31A1">
        <w:trPr>
          <w:trHeight w:val="296"/>
        </w:trPr>
        <w:tc>
          <w:tcPr>
            <w:tcW w:w="1003" w:type="dxa"/>
            <w:hideMark/>
          </w:tcPr>
          <w:p w14:paraId="4239E0B9"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416F01F5"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STSTFQQRY</w:t>
            </w:r>
          </w:p>
        </w:tc>
        <w:tc>
          <w:tcPr>
            <w:tcW w:w="1023" w:type="dxa"/>
            <w:hideMark/>
          </w:tcPr>
          <w:p w14:paraId="5AAAEB4B"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HLA-A*30:02</w:t>
            </w:r>
          </w:p>
        </w:tc>
        <w:tc>
          <w:tcPr>
            <w:tcW w:w="1315" w:type="dxa"/>
            <w:hideMark/>
          </w:tcPr>
          <w:p w14:paraId="6A118D89" w14:textId="1FC0D5AE"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3E6FB32F" w14:textId="00ADDD8A"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5E39F9EC"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7135C97E"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78C62FF5" w14:textId="77777777" w:rsidTr="006B31A1">
        <w:trPr>
          <w:trHeight w:val="296"/>
        </w:trPr>
        <w:tc>
          <w:tcPr>
            <w:tcW w:w="1003" w:type="dxa"/>
            <w:hideMark/>
          </w:tcPr>
          <w:p w14:paraId="403A3D17"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154660BE"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SAYPPGWYI</w:t>
            </w:r>
          </w:p>
        </w:tc>
        <w:tc>
          <w:tcPr>
            <w:tcW w:w="1023" w:type="dxa"/>
            <w:hideMark/>
          </w:tcPr>
          <w:p w14:paraId="47FA1424"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HLA-A*68:02</w:t>
            </w:r>
          </w:p>
        </w:tc>
        <w:tc>
          <w:tcPr>
            <w:tcW w:w="1315" w:type="dxa"/>
            <w:hideMark/>
          </w:tcPr>
          <w:p w14:paraId="5FE38EFB" w14:textId="71ED09BA"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37F10E39" w14:textId="340520F2"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35BB6EC9"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7295D2D5"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23929C73" w14:textId="77777777" w:rsidTr="006B31A1">
        <w:trPr>
          <w:trHeight w:val="296"/>
        </w:trPr>
        <w:tc>
          <w:tcPr>
            <w:tcW w:w="1003" w:type="dxa"/>
            <w:hideMark/>
          </w:tcPr>
          <w:p w14:paraId="662AD080"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138D9A24"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TAMAGVISV</w:t>
            </w:r>
          </w:p>
        </w:tc>
        <w:tc>
          <w:tcPr>
            <w:tcW w:w="1023" w:type="dxa"/>
            <w:hideMark/>
          </w:tcPr>
          <w:p w14:paraId="3A5F102D"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HLA-A*68:02</w:t>
            </w:r>
          </w:p>
        </w:tc>
        <w:tc>
          <w:tcPr>
            <w:tcW w:w="1315" w:type="dxa"/>
            <w:hideMark/>
          </w:tcPr>
          <w:p w14:paraId="6BFC518E" w14:textId="2FDF3FB8"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49D1B22A" w14:textId="47F6AB36"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0CACDF96"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5F0A274D"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2B53232E" w14:textId="77777777" w:rsidTr="006B31A1">
        <w:trPr>
          <w:trHeight w:val="296"/>
        </w:trPr>
        <w:tc>
          <w:tcPr>
            <w:tcW w:w="1003" w:type="dxa"/>
            <w:hideMark/>
          </w:tcPr>
          <w:p w14:paraId="4A88BBB2"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7A958649"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TAMAGVISV</w:t>
            </w:r>
          </w:p>
        </w:tc>
        <w:tc>
          <w:tcPr>
            <w:tcW w:w="1023" w:type="dxa"/>
            <w:hideMark/>
          </w:tcPr>
          <w:p w14:paraId="554D8A91"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HLA-A*02:06</w:t>
            </w:r>
          </w:p>
        </w:tc>
        <w:tc>
          <w:tcPr>
            <w:tcW w:w="1315" w:type="dxa"/>
            <w:hideMark/>
          </w:tcPr>
          <w:p w14:paraId="1AC9B3D2" w14:textId="5E48852C"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47043C48" w14:textId="3EB05295"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08896A74"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1AC5A4E2"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226E60C1" w14:textId="77777777" w:rsidTr="006B31A1">
        <w:trPr>
          <w:trHeight w:val="296"/>
        </w:trPr>
        <w:tc>
          <w:tcPr>
            <w:tcW w:w="1003" w:type="dxa"/>
            <w:hideMark/>
          </w:tcPr>
          <w:p w14:paraId="2F797494" w14:textId="77777777" w:rsidR="00B31F65" w:rsidRPr="00F05812" w:rsidRDefault="00B31F65" w:rsidP="00B31F65">
            <w:pP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CDA 2</w:t>
            </w:r>
          </w:p>
        </w:tc>
        <w:tc>
          <w:tcPr>
            <w:tcW w:w="1329" w:type="dxa"/>
            <w:hideMark/>
          </w:tcPr>
          <w:p w14:paraId="617A1593"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VTEQDVTDNY</w:t>
            </w:r>
          </w:p>
        </w:tc>
        <w:tc>
          <w:tcPr>
            <w:tcW w:w="1023" w:type="dxa"/>
            <w:hideMark/>
          </w:tcPr>
          <w:p w14:paraId="239A9101"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HLA-B*44:02</w:t>
            </w:r>
          </w:p>
        </w:tc>
        <w:tc>
          <w:tcPr>
            <w:tcW w:w="1315" w:type="dxa"/>
            <w:hideMark/>
          </w:tcPr>
          <w:p w14:paraId="7BB99CB7" w14:textId="21FE34FD"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1ABE1204" w14:textId="427698B5"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08C5EEE9"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2C6B10C0"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36FB2B16" w14:textId="77777777" w:rsidTr="006B31A1">
        <w:trPr>
          <w:trHeight w:val="296"/>
        </w:trPr>
        <w:tc>
          <w:tcPr>
            <w:tcW w:w="1003" w:type="dxa"/>
            <w:hideMark/>
          </w:tcPr>
          <w:p w14:paraId="7F829F21"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511FBF15"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TEIASSFPTI</w:t>
            </w:r>
          </w:p>
        </w:tc>
        <w:tc>
          <w:tcPr>
            <w:tcW w:w="1023" w:type="dxa"/>
            <w:hideMark/>
          </w:tcPr>
          <w:p w14:paraId="49F2597A"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HLA-B*40:01</w:t>
            </w:r>
          </w:p>
        </w:tc>
        <w:tc>
          <w:tcPr>
            <w:tcW w:w="1315" w:type="dxa"/>
            <w:hideMark/>
          </w:tcPr>
          <w:p w14:paraId="715F76C8" w14:textId="2A4B932E"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765CD236" w14:textId="0AA72068"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61F94FAF"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3472E655"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7A0ED2D9" w14:textId="77777777" w:rsidTr="006B31A1">
        <w:trPr>
          <w:trHeight w:val="296"/>
        </w:trPr>
        <w:tc>
          <w:tcPr>
            <w:tcW w:w="1003" w:type="dxa"/>
            <w:hideMark/>
          </w:tcPr>
          <w:p w14:paraId="5CB0CD85"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05C9620E"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EIASSFPTI</w:t>
            </w:r>
          </w:p>
        </w:tc>
        <w:tc>
          <w:tcPr>
            <w:tcW w:w="1023" w:type="dxa"/>
            <w:hideMark/>
          </w:tcPr>
          <w:p w14:paraId="19C3546F"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HLA-A*26:01</w:t>
            </w:r>
          </w:p>
        </w:tc>
        <w:tc>
          <w:tcPr>
            <w:tcW w:w="1315" w:type="dxa"/>
            <w:hideMark/>
          </w:tcPr>
          <w:p w14:paraId="758AD347" w14:textId="0A6B65E9"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69D84A65" w14:textId="4719BA00"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29AAEB6B"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1D1642D6"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5436558C" w14:textId="77777777" w:rsidTr="006B31A1">
        <w:trPr>
          <w:trHeight w:val="296"/>
        </w:trPr>
        <w:tc>
          <w:tcPr>
            <w:tcW w:w="1003" w:type="dxa"/>
            <w:hideMark/>
          </w:tcPr>
          <w:p w14:paraId="25BBB722"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2D6D6733"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YTMSVMTMF</w:t>
            </w:r>
          </w:p>
        </w:tc>
        <w:tc>
          <w:tcPr>
            <w:tcW w:w="1023" w:type="dxa"/>
            <w:hideMark/>
          </w:tcPr>
          <w:p w14:paraId="591CCCD1"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HLA-B*58:01</w:t>
            </w:r>
          </w:p>
        </w:tc>
        <w:tc>
          <w:tcPr>
            <w:tcW w:w="1315" w:type="dxa"/>
            <w:hideMark/>
          </w:tcPr>
          <w:p w14:paraId="40EA5E18" w14:textId="6116BA06"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7A289555" w14:textId="712AEAE6"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01F5DD30"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50331EED"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3D01503F" w14:textId="77777777" w:rsidTr="006B31A1">
        <w:trPr>
          <w:trHeight w:val="235"/>
        </w:trPr>
        <w:tc>
          <w:tcPr>
            <w:tcW w:w="1003" w:type="dxa"/>
            <w:hideMark/>
          </w:tcPr>
          <w:p w14:paraId="437CB879" w14:textId="77777777" w:rsidR="00B31F65" w:rsidRPr="00F05812" w:rsidRDefault="00B31F65" w:rsidP="00B31F65">
            <w:pP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HSP70</w:t>
            </w:r>
          </w:p>
        </w:tc>
        <w:tc>
          <w:tcPr>
            <w:tcW w:w="1329" w:type="dxa"/>
            <w:hideMark/>
          </w:tcPr>
          <w:p w14:paraId="22BDC0EB"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EAAAATVQAK</w:t>
            </w:r>
          </w:p>
        </w:tc>
        <w:tc>
          <w:tcPr>
            <w:tcW w:w="1023" w:type="dxa"/>
            <w:hideMark/>
          </w:tcPr>
          <w:p w14:paraId="649EAB5F"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HLA-A*68:01</w:t>
            </w:r>
          </w:p>
        </w:tc>
        <w:tc>
          <w:tcPr>
            <w:tcW w:w="1315" w:type="dxa"/>
            <w:hideMark/>
          </w:tcPr>
          <w:p w14:paraId="36213799" w14:textId="462B8825"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335ECB7D" w14:textId="2785ADA4"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56B14B42"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6AA0FC70"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7344C3A9" w14:textId="77777777" w:rsidTr="006B31A1">
        <w:trPr>
          <w:trHeight w:val="296"/>
        </w:trPr>
        <w:tc>
          <w:tcPr>
            <w:tcW w:w="1003" w:type="dxa"/>
            <w:hideMark/>
          </w:tcPr>
          <w:p w14:paraId="76704884"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4C9AE2AB"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VANPIMTKF</w:t>
            </w:r>
          </w:p>
        </w:tc>
        <w:tc>
          <w:tcPr>
            <w:tcW w:w="1023" w:type="dxa"/>
            <w:hideMark/>
          </w:tcPr>
          <w:p w14:paraId="6CF6978E"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HLA-B*35:01</w:t>
            </w:r>
          </w:p>
        </w:tc>
        <w:tc>
          <w:tcPr>
            <w:tcW w:w="1315" w:type="dxa"/>
            <w:hideMark/>
          </w:tcPr>
          <w:p w14:paraId="4B210FD5" w14:textId="61511E32"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4E6931EC" w14:textId="4E470E6F"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34AD18E1"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6FA04A06"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79A9ACF2" w14:textId="77777777" w:rsidTr="006B31A1">
        <w:trPr>
          <w:trHeight w:val="296"/>
        </w:trPr>
        <w:tc>
          <w:tcPr>
            <w:tcW w:w="1003" w:type="dxa"/>
            <w:hideMark/>
          </w:tcPr>
          <w:p w14:paraId="3013116C"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66902CC8"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EAVANPIMTK</w:t>
            </w:r>
          </w:p>
        </w:tc>
        <w:tc>
          <w:tcPr>
            <w:tcW w:w="1023" w:type="dxa"/>
            <w:hideMark/>
          </w:tcPr>
          <w:p w14:paraId="4412D89C"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HLA-A*11:01</w:t>
            </w:r>
          </w:p>
        </w:tc>
        <w:tc>
          <w:tcPr>
            <w:tcW w:w="1315" w:type="dxa"/>
            <w:hideMark/>
          </w:tcPr>
          <w:p w14:paraId="220CBE5A" w14:textId="256E517E"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5DEF48D4" w14:textId="34FA6848"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3FC9C774"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3AF59032"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2F30C69E" w14:textId="77777777" w:rsidTr="006B31A1">
        <w:trPr>
          <w:trHeight w:val="296"/>
        </w:trPr>
        <w:tc>
          <w:tcPr>
            <w:tcW w:w="1003" w:type="dxa"/>
            <w:hideMark/>
          </w:tcPr>
          <w:p w14:paraId="7D5CB77F"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68F87F71"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EEISSMVLI</w:t>
            </w:r>
          </w:p>
        </w:tc>
        <w:tc>
          <w:tcPr>
            <w:tcW w:w="1023" w:type="dxa"/>
            <w:hideMark/>
          </w:tcPr>
          <w:p w14:paraId="203DF914"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HLA-B*40:01</w:t>
            </w:r>
          </w:p>
        </w:tc>
        <w:tc>
          <w:tcPr>
            <w:tcW w:w="1315" w:type="dxa"/>
            <w:hideMark/>
          </w:tcPr>
          <w:p w14:paraId="048944BE" w14:textId="6D5CAB13"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211EE3A6" w14:textId="01AA267B"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39101ABE"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39DEB0C8"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7AEC9D2C" w14:textId="77777777" w:rsidTr="006B31A1">
        <w:trPr>
          <w:trHeight w:val="296"/>
        </w:trPr>
        <w:tc>
          <w:tcPr>
            <w:tcW w:w="1003" w:type="dxa"/>
            <w:hideMark/>
          </w:tcPr>
          <w:p w14:paraId="7D406CB1"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2B96C594"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KAVVTVPAY</w:t>
            </w:r>
          </w:p>
        </w:tc>
        <w:tc>
          <w:tcPr>
            <w:tcW w:w="1023" w:type="dxa"/>
            <w:hideMark/>
          </w:tcPr>
          <w:p w14:paraId="52267B3B"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HLA-B*58:01</w:t>
            </w:r>
          </w:p>
        </w:tc>
        <w:tc>
          <w:tcPr>
            <w:tcW w:w="1315" w:type="dxa"/>
            <w:hideMark/>
          </w:tcPr>
          <w:p w14:paraId="295276AE" w14:textId="22278DBD"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5B9FA86F" w14:textId="5A5F0EB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170D7F25"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7BD37997"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73562CA6" w14:textId="77777777" w:rsidTr="006B31A1">
        <w:trPr>
          <w:trHeight w:val="296"/>
        </w:trPr>
        <w:tc>
          <w:tcPr>
            <w:tcW w:w="1003" w:type="dxa"/>
            <w:hideMark/>
          </w:tcPr>
          <w:p w14:paraId="6256A2FC"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30B77D15"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KAVVTVPAY</w:t>
            </w:r>
          </w:p>
        </w:tc>
        <w:tc>
          <w:tcPr>
            <w:tcW w:w="1023" w:type="dxa"/>
            <w:hideMark/>
          </w:tcPr>
          <w:p w14:paraId="0A4658D0"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HLA-B*57:01</w:t>
            </w:r>
          </w:p>
        </w:tc>
        <w:tc>
          <w:tcPr>
            <w:tcW w:w="1315" w:type="dxa"/>
            <w:hideMark/>
          </w:tcPr>
          <w:p w14:paraId="47C9D04B" w14:textId="4B22E3EC"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2448B7F2" w14:textId="076CC396"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14C58B92"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79880C8B"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6E1D60FE" w14:textId="77777777" w:rsidTr="006B31A1">
        <w:trPr>
          <w:trHeight w:val="296"/>
        </w:trPr>
        <w:tc>
          <w:tcPr>
            <w:tcW w:w="1003" w:type="dxa"/>
            <w:hideMark/>
          </w:tcPr>
          <w:p w14:paraId="4BFBDBC2" w14:textId="77777777" w:rsidR="00B31F65" w:rsidRPr="00F05812" w:rsidRDefault="00B31F65" w:rsidP="00B31F65">
            <w:pP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GPI</w:t>
            </w:r>
          </w:p>
        </w:tc>
        <w:tc>
          <w:tcPr>
            <w:tcW w:w="1329" w:type="dxa"/>
            <w:hideMark/>
          </w:tcPr>
          <w:p w14:paraId="182A7A45"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APGTGAYTL</w:t>
            </w:r>
          </w:p>
        </w:tc>
        <w:tc>
          <w:tcPr>
            <w:tcW w:w="1023" w:type="dxa"/>
            <w:hideMark/>
          </w:tcPr>
          <w:p w14:paraId="30A165E9"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HLA-B*07:02</w:t>
            </w:r>
          </w:p>
        </w:tc>
        <w:tc>
          <w:tcPr>
            <w:tcW w:w="1315" w:type="dxa"/>
            <w:hideMark/>
          </w:tcPr>
          <w:p w14:paraId="3ACF6201" w14:textId="440AC9B3"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40EF8958" w14:textId="4BAA7F49"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4074CBA9"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5BB5F24D"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2F2C2D97" w14:textId="77777777" w:rsidTr="006B31A1">
        <w:trPr>
          <w:trHeight w:val="296"/>
        </w:trPr>
        <w:tc>
          <w:tcPr>
            <w:tcW w:w="1003" w:type="dxa"/>
            <w:hideMark/>
          </w:tcPr>
          <w:p w14:paraId="781ED520"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51E31958"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YTLSLSSLRR</w:t>
            </w:r>
          </w:p>
        </w:tc>
        <w:tc>
          <w:tcPr>
            <w:tcW w:w="1023" w:type="dxa"/>
            <w:hideMark/>
          </w:tcPr>
          <w:p w14:paraId="10503464"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HLA-A*68:01</w:t>
            </w:r>
          </w:p>
        </w:tc>
        <w:tc>
          <w:tcPr>
            <w:tcW w:w="1315" w:type="dxa"/>
            <w:hideMark/>
          </w:tcPr>
          <w:p w14:paraId="6FF6979F" w14:textId="35A90712"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6223B0E9" w14:textId="03AF3BDB"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0E46C81E"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4C77E8D6"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41221D4E" w14:textId="77777777" w:rsidTr="006B31A1">
        <w:trPr>
          <w:trHeight w:val="284"/>
        </w:trPr>
        <w:tc>
          <w:tcPr>
            <w:tcW w:w="1003" w:type="dxa"/>
            <w:hideMark/>
          </w:tcPr>
          <w:p w14:paraId="4CDDB725"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70C7F69B"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KHTQVQDFDW</w:t>
            </w:r>
          </w:p>
        </w:tc>
        <w:tc>
          <w:tcPr>
            <w:tcW w:w="1023" w:type="dxa"/>
            <w:hideMark/>
          </w:tcPr>
          <w:p w14:paraId="424C954A"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HLA-B*57:01</w:t>
            </w:r>
          </w:p>
        </w:tc>
        <w:tc>
          <w:tcPr>
            <w:tcW w:w="1315" w:type="dxa"/>
            <w:hideMark/>
          </w:tcPr>
          <w:p w14:paraId="0F0810D3" w14:textId="6405EEED"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437A396E" w14:textId="06F7F23C"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42FA1571"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0F1559C9"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60A5AECA" w14:textId="77777777" w:rsidTr="006B31A1">
        <w:trPr>
          <w:trHeight w:val="296"/>
        </w:trPr>
        <w:tc>
          <w:tcPr>
            <w:tcW w:w="1003" w:type="dxa"/>
            <w:hideMark/>
          </w:tcPr>
          <w:p w14:paraId="54CB1665"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0E271176"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LAFGAYPSF</w:t>
            </w:r>
          </w:p>
        </w:tc>
        <w:tc>
          <w:tcPr>
            <w:tcW w:w="1023" w:type="dxa"/>
            <w:hideMark/>
          </w:tcPr>
          <w:p w14:paraId="0BD59D82"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HLA-B*57:01</w:t>
            </w:r>
          </w:p>
        </w:tc>
        <w:tc>
          <w:tcPr>
            <w:tcW w:w="1315" w:type="dxa"/>
            <w:hideMark/>
          </w:tcPr>
          <w:p w14:paraId="1D083C33" w14:textId="26026372"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5FFA3E4D" w14:textId="3F6494CA"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1E34FEA5"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7219BE47"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5E0C6E13" w14:textId="77777777" w:rsidTr="006B31A1">
        <w:trPr>
          <w:trHeight w:val="296"/>
        </w:trPr>
        <w:tc>
          <w:tcPr>
            <w:tcW w:w="1003" w:type="dxa"/>
            <w:hideMark/>
          </w:tcPr>
          <w:p w14:paraId="4F2F651B" w14:textId="77777777" w:rsidR="00B31F65" w:rsidRPr="00F05812" w:rsidRDefault="00B31F65" w:rsidP="00B31F65">
            <w:pPr>
              <w:rPr>
                <w:rFonts w:ascii="Arial" w:hAnsi="Arial" w:cs="Arial"/>
                <w:color w:val="000000"/>
                <w:sz w:val="20"/>
                <w:szCs w:val="20"/>
                <w:lang w:val="en-IN" w:eastAsia="en-IN"/>
              </w:rPr>
            </w:pPr>
          </w:p>
        </w:tc>
        <w:tc>
          <w:tcPr>
            <w:tcW w:w="1329" w:type="dxa"/>
            <w:hideMark/>
          </w:tcPr>
          <w:p w14:paraId="6846A1F6"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ELAPGTGAY</w:t>
            </w:r>
          </w:p>
        </w:tc>
        <w:tc>
          <w:tcPr>
            <w:tcW w:w="1023" w:type="dxa"/>
            <w:hideMark/>
          </w:tcPr>
          <w:p w14:paraId="78C03C72"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HLA-B*35:01</w:t>
            </w:r>
          </w:p>
        </w:tc>
        <w:tc>
          <w:tcPr>
            <w:tcW w:w="1315" w:type="dxa"/>
            <w:hideMark/>
          </w:tcPr>
          <w:p w14:paraId="01DBD8B4" w14:textId="5C89F2C0"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68" w:type="dxa"/>
            <w:hideMark/>
          </w:tcPr>
          <w:p w14:paraId="6A152B75" w14:textId="5511424F"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23" w:type="dxa"/>
            <w:hideMark/>
          </w:tcPr>
          <w:p w14:paraId="49311EF1"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61" w:type="dxa"/>
            <w:hideMark/>
          </w:tcPr>
          <w:p w14:paraId="7C7CE28E" w14:textId="77777777" w:rsidR="00B31F65" w:rsidRPr="00F05812" w:rsidRDefault="00B31F65" w:rsidP="00B31F65">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bl>
    <w:p w14:paraId="6F5EF881" w14:textId="77777777" w:rsidR="00333F74" w:rsidRPr="00F05812" w:rsidRDefault="00333F74" w:rsidP="00553C54">
      <w:pPr>
        <w:spacing w:after="240"/>
        <w:ind w:left="709"/>
        <w:jc w:val="both"/>
        <w:rPr>
          <w:rFonts w:ascii="Arial" w:hAnsi="Arial" w:cs="Arial"/>
        </w:rPr>
      </w:pPr>
    </w:p>
    <w:p w14:paraId="16C63D01" w14:textId="77777777" w:rsidR="002D7657" w:rsidRPr="00F05812" w:rsidRDefault="002D7657" w:rsidP="003234D9">
      <w:pPr>
        <w:spacing w:after="240"/>
        <w:jc w:val="both"/>
        <w:rPr>
          <w:rFonts w:ascii="Arial" w:hAnsi="Arial" w:cs="Arial"/>
          <w:b/>
          <w:bCs/>
          <w:i/>
          <w:iCs/>
        </w:rPr>
      </w:pPr>
    </w:p>
    <w:p w14:paraId="7B3B076D" w14:textId="77777777" w:rsidR="002D7657" w:rsidRPr="00F05812" w:rsidRDefault="002D7657" w:rsidP="003234D9">
      <w:pPr>
        <w:spacing w:after="240"/>
        <w:jc w:val="both"/>
        <w:rPr>
          <w:rFonts w:ascii="Arial" w:hAnsi="Arial" w:cs="Arial"/>
          <w:b/>
          <w:bCs/>
          <w:i/>
          <w:iCs/>
        </w:rPr>
      </w:pPr>
    </w:p>
    <w:p w14:paraId="4B46872F" w14:textId="3782513A" w:rsidR="003234D9" w:rsidRPr="00F05812" w:rsidRDefault="003234D9" w:rsidP="003234D9">
      <w:pPr>
        <w:spacing w:after="240"/>
        <w:jc w:val="both"/>
        <w:rPr>
          <w:rFonts w:ascii="Arial" w:hAnsi="Arial" w:cs="Arial"/>
          <w:b/>
          <w:bCs/>
          <w:i/>
          <w:iCs/>
        </w:rPr>
      </w:pPr>
      <w:r w:rsidRPr="00F05812">
        <w:rPr>
          <w:rFonts w:ascii="Arial" w:hAnsi="Arial" w:cs="Arial"/>
          <w:b/>
          <w:bCs/>
          <w:i/>
          <w:iCs/>
        </w:rPr>
        <w:lastRenderedPageBreak/>
        <w:t xml:space="preserve">Table </w:t>
      </w:r>
      <w:r w:rsidR="00487768">
        <w:rPr>
          <w:rFonts w:ascii="Arial" w:hAnsi="Arial" w:cs="Arial"/>
          <w:b/>
          <w:bCs/>
          <w:i/>
          <w:iCs/>
        </w:rPr>
        <w:t>1b</w:t>
      </w:r>
      <w:r w:rsidRPr="00F05812">
        <w:rPr>
          <w:rFonts w:ascii="Arial" w:hAnsi="Arial" w:cs="Arial"/>
          <w:b/>
          <w:bCs/>
          <w:i/>
          <w:iCs/>
        </w:rPr>
        <w:t>: Screened MHC-II epitopes.</w:t>
      </w:r>
    </w:p>
    <w:tbl>
      <w:tblPr>
        <w:tblStyle w:val="TableGrid"/>
        <w:tblW w:w="8181" w:type="dxa"/>
        <w:tblInd w:w="-5" w:type="dxa"/>
        <w:tblLayout w:type="fixed"/>
        <w:tblLook w:val="04A0" w:firstRow="1" w:lastRow="0" w:firstColumn="1" w:lastColumn="0" w:noHBand="0" w:noVBand="1"/>
      </w:tblPr>
      <w:tblGrid>
        <w:gridCol w:w="1041"/>
        <w:gridCol w:w="1190"/>
        <w:gridCol w:w="1488"/>
        <w:gridCol w:w="743"/>
        <w:gridCol w:w="1190"/>
        <w:gridCol w:w="1040"/>
        <w:gridCol w:w="1489"/>
      </w:tblGrid>
      <w:tr w:rsidR="006B31A1" w:rsidRPr="00F05812" w14:paraId="4D4C5530" w14:textId="77777777" w:rsidTr="006B31A1">
        <w:trPr>
          <w:trHeight w:val="34"/>
        </w:trPr>
        <w:tc>
          <w:tcPr>
            <w:tcW w:w="1041" w:type="dxa"/>
            <w:hideMark/>
          </w:tcPr>
          <w:p w14:paraId="68E8CA59" w14:textId="77777777" w:rsidR="00DA3BED" w:rsidRPr="00F05812" w:rsidRDefault="00DA3BED" w:rsidP="00DA3BED">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Protein</w:t>
            </w:r>
          </w:p>
        </w:tc>
        <w:tc>
          <w:tcPr>
            <w:tcW w:w="1190" w:type="dxa"/>
            <w:hideMark/>
          </w:tcPr>
          <w:p w14:paraId="45A79565" w14:textId="77777777" w:rsidR="00DA3BED" w:rsidRPr="00F05812" w:rsidRDefault="00DA3BED" w:rsidP="00DA3BED">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Peptide</w:t>
            </w:r>
          </w:p>
        </w:tc>
        <w:tc>
          <w:tcPr>
            <w:tcW w:w="1488" w:type="dxa"/>
            <w:hideMark/>
          </w:tcPr>
          <w:p w14:paraId="491B0E18" w14:textId="77777777" w:rsidR="00DA3BED" w:rsidRPr="00F05812" w:rsidRDefault="00DA3BED" w:rsidP="00DA3BED">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Allele</w:t>
            </w:r>
          </w:p>
        </w:tc>
        <w:tc>
          <w:tcPr>
            <w:tcW w:w="743" w:type="dxa"/>
            <w:hideMark/>
          </w:tcPr>
          <w:p w14:paraId="2DF896B8" w14:textId="77777777" w:rsidR="00DA3BED" w:rsidRPr="00F05812" w:rsidRDefault="00DA3BED" w:rsidP="00DA3BED">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Toxicity</w:t>
            </w:r>
          </w:p>
        </w:tc>
        <w:tc>
          <w:tcPr>
            <w:tcW w:w="1190" w:type="dxa"/>
            <w:hideMark/>
          </w:tcPr>
          <w:p w14:paraId="34BAEF2E" w14:textId="77777777" w:rsidR="00DA3BED" w:rsidRPr="00F05812" w:rsidRDefault="00DA3BED" w:rsidP="00DA3BED">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Allergenicity</w:t>
            </w:r>
          </w:p>
        </w:tc>
        <w:tc>
          <w:tcPr>
            <w:tcW w:w="1040" w:type="dxa"/>
            <w:hideMark/>
          </w:tcPr>
          <w:p w14:paraId="0276857E" w14:textId="4283714B" w:rsidR="00DA3BED" w:rsidRPr="00F05812" w:rsidRDefault="00DA3BED" w:rsidP="00DA3BED">
            <w:pPr>
              <w:jc w:val="center"/>
              <w:rPr>
                <w:rFonts w:ascii="Arial" w:hAnsi="Arial" w:cs="Arial"/>
                <w:b/>
                <w:bCs/>
                <w:color w:val="000000"/>
                <w:sz w:val="20"/>
                <w:szCs w:val="20"/>
                <w:lang w:val="en-IN" w:eastAsia="en-IN"/>
              </w:rPr>
            </w:pPr>
            <w:proofErr w:type="spellStart"/>
            <w:r w:rsidRPr="00F05812">
              <w:rPr>
                <w:rFonts w:ascii="Arial" w:hAnsi="Arial" w:cs="Arial"/>
                <w:b/>
                <w:bCs/>
                <w:color w:val="000000"/>
                <w:sz w:val="20"/>
                <w:szCs w:val="20"/>
                <w:lang w:val="en-IN" w:eastAsia="en-IN"/>
              </w:rPr>
              <w:t>Antige</w:t>
            </w:r>
            <w:r w:rsidR="00B1731E" w:rsidRPr="00F05812">
              <w:rPr>
                <w:rFonts w:ascii="Arial" w:hAnsi="Arial" w:cs="Arial"/>
                <w:b/>
                <w:bCs/>
                <w:color w:val="000000"/>
                <w:sz w:val="20"/>
                <w:szCs w:val="20"/>
                <w:lang w:val="en-IN" w:eastAsia="en-IN"/>
              </w:rPr>
              <w:t>i</w:t>
            </w:r>
            <w:r w:rsidRPr="00F05812">
              <w:rPr>
                <w:rFonts w:ascii="Arial" w:hAnsi="Arial" w:cs="Arial"/>
                <w:b/>
                <w:bCs/>
                <w:color w:val="000000"/>
                <w:sz w:val="20"/>
                <w:szCs w:val="20"/>
                <w:lang w:val="en-IN" w:eastAsia="en-IN"/>
              </w:rPr>
              <w:t>city</w:t>
            </w:r>
            <w:proofErr w:type="spellEnd"/>
          </w:p>
        </w:tc>
        <w:tc>
          <w:tcPr>
            <w:tcW w:w="1489" w:type="dxa"/>
            <w:hideMark/>
          </w:tcPr>
          <w:p w14:paraId="17EBD4B8" w14:textId="77777777" w:rsidR="00DA3BED" w:rsidRPr="00F05812" w:rsidRDefault="00DA3BED" w:rsidP="00DA3BED">
            <w:pPr>
              <w:jc w:val="cente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Immunogenicity</w:t>
            </w:r>
          </w:p>
        </w:tc>
      </w:tr>
      <w:tr w:rsidR="006B31A1" w:rsidRPr="00F05812" w14:paraId="7EA73A12" w14:textId="77777777" w:rsidTr="006B31A1">
        <w:trPr>
          <w:trHeight w:val="34"/>
        </w:trPr>
        <w:tc>
          <w:tcPr>
            <w:tcW w:w="1041" w:type="dxa"/>
            <w:hideMark/>
          </w:tcPr>
          <w:p w14:paraId="046CE1B7" w14:textId="77777777" w:rsidR="00DA3BED" w:rsidRPr="00F05812" w:rsidRDefault="00DA3BED" w:rsidP="00DA3BED">
            <w:pP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Mp88</w:t>
            </w:r>
          </w:p>
        </w:tc>
        <w:tc>
          <w:tcPr>
            <w:tcW w:w="1190" w:type="dxa"/>
            <w:hideMark/>
          </w:tcPr>
          <w:p w14:paraId="601BE3B3"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GSGSAAAGSTAAASS</w:t>
            </w:r>
          </w:p>
        </w:tc>
        <w:tc>
          <w:tcPr>
            <w:tcW w:w="1488" w:type="dxa"/>
            <w:hideMark/>
          </w:tcPr>
          <w:p w14:paraId="28FB290A"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HLA-DQA1</w:t>
            </w:r>
            <w:r w:rsidRPr="00F05812">
              <w:rPr>
                <w:rFonts w:ascii="Arial" w:hAnsi="Arial" w:cs="Arial"/>
                <w:i/>
                <w:iCs/>
                <w:color w:val="000000"/>
                <w:sz w:val="20"/>
                <w:szCs w:val="20"/>
                <w:lang w:val="en-IN" w:eastAsia="en-IN"/>
              </w:rPr>
              <w:t>05:01/DQB1</w:t>
            </w:r>
            <w:r w:rsidRPr="00F05812">
              <w:rPr>
                <w:rFonts w:ascii="Arial" w:hAnsi="Arial" w:cs="Arial"/>
                <w:color w:val="000000"/>
                <w:sz w:val="20"/>
                <w:szCs w:val="20"/>
                <w:lang w:val="en-IN" w:eastAsia="en-IN"/>
              </w:rPr>
              <w:t>02:01</w:t>
            </w:r>
          </w:p>
        </w:tc>
        <w:tc>
          <w:tcPr>
            <w:tcW w:w="743" w:type="dxa"/>
            <w:hideMark/>
          </w:tcPr>
          <w:p w14:paraId="46622466" w14:textId="5ED2D3CE"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3E1B26A2" w14:textId="59E956D0"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32A5FCEE"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24E4F567"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41A8DE30" w14:textId="77777777" w:rsidTr="006B31A1">
        <w:trPr>
          <w:trHeight w:val="34"/>
        </w:trPr>
        <w:tc>
          <w:tcPr>
            <w:tcW w:w="1041" w:type="dxa"/>
            <w:hideMark/>
          </w:tcPr>
          <w:p w14:paraId="706BB395"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6ED53C75"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GSGSAAAGSTAAASS</w:t>
            </w:r>
          </w:p>
        </w:tc>
        <w:tc>
          <w:tcPr>
            <w:tcW w:w="1488" w:type="dxa"/>
            <w:hideMark/>
          </w:tcPr>
          <w:p w14:paraId="057D52E9"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HLA-DQA1</w:t>
            </w:r>
            <w:r w:rsidRPr="00F05812">
              <w:rPr>
                <w:rFonts w:ascii="Arial" w:hAnsi="Arial" w:cs="Arial"/>
                <w:i/>
                <w:iCs/>
                <w:color w:val="000000"/>
                <w:sz w:val="20"/>
                <w:szCs w:val="20"/>
                <w:lang w:val="en-IN" w:eastAsia="en-IN"/>
              </w:rPr>
              <w:t>01:02/DQB1</w:t>
            </w:r>
            <w:r w:rsidRPr="00F05812">
              <w:rPr>
                <w:rFonts w:ascii="Arial" w:hAnsi="Arial" w:cs="Arial"/>
                <w:color w:val="000000"/>
                <w:sz w:val="20"/>
                <w:szCs w:val="20"/>
                <w:lang w:val="en-IN" w:eastAsia="en-IN"/>
              </w:rPr>
              <w:t>06:02</w:t>
            </w:r>
          </w:p>
        </w:tc>
        <w:tc>
          <w:tcPr>
            <w:tcW w:w="743" w:type="dxa"/>
            <w:hideMark/>
          </w:tcPr>
          <w:p w14:paraId="33E2789B" w14:textId="004DA301"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1239A27C" w14:textId="0D05B001"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481B3029"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561368D0"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2FF6A014" w14:textId="77777777" w:rsidTr="006B31A1">
        <w:trPr>
          <w:trHeight w:val="34"/>
        </w:trPr>
        <w:tc>
          <w:tcPr>
            <w:tcW w:w="1041" w:type="dxa"/>
            <w:hideMark/>
          </w:tcPr>
          <w:p w14:paraId="06609D20"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43788541"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NQTSYARLLSLNAID</w:t>
            </w:r>
          </w:p>
        </w:tc>
        <w:tc>
          <w:tcPr>
            <w:tcW w:w="1488" w:type="dxa"/>
            <w:hideMark/>
          </w:tcPr>
          <w:p w14:paraId="019CE409"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HLA-DRB1*01:01</w:t>
            </w:r>
          </w:p>
        </w:tc>
        <w:tc>
          <w:tcPr>
            <w:tcW w:w="743" w:type="dxa"/>
            <w:hideMark/>
          </w:tcPr>
          <w:p w14:paraId="7AE4E370" w14:textId="004331D6"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39F64C68" w14:textId="11A92379"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38DDF571"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361DCAB7"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30C7123C" w14:textId="77777777" w:rsidTr="006B31A1">
        <w:trPr>
          <w:trHeight w:val="34"/>
        </w:trPr>
        <w:tc>
          <w:tcPr>
            <w:tcW w:w="1041" w:type="dxa"/>
            <w:hideMark/>
          </w:tcPr>
          <w:p w14:paraId="2367F1B0"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65AFBF48"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GNPVGGNVTTNATGS</w:t>
            </w:r>
          </w:p>
        </w:tc>
        <w:tc>
          <w:tcPr>
            <w:tcW w:w="1488" w:type="dxa"/>
            <w:hideMark/>
          </w:tcPr>
          <w:p w14:paraId="224A1EE6"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HLA-DQA1</w:t>
            </w:r>
            <w:r w:rsidRPr="00F05812">
              <w:rPr>
                <w:rFonts w:ascii="Arial" w:hAnsi="Arial" w:cs="Arial"/>
                <w:i/>
                <w:iCs/>
                <w:color w:val="000000"/>
                <w:sz w:val="20"/>
                <w:szCs w:val="20"/>
                <w:lang w:val="en-IN" w:eastAsia="en-IN"/>
              </w:rPr>
              <w:t>05:01/DQB1</w:t>
            </w:r>
            <w:r w:rsidRPr="00F05812">
              <w:rPr>
                <w:rFonts w:ascii="Arial" w:hAnsi="Arial" w:cs="Arial"/>
                <w:color w:val="000000"/>
                <w:sz w:val="20"/>
                <w:szCs w:val="20"/>
                <w:lang w:val="en-IN" w:eastAsia="en-IN"/>
              </w:rPr>
              <w:t>03:01</w:t>
            </w:r>
          </w:p>
        </w:tc>
        <w:tc>
          <w:tcPr>
            <w:tcW w:w="743" w:type="dxa"/>
            <w:hideMark/>
          </w:tcPr>
          <w:p w14:paraId="10902D0F" w14:textId="007F2943"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061D4137" w14:textId="6395045B"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2B5B8744"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7160FC97"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5DB01F9F" w14:textId="77777777" w:rsidTr="006B31A1">
        <w:trPr>
          <w:trHeight w:val="34"/>
        </w:trPr>
        <w:tc>
          <w:tcPr>
            <w:tcW w:w="1041" w:type="dxa"/>
            <w:hideMark/>
          </w:tcPr>
          <w:p w14:paraId="6013587E"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6136CBAA"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ARVIPDGVLTAVHFV</w:t>
            </w:r>
          </w:p>
        </w:tc>
        <w:tc>
          <w:tcPr>
            <w:tcW w:w="1488" w:type="dxa"/>
            <w:hideMark/>
          </w:tcPr>
          <w:p w14:paraId="0E301632"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HLA-DRB1*03:01</w:t>
            </w:r>
          </w:p>
        </w:tc>
        <w:tc>
          <w:tcPr>
            <w:tcW w:w="743" w:type="dxa"/>
            <w:hideMark/>
          </w:tcPr>
          <w:p w14:paraId="65D0430B" w14:textId="2B79E18E"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01A8F6C2" w14:textId="1401E405"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4A0F2A52"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42D76E52"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77B7DAC7" w14:textId="77777777" w:rsidTr="006B31A1">
        <w:trPr>
          <w:trHeight w:val="34"/>
        </w:trPr>
        <w:tc>
          <w:tcPr>
            <w:tcW w:w="1041" w:type="dxa"/>
            <w:hideMark/>
          </w:tcPr>
          <w:p w14:paraId="48B9FCD0" w14:textId="77777777" w:rsidR="00DA3BED" w:rsidRPr="00F05812" w:rsidRDefault="00DA3BED" w:rsidP="00DA3BED">
            <w:pP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CDA 2</w:t>
            </w:r>
          </w:p>
        </w:tc>
        <w:tc>
          <w:tcPr>
            <w:tcW w:w="1190" w:type="dxa"/>
            <w:hideMark/>
          </w:tcPr>
          <w:p w14:paraId="2224A08A"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TDEASAAASTDVNTE</w:t>
            </w:r>
          </w:p>
        </w:tc>
        <w:tc>
          <w:tcPr>
            <w:tcW w:w="1488" w:type="dxa"/>
            <w:hideMark/>
          </w:tcPr>
          <w:p w14:paraId="722F93F7"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HLA-DQA1</w:t>
            </w:r>
            <w:r w:rsidRPr="00F05812">
              <w:rPr>
                <w:rFonts w:ascii="Arial" w:hAnsi="Arial" w:cs="Arial"/>
                <w:i/>
                <w:iCs/>
                <w:color w:val="000000"/>
                <w:sz w:val="20"/>
                <w:szCs w:val="20"/>
                <w:lang w:val="en-IN" w:eastAsia="en-IN"/>
              </w:rPr>
              <w:t>03:01/DQB1</w:t>
            </w:r>
            <w:r w:rsidRPr="00F05812">
              <w:rPr>
                <w:rFonts w:ascii="Arial" w:hAnsi="Arial" w:cs="Arial"/>
                <w:color w:val="000000"/>
                <w:sz w:val="20"/>
                <w:szCs w:val="20"/>
                <w:lang w:val="en-IN" w:eastAsia="en-IN"/>
              </w:rPr>
              <w:t>03:02</w:t>
            </w:r>
          </w:p>
        </w:tc>
        <w:tc>
          <w:tcPr>
            <w:tcW w:w="743" w:type="dxa"/>
            <w:hideMark/>
          </w:tcPr>
          <w:p w14:paraId="264C4FA9" w14:textId="7F56D575"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5898D3A5" w14:textId="26FF0159"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79FC4531"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5DF76A5A"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10E17886" w14:textId="77777777" w:rsidTr="006B31A1">
        <w:trPr>
          <w:trHeight w:val="34"/>
        </w:trPr>
        <w:tc>
          <w:tcPr>
            <w:tcW w:w="1041" w:type="dxa"/>
            <w:hideMark/>
          </w:tcPr>
          <w:p w14:paraId="63510D8F"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37821E29"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GQQLFATINSTLNTK</w:t>
            </w:r>
          </w:p>
        </w:tc>
        <w:tc>
          <w:tcPr>
            <w:tcW w:w="1488" w:type="dxa"/>
            <w:hideMark/>
          </w:tcPr>
          <w:p w14:paraId="15CBE45D"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HLA-DRB1*04:05</w:t>
            </w:r>
          </w:p>
        </w:tc>
        <w:tc>
          <w:tcPr>
            <w:tcW w:w="743" w:type="dxa"/>
            <w:hideMark/>
          </w:tcPr>
          <w:p w14:paraId="4A04729D" w14:textId="7FCF0BA2"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27ADDF08" w14:textId="753EBE96"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54520242"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692D7B56"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1B1E322B" w14:textId="77777777" w:rsidTr="006B31A1">
        <w:trPr>
          <w:trHeight w:val="52"/>
        </w:trPr>
        <w:tc>
          <w:tcPr>
            <w:tcW w:w="1041" w:type="dxa"/>
            <w:hideMark/>
          </w:tcPr>
          <w:p w14:paraId="34D95DD5"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11F19437"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SSGSGSAAGSASTS</w:t>
            </w:r>
          </w:p>
        </w:tc>
        <w:tc>
          <w:tcPr>
            <w:tcW w:w="1488" w:type="dxa"/>
            <w:hideMark/>
          </w:tcPr>
          <w:p w14:paraId="7BCFC1AB"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HLA-DQA1</w:t>
            </w:r>
            <w:r w:rsidRPr="00F05812">
              <w:rPr>
                <w:rFonts w:ascii="Arial" w:hAnsi="Arial" w:cs="Arial"/>
                <w:i/>
                <w:iCs/>
                <w:color w:val="000000"/>
                <w:sz w:val="20"/>
                <w:szCs w:val="20"/>
                <w:lang w:val="en-IN" w:eastAsia="en-IN"/>
              </w:rPr>
              <w:t>05:01/DQB1</w:t>
            </w:r>
            <w:r w:rsidRPr="00F05812">
              <w:rPr>
                <w:rFonts w:ascii="Arial" w:hAnsi="Arial" w:cs="Arial"/>
                <w:color w:val="000000"/>
                <w:sz w:val="20"/>
                <w:szCs w:val="20"/>
                <w:lang w:val="en-IN" w:eastAsia="en-IN"/>
              </w:rPr>
              <w:t>02:01</w:t>
            </w:r>
          </w:p>
        </w:tc>
        <w:tc>
          <w:tcPr>
            <w:tcW w:w="743" w:type="dxa"/>
            <w:hideMark/>
          </w:tcPr>
          <w:p w14:paraId="6C45A618" w14:textId="6AA9EF35"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4701D2FD" w14:textId="5EC9B1BC"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2C081FE2"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4EBBF120"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5563ED39" w14:textId="77777777" w:rsidTr="006B31A1">
        <w:trPr>
          <w:trHeight w:val="34"/>
        </w:trPr>
        <w:tc>
          <w:tcPr>
            <w:tcW w:w="1041" w:type="dxa"/>
            <w:hideMark/>
          </w:tcPr>
          <w:p w14:paraId="7077516B"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2C7B5FBF"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AALLTLTAGVALAHP</w:t>
            </w:r>
          </w:p>
        </w:tc>
        <w:tc>
          <w:tcPr>
            <w:tcW w:w="1488" w:type="dxa"/>
            <w:hideMark/>
          </w:tcPr>
          <w:p w14:paraId="1414EF31"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HLA-DRB1*07:01</w:t>
            </w:r>
          </w:p>
        </w:tc>
        <w:tc>
          <w:tcPr>
            <w:tcW w:w="743" w:type="dxa"/>
            <w:hideMark/>
          </w:tcPr>
          <w:p w14:paraId="0228E540" w14:textId="0F51DCDE"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75EF6F6F" w14:textId="769803D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7D92F573"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09DF44ED"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0422F656" w14:textId="77777777" w:rsidTr="006B31A1">
        <w:trPr>
          <w:trHeight w:val="34"/>
        </w:trPr>
        <w:tc>
          <w:tcPr>
            <w:tcW w:w="1041" w:type="dxa"/>
            <w:hideMark/>
          </w:tcPr>
          <w:p w14:paraId="7590753A"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41EE23E3"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AGYAPVTEIASSFP</w:t>
            </w:r>
          </w:p>
        </w:tc>
        <w:tc>
          <w:tcPr>
            <w:tcW w:w="1488" w:type="dxa"/>
            <w:hideMark/>
          </w:tcPr>
          <w:p w14:paraId="67E39201"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HLA-DRB1*08:02</w:t>
            </w:r>
          </w:p>
        </w:tc>
        <w:tc>
          <w:tcPr>
            <w:tcW w:w="743" w:type="dxa"/>
            <w:hideMark/>
          </w:tcPr>
          <w:p w14:paraId="206528B3" w14:textId="1E05F608"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63D729ED" w14:textId="5A2574ED"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50704D34"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7F4E9123"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49528AF6" w14:textId="77777777" w:rsidTr="006B31A1">
        <w:trPr>
          <w:trHeight w:val="34"/>
        </w:trPr>
        <w:tc>
          <w:tcPr>
            <w:tcW w:w="1041" w:type="dxa"/>
            <w:hideMark/>
          </w:tcPr>
          <w:p w14:paraId="4C50F637" w14:textId="77777777" w:rsidR="00DA3BED" w:rsidRPr="00F05812" w:rsidRDefault="00DA3BED" w:rsidP="00DA3BED">
            <w:pP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HSP 70</w:t>
            </w:r>
          </w:p>
        </w:tc>
        <w:tc>
          <w:tcPr>
            <w:tcW w:w="1190" w:type="dxa"/>
            <w:hideMark/>
          </w:tcPr>
          <w:p w14:paraId="590285EE"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GRKFEDAAVQADMKM</w:t>
            </w:r>
          </w:p>
        </w:tc>
        <w:tc>
          <w:tcPr>
            <w:tcW w:w="1488" w:type="dxa"/>
            <w:hideMark/>
          </w:tcPr>
          <w:p w14:paraId="50D8CF28"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HLA-DQA1</w:t>
            </w:r>
            <w:r w:rsidRPr="00F05812">
              <w:rPr>
                <w:rFonts w:ascii="Arial" w:hAnsi="Arial" w:cs="Arial"/>
                <w:i/>
                <w:iCs/>
                <w:color w:val="000000"/>
                <w:sz w:val="20"/>
                <w:szCs w:val="20"/>
                <w:lang w:val="en-IN" w:eastAsia="en-IN"/>
              </w:rPr>
              <w:t>03:01/DQB1</w:t>
            </w:r>
            <w:r w:rsidRPr="00F05812">
              <w:rPr>
                <w:rFonts w:ascii="Arial" w:hAnsi="Arial" w:cs="Arial"/>
                <w:color w:val="000000"/>
                <w:sz w:val="20"/>
                <w:szCs w:val="20"/>
                <w:lang w:val="en-IN" w:eastAsia="en-IN"/>
              </w:rPr>
              <w:t>03:02</w:t>
            </w:r>
          </w:p>
        </w:tc>
        <w:tc>
          <w:tcPr>
            <w:tcW w:w="743" w:type="dxa"/>
            <w:hideMark/>
          </w:tcPr>
          <w:p w14:paraId="28900740" w14:textId="07919BFC"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3872F44C" w14:textId="24D8D7A3"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2D12DD7B"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47C7714E"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49D50491" w14:textId="77777777" w:rsidTr="006B31A1">
        <w:trPr>
          <w:trHeight w:val="34"/>
        </w:trPr>
        <w:tc>
          <w:tcPr>
            <w:tcW w:w="1041" w:type="dxa"/>
            <w:hideMark/>
          </w:tcPr>
          <w:p w14:paraId="7EA9E019"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56070C07"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PDEAVAYGAAVQAAI</w:t>
            </w:r>
          </w:p>
        </w:tc>
        <w:tc>
          <w:tcPr>
            <w:tcW w:w="1488" w:type="dxa"/>
            <w:hideMark/>
          </w:tcPr>
          <w:p w14:paraId="67654693"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HLA-DQA1</w:t>
            </w:r>
            <w:r w:rsidRPr="00F05812">
              <w:rPr>
                <w:rFonts w:ascii="Arial" w:hAnsi="Arial" w:cs="Arial"/>
                <w:i/>
                <w:iCs/>
                <w:color w:val="000000"/>
                <w:sz w:val="20"/>
                <w:szCs w:val="20"/>
                <w:lang w:val="en-IN" w:eastAsia="en-IN"/>
              </w:rPr>
              <w:t>05:01/DQB1</w:t>
            </w:r>
            <w:r w:rsidRPr="00F05812">
              <w:rPr>
                <w:rFonts w:ascii="Arial" w:hAnsi="Arial" w:cs="Arial"/>
                <w:color w:val="000000"/>
                <w:sz w:val="20"/>
                <w:szCs w:val="20"/>
                <w:lang w:val="en-IN" w:eastAsia="en-IN"/>
              </w:rPr>
              <w:t>03:01</w:t>
            </w:r>
          </w:p>
        </w:tc>
        <w:tc>
          <w:tcPr>
            <w:tcW w:w="743" w:type="dxa"/>
            <w:hideMark/>
          </w:tcPr>
          <w:p w14:paraId="33517408" w14:textId="121BEB58"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56DD2FB2" w14:textId="695CBB9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7E7BA2DE"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68240B5E"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28120F50" w14:textId="77777777" w:rsidTr="006B31A1">
        <w:trPr>
          <w:trHeight w:val="34"/>
        </w:trPr>
        <w:tc>
          <w:tcPr>
            <w:tcW w:w="1041" w:type="dxa"/>
            <w:hideMark/>
          </w:tcPr>
          <w:p w14:paraId="0C1D0C57"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516F1B07"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PLIKRNITVPTKKSE</w:t>
            </w:r>
          </w:p>
        </w:tc>
        <w:tc>
          <w:tcPr>
            <w:tcW w:w="1488" w:type="dxa"/>
            <w:hideMark/>
          </w:tcPr>
          <w:p w14:paraId="2E6CC8F1"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HLA-DRB3*02:02</w:t>
            </w:r>
          </w:p>
        </w:tc>
        <w:tc>
          <w:tcPr>
            <w:tcW w:w="743" w:type="dxa"/>
            <w:hideMark/>
          </w:tcPr>
          <w:p w14:paraId="1E658086" w14:textId="7473E32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37004648" w14:textId="73183FE6"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20951B70"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134A6504"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7D8A8832" w14:textId="77777777" w:rsidTr="006B31A1">
        <w:trPr>
          <w:trHeight w:val="34"/>
        </w:trPr>
        <w:tc>
          <w:tcPr>
            <w:tcW w:w="1041" w:type="dxa"/>
            <w:hideMark/>
          </w:tcPr>
          <w:p w14:paraId="57E24721"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1ECF9961"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AVAYGAAVQAAILT G</w:t>
            </w:r>
          </w:p>
        </w:tc>
        <w:tc>
          <w:tcPr>
            <w:tcW w:w="1488" w:type="dxa"/>
            <w:hideMark/>
          </w:tcPr>
          <w:p w14:paraId="1D3BD04B"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HLA-DRB1*09:01</w:t>
            </w:r>
          </w:p>
        </w:tc>
        <w:tc>
          <w:tcPr>
            <w:tcW w:w="743" w:type="dxa"/>
            <w:hideMark/>
          </w:tcPr>
          <w:p w14:paraId="1AB28D9D" w14:textId="15E894A9"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4EEF74A2" w14:textId="4A0F33B6"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535A5852"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4BFB2A17"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20AC125B" w14:textId="77777777" w:rsidTr="006B31A1">
        <w:trPr>
          <w:trHeight w:val="34"/>
        </w:trPr>
        <w:tc>
          <w:tcPr>
            <w:tcW w:w="1041" w:type="dxa"/>
            <w:hideMark/>
          </w:tcPr>
          <w:p w14:paraId="4697F02F"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4DE60507"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AEAYLGGTVSKAVVT</w:t>
            </w:r>
          </w:p>
        </w:tc>
        <w:tc>
          <w:tcPr>
            <w:tcW w:w="1488" w:type="dxa"/>
            <w:hideMark/>
          </w:tcPr>
          <w:p w14:paraId="0C5BC21A"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HLA-DQA1</w:t>
            </w:r>
            <w:r w:rsidRPr="00F05812">
              <w:rPr>
                <w:rFonts w:ascii="Arial" w:hAnsi="Arial" w:cs="Arial"/>
                <w:i/>
                <w:iCs/>
                <w:color w:val="000000"/>
                <w:sz w:val="20"/>
                <w:szCs w:val="20"/>
                <w:lang w:val="en-IN" w:eastAsia="en-IN"/>
              </w:rPr>
              <w:t>05:01/DQB1</w:t>
            </w:r>
            <w:r w:rsidRPr="00F05812">
              <w:rPr>
                <w:rFonts w:ascii="Arial" w:hAnsi="Arial" w:cs="Arial"/>
                <w:color w:val="000000"/>
                <w:sz w:val="20"/>
                <w:szCs w:val="20"/>
                <w:lang w:val="en-IN" w:eastAsia="en-IN"/>
              </w:rPr>
              <w:t>03:01</w:t>
            </w:r>
          </w:p>
        </w:tc>
        <w:tc>
          <w:tcPr>
            <w:tcW w:w="743" w:type="dxa"/>
            <w:hideMark/>
          </w:tcPr>
          <w:p w14:paraId="373209C8" w14:textId="73636BEE"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15AE0930" w14:textId="57038D0C"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50A32D82"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1F15C179"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3CB7CCA1" w14:textId="77777777" w:rsidTr="006B31A1">
        <w:trPr>
          <w:trHeight w:val="34"/>
        </w:trPr>
        <w:tc>
          <w:tcPr>
            <w:tcW w:w="1041" w:type="dxa"/>
            <w:hideMark/>
          </w:tcPr>
          <w:p w14:paraId="0448E6E8" w14:textId="77777777" w:rsidR="00DA3BED" w:rsidRPr="00F05812" w:rsidRDefault="00DA3BED" w:rsidP="00DA3BED">
            <w:pPr>
              <w:rPr>
                <w:rFonts w:ascii="Arial" w:hAnsi="Arial" w:cs="Arial"/>
                <w:b/>
                <w:bCs/>
                <w:color w:val="000000"/>
                <w:sz w:val="20"/>
                <w:szCs w:val="20"/>
                <w:lang w:val="en-IN" w:eastAsia="en-IN"/>
              </w:rPr>
            </w:pPr>
            <w:r w:rsidRPr="00F05812">
              <w:rPr>
                <w:rFonts w:ascii="Arial" w:hAnsi="Arial" w:cs="Arial"/>
                <w:b/>
                <w:bCs/>
                <w:color w:val="000000"/>
                <w:sz w:val="20"/>
                <w:szCs w:val="20"/>
                <w:lang w:val="en-IN" w:eastAsia="en-IN"/>
              </w:rPr>
              <w:t>GPI</w:t>
            </w:r>
          </w:p>
        </w:tc>
        <w:tc>
          <w:tcPr>
            <w:tcW w:w="1190" w:type="dxa"/>
            <w:hideMark/>
          </w:tcPr>
          <w:p w14:paraId="7BCF0E72"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RGRYASQITELESKV</w:t>
            </w:r>
          </w:p>
        </w:tc>
        <w:tc>
          <w:tcPr>
            <w:tcW w:w="1488" w:type="dxa"/>
            <w:hideMark/>
          </w:tcPr>
          <w:p w14:paraId="516A2625"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HLA-DRB1*04:05</w:t>
            </w:r>
          </w:p>
        </w:tc>
        <w:tc>
          <w:tcPr>
            <w:tcW w:w="743" w:type="dxa"/>
            <w:hideMark/>
          </w:tcPr>
          <w:p w14:paraId="704647A9" w14:textId="05BCD783"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5337FFA7" w14:textId="4337B34F"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26577AD1"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050F72E7"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30AE8F5A" w14:textId="77777777" w:rsidTr="006B31A1">
        <w:trPr>
          <w:trHeight w:val="34"/>
        </w:trPr>
        <w:tc>
          <w:tcPr>
            <w:tcW w:w="1041" w:type="dxa"/>
            <w:hideMark/>
          </w:tcPr>
          <w:p w14:paraId="7232059E"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040E6308"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RGRYASQITELESKV</w:t>
            </w:r>
          </w:p>
        </w:tc>
        <w:tc>
          <w:tcPr>
            <w:tcW w:w="1488" w:type="dxa"/>
            <w:hideMark/>
          </w:tcPr>
          <w:p w14:paraId="36F9DB49"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HLA-DQA1</w:t>
            </w:r>
            <w:r w:rsidRPr="00F05812">
              <w:rPr>
                <w:rFonts w:ascii="Arial" w:hAnsi="Arial" w:cs="Arial"/>
                <w:i/>
                <w:iCs/>
                <w:color w:val="000000"/>
                <w:sz w:val="20"/>
                <w:szCs w:val="20"/>
                <w:lang w:val="en-IN" w:eastAsia="en-IN"/>
              </w:rPr>
              <w:t>05:01/DQB1</w:t>
            </w:r>
            <w:r w:rsidRPr="00F05812">
              <w:rPr>
                <w:rFonts w:ascii="Arial" w:hAnsi="Arial" w:cs="Arial"/>
                <w:color w:val="000000"/>
                <w:sz w:val="20"/>
                <w:szCs w:val="20"/>
                <w:lang w:val="en-IN" w:eastAsia="en-IN"/>
              </w:rPr>
              <w:t>02:01</w:t>
            </w:r>
          </w:p>
        </w:tc>
        <w:tc>
          <w:tcPr>
            <w:tcW w:w="743" w:type="dxa"/>
            <w:hideMark/>
          </w:tcPr>
          <w:p w14:paraId="2A5E4DE5" w14:textId="159D42AC"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7EDF23E1" w14:textId="0D503B03"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517058D6"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5E0CEB5F"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7D949E46" w14:textId="77777777" w:rsidTr="006B31A1">
        <w:trPr>
          <w:trHeight w:val="34"/>
        </w:trPr>
        <w:tc>
          <w:tcPr>
            <w:tcW w:w="1041" w:type="dxa"/>
            <w:hideMark/>
          </w:tcPr>
          <w:p w14:paraId="33BE427E"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2509AA9A"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RGRYASQITELESKV</w:t>
            </w:r>
          </w:p>
        </w:tc>
        <w:tc>
          <w:tcPr>
            <w:tcW w:w="1488" w:type="dxa"/>
            <w:hideMark/>
          </w:tcPr>
          <w:p w14:paraId="7EE28CB7"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HLA-DQA1</w:t>
            </w:r>
            <w:r w:rsidRPr="00F05812">
              <w:rPr>
                <w:rFonts w:ascii="Arial" w:hAnsi="Arial" w:cs="Arial"/>
                <w:i/>
                <w:iCs/>
                <w:color w:val="000000"/>
                <w:sz w:val="20"/>
                <w:szCs w:val="20"/>
                <w:lang w:val="en-IN" w:eastAsia="en-IN"/>
              </w:rPr>
              <w:t>03:01/DQB1</w:t>
            </w:r>
            <w:r w:rsidRPr="00F05812">
              <w:rPr>
                <w:rFonts w:ascii="Arial" w:hAnsi="Arial" w:cs="Arial"/>
                <w:color w:val="000000"/>
                <w:sz w:val="20"/>
                <w:szCs w:val="20"/>
                <w:lang w:val="en-IN" w:eastAsia="en-IN"/>
              </w:rPr>
              <w:t>03:02</w:t>
            </w:r>
          </w:p>
        </w:tc>
        <w:tc>
          <w:tcPr>
            <w:tcW w:w="743" w:type="dxa"/>
            <w:hideMark/>
          </w:tcPr>
          <w:p w14:paraId="543D4037" w14:textId="7FF54348"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4CD56202" w14:textId="15969ECF"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311DD360"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6042CBE3"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2725EE02" w14:textId="77777777" w:rsidTr="006B31A1">
        <w:trPr>
          <w:trHeight w:val="34"/>
        </w:trPr>
        <w:tc>
          <w:tcPr>
            <w:tcW w:w="1041" w:type="dxa"/>
            <w:hideMark/>
          </w:tcPr>
          <w:p w14:paraId="4988E954"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246C05C6"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TQEMASRLYQYNSPR</w:t>
            </w:r>
          </w:p>
        </w:tc>
        <w:tc>
          <w:tcPr>
            <w:tcW w:w="1488" w:type="dxa"/>
            <w:hideMark/>
          </w:tcPr>
          <w:p w14:paraId="5F2630A1"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HLA-DPA1</w:t>
            </w:r>
            <w:r w:rsidRPr="00F05812">
              <w:rPr>
                <w:rFonts w:ascii="Arial" w:hAnsi="Arial" w:cs="Arial"/>
                <w:i/>
                <w:iCs/>
                <w:color w:val="000000"/>
                <w:sz w:val="20"/>
                <w:szCs w:val="20"/>
                <w:lang w:val="en-IN" w:eastAsia="en-IN"/>
              </w:rPr>
              <w:t>01:03/DPB1</w:t>
            </w:r>
            <w:r w:rsidRPr="00F05812">
              <w:rPr>
                <w:rFonts w:ascii="Arial" w:hAnsi="Arial" w:cs="Arial"/>
                <w:color w:val="000000"/>
                <w:sz w:val="20"/>
                <w:szCs w:val="20"/>
                <w:lang w:val="en-IN" w:eastAsia="en-IN"/>
              </w:rPr>
              <w:t>04:01</w:t>
            </w:r>
          </w:p>
        </w:tc>
        <w:tc>
          <w:tcPr>
            <w:tcW w:w="743" w:type="dxa"/>
            <w:hideMark/>
          </w:tcPr>
          <w:p w14:paraId="57247710" w14:textId="04221CF6"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2CF89434" w14:textId="02122410"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575A5E3D"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40DE31B6"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367B5695" w14:textId="77777777" w:rsidTr="006B31A1">
        <w:trPr>
          <w:trHeight w:val="52"/>
        </w:trPr>
        <w:tc>
          <w:tcPr>
            <w:tcW w:w="1041" w:type="dxa"/>
            <w:hideMark/>
          </w:tcPr>
          <w:p w14:paraId="752882DD"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2E3144B5"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FTQEMASRLYQYNSP</w:t>
            </w:r>
          </w:p>
        </w:tc>
        <w:tc>
          <w:tcPr>
            <w:tcW w:w="1488" w:type="dxa"/>
            <w:hideMark/>
          </w:tcPr>
          <w:p w14:paraId="3325A74D"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HLA-DPA1</w:t>
            </w:r>
            <w:r w:rsidRPr="00F05812">
              <w:rPr>
                <w:rFonts w:ascii="Arial" w:hAnsi="Arial" w:cs="Arial"/>
                <w:i/>
                <w:iCs/>
                <w:color w:val="000000"/>
                <w:sz w:val="20"/>
                <w:szCs w:val="20"/>
                <w:lang w:val="en-IN" w:eastAsia="en-IN"/>
              </w:rPr>
              <w:t>01:03/DPB1</w:t>
            </w:r>
            <w:r w:rsidRPr="00F05812">
              <w:rPr>
                <w:rFonts w:ascii="Arial" w:hAnsi="Arial" w:cs="Arial"/>
                <w:color w:val="000000"/>
                <w:sz w:val="20"/>
                <w:szCs w:val="20"/>
                <w:lang w:val="en-IN" w:eastAsia="en-IN"/>
              </w:rPr>
              <w:t>02:01</w:t>
            </w:r>
          </w:p>
        </w:tc>
        <w:tc>
          <w:tcPr>
            <w:tcW w:w="743" w:type="dxa"/>
            <w:hideMark/>
          </w:tcPr>
          <w:p w14:paraId="468FFCC1" w14:textId="273690D6"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1CE05268" w14:textId="0E419FE1"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64C60E89"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1D2884CC"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2DB5EF85" w14:textId="77777777" w:rsidTr="006B31A1">
        <w:trPr>
          <w:trHeight w:val="34"/>
        </w:trPr>
        <w:tc>
          <w:tcPr>
            <w:tcW w:w="1041" w:type="dxa"/>
            <w:hideMark/>
          </w:tcPr>
          <w:p w14:paraId="34B56F1E"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2F749556"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RGRYASQITELESKV</w:t>
            </w:r>
          </w:p>
        </w:tc>
        <w:tc>
          <w:tcPr>
            <w:tcW w:w="1488" w:type="dxa"/>
            <w:hideMark/>
          </w:tcPr>
          <w:p w14:paraId="2691CA01"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HLA-DPA1</w:t>
            </w:r>
            <w:r w:rsidRPr="00F05812">
              <w:rPr>
                <w:rFonts w:ascii="Arial" w:hAnsi="Arial" w:cs="Arial"/>
                <w:i/>
                <w:iCs/>
                <w:color w:val="000000"/>
                <w:sz w:val="20"/>
                <w:szCs w:val="20"/>
                <w:lang w:val="en-IN" w:eastAsia="en-IN"/>
              </w:rPr>
              <w:t>02:01/DPB1</w:t>
            </w:r>
            <w:r w:rsidRPr="00F05812">
              <w:rPr>
                <w:rFonts w:ascii="Arial" w:hAnsi="Arial" w:cs="Arial"/>
                <w:color w:val="000000"/>
                <w:sz w:val="20"/>
                <w:szCs w:val="20"/>
                <w:lang w:val="en-IN" w:eastAsia="en-IN"/>
              </w:rPr>
              <w:t>01:01</w:t>
            </w:r>
          </w:p>
        </w:tc>
        <w:tc>
          <w:tcPr>
            <w:tcW w:w="743" w:type="dxa"/>
            <w:hideMark/>
          </w:tcPr>
          <w:p w14:paraId="41FF3FF6" w14:textId="22C08B61"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784591A9" w14:textId="24D61D02"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1FF203AC"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228399F4"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6CFBE225" w14:textId="77777777" w:rsidTr="006B31A1">
        <w:trPr>
          <w:trHeight w:val="34"/>
        </w:trPr>
        <w:tc>
          <w:tcPr>
            <w:tcW w:w="1041" w:type="dxa"/>
            <w:hideMark/>
          </w:tcPr>
          <w:p w14:paraId="37B29EE7"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5A86D8BC"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HATPNISSITASSSS</w:t>
            </w:r>
          </w:p>
        </w:tc>
        <w:tc>
          <w:tcPr>
            <w:tcW w:w="1488" w:type="dxa"/>
            <w:hideMark/>
          </w:tcPr>
          <w:p w14:paraId="023595D1"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HLA-DQA1</w:t>
            </w:r>
            <w:r w:rsidRPr="00F05812">
              <w:rPr>
                <w:rFonts w:ascii="Arial" w:hAnsi="Arial" w:cs="Arial"/>
                <w:i/>
                <w:iCs/>
                <w:color w:val="000000"/>
                <w:sz w:val="20"/>
                <w:szCs w:val="20"/>
                <w:lang w:val="en-IN" w:eastAsia="en-IN"/>
              </w:rPr>
              <w:t>01:02/DQB1</w:t>
            </w:r>
            <w:r w:rsidRPr="00F05812">
              <w:rPr>
                <w:rFonts w:ascii="Arial" w:hAnsi="Arial" w:cs="Arial"/>
                <w:color w:val="000000"/>
                <w:sz w:val="20"/>
                <w:szCs w:val="20"/>
                <w:lang w:val="en-IN" w:eastAsia="en-IN"/>
              </w:rPr>
              <w:t>06:02</w:t>
            </w:r>
          </w:p>
        </w:tc>
        <w:tc>
          <w:tcPr>
            <w:tcW w:w="743" w:type="dxa"/>
            <w:hideMark/>
          </w:tcPr>
          <w:p w14:paraId="5CC12D85" w14:textId="259897F2"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79FC22CE" w14:textId="7F4F11C1"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58D0215C"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439CAF3F"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32FA2CD5" w14:textId="77777777" w:rsidTr="006B31A1">
        <w:trPr>
          <w:trHeight w:val="34"/>
        </w:trPr>
        <w:tc>
          <w:tcPr>
            <w:tcW w:w="1041" w:type="dxa"/>
            <w:hideMark/>
          </w:tcPr>
          <w:p w14:paraId="161F929D"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54485D89"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QQFRIHSSTNTKVLL</w:t>
            </w:r>
          </w:p>
        </w:tc>
        <w:tc>
          <w:tcPr>
            <w:tcW w:w="1488" w:type="dxa"/>
            <w:hideMark/>
          </w:tcPr>
          <w:p w14:paraId="77393C10"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HLA-DRB1*07:01</w:t>
            </w:r>
          </w:p>
        </w:tc>
        <w:tc>
          <w:tcPr>
            <w:tcW w:w="743" w:type="dxa"/>
            <w:hideMark/>
          </w:tcPr>
          <w:p w14:paraId="69C23635" w14:textId="17FB3F6E"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5AA68DF5" w14:textId="33FA813F"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42A0CFC3"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2E4F4AED"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r w:rsidR="006B31A1" w:rsidRPr="00F05812" w14:paraId="115BDD31" w14:textId="77777777" w:rsidTr="006B31A1">
        <w:trPr>
          <w:trHeight w:val="34"/>
        </w:trPr>
        <w:tc>
          <w:tcPr>
            <w:tcW w:w="1041" w:type="dxa"/>
            <w:hideMark/>
          </w:tcPr>
          <w:p w14:paraId="4296ACD6" w14:textId="77777777" w:rsidR="00DA3BED" w:rsidRPr="00F05812" w:rsidRDefault="00DA3BED" w:rsidP="00DA3BED">
            <w:pPr>
              <w:rPr>
                <w:rFonts w:ascii="Arial" w:hAnsi="Arial" w:cs="Arial"/>
                <w:color w:val="000000"/>
                <w:sz w:val="20"/>
                <w:szCs w:val="20"/>
                <w:lang w:val="en-IN" w:eastAsia="en-IN"/>
              </w:rPr>
            </w:pPr>
          </w:p>
        </w:tc>
        <w:tc>
          <w:tcPr>
            <w:tcW w:w="1190" w:type="dxa"/>
            <w:hideMark/>
          </w:tcPr>
          <w:p w14:paraId="29717632"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PKSRFAFTKPKSSPL</w:t>
            </w:r>
          </w:p>
        </w:tc>
        <w:tc>
          <w:tcPr>
            <w:tcW w:w="1488" w:type="dxa"/>
            <w:hideMark/>
          </w:tcPr>
          <w:p w14:paraId="00D01796"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HLA-DPA1</w:t>
            </w:r>
            <w:r w:rsidRPr="00F05812">
              <w:rPr>
                <w:rFonts w:ascii="Arial" w:hAnsi="Arial" w:cs="Arial"/>
                <w:i/>
                <w:iCs/>
                <w:color w:val="000000"/>
                <w:sz w:val="20"/>
                <w:szCs w:val="20"/>
                <w:lang w:val="en-IN" w:eastAsia="en-IN"/>
              </w:rPr>
              <w:t>02:01/DPB1</w:t>
            </w:r>
            <w:r w:rsidRPr="00F05812">
              <w:rPr>
                <w:rFonts w:ascii="Arial" w:hAnsi="Arial" w:cs="Arial"/>
                <w:color w:val="000000"/>
                <w:sz w:val="20"/>
                <w:szCs w:val="20"/>
                <w:lang w:val="en-IN" w:eastAsia="en-IN"/>
              </w:rPr>
              <w:t>01:01</w:t>
            </w:r>
          </w:p>
        </w:tc>
        <w:tc>
          <w:tcPr>
            <w:tcW w:w="743" w:type="dxa"/>
            <w:hideMark/>
          </w:tcPr>
          <w:p w14:paraId="4A258A8B" w14:textId="1FCBFE15"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Non-Toxin</w:t>
            </w:r>
          </w:p>
        </w:tc>
        <w:tc>
          <w:tcPr>
            <w:tcW w:w="1190" w:type="dxa"/>
            <w:hideMark/>
          </w:tcPr>
          <w:p w14:paraId="1D40C10E" w14:textId="4268EDE3"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Non-Allergen</w:t>
            </w:r>
          </w:p>
        </w:tc>
        <w:tc>
          <w:tcPr>
            <w:tcW w:w="1040" w:type="dxa"/>
            <w:hideMark/>
          </w:tcPr>
          <w:p w14:paraId="583AEAC2"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Antigen</w:t>
            </w:r>
          </w:p>
        </w:tc>
        <w:tc>
          <w:tcPr>
            <w:tcW w:w="1489" w:type="dxa"/>
            <w:hideMark/>
          </w:tcPr>
          <w:p w14:paraId="674D08EA" w14:textId="77777777" w:rsidR="00DA3BED" w:rsidRPr="00F05812" w:rsidRDefault="00DA3BED" w:rsidP="00DA3BED">
            <w:pPr>
              <w:rPr>
                <w:rFonts w:ascii="Arial" w:hAnsi="Arial" w:cs="Arial"/>
                <w:color w:val="000000"/>
                <w:sz w:val="20"/>
                <w:szCs w:val="20"/>
                <w:lang w:val="en-IN" w:eastAsia="en-IN"/>
              </w:rPr>
            </w:pPr>
            <w:r w:rsidRPr="00F05812">
              <w:rPr>
                <w:rFonts w:ascii="Arial" w:hAnsi="Arial" w:cs="Arial"/>
                <w:color w:val="000000"/>
                <w:sz w:val="20"/>
                <w:szCs w:val="20"/>
                <w:lang w:val="en-IN" w:eastAsia="en-IN"/>
              </w:rPr>
              <w:t>Positive</w:t>
            </w:r>
          </w:p>
        </w:tc>
      </w:tr>
    </w:tbl>
    <w:p w14:paraId="70B1D885" w14:textId="77777777" w:rsidR="00DA3BED" w:rsidRPr="00F05812" w:rsidRDefault="00DA3BED" w:rsidP="003234D9">
      <w:pPr>
        <w:spacing w:after="240"/>
        <w:jc w:val="both"/>
        <w:rPr>
          <w:rFonts w:ascii="Arial" w:hAnsi="Arial" w:cs="Arial"/>
          <w:b/>
          <w:bCs/>
        </w:rPr>
      </w:pPr>
    </w:p>
    <w:p w14:paraId="191CC183" w14:textId="1F5EBE0D" w:rsidR="00EE5169" w:rsidRPr="00F05812" w:rsidRDefault="00EE5169" w:rsidP="00B1731E">
      <w:pPr>
        <w:pStyle w:val="Head1"/>
        <w:numPr>
          <w:ilvl w:val="2"/>
          <w:numId w:val="33"/>
        </w:numPr>
        <w:tabs>
          <w:tab w:val="left" w:pos="567"/>
        </w:tabs>
        <w:spacing w:before="240"/>
        <w:ind w:left="567" w:hanging="567"/>
        <w:jc w:val="both"/>
        <w:rPr>
          <w:rFonts w:ascii="Arial" w:hAnsi="Arial" w:cs="Arial"/>
          <w:sz w:val="20"/>
          <w:szCs w:val="18"/>
          <w:u w:val="single"/>
        </w:rPr>
      </w:pPr>
      <w:r w:rsidRPr="00F05812">
        <w:rPr>
          <w:rFonts w:ascii="Arial" w:hAnsi="Arial" w:cs="Arial"/>
          <w:sz w:val="20"/>
          <w:szCs w:val="18"/>
          <w:u w:val="single"/>
        </w:rPr>
        <w:t>Screening of b Epitopes:</w:t>
      </w:r>
    </w:p>
    <w:p w14:paraId="02034A05" w14:textId="26024C06" w:rsidR="00553C54" w:rsidRPr="00F05812" w:rsidRDefault="00553C54" w:rsidP="00B1731E">
      <w:pPr>
        <w:jc w:val="both"/>
        <w:rPr>
          <w:rFonts w:ascii="Arial" w:hAnsi="Arial" w:cs="Arial"/>
        </w:rPr>
      </w:pPr>
      <w:r w:rsidRPr="00F05812">
        <w:rPr>
          <w:rFonts w:ascii="Arial" w:hAnsi="Arial" w:cs="Arial"/>
        </w:rPr>
        <w:t>Linear B-cell epitopes were identified using the BepiPred 2.0 tool to ensure their ability to elicit a humoral immune response. Predicted epitopes were further assessed for their immunological suitability based on key criteria including antigenicity (VaxiJen v2.0), allergenicity (AllerTOP v2.0), and toxicity (ToxinPred). Following this screening, four non-toxic, non-allergenic, and antigenic B-cell epitopes were selected for integration into the final vaccine construct, supporting its potential to stimulate effective antibody-mediated immunity. (Table 2</w:t>
      </w:r>
      <w:r w:rsidR="00B31F65" w:rsidRPr="00F05812">
        <w:rPr>
          <w:rFonts w:ascii="Arial" w:hAnsi="Arial" w:cs="Arial"/>
        </w:rPr>
        <w:t>). The</w:t>
      </w:r>
      <w:r w:rsidRPr="00F05812">
        <w:rPr>
          <w:rFonts w:ascii="Arial" w:hAnsi="Arial" w:cs="Arial"/>
        </w:rPr>
        <w:t xml:space="preserve"> list of epitopes selected for final vaccine construct is listed (Table 3).</w:t>
      </w:r>
    </w:p>
    <w:p w14:paraId="7761C57C" w14:textId="77777777" w:rsidR="00DA3BED" w:rsidRPr="00F05812" w:rsidRDefault="00DA3BED" w:rsidP="00333F74">
      <w:pPr>
        <w:ind w:left="709"/>
        <w:jc w:val="both"/>
        <w:rPr>
          <w:rFonts w:ascii="Arial" w:hAnsi="Arial" w:cs="Arial"/>
          <w:b/>
          <w:bCs/>
          <w:i/>
          <w:iCs/>
        </w:rPr>
      </w:pPr>
    </w:p>
    <w:p w14:paraId="0397B71F" w14:textId="4AA0A293" w:rsidR="00F964B1" w:rsidRPr="00F05812" w:rsidRDefault="00DA3BED" w:rsidP="002D7657">
      <w:pPr>
        <w:jc w:val="both"/>
        <w:rPr>
          <w:rFonts w:ascii="Arial" w:hAnsi="Arial" w:cs="Arial"/>
          <w:b/>
          <w:bCs/>
          <w:i/>
          <w:iCs/>
        </w:rPr>
      </w:pPr>
      <w:r w:rsidRPr="00F05812">
        <w:rPr>
          <w:rFonts w:ascii="Arial" w:hAnsi="Arial" w:cs="Arial"/>
          <w:b/>
          <w:bCs/>
          <w:i/>
          <w:iCs/>
        </w:rPr>
        <w:t>Table 2: Screened B Cell epitopes.</w:t>
      </w:r>
    </w:p>
    <w:p w14:paraId="4A87747F" w14:textId="77777777" w:rsidR="00DA3BED" w:rsidRPr="00F05812" w:rsidRDefault="00DA3BED" w:rsidP="00333F74">
      <w:pPr>
        <w:ind w:left="709"/>
        <w:jc w:val="both"/>
        <w:rPr>
          <w:rFonts w:ascii="Arial" w:hAnsi="Arial" w:cs="Arial"/>
          <w:b/>
          <w:bCs/>
          <w:i/>
          <w:iCs/>
        </w:rPr>
      </w:pPr>
    </w:p>
    <w:tbl>
      <w:tblPr>
        <w:tblStyle w:val="TableGrid"/>
        <w:tblW w:w="8364" w:type="dxa"/>
        <w:tblInd w:w="-5" w:type="dxa"/>
        <w:tblLayout w:type="fixed"/>
        <w:tblLook w:val="04A0" w:firstRow="1" w:lastRow="0" w:firstColumn="1" w:lastColumn="0" w:noHBand="0" w:noVBand="1"/>
      </w:tblPr>
      <w:tblGrid>
        <w:gridCol w:w="1134"/>
        <w:gridCol w:w="1985"/>
        <w:gridCol w:w="2268"/>
        <w:gridCol w:w="1559"/>
        <w:gridCol w:w="1418"/>
      </w:tblGrid>
      <w:tr w:rsidR="00DA3BED" w:rsidRPr="00F05812" w14:paraId="278956BD" w14:textId="77777777" w:rsidTr="00B30796">
        <w:trPr>
          <w:trHeight w:val="528"/>
        </w:trPr>
        <w:tc>
          <w:tcPr>
            <w:tcW w:w="1134" w:type="dxa"/>
            <w:hideMark/>
          </w:tcPr>
          <w:p w14:paraId="22089BBA" w14:textId="77777777" w:rsidR="00DA3BED" w:rsidRPr="00F05812" w:rsidRDefault="00DA3BED" w:rsidP="00DA3BED">
            <w:pPr>
              <w:jc w:val="center"/>
              <w:rPr>
                <w:rFonts w:ascii="Arial" w:hAnsi="Arial" w:cs="Arial"/>
                <w:b/>
                <w:bCs/>
                <w:color w:val="000000"/>
                <w:lang w:val="en-IN" w:eastAsia="en-IN"/>
              </w:rPr>
            </w:pPr>
            <w:r w:rsidRPr="00F05812">
              <w:rPr>
                <w:rFonts w:ascii="Arial" w:hAnsi="Arial" w:cs="Arial"/>
                <w:b/>
                <w:bCs/>
                <w:color w:val="000000"/>
                <w:lang w:val="en-IN" w:eastAsia="en-IN"/>
              </w:rPr>
              <w:t>Protein</w:t>
            </w:r>
          </w:p>
        </w:tc>
        <w:tc>
          <w:tcPr>
            <w:tcW w:w="1985" w:type="dxa"/>
            <w:hideMark/>
          </w:tcPr>
          <w:p w14:paraId="3F4B015E" w14:textId="77777777" w:rsidR="00DA3BED" w:rsidRPr="00F05812" w:rsidRDefault="00DA3BED" w:rsidP="00DA3BED">
            <w:pPr>
              <w:jc w:val="center"/>
              <w:rPr>
                <w:rFonts w:ascii="Arial" w:hAnsi="Arial" w:cs="Arial"/>
                <w:b/>
                <w:bCs/>
                <w:color w:val="000000"/>
                <w:lang w:val="en-IN" w:eastAsia="en-IN"/>
              </w:rPr>
            </w:pPr>
            <w:r w:rsidRPr="00F05812">
              <w:rPr>
                <w:rFonts w:ascii="Arial" w:hAnsi="Arial" w:cs="Arial"/>
                <w:b/>
                <w:bCs/>
                <w:color w:val="000000"/>
                <w:lang w:val="en-IN" w:eastAsia="en-IN"/>
              </w:rPr>
              <w:t>Peptide</w:t>
            </w:r>
          </w:p>
        </w:tc>
        <w:tc>
          <w:tcPr>
            <w:tcW w:w="2268" w:type="dxa"/>
            <w:hideMark/>
          </w:tcPr>
          <w:p w14:paraId="3B8041F9" w14:textId="77777777" w:rsidR="00DA3BED" w:rsidRPr="00F05812" w:rsidRDefault="00DA3BED" w:rsidP="00DA3BED">
            <w:pPr>
              <w:jc w:val="center"/>
              <w:rPr>
                <w:rFonts w:ascii="Arial" w:hAnsi="Arial" w:cs="Arial"/>
                <w:b/>
                <w:bCs/>
                <w:color w:val="000000"/>
                <w:lang w:val="en-IN" w:eastAsia="en-IN"/>
              </w:rPr>
            </w:pPr>
            <w:r w:rsidRPr="00F05812">
              <w:rPr>
                <w:rFonts w:ascii="Arial" w:hAnsi="Arial" w:cs="Arial"/>
                <w:b/>
                <w:bCs/>
                <w:color w:val="000000"/>
                <w:lang w:val="en-IN" w:eastAsia="en-IN"/>
              </w:rPr>
              <w:t>Toxicity</w:t>
            </w:r>
          </w:p>
        </w:tc>
        <w:tc>
          <w:tcPr>
            <w:tcW w:w="1559" w:type="dxa"/>
            <w:hideMark/>
          </w:tcPr>
          <w:p w14:paraId="426FCA98" w14:textId="77777777" w:rsidR="00DA3BED" w:rsidRPr="00F05812" w:rsidRDefault="00DA3BED" w:rsidP="00DA3BED">
            <w:pPr>
              <w:jc w:val="center"/>
              <w:rPr>
                <w:rFonts w:ascii="Arial" w:hAnsi="Arial" w:cs="Arial"/>
                <w:b/>
                <w:bCs/>
                <w:color w:val="000000"/>
                <w:lang w:val="en-IN" w:eastAsia="en-IN"/>
              </w:rPr>
            </w:pPr>
            <w:r w:rsidRPr="00F05812">
              <w:rPr>
                <w:rFonts w:ascii="Arial" w:hAnsi="Arial" w:cs="Arial"/>
                <w:b/>
                <w:bCs/>
                <w:color w:val="000000"/>
                <w:lang w:val="en-IN" w:eastAsia="en-IN"/>
              </w:rPr>
              <w:t>Allergenicity</w:t>
            </w:r>
          </w:p>
        </w:tc>
        <w:tc>
          <w:tcPr>
            <w:tcW w:w="1418" w:type="dxa"/>
            <w:hideMark/>
          </w:tcPr>
          <w:p w14:paraId="55BBFA97" w14:textId="77777777" w:rsidR="00DA3BED" w:rsidRPr="00F05812" w:rsidRDefault="00DA3BED" w:rsidP="00DA3BED">
            <w:pPr>
              <w:jc w:val="center"/>
              <w:rPr>
                <w:rFonts w:ascii="Arial" w:hAnsi="Arial" w:cs="Arial"/>
                <w:b/>
                <w:bCs/>
                <w:color w:val="000000"/>
                <w:lang w:val="en-IN" w:eastAsia="en-IN"/>
              </w:rPr>
            </w:pPr>
            <w:r w:rsidRPr="00F05812">
              <w:rPr>
                <w:rFonts w:ascii="Arial" w:hAnsi="Arial" w:cs="Arial"/>
                <w:b/>
                <w:bCs/>
                <w:color w:val="000000"/>
                <w:lang w:val="en-IN" w:eastAsia="en-IN"/>
              </w:rPr>
              <w:t>Antigenicity</w:t>
            </w:r>
          </w:p>
        </w:tc>
      </w:tr>
      <w:tr w:rsidR="00DA3BED" w:rsidRPr="00F05812" w14:paraId="33E2BA54" w14:textId="77777777" w:rsidTr="00B30796">
        <w:trPr>
          <w:trHeight w:val="513"/>
        </w:trPr>
        <w:tc>
          <w:tcPr>
            <w:tcW w:w="1134" w:type="dxa"/>
            <w:hideMark/>
          </w:tcPr>
          <w:p w14:paraId="5AD14901" w14:textId="7777777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 xml:space="preserve"> Mp88</w:t>
            </w:r>
          </w:p>
        </w:tc>
        <w:tc>
          <w:tcPr>
            <w:tcW w:w="1985" w:type="dxa"/>
            <w:hideMark/>
          </w:tcPr>
          <w:p w14:paraId="29EA9BFB" w14:textId="7777777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GSDVSYEEWMNYMAYD</w:t>
            </w:r>
          </w:p>
        </w:tc>
        <w:tc>
          <w:tcPr>
            <w:tcW w:w="2268" w:type="dxa"/>
            <w:hideMark/>
          </w:tcPr>
          <w:p w14:paraId="286EC640" w14:textId="4E0362CA"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Non-Toxin</w:t>
            </w:r>
          </w:p>
        </w:tc>
        <w:tc>
          <w:tcPr>
            <w:tcW w:w="1559" w:type="dxa"/>
            <w:hideMark/>
          </w:tcPr>
          <w:p w14:paraId="3CB84577" w14:textId="24C7FE11"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Non-Allergen</w:t>
            </w:r>
          </w:p>
        </w:tc>
        <w:tc>
          <w:tcPr>
            <w:tcW w:w="1418" w:type="dxa"/>
            <w:hideMark/>
          </w:tcPr>
          <w:p w14:paraId="044DB343" w14:textId="7777777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Antigen</w:t>
            </w:r>
          </w:p>
        </w:tc>
      </w:tr>
      <w:tr w:rsidR="00DA3BED" w:rsidRPr="00F05812" w14:paraId="7A1DFB07" w14:textId="77777777" w:rsidTr="00B30796">
        <w:trPr>
          <w:trHeight w:val="492"/>
        </w:trPr>
        <w:tc>
          <w:tcPr>
            <w:tcW w:w="1134" w:type="dxa"/>
            <w:hideMark/>
          </w:tcPr>
          <w:p w14:paraId="1C12E9B5" w14:textId="7777777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CDA 2</w:t>
            </w:r>
          </w:p>
        </w:tc>
        <w:tc>
          <w:tcPr>
            <w:tcW w:w="1985" w:type="dxa"/>
            <w:hideMark/>
          </w:tcPr>
          <w:p w14:paraId="1C9C7948" w14:textId="7777777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TPTGDWTGVNYNSSDP</w:t>
            </w:r>
          </w:p>
        </w:tc>
        <w:tc>
          <w:tcPr>
            <w:tcW w:w="2268" w:type="dxa"/>
            <w:hideMark/>
          </w:tcPr>
          <w:p w14:paraId="39E57F4C" w14:textId="3FDCC00D"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Non-Toxin</w:t>
            </w:r>
          </w:p>
        </w:tc>
        <w:tc>
          <w:tcPr>
            <w:tcW w:w="1559" w:type="dxa"/>
            <w:hideMark/>
          </w:tcPr>
          <w:p w14:paraId="34514CAB" w14:textId="4210EA3B"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Non-Allergen</w:t>
            </w:r>
          </w:p>
        </w:tc>
        <w:tc>
          <w:tcPr>
            <w:tcW w:w="1418" w:type="dxa"/>
            <w:hideMark/>
          </w:tcPr>
          <w:p w14:paraId="2DF70F98" w14:textId="7777777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Antigen</w:t>
            </w:r>
          </w:p>
        </w:tc>
      </w:tr>
      <w:tr w:rsidR="00DA3BED" w:rsidRPr="00F05812" w14:paraId="5713CA53" w14:textId="77777777" w:rsidTr="00B30796">
        <w:trPr>
          <w:trHeight w:val="528"/>
        </w:trPr>
        <w:tc>
          <w:tcPr>
            <w:tcW w:w="1134" w:type="dxa"/>
            <w:hideMark/>
          </w:tcPr>
          <w:p w14:paraId="6B344050" w14:textId="20DFEABD"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HSP70</w:t>
            </w:r>
          </w:p>
        </w:tc>
        <w:tc>
          <w:tcPr>
            <w:tcW w:w="1985" w:type="dxa"/>
            <w:hideMark/>
          </w:tcPr>
          <w:p w14:paraId="4E94382B" w14:textId="7777777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AVGIDLGTTYSVAVW</w:t>
            </w:r>
          </w:p>
        </w:tc>
        <w:tc>
          <w:tcPr>
            <w:tcW w:w="2268" w:type="dxa"/>
            <w:hideMark/>
          </w:tcPr>
          <w:p w14:paraId="273BB43F" w14:textId="39A982CB"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Non-Toxin</w:t>
            </w:r>
          </w:p>
        </w:tc>
        <w:tc>
          <w:tcPr>
            <w:tcW w:w="1559" w:type="dxa"/>
            <w:hideMark/>
          </w:tcPr>
          <w:p w14:paraId="387E9A92" w14:textId="0798CB9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Non-Allergen</w:t>
            </w:r>
          </w:p>
        </w:tc>
        <w:tc>
          <w:tcPr>
            <w:tcW w:w="1418" w:type="dxa"/>
            <w:hideMark/>
          </w:tcPr>
          <w:p w14:paraId="6BFCAA07" w14:textId="7777777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Antigen</w:t>
            </w:r>
          </w:p>
        </w:tc>
      </w:tr>
      <w:tr w:rsidR="00DA3BED" w:rsidRPr="00F05812" w14:paraId="04301FCA" w14:textId="77777777" w:rsidTr="00B30796">
        <w:trPr>
          <w:trHeight w:val="528"/>
        </w:trPr>
        <w:tc>
          <w:tcPr>
            <w:tcW w:w="1134" w:type="dxa"/>
            <w:hideMark/>
          </w:tcPr>
          <w:p w14:paraId="2D45AEB1" w14:textId="7777777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GPI</w:t>
            </w:r>
          </w:p>
        </w:tc>
        <w:tc>
          <w:tcPr>
            <w:tcW w:w="1985" w:type="dxa"/>
            <w:hideMark/>
          </w:tcPr>
          <w:p w14:paraId="654B7C4A" w14:textId="7777777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TSTSTHTHV SCLADTL</w:t>
            </w:r>
          </w:p>
        </w:tc>
        <w:tc>
          <w:tcPr>
            <w:tcW w:w="2268" w:type="dxa"/>
            <w:hideMark/>
          </w:tcPr>
          <w:p w14:paraId="1BEC015F" w14:textId="4BFA13E4"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Non-Toxin</w:t>
            </w:r>
          </w:p>
        </w:tc>
        <w:tc>
          <w:tcPr>
            <w:tcW w:w="1559" w:type="dxa"/>
            <w:hideMark/>
          </w:tcPr>
          <w:p w14:paraId="47FD4EDC" w14:textId="704309C8"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Non-Allergen</w:t>
            </w:r>
          </w:p>
        </w:tc>
        <w:tc>
          <w:tcPr>
            <w:tcW w:w="1418" w:type="dxa"/>
            <w:hideMark/>
          </w:tcPr>
          <w:p w14:paraId="5BC73459" w14:textId="77777777" w:rsidR="00DA3BED" w:rsidRPr="00F05812" w:rsidRDefault="00DA3BED" w:rsidP="00DA3BED">
            <w:pPr>
              <w:rPr>
                <w:rFonts w:ascii="Arial" w:hAnsi="Arial" w:cs="Arial"/>
                <w:color w:val="000000"/>
                <w:lang w:val="en-IN" w:eastAsia="en-IN"/>
              </w:rPr>
            </w:pPr>
            <w:r w:rsidRPr="00F05812">
              <w:rPr>
                <w:rFonts w:ascii="Arial" w:hAnsi="Arial" w:cs="Arial"/>
                <w:color w:val="000000"/>
                <w:lang w:val="en-IN" w:eastAsia="en-IN"/>
              </w:rPr>
              <w:t>Antigen</w:t>
            </w:r>
          </w:p>
        </w:tc>
      </w:tr>
    </w:tbl>
    <w:p w14:paraId="730E9D5F" w14:textId="77777777" w:rsidR="00A95920" w:rsidRPr="00F05812" w:rsidRDefault="00A95920" w:rsidP="001D08C3">
      <w:pPr>
        <w:jc w:val="both"/>
        <w:rPr>
          <w:rFonts w:ascii="Arial" w:hAnsi="Arial" w:cs="Arial"/>
          <w:b/>
          <w:bCs/>
          <w:i/>
          <w:iCs/>
        </w:rPr>
      </w:pPr>
    </w:p>
    <w:p w14:paraId="60CE3521" w14:textId="77777777" w:rsidR="00F05812" w:rsidRDefault="00F05812" w:rsidP="002D7657">
      <w:pPr>
        <w:jc w:val="both"/>
        <w:rPr>
          <w:rFonts w:ascii="Arial" w:hAnsi="Arial" w:cs="Arial"/>
          <w:b/>
          <w:bCs/>
          <w:i/>
          <w:iCs/>
        </w:rPr>
      </w:pPr>
    </w:p>
    <w:p w14:paraId="435381BF" w14:textId="77777777" w:rsidR="00F05812" w:rsidRDefault="00F05812" w:rsidP="002D7657">
      <w:pPr>
        <w:jc w:val="both"/>
        <w:rPr>
          <w:rFonts w:ascii="Arial" w:hAnsi="Arial" w:cs="Arial"/>
          <w:b/>
          <w:bCs/>
          <w:i/>
          <w:iCs/>
        </w:rPr>
      </w:pPr>
    </w:p>
    <w:p w14:paraId="16F1D013" w14:textId="77777777" w:rsidR="00F05812" w:rsidRDefault="00F05812" w:rsidP="002D7657">
      <w:pPr>
        <w:jc w:val="both"/>
        <w:rPr>
          <w:rFonts w:ascii="Arial" w:hAnsi="Arial" w:cs="Arial"/>
          <w:b/>
          <w:bCs/>
          <w:i/>
          <w:iCs/>
        </w:rPr>
      </w:pPr>
    </w:p>
    <w:p w14:paraId="028A34A1" w14:textId="77777777" w:rsidR="00F05812" w:rsidRDefault="00F05812" w:rsidP="002D7657">
      <w:pPr>
        <w:jc w:val="both"/>
        <w:rPr>
          <w:rFonts w:ascii="Arial" w:hAnsi="Arial" w:cs="Arial"/>
          <w:b/>
          <w:bCs/>
          <w:i/>
          <w:iCs/>
        </w:rPr>
      </w:pPr>
    </w:p>
    <w:p w14:paraId="635E5FEE" w14:textId="77777777" w:rsidR="00F05812" w:rsidRDefault="00F05812" w:rsidP="002D7657">
      <w:pPr>
        <w:jc w:val="both"/>
        <w:rPr>
          <w:rFonts w:ascii="Arial" w:hAnsi="Arial" w:cs="Arial"/>
          <w:b/>
          <w:bCs/>
          <w:i/>
          <w:iCs/>
        </w:rPr>
      </w:pPr>
    </w:p>
    <w:p w14:paraId="6B187291" w14:textId="77777777" w:rsidR="00F05812" w:rsidRDefault="00F05812" w:rsidP="002D7657">
      <w:pPr>
        <w:jc w:val="both"/>
        <w:rPr>
          <w:rFonts w:ascii="Arial" w:hAnsi="Arial" w:cs="Arial"/>
          <w:b/>
          <w:bCs/>
          <w:i/>
          <w:iCs/>
        </w:rPr>
      </w:pPr>
    </w:p>
    <w:p w14:paraId="39E8236D" w14:textId="77777777" w:rsidR="00F05812" w:rsidRDefault="00F05812" w:rsidP="002D7657">
      <w:pPr>
        <w:jc w:val="both"/>
        <w:rPr>
          <w:rFonts w:ascii="Arial" w:hAnsi="Arial" w:cs="Arial"/>
          <w:b/>
          <w:bCs/>
          <w:i/>
          <w:iCs/>
        </w:rPr>
      </w:pPr>
    </w:p>
    <w:p w14:paraId="745823B9" w14:textId="77777777" w:rsidR="00F05812" w:rsidRDefault="00F05812" w:rsidP="002D7657">
      <w:pPr>
        <w:jc w:val="both"/>
        <w:rPr>
          <w:rFonts w:ascii="Arial" w:hAnsi="Arial" w:cs="Arial"/>
          <w:b/>
          <w:bCs/>
          <w:i/>
          <w:iCs/>
        </w:rPr>
      </w:pPr>
    </w:p>
    <w:p w14:paraId="2E16471E" w14:textId="77777777" w:rsidR="00F05812" w:rsidRDefault="00F05812" w:rsidP="002D7657">
      <w:pPr>
        <w:jc w:val="both"/>
        <w:rPr>
          <w:rFonts w:ascii="Arial" w:hAnsi="Arial" w:cs="Arial"/>
          <w:b/>
          <w:bCs/>
          <w:i/>
          <w:iCs/>
        </w:rPr>
      </w:pPr>
    </w:p>
    <w:p w14:paraId="68E9E1E3" w14:textId="77777777" w:rsidR="00B30796" w:rsidRDefault="00B30796" w:rsidP="002D7657">
      <w:pPr>
        <w:jc w:val="both"/>
        <w:rPr>
          <w:rFonts w:ascii="Arial" w:hAnsi="Arial" w:cs="Arial"/>
          <w:b/>
          <w:bCs/>
          <w:i/>
          <w:iCs/>
        </w:rPr>
      </w:pPr>
    </w:p>
    <w:p w14:paraId="582746FE" w14:textId="40198529" w:rsidR="003054C8" w:rsidRPr="00F05812" w:rsidRDefault="003054C8" w:rsidP="002D7657">
      <w:pPr>
        <w:jc w:val="both"/>
        <w:rPr>
          <w:rFonts w:ascii="Arial" w:hAnsi="Arial" w:cs="Arial"/>
          <w:b/>
          <w:bCs/>
          <w:i/>
          <w:iCs/>
        </w:rPr>
      </w:pPr>
      <w:r w:rsidRPr="00F05812">
        <w:rPr>
          <w:rFonts w:ascii="Arial" w:hAnsi="Arial" w:cs="Arial"/>
          <w:b/>
          <w:bCs/>
          <w:i/>
          <w:iCs/>
        </w:rPr>
        <w:lastRenderedPageBreak/>
        <w:t>Table 3: Final Epitopes selected for Vaccine Construct.</w:t>
      </w:r>
    </w:p>
    <w:p w14:paraId="4FB54895" w14:textId="7490B1DD" w:rsidR="002D7657" w:rsidRPr="00F05812" w:rsidRDefault="002D7657" w:rsidP="002D7657">
      <w:pPr>
        <w:jc w:val="both"/>
        <w:rPr>
          <w:rFonts w:ascii="Arial" w:hAnsi="Arial" w:cs="Arial"/>
          <w:b/>
          <w:bCs/>
          <w:i/>
          <w:iCs/>
        </w:rPr>
      </w:pPr>
    </w:p>
    <w:tbl>
      <w:tblPr>
        <w:tblW w:w="4560" w:type="dxa"/>
        <w:tblLook w:val="04A0" w:firstRow="1" w:lastRow="0" w:firstColumn="1" w:lastColumn="0" w:noHBand="0" w:noVBand="1"/>
      </w:tblPr>
      <w:tblGrid>
        <w:gridCol w:w="1609"/>
        <w:gridCol w:w="2951"/>
      </w:tblGrid>
      <w:tr w:rsidR="00F05812" w:rsidRPr="00F05812" w14:paraId="20CC2CF5" w14:textId="77777777" w:rsidTr="00F05812">
        <w:trPr>
          <w:trHeight w:val="300"/>
        </w:trPr>
        <w:tc>
          <w:tcPr>
            <w:tcW w:w="1620" w:type="dxa"/>
            <w:tcBorders>
              <w:top w:val="single" w:sz="8" w:space="0" w:color="000000"/>
              <w:left w:val="single" w:sz="8" w:space="0" w:color="000000"/>
              <w:bottom w:val="single" w:sz="8" w:space="0" w:color="000000"/>
              <w:right w:val="single" w:sz="8" w:space="0" w:color="000000"/>
            </w:tcBorders>
            <w:vAlign w:val="center"/>
            <w:hideMark/>
          </w:tcPr>
          <w:p w14:paraId="08A39A3C" w14:textId="77777777" w:rsidR="00F05812" w:rsidRPr="00F05812" w:rsidRDefault="00F05812" w:rsidP="00F05812">
            <w:pPr>
              <w:jc w:val="center"/>
              <w:rPr>
                <w:rFonts w:ascii="Arial" w:hAnsi="Arial" w:cs="Arial"/>
                <w:b/>
                <w:bCs/>
                <w:color w:val="000000"/>
                <w:lang w:val="en-IN" w:eastAsia="en-IN"/>
              </w:rPr>
            </w:pPr>
            <w:r w:rsidRPr="00F05812">
              <w:rPr>
                <w:rFonts w:ascii="Arial" w:hAnsi="Arial" w:cs="Arial"/>
                <w:b/>
                <w:bCs/>
                <w:color w:val="000000"/>
                <w:lang w:val="en-IN" w:eastAsia="en-IN"/>
              </w:rPr>
              <w:t>Category</w:t>
            </w:r>
          </w:p>
        </w:tc>
        <w:tc>
          <w:tcPr>
            <w:tcW w:w="2940" w:type="dxa"/>
            <w:tcBorders>
              <w:top w:val="single" w:sz="8" w:space="0" w:color="000000"/>
              <w:left w:val="nil"/>
              <w:bottom w:val="single" w:sz="8" w:space="0" w:color="000000"/>
              <w:right w:val="single" w:sz="8" w:space="0" w:color="000000"/>
            </w:tcBorders>
            <w:vAlign w:val="center"/>
            <w:hideMark/>
          </w:tcPr>
          <w:p w14:paraId="07609F4E" w14:textId="77777777" w:rsidR="00F05812" w:rsidRPr="00F05812" w:rsidRDefault="00F05812" w:rsidP="00F05812">
            <w:pPr>
              <w:jc w:val="center"/>
              <w:rPr>
                <w:rFonts w:ascii="Arial" w:hAnsi="Arial" w:cs="Arial"/>
                <w:b/>
                <w:bCs/>
                <w:color w:val="000000"/>
                <w:lang w:val="en-IN" w:eastAsia="en-IN"/>
              </w:rPr>
            </w:pPr>
            <w:r w:rsidRPr="00F05812">
              <w:rPr>
                <w:rFonts w:ascii="Arial" w:hAnsi="Arial" w:cs="Arial"/>
                <w:b/>
                <w:bCs/>
                <w:color w:val="000000"/>
                <w:lang w:val="en-IN" w:eastAsia="en-IN"/>
              </w:rPr>
              <w:t>Epitope Sequence</w:t>
            </w:r>
          </w:p>
        </w:tc>
      </w:tr>
      <w:tr w:rsidR="00F05812" w:rsidRPr="00F05812" w14:paraId="445E2E4A"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53E580A1"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CTL Epitope</w:t>
            </w:r>
          </w:p>
        </w:tc>
        <w:tc>
          <w:tcPr>
            <w:tcW w:w="2940" w:type="dxa"/>
            <w:tcBorders>
              <w:top w:val="nil"/>
              <w:left w:val="nil"/>
              <w:bottom w:val="single" w:sz="8" w:space="0" w:color="000000"/>
              <w:right w:val="single" w:sz="8" w:space="0" w:color="000000"/>
            </w:tcBorders>
            <w:vAlign w:val="center"/>
            <w:hideMark/>
          </w:tcPr>
          <w:p w14:paraId="26848139"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TAMAGVISVAAY</w:t>
            </w:r>
          </w:p>
        </w:tc>
      </w:tr>
      <w:tr w:rsidR="00F05812" w:rsidRPr="00F05812" w14:paraId="16015F3A"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6C22AAC4"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CTL Epitope</w:t>
            </w:r>
          </w:p>
        </w:tc>
        <w:tc>
          <w:tcPr>
            <w:tcW w:w="2940" w:type="dxa"/>
            <w:tcBorders>
              <w:top w:val="nil"/>
              <w:left w:val="nil"/>
              <w:bottom w:val="single" w:sz="8" w:space="0" w:color="000000"/>
              <w:right w:val="single" w:sz="8" w:space="0" w:color="000000"/>
            </w:tcBorders>
            <w:vAlign w:val="center"/>
            <w:hideMark/>
          </w:tcPr>
          <w:p w14:paraId="08FE11E6"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VANPIMTKFAAY</w:t>
            </w:r>
          </w:p>
        </w:tc>
      </w:tr>
      <w:tr w:rsidR="00F05812" w:rsidRPr="00F05812" w14:paraId="7C304738"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4DAEF02A"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CTL Epitope</w:t>
            </w:r>
          </w:p>
        </w:tc>
        <w:tc>
          <w:tcPr>
            <w:tcW w:w="2940" w:type="dxa"/>
            <w:tcBorders>
              <w:top w:val="nil"/>
              <w:left w:val="nil"/>
              <w:bottom w:val="single" w:sz="8" w:space="0" w:color="000000"/>
              <w:right w:val="single" w:sz="8" w:space="0" w:color="000000"/>
            </w:tcBorders>
            <w:vAlign w:val="center"/>
            <w:hideMark/>
          </w:tcPr>
          <w:p w14:paraId="4B4048A9"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APGTGAYTLAAY</w:t>
            </w:r>
          </w:p>
        </w:tc>
      </w:tr>
      <w:tr w:rsidR="00F05812" w:rsidRPr="00F05812" w14:paraId="2D6E0FBA"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632928A7"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HTL Epitope</w:t>
            </w:r>
          </w:p>
        </w:tc>
        <w:tc>
          <w:tcPr>
            <w:tcW w:w="2940" w:type="dxa"/>
            <w:tcBorders>
              <w:top w:val="nil"/>
              <w:left w:val="nil"/>
              <w:bottom w:val="single" w:sz="8" w:space="0" w:color="000000"/>
              <w:right w:val="single" w:sz="8" w:space="0" w:color="000000"/>
            </w:tcBorders>
            <w:vAlign w:val="center"/>
            <w:hideMark/>
          </w:tcPr>
          <w:p w14:paraId="3D096B81"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NQTSYARLLSLNAIDGPGPG</w:t>
            </w:r>
          </w:p>
        </w:tc>
      </w:tr>
      <w:tr w:rsidR="00F05812" w:rsidRPr="00F05812" w14:paraId="48709597"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725E2091"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HTL Epitope</w:t>
            </w:r>
          </w:p>
        </w:tc>
        <w:tc>
          <w:tcPr>
            <w:tcW w:w="2940" w:type="dxa"/>
            <w:tcBorders>
              <w:top w:val="nil"/>
              <w:left w:val="nil"/>
              <w:bottom w:val="single" w:sz="8" w:space="0" w:color="000000"/>
              <w:right w:val="single" w:sz="8" w:space="0" w:color="000000"/>
            </w:tcBorders>
            <w:vAlign w:val="center"/>
            <w:hideMark/>
          </w:tcPr>
          <w:p w14:paraId="20145E41"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AALLTLTAGVALAHPGPGPG</w:t>
            </w:r>
          </w:p>
        </w:tc>
      </w:tr>
      <w:tr w:rsidR="00F05812" w:rsidRPr="00F05812" w14:paraId="1068E2FF"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2227A19E"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HTL Epitope</w:t>
            </w:r>
          </w:p>
        </w:tc>
        <w:tc>
          <w:tcPr>
            <w:tcW w:w="2940" w:type="dxa"/>
            <w:tcBorders>
              <w:top w:val="nil"/>
              <w:left w:val="nil"/>
              <w:bottom w:val="single" w:sz="8" w:space="0" w:color="000000"/>
              <w:right w:val="single" w:sz="8" w:space="0" w:color="000000"/>
            </w:tcBorders>
            <w:vAlign w:val="center"/>
            <w:hideMark/>
          </w:tcPr>
          <w:p w14:paraId="656FE31E"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AEAYLGGTVSKAVVTGPGPG</w:t>
            </w:r>
          </w:p>
        </w:tc>
      </w:tr>
      <w:tr w:rsidR="00F05812" w:rsidRPr="00F05812" w14:paraId="6EE87666"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22D91619"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HTL Epitope</w:t>
            </w:r>
          </w:p>
        </w:tc>
        <w:tc>
          <w:tcPr>
            <w:tcW w:w="2940" w:type="dxa"/>
            <w:tcBorders>
              <w:top w:val="nil"/>
              <w:left w:val="nil"/>
              <w:bottom w:val="single" w:sz="8" w:space="0" w:color="000000"/>
              <w:right w:val="single" w:sz="8" w:space="0" w:color="000000"/>
            </w:tcBorders>
            <w:vAlign w:val="center"/>
            <w:hideMark/>
          </w:tcPr>
          <w:p w14:paraId="7D317F2A"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TQEMASRLYQYNSPR</w:t>
            </w:r>
          </w:p>
        </w:tc>
      </w:tr>
      <w:tr w:rsidR="00F05812" w:rsidRPr="00F05812" w14:paraId="76281328"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671328E7"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B Cell Epitope</w:t>
            </w:r>
          </w:p>
        </w:tc>
        <w:tc>
          <w:tcPr>
            <w:tcW w:w="2940" w:type="dxa"/>
            <w:tcBorders>
              <w:top w:val="nil"/>
              <w:left w:val="nil"/>
              <w:bottom w:val="single" w:sz="8" w:space="0" w:color="000000"/>
              <w:right w:val="single" w:sz="8" w:space="0" w:color="000000"/>
            </w:tcBorders>
            <w:vAlign w:val="center"/>
            <w:hideMark/>
          </w:tcPr>
          <w:p w14:paraId="65151DE0"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TSTSTHTVSCLADTLKK</w:t>
            </w:r>
          </w:p>
        </w:tc>
      </w:tr>
      <w:tr w:rsidR="00F05812" w:rsidRPr="00F05812" w14:paraId="0B353C5E" w14:textId="77777777" w:rsidTr="00F05812">
        <w:trPr>
          <w:trHeight w:val="300"/>
        </w:trPr>
        <w:tc>
          <w:tcPr>
            <w:tcW w:w="1620" w:type="dxa"/>
            <w:tcBorders>
              <w:top w:val="nil"/>
              <w:left w:val="single" w:sz="8" w:space="0" w:color="000000"/>
              <w:bottom w:val="single" w:sz="8" w:space="0" w:color="000000"/>
              <w:right w:val="single" w:sz="8" w:space="0" w:color="000000"/>
            </w:tcBorders>
            <w:vAlign w:val="center"/>
            <w:hideMark/>
          </w:tcPr>
          <w:p w14:paraId="7A73DE3D"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B Cell Epitope</w:t>
            </w:r>
          </w:p>
        </w:tc>
        <w:tc>
          <w:tcPr>
            <w:tcW w:w="2940" w:type="dxa"/>
            <w:tcBorders>
              <w:top w:val="nil"/>
              <w:left w:val="nil"/>
              <w:bottom w:val="single" w:sz="8" w:space="0" w:color="000000"/>
              <w:right w:val="single" w:sz="8" w:space="0" w:color="000000"/>
            </w:tcBorders>
            <w:vAlign w:val="center"/>
            <w:hideMark/>
          </w:tcPr>
          <w:p w14:paraId="4A21BBFA" w14:textId="77777777" w:rsidR="00F05812" w:rsidRPr="00F05812" w:rsidRDefault="00F05812" w:rsidP="00F05812">
            <w:pPr>
              <w:jc w:val="center"/>
              <w:rPr>
                <w:rFonts w:ascii="Arial" w:hAnsi="Arial" w:cs="Arial"/>
                <w:color w:val="000000"/>
                <w:lang w:val="en-IN" w:eastAsia="en-IN"/>
              </w:rPr>
            </w:pPr>
            <w:r w:rsidRPr="00F05812">
              <w:rPr>
                <w:rFonts w:ascii="Arial" w:hAnsi="Arial" w:cs="Arial"/>
                <w:color w:val="000000"/>
                <w:lang w:val="en-IN" w:eastAsia="en-IN"/>
              </w:rPr>
              <w:t>AVGIDLGTTYSVAVW</w:t>
            </w:r>
          </w:p>
        </w:tc>
      </w:tr>
    </w:tbl>
    <w:p w14:paraId="5AEBCF69" w14:textId="77777777" w:rsidR="001D08C3" w:rsidRDefault="001D08C3" w:rsidP="001D08C3">
      <w:pPr>
        <w:jc w:val="both"/>
        <w:rPr>
          <w:rFonts w:ascii="Arial" w:hAnsi="Arial" w:cs="Arial"/>
          <w:b/>
          <w:bCs/>
        </w:rPr>
      </w:pPr>
    </w:p>
    <w:p w14:paraId="6A664971" w14:textId="77777777" w:rsidR="00F05812" w:rsidRPr="00F05812" w:rsidRDefault="00F05812" w:rsidP="001D08C3">
      <w:pPr>
        <w:jc w:val="both"/>
        <w:rPr>
          <w:rFonts w:ascii="Arial" w:hAnsi="Arial" w:cs="Arial"/>
          <w:b/>
          <w:bCs/>
        </w:rPr>
      </w:pPr>
    </w:p>
    <w:p w14:paraId="782C0086" w14:textId="3045001B" w:rsidR="00226DFA" w:rsidRPr="00F05812" w:rsidRDefault="00226DFA" w:rsidP="001D08C3">
      <w:pPr>
        <w:pStyle w:val="Head1"/>
        <w:numPr>
          <w:ilvl w:val="2"/>
          <w:numId w:val="33"/>
        </w:numPr>
        <w:spacing w:after="0"/>
        <w:ind w:left="709"/>
        <w:jc w:val="both"/>
        <w:rPr>
          <w:rFonts w:ascii="Arial" w:hAnsi="Arial" w:cs="Arial"/>
          <w:sz w:val="20"/>
          <w:szCs w:val="18"/>
        </w:rPr>
      </w:pPr>
      <w:r w:rsidRPr="00F05812">
        <w:rPr>
          <w:rFonts w:ascii="Arial" w:hAnsi="Arial" w:cs="Arial"/>
          <w:caps w:val="0"/>
          <w:sz w:val="20"/>
          <w:szCs w:val="18"/>
        </w:rPr>
        <w:t xml:space="preserve">Population coverage by </w:t>
      </w:r>
      <w:r w:rsidR="006B31A1" w:rsidRPr="00F05812">
        <w:rPr>
          <w:rFonts w:ascii="Arial" w:hAnsi="Arial" w:cs="Arial"/>
          <w:caps w:val="0"/>
          <w:sz w:val="20"/>
          <w:szCs w:val="18"/>
        </w:rPr>
        <w:t>CTL</w:t>
      </w:r>
      <w:r w:rsidRPr="00F05812">
        <w:rPr>
          <w:rFonts w:ascii="Arial" w:hAnsi="Arial" w:cs="Arial"/>
          <w:caps w:val="0"/>
          <w:sz w:val="20"/>
          <w:szCs w:val="18"/>
        </w:rPr>
        <w:t xml:space="preserve"> and </w:t>
      </w:r>
      <w:r w:rsidR="006B31A1" w:rsidRPr="00F05812">
        <w:rPr>
          <w:rFonts w:ascii="Arial" w:hAnsi="Arial" w:cs="Arial"/>
          <w:caps w:val="0"/>
          <w:sz w:val="20"/>
          <w:szCs w:val="18"/>
        </w:rPr>
        <w:t xml:space="preserve">HTL </w:t>
      </w:r>
      <w:r w:rsidRPr="00F05812">
        <w:rPr>
          <w:rFonts w:ascii="Arial" w:hAnsi="Arial" w:cs="Arial"/>
          <w:caps w:val="0"/>
          <w:sz w:val="20"/>
          <w:szCs w:val="18"/>
        </w:rPr>
        <w:t>epitopes:</w:t>
      </w:r>
    </w:p>
    <w:p w14:paraId="57D201A4" w14:textId="77777777" w:rsidR="001D08C3" w:rsidRPr="00F05812" w:rsidRDefault="001D08C3" w:rsidP="001D08C3">
      <w:pPr>
        <w:pStyle w:val="Head1"/>
        <w:spacing w:after="0"/>
        <w:ind w:left="709"/>
        <w:jc w:val="both"/>
        <w:rPr>
          <w:rFonts w:ascii="Arial" w:hAnsi="Arial" w:cs="Arial"/>
          <w:caps w:val="0"/>
          <w:sz w:val="20"/>
          <w:szCs w:val="18"/>
        </w:rPr>
      </w:pPr>
    </w:p>
    <w:p w14:paraId="32571F90" w14:textId="77777777" w:rsidR="001D08C3" w:rsidRPr="00F05812" w:rsidRDefault="001D08C3" w:rsidP="001D08C3">
      <w:pPr>
        <w:pStyle w:val="Head1"/>
        <w:spacing w:after="0"/>
        <w:ind w:left="709"/>
        <w:jc w:val="both"/>
        <w:rPr>
          <w:rFonts w:ascii="Arial" w:hAnsi="Arial" w:cs="Arial"/>
          <w:sz w:val="20"/>
          <w:szCs w:val="18"/>
        </w:rPr>
      </w:pPr>
    </w:p>
    <w:p w14:paraId="4C934B9D" w14:textId="41F6FA4F" w:rsidR="00731F1F" w:rsidRPr="00F05812" w:rsidRDefault="00731F1F" w:rsidP="00226DFA">
      <w:pPr>
        <w:ind w:left="142" w:hanging="142"/>
        <w:rPr>
          <w:rFonts w:ascii="Arial" w:hAnsi="Arial" w:cs="Arial"/>
        </w:rPr>
      </w:pPr>
      <w:r w:rsidRPr="00F05812">
        <w:rPr>
          <w:rFonts w:ascii="Arial" w:hAnsi="Arial" w:cs="Arial"/>
        </w:rPr>
        <w:t>The population coverage by CTL and HTL epitopes as measured by IEDB (</w:t>
      </w:r>
      <w:r w:rsidRPr="00F05812">
        <w:rPr>
          <w:rFonts w:ascii="Arial" w:hAnsi="Arial" w:cs="Arial"/>
          <w:i/>
          <w:iCs/>
        </w:rPr>
        <w:t>Figure1</w:t>
      </w:r>
      <w:r w:rsidRPr="00F05812">
        <w:rPr>
          <w:rFonts w:ascii="Arial" w:hAnsi="Arial" w:cs="Arial"/>
        </w:rPr>
        <w:t>)</w:t>
      </w:r>
    </w:p>
    <w:p w14:paraId="0D59B156" w14:textId="1F67A14E" w:rsidR="00731F1F" w:rsidRPr="00F05812" w:rsidRDefault="00731F1F" w:rsidP="00226DFA">
      <w:pPr>
        <w:rPr>
          <w:rFonts w:ascii="Arial" w:hAnsi="Arial" w:cs="Arial"/>
        </w:rPr>
      </w:pPr>
    </w:p>
    <w:p w14:paraId="225D6C7A" w14:textId="5ED15262" w:rsidR="00226DFA" w:rsidRPr="00F05812" w:rsidRDefault="001D08C3" w:rsidP="00226DFA">
      <w:pPr>
        <w:spacing w:line="360" w:lineRule="auto"/>
        <w:rPr>
          <w:rFonts w:ascii="Arial" w:hAnsi="Arial" w:cs="Arial"/>
        </w:rPr>
      </w:pPr>
      <w:r w:rsidRPr="00F05812">
        <w:rPr>
          <w:rFonts w:ascii="Arial" w:hAnsi="Arial" w:cs="Arial"/>
          <w:b/>
          <w:bCs/>
          <w:noProof/>
          <w:bdr w:val="single" w:sz="4" w:space="0" w:color="auto"/>
        </w:rPr>
        <w:drawing>
          <wp:anchor distT="0" distB="0" distL="114300" distR="114300" simplePos="0" relativeHeight="251663360" behindDoc="0" locked="0" layoutInCell="1" allowOverlap="1" wp14:anchorId="56F46F4A" wp14:editId="23F4D988">
            <wp:simplePos x="0" y="0"/>
            <wp:positionH relativeFrom="margin">
              <wp:align>left</wp:align>
            </wp:positionH>
            <wp:positionV relativeFrom="paragraph">
              <wp:posOffset>466090</wp:posOffset>
            </wp:positionV>
            <wp:extent cx="5193030" cy="2470793"/>
            <wp:effectExtent l="19050" t="19050" r="26670" b="24765"/>
            <wp:wrapNone/>
            <wp:docPr id="220860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38994" name="Picture 1755538994"/>
                    <pic:cNvPicPr/>
                  </pic:nvPicPr>
                  <pic:blipFill>
                    <a:blip r:embed="rId14">
                      <a:extLst>
                        <a:ext uri="{28A0092B-C50C-407E-A947-70E740481C1C}">
                          <a14:useLocalDpi xmlns:a14="http://schemas.microsoft.com/office/drawing/2010/main" val="0"/>
                        </a:ext>
                      </a:extLst>
                    </a:blip>
                    <a:stretch>
                      <a:fillRect/>
                    </a:stretch>
                  </pic:blipFill>
                  <pic:spPr>
                    <a:xfrm>
                      <a:off x="0" y="0"/>
                      <a:ext cx="5193030" cy="24707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31F1F" w:rsidRPr="00F05812">
        <w:rPr>
          <w:rFonts w:ascii="Arial" w:hAnsi="Arial" w:cs="Arial"/>
          <w:b/>
          <w:bCs/>
          <w:noProof/>
        </w:rPr>
        <w:drawing>
          <wp:inline distT="0" distB="0" distL="0" distR="0" wp14:anchorId="58324D3F" wp14:editId="6381CF62">
            <wp:extent cx="5245926" cy="431800"/>
            <wp:effectExtent l="0" t="0" r="0" b="6350"/>
            <wp:docPr id="1482638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42478" name="Picture 795042478"/>
                    <pic:cNvPicPr/>
                  </pic:nvPicPr>
                  <pic:blipFill>
                    <a:blip r:embed="rId15">
                      <a:extLst>
                        <a:ext uri="{28A0092B-C50C-407E-A947-70E740481C1C}">
                          <a14:useLocalDpi xmlns:a14="http://schemas.microsoft.com/office/drawing/2010/main" val="0"/>
                        </a:ext>
                      </a:extLst>
                    </a:blip>
                    <a:stretch>
                      <a:fillRect/>
                    </a:stretch>
                  </pic:blipFill>
                  <pic:spPr>
                    <a:xfrm>
                      <a:off x="0" y="0"/>
                      <a:ext cx="5433881" cy="447271"/>
                    </a:xfrm>
                    <a:prstGeom prst="rect">
                      <a:avLst/>
                    </a:prstGeom>
                  </pic:spPr>
                </pic:pic>
              </a:graphicData>
            </a:graphic>
          </wp:inline>
        </w:drawing>
      </w:r>
    </w:p>
    <w:p w14:paraId="447DE1FB" w14:textId="7AFF511F" w:rsidR="00B218AB" w:rsidRPr="00F05812" w:rsidRDefault="00B218AB" w:rsidP="00226DFA">
      <w:pPr>
        <w:spacing w:line="360" w:lineRule="auto"/>
        <w:rPr>
          <w:rFonts w:ascii="Arial" w:hAnsi="Arial" w:cs="Arial"/>
        </w:rPr>
      </w:pPr>
    </w:p>
    <w:p w14:paraId="1F1589DE" w14:textId="3DCA8E0E" w:rsidR="006B31A1" w:rsidRPr="00F05812" w:rsidRDefault="006B31A1" w:rsidP="00226DFA">
      <w:pPr>
        <w:spacing w:line="360" w:lineRule="auto"/>
        <w:rPr>
          <w:rFonts w:ascii="Arial" w:hAnsi="Arial" w:cs="Arial"/>
        </w:rPr>
      </w:pPr>
    </w:p>
    <w:p w14:paraId="0E2EE0BA" w14:textId="77777777" w:rsidR="006B31A1" w:rsidRPr="00F05812" w:rsidRDefault="006B31A1" w:rsidP="00226DFA">
      <w:pPr>
        <w:spacing w:line="360" w:lineRule="auto"/>
        <w:rPr>
          <w:rFonts w:ascii="Arial" w:hAnsi="Arial" w:cs="Arial"/>
        </w:rPr>
      </w:pPr>
    </w:p>
    <w:p w14:paraId="197D5C98" w14:textId="77777777" w:rsidR="006B31A1" w:rsidRPr="00F05812" w:rsidRDefault="006B31A1" w:rsidP="00226DFA">
      <w:pPr>
        <w:spacing w:line="360" w:lineRule="auto"/>
        <w:rPr>
          <w:rFonts w:ascii="Arial" w:hAnsi="Arial" w:cs="Arial"/>
        </w:rPr>
      </w:pPr>
    </w:p>
    <w:p w14:paraId="0C3801FB" w14:textId="0C64C26F" w:rsidR="006B31A1" w:rsidRPr="00F05812" w:rsidRDefault="006B31A1" w:rsidP="00226DFA">
      <w:pPr>
        <w:spacing w:line="360" w:lineRule="auto"/>
        <w:rPr>
          <w:rFonts w:ascii="Arial" w:hAnsi="Arial" w:cs="Arial"/>
        </w:rPr>
      </w:pPr>
    </w:p>
    <w:p w14:paraId="58D50B66" w14:textId="77777777" w:rsidR="006B31A1" w:rsidRPr="00F05812" w:rsidRDefault="006B31A1" w:rsidP="00226DFA">
      <w:pPr>
        <w:spacing w:line="360" w:lineRule="auto"/>
        <w:rPr>
          <w:rFonts w:ascii="Arial" w:hAnsi="Arial" w:cs="Arial"/>
        </w:rPr>
      </w:pPr>
    </w:p>
    <w:p w14:paraId="637D2AAF" w14:textId="5F9B14B9" w:rsidR="006B31A1" w:rsidRPr="00F05812" w:rsidRDefault="006B31A1" w:rsidP="00226DFA">
      <w:pPr>
        <w:spacing w:line="360" w:lineRule="auto"/>
        <w:rPr>
          <w:rFonts w:ascii="Arial" w:hAnsi="Arial" w:cs="Arial"/>
        </w:rPr>
      </w:pPr>
    </w:p>
    <w:p w14:paraId="29ACBC9C" w14:textId="34BB50B7" w:rsidR="006B31A1" w:rsidRPr="00F05812" w:rsidRDefault="006B31A1" w:rsidP="00226DFA">
      <w:pPr>
        <w:spacing w:line="360" w:lineRule="auto"/>
        <w:rPr>
          <w:rFonts w:ascii="Arial" w:hAnsi="Arial" w:cs="Arial"/>
        </w:rPr>
      </w:pPr>
    </w:p>
    <w:p w14:paraId="177CB473" w14:textId="77777777" w:rsidR="001D08C3" w:rsidRPr="00F05812" w:rsidRDefault="001D08C3" w:rsidP="006B31A1">
      <w:pPr>
        <w:rPr>
          <w:rFonts w:ascii="Arial" w:hAnsi="Arial" w:cs="Arial"/>
          <w:b/>
          <w:bCs/>
          <w:i/>
          <w:iCs/>
        </w:rPr>
      </w:pPr>
    </w:p>
    <w:p w14:paraId="26C26DA4" w14:textId="77777777" w:rsidR="001D08C3" w:rsidRPr="00F05812" w:rsidRDefault="001D08C3" w:rsidP="006B31A1">
      <w:pPr>
        <w:rPr>
          <w:rFonts w:ascii="Arial" w:hAnsi="Arial" w:cs="Arial"/>
          <w:b/>
          <w:bCs/>
          <w:i/>
          <w:iCs/>
        </w:rPr>
      </w:pPr>
    </w:p>
    <w:p w14:paraId="4F194950" w14:textId="77777777" w:rsidR="001D08C3" w:rsidRPr="00F05812" w:rsidRDefault="001D08C3" w:rsidP="006B31A1">
      <w:pPr>
        <w:rPr>
          <w:rFonts w:ascii="Arial" w:hAnsi="Arial" w:cs="Arial"/>
          <w:b/>
          <w:bCs/>
          <w:i/>
          <w:iCs/>
        </w:rPr>
      </w:pPr>
    </w:p>
    <w:p w14:paraId="70F5515E" w14:textId="77777777" w:rsidR="001D08C3" w:rsidRPr="00F05812" w:rsidRDefault="001D08C3" w:rsidP="006B31A1">
      <w:pPr>
        <w:rPr>
          <w:rFonts w:ascii="Arial" w:hAnsi="Arial" w:cs="Arial"/>
          <w:b/>
          <w:bCs/>
          <w:i/>
          <w:iCs/>
        </w:rPr>
      </w:pPr>
    </w:p>
    <w:p w14:paraId="52FAC681" w14:textId="77777777" w:rsidR="001D08C3" w:rsidRPr="00F05812" w:rsidRDefault="001D08C3" w:rsidP="006B31A1">
      <w:pPr>
        <w:rPr>
          <w:rFonts w:ascii="Arial" w:hAnsi="Arial" w:cs="Arial"/>
          <w:b/>
          <w:bCs/>
          <w:i/>
          <w:iCs/>
        </w:rPr>
      </w:pPr>
    </w:p>
    <w:p w14:paraId="7C2F8971" w14:textId="77777777" w:rsidR="001D08C3" w:rsidRPr="00F05812" w:rsidRDefault="001D08C3" w:rsidP="006B31A1">
      <w:pPr>
        <w:rPr>
          <w:rFonts w:ascii="Arial" w:hAnsi="Arial" w:cs="Arial"/>
          <w:b/>
          <w:bCs/>
          <w:i/>
          <w:iCs/>
        </w:rPr>
      </w:pPr>
    </w:p>
    <w:p w14:paraId="4EB9CB36" w14:textId="40F7A531" w:rsidR="001D08C3" w:rsidRPr="00F05812" w:rsidRDefault="00731F1F" w:rsidP="006B31A1">
      <w:pPr>
        <w:rPr>
          <w:rFonts w:ascii="Arial" w:hAnsi="Arial" w:cs="Arial"/>
          <w:b/>
          <w:bCs/>
          <w:i/>
          <w:iCs/>
        </w:rPr>
      </w:pPr>
      <w:r w:rsidRPr="00F05812">
        <w:rPr>
          <w:rFonts w:ascii="Arial" w:hAnsi="Arial" w:cs="Arial"/>
          <w:b/>
          <w:bCs/>
          <w:i/>
          <w:iCs/>
        </w:rPr>
        <w:t>Figure 1: MHC 1 and MHC 2 combined population coverage</w:t>
      </w:r>
    </w:p>
    <w:p w14:paraId="37CF7EAB" w14:textId="77777777" w:rsidR="00F17E72" w:rsidRPr="00F05812" w:rsidRDefault="00F17E72" w:rsidP="006B31A1">
      <w:pPr>
        <w:rPr>
          <w:rFonts w:ascii="Arial" w:hAnsi="Arial" w:cs="Arial"/>
          <w:b/>
          <w:bCs/>
          <w:i/>
          <w:iCs/>
        </w:rPr>
      </w:pPr>
    </w:p>
    <w:p w14:paraId="23189C98" w14:textId="3A157FBF" w:rsidR="00A95920" w:rsidRPr="00F05812" w:rsidRDefault="006B31A1" w:rsidP="00A95920">
      <w:pPr>
        <w:pStyle w:val="Head1"/>
        <w:numPr>
          <w:ilvl w:val="1"/>
          <w:numId w:val="33"/>
        </w:numPr>
        <w:tabs>
          <w:tab w:val="left" w:pos="0"/>
          <w:tab w:val="left" w:pos="284"/>
          <w:tab w:val="left" w:pos="1843"/>
          <w:tab w:val="left" w:pos="5954"/>
        </w:tabs>
        <w:spacing w:before="240"/>
        <w:ind w:left="567" w:hanging="567"/>
        <w:jc w:val="both"/>
        <w:rPr>
          <w:rFonts w:ascii="Arial" w:hAnsi="Arial" w:cs="Arial"/>
          <w:sz w:val="20"/>
          <w:szCs w:val="18"/>
        </w:rPr>
      </w:pPr>
      <w:r w:rsidRPr="00F05812">
        <w:rPr>
          <w:rFonts w:ascii="Arial" w:hAnsi="Arial" w:cs="Arial"/>
          <w:caps w:val="0"/>
          <w:sz w:val="20"/>
          <w:szCs w:val="18"/>
        </w:rPr>
        <w:t>Vaccine construct design</w:t>
      </w:r>
      <w:r w:rsidR="00EE5169" w:rsidRPr="00F05812">
        <w:rPr>
          <w:rFonts w:ascii="Arial" w:hAnsi="Arial" w:cs="Arial"/>
          <w:sz w:val="20"/>
          <w:szCs w:val="18"/>
        </w:rPr>
        <w:t>:</w:t>
      </w:r>
    </w:p>
    <w:p w14:paraId="656A1F6D" w14:textId="4D4D300F" w:rsidR="00A87874" w:rsidRDefault="00A87874" w:rsidP="00F17E72">
      <w:pPr>
        <w:jc w:val="both"/>
        <w:rPr>
          <w:rFonts w:ascii="Arial" w:hAnsi="Arial" w:cs="Arial"/>
          <w:i/>
          <w:iCs/>
        </w:rPr>
      </w:pPr>
      <w:r w:rsidRPr="00F05812">
        <w:rPr>
          <w:rFonts w:ascii="Arial" w:hAnsi="Arial" w:cs="Arial"/>
        </w:rPr>
        <w:t>The final multi-epitope vaccine construct was designed by integrating selected CTL HTL, and B-cell epitopes, linked with immune-enhancing components to ensure optimal processing and presentation. (</w:t>
      </w:r>
      <w:r w:rsidRPr="00F05812">
        <w:rPr>
          <w:rFonts w:ascii="Arial" w:hAnsi="Arial" w:cs="Arial"/>
          <w:i/>
          <w:iCs/>
        </w:rPr>
        <w:t>Figure 2)</w:t>
      </w:r>
    </w:p>
    <w:p w14:paraId="56507BB7" w14:textId="77777777" w:rsidR="00F05812" w:rsidRDefault="00F05812" w:rsidP="00F17E72">
      <w:pPr>
        <w:jc w:val="both"/>
        <w:rPr>
          <w:rFonts w:ascii="Arial" w:hAnsi="Arial" w:cs="Arial"/>
          <w:i/>
          <w:iCs/>
        </w:rPr>
      </w:pPr>
    </w:p>
    <w:p w14:paraId="68FFE8B4" w14:textId="77777777" w:rsidR="00F05812" w:rsidRDefault="00F05812" w:rsidP="00F17E72">
      <w:pPr>
        <w:jc w:val="both"/>
        <w:rPr>
          <w:rFonts w:ascii="Arial" w:hAnsi="Arial" w:cs="Arial"/>
          <w:i/>
          <w:iCs/>
        </w:rPr>
      </w:pPr>
    </w:p>
    <w:p w14:paraId="28973C5B" w14:textId="4A215DC8" w:rsidR="006B31A1" w:rsidRPr="00F05812" w:rsidRDefault="006B31A1" w:rsidP="006B31A1">
      <w:pPr>
        <w:rPr>
          <w:rFonts w:ascii="Arial" w:hAnsi="Arial" w:cs="Arial"/>
          <w:i/>
          <w:iCs/>
        </w:rPr>
      </w:pPr>
      <w:r w:rsidRPr="00F05812">
        <w:rPr>
          <w:rFonts w:ascii="Arial" w:hAnsi="Arial" w:cs="Arial"/>
          <w:noProof/>
        </w:rPr>
        <w:lastRenderedPageBreak/>
        <w:drawing>
          <wp:anchor distT="0" distB="0" distL="114300" distR="114300" simplePos="0" relativeHeight="251664384" behindDoc="0" locked="0" layoutInCell="1" allowOverlap="1" wp14:anchorId="3404AB54" wp14:editId="6248E362">
            <wp:simplePos x="0" y="0"/>
            <wp:positionH relativeFrom="column">
              <wp:posOffset>15240</wp:posOffset>
            </wp:positionH>
            <wp:positionV relativeFrom="paragraph">
              <wp:posOffset>149225</wp:posOffset>
            </wp:positionV>
            <wp:extent cx="5410200" cy="2790065"/>
            <wp:effectExtent l="0" t="0" r="0" b="0"/>
            <wp:wrapNone/>
            <wp:docPr id="15010818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2936" cy="2806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B4017" w14:textId="393CA01F" w:rsidR="00A87874" w:rsidRPr="00F05812" w:rsidRDefault="00A87874" w:rsidP="00A87874">
      <w:pPr>
        <w:ind w:left="1134" w:hanging="283"/>
        <w:rPr>
          <w:rFonts w:ascii="Arial" w:hAnsi="Arial" w:cs="Arial"/>
          <w:i/>
          <w:iCs/>
        </w:rPr>
      </w:pPr>
    </w:p>
    <w:p w14:paraId="5E769F72" w14:textId="3859AC93" w:rsidR="006B31A1" w:rsidRPr="00F05812" w:rsidRDefault="006B31A1" w:rsidP="00A87874">
      <w:pPr>
        <w:ind w:left="1701"/>
        <w:rPr>
          <w:rFonts w:ascii="Arial" w:hAnsi="Arial" w:cs="Arial"/>
          <w:b/>
          <w:bCs/>
          <w:i/>
          <w:iCs/>
        </w:rPr>
      </w:pPr>
    </w:p>
    <w:p w14:paraId="71EFC97D" w14:textId="77777777" w:rsidR="006B31A1" w:rsidRPr="00F05812" w:rsidRDefault="006B31A1" w:rsidP="00A87874">
      <w:pPr>
        <w:ind w:left="1701"/>
        <w:rPr>
          <w:rFonts w:ascii="Arial" w:hAnsi="Arial" w:cs="Arial"/>
          <w:b/>
          <w:bCs/>
          <w:i/>
          <w:iCs/>
        </w:rPr>
      </w:pPr>
    </w:p>
    <w:p w14:paraId="512F2FDC" w14:textId="59486C7D" w:rsidR="006B31A1" w:rsidRPr="00F05812" w:rsidRDefault="006B31A1" w:rsidP="00A87874">
      <w:pPr>
        <w:ind w:left="1701"/>
        <w:rPr>
          <w:rFonts w:ascii="Arial" w:hAnsi="Arial" w:cs="Arial"/>
          <w:b/>
          <w:bCs/>
          <w:i/>
          <w:iCs/>
        </w:rPr>
      </w:pPr>
    </w:p>
    <w:p w14:paraId="2F71E311" w14:textId="7C9D4DF5" w:rsidR="006B31A1" w:rsidRPr="00F05812" w:rsidRDefault="006B31A1" w:rsidP="00A87874">
      <w:pPr>
        <w:ind w:left="1701"/>
        <w:rPr>
          <w:rFonts w:ascii="Arial" w:hAnsi="Arial" w:cs="Arial"/>
          <w:b/>
          <w:bCs/>
          <w:i/>
          <w:iCs/>
        </w:rPr>
      </w:pPr>
    </w:p>
    <w:p w14:paraId="0500001D" w14:textId="130FC8D3" w:rsidR="006B31A1" w:rsidRPr="00F05812" w:rsidRDefault="006B31A1" w:rsidP="00A87874">
      <w:pPr>
        <w:ind w:left="1701"/>
        <w:rPr>
          <w:rFonts w:ascii="Arial" w:hAnsi="Arial" w:cs="Arial"/>
          <w:b/>
          <w:bCs/>
          <w:i/>
          <w:iCs/>
        </w:rPr>
      </w:pPr>
    </w:p>
    <w:p w14:paraId="52DF8CDF" w14:textId="19A2A6A0" w:rsidR="006B31A1" w:rsidRPr="00F05812" w:rsidRDefault="006B31A1" w:rsidP="00A87874">
      <w:pPr>
        <w:ind w:left="1701"/>
        <w:rPr>
          <w:rFonts w:ascii="Arial" w:hAnsi="Arial" w:cs="Arial"/>
          <w:b/>
          <w:bCs/>
          <w:i/>
          <w:iCs/>
        </w:rPr>
      </w:pPr>
    </w:p>
    <w:p w14:paraId="7DEEFD92" w14:textId="733A28ED" w:rsidR="006B31A1" w:rsidRPr="00F05812" w:rsidRDefault="006B31A1" w:rsidP="00A87874">
      <w:pPr>
        <w:ind w:left="1701"/>
        <w:rPr>
          <w:rFonts w:ascii="Arial" w:hAnsi="Arial" w:cs="Arial"/>
          <w:b/>
          <w:bCs/>
          <w:i/>
          <w:iCs/>
        </w:rPr>
      </w:pPr>
    </w:p>
    <w:p w14:paraId="4419A0EC" w14:textId="4C767E6A" w:rsidR="006B31A1" w:rsidRPr="00F05812" w:rsidRDefault="006B31A1" w:rsidP="00A87874">
      <w:pPr>
        <w:ind w:left="1701"/>
        <w:rPr>
          <w:rFonts w:ascii="Arial" w:hAnsi="Arial" w:cs="Arial"/>
          <w:b/>
          <w:bCs/>
          <w:i/>
          <w:iCs/>
        </w:rPr>
      </w:pPr>
    </w:p>
    <w:p w14:paraId="07C94EEC" w14:textId="77777777" w:rsidR="006B31A1" w:rsidRPr="00F05812" w:rsidRDefault="006B31A1" w:rsidP="00A87874">
      <w:pPr>
        <w:ind w:left="1701"/>
        <w:rPr>
          <w:rFonts w:ascii="Arial" w:hAnsi="Arial" w:cs="Arial"/>
          <w:b/>
          <w:bCs/>
          <w:i/>
          <w:iCs/>
        </w:rPr>
      </w:pPr>
    </w:p>
    <w:p w14:paraId="64FE0067" w14:textId="77777777" w:rsidR="006B31A1" w:rsidRPr="00F05812" w:rsidRDefault="006B31A1" w:rsidP="00A87874">
      <w:pPr>
        <w:ind w:left="1701"/>
        <w:rPr>
          <w:rFonts w:ascii="Arial" w:hAnsi="Arial" w:cs="Arial"/>
          <w:b/>
          <w:bCs/>
          <w:i/>
          <w:iCs/>
        </w:rPr>
      </w:pPr>
    </w:p>
    <w:p w14:paraId="25AC1D35" w14:textId="77777777" w:rsidR="006B31A1" w:rsidRPr="00F05812" w:rsidRDefault="006B31A1" w:rsidP="00A87874">
      <w:pPr>
        <w:ind w:left="1701"/>
        <w:rPr>
          <w:rFonts w:ascii="Arial" w:hAnsi="Arial" w:cs="Arial"/>
          <w:b/>
          <w:bCs/>
          <w:i/>
          <w:iCs/>
        </w:rPr>
      </w:pPr>
    </w:p>
    <w:p w14:paraId="03E8FF11" w14:textId="77777777" w:rsidR="006B31A1" w:rsidRPr="00F05812" w:rsidRDefault="006B31A1" w:rsidP="00A87874">
      <w:pPr>
        <w:ind w:left="1701"/>
        <w:rPr>
          <w:rFonts w:ascii="Arial" w:hAnsi="Arial" w:cs="Arial"/>
          <w:b/>
          <w:bCs/>
          <w:i/>
          <w:iCs/>
        </w:rPr>
      </w:pPr>
    </w:p>
    <w:p w14:paraId="0D5A3ABD" w14:textId="77777777" w:rsidR="006B31A1" w:rsidRPr="00F05812" w:rsidRDefault="006B31A1" w:rsidP="00A87874">
      <w:pPr>
        <w:ind w:left="1701"/>
        <w:rPr>
          <w:rFonts w:ascii="Arial" w:hAnsi="Arial" w:cs="Arial"/>
          <w:b/>
          <w:bCs/>
          <w:i/>
          <w:iCs/>
        </w:rPr>
      </w:pPr>
    </w:p>
    <w:p w14:paraId="4D73E15C" w14:textId="77777777" w:rsidR="006B31A1" w:rsidRPr="00F05812" w:rsidRDefault="006B31A1" w:rsidP="00A87874">
      <w:pPr>
        <w:ind w:left="1701"/>
        <w:rPr>
          <w:rFonts w:ascii="Arial" w:hAnsi="Arial" w:cs="Arial"/>
          <w:b/>
          <w:bCs/>
          <w:i/>
          <w:iCs/>
        </w:rPr>
      </w:pPr>
    </w:p>
    <w:p w14:paraId="20146A47" w14:textId="77777777" w:rsidR="006B31A1" w:rsidRPr="00F05812" w:rsidRDefault="006B31A1" w:rsidP="00A87874">
      <w:pPr>
        <w:ind w:left="1701"/>
        <w:rPr>
          <w:rFonts w:ascii="Arial" w:hAnsi="Arial" w:cs="Arial"/>
          <w:b/>
          <w:bCs/>
          <w:i/>
          <w:iCs/>
        </w:rPr>
      </w:pPr>
    </w:p>
    <w:p w14:paraId="5CA7DCFF" w14:textId="77777777" w:rsidR="006B31A1" w:rsidRPr="00F05812" w:rsidRDefault="006B31A1" w:rsidP="00A87874">
      <w:pPr>
        <w:ind w:left="1701"/>
        <w:rPr>
          <w:rFonts w:ascii="Arial" w:hAnsi="Arial" w:cs="Arial"/>
          <w:b/>
          <w:bCs/>
          <w:i/>
          <w:iCs/>
        </w:rPr>
      </w:pPr>
    </w:p>
    <w:p w14:paraId="4A1FEC15" w14:textId="77777777" w:rsidR="006B31A1" w:rsidRPr="00F05812" w:rsidRDefault="006B31A1" w:rsidP="00A87874">
      <w:pPr>
        <w:ind w:left="1701"/>
        <w:rPr>
          <w:rFonts w:ascii="Arial" w:hAnsi="Arial" w:cs="Arial"/>
          <w:b/>
          <w:bCs/>
          <w:i/>
          <w:iCs/>
        </w:rPr>
      </w:pPr>
    </w:p>
    <w:p w14:paraId="783A6B62" w14:textId="77777777" w:rsidR="006B31A1" w:rsidRPr="00F05812" w:rsidRDefault="006B31A1" w:rsidP="00A87874">
      <w:pPr>
        <w:ind w:left="1701"/>
        <w:rPr>
          <w:rFonts w:ascii="Arial" w:hAnsi="Arial" w:cs="Arial"/>
          <w:b/>
          <w:bCs/>
          <w:i/>
          <w:iCs/>
        </w:rPr>
      </w:pPr>
    </w:p>
    <w:p w14:paraId="1E9A847B" w14:textId="77777777" w:rsidR="006B31A1" w:rsidRPr="00F05812" w:rsidRDefault="006B31A1" w:rsidP="00A87874">
      <w:pPr>
        <w:ind w:left="1701"/>
        <w:rPr>
          <w:rFonts w:ascii="Arial" w:hAnsi="Arial" w:cs="Arial"/>
          <w:b/>
          <w:bCs/>
          <w:i/>
          <w:iCs/>
        </w:rPr>
      </w:pPr>
    </w:p>
    <w:p w14:paraId="1AE2EAF8" w14:textId="723A179D" w:rsidR="00A95920" w:rsidRPr="00F05812" w:rsidRDefault="00A87874" w:rsidP="00A95920">
      <w:pPr>
        <w:rPr>
          <w:rFonts w:ascii="Arial" w:hAnsi="Arial" w:cs="Arial"/>
          <w:b/>
          <w:bCs/>
          <w:i/>
          <w:iCs/>
        </w:rPr>
      </w:pPr>
      <w:r w:rsidRPr="00F05812">
        <w:rPr>
          <w:rFonts w:ascii="Arial" w:hAnsi="Arial" w:cs="Arial"/>
          <w:b/>
          <w:bCs/>
          <w:i/>
          <w:iCs/>
        </w:rPr>
        <w:t>Figure 2: Vaccine construct Design</w:t>
      </w:r>
    </w:p>
    <w:p w14:paraId="18E121FE" w14:textId="77777777" w:rsidR="00A95920" w:rsidRPr="00F05812" w:rsidRDefault="00A95920" w:rsidP="00A95920">
      <w:pPr>
        <w:rPr>
          <w:rFonts w:ascii="Arial" w:hAnsi="Arial" w:cs="Arial"/>
          <w:b/>
          <w:bCs/>
          <w:i/>
          <w:iCs/>
        </w:rPr>
      </w:pPr>
    </w:p>
    <w:p w14:paraId="0D00CDF9" w14:textId="77777777" w:rsidR="00A95920" w:rsidRPr="00F05812" w:rsidRDefault="00A95920" w:rsidP="00A95920">
      <w:pPr>
        <w:rPr>
          <w:rFonts w:ascii="Arial" w:hAnsi="Arial" w:cs="Arial"/>
          <w:b/>
          <w:bCs/>
          <w:i/>
          <w:iCs/>
        </w:rPr>
      </w:pPr>
    </w:p>
    <w:p w14:paraId="0B76A767" w14:textId="1C1E95D1" w:rsidR="00B10D01" w:rsidRPr="00F05812" w:rsidRDefault="00A95920" w:rsidP="00A95920">
      <w:pPr>
        <w:pStyle w:val="ListParagraph"/>
        <w:numPr>
          <w:ilvl w:val="2"/>
          <w:numId w:val="33"/>
        </w:numPr>
        <w:spacing w:before="240" w:after="240"/>
        <w:ind w:left="426" w:hanging="425"/>
        <w:rPr>
          <w:rFonts w:ascii="Arial" w:hAnsi="Arial" w:cs="Arial"/>
          <w:b/>
          <w:caps/>
          <w:szCs w:val="18"/>
        </w:rPr>
      </w:pPr>
      <w:r w:rsidRPr="00F05812">
        <w:rPr>
          <w:rFonts w:ascii="Arial" w:hAnsi="Arial" w:cs="Arial"/>
          <w:b/>
          <w:szCs w:val="18"/>
        </w:rPr>
        <w:t>Immunological and physicochemical properties:</w:t>
      </w:r>
    </w:p>
    <w:p w14:paraId="72C8EECF" w14:textId="6252C5FB" w:rsidR="00654EE7" w:rsidRPr="00F05812" w:rsidRDefault="00654EE7" w:rsidP="00A95920">
      <w:pPr>
        <w:jc w:val="both"/>
        <w:rPr>
          <w:rFonts w:ascii="Arial" w:hAnsi="Arial" w:cs="Arial"/>
        </w:rPr>
      </w:pPr>
      <w:r w:rsidRPr="00F05812">
        <w:rPr>
          <w:rFonts w:ascii="Arial" w:hAnsi="Arial" w:cs="Arial"/>
        </w:rPr>
        <w:t>ProtParam analysis revealed that the vaccine construct contains 360 amino acids with a molecular weight of 37.39 kDa and a pI of 9.25. It is predicted to be stable (instability index: 25.81), thermostable (aliphatic index: 73.11), and hydrophilic (GRAVY: –0.138). The construct shows high solubility and favorable half-life predictions across mammalian, yeast, and E. coli systems, supporting its potential for expression and stability. (Table 4).</w:t>
      </w:r>
    </w:p>
    <w:p w14:paraId="58D652DE" w14:textId="77777777" w:rsidR="00654EE7" w:rsidRPr="00F05812" w:rsidRDefault="00654EE7" w:rsidP="00654EE7">
      <w:pPr>
        <w:ind w:left="1418"/>
        <w:jc w:val="both"/>
        <w:rPr>
          <w:rFonts w:ascii="Arial" w:hAnsi="Arial" w:cs="Arial"/>
        </w:rPr>
      </w:pPr>
    </w:p>
    <w:p w14:paraId="61F4EACC" w14:textId="5AAFF8AC" w:rsidR="00654EE7" w:rsidRPr="00F05812" w:rsidRDefault="00654EE7" w:rsidP="00A95920">
      <w:pPr>
        <w:jc w:val="both"/>
        <w:rPr>
          <w:rFonts w:ascii="Arial" w:hAnsi="Arial" w:cs="Arial"/>
          <w:b/>
          <w:bCs/>
        </w:rPr>
      </w:pPr>
      <w:r w:rsidRPr="00F05812">
        <w:rPr>
          <w:rFonts w:ascii="Arial" w:hAnsi="Arial" w:cs="Arial"/>
          <w:b/>
          <w:bCs/>
        </w:rPr>
        <w:t>Table 4: Physiochemical properties of Vaccine Construct</w:t>
      </w:r>
    </w:p>
    <w:p w14:paraId="36A5CA2C" w14:textId="765F88F0" w:rsidR="00A95920" w:rsidRPr="00F05812" w:rsidRDefault="00A95920" w:rsidP="00A95920">
      <w:pPr>
        <w:jc w:val="both"/>
        <w:rPr>
          <w:rFonts w:ascii="Arial" w:hAnsi="Arial" w:cs="Arial"/>
          <w:b/>
          <w:bCs/>
        </w:rPr>
      </w:pPr>
    </w:p>
    <w:tbl>
      <w:tblPr>
        <w:tblStyle w:val="TableGrid"/>
        <w:tblW w:w="8219" w:type="dxa"/>
        <w:tblInd w:w="137" w:type="dxa"/>
        <w:tblLook w:val="04A0" w:firstRow="1" w:lastRow="0" w:firstColumn="1" w:lastColumn="0" w:noHBand="0" w:noVBand="1"/>
      </w:tblPr>
      <w:tblGrid>
        <w:gridCol w:w="4839"/>
        <w:gridCol w:w="3380"/>
      </w:tblGrid>
      <w:tr w:rsidR="00654EE7" w:rsidRPr="00F05812" w14:paraId="228994C4" w14:textId="77777777" w:rsidTr="00A95920">
        <w:trPr>
          <w:trHeight w:val="478"/>
        </w:trPr>
        <w:tc>
          <w:tcPr>
            <w:tcW w:w="4839" w:type="dxa"/>
            <w:hideMark/>
          </w:tcPr>
          <w:p w14:paraId="440E0271" w14:textId="77777777" w:rsidR="00654EE7" w:rsidRPr="00F05812" w:rsidRDefault="00654EE7" w:rsidP="006E7179">
            <w:pPr>
              <w:spacing w:line="360" w:lineRule="auto"/>
              <w:rPr>
                <w:rFonts w:ascii="Arial" w:eastAsia="Times New Roman" w:hAnsi="Arial" w:cs="Arial"/>
                <w:b/>
                <w:bCs/>
                <w:sz w:val="20"/>
                <w:szCs w:val="20"/>
                <w:lang w:eastAsia="en-IN"/>
              </w:rPr>
            </w:pPr>
            <w:r w:rsidRPr="00F05812">
              <w:rPr>
                <w:rFonts w:ascii="Arial" w:eastAsia="Times New Roman" w:hAnsi="Arial" w:cs="Arial"/>
                <w:b/>
                <w:bCs/>
                <w:sz w:val="20"/>
                <w:szCs w:val="20"/>
                <w:lang w:eastAsia="en-IN"/>
              </w:rPr>
              <w:t>Property</w:t>
            </w:r>
          </w:p>
        </w:tc>
        <w:tc>
          <w:tcPr>
            <w:tcW w:w="3380" w:type="dxa"/>
            <w:hideMark/>
          </w:tcPr>
          <w:p w14:paraId="6880715B" w14:textId="77777777" w:rsidR="00654EE7" w:rsidRPr="00F05812" w:rsidRDefault="00654EE7" w:rsidP="006E7179">
            <w:pPr>
              <w:spacing w:line="360" w:lineRule="auto"/>
              <w:rPr>
                <w:rFonts w:ascii="Arial" w:eastAsia="Times New Roman" w:hAnsi="Arial" w:cs="Arial"/>
                <w:b/>
                <w:bCs/>
                <w:sz w:val="20"/>
                <w:szCs w:val="20"/>
                <w:lang w:eastAsia="en-IN"/>
              </w:rPr>
            </w:pPr>
            <w:r w:rsidRPr="00F05812">
              <w:rPr>
                <w:rFonts w:ascii="Arial" w:eastAsia="Times New Roman" w:hAnsi="Arial" w:cs="Arial"/>
                <w:b/>
                <w:bCs/>
                <w:sz w:val="20"/>
                <w:szCs w:val="20"/>
                <w:lang w:eastAsia="en-IN"/>
              </w:rPr>
              <w:t>Value</w:t>
            </w:r>
          </w:p>
        </w:tc>
      </w:tr>
      <w:tr w:rsidR="00654EE7" w:rsidRPr="00F05812" w14:paraId="45640A7E" w14:textId="77777777" w:rsidTr="00A95920">
        <w:trPr>
          <w:trHeight w:val="459"/>
        </w:trPr>
        <w:tc>
          <w:tcPr>
            <w:tcW w:w="4839" w:type="dxa"/>
            <w:hideMark/>
          </w:tcPr>
          <w:p w14:paraId="131CDB7A" w14:textId="6EED9E5B"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Number of amino acids</w:t>
            </w:r>
          </w:p>
        </w:tc>
        <w:tc>
          <w:tcPr>
            <w:tcW w:w="3380" w:type="dxa"/>
            <w:hideMark/>
          </w:tcPr>
          <w:p w14:paraId="551C9A9B"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360</w:t>
            </w:r>
          </w:p>
        </w:tc>
      </w:tr>
      <w:tr w:rsidR="00654EE7" w:rsidRPr="00F05812" w14:paraId="6E8B361A" w14:textId="77777777" w:rsidTr="00A95920">
        <w:trPr>
          <w:trHeight w:val="478"/>
        </w:trPr>
        <w:tc>
          <w:tcPr>
            <w:tcW w:w="4839" w:type="dxa"/>
            <w:hideMark/>
          </w:tcPr>
          <w:p w14:paraId="29F369FA"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Molecular weight</w:t>
            </w:r>
          </w:p>
        </w:tc>
        <w:tc>
          <w:tcPr>
            <w:tcW w:w="3380" w:type="dxa"/>
            <w:hideMark/>
          </w:tcPr>
          <w:p w14:paraId="7A356C5D"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37,398.42 Da</w:t>
            </w:r>
          </w:p>
        </w:tc>
      </w:tr>
      <w:tr w:rsidR="00654EE7" w:rsidRPr="00F05812" w14:paraId="7097BEA4" w14:textId="77777777" w:rsidTr="00A95920">
        <w:trPr>
          <w:trHeight w:val="478"/>
        </w:trPr>
        <w:tc>
          <w:tcPr>
            <w:tcW w:w="4839" w:type="dxa"/>
            <w:hideMark/>
          </w:tcPr>
          <w:p w14:paraId="6DA76945"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Theoretical pI (Isoelectric Point)</w:t>
            </w:r>
          </w:p>
        </w:tc>
        <w:tc>
          <w:tcPr>
            <w:tcW w:w="3380" w:type="dxa"/>
            <w:hideMark/>
          </w:tcPr>
          <w:p w14:paraId="4A7E7693"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9.25</w:t>
            </w:r>
          </w:p>
        </w:tc>
      </w:tr>
      <w:tr w:rsidR="00654EE7" w:rsidRPr="00F05812" w14:paraId="0449A5EF" w14:textId="77777777" w:rsidTr="00A95920">
        <w:trPr>
          <w:trHeight w:val="478"/>
        </w:trPr>
        <w:tc>
          <w:tcPr>
            <w:tcW w:w="4839" w:type="dxa"/>
            <w:hideMark/>
          </w:tcPr>
          <w:p w14:paraId="0879803C"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Total number of atoms</w:t>
            </w:r>
          </w:p>
        </w:tc>
        <w:tc>
          <w:tcPr>
            <w:tcW w:w="3380" w:type="dxa"/>
            <w:hideMark/>
          </w:tcPr>
          <w:p w14:paraId="38392B94"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5237</w:t>
            </w:r>
          </w:p>
        </w:tc>
      </w:tr>
      <w:tr w:rsidR="00654EE7" w:rsidRPr="00F05812" w14:paraId="6DD8C2CD" w14:textId="77777777" w:rsidTr="00A95920">
        <w:trPr>
          <w:trHeight w:val="459"/>
        </w:trPr>
        <w:tc>
          <w:tcPr>
            <w:tcW w:w="4839" w:type="dxa"/>
            <w:hideMark/>
          </w:tcPr>
          <w:p w14:paraId="186F7B26" w14:textId="3F44297D"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Molecular formula</w:t>
            </w:r>
          </w:p>
        </w:tc>
        <w:tc>
          <w:tcPr>
            <w:tcW w:w="3380" w:type="dxa"/>
            <w:hideMark/>
          </w:tcPr>
          <w:p w14:paraId="07D41290"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C</w:t>
            </w:r>
            <w:r w:rsidRPr="00F05812">
              <w:rPr>
                <w:rFonts w:ascii="Cambria Math" w:eastAsia="Times New Roman" w:hAnsi="Cambria Math" w:cs="Cambria Math"/>
                <w:sz w:val="20"/>
                <w:szCs w:val="20"/>
                <w:lang w:eastAsia="en-IN"/>
              </w:rPr>
              <w:t>₁₆₅₄</w:t>
            </w:r>
            <w:r w:rsidRPr="00F05812">
              <w:rPr>
                <w:rFonts w:ascii="Arial" w:eastAsia="Times New Roman" w:hAnsi="Arial" w:cs="Arial"/>
                <w:sz w:val="20"/>
                <w:szCs w:val="20"/>
                <w:lang w:eastAsia="en-IN"/>
              </w:rPr>
              <w:t>H</w:t>
            </w:r>
            <w:r w:rsidRPr="00F05812">
              <w:rPr>
                <w:rFonts w:ascii="Cambria Math" w:eastAsia="Times New Roman" w:hAnsi="Cambria Math" w:cs="Cambria Math"/>
                <w:sz w:val="20"/>
                <w:szCs w:val="20"/>
                <w:lang w:eastAsia="en-IN"/>
              </w:rPr>
              <w:t>₂₆₀₈</w:t>
            </w:r>
            <w:r w:rsidRPr="00F05812">
              <w:rPr>
                <w:rFonts w:ascii="Arial" w:eastAsia="Times New Roman" w:hAnsi="Arial" w:cs="Arial"/>
                <w:sz w:val="20"/>
                <w:szCs w:val="20"/>
                <w:lang w:eastAsia="en-IN"/>
              </w:rPr>
              <w:t>N</w:t>
            </w:r>
            <w:r w:rsidRPr="00F05812">
              <w:rPr>
                <w:rFonts w:ascii="Cambria Math" w:eastAsia="Times New Roman" w:hAnsi="Cambria Math" w:cs="Cambria Math"/>
                <w:sz w:val="20"/>
                <w:szCs w:val="20"/>
                <w:lang w:eastAsia="en-IN"/>
              </w:rPr>
              <w:t>₄₅₄</w:t>
            </w:r>
            <w:r w:rsidRPr="00F05812">
              <w:rPr>
                <w:rFonts w:ascii="Arial" w:eastAsia="Times New Roman" w:hAnsi="Arial" w:cs="Arial"/>
                <w:sz w:val="20"/>
                <w:szCs w:val="20"/>
                <w:lang w:eastAsia="en-IN"/>
              </w:rPr>
              <w:t>O</w:t>
            </w:r>
            <w:r w:rsidRPr="00F05812">
              <w:rPr>
                <w:rFonts w:ascii="Cambria Math" w:eastAsia="Times New Roman" w:hAnsi="Cambria Math" w:cs="Cambria Math"/>
                <w:sz w:val="20"/>
                <w:szCs w:val="20"/>
                <w:lang w:eastAsia="en-IN"/>
              </w:rPr>
              <w:t>₅₀₈</w:t>
            </w:r>
            <w:r w:rsidRPr="00F05812">
              <w:rPr>
                <w:rFonts w:ascii="Arial" w:eastAsia="Times New Roman" w:hAnsi="Arial" w:cs="Arial"/>
                <w:sz w:val="20"/>
                <w:szCs w:val="20"/>
                <w:lang w:eastAsia="en-IN"/>
              </w:rPr>
              <w:t>S</w:t>
            </w:r>
            <w:r w:rsidRPr="00F05812">
              <w:rPr>
                <w:rFonts w:ascii="Cambria Math" w:eastAsia="Times New Roman" w:hAnsi="Cambria Math" w:cs="Cambria Math"/>
                <w:sz w:val="20"/>
                <w:szCs w:val="20"/>
                <w:lang w:eastAsia="en-IN"/>
              </w:rPr>
              <w:t>₁₃</w:t>
            </w:r>
          </w:p>
        </w:tc>
      </w:tr>
      <w:tr w:rsidR="00654EE7" w:rsidRPr="00F05812" w14:paraId="2D343BBC" w14:textId="77777777" w:rsidTr="00A95920">
        <w:trPr>
          <w:trHeight w:val="478"/>
        </w:trPr>
        <w:tc>
          <w:tcPr>
            <w:tcW w:w="4839" w:type="dxa"/>
            <w:hideMark/>
          </w:tcPr>
          <w:p w14:paraId="2FB61DEC" w14:textId="6CE698D6"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Negatively charged residues (Asp + Glu)</w:t>
            </w:r>
          </w:p>
        </w:tc>
        <w:tc>
          <w:tcPr>
            <w:tcW w:w="3380" w:type="dxa"/>
            <w:hideMark/>
          </w:tcPr>
          <w:p w14:paraId="78A6AC7D"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23</w:t>
            </w:r>
          </w:p>
        </w:tc>
      </w:tr>
      <w:tr w:rsidR="00654EE7" w:rsidRPr="00F05812" w14:paraId="47FE089A" w14:textId="77777777" w:rsidTr="00A95920">
        <w:trPr>
          <w:trHeight w:val="478"/>
        </w:trPr>
        <w:tc>
          <w:tcPr>
            <w:tcW w:w="4839" w:type="dxa"/>
            <w:hideMark/>
          </w:tcPr>
          <w:p w14:paraId="47E46CBE" w14:textId="2EF0189A"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Positively charged residues (Arg + Lys)</w:t>
            </w:r>
          </w:p>
        </w:tc>
        <w:tc>
          <w:tcPr>
            <w:tcW w:w="3380" w:type="dxa"/>
            <w:hideMark/>
          </w:tcPr>
          <w:p w14:paraId="212C9FE0"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36</w:t>
            </w:r>
          </w:p>
        </w:tc>
      </w:tr>
      <w:tr w:rsidR="00654EE7" w:rsidRPr="00F05812" w14:paraId="05EED4F7" w14:textId="77777777" w:rsidTr="00A95920">
        <w:trPr>
          <w:trHeight w:val="478"/>
        </w:trPr>
        <w:tc>
          <w:tcPr>
            <w:tcW w:w="4839" w:type="dxa"/>
            <w:hideMark/>
          </w:tcPr>
          <w:p w14:paraId="779CC692" w14:textId="58906BF9"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Instability index (II)</w:t>
            </w:r>
          </w:p>
        </w:tc>
        <w:tc>
          <w:tcPr>
            <w:tcW w:w="3380" w:type="dxa"/>
            <w:hideMark/>
          </w:tcPr>
          <w:p w14:paraId="547ACBF2"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25.81 (Stable)</w:t>
            </w:r>
          </w:p>
        </w:tc>
      </w:tr>
      <w:tr w:rsidR="00654EE7" w:rsidRPr="00F05812" w14:paraId="3860BE48" w14:textId="77777777" w:rsidTr="00A95920">
        <w:trPr>
          <w:trHeight w:val="459"/>
        </w:trPr>
        <w:tc>
          <w:tcPr>
            <w:tcW w:w="4839" w:type="dxa"/>
            <w:hideMark/>
          </w:tcPr>
          <w:p w14:paraId="366CB73C" w14:textId="3B7C4C15"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lastRenderedPageBreak/>
              <w:t>Aliphatic index</w:t>
            </w:r>
          </w:p>
        </w:tc>
        <w:tc>
          <w:tcPr>
            <w:tcW w:w="3380" w:type="dxa"/>
            <w:hideMark/>
          </w:tcPr>
          <w:p w14:paraId="03BE58C9"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73.11</w:t>
            </w:r>
          </w:p>
        </w:tc>
      </w:tr>
      <w:tr w:rsidR="00654EE7" w:rsidRPr="00F05812" w14:paraId="4F5A572E" w14:textId="77777777" w:rsidTr="00A95920">
        <w:trPr>
          <w:trHeight w:val="478"/>
        </w:trPr>
        <w:tc>
          <w:tcPr>
            <w:tcW w:w="4839" w:type="dxa"/>
            <w:hideMark/>
          </w:tcPr>
          <w:p w14:paraId="7270B0E3"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GRAVY (Hydropathicity index)</w:t>
            </w:r>
          </w:p>
        </w:tc>
        <w:tc>
          <w:tcPr>
            <w:tcW w:w="3380" w:type="dxa"/>
            <w:hideMark/>
          </w:tcPr>
          <w:p w14:paraId="683EE169"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–0.138 (Hydrophilic)</w:t>
            </w:r>
          </w:p>
        </w:tc>
      </w:tr>
      <w:tr w:rsidR="00654EE7" w:rsidRPr="00F05812" w14:paraId="622B45E0" w14:textId="77777777" w:rsidTr="00A95920">
        <w:trPr>
          <w:trHeight w:val="478"/>
        </w:trPr>
        <w:tc>
          <w:tcPr>
            <w:tcW w:w="4839" w:type="dxa"/>
            <w:hideMark/>
          </w:tcPr>
          <w:p w14:paraId="57CF57FA"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Extinction coefficient (Cys oxidized)</w:t>
            </w:r>
          </w:p>
        </w:tc>
        <w:tc>
          <w:tcPr>
            <w:tcW w:w="3380" w:type="dxa"/>
            <w:hideMark/>
          </w:tcPr>
          <w:p w14:paraId="486EEA9C"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58260 M</w:t>
            </w:r>
            <w:r w:rsidRPr="00F05812">
              <w:rPr>
                <w:rFonts w:ascii="Cambria Math" w:eastAsia="Times New Roman" w:hAnsi="Cambria Math" w:cs="Cambria Math"/>
                <w:sz w:val="20"/>
                <w:szCs w:val="20"/>
                <w:lang w:eastAsia="en-IN"/>
              </w:rPr>
              <w:t>⁻</w:t>
            </w:r>
            <w:r w:rsidRPr="00F05812">
              <w:rPr>
                <w:rFonts w:ascii="Arial" w:eastAsia="Times New Roman" w:hAnsi="Arial" w:cs="Arial"/>
                <w:sz w:val="20"/>
                <w:szCs w:val="20"/>
                <w:lang w:eastAsia="en-IN"/>
              </w:rPr>
              <w:t>¹cm</w:t>
            </w:r>
            <w:r w:rsidRPr="00F05812">
              <w:rPr>
                <w:rFonts w:ascii="Cambria Math" w:eastAsia="Times New Roman" w:hAnsi="Cambria Math" w:cs="Cambria Math"/>
                <w:sz w:val="20"/>
                <w:szCs w:val="20"/>
                <w:lang w:eastAsia="en-IN"/>
              </w:rPr>
              <w:t>⁻</w:t>
            </w:r>
            <w:r w:rsidRPr="00F05812">
              <w:rPr>
                <w:rFonts w:ascii="Arial" w:eastAsia="Times New Roman" w:hAnsi="Arial" w:cs="Arial"/>
                <w:sz w:val="20"/>
                <w:szCs w:val="20"/>
                <w:lang w:eastAsia="en-IN"/>
              </w:rPr>
              <w:t>¹</w:t>
            </w:r>
          </w:p>
        </w:tc>
      </w:tr>
      <w:tr w:rsidR="00654EE7" w:rsidRPr="00F05812" w14:paraId="2887EB82" w14:textId="77777777" w:rsidTr="00A95920">
        <w:trPr>
          <w:trHeight w:val="478"/>
        </w:trPr>
        <w:tc>
          <w:tcPr>
            <w:tcW w:w="4839" w:type="dxa"/>
            <w:hideMark/>
          </w:tcPr>
          <w:p w14:paraId="31248F19"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Extinction coefficient (Cys reduced)</w:t>
            </w:r>
          </w:p>
        </w:tc>
        <w:tc>
          <w:tcPr>
            <w:tcW w:w="3380" w:type="dxa"/>
            <w:hideMark/>
          </w:tcPr>
          <w:p w14:paraId="62927B0F"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57760 M</w:t>
            </w:r>
            <w:r w:rsidRPr="00F05812">
              <w:rPr>
                <w:rFonts w:ascii="Cambria Math" w:eastAsia="Times New Roman" w:hAnsi="Cambria Math" w:cs="Cambria Math"/>
                <w:sz w:val="20"/>
                <w:szCs w:val="20"/>
                <w:lang w:eastAsia="en-IN"/>
              </w:rPr>
              <w:t>⁻</w:t>
            </w:r>
            <w:r w:rsidRPr="00F05812">
              <w:rPr>
                <w:rFonts w:ascii="Arial" w:eastAsia="Times New Roman" w:hAnsi="Arial" w:cs="Arial"/>
                <w:sz w:val="20"/>
                <w:szCs w:val="20"/>
                <w:lang w:eastAsia="en-IN"/>
              </w:rPr>
              <w:t>¹cm</w:t>
            </w:r>
            <w:r w:rsidRPr="00F05812">
              <w:rPr>
                <w:rFonts w:ascii="Cambria Math" w:eastAsia="Times New Roman" w:hAnsi="Cambria Math" w:cs="Cambria Math"/>
                <w:sz w:val="20"/>
                <w:szCs w:val="20"/>
                <w:lang w:eastAsia="en-IN"/>
              </w:rPr>
              <w:t>⁻</w:t>
            </w:r>
            <w:r w:rsidRPr="00F05812">
              <w:rPr>
                <w:rFonts w:ascii="Arial" w:eastAsia="Times New Roman" w:hAnsi="Arial" w:cs="Arial"/>
                <w:sz w:val="20"/>
                <w:szCs w:val="20"/>
                <w:lang w:eastAsia="en-IN"/>
              </w:rPr>
              <w:t>¹</w:t>
            </w:r>
          </w:p>
        </w:tc>
      </w:tr>
      <w:tr w:rsidR="00654EE7" w:rsidRPr="00F05812" w14:paraId="50673459" w14:textId="77777777" w:rsidTr="00A95920">
        <w:trPr>
          <w:trHeight w:val="459"/>
        </w:trPr>
        <w:tc>
          <w:tcPr>
            <w:tcW w:w="4839" w:type="dxa"/>
            <w:hideMark/>
          </w:tcPr>
          <w:p w14:paraId="016293C7"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Abs 0.1% (Cys oxidized)</w:t>
            </w:r>
          </w:p>
        </w:tc>
        <w:tc>
          <w:tcPr>
            <w:tcW w:w="3380" w:type="dxa"/>
            <w:hideMark/>
          </w:tcPr>
          <w:p w14:paraId="3DCBD996"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1.558</w:t>
            </w:r>
          </w:p>
        </w:tc>
      </w:tr>
      <w:tr w:rsidR="00654EE7" w:rsidRPr="00F05812" w14:paraId="5A71C956" w14:textId="77777777" w:rsidTr="00A95920">
        <w:trPr>
          <w:trHeight w:val="478"/>
        </w:trPr>
        <w:tc>
          <w:tcPr>
            <w:tcW w:w="4839" w:type="dxa"/>
            <w:hideMark/>
          </w:tcPr>
          <w:p w14:paraId="22500C02"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Abs 0.1% (Cys reduced)</w:t>
            </w:r>
          </w:p>
        </w:tc>
        <w:tc>
          <w:tcPr>
            <w:tcW w:w="3380" w:type="dxa"/>
            <w:hideMark/>
          </w:tcPr>
          <w:p w14:paraId="73E95BC0"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1.544</w:t>
            </w:r>
          </w:p>
        </w:tc>
      </w:tr>
      <w:tr w:rsidR="00654EE7" w:rsidRPr="00F05812" w14:paraId="7EAC74EF" w14:textId="77777777" w:rsidTr="00A95920">
        <w:trPr>
          <w:trHeight w:val="478"/>
        </w:trPr>
        <w:tc>
          <w:tcPr>
            <w:tcW w:w="4839" w:type="dxa"/>
            <w:hideMark/>
          </w:tcPr>
          <w:p w14:paraId="5A45DA5B"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Estimated half-life in mammalian cells</w:t>
            </w:r>
          </w:p>
        </w:tc>
        <w:tc>
          <w:tcPr>
            <w:tcW w:w="3380" w:type="dxa"/>
            <w:hideMark/>
          </w:tcPr>
          <w:p w14:paraId="44D6C766"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30 hours (in vitro)</w:t>
            </w:r>
          </w:p>
        </w:tc>
      </w:tr>
      <w:tr w:rsidR="00654EE7" w:rsidRPr="00F05812" w14:paraId="0B2ABC23" w14:textId="77777777" w:rsidTr="00A95920">
        <w:trPr>
          <w:trHeight w:val="459"/>
        </w:trPr>
        <w:tc>
          <w:tcPr>
            <w:tcW w:w="4839" w:type="dxa"/>
            <w:hideMark/>
          </w:tcPr>
          <w:p w14:paraId="390EEFB5"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Estimated half-life in yeast</w:t>
            </w:r>
          </w:p>
        </w:tc>
        <w:tc>
          <w:tcPr>
            <w:tcW w:w="3380" w:type="dxa"/>
            <w:hideMark/>
          </w:tcPr>
          <w:p w14:paraId="0D0EC866"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&gt;20 hours (in vivo)</w:t>
            </w:r>
          </w:p>
        </w:tc>
      </w:tr>
      <w:tr w:rsidR="00654EE7" w:rsidRPr="00F05812" w14:paraId="698B6220" w14:textId="77777777" w:rsidTr="00A95920">
        <w:trPr>
          <w:trHeight w:val="478"/>
        </w:trPr>
        <w:tc>
          <w:tcPr>
            <w:tcW w:w="4839" w:type="dxa"/>
            <w:hideMark/>
          </w:tcPr>
          <w:p w14:paraId="01803E58"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b/>
                <w:bCs/>
                <w:sz w:val="20"/>
                <w:szCs w:val="20"/>
                <w:lang w:eastAsia="en-IN"/>
              </w:rPr>
              <w:t>Estimated half-life in E. coli</w:t>
            </w:r>
          </w:p>
        </w:tc>
        <w:tc>
          <w:tcPr>
            <w:tcW w:w="3380" w:type="dxa"/>
            <w:hideMark/>
          </w:tcPr>
          <w:p w14:paraId="2FE46F37" w14:textId="77777777" w:rsidR="00654EE7" w:rsidRPr="00F05812" w:rsidRDefault="00654EE7" w:rsidP="006E7179">
            <w:pPr>
              <w:spacing w:line="360" w:lineRule="auto"/>
              <w:rPr>
                <w:rFonts w:ascii="Arial" w:eastAsia="Times New Roman" w:hAnsi="Arial" w:cs="Arial"/>
                <w:sz w:val="20"/>
                <w:szCs w:val="20"/>
                <w:lang w:eastAsia="en-IN"/>
              </w:rPr>
            </w:pPr>
            <w:r w:rsidRPr="00F05812">
              <w:rPr>
                <w:rFonts w:ascii="Arial" w:eastAsia="Times New Roman" w:hAnsi="Arial" w:cs="Arial"/>
                <w:sz w:val="20"/>
                <w:szCs w:val="20"/>
                <w:lang w:eastAsia="en-IN"/>
              </w:rPr>
              <w:t>&gt;10 hours (in vivo)</w:t>
            </w:r>
          </w:p>
        </w:tc>
      </w:tr>
    </w:tbl>
    <w:p w14:paraId="55BDCE8B" w14:textId="77777777" w:rsidR="00654EE7" w:rsidRPr="00F05812" w:rsidRDefault="00654EE7" w:rsidP="00654EE7">
      <w:pPr>
        <w:ind w:left="1418"/>
        <w:jc w:val="both"/>
        <w:rPr>
          <w:rFonts w:ascii="Arial" w:hAnsi="Arial" w:cs="Arial"/>
          <w:b/>
          <w:bCs/>
        </w:rPr>
      </w:pPr>
    </w:p>
    <w:p w14:paraId="4AC5E647" w14:textId="77777777" w:rsidR="00A95920" w:rsidRPr="00F05812" w:rsidRDefault="00A95920" w:rsidP="00A95920">
      <w:pPr>
        <w:pStyle w:val="ListParagraph"/>
        <w:numPr>
          <w:ilvl w:val="2"/>
          <w:numId w:val="33"/>
        </w:numPr>
        <w:tabs>
          <w:tab w:val="left" w:pos="709"/>
        </w:tabs>
        <w:spacing w:before="240" w:after="240"/>
        <w:ind w:left="1134" w:hanging="1134"/>
        <w:rPr>
          <w:rFonts w:ascii="Arial" w:hAnsi="Arial" w:cs="Arial"/>
          <w:b/>
          <w:caps/>
          <w:szCs w:val="18"/>
        </w:rPr>
      </w:pPr>
      <w:r w:rsidRPr="00F05812">
        <w:rPr>
          <w:rFonts w:ascii="Arial" w:hAnsi="Arial" w:cs="Arial"/>
          <w:b/>
          <w:szCs w:val="18"/>
        </w:rPr>
        <w:t>Solubility of vaccine construct:</w:t>
      </w:r>
    </w:p>
    <w:p w14:paraId="190D578C" w14:textId="5B7B5DC3" w:rsidR="00654EE7" w:rsidRPr="00F05812" w:rsidRDefault="00654EE7" w:rsidP="00A95920">
      <w:pPr>
        <w:pStyle w:val="ListParagraph"/>
        <w:tabs>
          <w:tab w:val="left" w:pos="709"/>
        </w:tabs>
        <w:spacing w:before="240" w:after="240"/>
        <w:ind w:left="0"/>
        <w:rPr>
          <w:rFonts w:ascii="Arial" w:hAnsi="Arial" w:cs="Arial"/>
          <w:b/>
          <w:caps/>
          <w:szCs w:val="18"/>
        </w:rPr>
      </w:pPr>
      <w:r w:rsidRPr="00F05812">
        <w:rPr>
          <w:rFonts w:ascii="Arial" w:hAnsi="Arial" w:cs="Arial"/>
        </w:rPr>
        <w:t xml:space="preserve">Solubility of the vaccine construct in </w:t>
      </w:r>
      <w:r w:rsidR="00A95920" w:rsidRPr="00F05812">
        <w:rPr>
          <w:rFonts w:ascii="Arial" w:hAnsi="Arial" w:cs="Arial"/>
        </w:rPr>
        <w:t>E. coli</w:t>
      </w:r>
      <w:r w:rsidRPr="00F05812">
        <w:rPr>
          <w:rFonts w:ascii="Arial" w:hAnsi="Arial" w:cs="Arial"/>
        </w:rPr>
        <w:t xml:space="preserve"> was 0.856 as measured by SOLUprot.</w:t>
      </w:r>
      <w:r w:rsidR="00A95920" w:rsidRPr="00F05812">
        <w:rPr>
          <w:rFonts w:ascii="Arial" w:hAnsi="Arial" w:cs="Arial"/>
        </w:rPr>
        <w:t xml:space="preserve"> </w:t>
      </w:r>
      <w:r w:rsidRPr="00F05812">
        <w:rPr>
          <w:rFonts w:ascii="Arial" w:hAnsi="Arial" w:cs="Arial"/>
          <w:i/>
          <w:iCs/>
        </w:rPr>
        <w:t>(Figure 3)</w:t>
      </w:r>
    </w:p>
    <w:p w14:paraId="28AD7FA7" w14:textId="41A214B0" w:rsidR="00A95920" w:rsidRPr="00F05812" w:rsidRDefault="00A95920" w:rsidP="00A94707">
      <w:pPr>
        <w:tabs>
          <w:tab w:val="left" w:pos="426"/>
        </w:tabs>
        <w:ind w:left="-142" w:firstLine="284"/>
        <w:rPr>
          <w:rFonts w:ascii="Arial" w:hAnsi="Arial" w:cs="Arial"/>
          <w:i/>
          <w:iCs/>
        </w:rPr>
      </w:pPr>
      <w:r w:rsidRPr="00F05812">
        <w:rPr>
          <w:rFonts w:ascii="Arial" w:hAnsi="Arial" w:cs="Arial"/>
          <w:noProof/>
        </w:rPr>
        <w:drawing>
          <wp:anchor distT="0" distB="0" distL="114300" distR="114300" simplePos="0" relativeHeight="251665408" behindDoc="0" locked="0" layoutInCell="1" allowOverlap="1" wp14:anchorId="7C8A0723" wp14:editId="4F38094A">
            <wp:simplePos x="0" y="0"/>
            <wp:positionH relativeFrom="margin">
              <wp:posOffset>129540</wp:posOffset>
            </wp:positionH>
            <wp:positionV relativeFrom="paragraph">
              <wp:posOffset>0</wp:posOffset>
            </wp:positionV>
            <wp:extent cx="5027930" cy="1663700"/>
            <wp:effectExtent l="19050" t="19050" r="20320" b="12700"/>
            <wp:wrapNone/>
            <wp:docPr id="2603528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51197" name="Picture 2067851197"/>
                    <pic:cNvPicPr/>
                  </pic:nvPicPr>
                  <pic:blipFill rotWithShape="1">
                    <a:blip r:embed="rId17" cstate="print">
                      <a:extLst>
                        <a:ext uri="{28A0092B-C50C-407E-A947-70E740481C1C}">
                          <a14:useLocalDpi xmlns:a14="http://schemas.microsoft.com/office/drawing/2010/main" val="0"/>
                        </a:ext>
                      </a:extLst>
                    </a:blip>
                    <a:srcRect l="1731" t="23533" r="21607" b="45761"/>
                    <a:stretch>
                      <a:fillRect/>
                    </a:stretch>
                  </pic:blipFill>
                  <pic:spPr bwMode="auto">
                    <a:xfrm>
                      <a:off x="0" y="0"/>
                      <a:ext cx="5043820" cy="1668958"/>
                    </a:xfrm>
                    <a:prstGeom prst="rect">
                      <a:avLst/>
                    </a:prstGeom>
                    <a:ln>
                      <a:solidFill>
                        <a:schemeClr val="tx1"/>
                      </a:solidFill>
                      <a:prstDash val="soli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DEB62" w14:textId="313527B6" w:rsidR="00A95920" w:rsidRPr="00F05812" w:rsidRDefault="00A95920" w:rsidP="00A95920">
      <w:pPr>
        <w:tabs>
          <w:tab w:val="left" w:pos="284"/>
        </w:tabs>
        <w:rPr>
          <w:rFonts w:ascii="Arial" w:hAnsi="Arial" w:cs="Arial"/>
          <w:i/>
          <w:iCs/>
        </w:rPr>
      </w:pPr>
    </w:p>
    <w:p w14:paraId="2329F53D" w14:textId="77777777" w:rsidR="00A95920" w:rsidRPr="00F05812" w:rsidRDefault="00A95920" w:rsidP="00654EE7">
      <w:pPr>
        <w:ind w:left="1276"/>
        <w:rPr>
          <w:rFonts w:ascii="Arial" w:hAnsi="Arial" w:cs="Arial"/>
        </w:rPr>
      </w:pPr>
    </w:p>
    <w:p w14:paraId="1C0DF7E1" w14:textId="41F215D3" w:rsidR="00654EE7" w:rsidRPr="00F05812" w:rsidRDefault="00654EE7" w:rsidP="00654EE7">
      <w:pPr>
        <w:ind w:left="1276"/>
        <w:rPr>
          <w:rFonts w:ascii="Arial" w:hAnsi="Arial" w:cs="Arial"/>
        </w:rPr>
      </w:pPr>
    </w:p>
    <w:p w14:paraId="203DA964" w14:textId="5A5EF8B4" w:rsidR="00A95920" w:rsidRPr="00F05812" w:rsidRDefault="00A95920" w:rsidP="00654EE7">
      <w:pPr>
        <w:ind w:left="1276"/>
        <w:rPr>
          <w:rFonts w:ascii="Arial" w:hAnsi="Arial" w:cs="Arial"/>
        </w:rPr>
      </w:pPr>
    </w:p>
    <w:p w14:paraId="45F7E796" w14:textId="6C1D786E" w:rsidR="00A95920" w:rsidRPr="00F05812" w:rsidRDefault="00A95920" w:rsidP="00654EE7">
      <w:pPr>
        <w:ind w:left="1276"/>
        <w:rPr>
          <w:rFonts w:ascii="Arial" w:hAnsi="Arial" w:cs="Arial"/>
        </w:rPr>
      </w:pPr>
    </w:p>
    <w:p w14:paraId="5271E1E4" w14:textId="5C837EF8" w:rsidR="00A95920" w:rsidRPr="00F05812" w:rsidRDefault="00A95920" w:rsidP="00654EE7">
      <w:pPr>
        <w:ind w:left="1276"/>
        <w:rPr>
          <w:rFonts w:ascii="Arial" w:hAnsi="Arial" w:cs="Arial"/>
        </w:rPr>
      </w:pPr>
    </w:p>
    <w:p w14:paraId="131ADE37" w14:textId="503F1A92" w:rsidR="00A95920" w:rsidRPr="00F05812" w:rsidRDefault="00A95920" w:rsidP="00654EE7">
      <w:pPr>
        <w:ind w:left="1276"/>
        <w:rPr>
          <w:rFonts w:ascii="Arial" w:hAnsi="Arial" w:cs="Arial"/>
        </w:rPr>
      </w:pPr>
    </w:p>
    <w:p w14:paraId="3C45CC93" w14:textId="047CBC8B" w:rsidR="00A95920" w:rsidRPr="00F05812" w:rsidRDefault="00A95920" w:rsidP="00654EE7">
      <w:pPr>
        <w:ind w:left="1276"/>
        <w:rPr>
          <w:rFonts w:ascii="Arial" w:hAnsi="Arial" w:cs="Arial"/>
        </w:rPr>
      </w:pPr>
    </w:p>
    <w:p w14:paraId="4F07B4D3" w14:textId="412180EE" w:rsidR="00A95920" w:rsidRPr="00F05812" w:rsidRDefault="00A95920" w:rsidP="00654EE7">
      <w:pPr>
        <w:ind w:left="1276"/>
        <w:rPr>
          <w:rFonts w:ascii="Arial" w:hAnsi="Arial" w:cs="Arial"/>
        </w:rPr>
      </w:pPr>
    </w:p>
    <w:p w14:paraId="21561E60" w14:textId="021789AF" w:rsidR="00A95920" w:rsidRPr="00F05812" w:rsidRDefault="00A95920" w:rsidP="00654EE7">
      <w:pPr>
        <w:ind w:left="1276"/>
        <w:rPr>
          <w:rFonts w:ascii="Arial" w:hAnsi="Arial" w:cs="Arial"/>
        </w:rPr>
      </w:pPr>
    </w:p>
    <w:p w14:paraId="7B492F24" w14:textId="77777777" w:rsidR="00A95920" w:rsidRPr="00F05812" w:rsidRDefault="00A95920" w:rsidP="00A95920">
      <w:pPr>
        <w:rPr>
          <w:rFonts w:ascii="Arial" w:hAnsi="Arial" w:cs="Arial"/>
        </w:rPr>
      </w:pPr>
    </w:p>
    <w:p w14:paraId="20CF15DD" w14:textId="6E4ACCCA" w:rsidR="00654EE7" w:rsidRPr="00F05812" w:rsidRDefault="00654EE7" w:rsidP="00A95920">
      <w:pPr>
        <w:ind w:left="284"/>
        <w:rPr>
          <w:rFonts w:ascii="Arial" w:hAnsi="Arial" w:cs="Arial"/>
          <w:b/>
          <w:bCs/>
          <w:i/>
          <w:iCs/>
        </w:rPr>
      </w:pPr>
      <w:r w:rsidRPr="00F05812">
        <w:rPr>
          <w:rFonts w:ascii="Arial" w:hAnsi="Arial" w:cs="Arial"/>
          <w:b/>
          <w:bCs/>
          <w:i/>
          <w:iCs/>
        </w:rPr>
        <w:t>Figure 3: Solubility score of vaccine construct in E. coli by SOLUprot</w:t>
      </w:r>
    </w:p>
    <w:p w14:paraId="6C89E663" w14:textId="77777777" w:rsidR="00A95920" w:rsidRPr="00F05812" w:rsidRDefault="00A95920" w:rsidP="00A95920">
      <w:pPr>
        <w:ind w:left="284"/>
        <w:rPr>
          <w:rFonts w:ascii="Arial" w:hAnsi="Arial" w:cs="Arial"/>
          <w:b/>
          <w:bCs/>
          <w:i/>
          <w:iCs/>
        </w:rPr>
      </w:pPr>
    </w:p>
    <w:p w14:paraId="0E4E7AA9" w14:textId="44162CC6" w:rsidR="00EE5169" w:rsidRPr="00F05812" w:rsidRDefault="00B10D01" w:rsidP="00A94707">
      <w:pPr>
        <w:pStyle w:val="ListParagraph"/>
        <w:numPr>
          <w:ilvl w:val="1"/>
          <w:numId w:val="33"/>
        </w:numPr>
        <w:spacing w:before="240" w:after="240"/>
        <w:ind w:left="426"/>
        <w:rPr>
          <w:rFonts w:ascii="Arial" w:hAnsi="Arial" w:cs="Arial"/>
          <w:b/>
          <w:caps/>
          <w:szCs w:val="18"/>
        </w:rPr>
      </w:pPr>
      <w:r w:rsidRPr="00F05812">
        <w:rPr>
          <w:rFonts w:ascii="Arial" w:hAnsi="Arial" w:cs="Arial"/>
          <w:b/>
          <w:caps/>
          <w:szCs w:val="18"/>
        </w:rPr>
        <w:t>Secondary Structure Prediction</w:t>
      </w:r>
    </w:p>
    <w:p w14:paraId="3A3C53E1" w14:textId="0785900B" w:rsidR="000D4671" w:rsidRPr="00F05812" w:rsidRDefault="000D4671" w:rsidP="00A94707">
      <w:pPr>
        <w:jc w:val="both"/>
        <w:rPr>
          <w:rFonts w:ascii="Arial" w:hAnsi="Arial" w:cs="Arial"/>
        </w:rPr>
      </w:pPr>
      <w:r w:rsidRPr="00F05812">
        <w:rPr>
          <w:rFonts w:ascii="Arial" w:hAnsi="Arial" w:cs="Arial"/>
        </w:rPr>
        <w:t xml:space="preserve">The secondary structure of the final vaccine construct was </w:t>
      </w:r>
      <w:proofErr w:type="spellStart"/>
      <w:r w:rsidRPr="00F05812">
        <w:rPr>
          <w:rFonts w:ascii="Arial" w:hAnsi="Arial" w:cs="Arial"/>
        </w:rPr>
        <w:t>analysed</w:t>
      </w:r>
      <w:proofErr w:type="spellEnd"/>
      <w:r w:rsidRPr="00F05812">
        <w:rPr>
          <w:rFonts w:ascii="Arial" w:hAnsi="Arial" w:cs="Arial"/>
        </w:rPr>
        <w:t xml:space="preserve"> using the PSIPRED server. The prediction revealed a well-balanced composition of α-helices, β-strands, and random coils, indicating a stable and properly folded protein (Figure 4a, Figure 4b).</w:t>
      </w:r>
    </w:p>
    <w:p w14:paraId="2610D939" w14:textId="77777777" w:rsidR="000D4671" w:rsidRPr="00F05812" w:rsidRDefault="000D4671" w:rsidP="000D4671">
      <w:pPr>
        <w:ind w:left="851"/>
        <w:jc w:val="both"/>
        <w:rPr>
          <w:rFonts w:ascii="Arial" w:hAnsi="Arial" w:cs="Arial"/>
        </w:rPr>
      </w:pPr>
    </w:p>
    <w:p w14:paraId="334DBCD7" w14:textId="242F802B" w:rsidR="000D4671" w:rsidRPr="00F05812" w:rsidRDefault="000D4671" w:rsidP="00A94707">
      <w:pPr>
        <w:tabs>
          <w:tab w:val="left" w:pos="1276"/>
        </w:tabs>
        <w:ind w:left="1276" w:hanging="1134"/>
        <w:jc w:val="both"/>
        <w:rPr>
          <w:rFonts w:ascii="Arial" w:hAnsi="Arial" w:cs="Arial"/>
        </w:rPr>
      </w:pPr>
      <w:r w:rsidRPr="00F05812">
        <w:rPr>
          <w:rFonts w:ascii="Arial" w:hAnsi="Arial" w:cs="Arial"/>
          <w:b/>
          <w:bCs/>
          <w:noProof/>
          <w:sz w:val="24"/>
          <w:szCs w:val="24"/>
        </w:rPr>
        <w:lastRenderedPageBreak/>
        <w:drawing>
          <wp:inline distT="0" distB="0" distL="0" distR="0" wp14:anchorId="4D54BA14" wp14:editId="06C0BC66">
            <wp:extent cx="3564467" cy="1707494"/>
            <wp:effectExtent l="19050" t="19050" r="17145" b="26670"/>
            <wp:docPr id="16714589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63183" name="Picture 922963183"/>
                    <pic:cNvPicPr/>
                  </pic:nvPicPr>
                  <pic:blipFill rotWithShape="1">
                    <a:blip r:embed="rId18" cstate="print">
                      <a:extLst>
                        <a:ext uri="{28A0092B-C50C-407E-A947-70E740481C1C}">
                          <a14:useLocalDpi xmlns:a14="http://schemas.microsoft.com/office/drawing/2010/main" val="0"/>
                        </a:ext>
                      </a:extLst>
                    </a:blip>
                    <a:srcRect t="8785"/>
                    <a:stretch>
                      <a:fillRect/>
                    </a:stretch>
                  </pic:blipFill>
                  <pic:spPr bwMode="auto">
                    <a:xfrm>
                      <a:off x="0" y="0"/>
                      <a:ext cx="3590318" cy="1719877"/>
                    </a:xfrm>
                    <a:prstGeom prst="rect">
                      <a:avLst/>
                    </a:prstGeom>
                    <a:ln>
                      <a:solidFill>
                        <a:schemeClr val="tx1"/>
                      </a:solidFill>
                      <a:prstDash val="solid"/>
                    </a:ln>
                    <a:extLst>
                      <a:ext uri="{53640926-AAD7-44D8-BBD7-CCE9431645EC}">
                        <a14:shadowObscured xmlns:a14="http://schemas.microsoft.com/office/drawing/2010/main"/>
                      </a:ext>
                    </a:extLst>
                  </pic:spPr>
                </pic:pic>
              </a:graphicData>
            </a:graphic>
          </wp:inline>
        </w:drawing>
      </w:r>
    </w:p>
    <w:p w14:paraId="1BCF5DF3" w14:textId="3125D73F" w:rsidR="000D4671" w:rsidRPr="00F05812" w:rsidRDefault="000D4671" w:rsidP="00A94707">
      <w:pPr>
        <w:tabs>
          <w:tab w:val="left" w:pos="851"/>
        </w:tabs>
        <w:ind w:left="709" w:hanging="425"/>
        <w:jc w:val="both"/>
        <w:rPr>
          <w:rFonts w:ascii="Arial" w:hAnsi="Arial" w:cs="Arial"/>
          <w:b/>
          <w:bCs/>
          <w:i/>
          <w:iCs/>
        </w:rPr>
      </w:pPr>
      <w:r w:rsidRPr="00F05812">
        <w:rPr>
          <w:rFonts w:ascii="Arial" w:hAnsi="Arial" w:cs="Arial"/>
          <w:b/>
          <w:bCs/>
          <w:i/>
          <w:iCs/>
        </w:rPr>
        <w:t>Figure 4a: Secondary Structure Prediction of Vaccine Construct by PSI-PRED</w:t>
      </w:r>
    </w:p>
    <w:p w14:paraId="24FC7975" w14:textId="77777777" w:rsidR="000D4671" w:rsidRPr="00F05812" w:rsidRDefault="000D4671" w:rsidP="000D4671">
      <w:pPr>
        <w:ind w:left="1276" w:hanging="425"/>
        <w:jc w:val="both"/>
        <w:rPr>
          <w:rFonts w:ascii="Arial" w:hAnsi="Arial" w:cs="Arial"/>
          <w:b/>
          <w:bCs/>
          <w:i/>
          <w:iCs/>
        </w:rPr>
      </w:pPr>
    </w:p>
    <w:p w14:paraId="7606C07B" w14:textId="2AE8747A" w:rsidR="000D4671" w:rsidRPr="00F05812" w:rsidRDefault="000D4671" w:rsidP="00A94707">
      <w:pPr>
        <w:ind w:left="1276" w:hanging="1134"/>
        <w:jc w:val="both"/>
        <w:rPr>
          <w:rFonts w:ascii="Arial" w:hAnsi="Arial" w:cs="Arial"/>
          <w:b/>
          <w:bCs/>
          <w:i/>
          <w:iCs/>
        </w:rPr>
      </w:pPr>
      <w:r w:rsidRPr="00F05812">
        <w:rPr>
          <w:rFonts w:ascii="Arial" w:hAnsi="Arial" w:cs="Arial"/>
          <w:b/>
          <w:bCs/>
          <w:noProof/>
          <w:sz w:val="24"/>
          <w:szCs w:val="24"/>
        </w:rPr>
        <w:drawing>
          <wp:inline distT="0" distB="0" distL="0" distR="0" wp14:anchorId="32C933E1" wp14:editId="06091A78">
            <wp:extent cx="3454400" cy="2899670"/>
            <wp:effectExtent l="19050" t="19050" r="12700" b="15240"/>
            <wp:docPr id="9827410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3806" name="Picture 56253806"/>
                    <pic:cNvPicPr/>
                  </pic:nvPicPr>
                  <pic:blipFill rotWithShape="1">
                    <a:blip r:embed="rId19" cstate="print">
                      <a:extLst>
                        <a:ext uri="{28A0092B-C50C-407E-A947-70E740481C1C}">
                          <a14:useLocalDpi xmlns:a14="http://schemas.microsoft.com/office/drawing/2010/main" val="0"/>
                        </a:ext>
                      </a:extLst>
                    </a:blip>
                    <a:srcRect b="10229"/>
                    <a:stretch>
                      <a:fillRect/>
                    </a:stretch>
                  </pic:blipFill>
                  <pic:spPr bwMode="auto">
                    <a:xfrm>
                      <a:off x="0" y="0"/>
                      <a:ext cx="3513486" cy="2949267"/>
                    </a:xfrm>
                    <a:prstGeom prst="rect">
                      <a:avLst/>
                    </a:prstGeom>
                    <a:ln>
                      <a:solidFill>
                        <a:schemeClr val="tx1"/>
                      </a:solidFill>
                      <a:prstDash val="solid"/>
                    </a:ln>
                    <a:extLst>
                      <a:ext uri="{53640926-AAD7-44D8-BBD7-CCE9431645EC}">
                        <a14:shadowObscured xmlns:a14="http://schemas.microsoft.com/office/drawing/2010/main"/>
                      </a:ext>
                    </a:extLst>
                  </pic:spPr>
                </pic:pic>
              </a:graphicData>
            </a:graphic>
          </wp:inline>
        </w:drawing>
      </w:r>
    </w:p>
    <w:p w14:paraId="5F89BC43" w14:textId="7255F8C0" w:rsidR="000D4671" w:rsidRPr="00F05812" w:rsidRDefault="000D4671" w:rsidP="00A94707">
      <w:pPr>
        <w:ind w:left="709" w:hanging="425"/>
        <w:jc w:val="both"/>
        <w:rPr>
          <w:rFonts w:ascii="Arial" w:hAnsi="Arial" w:cs="Arial"/>
          <w:b/>
          <w:bCs/>
          <w:i/>
          <w:iCs/>
        </w:rPr>
      </w:pPr>
      <w:r w:rsidRPr="00F05812">
        <w:rPr>
          <w:rFonts w:ascii="Arial" w:hAnsi="Arial" w:cs="Arial"/>
          <w:b/>
          <w:bCs/>
          <w:i/>
          <w:iCs/>
        </w:rPr>
        <w:t>Figure4b: Secondary Structure Prediction Cartoonic Representation by PSI-PRED</w:t>
      </w:r>
    </w:p>
    <w:p w14:paraId="56AE54F7" w14:textId="30FB1A4A" w:rsidR="00B10D01" w:rsidRDefault="00B10D01" w:rsidP="00A94707">
      <w:pPr>
        <w:pStyle w:val="ListParagraph"/>
        <w:numPr>
          <w:ilvl w:val="1"/>
          <w:numId w:val="33"/>
        </w:numPr>
        <w:spacing w:before="240" w:after="240"/>
        <w:ind w:left="426"/>
        <w:rPr>
          <w:rFonts w:ascii="Arial" w:hAnsi="Arial" w:cs="Arial"/>
          <w:b/>
          <w:caps/>
          <w:szCs w:val="18"/>
        </w:rPr>
      </w:pPr>
      <w:r w:rsidRPr="00F05812">
        <w:rPr>
          <w:rFonts w:ascii="Arial" w:hAnsi="Arial" w:cs="Arial"/>
          <w:b/>
          <w:caps/>
          <w:szCs w:val="18"/>
        </w:rPr>
        <w:t>3D Structure Modelling and Validation:</w:t>
      </w:r>
    </w:p>
    <w:p w14:paraId="66BE2F5A" w14:textId="77777777" w:rsidR="00F05812" w:rsidRPr="00F05812" w:rsidRDefault="00F05812" w:rsidP="00F05812">
      <w:pPr>
        <w:pStyle w:val="ListParagraph"/>
        <w:spacing w:before="240" w:after="240"/>
        <w:ind w:left="1211"/>
        <w:rPr>
          <w:rFonts w:ascii="Arial" w:hAnsi="Arial" w:cs="Arial"/>
          <w:b/>
          <w:caps/>
          <w:szCs w:val="18"/>
        </w:rPr>
      </w:pPr>
    </w:p>
    <w:p w14:paraId="5BF17A0A" w14:textId="1096E6D3" w:rsidR="00F55627" w:rsidRPr="00F05812" w:rsidRDefault="00B10D01" w:rsidP="00A94707">
      <w:pPr>
        <w:pStyle w:val="ListParagraph"/>
        <w:numPr>
          <w:ilvl w:val="2"/>
          <w:numId w:val="33"/>
        </w:numPr>
        <w:tabs>
          <w:tab w:val="left" w:pos="284"/>
        </w:tabs>
        <w:spacing w:before="240" w:after="240"/>
        <w:ind w:left="142" w:right="1829" w:firstLine="0"/>
        <w:jc w:val="both"/>
        <w:rPr>
          <w:rFonts w:ascii="Arial" w:hAnsi="Arial" w:cs="Arial"/>
          <w:b/>
          <w:caps/>
          <w:szCs w:val="18"/>
          <w:u w:val="single"/>
        </w:rPr>
      </w:pPr>
      <w:r w:rsidRPr="00F05812">
        <w:rPr>
          <w:rFonts w:ascii="Arial" w:hAnsi="Arial" w:cs="Arial"/>
          <w:b/>
          <w:caps/>
          <w:szCs w:val="18"/>
          <w:u w:val="single"/>
        </w:rPr>
        <w:t>3DStructre Modelling</w:t>
      </w:r>
      <w:r w:rsidR="00F05812">
        <w:rPr>
          <w:rFonts w:ascii="Arial" w:hAnsi="Arial" w:cs="Arial"/>
          <w:b/>
          <w:caps/>
          <w:szCs w:val="18"/>
          <w:u w:val="single"/>
        </w:rPr>
        <w:t>.</w:t>
      </w:r>
    </w:p>
    <w:p w14:paraId="35DFFC70" w14:textId="77777777" w:rsidR="00F55627" w:rsidRPr="00F05812" w:rsidRDefault="00F55627" w:rsidP="00C92A0C">
      <w:pPr>
        <w:ind w:left="142"/>
        <w:jc w:val="both"/>
        <w:rPr>
          <w:rFonts w:ascii="Arial" w:hAnsi="Arial" w:cs="Arial"/>
          <w:i/>
          <w:iCs/>
        </w:rPr>
      </w:pPr>
      <w:r w:rsidRPr="00F05812">
        <w:rPr>
          <w:rFonts w:ascii="Arial" w:hAnsi="Arial" w:cs="Arial"/>
        </w:rPr>
        <w:t xml:space="preserve">The three-dimensional structure of the final multi-epitope vaccine construct was initially predicted using AlphaFold, which provided a high-confidence structural model. To enhance the quality of the predicted structure, it was refined using the GalaxyRefine server, which improves side-chain conformations and overall structural packing. </w:t>
      </w:r>
      <w:r w:rsidRPr="00F05812">
        <w:rPr>
          <w:rFonts w:ascii="Arial" w:hAnsi="Arial" w:cs="Arial"/>
          <w:i/>
          <w:iCs/>
        </w:rPr>
        <w:t>(Figure 5a, Figure 5b)</w:t>
      </w:r>
    </w:p>
    <w:p w14:paraId="39BE4736" w14:textId="109B6E37" w:rsidR="00F55627" w:rsidRPr="00F05812" w:rsidRDefault="00F55627" w:rsidP="00C92A0C">
      <w:pPr>
        <w:ind w:left="567"/>
        <w:jc w:val="both"/>
        <w:rPr>
          <w:rFonts w:ascii="Arial" w:hAnsi="Arial" w:cs="Arial"/>
          <w:i/>
          <w:iCs/>
        </w:rPr>
      </w:pPr>
      <w:r w:rsidRPr="00F05812">
        <w:rPr>
          <w:rFonts w:ascii="Arial" w:hAnsi="Arial" w:cs="Arial"/>
          <w:i/>
          <w:iCs/>
        </w:rPr>
        <w:t>.</w:t>
      </w:r>
    </w:p>
    <w:p w14:paraId="53BEABF9" w14:textId="3A8D83ED" w:rsidR="00F55627" w:rsidRPr="00F05812" w:rsidRDefault="00F55627" w:rsidP="00A94707">
      <w:pPr>
        <w:tabs>
          <w:tab w:val="left" w:pos="567"/>
        </w:tabs>
        <w:ind w:left="567" w:hanging="283"/>
        <w:rPr>
          <w:rFonts w:ascii="Arial" w:hAnsi="Arial" w:cs="Arial"/>
          <w:i/>
          <w:iCs/>
        </w:rPr>
      </w:pPr>
      <w:r w:rsidRPr="00F05812">
        <w:rPr>
          <w:rFonts w:ascii="Arial" w:hAnsi="Arial" w:cs="Arial"/>
          <w:b/>
          <w:bCs/>
          <w:noProof/>
        </w:rPr>
        <w:lastRenderedPageBreak/>
        <w:drawing>
          <wp:inline distT="0" distB="0" distL="0" distR="0" wp14:anchorId="620AFD67" wp14:editId="58D656E6">
            <wp:extent cx="3979334" cy="2409708"/>
            <wp:effectExtent l="19050" t="19050" r="21590" b="10160"/>
            <wp:docPr id="2090409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30063" name=""/>
                    <pic:cNvPicPr/>
                  </pic:nvPicPr>
                  <pic:blipFill>
                    <a:blip r:embed="rId20"/>
                    <a:stretch>
                      <a:fillRect/>
                    </a:stretch>
                  </pic:blipFill>
                  <pic:spPr>
                    <a:xfrm>
                      <a:off x="0" y="0"/>
                      <a:ext cx="4013224" cy="2430230"/>
                    </a:xfrm>
                    <a:prstGeom prst="rect">
                      <a:avLst/>
                    </a:prstGeom>
                    <a:ln>
                      <a:solidFill>
                        <a:schemeClr val="tx1"/>
                      </a:solidFill>
                      <a:prstDash val="solid"/>
                    </a:ln>
                  </pic:spPr>
                </pic:pic>
              </a:graphicData>
            </a:graphic>
          </wp:inline>
        </w:drawing>
      </w:r>
      <w:r w:rsidRPr="00F05812">
        <w:rPr>
          <w:rFonts w:ascii="Arial" w:hAnsi="Arial" w:cs="Arial"/>
          <w:i/>
          <w:iCs/>
        </w:rPr>
        <w:t xml:space="preserve"> </w:t>
      </w:r>
    </w:p>
    <w:p w14:paraId="54D842A0" w14:textId="77777777" w:rsidR="00F55627" w:rsidRPr="00F05812" w:rsidRDefault="00F55627" w:rsidP="00A94707">
      <w:pPr>
        <w:ind w:left="567" w:hanging="283"/>
        <w:rPr>
          <w:rFonts w:ascii="Arial" w:hAnsi="Arial" w:cs="Arial"/>
          <w:b/>
          <w:bCs/>
          <w:i/>
          <w:iCs/>
        </w:rPr>
      </w:pPr>
      <w:r w:rsidRPr="00F05812">
        <w:rPr>
          <w:rFonts w:ascii="Arial" w:hAnsi="Arial" w:cs="Arial"/>
          <w:b/>
          <w:bCs/>
          <w:i/>
          <w:iCs/>
        </w:rPr>
        <w:t>Figure 5a:3D Structure of Vaccine Construct Predicted by AlphaFold</w:t>
      </w:r>
    </w:p>
    <w:p w14:paraId="0780E5CC" w14:textId="77777777" w:rsidR="00F55627" w:rsidRPr="00F05812" w:rsidRDefault="00F55627" w:rsidP="00F55627">
      <w:pPr>
        <w:ind w:left="567"/>
        <w:rPr>
          <w:rFonts w:ascii="Arial" w:hAnsi="Arial" w:cs="Arial"/>
          <w:b/>
          <w:bCs/>
          <w:i/>
          <w:iCs/>
        </w:rPr>
      </w:pPr>
    </w:p>
    <w:p w14:paraId="76FC6546" w14:textId="4F9CF030" w:rsidR="00F55627" w:rsidRPr="00F05812" w:rsidRDefault="00F55627" w:rsidP="00A94707">
      <w:pPr>
        <w:ind w:left="567" w:hanging="283"/>
        <w:rPr>
          <w:rFonts w:ascii="Arial" w:hAnsi="Arial" w:cs="Arial"/>
          <w:b/>
          <w:bCs/>
          <w:i/>
          <w:iCs/>
        </w:rPr>
      </w:pPr>
      <w:r w:rsidRPr="00F05812">
        <w:rPr>
          <w:rFonts w:ascii="Arial" w:hAnsi="Arial" w:cs="Arial"/>
          <w:b/>
          <w:bCs/>
          <w:i/>
          <w:iCs/>
        </w:rPr>
        <w:t xml:space="preserve"> </w:t>
      </w:r>
      <w:r w:rsidRPr="00F05812">
        <w:rPr>
          <w:rFonts w:ascii="Arial" w:hAnsi="Arial" w:cs="Arial"/>
          <w:b/>
          <w:bCs/>
          <w:noProof/>
        </w:rPr>
        <w:drawing>
          <wp:inline distT="0" distB="0" distL="0" distR="0" wp14:anchorId="52B75460" wp14:editId="32E0E4D9">
            <wp:extent cx="3920067" cy="2368419"/>
            <wp:effectExtent l="19050" t="19050" r="23495" b="13335"/>
            <wp:docPr id="666116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55142" name=""/>
                    <pic:cNvPicPr/>
                  </pic:nvPicPr>
                  <pic:blipFill>
                    <a:blip r:embed="rId21"/>
                    <a:stretch>
                      <a:fillRect/>
                    </a:stretch>
                  </pic:blipFill>
                  <pic:spPr>
                    <a:xfrm>
                      <a:off x="0" y="0"/>
                      <a:ext cx="3950874" cy="2387032"/>
                    </a:xfrm>
                    <a:prstGeom prst="rect">
                      <a:avLst/>
                    </a:prstGeom>
                    <a:ln>
                      <a:solidFill>
                        <a:schemeClr val="tx1"/>
                      </a:solidFill>
                      <a:prstDash val="solid"/>
                    </a:ln>
                  </pic:spPr>
                </pic:pic>
              </a:graphicData>
            </a:graphic>
          </wp:inline>
        </w:drawing>
      </w:r>
    </w:p>
    <w:p w14:paraId="7A0BC027" w14:textId="4BC6280A" w:rsidR="00F55627" w:rsidRPr="00F05812" w:rsidRDefault="00F55627" w:rsidP="00A94707">
      <w:pPr>
        <w:ind w:left="284"/>
        <w:rPr>
          <w:rFonts w:ascii="Arial" w:hAnsi="Arial" w:cs="Arial"/>
          <w:b/>
          <w:bCs/>
          <w:i/>
          <w:iCs/>
        </w:rPr>
      </w:pPr>
      <w:r w:rsidRPr="00F05812">
        <w:rPr>
          <w:rFonts w:ascii="Arial" w:hAnsi="Arial" w:cs="Arial"/>
          <w:b/>
          <w:bCs/>
          <w:i/>
          <w:iCs/>
        </w:rPr>
        <w:t>Figure 5b: Refined Structure of Vaccine Construct by Galaxy Refine</w:t>
      </w:r>
    </w:p>
    <w:p w14:paraId="7F04D058" w14:textId="2992EC36" w:rsidR="00B10D01" w:rsidRPr="00F05812" w:rsidRDefault="00B10D01" w:rsidP="00A94707">
      <w:pPr>
        <w:pStyle w:val="ListParagraph"/>
        <w:numPr>
          <w:ilvl w:val="2"/>
          <w:numId w:val="33"/>
        </w:numPr>
        <w:spacing w:before="240" w:after="240"/>
        <w:ind w:left="851" w:hanging="579"/>
        <w:rPr>
          <w:rFonts w:ascii="Arial" w:hAnsi="Arial" w:cs="Arial"/>
          <w:b/>
          <w:caps/>
          <w:szCs w:val="18"/>
          <w:u w:val="single"/>
        </w:rPr>
      </w:pPr>
      <w:r w:rsidRPr="00F05812">
        <w:rPr>
          <w:rFonts w:ascii="Arial" w:hAnsi="Arial" w:cs="Arial"/>
          <w:b/>
          <w:caps/>
          <w:szCs w:val="18"/>
          <w:u w:val="single"/>
        </w:rPr>
        <w:t>3D Structure Validation:</w:t>
      </w:r>
    </w:p>
    <w:p w14:paraId="4A4AC0E1" w14:textId="77777777" w:rsidR="00AD3EC9" w:rsidRPr="00F05812" w:rsidRDefault="00AD3EC9" w:rsidP="00A94707">
      <w:pPr>
        <w:ind w:left="284"/>
        <w:jc w:val="both"/>
        <w:rPr>
          <w:rFonts w:ascii="Arial" w:hAnsi="Arial" w:cs="Arial"/>
        </w:rPr>
      </w:pPr>
      <w:r w:rsidRPr="00F05812">
        <w:rPr>
          <w:rFonts w:ascii="Arial" w:hAnsi="Arial" w:cs="Arial"/>
        </w:rPr>
        <w:t>The refined model was evaluated using multiple structural validation tools:</w:t>
      </w:r>
    </w:p>
    <w:p w14:paraId="3F518404" w14:textId="77777777" w:rsidR="00AD3EC9" w:rsidRPr="00F05812" w:rsidRDefault="00AD3EC9" w:rsidP="00A94707">
      <w:pPr>
        <w:ind w:left="993"/>
        <w:jc w:val="both"/>
        <w:rPr>
          <w:rFonts w:ascii="Arial" w:hAnsi="Arial" w:cs="Arial"/>
        </w:rPr>
      </w:pPr>
    </w:p>
    <w:p w14:paraId="30D64956" w14:textId="77777777" w:rsidR="00AD3EC9" w:rsidRPr="00F05812" w:rsidRDefault="00AD3EC9" w:rsidP="00A94707">
      <w:pPr>
        <w:ind w:left="284"/>
        <w:jc w:val="both"/>
        <w:rPr>
          <w:rFonts w:ascii="Arial" w:hAnsi="Arial" w:cs="Arial"/>
          <w:b/>
          <w:bCs/>
        </w:rPr>
      </w:pPr>
      <w:r w:rsidRPr="00F05812">
        <w:rPr>
          <w:rFonts w:ascii="Arial" w:hAnsi="Arial" w:cs="Arial"/>
          <w:b/>
          <w:bCs/>
        </w:rPr>
        <w:t>PROCHECK (Ramachandran Plot):</w:t>
      </w:r>
    </w:p>
    <w:p w14:paraId="27C83AAA" w14:textId="77EE2BFC" w:rsidR="00AD3EC9" w:rsidRDefault="00AD3EC9" w:rsidP="00A94707">
      <w:pPr>
        <w:ind w:left="284"/>
        <w:jc w:val="both"/>
        <w:rPr>
          <w:rFonts w:ascii="Arial" w:hAnsi="Arial" w:cs="Arial"/>
        </w:rPr>
      </w:pPr>
      <w:r w:rsidRPr="00F05812">
        <w:rPr>
          <w:rFonts w:ascii="Arial" w:hAnsi="Arial" w:cs="Arial"/>
        </w:rPr>
        <w:t>87.7% of residues were located in the most favored regions, with only 0.3% in disallowed regions, indicating good stereochemical quality. (Figure 5c)</w:t>
      </w:r>
    </w:p>
    <w:p w14:paraId="0ECA9393" w14:textId="77777777" w:rsidR="00D64393" w:rsidRPr="00F05812" w:rsidRDefault="00D64393" w:rsidP="00A94707">
      <w:pPr>
        <w:ind w:left="284"/>
        <w:jc w:val="both"/>
        <w:rPr>
          <w:rFonts w:ascii="Arial" w:hAnsi="Arial" w:cs="Arial"/>
        </w:rPr>
      </w:pPr>
    </w:p>
    <w:p w14:paraId="477F5E1B" w14:textId="77777777" w:rsidR="00AD3EC9" w:rsidRPr="00F05812" w:rsidRDefault="00AD3EC9" w:rsidP="00A94707">
      <w:pPr>
        <w:ind w:left="284"/>
        <w:jc w:val="both"/>
        <w:rPr>
          <w:rFonts w:ascii="Arial" w:hAnsi="Arial" w:cs="Arial"/>
          <w:b/>
          <w:bCs/>
        </w:rPr>
      </w:pPr>
      <w:r w:rsidRPr="00F05812">
        <w:rPr>
          <w:rFonts w:ascii="Arial" w:hAnsi="Arial" w:cs="Arial"/>
          <w:b/>
          <w:bCs/>
        </w:rPr>
        <w:t>ProSA-web:</w:t>
      </w:r>
    </w:p>
    <w:p w14:paraId="7C49FD2F" w14:textId="77777777" w:rsidR="00AD3EC9" w:rsidRPr="00F05812" w:rsidRDefault="00AD3EC9" w:rsidP="00A94707">
      <w:pPr>
        <w:ind w:left="284"/>
        <w:jc w:val="both"/>
        <w:rPr>
          <w:rFonts w:ascii="Arial" w:hAnsi="Arial" w:cs="Arial"/>
        </w:rPr>
      </w:pPr>
      <w:r w:rsidRPr="00F05812">
        <w:rPr>
          <w:rFonts w:ascii="Arial" w:hAnsi="Arial" w:cs="Arial"/>
        </w:rPr>
        <w:t>The model achieved a Z-score of –3.54, which falls within the acceptable range for native protein structures, confirming the overall correctness of the model. (Figure 5c)</w:t>
      </w:r>
    </w:p>
    <w:p w14:paraId="66CBC524" w14:textId="77777777" w:rsidR="00AD3EC9" w:rsidRPr="00F05812" w:rsidRDefault="00AD3EC9" w:rsidP="00A94707">
      <w:pPr>
        <w:ind w:left="284"/>
        <w:jc w:val="both"/>
        <w:rPr>
          <w:rFonts w:ascii="Arial" w:hAnsi="Arial" w:cs="Arial"/>
        </w:rPr>
      </w:pPr>
    </w:p>
    <w:p w14:paraId="3D82E9F0" w14:textId="77777777" w:rsidR="00AD3EC9" w:rsidRPr="00F05812" w:rsidRDefault="00AD3EC9" w:rsidP="00A94707">
      <w:pPr>
        <w:ind w:left="284"/>
        <w:jc w:val="both"/>
        <w:rPr>
          <w:rFonts w:ascii="Arial" w:hAnsi="Arial" w:cs="Arial"/>
          <w:b/>
          <w:bCs/>
        </w:rPr>
      </w:pPr>
      <w:r w:rsidRPr="00F05812">
        <w:rPr>
          <w:rFonts w:ascii="Arial" w:hAnsi="Arial" w:cs="Arial"/>
          <w:b/>
          <w:bCs/>
        </w:rPr>
        <w:t>ERRAT:</w:t>
      </w:r>
    </w:p>
    <w:p w14:paraId="2B5F06C8" w14:textId="62556B63" w:rsidR="00AD3EC9" w:rsidRPr="00F05812" w:rsidRDefault="00AD3EC9" w:rsidP="00A94707">
      <w:pPr>
        <w:ind w:left="284"/>
        <w:jc w:val="both"/>
        <w:rPr>
          <w:rFonts w:ascii="Arial" w:hAnsi="Arial" w:cs="Arial"/>
        </w:rPr>
      </w:pPr>
      <w:r w:rsidRPr="00F05812">
        <w:rPr>
          <w:rFonts w:ascii="Arial" w:hAnsi="Arial" w:cs="Arial"/>
        </w:rPr>
        <w:t>The model scored an overall quality factor of 86.76, suggesting reliable non-bonded atomic interactions and a well-resolved structure. (Figure 5d)</w:t>
      </w:r>
    </w:p>
    <w:p w14:paraId="4A0FABAC" w14:textId="77777777" w:rsidR="00AD3EC9" w:rsidRPr="00F05812" w:rsidRDefault="00AD3EC9" w:rsidP="00AD3EC9">
      <w:pPr>
        <w:ind w:left="993"/>
        <w:rPr>
          <w:rFonts w:ascii="Arial" w:hAnsi="Arial" w:cs="Arial"/>
        </w:rPr>
      </w:pPr>
    </w:p>
    <w:p w14:paraId="6987D1CF" w14:textId="77777777" w:rsidR="00CC3377" w:rsidRPr="00F05812" w:rsidRDefault="00CC3377" w:rsidP="00A94707">
      <w:pPr>
        <w:tabs>
          <w:tab w:val="left" w:pos="709"/>
        </w:tabs>
        <w:ind w:left="709" w:hanging="567"/>
        <w:rPr>
          <w:rFonts w:ascii="Arial" w:hAnsi="Arial" w:cs="Arial"/>
          <w:b/>
          <w:bCs/>
          <w:noProof/>
        </w:rPr>
      </w:pPr>
      <w:r w:rsidRPr="00F05812">
        <w:rPr>
          <w:rFonts w:ascii="Arial" w:hAnsi="Arial" w:cs="Arial"/>
          <w:b/>
          <w:bCs/>
          <w:noProof/>
        </w:rPr>
        <w:lastRenderedPageBreak/>
        <w:drawing>
          <wp:inline distT="0" distB="0" distL="0" distR="0" wp14:anchorId="73E322AE" wp14:editId="74747105">
            <wp:extent cx="2040783" cy="2226310"/>
            <wp:effectExtent l="0" t="0" r="0" b="2540"/>
            <wp:docPr id="130974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94045" name=""/>
                    <pic:cNvPicPr/>
                  </pic:nvPicPr>
                  <pic:blipFill>
                    <a:blip r:embed="rId22"/>
                    <a:stretch>
                      <a:fillRect/>
                    </a:stretch>
                  </pic:blipFill>
                  <pic:spPr>
                    <a:xfrm>
                      <a:off x="0" y="0"/>
                      <a:ext cx="2094228" cy="2284613"/>
                    </a:xfrm>
                    <a:prstGeom prst="rect">
                      <a:avLst/>
                    </a:prstGeom>
                  </pic:spPr>
                </pic:pic>
              </a:graphicData>
            </a:graphic>
          </wp:inline>
        </w:drawing>
      </w:r>
      <w:r w:rsidRPr="00F05812">
        <w:rPr>
          <w:rFonts w:ascii="Arial" w:hAnsi="Arial" w:cs="Arial"/>
          <w:b/>
          <w:bCs/>
          <w:noProof/>
        </w:rPr>
        <w:t xml:space="preserve"> </w:t>
      </w:r>
      <w:r w:rsidRPr="00F05812">
        <w:rPr>
          <w:rFonts w:ascii="Arial" w:hAnsi="Arial" w:cs="Arial"/>
          <w:b/>
          <w:bCs/>
          <w:noProof/>
        </w:rPr>
        <w:drawing>
          <wp:inline distT="0" distB="0" distL="0" distR="0" wp14:anchorId="4F7699EE" wp14:editId="424A66E3">
            <wp:extent cx="2109385" cy="2202180"/>
            <wp:effectExtent l="0" t="0" r="5715" b="7620"/>
            <wp:docPr id="149661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47845" name=""/>
                    <pic:cNvPicPr/>
                  </pic:nvPicPr>
                  <pic:blipFill>
                    <a:blip r:embed="rId23"/>
                    <a:stretch>
                      <a:fillRect/>
                    </a:stretch>
                  </pic:blipFill>
                  <pic:spPr>
                    <a:xfrm>
                      <a:off x="0" y="0"/>
                      <a:ext cx="2162424" cy="2257552"/>
                    </a:xfrm>
                    <a:prstGeom prst="rect">
                      <a:avLst/>
                    </a:prstGeom>
                  </pic:spPr>
                </pic:pic>
              </a:graphicData>
            </a:graphic>
          </wp:inline>
        </w:drawing>
      </w:r>
    </w:p>
    <w:p w14:paraId="1A88DDE0" w14:textId="77777777" w:rsidR="00CC3377" w:rsidRPr="00F05812" w:rsidRDefault="00CC3377" w:rsidP="00A94707">
      <w:pPr>
        <w:ind w:left="142"/>
        <w:rPr>
          <w:rFonts w:ascii="Arial" w:hAnsi="Arial" w:cs="Arial"/>
          <w:b/>
          <w:bCs/>
          <w:i/>
          <w:iCs/>
        </w:rPr>
      </w:pPr>
      <w:r w:rsidRPr="00F05812">
        <w:rPr>
          <w:rFonts w:ascii="Arial" w:hAnsi="Arial" w:cs="Arial"/>
          <w:b/>
          <w:bCs/>
          <w:i/>
          <w:iCs/>
        </w:rPr>
        <w:t>Figure 5c: Structure Validation by Procheck and ProSA</w:t>
      </w:r>
    </w:p>
    <w:p w14:paraId="446A3C9D" w14:textId="77777777" w:rsidR="00CC3377" w:rsidRPr="00F05812" w:rsidRDefault="00CC3377" w:rsidP="00CC3377">
      <w:pPr>
        <w:rPr>
          <w:rFonts w:ascii="Arial" w:hAnsi="Arial" w:cs="Arial"/>
        </w:rPr>
      </w:pPr>
    </w:p>
    <w:p w14:paraId="0FB48E87" w14:textId="77777777" w:rsidR="00CC3377" w:rsidRPr="00F05812" w:rsidRDefault="00CC3377" w:rsidP="00CC3377">
      <w:pPr>
        <w:rPr>
          <w:rFonts w:ascii="Arial" w:hAnsi="Arial" w:cs="Arial"/>
        </w:rPr>
      </w:pPr>
    </w:p>
    <w:p w14:paraId="1CCC94B5" w14:textId="77777777" w:rsidR="00CC3377" w:rsidRPr="00F05812" w:rsidRDefault="00CC3377" w:rsidP="00A94707">
      <w:pPr>
        <w:ind w:left="142"/>
        <w:rPr>
          <w:rFonts w:ascii="Arial" w:hAnsi="Arial" w:cs="Arial"/>
        </w:rPr>
      </w:pPr>
      <w:r w:rsidRPr="00F05812">
        <w:rPr>
          <w:rFonts w:ascii="Arial" w:hAnsi="Arial" w:cs="Arial"/>
          <w:b/>
          <w:bCs/>
          <w:noProof/>
        </w:rPr>
        <w:drawing>
          <wp:inline distT="0" distB="0" distL="0" distR="0" wp14:anchorId="47A8C48F" wp14:editId="4497A0FF">
            <wp:extent cx="4140200" cy="2505490"/>
            <wp:effectExtent l="0" t="0" r="0" b="9525"/>
            <wp:docPr id="1710417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41814" name=""/>
                    <pic:cNvPicPr/>
                  </pic:nvPicPr>
                  <pic:blipFill>
                    <a:blip r:embed="rId24"/>
                    <a:stretch>
                      <a:fillRect/>
                    </a:stretch>
                  </pic:blipFill>
                  <pic:spPr>
                    <a:xfrm>
                      <a:off x="0" y="0"/>
                      <a:ext cx="4175588" cy="2526906"/>
                    </a:xfrm>
                    <a:prstGeom prst="rect">
                      <a:avLst/>
                    </a:prstGeom>
                  </pic:spPr>
                </pic:pic>
              </a:graphicData>
            </a:graphic>
          </wp:inline>
        </w:drawing>
      </w:r>
    </w:p>
    <w:p w14:paraId="6F71980D" w14:textId="77777777" w:rsidR="00CC3377" w:rsidRPr="00F05812" w:rsidRDefault="00CC3377" w:rsidP="00A94707">
      <w:pPr>
        <w:ind w:left="284"/>
        <w:rPr>
          <w:rFonts w:ascii="Arial" w:hAnsi="Arial" w:cs="Arial"/>
          <w:b/>
          <w:bCs/>
          <w:i/>
          <w:iCs/>
        </w:rPr>
      </w:pPr>
      <w:r w:rsidRPr="00F05812">
        <w:rPr>
          <w:rFonts w:ascii="Arial" w:hAnsi="Arial" w:cs="Arial"/>
          <w:b/>
          <w:bCs/>
          <w:i/>
          <w:iCs/>
        </w:rPr>
        <w:t>Figure 5d: Structure Validation by ERRAT</w:t>
      </w:r>
    </w:p>
    <w:p w14:paraId="34A903B3" w14:textId="77777777" w:rsidR="00CC3377" w:rsidRPr="00F05812" w:rsidRDefault="00CC3377" w:rsidP="00AD3EC9">
      <w:pPr>
        <w:ind w:left="993"/>
        <w:rPr>
          <w:rFonts w:ascii="Arial" w:hAnsi="Arial" w:cs="Arial"/>
        </w:rPr>
      </w:pPr>
    </w:p>
    <w:p w14:paraId="4E0E5673" w14:textId="0300BA4C" w:rsidR="00EE5169" w:rsidRPr="00F05812" w:rsidRDefault="00B10D01" w:rsidP="00A94707">
      <w:pPr>
        <w:pStyle w:val="Head1"/>
        <w:numPr>
          <w:ilvl w:val="1"/>
          <w:numId w:val="33"/>
        </w:numPr>
        <w:tabs>
          <w:tab w:val="left" w:pos="284"/>
        </w:tabs>
        <w:spacing w:before="240"/>
        <w:ind w:left="142" w:firstLine="0"/>
        <w:jc w:val="both"/>
        <w:rPr>
          <w:rFonts w:ascii="Arial" w:hAnsi="Arial" w:cs="Arial"/>
          <w:sz w:val="20"/>
          <w:szCs w:val="18"/>
        </w:rPr>
      </w:pPr>
      <w:r w:rsidRPr="00F05812">
        <w:rPr>
          <w:rFonts w:ascii="Arial" w:hAnsi="Arial" w:cs="Arial"/>
          <w:sz w:val="20"/>
          <w:szCs w:val="18"/>
        </w:rPr>
        <w:t>Molecular Docking:</w:t>
      </w:r>
    </w:p>
    <w:p w14:paraId="4C82666B" w14:textId="77777777" w:rsidR="00CA31A0" w:rsidRPr="00F05812" w:rsidRDefault="00CA31A0" w:rsidP="00A94707">
      <w:pPr>
        <w:tabs>
          <w:tab w:val="left" w:pos="284"/>
        </w:tabs>
        <w:ind w:left="142"/>
        <w:jc w:val="both"/>
        <w:rPr>
          <w:rFonts w:ascii="Arial" w:hAnsi="Arial" w:cs="Arial"/>
        </w:rPr>
      </w:pPr>
      <w:r w:rsidRPr="00F05812">
        <w:rPr>
          <w:rFonts w:ascii="Arial" w:hAnsi="Arial" w:cs="Arial"/>
        </w:rPr>
        <w:t>Molecular docking of the refined vaccine construct with the TLR4 immune receptor was performed using the HADDOCK 2.4 server (Figure 6). Among the generated clusters, the best docking solution was selected based on key interaction parameters.</w:t>
      </w:r>
    </w:p>
    <w:p w14:paraId="419FF73B" w14:textId="77777777" w:rsidR="00CA31A0" w:rsidRPr="00F05812" w:rsidRDefault="00CA31A0" w:rsidP="00A94707">
      <w:pPr>
        <w:tabs>
          <w:tab w:val="left" w:pos="284"/>
        </w:tabs>
        <w:ind w:left="142"/>
        <w:jc w:val="both"/>
        <w:rPr>
          <w:rFonts w:ascii="Arial" w:hAnsi="Arial" w:cs="Arial"/>
        </w:rPr>
      </w:pPr>
      <w:r w:rsidRPr="00F05812">
        <w:rPr>
          <w:rFonts w:ascii="Arial" w:hAnsi="Arial" w:cs="Arial"/>
        </w:rPr>
        <w:t>The selected cluster exhibited a HADDOCK score of –89.8 ± 2.9, indicating a strong and stable interaction (well below the –60 threshold). The interaction was supported by a high electrostatic energy (–375.4 ± 55.8) and favorable van der Waals energy (–32.9 ± 6.1), reflecting good shape complementarity and polar interactions. (Table 5)</w:t>
      </w:r>
    </w:p>
    <w:p w14:paraId="36B64D79" w14:textId="30DC5C8A" w:rsidR="00CA31A0" w:rsidRPr="00F05812" w:rsidRDefault="00CA31A0" w:rsidP="00A94707">
      <w:pPr>
        <w:tabs>
          <w:tab w:val="left" w:pos="284"/>
        </w:tabs>
        <w:ind w:left="142"/>
        <w:jc w:val="both"/>
        <w:rPr>
          <w:rFonts w:ascii="Arial" w:hAnsi="Arial" w:cs="Arial"/>
        </w:rPr>
      </w:pPr>
      <w:r w:rsidRPr="00F05812">
        <w:rPr>
          <w:rFonts w:ascii="Arial" w:hAnsi="Arial" w:cs="Arial"/>
        </w:rPr>
        <w:t>The buried surface area of 1789.9 Å² further supported strong complex formation. Although the restraints violation was relatively high (191.9 ± 30.8), the overall Z-score of –1.4 confirmed the reliability of the docking pose.</w:t>
      </w:r>
    </w:p>
    <w:p w14:paraId="542518E5" w14:textId="77777777" w:rsidR="00CA31A0" w:rsidRDefault="00CA31A0" w:rsidP="00A94707">
      <w:pPr>
        <w:tabs>
          <w:tab w:val="left" w:pos="284"/>
        </w:tabs>
        <w:ind w:left="142"/>
        <w:jc w:val="both"/>
        <w:rPr>
          <w:rFonts w:ascii="Arial" w:hAnsi="Arial" w:cs="Arial"/>
        </w:rPr>
      </w:pPr>
    </w:p>
    <w:p w14:paraId="279C49CD" w14:textId="77777777" w:rsidR="00A94707" w:rsidRDefault="00A94707" w:rsidP="00A94707">
      <w:pPr>
        <w:tabs>
          <w:tab w:val="left" w:pos="284"/>
        </w:tabs>
        <w:ind w:left="142"/>
        <w:jc w:val="both"/>
        <w:rPr>
          <w:rFonts w:ascii="Arial" w:hAnsi="Arial" w:cs="Arial"/>
        </w:rPr>
      </w:pPr>
    </w:p>
    <w:p w14:paraId="29C494D7" w14:textId="77777777" w:rsidR="00A94707" w:rsidRDefault="00A94707" w:rsidP="00A94707">
      <w:pPr>
        <w:tabs>
          <w:tab w:val="left" w:pos="284"/>
        </w:tabs>
        <w:ind w:left="142"/>
        <w:jc w:val="both"/>
        <w:rPr>
          <w:rFonts w:ascii="Arial" w:hAnsi="Arial" w:cs="Arial"/>
        </w:rPr>
      </w:pPr>
    </w:p>
    <w:p w14:paraId="7023AD2B" w14:textId="77777777" w:rsidR="00A94707" w:rsidRPr="00F05812" w:rsidRDefault="00A94707" w:rsidP="00A94707">
      <w:pPr>
        <w:tabs>
          <w:tab w:val="left" w:pos="284"/>
        </w:tabs>
        <w:ind w:left="142"/>
        <w:jc w:val="both"/>
        <w:rPr>
          <w:rFonts w:ascii="Arial" w:hAnsi="Arial" w:cs="Arial"/>
        </w:rPr>
      </w:pPr>
    </w:p>
    <w:p w14:paraId="65337104" w14:textId="4F20A5B9" w:rsidR="00CA31A0" w:rsidRDefault="00CA31A0" w:rsidP="00A94707">
      <w:pPr>
        <w:tabs>
          <w:tab w:val="left" w:pos="284"/>
        </w:tabs>
        <w:ind w:left="142"/>
        <w:jc w:val="both"/>
        <w:rPr>
          <w:rFonts w:ascii="Arial" w:hAnsi="Arial" w:cs="Arial"/>
          <w:b/>
          <w:bCs/>
        </w:rPr>
      </w:pPr>
      <w:r w:rsidRPr="00F05812">
        <w:rPr>
          <w:rFonts w:ascii="Arial" w:hAnsi="Arial" w:cs="Arial"/>
          <w:b/>
          <w:bCs/>
        </w:rPr>
        <w:lastRenderedPageBreak/>
        <w:t>Table 5: Best Cluster Properties of Docked Proteins by HADDOCK</w:t>
      </w:r>
    </w:p>
    <w:p w14:paraId="4E239938" w14:textId="77777777" w:rsidR="00A94707" w:rsidRPr="00F05812" w:rsidRDefault="00A94707" w:rsidP="00A94707">
      <w:pPr>
        <w:tabs>
          <w:tab w:val="left" w:pos="284"/>
        </w:tabs>
        <w:ind w:left="142"/>
        <w:jc w:val="both"/>
        <w:rPr>
          <w:rFonts w:ascii="Arial" w:hAnsi="Arial" w:cs="Arial"/>
          <w:b/>
          <w:bCs/>
        </w:rPr>
      </w:pPr>
    </w:p>
    <w:tbl>
      <w:tblPr>
        <w:tblStyle w:val="TableGrid"/>
        <w:tblW w:w="8217" w:type="dxa"/>
        <w:tblInd w:w="137" w:type="dxa"/>
        <w:tblLook w:val="04A0" w:firstRow="1" w:lastRow="0" w:firstColumn="1" w:lastColumn="0" w:noHBand="0" w:noVBand="1"/>
      </w:tblPr>
      <w:tblGrid>
        <w:gridCol w:w="2243"/>
        <w:gridCol w:w="1903"/>
        <w:gridCol w:w="4071"/>
      </w:tblGrid>
      <w:tr w:rsidR="005A3D2A" w:rsidRPr="00F05812" w14:paraId="1180E6E8" w14:textId="77777777" w:rsidTr="00A94707">
        <w:trPr>
          <w:trHeight w:val="226"/>
        </w:trPr>
        <w:tc>
          <w:tcPr>
            <w:tcW w:w="0" w:type="auto"/>
            <w:hideMark/>
          </w:tcPr>
          <w:p w14:paraId="4CB0CADB" w14:textId="77777777" w:rsidR="005A3D2A" w:rsidRPr="00F05812" w:rsidRDefault="005A3D2A" w:rsidP="006E7179">
            <w:pPr>
              <w:spacing w:line="360" w:lineRule="auto"/>
              <w:ind w:left="284"/>
              <w:jc w:val="both"/>
              <w:rPr>
                <w:rFonts w:ascii="Arial" w:eastAsia="Times New Roman" w:hAnsi="Arial" w:cs="Arial"/>
                <w:b/>
                <w:bCs/>
                <w:sz w:val="20"/>
                <w:szCs w:val="20"/>
                <w:lang w:eastAsia="en-IN"/>
              </w:rPr>
            </w:pPr>
            <w:r w:rsidRPr="00F05812">
              <w:rPr>
                <w:rFonts w:ascii="Arial" w:eastAsia="Times New Roman" w:hAnsi="Arial" w:cs="Arial"/>
                <w:b/>
                <w:bCs/>
                <w:sz w:val="20"/>
                <w:szCs w:val="20"/>
                <w:lang w:eastAsia="en-IN"/>
              </w:rPr>
              <w:t>Metric</w:t>
            </w:r>
          </w:p>
        </w:tc>
        <w:tc>
          <w:tcPr>
            <w:tcW w:w="1903" w:type="dxa"/>
            <w:hideMark/>
          </w:tcPr>
          <w:p w14:paraId="35631916" w14:textId="77777777" w:rsidR="005A3D2A" w:rsidRPr="00F05812" w:rsidRDefault="005A3D2A" w:rsidP="006E7179">
            <w:pPr>
              <w:spacing w:line="360" w:lineRule="auto"/>
              <w:ind w:left="284"/>
              <w:jc w:val="both"/>
              <w:rPr>
                <w:rFonts w:ascii="Arial" w:eastAsia="Times New Roman" w:hAnsi="Arial" w:cs="Arial"/>
                <w:b/>
                <w:bCs/>
                <w:sz w:val="20"/>
                <w:szCs w:val="20"/>
                <w:lang w:eastAsia="en-IN"/>
              </w:rPr>
            </w:pPr>
            <w:r w:rsidRPr="00F05812">
              <w:rPr>
                <w:rFonts w:ascii="Arial" w:eastAsia="Times New Roman" w:hAnsi="Arial" w:cs="Arial"/>
                <w:b/>
                <w:bCs/>
                <w:sz w:val="20"/>
                <w:szCs w:val="20"/>
                <w:lang w:eastAsia="en-IN"/>
              </w:rPr>
              <w:t>Value</w:t>
            </w:r>
          </w:p>
        </w:tc>
        <w:tc>
          <w:tcPr>
            <w:tcW w:w="4071" w:type="dxa"/>
            <w:hideMark/>
          </w:tcPr>
          <w:p w14:paraId="35C63F8D" w14:textId="77777777" w:rsidR="005A3D2A" w:rsidRPr="00F05812" w:rsidRDefault="005A3D2A" w:rsidP="006E7179">
            <w:pPr>
              <w:spacing w:line="360" w:lineRule="auto"/>
              <w:ind w:left="284"/>
              <w:jc w:val="both"/>
              <w:rPr>
                <w:rFonts w:ascii="Arial" w:eastAsia="Times New Roman" w:hAnsi="Arial" w:cs="Arial"/>
                <w:b/>
                <w:bCs/>
                <w:sz w:val="20"/>
                <w:szCs w:val="20"/>
                <w:lang w:eastAsia="en-IN"/>
              </w:rPr>
            </w:pPr>
            <w:r w:rsidRPr="00F05812">
              <w:rPr>
                <w:rFonts w:ascii="Arial" w:eastAsia="Times New Roman" w:hAnsi="Arial" w:cs="Arial"/>
                <w:b/>
                <w:bCs/>
                <w:sz w:val="20"/>
                <w:szCs w:val="20"/>
                <w:lang w:eastAsia="en-IN"/>
              </w:rPr>
              <w:t>Interpretation</w:t>
            </w:r>
          </w:p>
        </w:tc>
      </w:tr>
      <w:tr w:rsidR="005A3D2A" w:rsidRPr="00F05812" w14:paraId="1C054F4E" w14:textId="77777777" w:rsidTr="00A94707">
        <w:trPr>
          <w:trHeight w:val="455"/>
        </w:trPr>
        <w:tc>
          <w:tcPr>
            <w:tcW w:w="0" w:type="auto"/>
            <w:hideMark/>
          </w:tcPr>
          <w:p w14:paraId="19270E3A"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HADDOCK Score</w:t>
            </w:r>
          </w:p>
        </w:tc>
        <w:tc>
          <w:tcPr>
            <w:tcW w:w="1903" w:type="dxa"/>
            <w:hideMark/>
          </w:tcPr>
          <w:p w14:paraId="0A59868A"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–89.8 ± 2.9</w:t>
            </w:r>
          </w:p>
        </w:tc>
        <w:tc>
          <w:tcPr>
            <w:tcW w:w="4071" w:type="dxa"/>
            <w:hideMark/>
          </w:tcPr>
          <w:p w14:paraId="278B09D7"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sz w:val="20"/>
                <w:szCs w:val="20"/>
                <w:lang w:eastAsia="en-IN"/>
              </w:rPr>
              <w:t>Very good. Well below the –60 threshold typically considered strong binding.</w:t>
            </w:r>
          </w:p>
        </w:tc>
      </w:tr>
      <w:tr w:rsidR="005A3D2A" w:rsidRPr="00F05812" w14:paraId="09D5D8C9" w14:textId="77777777" w:rsidTr="00A94707">
        <w:trPr>
          <w:trHeight w:val="439"/>
        </w:trPr>
        <w:tc>
          <w:tcPr>
            <w:tcW w:w="0" w:type="auto"/>
            <w:hideMark/>
          </w:tcPr>
          <w:p w14:paraId="12C020C8"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Electrostatic Energy</w:t>
            </w:r>
          </w:p>
        </w:tc>
        <w:tc>
          <w:tcPr>
            <w:tcW w:w="1903" w:type="dxa"/>
            <w:hideMark/>
          </w:tcPr>
          <w:p w14:paraId="6FB64A08"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–375.4 ± 55.8</w:t>
            </w:r>
          </w:p>
        </w:tc>
        <w:tc>
          <w:tcPr>
            <w:tcW w:w="4071" w:type="dxa"/>
            <w:hideMark/>
          </w:tcPr>
          <w:p w14:paraId="3F4309A5"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sz w:val="20"/>
                <w:szCs w:val="20"/>
                <w:lang w:eastAsia="en-IN"/>
              </w:rPr>
              <w:t>Strong electrostatic interactions (critical for immunogenic proteins).</w:t>
            </w:r>
          </w:p>
        </w:tc>
      </w:tr>
      <w:tr w:rsidR="005A3D2A" w:rsidRPr="00F05812" w14:paraId="6F25A1D9" w14:textId="77777777" w:rsidTr="00A94707">
        <w:trPr>
          <w:trHeight w:val="455"/>
        </w:trPr>
        <w:tc>
          <w:tcPr>
            <w:tcW w:w="0" w:type="auto"/>
            <w:hideMark/>
          </w:tcPr>
          <w:p w14:paraId="6BEA4253"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van der Waals Energy</w:t>
            </w:r>
          </w:p>
        </w:tc>
        <w:tc>
          <w:tcPr>
            <w:tcW w:w="1903" w:type="dxa"/>
            <w:hideMark/>
          </w:tcPr>
          <w:p w14:paraId="14FF69E8"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–32.9 ± 6.1</w:t>
            </w:r>
          </w:p>
        </w:tc>
        <w:tc>
          <w:tcPr>
            <w:tcW w:w="4071" w:type="dxa"/>
            <w:hideMark/>
          </w:tcPr>
          <w:p w14:paraId="258EB795"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sz w:val="20"/>
                <w:szCs w:val="20"/>
                <w:lang w:eastAsia="en-IN"/>
              </w:rPr>
              <w:t>Acceptable; good shape complementarity.</w:t>
            </w:r>
          </w:p>
        </w:tc>
      </w:tr>
      <w:tr w:rsidR="005A3D2A" w:rsidRPr="00F05812" w14:paraId="58A58700" w14:textId="77777777" w:rsidTr="00A94707">
        <w:trPr>
          <w:trHeight w:val="439"/>
        </w:trPr>
        <w:tc>
          <w:tcPr>
            <w:tcW w:w="0" w:type="auto"/>
            <w:hideMark/>
          </w:tcPr>
          <w:p w14:paraId="11BEF00E"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Desolvation Energy</w:t>
            </w:r>
          </w:p>
        </w:tc>
        <w:tc>
          <w:tcPr>
            <w:tcW w:w="1903" w:type="dxa"/>
            <w:hideMark/>
          </w:tcPr>
          <w:p w14:paraId="650C040D"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–1.1 ± 4.3</w:t>
            </w:r>
          </w:p>
        </w:tc>
        <w:tc>
          <w:tcPr>
            <w:tcW w:w="4071" w:type="dxa"/>
            <w:hideMark/>
          </w:tcPr>
          <w:p w14:paraId="1904650E"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sz w:val="20"/>
                <w:szCs w:val="20"/>
                <w:lang w:eastAsia="en-IN"/>
              </w:rPr>
              <w:t>Slightly low; acceptable but might reflect limited hydrophobic burial.</w:t>
            </w:r>
          </w:p>
        </w:tc>
      </w:tr>
      <w:tr w:rsidR="005A3D2A" w:rsidRPr="00F05812" w14:paraId="521EC1C1" w14:textId="77777777" w:rsidTr="00A94707">
        <w:trPr>
          <w:trHeight w:val="455"/>
        </w:trPr>
        <w:tc>
          <w:tcPr>
            <w:tcW w:w="0" w:type="auto"/>
            <w:hideMark/>
          </w:tcPr>
          <w:p w14:paraId="6138FEB0"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Restraints Violation</w:t>
            </w:r>
          </w:p>
        </w:tc>
        <w:tc>
          <w:tcPr>
            <w:tcW w:w="1903" w:type="dxa"/>
            <w:hideMark/>
          </w:tcPr>
          <w:p w14:paraId="628F9128"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191.9 ± 30.8</w:t>
            </w:r>
          </w:p>
        </w:tc>
        <w:tc>
          <w:tcPr>
            <w:tcW w:w="4071" w:type="dxa"/>
            <w:hideMark/>
          </w:tcPr>
          <w:p w14:paraId="38C0A8F6"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sz w:val="20"/>
                <w:szCs w:val="20"/>
                <w:lang w:eastAsia="en-IN"/>
              </w:rPr>
              <w:t>On the higher side — could mean moderate violation of distance restraints.</w:t>
            </w:r>
          </w:p>
        </w:tc>
      </w:tr>
      <w:tr w:rsidR="005A3D2A" w:rsidRPr="00F05812" w14:paraId="64D961FA" w14:textId="77777777" w:rsidTr="00A94707">
        <w:trPr>
          <w:trHeight w:val="455"/>
        </w:trPr>
        <w:tc>
          <w:tcPr>
            <w:tcW w:w="0" w:type="auto"/>
            <w:hideMark/>
          </w:tcPr>
          <w:p w14:paraId="00FBE188"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Buried Surface Area</w:t>
            </w:r>
          </w:p>
        </w:tc>
        <w:tc>
          <w:tcPr>
            <w:tcW w:w="1903" w:type="dxa"/>
            <w:hideMark/>
          </w:tcPr>
          <w:p w14:paraId="5A07DEC5"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1789.9 Å² ± 94.9</w:t>
            </w:r>
          </w:p>
        </w:tc>
        <w:tc>
          <w:tcPr>
            <w:tcW w:w="4071" w:type="dxa"/>
            <w:hideMark/>
          </w:tcPr>
          <w:p w14:paraId="7AFA0687"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sz w:val="20"/>
                <w:szCs w:val="20"/>
                <w:lang w:eastAsia="en-IN"/>
              </w:rPr>
              <w:t xml:space="preserve">Very good — above 1400 Å² is typically </w:t>
            </w:r>
            <w:proofErr w:type="spellStart"/>
            <w:r w:rsidRPr="00F05812">
              <w:rPr>
                <w:rFonts w:ascii="Arial" w:eastAsia="Times New Roman" w:hAnsi="Arial" w:cs="Arial"/>
                <w:sz w:val="20"/>
                <w:szCs w:val="20"/>
                <w:lang w:eastAsia="en-IN"/>
              </w:rPr>
              <w:t>favourable</w:t>
            </w:r>
            <w:proofErr w:type="spellEnd"/>
            <w:r w:rsidRPr="00F05812">
              <w:rPr>
                <w:rFonts w:ascii="Arial" w:eastAsia="Times New Roman" w:hAnsi="Arial" w:cs="Arial"/>
                <w:sz w:val="20"/>
                <w:szCs w:val="20"/>
                <w:lang w:eastAsia="en-IN"/>
              </w:rPr>
              <w:t xml:space="preserve"> for protein–protein docking.</w:t>
            </w:r>
          </w:p>
        </w:tc>
      </w:tr>
      <w:tr w:rsidR="005A3D2A" w:rsidRPr="00F05812" w14:paraId="2232B0C0" w14:textId="77777777" w:rsidTr="00A94707">
        <w:trPr>
          <w:trHeight w:val="439"/>
        </w:trPr>
        <w:tc>
          <w:tcPr>
            <w:tcW w:w="0" w:type="auto"/>
            <w:hideMark/>
          </w:tcPr>
          <w:p w14:paraId="02909442"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Z-Score</w:t>
            </w:r>
          </w:p>
        </w:tc>
        <w:tc>
          <w:tcPr>
            <w:tcW w:w="1903" w:type="dxa"/>
            <w:hideMark/>
          </w:tcPr>
          <w:p w14:paraId="7F9452AF"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b/>
                <w:bCs/>
                <w:sz w:val="20"/>
                <w:szCs w:val="20"/>
                <w:lang w:eastAsia="en-IN"/>
              </w:rPr>
              <w:t>–1.4</w:t>
            </w:r>
          </w:p>
        </w:tc>
        <w:tc>
          <w:tcPr>
            <w:tcW w:w="4071" w:type="dxa"/>
            <w:hideMark/>
          </w:tcPr>
          <w:p w14:paraId="7834F1F1" w14:textId="77777777" w:rsidR="005A3D2A" w:rsidRPr="00F05812" w:rsidRDefault="005A3D2A" w:rsidP="006E7179">
            <w:pPr>
              <w:spacing w:line="360" w:lineRule="auto"/>
              <w:ind w:left="284"/>
              <w:jc w:val="both"/>
              <w:rPr>
                <w:rFonts w:ascii="Arial" w:eastAsia="Times New Roman" w:hAnsi="Arial" w:cs="Arial"/>
                <w:sz w:val="20"/>
                <w:szCs w:val="20"/>
                <w:lang w:eastAsia="en-IN"/>
              </w:rPr>
            </w:pPr>
            <w:r w:rsidRPr="00F05812">
              <w:rPr>
                <w:rFonts w:ascii="Arial" w:eastAsia="Times New Roman" w:hAnsi="Arial" w:cs="Arial"/>
                <w:sz w:val="20"/>
                <w:szCs w:val="20"/>
                <w:lang w:eastAsia="en-IN"/>
              </w:rPr>
              <w:t>Solid — the more negative, the better (Z &lt; –1 is considered meaningful).</w:t>
            </w:r>
          </w:p>
        </w:tc>
      </w:tr>
    </w:tbl>
    <w:p w14:paraId="1505D736" w14:textId="77777777" w:rsidR="005A3D2A" w:rsidRPr="00F05812" w:rsidRDefault="005A3D2A" w:rsidP="00CA31A0">
      <w:pPr>
        <w:ind w:left="851"/>
        <w:rPr>
          <w:rFonts w:ascii="Arial" w:hAnsi="Arial" w:cs="Arial"/>
          <w:b/>
          <w:bCs/>
        </w:rPr>
      </w:pPr>
    </w:p>
    <w:p w14:paraId="5AEBFCB7" w14:textId="0E23F8A0" w:rsidR="00CA31A0" w:rsidRPr="00F05812" w:rsidRDefault="005A3D2A" w:rsidP="00A94707">
      <w:pPr>
        <w:ind w:left="142"/>
        <w:rPr>
          <w:rFonts w:ascii="Arial" w:hAnsi="Arial" w:cs="Arial"/>
          <w:b/>
          <w:bCs/>
        </w:rPr>
      </w:pPr>
      <w:r w:rsidRPr="00F05812">
        <w:rPr>
          <w:rFonts w:ascii="Arial" w:hAnsi="Arial" w:cs="Arial"/>
          <w:noProof/>
        </w:rPr>
        <w:drawing>
          <wp:inline distT="0" distB="0" distL="0" distR="0" wp14:anchorId="18A5E199" wp14:editId="263775B0">
            <wp:extent cx="5166360" cy="2754381"/>
            <wp:effectExtent l="19050" t="19050" r="15240" b="27305"/>
            <wp:docPr id="31918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06555" name=""/>
                    <pic:cNvPicPr/>
                  </pic:nvPicPr>
                  <pic:blipFill>
                    <a:blip r:embed="rId25"/>
                    <a:stretch>
                      <a:fillRect/>
                    </a:stretch>
                  </pic:blipFill>
                  <pic:spPr>
                    <a:xfrm>
                      <a:off x="0" y="0"/>
                      <a:ext cx="5283087" cy="2816613"/>
                    </a:xfrm>
                    <a:prstGeom prst="rect">
                      <a:avLst/>
                    </a:prstGeom>
                    <a:ln>
                      <a:solidFill>
                        <a:schemeClr val="tx1"/>
                      </a:solidFill>
                      <a:prstDash val="solid"/>
                    </a:ln>
                  </pic:spPr>
                </pic:pic>
              </a:graphicData>
            </a:graphic>
          </wp:inline>
        </w:drawing>
      </w:r>
    </w:p>
    <w:p w14:paraId="0A0DC291" w14:textId="2F002914" w:rsidR="005A3D2A" w:rsidRDefault="005A3D2A" w:rsidP="00A94707">
      <w:pPr>
        <w:ind w:left="142"/>
        <w:rPr>
          <w:rFonts w:ascii="Arial" w:hAnsi="Arial" w:cs="Arial"/>
          <w:b/>
          <w:bCs/>
          <w:i/>
          <w:iCs/>
        </w:rPr>
      </w:pPr>
      <w:r w:rsidRPr="00F05812">
        <w:rPr>
          <w:rFonts w:ascii="Arial" w:hAnsi="Arial" w:cs="Arial"/>
          <w:b/>
          <w:bCs/>
          <w:i/>
          <w:iCs/>
        </w:rPr>
        <w:t>Figure 6: Visualized Structure of docked MEV and tlr-4 by Discovery Studio</w:t>
      </w:r>
    </w:p>
    <w:p w14:paraId="7382FA9C" w14:textId="77777777" w:rsidR="00D64393" w:rsidRPr="00F05812" w:rsidRDefault="00D64393" w:rsidP="00A94707">
      <w:pPr>
        <w:ind w:left="142"/>
        <w:rPr>
          <w:rFonts w:ascii="Arial" w:hAnsi="Arial" w:cs="Arial"/>
          <w:b/>
          <w:bCs/>
          <w:i/>
          <w:iCs/>
        </w:rPr>
      </w:pPr>
    </w:p>
    <w:p w14:paraId="086E59AD" w14:textId="0C5AABA3" w:rsidR="00EE5169" w:rsidRPr="00F05812" w:rsidRDefault="00B10D01" w:rsidP="00A94707">
      <w:pPr>
        <w:pStyle w:val="ListParagraph"/>
        <w:numPr>
          <w:ilvl w:val="1"/>
          <w:numId w:val="33"/>
        </w:numPr>
        <w:spacing w:before="240" w:after="240"/>
        <w:ind w:left="426"/>
        <w:rPr>
          <w:rFonts w:ascii="Arial" w:hAnsi="Arial" w:cs="Arial"/>
          <w:b/>
          <w:caps/>
          <w:szCs w:val="18"/>
        </w:rPr>
      </w:pPr>
      <w:r w:rsidRPr="00F05812">
        <w:rPr>
          <w:rFonts w:ascii="Arial" w:hAnsi="Arial" w:cs="Arial"/>
          <w:b/>
          <w:caps/>
          <w:szCs w:val="18"/>
        </w:rPr>
        <w:t>Protein- Protein Interactions:</w:t>
      </w:r>
    </w:p>
    <w:p w14:paraId="054BE82A" w14:textId="42119FB9" w:rsidR="005C0A0F" w:rsidRPr="00F05812" w:rsidRDefault="005C0A0F" w:rsidP="00A94707">
      <w:pPr>
        <w:ind w:left="142"/>
        <w:jc w:val="both"/>
        <w:rPr>
          <w:rFonts w:ascii="Arial" w:hAnsi="Arial" w:cs="Arial"/>
        </w:rPr>
      </w:pPr>
      <w:r w:rsidRPr="00F05812">
        <w:rPr>
          <w:rFonts w:ascii="Arial" w:hAnsi="Arial" w:cs="Arial"/>
        </w:rPr>
        <w:t>To gain deeper insight into the molecular interactions between the multi-epitope vaccine (MEV) and TLR4, the PDBsum server was used to analyze the docked complex.</w:t>
      </w:r>
    </w:p>
    <w:p w14:paraId="020988DF" w14:textId="295BECD4" w:rsidR="005C0A0F" w:rsidRPr="00F05812" w:rsidRDefault="005C0A0F" w:rsidP="00D6707E">
      <w:pPr>
        <w:ind w:left="142"/>
        <w:jc w:val="both"/>
        <w:rPr>
          <w:rFonts w:ascii="Arial" w:hAnsi="Arial" w:cs="Arial"/>
        </w:rPr>
      </w:pPr>
      <w:r w:rsidRPr="00F05812">
        <w:rPr>
          <w:rFonts w:ascii="Arial" w:hAnsi="Arial" w:cs="Arial"/>
        </w:rPr>
        <w:t xml:space="preserve">The interaction interface revealed several hydrogen bonds, salt bridges, and non-bonded contacts between the MEV and TLR4, suggesting strong molecular recognition and stability of the complex. The PDBsum interaction map provided a detailed schematic of contacting </w:t>
      </w:r>
      <w:r w:rsidRPr="00F05812">
        <w:rPr>
          <w:rFonts w:ascii="Arial" w:hAnsi="Arial" w:cs="Arial"/>
        </w:rPr>
        <w:lastRenderedPageBreak/>
        <w:t>residues, highlighting the binding hotspots essential for receptor engagement. (Figure 7</w:t>
      </w:r>
      <w:r w:rsidR="00D6707E" w:rsidRPr="00F05812">
        <w:rPr>
          <w:rFonts w:ascii="Arial" w:hAnsi="Arial" w:cs="Arial"/>
        </w:rPr>
        <w:t>). This</w:t>
      </w:r>
      <w:r w:rsidRPr="00F05812">
        <w:rPr>
          <w:rFonts w:ascii="Arial" w:hAnsi="Arial" w:cs="Arial"/>
        </w:rPr>
        <w:t xml:space="preserve"> interaction analysis supports the docking results and confirms that the MEV construct has a strong binding affinity for the TLR4 immune receptor, which is critical for initiating an effective innate immune response.</w:t>
      </w:r>
    </w:p>
    <w:p w14:paraId="6A8F9E23" w14:textId="761191CB" w:rsidR="00A94707" w:rsidRPr="00C92A0C" w:rsidRDefault="00A94707" w:rsidP="00C92A0C">
      <w:pPr>
        <w:tabs>
          <w:tab w:val="left" w:pos="2268"/>
          <w:tab w:val="left" w:pos="2835"/>
        </w:tabs>
        <w:ind w:left="2694" w:hanging="426"/>
        <w:rPr>
          <w:rFonts w:ascii="Arial" w:hAnsi="Arial" w:cs="Arial"/>
          <w:b/>
          <w:bCs/>
          <w:noProof/>
        </w:rPr>
      </w:pPr>
      <w:r w:rsidRPr="00F05812">
        <w:rPr>
          <w:rFonts w:ascii="Arial" w:hAnsi="Arial" w:cs="Arial"/>
          <w:b/>
          <w:bCs/>
          <w:noProof/>
        </w:rPr>
        <w:drawing>
          <wp:anchor distT="0" distB="0" distL="114300" distR="114300" simplePos="0" relativeHeight="251660288" behindDoc="0" locked="0" layoutInCell="1" allowOverlap="1" wp14:anchorId="53C03F2F" wp14:editId="558460A8">
            <wp:simplePos x="0" y="0"/>
            <wp:positionH relativeFrom="column">
              <wp:posOffset>55880</wp:posOffset>
            </wp:positionH>
            <wp:positionV relativeFrom="paragraph">
              <wp:posOffset>1864995</wp:posOffset>
            </wp:positionV>
            <wp:extent cx="2345055" cy="771525"/>
            <wp:effectExtent l="0" t="0" r="0" b="9525"/>
            <wp:wrapSquare wrapText="bothSides"/>
            <wp:docPr id="980437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21323" name=""/>
                    <pic:cNvPicPr/>
                  </pic:nvPicPr>
                  <pic:blipFill>
                    <a:blip r:embed="rId26">
                      <a:extLst>
                        <a:ext uri="{28A0092B-C50C-407E-A947-70E740481C1C}">
                          <a14:useLocalDpi xmlns:a14="http://schemas.microsoft.com/office/drawing/2010/main" val="0"/>
                        </a:ext>
                      </a:extLst>
                    </a:blip>
                    <a:stretch>
                      <a:fillRect/>
                    </a:stretch>
                  </pic:blipFill>
                  <pic:spPr>
                    <a:xfrm>
                      <a:off x="0" y="0"/>
                      <a:ext cx="2345055" cy="771525"/>
                    </a:xfrm>
                    <a:prstGeom prst="rect">
                      <a:avLst/>
                    </a:prstGeom>
                  </pic:spPr>
                </pic:pic>
              </a:graphicData>
            </a:graphic>
            <wp14:sizeRelH relativeFrom="page">
              <wp14:pctWidth>0</wp14:pctWidth>
            </wp14:sizeRelH>
            <wp14:sizeRelV relativeFrom="page">
              <wp14:pctHeight>0</wp14:pctHeight>
            </wp14:sizeRelV>
          </wp:anchor>
        </w:drawing>
      </w:r>
      <w:r w:rsidRPr="00F05812">
        <w:rPr>
          <w:rFonts w:ascii="Arial" w:hAnsi="Arial" w:cs="Arial"/>
          <w:b/>
          <w:bCs/>
          <w:noProof/>
        </w:rPr>
        <w:drawing>
          <wp:anchor distT="0" distB="0" distL="114300" distR="114300" simplePos="0" relativeHeight="251659264" behindDoc="0" locked="0" layoutInCell="1" allowOverlap="1" wp14:anchorId="19BB6AE5" wp14:editId="55A5F707">
            <wp:simplePos x="0" y="0"/>
            <wp:positionH relativeFrom="margin">
              <wp:align>left</wp:align>
            </wp:positionH>
            <wp:positionV relativeFrom="paragraph">
              <wp:posOffset>168910</wp:posOffset>
            </wp:positionV>
            <wp:extent cx="2336800" cy="1731645"/>
            <wp:effectExtent l="0" t="0" r="6350" b="1905"/>
            <wp:wrapSquare wrapText="bothSides"/>
            <wp:docPr id="128964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31995" name=""/>
                    <pic:cNvPicPr/>
                  </pic:nvPicPr>
                  <pic:blipFill>
                    <a:blip r:embed="rId27">
                      <a:extLst>
                        <a:ext uri="{28A0092B-C50C-407E-A947-70E740481C1C}">
                          <a14:useLocalDpi xmlns:a14="http://schemas.microsoft.com/office/drawing/2010/main" val="0"/>
                        </a:ext>
                      </a:extLst>
                    </a:blip>
                    <a:stretch>
                      <a:fillRect/>
                    </a:stretch>
                  </pic:blipFill>
                  <pic:spPr>
                    <a:xfrm>
                      <a:off x="0" y="0"/>
                      <a:ext cx="2343179" cy="1736666"/>
                    </a:xfrm>
                    <a:prstGeom prst="rect">
                      <a:avLst/>
                    </a:prstGeom>
                  </pic:spPr>
                </pic:pic>
              </a:graphicData>
            </a:graphic>
            <wp14:sizeRelH relativeFrom="page">
              <wp14:pctWidth>0</wp14:pctWidth>
            </wp14:sizeRelH>
            <wp14:sizeRelV relativeFrom="page">
              <wp14:pctHeight>0</wp14:pctHeight>
            </wp14:sizeRelV>
          </wp:anchor>
        </w:drawing>
      </w:r>
      <w:r w:rsidR="005C0A0F" w:rsidRPr="00F05812">
        <w:rPr>
          <w:rFonts w:ascii="Arial" w:hAnsi="Arial" w:cs="Arial"/>
          <w:b/>
          <w:bCs/>
          <w:noProof/>
        </w:rPr>
        <w:t xml:space="preserve">      </w:t>
      </w:r>
      <w:r w:rsidR="005C0A0F" w:rsidRPr="00F05812">
        <w:rPr>
          <w:rFonts w:ascii="Arial" w:hAnsi="Arial" w:cs="Arial"/>
          <w:b/>
          <w:bCs/>
          <w:noProof/>
        </w:rPr>
        <w:drawing>
          <wp:inline distT="0" distB="0" distL="0" distR="0" wp14:anchorId="1DC239B8" wp14:editId="4793010F">
            <wp:extent cx="1333974" cy="2641600"/>
            <wp:effectExtent l="0" t="0" r="0" b="6350"/>
            <wp:docPr id="93690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62903" name=""/>
                    <pic:cNvPicPr/>
                  </pic:nvPicPr>
                  <pic:blipFill>
                    <a:blip r:embed="rId28"/>
                    <a:stretch>
                      <a:fillRect/>
                    </a:stretch>
                  </pic:blipFill>
                  <pic:spPr>
                    <a:xfrm>
                      <a:off x="0" y="0"/>
                      <a:ext cx="1401237" cy="2774797"/>
                    </a:xfrm>
                    <a:prstGeom prst="rect">
                      <a:avLst/>
                    </a:prstGeom>
                  </pic:spPr>
                </pic:pic>
              </a:graphicData>
            </a:graphic>
          </wp:inline>
        </w:drawing>
      </w:r>
    </w:p>
    <w:p w14:paraId="2F343977" w14:textId="36C2CF18" w:rsidR="005C0A0F" w:rsidRPr="00F05812" w:rsidRDefault="00C82074" w:rsidP="00A94707">
      <w:pPr>
        <w:rPr>
          <w:rFonts w:ascii="Arial" w:hAnsi="Arial" w:cs="Arial"/>
          <w:b/>
          <w:bCs/>
          <w:i/>
          <w:iCs/>
        </w:rPr>
      </w:pPr>
      <w:r w:rsidRPr="00F05812">
        <w:rPr>
          <w:rFonts w:ascii="Arial" w:hAnsi="Arial" w:cs="Arial"/>
          <w:b/>
          <w:bCs/>
          <w:i/>
          <w:iCs/>
        </w:rPr>
        <w:t>Figure 7: Protein-protein interaction between MEV and Tlr 4 from PDBsum</w:t>
      </w:r>
    </w:p>
    <w:p w14:paraId="2C6D6D49" w14:textId="77777777" w:rsidR="005C0A0F" w:rsidRPr="00F05812" w:rsidRDefault="005C0A0F" w:rsidP="005C0A0F">
      <w:pPr>
        <w:ind w:left="993"/>
        <w:rPr>
          <w:rFonts w:ascii="Arial" w:hAnsi="Arial" w:cs="Arial"/>
        </w:rPr>
      </w:pPr>
    </w:p>
    <w:p w14:paraId="69DC94C8" w14:textId="43A79267" w:rsidR="00B10D01" w:rsidRPr="00F05812" w:rsidRDefault="00B10D01" w:rsidP="00A94707">
      <w:pPr>
        <w:pStyle w:val="Head1"/>
        <w:numPr>
          <w:ilvl w:val="1"/>
          <w:numId w:val="33"/>
        </w:numPr>
        <w:spacing w:after="0"/>
        <w:ind w:left="284"/>
        <w:jc w:val="both"/>
        <w:rPr>
          <w:rFonts w:ascii="Arial" w:hAnsi="Arial" w:cs="Arial"/>
          <w:sz w:val="20"/>
          <w:szCs w:val="18"/>
        </w:rPr>
      </w:pPr>
      <w:r w:rsidRPr="00F05812">
        <w:rPr>
          <w:rFonts w:ascii="Arial" w:hAnsi="Arial" w:cs="Arial"/>
          <w:sz w:val="20"/>
          <w:szCs w:val="18"/>
        </w:rPr>
        <w:t>MD Simulations Analysis:</w:t>
      </w:r>
    </w:p>
    <w:p w14:paraId="32ECA8E3" w14:textId="77777777" w:rsidR="00C82074" w:rsidRPr="00F05812" w:rsidRDefault="00C82074" w:rsidP="00C92A0C">
      <w:pPr>
        <w:rPr>
          <w:rFonts w:ascii="Arial" w:hAnsi="Arial" w:cs="Arial"/>
        </w:rPr>
      </w:pPr>
    </w:p>
    <w:p w14:paraId="44269F6A" w14:textId="77777777" w:rsidR="00C82074" w:rsidRPr="00F05812" w:rsidRDefault="00C82074" w:rsidP="00A94707">
      <w:pPr>
        <w:ind w:left="284"/>
        <w:jc w:val="both"/>
        <w:rPr>
          <w:rFonts w:ascii="Arial" w:hAnsi="Arial" w:cs="Arial"/>
        </w:rPr>
      </w:pPr>
      <w:r w:rsidRPr="00F05812">
        <w:rPr>
          <w:rFonts w:ascii="Arial" w:hAnsi="Arial" w:cs="Arial"/>
        </w:rPr>
        <w:t>A 100 ns molecular dynamics simulation was performed to evaluate the stability, flexibility, and compactness of the MEV–TLR4 complex.</w:t>
      </w:r>
    </w:p>
    <w:p w14:paraId="18BE6F8A" w14:textId="4C7506E4" w:rsidR="00C82074" w:rsidRPr="00A94707" w:rsidRDefault="00C82074" w:rsidP="00A94707">
      <w:pPr>
        <w:pStyle w:val="ListParagraph"/>
        <w:numPr>
          <w:ilvl w:val="0"/>
          <w:numId w:val="44"/>
        </w:numPr>
        <w:ind w:left="284" w:hanging="153"/>
        <w:jc w:val="both"/>
        <w:rPr>
          <w:rFonts w:ascii="Arial" w:hAnsi="Arial" w:cs="Arial"/>
        </w:rPr>
      </w:pPr>
      <w:r w:rsidRPr="00A94707">
        <w:rPr>
          <w:rFonts w:ascii="Arial" w:hAnsi="Arial" w:cs="Arial"/>
        </w:rPr>
        <w:t>RMSD analysis showed initial adjustment followed by stabilization around 1.0 nm, indicating conformational stability. (Figure 8a).</w:t>
      </w:r>
    </w:p>
    <w:p w14:paraId="5CC9C64A" w14:textId="18E801A2" w:rsidR="00C82074" w:rsidRPr="00A94707" w:rsidRDefault="00C82074" w:rsidP="00A94707">
      <w:pPr>
        <w:pStyle w:val="ListParagraph"/>
        <w:numPr>
          <w:ilvl w:val="0"/>
          <w:numId w:val="44"/>
        </w:numPr>
        <w:ind w:left="284" w:hanging="153"/>
        <w:jc w:val="both"/>
        <w:rPr>
          <w:rFonts w:ascii="Arial" w:hAnsi="Arial" w:cs="Arial"/>
        </w:rPr>
      </w:pPr>
      <w:r w:rsidRPr="00A94707">
        <w:rPr>
          <w:rFonts w:ascii="Arial" w:hAnsi="Arial" w:cs="Arial"/>
        </w:rPr>
        <w:t>RMSF revealed moderate fluctuations across residues, with minor peaks above 1.5 nm, typically at loop or terminal regions — suggesting localized flexibility. (Figure 8b)</w:t>
      </w:r>
    </w:p>
    <w:p w14:paraId="43C8F7D3" w14:textId="4DF8D3A7" w:rsidR="00C82074" w:rsidRPr="00A94707" w:rsidRDefault="00C82074" w:rsidP="00A94707">
      <w:pPr>
        <w:pStyle w:val="ListParagraph"/>
        <w:numPr>
          <w:ilvl w:val="0"/>
          <w:numId w:val="44"/>
        </w:numPr>
        <w:ind w:left="284" w:hanging="153"/>
        <w:jc w:val="both"/>
        <w:rPr>
          <w:rFonts w:ascii="Arial" w:hAnsi="Arial" w:cs="Arial"/>
        </w:rPr>
      </w:pPr>
      <w:r w:rsidRPr="00A94707">
        <w:rPr>
          <w:rFonts w:ascii="Arial" w:hAnsi="Arial" w:cs="Arial"/>
        </w:rPr>
        <w:t>The Radius of Gyration (Rg) remained consistent between 4.2–4.4 nm, confirming structural compactness throughout the simulation. (Figure 8c)</w:t>
      </w:r>
    </w:p>
    <w:p w14:paraId="0FD8258F" w14:textId="6652116A" w:rsidR="00C82074" w:rsidRPr="00A94707" w:rsidRDefault="00C82074" w:rsidP="00A94707">
      <w:pPr>
        <w:pStyle w:val="ListParagraph"/>
        <w:numPr>
          <w:ilvl w:val="0"/>
          <w:numId w:val="44"/>
        </w:numPr>
        <w:ind w:left="284" w:hanging="153"/>
        <w:jc w:val="both"/>
        <w:rPr>
          <w:rFonts w:ascii="Arial" w:hAnsi="Arial" w:cs="Arial"/>
        </w:rPr>
      </w:pPr>
      <w:r w:rsidRPr="00A94707">
        <w:rPr>
          <w:rFonts w:ascii="Arial" w:hAnsi="Arial" w:cs="Arial"/>
        </w:rPr>
        <w:t>Solvent Accessible Surface Area values gradually decreased from ~550 nm² to ~470 nm², indicating reduced solvent exposure and tighter molecular packing. (Figure 8d).</w:t>
      </w:r>
    </w:p>
    <w:p w14:paraId="10692D83" w14:textId="1E1D0490" w:rsidR="00C82074" w:rsidRDefault="00C82074" w:rsidP="00A94707">
      <w:pPr>
        <w:ind w:left="284"/>
        <w:jc w:val="both"/>
        <w:rPr>
          <w:rFonts w:ascii="Arial" w:hAnsi="Arial" w:cs="Arial"/>
        </w:rPr>
      </w:pPr>
      <w:r w:rsidRPr="00F05812">
        <w:rPr>
          <w:rFonts w:ascii="Arial" w:hAnsi="Arial" w:cs="Arial"/>
        </w:rPr>
        <w:t>These findings demonstrate that the vaccine construct maintains a stable and compact conformation, with sufficient flexibility in accessible regions — favorable for immune recognition and receptor binding.</w:t>
      </w:r>
    </w:p>
    <w:p w14:paraId="753E20F2" w14:textId="3DB25CD9" w:rsidR="00D6707E" w:rsidRPr="00F05812" w:rsidRDefault="00D6707E" w:rsidP="00A94707">
      <w:pPr>
        <w:ind w:left="284"/>
        <w:jc w:val="both"/>
        <w:rPr>
          <w:rFonts w:ascii="Arial" w:hAnsi="Arial" w:cs="Arial"/>
        </w:rPr>
      </w:pPr>
      <w:r w:rsidRPr="00F05812">
        <w:rPr>
          <w:rFonts w:ascii="Arial" w:hAnsi="Arial" w:cs="Arial"/>
          <w:noProof/>
        </w:rPr>
        <w:drawing>
          <wp:inline distT="0" distB="0" distL="0" distR="0" wp14:anchorId="7EA0D6F5" wp14:editId="1D81A88D">
            <wp:extent cx="3369733" cy="1995270"/>
            <wp:effectExtent l="19050" t="19050" r="21590" b="24130"/>
            <wp:docPr id="1911624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4491" r="7404" b="6205"/>
                    <a:stretch>
                      <a:fillRect/>
                    </a:stretch>
                  </pic:blipFill>
                  <pic:spPr bwMode="auto">
                    <a:xfrm>
                      <a:off x="0" y="0"/>
                      <a:ext cx="3384119" cy="2003788"/>
                    </a:xfrm>
                    <a:prstGeom prst="rect">
                      <a:avLst/>
                    </a:prstGeom>
                    <a:noFill/>
                    <a:ln>
                      <a:solidFill>
                        <a:schemeClr val="tx1"/>
                      </a:solidFill>
                      <a:prstDash val="solid"/>
                    </a:ln>
                    <a:extLst>
                      <a:ext uri="{53640926-AAD7-44D8-BBD7-CCE9431645EC}">
                        <a14:shadowObscured xmlns:a14="http://schemas.microsoft.com/office/drawing/2010/main"/>
                      </a:ext>
                    </a:extLst>
                  </pic:spPr>
                </pic:pic>
              </a:graphicData>
            </a:graphic>
          </wp:inline>
        </w:drawing>
      </w:r>
    </w:p>
    <w:p w14:paraId="2B2AAF61" w14:textId="1190A70B" w:rsidR="00C82074" w:rsidRPr="00A94707" w:rsidRDefault="00C82074" w:rsidP="00D6707E">
      <w:pPr>
        <w:ind w:left="284"/>
        <w:rPr>
          <w:rFonts w:ascii="Arial" w:hAnsi="Arial" w:cs="Arial"/>
        </w:rPr>
      </w:pPr>
      <w:r w:rsidRPr="00F05812">
        <w:rPr>
          <w:rFonts w:ascii="Arial" w:hAnsi="Arial" w:cs="Arial"/>
          <w:b/>
          <w:bCs/>
          <w:i/>
          <w:iCs/>
        </w:rPr>
        <w:lastRenderedPageBreak/>
        <w:t>Figure 8a: Root Mean Square Fluctuation (RMSF) of Residue Flexibility in Vaccine Construct</w:t>
      </w:r>
    </w:p>
    <w:p w14:paraId="12B647B0" w14:textId="77777777" w:rsidR="00C82074" w:rsidRPr="00F05812" w:rsidRDefault="00C82074" w:rsidP="00C82074">
      <w:pPr>
        <w:ind w:left="993"/>
        <w:rPr>
          <w:rFonts w:ascii="Arial" w:hAnsi="Arial" w:cs="Arial"/>
          <w:b/>
          <w:bCs/>
          <w:i/>
          <w:iCs/>
        </w:rPr>
      </w:pPr>
    </w:p>
    <w:p w14:paraId="2C524C45" w14:textId="77777777" w:rsidR="00C82074" w:rsidRPr="00F05812" w:rsidRDefault="00C82074" w:rsidP="00D6707E">
      <w:pPr>
        <w:ind w:left="142"/>
        <w:rPr>
          <w:rFonts w:ascii="Arial" w:hAnsi="Arial" w:cs="Arial"/>
        </w:rPr>
      </w:pPr>
      <w:r w:rsidRPr="00F05812">
        <w:rPr>
          <w:rFonts w:ascii="Arial" w:hAnsi="Arial" w:cs="Arial"/>
          <w:noProof/>
        </w:rPr>
        <w:drawing>
          <wp:inline distT="0" distB="0" distL="0" distR="0" wp14:anchorId="23A4326A" wp14:editId="065BAD04">
            <wp:extent cx="3559690" cy="2269067"/>
            <wp:effectExtent l="19050" t="19050" r="22225" b="17145"/>
            <wp:docPr id="8434626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1489" cy="2282963"/>
                    </a:xfrm>
                    <a:prstGeom prst="rect">
                      <a:avLst/>
                    </a:prstGeom>
                    <a:noFill/>
                    <a:ln>
                      <a:solidFill>
                        <a:schemeClr val="tx1"/>
                      </a:solidFill>
                      <a:prstDash val="solid"/>
                    </a:ln>
                  </pic:spPr>
                </pic:pic>
              </a:graphicData>
            </a:graphic>
          </wp:inline>
        </w:drawing>
      </w:r>
    </w:p>
    <w:p w14:paraId="6C44BA19" w14:textId="77777777" w:rsidR="00C82074" w:rsidRPr="00F05812" w:rsidRDefault="00C82074" w:rsidP="00D6707E">
      <w:pPr>
        <w:tabs>
          <w:tab w:val="left" w:pos="851"/>
        </w:tabs>
        <w:ind w:left="851" w:right="-439" w:hanging="567"/>
        <w:rPr>
          <w:rFonts w:ascii="Arial" w:hAnsi="Arial" w:cs="Arial"/>
          <w:b/>
          <w:bCs/>
          <w:i/>
          <w:iCs/>
        </w:rPr>
      </w:pPr>
      <w:r w:rsidRPr="00F05812">
        <w:rPr>
          <w:rFonts w:ascii="Arial" w:hAnsi="Arial" w:cs="Arial"/>
          <w:b/>
          <w:bCs/>
          <w:i/>
          <w:iCs/>
        </w:rPr>
        <w:t>Figure 8b: Backbone RMSD Profile Showing Structural Stability Over 100 ns Simulation</w:t>
      </w:r>
    </w:p>
    <w:p w14:paraId="33EBF7AE" w14:textId="77777777" w:rsidR="00C82074" w:rsidRPr="00F05812" w:rsidRDefault="00C82074" w:rsidP="00C82074">
      <w:pPr>
        <w:ind w:left="993"/>
        <w:rPr>
          <w:rFonts w:ascii="Arial" w:hAnsi="Arial" w:cs="Arial"/>
          <w:b/>
          <w:bCs/>
          <w:i/>
          <w:iCs/>
        </w:rPr>
      </w:pPr>
    </w:p>
    <w:p w14:paraId="39A86D8B" w14:textId="77777777" w:rsidR="00C82074" w:rsidRPr="00F05812" w:rsidRDefault="00C82074" w:rsidP="00D6707E">
      <w:pPr>
        <w:ind w:left="567" w:hanging="425"/>
        <w:rPr>
          <w:rFonts w:ascii="Arial" w:hAnsi="Arial" w:cs="Arial"/>
        </w:rPr>
      </w:pPr>
      <w:r w:rsidRPr="00F05812">
        <w:rPr>
          <w:rFonts w:ascii="Arial" w:hAnsi="Arial" w:cs="Arial"/>
          <w:noProof/>
        </w:rPr>
        <w:drawing>
          <wp:inline distT="0" distB="0" distL="0" distR="0" wp14:anchorId="287C3755" wp14:editId="395DF161">
            <wp:extent cx="3564466" cy="1855889"/>
            <wp:effectExtent l="19050" t="19050" r="17145" b="11430"/>
            <wp:docPr id="960832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r="22115"/>
                    <a:stretch>
                      <a:fillRect/>
                    </a:stretch>
                  </pic:blipFill>
                  <pic:spPr bwMode="auto">
                    <a:xfrm>
                      <a:off x="0" y="0"/>
                      <a:ext cx="3591249" cy="1869834"/>
                    </a:xfrm>
                    <a:prstGeom prst="rect">
                      <a:avLst/>
                    </a:prstGeom>
                    <a:noFill/>
                    <a:ln>
                      <a:solidFill>
                        <a:schemeClr val="tx1"/>
                      </a:solidFill>
                      <a:prstDash val="solid"/>
                    </a:ln>
                    <a:extLst>
                      <a:ext uri="{53640926-AAD7-44D8-BBD7-CCE9431645EC}">
                        <a14:shadowObscured xmlns:a14="http://schemas.microsoft.com/office/drawing/2010/main"/>
                      </a:ext>
                    </a:extLst>
                  </pic:spPr>
                </pic:pic>
              </a:graphicData>
            </a:graphic>
          </wp:inline>
        </w:drawing>
      </w:r>
    </w:p>
    <w:p w14:paraId="6509151F" w14:textId="7EB2F8B8" w:rsidR="00C82074" w:rsidRPr="00F05812" w:rsidRDefault="00C82074" w:rsidP="00D6707E">
      <w:pPr>
        <w:ind w:left="284"/>
        <w:rPr>
          <w:rFonts w:ascii="Arial" w:hAnsi="Arial" w:cs="Arial"/>
          <w:b/>
          <w:bCs/>
          <w:i/>
          <w:iCs/>
          <w:noProof/>
        </w:rPr>
      </w:pPr>
      <w:r w:rsidRPr="00F05812">
        <w:rPr>
          <w:rFonts w:ascii="Arial" w:hAnsi="Arial" w:cs="Arial"/>
          <w:b/>
          <w:bCs/>
          <w:i/>
          <w:iCs/>
        </w:rPr>
        <w:t>Figure 8c: Radius of Gyration Depicting Compactness of Vaccine Construct Over</w:t>
      </w:r>
      <w:r w:rsidR="00D6707E">
        <w:rPr>
          <w:rFonts w:ascii="Arial" w:hAnsi="Arial" w:cs="Arial"/>
          <w:b/>
          <w:bCs/>
          <w:i/>
          <w:iCs/>
          <w:noProof/>
        </w:rPr>
        <w:t xml:space="preserve"> </w:t>
      </w:r>
      <w:r w:rsidRPr="00F05812">
        <w:rPr>
          <w:rFonts w:ascii="Arial" w:hAnsi="Arial" w:cs="Arial"/>
          <w:b/>
          <w:bCs/>
          <w:i/>
          <w:iCs/>
          <w:noProof/>
        </w:rPr>
        <w:t xml:space="preserve">Time </w:t>
      </w:r>
    </w:p>
    <w:p w14:paraId="51201CC2" w14:textId="77777777" w:rsidR="00C82074" w:rsidRPr="00F05812" w:rsidRDefault="00C82074" w:rsidP="00C82074">
      <w:pPr>
        <w:ind w:left="993"/>
        <w:rPr>
          <w:rFonts w:ascii="Arial" w:hAnsi="Arial" w:cs="Arial"/>
          <w:b/>
          <w:bCs/>
          <w:i/>
          <w:iCs/>
        </w:rPr>
      </w:pPr>
    </w:p>
    <w:p w14:paraId="5361506B" w14:textId="07967746" w:rsidR="00B10D01" w:rsidRPr="00F05812" w:rsidRDefault="00B10D01" w:rsidP="00D6707E">
      <w:pPr>
        <w:pStyle w:val="Head1"/>
        <w:numPr>
          <w:ilvl w:val="1"/>
          <w:numId w:val="33"/>
        </w:numPr>
        <w:ind w:left="709" w:hanging="426"/>
        <w:jc w:val="both"/>
        <w:rPr>
          <w:rFonts w:ascii="Arial" w:hAnsi="Arial" w:cs="Arial"/>
          <w:sz w:val="20"/>
          <w:szCs w:val="18"/>
        </w:rPr>
      </w:pPr>
      <w:r w:rsidRPr="00F05812">
        <w:rPr>
          <w:rFonts w:ascii="Arial" w:hAnsi="Arial" w:cs="Arial"/>
          <w:sz w:val="20"/>
          <w:szCs w:val="18"/>
        </w:rPr>
        <w:t>Codon Optimization and In Silico Cloning:</w:t>
      </w:r>
    </w:p>
    <w:p w14:paraId="43FE2390" w14:textId="712DBBD7" w:rsidR="001F6E12" w:rsidRPr="00F05812" w:rsidRDefault="001F6E12" w:rsidP="00D6707E">
      <w:pPr>
        <w:ind w:left="284"/>
        <w:jc w:val="both"/>
        <w:rPr>
          <w:rFonts w:ascii="Arial" w:hAnsi="Arial" w:cs="Arial"/>
        </w:rPr>
      </w:pPr>
      <w:r w:rsidRPr="00F05812">
        <w:rPr>
          <w:rFonts w:ascii="Arial" w:hAnsi="Arial" w:cs="Arial"/>
        </w:rPr>
        <w:t>To enhance expression efficiency in Escherichia coli (strain K12), the codon sequence of the final vaccine construct was optimized using the JCAT server. The optimized sequence achieved a Codon Adaptation Index (CAI) of 1.0 and a GC content of 51.67%, both of which fall within the ideal range for efficient transcription and translation in E. coli. The relative adaptiveness plot confirmed uniform codon usage, indicating successful adaptation (Figure 9a).</w:t>
      </w:r>
    </w:p>
    <w:p w14:paraId="4D94631A" w14:textId="66043425" w:rsidR="001F6E12" w:rsidRPr="00F05812" w:rsidRDefault="001F6E12" w:rsidP="00D6707E">
      <w:pPr>
        <w:ind w:left="284"/>
        <w:jc w:val="both"/>
        <w:rPr>
          <w:rFonts w:ascii="Arial" w:hAnsi="Arial" w:cs="Arial"/>
        </w:rPr>
      </w:pPr>
      <w:r w:rsidRPr="00F05812">
        <w:rPr>
          <w:rFonts w:ascii="Arial" w:hAnsi="Arial" w:cs="Arial"/>
        </w:rPr>
        <w:t>The optimized nucleotide sequence was then cloned in silico into the pET28a (+) expression vector using Snap Gene software (Figure 9b), positioned between NdeI and XhoI restriction sites. This construct is suitable for high-level recombinant expression and purification in bacterial systems.</w:t>
      </w:r>
    </w:p>
    <w:p w14:paraId="171985AA" w14:textId="6803E06E" w:rsidR="001E779F" w:rsidRPr="00F05812" w:rsidRDefault="00975F13" w:rsidP="00975F13">
      <w:pPr>
        <w:spacing w:line="360" w:lineRule="auto"/>
        <w:ind w:left="567" w:hanging="567"/>
        <w:rPr>
          <w:rFonts w:ascii="Arial" w:hAnsi="Arial" w:cs="Arial"/>
        </w:rPr>
      </w:pPr>
      <w:r w:rsidRPr="00F05812">
        <w:rPr>
          <w:rFonts w:ascii="Arial" w:hAnsi="Arial" w:cs="Arial"/>
          <w:noProof/>
        </w:rPr>
        <w:lastRenderedPageBreak/>
        <w:drawing>
          <wp:anchor distT="0" distB="0" distL="114300" distR="114300" simplePos="0" relativeHeight="251662336" behindDoc="0" locked="0" layoutInCell="1" allowOverlap="1" wp14:anchorId="15F0D2A7" wp14:editId="5D4FC2C6">
            <wp:simplePos x="0" y="0"/>
            <wp:positionH relativeFrom="margin">
              <wp:align>left</wp:align>
            </wp:positionH>
            <wp:positionV relativeFrom="paragraph">
              <wp:posOffset>25400</wp:posOffset>
            </wp:positionV>
            <wp:extent cx="4470400" cy="2319020"/>
            <wp:effectExtent l="19050" t="19050" r="25400" b="24130"/>
            <wp:wrapSquare wrapText="bothSides"/>
            <wp:docPr id="16432096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0400" cy="2319020"/>
                    </a:xfrm>
                    <a:prstGeom prst="rect">
                      <a:avLst/>
                    </a:prstGeom>
                    <a:noFill/>
                    <a:ln>
                      <a:solidFill>
                        <a:schemeClr val="tx1"/>
                      </a:solidFill>
                      <a:prstDash val="solid"/>
                    </a:ln>
                  </pic:spPr>
                </pic:pic>
              </a:graphicData>
            </a:graphic>
            <wp14:sizeRelH relativeFrom="page">
              <wp14:pctWidth>0</wp14:pctWidth>
            </wp14:sizeRelH>
            <wp14:sizeRelV relativeFrom="page">
              <wp14:pctHeight>0</wp14:pctHeight>
            </wp14:sizeRelV>
          </wp:anchor>
        </w:drawing>
      </w:r>
      <w:r w:rsidR="001F6E12" w:rsidRPr="00F05812">
        <w:rPr>
          <w:rFonts w:ascii="Arial" w:hAnsi="Arial" w:cs="Arial"/>
          <w:noProof/>
        </w:rPr>
        <w:drawing>
          <wp:inline distT="0" distB="0" distL="0" distR="0" wp14:anchorId="28E947DA" wp14:editId="52038E24">
            <wp:extent cx="4529667" cy="391332"/>
            <wp:effectExtent l="19050" t="19050" r="23495" b="27940"/>
            <wp:docPr id="2126669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9164" cy="407703"/>
                    </a:xfrm>
                    <a:prstGeom prst="rect">
                      <a:avLst/>
                    </a:prstGeom>
                    <a:noFill/>
                    <a:ln>
                      <a:solidFill>
                        <a:schemeClr val="tx1"/>
                      </a:solidFill>
                      <a:prstDash val="solid"/>
                    </a:ln>
                  </pic:spPr>
                </pic:pic>
              </a:graphicData>
            </a:graphic>
          </wp:inline>
        </w:drawing>
      </w:r>
    </w:p>
    <w:p w14:paraId="13A16F4B" w14:textId="1A24F928" w:rsidR="001F6E12" w:rsidRPr="00F05812" w:rsidRDefault="001E779F" w:rsidP="00975F13">
      <w:pPr>
        <w:ind w:left="142" w:hanging="284"/>
        <w:rPr>
          <w:rFonts w:ascii="Arial" w:hAnsi="Arial" w:cs="Arial"/>
          <w:b/>
          <w:bCs/>
          <w:i/>
          <w:iCs/>
        </w:rPr>
      </w:pPr>
      <w:r w:rsidRPr="00F05812">
        <w:rPr>
          <w:rFonts w:ascii="Arial" w:hAnsi="Arial" w:cs="Arial"/>
          <w:b/>
          <w:bCs/>
          <w:i/>
          <w:iCs/>
        </w:rPr>
        <w:t>Figure 9a: Optimization of MEV codons according to E. coli (strain K12) by JCAT sever.</w:t>
      </w:r>
    </w:p>
    <w:p w14:paraId="32827200" w14:textId="77777777" w:rsidR="001E779F" w:rsidRPr="00F05812" w:rsidRDefault="001E779F" w:rsidP="001F6E12">
      <w:pPr>
        <w:ind w:left="851"/>
        <w:rPr>
          <w:rFonts w:ascii="Arial" w:hAnsi="Arial" w:cs="Arial"/>
          <w:b/>
          <w:bCs/>
          <w:i/>
          <w:iCs/>
        </w:rPr>
      </w:pPr>
    </w:p>
    <w:p w14:paraId="271C3118" w14:textId="608F5CC7" w:rsidR="001E779F" w:rsidRPr="00F05812" w:rsidRDefault="001E779F" w:rsidP="00975F13">
      <w:pPr>
        <w:ind w:left="851" w:hanging="851"/>
        <w:rPr>
          <w:rFonts w:ascii="Arial" w:hAnsi="Arial" w:cs="Arial"/>
          <w:b/>
          <w:bCs/>
          <w:i/>
          <w:iCs/>
        </w:rPr>
      </w:pPr>
      <w:r w:rsidRPr="00F05812">
        <w:rPr>
          <w:rFonts w:ascii="Arial" w:hAnsi="Arial" w:cs="Arial"/>
          <w:noProof/>
        </w:rPr>
        <w:drawing>
          <wp:inline distT="0" distB="0" distL="0" distR="0" wp14:anchorId="76E72C49" wp14:editId="2BE7A004">
            <wp:extent cx="4080934" cy="2198818"/>
            <wp:effectExtent l="19050" t="19050" r="15240" b="11430"/>
            <wp:docPr id="126880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0889" name=""/>
                    <pic:cNvPicPr/>
                  </pic:nvPicPr>
                  <pic:blipFill>
                    <a:blip r:embed="rId34"/>
                    <a:stretch>
                      <a:fillRect/>
                    </a:stretch>
                  </pic:blipFill>
                  <pic:spPr>
                    <a:xfrm>
                      <a:off x="0" y="0"/>
                      <a:ext cx="4100275" cy="2209239"/>
                    </a:xfrm>
                    <a:prstGeom prst="rect">
                      <a:avLst/>
                    </a:prstGeom>
                    <a:ln>
                      <a:solidFill>
                        <a:schemeClr val="tx1"/>
                      </a:solidFill>
                      <a:prstDash val="solid"/>
                    </a:ln>
                  </pic:spPr>
                </pic:pic>
              </a:graphicData>
            </a:graphic>
          </wp:inline>
        </w:drawing>
      </w:r>
    </w:p>
    <w:p w14:paraId="03B9C169" w14:textId="7CB6BC60" w:rsidR="001E779F" w:rsidRDefault="001E779F" w:rsidP="00975F13">
      <w:pPr>
        <w:ind w:left="851" w:hanging="709"/>
        <w:rPr>
          <w:rFonts w:ascii="Arial" w:hAnsi="Arial" w:cs="Arial"/>
          <w:b/>
          <w:bCs/>
          <w:i/>
          <w:iCs/>
        </w:rPr>
      </w:pPr>
      <w:r w:rsidRPr="00F05812">
        <w:rPr>
          <w:rFonts w:ascii="Arial" w:hAnsi="Arial" w:cs="Arial"/>
          <w:b/>
          <w:bCs/>
          <w:i/>
          <w:iCs/>
        </w:rPr>
        <w:t xml:space="preserve">   Figure 9b: Vaccine Cloned into the vector (Pet 28a+ and MEV).</w:t>
      </w:r>
    </w:p>
    <w:p w14:paraId="5DFCF2C6" w14:textId="77777777" w:rsidR="00975F13" w:rsidRPr="00F05812" w:rsidRDefault="00975F13" w:rsidP="00975F13">
      <w:pPr>
        <w:ind w:left="851" w:hanging="709"/>
        <w:rPr>
          <w:rFonts w:ascii="Arial" w:hAnsi="Arial" w:cs="Arial"/>
          <w:b/>
          <w:bCs/>
          <w:i/>
          <w:iCs/>
        </w:rPr>
      </w:pPr>
    </w:p>
    <w:p w14:paraId="0A1632DB" w14:textId="5ED5A806" w:rsidR="00902823" w:rsidRPr="00F05812" w:rsidRDefault="00000F8F" w:rsidP="00EE5169">
      <w:pPr>
        <w:pStyle w:val="Head1"/>
        <w:numPr>
          <w:ilvl w:val="0"/>
          <w:numId w:val="33"/>
        </w:numPr>
        <w:spacing w:after="0"/>
        <w:ind w:left="426"/>
        <w:jc w:val="both"/>
        <w:rPr>
          <w:rFonts w:ascii="Arial" w:hAnsi="Arial" w:cs="Arial"/>
        </w:rPr>
      </w:pPr>
      <w:r w:rsidRPr="00F05812">
        <w:rPr>
          <w:rFonts w:ascii="Arial" w:hAnsi="Arial" w:cs="Arial"/>
        </w:rPr>
        <w:t>discussion</w:t>
      </w:r>
    </w:p>
    <w:p w14:paraId="2F608A93" w14:textId="19136D30" w:rsidR="005F592F" w:rsidRPr="00F05812" w:rsidRDefault="005F592F" w:rsidP="005F592F">
      <w:pPr>
        <w:spacing w:after="240" w:line="276" w:lineRule="auto"/>
        <w:jc w:val="both"/>
        <w:rPr>
          <w:rFonts w:ascii="Arial" w:hAnsi="Arial" w:cs="Arial"/>
        </w:rPr>
      </w:pPr>
      <w:r w:rsidRPr="00F05812">
        <w:rPr>
          <w:rFonts w:ascii="Arial" w:hAnsi="Arial" w:cs="Arial"/>
        </w:rPr>
        <w:t>Cryptococcal meningitis is primarily caused by Cryptococcus neoformans. It is a life-threatening opportunistic fungal infection, particularly among immunocompromised populations found worldwide [36, 38, 39</w:t>
      </w:r>
      <w:r w:rsidR="00E05C0E">
        <w:rPr>
          <w:rFonts w:ascii="Arial" w:hAnsi="Arial" w:cs="Arial"/>
        </w:rPr>
        <w:t xml:space="preserve">]. </w:t>
      </w:r>
      <w:r w:rsidRPr="00F05812">
        <w:rPr>
          <w:rFonts w:ascii="Arial" w:hAnsi="Arial" w:cs="Arial"/>
        </w:rPr>
        <w:t xml:space="preserve"> Despite the available antifungal therapies, treatment is frequently complicated due to drug toxicity, pharmacokinetic interactions, prolonged treatment duration, and high mortality rates, proving the need for improved preventive strategies [40, 41, 42</w:t>
      </w:r>
      <w:r w:rsidR="00E05C0E">
        <w:rPr>
          <w:rFonts w:ascii="Arial" w:hAnsi="Arial" w:cs="Arial"/>
        </w:rPr>
        <w:t xml:space="preserve">]. </w:t>
      </w:r>
      <w:r w:rsidRPr="00F05812">
        <w:rPr>
          <w:rFonts w:ascii="Arial" w:hAnsi="Arial" w:cs="Arial"/>
        </w:rPr>
        <w:t xml:space="preserve"> Vaccine development against C. neoformans has therefore been proposed as a promising approach, and recent advances in reverse vaccinology and immunoinformatics provide powerful tools for identifying vaccine antigens [43, 44, 45, 46</w:t>
      </w:r>
      <w:r w:rsidR="00E05C0E">
        <w:rPr>
          <w:rFonts w:ascii="Arial" w:hAnsi="Arial" w:cs="Arial"/>
        </w:rPr>
        <w:t xml:space="preserve">]. </w:t>
      </w:r>
    </w:p>
    <w:p w14:paraId="25B0ED97" w14:textId="0A9B29BA" w:rsidR="005F592F" w:rsidRPr="00F05812" w:rsidRDefault="005F592F" w:rsidP="005F592F">
      <w:pPr>
        <w:spacing w:after="240" w:line="276" w:lineRule="auto"/>
        <w:jc w:val="both"/>
        <w:rPr>
          <w:rFonts w:ascii="Arial" w:hAnsi="Arial" w:cs="Arial"/>
        </w:rPr>
      </w:pPr>
      <w:r w:rsidRPr="00F05812">
        <w:rPr>
          <w:rFonts w:ascii="Arial" w:hAnsi="Arial" w:cs="Arial"/>
        </w:rPr>
        <w:t>In this study, a multi-epitope subunit vaccine candidate was designed using different proteins. Immunodominant proteins of C. neoformans that include mannoprotein MP88 and other cell-wall-associated proteins known to stimulate host immune responses were selected based on literature and their antigenic properties [48, 49, 50</w:t>
      </w:r>
      <w:r w:rsidR="00E05C0E">
        <w:rPr>
          <w:rFonts w:ascii="Arial" w:hAnsi="Arial" w:cs="Arial"/>
        </w:rPr>
        <w:t xml:space="preserve">]. </w:t>
      </w:r>
      <w:r w:rsidRPr="00F05812">
        <w:rPr>
          <w:rFonts w:ascii="Arial" w:hAnsi="Arial" w:cs="Arial"/>
        </w:rPr>
        <w:t xml:space="preserve"> Epitope prediction for B-cells, CTLs, and </w:t>
      </w:r>
      <w:r w:rsidRPr="00F05812">
        <w:rPr>
          <w:rFonts w:ascii="Arial" w:hAnsi="Arial" w:cs="Arial"/>
        </w:rPr>
        <w:lastRenderedPageBreak/>
        <w:t>HTLs was performed using tools such as IEDB, which are widely used in standard epitope-based vaccine design [52, 53, 54</w:t>
      </w:r>
      <w:r w:rsidR="00E05C0E">
        <w:rPr>
          <w:rFonts w:ascii="Arial" w:hAnsi="Arial" w:cs="Arial"/>
        </w:rPr>
        <w:t xml:space="preserve">]. </w:t>
      </w:r>
      <w:r w:rsidRPr="00F05812">
        <w:rPr>
          <w:rFonts w:ascii="Arial" w:hAnsi="Arial" w:cs="Arial"/>
        </w:rPr>
        <w:t xml:space="preserve"> The epitopes were further screened for immunogenicity, allergenicity, toxicity, and cytokine-induction potential to improve vaccine safety and efficacy profiles.</w:t>
      </w:r>
    </w:p>
    <w:p w14:paraId="0F977893" w14:textId="7848A3EC" w:rsidR="005F592F" w:rsidRPr="00F05812" w:rsidRDefault="005F592F" w:rsidP="005F592F">
      <w:pPr>
        <w:spacing w:after="240" w:line="276" w:lineRule="auto"/>
        <w:jc w:val="both"/>
        <w:rPr>
          <w:rFonts w:ascii="Arial" w:hAnsi="Arial" w:cs="Arial"/>
        </w:rPr>
      </w:pPr>
      <w:r w:rsidRPr="00F05812">
        <w:rPr>
          <w:rFonts w:ascii="Arial" w:hAnsi="Arial" w:cs="Arial"/>
        </w:rPr>
        <w:t>A total of 6 CTL, 7 HTL, and 4 B-cell epitopes were shortlisted and finally assembled into a 687-amino-acid construct using suitable linkers (AAY, GPGPG, KK) and an immunostimulatory β-defensin adjuvant. PADRE was included to overcome HLA-DR polymorphism limitations; it is a strategy commonly applied in multi-epitope vaccine design [56, 57</w:t>
      </w:r>
      <w:r w:rsidR="00E05C0E">
        <w:rPr>
          <w:rFonts w:ascii="Arial" w:hAnsi="Arial" w:cs="Arial"/>
        </w:rPr>
        <w:t xml:space="preserve">]. </w:t>
      </w:r>
      <w:r w:rsidRPr="00F05812">
        <w:rPr>
          <w:rFonts w:ascii="Arial" w:hAnsi="Arial" w:cs="Arial"/>
        </w:rPr>
        <w:t xml:space="preserve"> Physicochemical analysis indicated that the construct is stable, soluble, hydrophilic, and suitable for bacterial expression.</w:t>
      </w:r>
    </w:p>
    <w:p w14:paraId="40F95427" w14:textId="15FD460C" w:rsidR="005F592F" w:rsidRPr="00F05812" w:rsidRDefault="005F592F" w:rsidP="005F592F">
      <w:pPr>
        <w:spacing w:after="240" w:line="276" w:lineRule="auto"/>
        <w:jc w:val="both"/>
        <w:rPr>
          <w:rFonts w:ascii="Arial" w:hAnsi="Arial" w:cs="Arial"/>
        </w:rPr>
      </w:pPr>
      <w:r w:rsidRPr="00F05812">
        <w:rPr>
          <w:rFonts w:ascii="Arial" w:hAnsi="Arial" w:cs="Arial"/>
        </w:rPr>
        <w:t xml:space="preserve">Structural modelling was done using AlphaFold [26], refinement with GalaxyRefine [27], and validation was done through PROCHECK [28], ERRAT [29], and ProSA [30] which indicated a good stereochemical quality and </w:t>
      </w:r>
      <w:r w:rsidR="00E448F6" w:rsidRPr="00F05812">
        <w:rPr>
          <w:rFonts w:ascii="Arial" w:hAnsi="Arial" w:cs="Arial"/>
        </w:rPr>
        <w:t>favorable</w:t>
      </w:r>
      <w:r w:rsidRPr="00F05812">
        <w:rPr>
          <w:rFonts w:ascii="Arial" w:hAnsi="Arial" w:cs="Arial"/>
        </w:rPr>
        <w:t xml:space="preserve"> folding characteristics. Molecular docking with TLR4 using HADDOCK [31] suggested strong binding affinity supported by </w:t>
      </w:r>
      <w:r w:rsidR="00E448F6" w:rsidRPr="00F05812">
        <w:rPr>
          <w:rFonts w:ascii="Arial" w:hAnsi="Arial" w:cs="Arial"/>
        </w:rPr>
        <w:t>favorable</w:t>
      </w:r>
      <w:r w:rsidRPr="00F05812">
        <w:rPr>
          <w:rFonts w:ascii="Arial" w:hAnsi="Arial" w:cs="Arial"/>
        </w:rPr>
        <w:t xml:space="preserve"> electrostatic and van der Waals energy scores and substantial buried surface area. MD simulations with GROMACS [33] further demonstrated dynamic stability of the MEV–TLR4 complex, with RMSD, RMSF, radius of gyration, and SASA analyses indicating structural stability and flexibility. Codon optimization using JCAT [34] gave a CAI value of 1.0 and 51.67% GC content, which suggests an efficient expression in E. coli, and in silico cloning into the pET28</w:t>
      </w:r>
      <w:proofErr w:type="gramStart"/>
      <w:r w:rsidRPr="00F05812">
        <w:rPr>
          <w:rFonts w:ascii="Arial" w:hAnsi="Arial" w:cs="Arial"/>
        </w:rPr>
        <w:t>a(</w:t>
      </w:r>
      <w:proofErr w:type="gramEnd"/>
      <w:r w:rsidRPr="00F05812">
        <w:rPr>
          <w:rFonts w:ascii="Arial" w:hAnsi="Arial" w:cs="Arial"/>
        </w:rPr>
        <w:t>+) vector confirmed via SnapGene [35] completed the construct design.</w:t>
      </w:r>
    </w:p>
    <w:p w14:paraId="398AE58B" w14:textId="27C128DC" w:rsidR="00790ADA" w:rsidRPr="00F05812" w:rsidRDefault="005F592F" w:rsidP="005F592F">
      <w:pPr>
        <w:spacing w:after="240" w:line="276" w:lineRule="auto"/>
        <w:jc w:val="both"/>
        <w:rPr>
          <w:rFonts w:ascii="Arial" w:hAnsi="Arial" w:cs="Arial"/>
        </w:rPr>
      </w:pPr>
      <w:r w:rsidRPr="00F05812">
        <w:rPr>
          <w:rFonts w:ascii="Arial" w:hAnsi="Arial" w:cs="Arial"/>
        </w:rPr>
        <w:t xml:space="preserve">Overall, this study demonstrates an immunoinformatics-based pipeline for designing a potentially safe, stable, and immunogenic vaccine construct against cryptococcal </w:t>
      </w:r>
      <w:r w:rsidR="00E448F6" w:rsidRPr="00F05812">
        <w:rPr>
          <w:rFonts w:ascii="Arial" w:hAnsi="Arial" w:cs="Arial"/>
        </w:rPr>
        <w:t>meningitis, targeting</w:t>
      </w:r>
      <w:r w:rsidRPr="00F05812">
        <w:rPr>
          <w:rFonts w:ascii="Arial" w:hAnsi="Arial" w:cs="Arial"/>
        </w:rPr>
        <w:t xml:space="preserve"> fatal proteins from the cryptococcal species supporting the feasibility of computational vaccine discovery strategies for fungal pathogens.</w:t>
      </w:r>
    </w:p>
    <w:p w14:paraId="2094C976" w14:textId="5CD3984A" w:rsidR="00B01FCD" w:rsidRPr="00F05812" w:rsidRDefault="00B01FCD" w:rsidP="005F592F">
      <w:pPr>
        <w:pStyle w:val="ConcHead"/>
        <w:numPr>
          <w:ilvl w:val="0"/>
          <w:numId w:val="33"/>
        </w:numPr>
        <w:spacing w:after="0"/>
        <w:ind w:left="284" w:hanging="284"/>
        <w:jc w:val="both"/>
        <w:rPr>
          <w:rFonts w:ascii="Arial" w:hAnsi="Arial" w:cs="Arial"/>
        </w:rPr>
      </w:pPr>
      <w:r w:rsidRPr="00F05812">
        <w:rPr>
          <w:rFonts w:ascii="Arial" w:hAnsi="Arial" w:cs="Arial"/>
        </w:rPr>
        <w:t>Conclusion</w:t>
      </w:r>
    </w:p>
    <w:p w14:paraId="07016925" w14:textId="77777777" w:rsidR="00790ADA" w:rsidRPr="00F05812" w:rsidRDefault="00790ADA" w:rsidP="00441B6F">
      <w:pPr>
        <w:pStyle w:val="ConcHead"/>
        <w:spacing w:after="0"/>
        <w:jc w:val="both"/>
        <w:rPr>
          <w:rFonts w:ascii="Arial" w:hAnsi="Arial" w:cs="Arial"/>
        </w:rPr>
      </w:pPr>
    </w:p>
    <w:p w14:paraId="33AFBA0F" w14:textId="0DB8C532" w:rsidR="005F592F" w:rsidRPr="00F05812" w:rsidRDefault="005F592F" w:rsidP="005F592F">
      <w:pPr>
        <w:pStyle w:val="Body"/>
        <w:spacing w:after="0"/>
        <w:rPr>
          <w:rFonts w:ascii="Arial" w:hAnsi="Arial" w:cs="Arial"/>
        </w:rPr>
      </w:pPr>
      <w:r w:rsidRPr="00F05812">
        <w:rPr>
          <w:rFonts w:ascii="Arial" w:hAnsi="Arial" w:cs="Arial"/>
        </w:rPr>
        <w:t xml:space="preserve">This project highlights the effective application of immunoinformatics in designing a safe and immunogenic multi-epitope vaccine candidate against Cryptococcus neoformans. The construct integrates epitopes capable of stimulating both cellular and humoral immunity, supported by </w:t>
      </w:r>
      <w:r w:rsidR="00E448F6" w:rsidRPr="00F05812">
        <w:rPr>
          <w:rFonts w:ascii="Arial" w:hAnsi="Arial" w:cs="Arial"/>
        </w:rPr>
        <w:t>favorable</w:t>
      </w:r>
      <w:r w:rsidRPr="00F05812">
        <w:rPr>
          <w:rFonts w:ascii="Arial" w:hAnsi="Arial" w:cs="Arial"/>
        </w:rPr>
        <w:t xml:space="preserve"> docking and simulation results.</w:t>
      </w:r>
    </w:p>
    <w:p w14:paraId="7781970E" w14:textId="77777777" w:rsidR="005F592F" w:rsidRPr="00F05812" w:rsidRDefault="005F592F" w:rsidP="005F592F">
      <w:pPr>
        <w:pStyle w:val="Body"/>
        <w:spacing w:after="0"/>
        <w:rPr>
          <w:rFonts w:ascii="Arial" w:hAnsi="Arial" w:cs="Arial"/>
        </w:rPr>
      </w:pPr>
      <w:r w:rsidRPr="00F05812">
        <w:rPr>
          <w:rFonts w:ascii="Arial" w:hAnsi="Arial" w:cs="Arial"/>
        </w:rPr>
        <w:t>The designed construct not only satisfies all key physicochemical and immunological parameters but also demonstrates robust receptor binding and stability under dynamic conditions. The inclusion of a β-defensin adjuvant, PADRE sequence, and epitope linkers improves immune accessibility and presentation. Structural validations confirm that the model is suitable for downstream experimental and clinical testing.</w:t>
      </w:r>
    </w:p>
    <w:p w14:paraId="087C9659" w14:textId="3A5E215E" w:rsidR="00790ADA" w:rsidRPr="00F05812" w:rsidRDefault="005F592F" w:rsidP="005F592F">
      <w:pPr>
        <w:pStyle w:val="Body"/>
        <w:spacing w:after="0"/>
        <w:rPr>
          <w:rFonts w:ascii="Arial" w:hAnsi="Arial" w:cs="Arial"/>
        </w:rPr>
      </w:pPr>
      <w:r w:rsidRPr="00F05812">
        <w:rPr>
          <w:rFonts w:ascii="Arial" w:hAnsi="Arial" w:cs="Arial"/>
        </w:rPr>
        <w:t xml:space="preserve">Furthermore, codon optimization and in silico cloning show that the construct is well-suited for bacterial expression systems such as E. coli, enhancing its viability for production and </w:t>
      </w:r>
      <w:r w:rsidR="00E448F6" w:rsidRPr="00F05812">
        <w:rPr>
          <w:rFonts w:ascii="Arial" w:hAnsi="Arial" w:cs="Arial"/>
        </w:rPr>
        <w:t>testing. Overall</w:t>
      </w:r>
      <w:r w:rsidRPr="00F05812">
        <w:rPr>
          <w:rFonts w:ascii="Arial" w:hAnsi="Arial" w:cs="Arial"/>
        </w:rPr>
        <w:t>, this study delivers a computationally validated vaccine prototype with the potential to significantly advance the field of antifungal vaccine development. While in silico findings are highly promising, further in vitro and in vivo validation is essential to determine its protective efficacy and safety profile in real-world biological systems.</w:t>
      </w:r>
    </w:p>
    <w:p w14:paraId="186C0BF1" w14:textId="77777777" w:rsidR="005F592F" w:rsidRPr="00F05812" w:rsidRDefault="005F592F" w:rsidP="005F592F">
      <w:pPr>
        <w:pStyle w:val="Body"/>
        <w:spacing w:after="0"/>
        <w:rPr>
          <w:rFonts w:ascii="Arial" w:hAnsi="Arial" w:cs="Arial"/>
        </w:rPr>
      </w:pPr>
    </w:p>
    <w:p w14:paraId="568D360E" w14:textId="77777777" w:rsidR="00315186" w:rsidRPr="00F05812" w:rsidRDefault="00315186" w:rsidP="00441B6F">
      <w:pPr>
        <w:rPr>
          <w:rFonts w:ascii="Arial" w:hAnsi="Arial" w:cs="Arial"/>
        </w:rPr>
      </w:pPr>
      <w:bookmarkStart w:id="0" w:name="_GoBack"/>
      <w:bookmarkEnd w:id="0"/>
    </w:p>
    <w:p w14:paraId="4BA12DCC" w14:textId="77777777" w:rsidR="00D64393" w:rsidRPr="002B1C5A" w:rsidRDefault="00D64393" w:rsidP="00D64393">
      <w:pPr>
        <w:pStyle w:val="ReferHead"/>
        <w:spacing w:after="0"/>
        <w:jc w:val="both"/>
        <w:rPr>
          <w:rFonts w:ascii="Arial" w:hAnsi="Arial" w:cs="Arial"/>
          <w:b w:val="0"/>
          <w:caps w:val="0"/>
          <w:szCs w:val="22"/>
        </w:rPr>
      </w:pPr>
    </w:p>
    <w:p w14:paraId="0166CD6B" w14:textId="77777777" w:rsidR="00D64393" w:rsidRDefault="00D64393" w:rsidP="00D64393">
      <w:pPr>
        <w:spacing w:after="240" w:line="360" w:lineRule="auto"/>
        <w:jc w:val="both"/>
        <w:rPr>
          <w:rFonts w:ascii="Arial" w:hAnsi="Arial" w:cs="Arial"/>
          <w:b/>
          <w:bCs/>
          <w:sz w:val="22"/>
          <w:szCs w:val="22"/>
        </w:rPr>
      </w:pPr>
      <w:r w:rsidRPr="002B1C5A">
        <w:rPr>
          <w:rFonts w:ascii="Arial" w:hAnsi="Arial" w:cs="Arial"/>
          <w:b/>
          <w:bCs/>
          <w:sz w:val="22"/>
          <w:szCs w:val="22"/>
        </w:rPr>
        <w:t>DATA AVAILABILITY STATEMENT</w:t>
      </w:r>
    </w:p>
    <w:p w14:paraId="182FA249" w14:textId="4C9B543E" w:rsidR="00DA39F2" w:rsidRDefault="00DA39F2" w:rsidP="00DA39F2">
      <w:pPr>
        <w:spacing w:after="240" w:line="276" w:lineRule="auto"/>
        <w:jc w:val="both"/>
        <w:rPr>
          <w:rFonts w:ascii="Arial" w:hAnsi="Arial" w:cs="Arial"/>
          <w:b/>
          <w:bCs/>
          <w:sz w:val="22"/>
          <w:szCs w:val="22"/>
        </w:rPr>
      </w:pPr>
      <w:r w:rsidRPr="0049222B">
        <w:rPr>
          <w:rFonts w:ascii="Arial" w:hAnsi="Arial" w:cs="Arial"/>
        </w:rPr>
        <w:lastRenderedPageBreak/>
        <w:t>The datasets used and analyzed during the current study are available from the corresponding author on reasonable request.</w:t>
      </w:r>
    </w:p>
    <w:p w14:paraId="144A2471" w14:textId="77777777" w:rsidR="00B01FCD" w:rsidRPr="00F05812" w:rsidRDefault="00B01FCD" w:rsidP="00606D6D">
      <w:pPr>
        <w:pStyle w:val="ReferHead"/>
        <w:numPr>
          <w:ilvl w:val="0"/>
          <w:numId w:val="33"/>
        </w:numPr>
        <w:spacing w:after="0"/>
        <w:jc w:val="both"/>
        <w:rPr>
          <w:rFonts w:ascii="Arial" w:hAnsi="Arial" w:cs="Arial"/>
        </w:rPr>
      </w:pPr>
      <w:r w:rsidRPr="00F05812">
        <w:rPr>
          <w:rFonts w:ascii="Arial" w:hAnsi="Arial" w:cs="Arial"/>
        </w:rPr>
        <w:t>References</w:t>
      </w:r>
    </w:p>
    <w:p w14:paraId="7B64CEF3" w14:textId="77777777" w:rsidR="00790ADA" w:rsidRPr="00F05812" w:rsidRDefault="00790ADA" w:rsidP="00441B6F">
      <w:pPr>
        <w:pStyle w:val="ReferHead"/>
        <w:spacing w:after="0"/>
        <w:jc w:val="both"/>
        <w:rPr>
          <w:rFonts w:ascii="Arial" w:hAnsi="Arial" w:cs="Arial"/>
        </w:rPr>
      </w:pPr>
    </w:p>
    <w:p w14:paraId="4BB282DD" w14:textId="57AA9009"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1</w:t>
      </w:r>
      <w:r w:rsidR="00E05C0E">
        <w:rPr>
          <w:rFonts w:ascii="Arial" w:hAnsi="Arial" w:cs="Arial"/>
        </w:rPr>
        <w:t xml:space="preserve">]. </w:t>
      </w:r>
      <w:r w:rsidR="00FC15EF" w:rsidRPr="00F05812">
        <w:rPr>
          <w:rFonts w:ascii="Arial" w:hAnsi="Arial" w:cs="Arial"/>
        </w:rPr>
        <w:t xml:space="preserve"> Rodrigues</w:t>
      </w:r>
      <w:r w:rsidR="00C41ED8" w:rsidRPr="00F05812">
        <w:rPr>
          <w:rFonts w:ascii="Arial" w:hAnsi="Arial" w:cs="Arial"/>
        </w:rPr>
        <w:t>, M. L., Alviano, C. S., &amp; Travassos, L. R.—1999—Pathogenicity of: virulence factors and immunological mechanisms—https://doi.org/10.1016/s1286-4579(99)80025-2</w:t>
      </w:r>
    </w:p>
    <w:p w14:paraId="1A5329BC" w14:textId="0D084EAB"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2</w:t>
      </w:r>
      <w:r w:rsidR="00E05C0E">
        <w:rPr>
          <w:rFonts w:ascii="Arial" w:hAnsi="Arial" w:cs="Arial"/>
        </w:rPr>
        <w:t xml:space="preserve">]. </w:t>
      </w:r>
      <w:r w:rsidR="00FC15EF" w:rsidRPr="00F05812">
        <w:rPr>
          <w:rFonts w:ascii="Arial" w:hAnsi="Arial" w:cs="Arial"/>
        </w:rPr>
        <w:t xml:space="preserve"> Rathore</w:t>
      </w:r>
      <w:r w:rsidR="00C41ED8" w:rsidRPr="00F05812">
        <w:rPr>
          <w:rFonts w:ascii="Arial" w:hAnsi="Arial" w:cs="Arial"/>
        </w:rPr>
        <w:t>, S. S., Sathiyamoorthy, J., Lalitha, C., &amp; Ramakrishnan, J.—2022—A holistic review on Cryptococcus neoformans 2https://doi.org/10.1016/j.micpath.2022.105521</w:t>
      </w:r>
    </w:p>
    <w:p w14:paraId="0374D5C9" w14:textId="3715A8E9"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3</w:t>
      </w:r>
      <w:r w:rsidR="00E05C0E">
        <w:rPr>
          <w:rFonts w:ascii="Arial" w:hAnsi="Arial" w:cs="Arial"/>
        </w:rPr>
        <w:t xml:space="preserve">]. </w:t>
      </w:r>
      <w:r w:rsidR="00C41ED8" w:rsidRPr="00F05812">
        <w:rPr>
          <w:rFonts w:ascii="Arial" w:hAnsi="Arial" w:cs="Arial"/>
        </w:rPr>
        <w:t>Sen, M., Chatterji, T., Singh, V., Yadav, P., Das, A., &amp; Mittal, V.—2017—Cryptococcal meningitis in HIV (AIDS) patients: A Mini Review https://doi.org/10.21276/aabs.2017.1344</w:t>
      </w:r>
    </w:p>
    <w:p w14:paraId="343A343F" w14:textId="26C5CC4A"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4</w:t>
      </w:r>
      <w:r w:rsidR="00E05C0E">
        <w:rPr>
          <w:rFonts w:ascii="Arial" w:hAnsi="Arial" w:cs="Arial"/>
        </w:rPr>
        <w:t xml:space="preserve">]. </w:t>
      </w:r>
      <w:r w:rsidR="00C41ED8" w:rsidRPr="00F05812">
        <w:rPr>
          <w:rFonts w:ascii="Arial" w:hAnsi="Arial" w:cs="Arial"/>
        </w:rPr>
        <w:t>Sen, M., Yadav, P., Das, A., &amp; Chaterji, T.—2019—Cryptococcal meningitis in India https://doi.org/10.4103/mgmj.mgmj_14_20</w:t>
      </w:r>
    </w:p>
    <w:p w14:paraId="5A33971B" w14:textId="2D07EB05"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5</w:t>
      </w:r>
      <w:r w:rsidR="00E05C0E">
        <w:rPr>
          <w:rFonts w:ascii="Arial" w:hAnsi="Arial" w:cs="Arial"/>
        </w:rPr>
        <w:t xml:space="preserve">]. </w:t>
      </w:r>
      <w:r w:rsidR="00C41ED8" w:rsidRPr="00F05812">
        <w:rPr>
          <w:rFonts w:ascii="Arial" w:hAnsi="Arial" w:cs="Arial"/>
        </w:rPr>
        <w:t>Abassi, M., Boulware, D. R., &amp; Rhein, J.—2015—Cryptococcal Meningitis: Diagnosis and Management Update—https://doi.org/10.1007/s40475-015-0046-y</w:t>
      </w:r>
    </w:p>
    <w:p w14:paraId="0838DC13" w14:textId="7935FCB9"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6</w:t>
      </w:r>
      <w:r w:rsidR="00E05C0E">
        <w:rPr>
          <w:rFonts w:ascii="Arial" w:hAnsi="Arial" w:cs="Arial"/>
        </w:rPr>
        <w:t xml:space="preserve">]. </w:t>
      </w:r>
      <w:r w:rsidR="00C41ED8" w:rsidRPr="00F05812">
        <w:rPr>
          <w:rFonts w:ascii="Arial" w:hAnsi="Arial" w:cs="Arial"/>
        </w:rPr>
        <w:t xml:space="preserve">Sugar, A. M., Stem, J. J., &amp; Dupont, B.—1990—Overview: Treatment of Cryptococcal Meningitis—https://doi.org/10.1093/clinids/12.supplement_3.s338 </w:t>
      </w:r>
    </w:p>
    <w:p w14:paraId="085F82A6" w14:textId="0C543B59"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7</w:t>
      </w:r>
      <w:r w:rsidR="00E05C0E">
        <w:rPr>
          <w:rFonts w:ascii="Arial" w:hAnsi="Arial" w:cs="Arial"/>
        </w:rPr>
        <w:t xml:space="preserve">]. </w:t>
      </w:r>
      <w:r w:rsidR="00C41ED8" w:rsidRPr="00F05812">
        <w:rPr>
          <w:rFonts w:ascii="Arial" w:hAnsi="Arial" w:cs="Arial"/>
        </w:rPr>
        <w:t>Badali, H., Alian, S., Fakhim, H., Falahatinejad, M., Moradi, A., Mohammad Davoudi, M., Hagen, F., &amp; Meis, J. F.—2015—Cryptococcal meningitis due to Cryptococcus neoformans genotype AFLP1/VNI in Iran: a review of the literature—https://doi.org/10.1111/myc.1241</w:t>
      </w:r>
    </w:p>
    <w:p w14:paraId="5323C131" w14:textId="32861BEF"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8</w:t>
      </w:r>
      <w:r w:rsidR="00E05C0E">
        <w:rPr>
          <w:rFonts w:ascii="Arial" w:hAnsi="Arial" w:cs="Arial"/>
        </w:rPr>
        <w:t xml:space="preserve">]. </w:t>
      </w:r>
      <w:r w:rsidR="00C41ED8" w:rsidRPr="00F05812">
        <w:rPr>
          <w:rFonts w:ascii="Arial" w:hAnsi="Arial" w:cs="Arial"/>
        </w:rPr>
        <w:t xml:space="preserve">Jhamb, R., Kashyap, B., Das, S., Berry, N., &amp; Garg, A.—2013—Symptomatic relapse of HIV-associated cryptococcal meningitis: recurrent cryptococcal meningitis or Cryptococcus-related immune reconstitution inflammatory </w:t>
      </w:r>
      <w:r w:rsidRPr="00F05812">
        <w:rPr>
          <w:rFonts w:ascii="Arial" w:hAnsi="Arial" w:cs="Arial"/>
        </w:rPr>
        <w:t>syndrome? —</w:t>
      </w:r>
      <w:r w:rsidR="00C41ED8" w:rsidRPr="00F05812">
        <w:rPr>
          <w:rFonts w:ascii="Arial" w:hAnsi="Arial" w:cs="Arial"/>
        </w:rPr>
        <w:t>https://journals.sagepub.com/doi/10.1177/0956462413506889</w:t>
      </w:r>
    </w:p>
    <w:p w14:paraId="1DB7590F" w14:textId="065BAB2B"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9</w:t>
      </w:r>
      <w:r w:rsidR="00E05C0E">
        <w:rPr>
          <w:rFonts w:ascii="Arial" w:hAnsi="Arial" w:cs="Arial"/>
        </w:rPr>
        <w:t xml:space="preserve">]. </w:t>
      </w:r>
      <w:r w:rsidR="00C41ED8" w:rsidRPr="00F05812">
        <w:rPr>
          <w:rFonts w:ascii="Arial" w:hAnsi="Arial" w:cs="Arial"/>
        </w:rPr>
        <w:t>Kumar Pandey, R., Ojha, R., Mishra, A., &amp; Kumar Prajapati, V.—2018—Designing B- and T-cell multi-epitope-based subunit vaccine using immunoinformatics approach to control Zika virus infection—https://doi.org/10.1002/jcb.27110</w:t>
      </w:r>
    </w:p>
    <w:p w14:paraId="1DE04947" w14:textId="082E6B18"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10</w:t>
      </w:r>
      <w:r w:rsidR="00E05C0E">
        <w:rPr>
          <w:rFonts w:ascii="Arial" w:hAnsi="Arial" w:cs="Arial"/>
        </w:rPr>
        <w:t xml:space="preserve">]. </w:t>
      </w:r>
      <w:r w:rsidR="00C41ED8" w:rsidRPr="00F05812">
        <w:rPr>
          <w:rFonts w:ascii="Arial" w:hAnsi="Arial" w:cs="Arial"/>
        </w:rPr>
        <w:t>Yurina, V., &amp; Adianingsih, O. R.—2022—Predicting epitopes for vaccine development using bioinformaticstools—https://doi.org/10.1177/25151355221100218</w:t>
      </w:r>
    </w:p>
    <w:p w14:paraId="4067DE71" w14:textId="632BBE27"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11</w:t>
      </w:r>
      <w:r w:rsidR="00E05C0E">
        <w:rPr>
          <w:rFonts w:ascii="Arial" w:hAnsi="Arial" w:cs="Arial"/>
        </w:rPr>
        <w:t xml:space="preserve">]. </w:t>
      </w:r>
      <w:r w:rsidR="00C41ED8" w:rsidRPr="00F05812">
        <w:rPr>
          <w:rFonts w:ascii="Arial" w:hAnsi="Arial" w:cs="Arial"/>
        </w:rPr>
        <w:t>Zhu, F., Qin, R., Ma, S., Zhou, Z., Tan, C., Tree, H., Zhang, P., Xu, Y., Luo, Y., Chen, J., &amp; Pan, P.—2025—Designing a multi-epitope vaccine against Pseudomonas aeruginosa via integrating reverse vaccinology with immunoinformatics approaches—https://doi.org/10.1038/s41598-025-90226-6</w:t>
      </w:r>
    </w:p>
    <w:p w14:paraId="6BCD70FC" w14:textId="22A56D9B"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12</w:t>
      </w:r>
      <w:r w:rsidR="00E05C0E">
        <w:rPr>
          <w:rFonts w:ascii="Arial" w:hAnsi="Arial" w:cs="Arial"/>
        </w:rPr>
        <w:t xml:space="preserve">]. </w:t>
      </w:r>
      <w:r w:rsidR="00C41ED8" w:rsidRPr="00F05812">
        <w:rPr>
          <w:rFonts w:ascii="Arial" w:hAnsi="Arial" w:cs="Arial"/>
        </w:rPr>
        <w:t>Mugunthan, S. P., &amp; Mani Chandra, H.—2021—A Computational Reverse Vaccinology Approach for the Design and Development of Multi-Epitopic Vaccine Against Avian Pathogen Mycoplasma gallisepticum—https://doi.org/10.3389/fvets.2021.721061</w:t>
      </w:r>
    </w:p>
    <w:p w14:paraId="43746EE1" w14:textId="78AFB16D"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13</w:t>
      </w:r>
      <w:r w:rsidR="00E05C0E">
        <w:rPr>
          <w:rFonts w:ascii="Arial" w:hAnsi="Arial" w:cs="Arial"/>
        </w:rPr>
        <w:t xml:space="preserve">]. </w:t>
      </w:r>
      <w:r w:rsidR="00C41ED8" w:rsidRPr="00F05812">
        <w:rPr>
          <w:rFonts w:ascii="Arial" w:hAnsi="Arial" w:cs="Arial"/>
        </w:rPr>
        <w:t>The UniProt Consortium – 2023 – UniProt: the Universal Protein Knowledgebase in 2023 – https://academic.oup.com/nar/article/51/D1/D523/6835119</w:t>
      </w:r>
    </w:p>
    <w:p w14:paraId="64CE86FA" w14:textId="528F8C91"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14</w:t>
      </w:r>
      <w:r w:rsidR="00E05C0E">
        <w:rPr>
          <w:rFonts w:ascii="Arial" w:hAnsi="Arial" w:cs="Arial"/>
        </w:rPr>
        <w:t xml:space="preserve">]. </w:t>
      </w:r>
      <w:r w:rsidR="00C41ED8" w:rsidRPr="00F05812">
        <w:rPr>
          <w:rFonts w:ascii="Arial" w:hAnsi="Arial" w:cs="Arial"/>
        </w:rPr>
        <w:t>Metzner, C., et al. – 2016 – Biomedical applications of glycosylphosphatidylinositol-anchored proteins – https://www.jlr.org/article/S0022-2275(20)32371-3/fulltext</w:t>
      </w:r>
    </w:p>
    <w:p w14:paraId="621D0B78" w14:textId="5DAA3C3B" w:rsidR="00C41ED8" w:rsidRPr="00F05812" w:rsidRDefault="00EA2840" w:rsidP="00EA2840">
      <w:pPr>
        <w:pStyle w:val="Body"/>
        <w:jc w:val="left"/>
        <w:rPr>
          <w:rFonts w:ascii="Arial" w:hAnsi="Arial" w:cs="Arial"/>
        </w:rPr>
      </w:pPr>
      <w:r>
        <w:rPr>
          <w:rFonts w:ascii="Arial" w:hAnsi="Arial" w:cs="Arial"/>
        </w:rPr>
        <w:lastRenderedPageBreak/>
        <w:t>[</w:t>
      </w:r>
      <w:r w:rsidR="00C41ED8" w:rsidRPr="00F05812">
        <w:rPr>
          <w:rFonts w:ascii="Arial" w:hAnsi="Arial" w:cs="Arial"/>
        </w:rPr>
        <w:t>15</w:t>
      </w:r>
      <w:r w:rsidR="00E05C0E">
        <w:rPr>
          <w:rFonts w:ascii="Arial" w:hAnsi="Arial" w:cs="Arial"/>
        </w:rPr>
        <w:t xml:space="preserve">]. </w:t>
      </w:r>
      <w:r w:rsidR="00C41ED8" w:rsidRPr="00F05812">
        <w:rPr>
          <w:rFonts w:ascii="Arial" w:hAnsi="Arial" w:cs="Arial"/>
        </w:rPr>
        <w:t>Biondo, C., et al. – 2002 – Identification and cloning of a cryptococcal deacetylase that produces protective immune responses – https://journals.asm.org/doi/10.1128/iai.70.5.2383-2391.2002</w:t>
      </w:r>
    </w:p>
    <w:p w14:paraId="0F4DF4F4" w14:textId="28D4855A"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16</w:t>
      </w:r>
      <w:r w:rsidR="00E05C0E">
        <w:rPr>
          <w:rFonts w:ascii="Arial" w:hAnsi="Arial" w:cs="Arial"/>
        </w:rPr>
        <w:t xml:space="preserve">]. </w:t>
      </w:r>
      <w:r w:rsidR="00C41ED8" w:rsidRPr="00F05812">
        <w:rPr>
          <w:rFonts w:ascii="Arial" w:hAnsi="Arial" w:cs="Arial"/>
        </w:rPr>
        <w:t>Borges, T. J., et al. – 2012 – The anti-inflammatory mechanisms of Hsp70 –    https://www.frontiersin.org/journals/immunology/articles/10.3389/fimmu.2012.00095/full</w:t>
      </w:r>
    </w:p>
    <w:p w14:paraId="3CBAFFDF" w14:textId="0922CB5F"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17</w:t>
      </w:r>
      <w:r w:rsidR="00E05C0E">
        <w:rPr>
          <w:rFonts w:ascii="Arial" w:hAnsi="Arial" w:cs="Arial"/>
        </w:rPr>
        <w:t xml:space="preserve">]. </w:t>
      </w:r>
      <w:r w:rsidR="00C41ED8" w:rsidRPr="00F05812">
        <w:rPr>
          <w:rFonts w:ascii="Arial" w:hAnsi="Arial" w:cs="Arial"/>
        </w:rPr>
        <w:t>Huang, C., et al. – 2002 – Purification and characterization of a second immunoreactive mannoprotein from Cryptococcus neoformans that stimulates T-Cell responses – https://journals.asm.org/doi/10.1128/iai.70.10.5485-5493.2002</w:t>
      </w:r>
    </w:p>
    <w:p w14:paraId="6CF6CF92" w14:textId="46831C1D"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18</w:t>
      </w:r>
      <w:r w:rsidR="00E05C0E">
        <w:rPr>
          <w:rFonts w:ascii="Arial" w:hAnsi="Arial" w:cs="Arial"/>
        </w:rPr>
        <w:t xml:space="preserve">]. </w:t>
      </w:r>
      <w:r w:rsidR="00C41ED8" w:rsidRPr="00F05812">
        <w:rPr>
          <w:rFonts w:ascii="Arial" w:hAnsi="Arial" w:cs="Arial"/>
        </w:rPr>
        <w:t>Vita, R., et al. – 2019 – The Immune Epitope Database (IEDB): 2018 update – https://academic.oup.com/nar/article/47/D1/D339/5144151</w:t>
      </w:r>
    </w:p>
    <w:p w14:paraId="538611C5" w14:textId="0B495034"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19</w:t>
      </w:r>
      <w:r w:rsidR="00E05C0E">
        <w:rPr>
          <w:rFonts w:ascii="Arial" w:hAnsi="Arial" w:cs="Arial"/>
        </w:rPr>
        <w:t xml:space="preserve">]. </w:t>
      </w:r>
      <w:r w:rsidR="00C41ED8" w:rsidRPr="00F05812">
        <w:rPr>
          <w:rFonts w:ascii="Arial" w:hAnsi="Arial" w:cs="Arial"/>
        </w:rPr>
        <w:t>Reynisson, B., et al. – 2020 – NetMHCpan-4.1 and NetMHCIIpan-4.0: improved predictions of MHC antigen presentation by deep learning – https://pubmed.ncbi.nlm.nih.gov/32406916/</w:t>
      </w:r>
    </w:p>
    <w:p w14:paraId="5964849D" w14:textId="2B2523B3"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20</w:t>
      </w:r>
      <w:r w:rsidR="00E05C0E">
        <w:rPr>
          <w:rFonts w:ascii="Arial" w:hAnsi="Arial" w:cs="Arial"/>
        </w:rPr>
        <w:t xml:space="preserve">]. </w:t>
      </w:r>
      <w:r w:rsidR="00C41ED8" w:rsidRPr="00F05812">
        <w:rPr>
          <w:rFonts w:ascii="Arial" w:hAnsi="Arial" w:cs="Arial"/>
        </w:rPr>
        <w:t>Doytchinova, I. A., et al. – 2007 – VaxiJen: a server for prediction of protective antigens, tumour antigens and subunit vaccines – https://bmcbioinformatics.biomedcentral.com/articles/10.1186/1471-2105-8-4</w:t>
      </w:r>
    </w:p>
    <w:p w14:paraId="004050E8" w14:textId="4008BC65"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21</w:t>
      </w:r>
      <w:r w:rsidR="00E05C0E">
        <w:rPr>
          <w:rFonts w:ascii="Arial" w:hAnsi="Arial" w:cs="Arial"/>
        </w:rPr>
        <w:t xml:space="preserve">]. </w:t>
      </w:r>
      <w:r w:rsidR="00C41ED8" w:rsidRPr="00F05812">
        <w:rPr>
          <w:rFonts w:ascii="Arial" w:hAnsi="Arial" w:cs="Arial"/>
        </w:rPr>
        <w:t>Dimitrov, I., et al. – 2014 – AllerTOP v.2 — a server for in silico prediction of allergens – https://pubmed.ncbi.nlm.nih.gov/24878803/</w:t>
      </w:r>
    </w:p>
    <w:p w14:paraId="3E6C8DE7" w14:textId="19DF9522"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22</w:t>
      </w:r>
      <w:r w:rsidR="00E05C0E">
        <w:rPr>
          <w:rFonts w:ascii="Arial" w:hAnsi="Arial" w:cs="Arial"/>
        </w:rPr>
        <w:t xml:space="preserve">]. </w:t>
      </w:r>
      <w:r w:rsidR="00C41ED8" w:rsidRPr="00F05812">
        <w:rPr>
          <w:rFonts w:ascii="Arial" w:hAnsi="Arial" w:cs="Arial"/>
        </w:rPr>
        <w:t>Gupta, S., et al. – 2013 – In Silico Approach for Predicting Toxicity of Peptides and Proteins – https://journals.plos.org/plosone/article?id=10.1371/journal.pone.0073957</w:t>
      </w:r>
    </w:p>
    <w:p w14:paraId="658CA48B" w14:textId="21974F96"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23</w:t>
      </w:r>
      <w:r w:rsidR="00E05C0E">
        <w:rPr>
          <w:rFonts w:ascii="Arial" w:hAnsi="Arial" w:cs="Arial"/>
        </w:rPr>
        <w:t xml:space="preserve">]. </w:t>
      </w:r>
      <w:r w:rsidR="00C41ED8" w:rsidRPr="00F05812">
        <w:rPr>
          <w:rFonts w:ascii="Arial" w:hAnsi="Arial" w:cs="Arial"/>
        </w:rPr>
        <w:t>Dhanda, S. K., et al. – 2013 – Designing of interferon-gamma inducing MHC class-II binders – https://pmc.ncbi.nlm.nih.gov/articles/PMC4235049/</w:t>
      </w:r>
    </w:p>
    <w:p w14:paraId="5F91579D" w14:textId="3823009C"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24</w:t>
      </w:r>
      <w:r w:rsidR="00E05C0E">
        <w:rPr>
          <w:rFonts w:ascii="Arial" w:hAnsi="Arial" w:cs="Arial"/>
        </w:rPr>
        <w:t xml:space="preserve">]. </w:t>
      </w:r>
      <w:r w:rsidR="00C41ED8" w:rsidRPr="00F05812">
        <w:rPr>
          <w:rFonts w:ascii="Arial" w:hAnsi="Arial" w:cs="Arial"/>
        </w:rPr>
        <w:t>Bui, H. H., et al. – 2006 – Predicting population coverage of T-cell epitope-based diagnostics and vaccines – https://pmc.ncbi.nlm.nih.gov/articles/PMC1513259/</w:t>
      </w:r>
    </w:p>
    <w:p w14:paraId="65DB0A2F" w14:textId="3F192B06"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25</w:t>
      </w:r>
      <w:r w:rsidR="00E05C0E">
        <w:rPr>
          <w:rFonts w:ascii="Arial" w:hAnsi="Arial" w:cs="Arial"/>
        </w:rPr>
        <w:t xml:space="preserve">]. </w:t>
      </w:r>
      <w:r w:rsidR="00C41ED8" w:rsidRPr="00F05812">
        <w:rPr>
          <w:rFonts w:ascii="Arial" w:hAnsi="Arial" w:cs="Arial"/>
        </w:rPr>
        <w:t>Gasteiger, E., et al. – 2005 – Protein Identification and Analysis Tools on the ExPASy Server – https://link.springer.com/protocol/10.1385/1-59259-890-0:571</w:t>
      </w:r>
    </w:p>
    <w:p w14:paraId="1F229959" w14:textId="30193CF4"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26</w:t>
      </w:r>
      <w:r w:rsidR="00E05C0E">
        <w:rPr>
          <w:rFonts w:ascii="Arial" w:hAnsi="Arial" w:cs="Arial"/>
        </w:rPr>
        <w:t xml:space="preserve">]. </w:t>
      </w:r>
      <w:r w:rsidR="00C41ED8" w:rsidRPr="00F05812">
        <w:rPr>
          <w:rFonts w:ascii="Arial" w:hAnsi="Arial" w:cs="Arial"/>
        </w:rPr>
        <w:t>Jumper, J., et al. – 2021 – Highly accurate protein structure prediction with AlphaFold – https://www.nature.com/articles/s41586-021-03819-2</w:t>
      </w:r>
    </w:p>
    <w:p w14:paraId="0D61B0DE" w14:textId="77AF0399"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27</w:t>
      </w:r>
      <w:r w:rsidR="00E05C0E">
        <w:rPr>
          <w:rFonts w:ascii="Arial" w:hAnsi="Arial" w:cs="Arial"/>
        </w:rPr>
        <w:t xml:space="preserve">]. </w:t>
      </w:r>
      <w:r w:rsidR="00C41ED8" w:rsidRPr="00F05812">
        <w:rPr>
          <w:rFonts w:ascii="Arial" w:hAnsi="Arial" w:cs="Arial"/>
        </w:rPr>
        <w:t>Heo, L., et al. – 2013 – GalaxyRefine: Protein structure refinement driven by side-chain repacking – https://academic.oup.com/nar/article/41/W1/W384/1108398</w:t>
      </w:r>
    </w:p>
    <w:p w14:paraId="77CAFDB3" w14:textId="369929AE" w:rsidR="00C41ED8" w:rsidRPr="00F05812" w:rsidRDefault="00EA2840" w:rsidP="00EA2840">
      <w:pPr>
        <w:pStyle w:val="Body"/>
        <w:jc w:val="left"/>
        <w:rPr>
          <w:rFonts w:ascii="Arial" w:hAnsi="Arial" w:cs="Arial"/>
        </w:rPr>
      </w:pPr>
      <w:r>
        <w:rPr>
          <w:rFonts w:ascii="Arial" w:hAnsi="Arial" w:cs="Arial"/>
        </w:rPr>
        <w:t>[</w:t>
      </w:r>
      <w:r w:rsidR="00C41ED8" w:rsidRPr="00F05812">
        <w:rPr>
          <w:rFonts w:ascii="Arial" w:hAnsi="Arial" w:cs="Arial"/>
        </w:rPr>
        <w:t>28</w:t>
      </w:r>
      <w:r w:rsidR="00E05C0E">
        <w:rPr>
          <w:rFonts w:ascii="Arial" w:hAnsi="Arial" w:cs="Arial"/>
        </w:rPr>
        <w:t xml:space="preserve">]. </w:t>
      </w:r>
      <w:r w:rsidR="00C41ED8" w:rsidRPr="00F05812">
        <w:rPr>
          <w:rFonts w:ascii="Arial" w:hAnsi="Arial" w:cs="Arial"/>
        </w:rPr>
        <w:t>Laskowski, R. A., et al. – 1993 – PROCHECK: a program to check the stereochemical quality of protein structures – http://onlinelibrary.wiley.com/doi/abs/10.1107/s0021889892009944</w:t>
      </w:r>
    </w:p>
    <w:p w14:paraId="4173C00D" w14:textId="4959DDB6"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29</w:t>
      </w:r>
      <w:r w:rsidR="00E05C0E">
        <w:rPr>
          <w:rFonts w:ascii="Arial" w:hAnsi="Arial" w:cs="Arial"/>
        </w:rPr>
        <w:t xml:space="preserve">]. </w:t>
      </w:r>
      <w:r w:rsidR="00C41ED8" w:rsidRPr="00F05812">
        <w:rPr>
          <w:rFonts w:ascii="Arial" w:hAnsi="Arial" w:cs="Arial"/>
        </w:rPr>
        <w:t>Colovos, C. &amp; Yeates, T. O. – 1993 – Verification of protein structures: patterns of nonbonded atomic interactions – https://pubmed.ncbi.nlm.nih.gov/8401235/</w:t>
      </w:r>
    </w:p>
    <w:p w14:paraId="109B8EAA" w14:textId="40D6E803"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30</w:t>
      </w:r>
      <w:r w:rsidR="00E05C0E">
        <w:rPr>
          <w:rFonts w:ascii="Arial" w:hAnsi="Arial" w:cs="Arial"/>
        </w:rPr>
        <w:t xml:space="preserve">]. </w:t>
      </w:r>
      <w:r w:rsidR="00C41ED8" w:rsidRPr="00F05812">
        <w:rPr>
          <w:rFonts w:ascii="Arial" w:hAnsi="Arial" w:cs="Arial"/>
        </w:rPr>
        <w:t>Wiederstein, M. &amp; Sippl, M. J. – 2007 – ProSA-web: interactive web service for the recognition of errors in three-dimensional structures of proteins – https://academic.oup.com/nar/article/35/suppl_2/W407/2920938</w:t>
      </w:r>
    </w:p>
    <w:p w14:paraId="3ABCBE5D" w14:textId="111DADF9" w:rsidR="00C41ED8" w:rsidRPr="00F05812" w:rsidRDefault="00EA2840" w:rsidP="00C41ED8">
      <w:pPr>
        <w:pStyle w:val="Body"/>
        <w:rPr>
          <w:rFonts w:ascii="Arial" w:hAnsi="Arial" w:cs="Arial"/>
        </w:rPr>
      </w:pPr>
      <w:r>
        <w:rPr>
          <w:rFonts w:ascii="Arial" w:hAnsi="Arial" w:cs="Arial"/>
        </w:rPr>
        <w:lastRenderedPageBreak/>
        <w:t>[</w:t>
      </w:r>
      <w:r w:rsidR="00C41ED8" w:rsidRPr="00F05812">
        <w:rPr>
          <w:rFonts w:ascii="Arial" w:hAnsi="Arial" w:cs="Arial"/>
        </w:rPr>
        <w:t>31</w:t>
      </w:r>
      <w:r w:rsidR="00E05C0E">
        <w:rPr>
          <w:rFonts w:ascii="Arial" w:hAnsi="Arial" w:cs="Arial"/>
        </w:rPr>
        <w:t xml:space="preserve">]. </w:t>
      </w:r>
      <w:r w:rsidR="00C41ED8" w:rsidRPr="00F05812">
        <w:rPr>
          <w:rFonts w:ascii="Arial" w:hAnsi="Arial" w:cs="Arial"/>
        </w:rPr>
        <w:t>van Zundert, G. C. P., et al. – 2016 – The HADDOCK2.2 Web Server: User-Friendly Integrative Modeling of Biomolecular Complexes – https://pubmed.ncbi.nlm.nih.gov/26410586/</w:t>
      </w:r>
    </w:p>
    <w:p w14:paraId="75DFCEDF" w14:textId="57998E8D"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32</w:t>
      </w:r>
      <w:r w:rsidR="00E05C0E">
        <w:rPr>
          <w:rFonts w:ascii="Arial" w:hAnsi="Arial" w:cs="Arial"/>
        </w:rPr>
        <w:t xml:space="preserve">]. </w:t>
      </w:r>
      <w:r w:rsidR="00C41ED8" w:rsidRPr="00F05812">
        <w:rPr>
          <w:rFonts w:ascii="Arial" w:hAnsi="Arial" w:cs="Arial"/>
        </w:rPr>
        <w:t>Laskowski, R. A., et al. – 2018 – PDBsum: Structural summaries of PDB entries – https://onlinelibrary.wiley.com/doi/full/10.1002/pro.3289</w:t>
      </w:r>
    </w:p>
    <w:p w14:paraId="26104018" w14:textId="1BADA65B"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33</w:t>
      </w:r>
      <w:r w:rsidR="00E05C0E">
        <w:rPr>
          <w:rFonts w:ascii="Arial" w:hAnsi="Arial" w:cs="Arial"/>
        </w:rPr>
        <w:t xml:space="preserve">]. </w:t>
      </w:r>
      <w:r w:rsidR="00C41ED8" w:rsidRPr="00F05812">
        <w:rPr>
          <w:rFonts w:ascii="Arial" w:hAnsi="Arial" w:cs="Arial"/>
        </w:rPr>
        <w:t>Abraham, M. J., et al. – 2015 – GROMACS: High performance molecular simulations through multi-level parallelism from laptops to supercomputers – https://www.sciencedirect.com/science/article/pii/S2352711015000059</w:t>
      </w:r>
    </w:p>
    <w:p w14:paraId="58778E97" w14:textId="251F9029"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34</w:t>
      </w:r>
      <w:r w:rsidR="00E05C0E">
        <w:rPr>
          <w:rFonts w:ascii="Arial" w:hAnsi="Arial" w:cs="Arial"/>
        </w:rPr>
        <w:t xml:space="preserve">]. </w:t>
      </w:r>
      <w:r w:rsidR="00C41ED8" w:rsidRPr="00F05812">
        <w:rPr>
          <w:rFonts w:ascii="Arial" w:hAnsi="Arial" w:cs="Arial"/>
        </w:rPr>
        <w:t>Grote, A., et al. – 2005 – JCat: a novel tool for codon adaptation of genes – https://pubmed.ncbi.nlm.nih.gov/15980527/</w:t>
      </w:r>
    </w:p>
    <w:p w14:paraId="7DA627B2" w14:textId="2185C5E4"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35</w:t>
      </w:r>
      <w:r w:rsidR="00E05C0E">
        <w:rPr>
          <w:rFonts w:ascii="Arial" w:hAnsi="Arial" w:cs="Arial"/>
        </w:rPr>
        <w:t xml:space="preserve">]. </w:t>
      </w:r>
      <w:r w:rsidR="00C41ED8" w:rsidRPr="00F05812">
        <w:rPr>
          <w:rFonts w:ascii="Arial" w:hAnsi="Arial" w:cs="Arial"/>
        </w:rPr>
        <w:t>SnapGene Software – 2026 – SnapGene: Molecular Biology Software for Cloning and Sequence Visualization – https://www.snapgene.com/</w:t>
      </w:r>
    </w:p>
    <w:p w14:paraId="6A4DC6A1" w14:textId="7AE8C773"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36</w:t>
      </w:r>
      <w:r w:rsidR="00E05C0E">
        <w:rPr>
          <w:rFonts w:ascii="Arial" w:hAnsi="Arial" w:cs="Arial"/>
        </w:rPr>
        <w:t>].</w:t>
      </w:r>
      <w:r w:rsidR="00F56915">
        <w:rPr>
          <w:rFonts w:ascii="Arial" w:hAnsi="Arial" w:cs="Arial"/>
        </w:rPr>
        <w:t xml:space="preserve"> </w:t>
      </w:r>
      <w:r w:rsidR="00C41ED8" w:rsidRPr="00F05812">
        <w:rPr>
          <w:rFonts w:ascii="Arial" w:hAnsi="Arial" w:cs="Arial"/>
        </w:rPr>
        <w:t>Maziarz, E. K. &amp; Perfect, J. R. – 2016 – Cryptococcosis – https://pubmed.ncbi.nlm.nih.gov/26897061/</w:t>
      </w:r>
    </w:p>
    <w:p w14:paraId="44CA0F24" w14:textId="2BB0072B"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37</w:t>
      </w:r>
      <w:r w:rsidR="00E05C0E">
        <w:rPr>
          <w:rFonts w:ascii="Arial" w:hAnsi="Arial" w:cs="Arial"/>
        </w:rPr>
        <w:t xml:space="preserve">]. </w:t>
      </w:r>
      <w:r w:rsidR="00C41ED8" w:rsidRPr="00F05812">
        <w:rPr>
          <w:rFonts w:ascii="Arial" w:hAnsi="Arial" w:cs="Arial"/>
        </w:rPr>
        <w:t>May, R. C., et al. – 2016 – Cryptococcus: from environmental saprophyte to global pathogen – https://www.nature.com/articles/nrmicro.2015.6</w:t>
      </w:r>
    </w:p>
    <w:p w14:paraId="16B3AD33" w14:textId="494462CE"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38</w:t>
      </w:r>
      <w:r w:rsidR="00E05C0E">
        <w:rPr>
          <w:rFonts w:ascii="Arial" w:hAnsi="Arial" w:cs="Arial"/>
        </w:rPr>
        <w:t xml:space="preserve">]. </w:t>
      </w:r>
      <w:r w:rsidR="00C41ED8" w:rsidRPr="00F05812">
        <w:rPr>
          <w:rFonts w:ascii="Arial" w:hAnsi="Arial" w:cs="Arial"/>
        </w:rPr>
        <w:t>Molloy, S. F., et al. – 2017 – Cryptococcal meningitis: A neglected NTD? – https://journals.plos.org/plosntds/article?id=10.1371/journal.pntd.0005575</w:t>
      </w:r>
    </w:p>
    <w:p w14:paraId="06083E32" w14:textId="1B744537"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39</w:t>
      </w:r>
      <w:r w:rsidR="00E05C0E">
        <w:rPr>
          <w:rFonts w:ascii="Arial" w:hAnsi="Arial" w:cs="Arial"/>
        </w:rPr>
        <w:t xml:space="preserve">]. </w:t>
      </w:r>
      <w:r w:rsidR="00C41ED8" w:rsidRPr="00F05812">
        <w:rPr>
          <w:rFonts w:ascii="Arial" w:hAnsi="Arial" w:cs="Arial"/>
        </w:rPr>
        <w:t>Sloan, D. J. &amp; Parris, V. – 2014 – Cryptococcal meningitis: epidemiology and therapeutic options – https://www.ncbi.nlm.nih.gov/pmc/articles/PMC4026566/</w:t>
      </w:r>
    </w:p>
    <w:p w14:paraId="0546AE47" w14:textId="71898855"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40</w:t>
      </w:r>
      <w:r w:rsidR="00E05C0E">
        <w:rPr>
          <w:rFonts w:ascii="Arial" w:hAnsi="Arial" w:cs="Arial"/>
        </w:rPr>
        <w:t xml:space="preserve">]. </w:t>
      </w:r>
      <w:r w:rsidR="00C41ED8" w:rsidRPr="00F05812">
        <w:rPr>
          <w:rFonts w:ascii="Arial" w:hAnsi="Arial" w:cs="Arial"/>
        </w:rPr>
        <w:t>Brüggemann, R. J., et al. – 2009 – Clinical relevance of pharmacokinetic interactions of azole antifungal drugs – https://academic.oup.com/cid/article/48/10/1441/334338</w:t>
      </w:r>
    </w:p>
    <w:p w14:paraId="0398906B" w14:textId="6965E49F"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41</w:t>
      </w:r>
      <w:r w:rsidR="00E05C0E">
        <w:rPr>
          <w:rFonts w:ascii="Arial" w:hAnsi="Arial" w:cs="Arial"/>
        </w:rPr>
        <w:t xml:space="preserve">]. </w:t>
      </w:r>
      <w:r w:rsidR="00C41ED8" w:rsidRPr="00F05812">
        <w:rPr>
          <w:rFonts w:ascii="Arial" w:hAnsi="Arial" w:cs="Arial"/>
        </w:rPr>
        <w:t>Spernovasilis, N. &amp; Kofteridis, D. P. – 2018 – Pre-existing liver disease and toxicity of antifungals – https://www.mdpi.com/2309-608X/4/4/133</w:t>
      </w:r>
    </w:p>
    <w:p w14:paraId="0EE91C4F" w14:textId="026CC09C"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42</w:t>
      </w:r>
      <w:r w:rsidR="00E05C0E">
        <w:rPr>
          <w:rFonts w:ascii="Arial" w:hAnsi="Arial" w:cs="Arial"/>
        </w:rPr>
        <w:t xml:space="preserve">]. </w:t>
      </w:r>
      <w:r w:rsidR="00C41ED8" w:rsidRPr="00F05812">
        <w:rPr>
          <w:rFonts w:ascii="Arial" w:hAnsi="Arial" w:cs="Arial"/>
        </w:rPr>
        <w:t>Nandy, A. &amp; Basak, S. C. – 2016 – A brief review of computer-assisted approaches to rational design of peptide vaccines – https://www.mdpi.com/1422-0067/17/5/666</w:t>
      </w:r>
    </w:p>
    <w:p w14:paraId="1FEFC876" w14:textId="41C478F0"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43</w:t>
      </w:r>
      <w:r w:rsidR="00E05C0E">
        <w:rPr>
          <w:rFonts w:ascii="Arial" w:hAnsi="Arial" w:cs="Arial"/>
        </w:rPr>
        <w:t xml:space="preserve">]. </w:t>
      </w:r>
      <w:r w:rsidR="00C41ED8" w:rsidRPr="00F05812">
        <w:rPr>
          <w:rFonts w:ascii="Arial" w:hAnsi="Arial" w:cs="Arial"/>
        </w:rPr>
        <w:t>Alsowayeh, N., et al. – 2022 – Reverse vaccinology and immunoinformatic assisted designing of a multi-</w:t>
      </w:r>
      <w:r w:rsidRPr="00F05812">
        <w:rPr>
          <w:rFonts w:ascii="Arial" w:hAnsi="Arial" w:cs="Arial"/>
        </w:rPr>
        <w:t>epitopes-based</w:t>
      </w:r>
      <w:r w:rsidR="00C41ED8" w:rsidRPr="00F05812">
        <w:rPr>
          <w:rFonts w:ascii="Arial" w:hAnsi="Arial" w:cs="Arial"/>
        </w:rPr>
        <w:t xml:space="preserve"> vaccine against nosocomial Burkholderia cepacia – https://www.frontiersin.org/articles/10.3389/fmicb.2022.929400/full</w:t>
      </w:r>
    </w:p>
    <w:p w14:paraId="4CEA0E77" w14:textId="732E3D43"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44</w:t>
      </w:r>
      <w:r w:rsidR="00E05C0E">
        <w:rPr>
          <w:rFonts w:ascii="Arial" w:hAnsi="Arial" w:cs="Arial"/>
        </w:rPr>
        <w:t xml:space="preserve">]. </w:t>
      </w:r>
      <w:r w:rsidR="00C41ED8" w:rsidRPr="00F05812">
        <w:rPr>
          <w:rFonts w:ascii="Arial" w:hAnsi="Arial" w:cs="Arial"/>
        </w:rPr>
        <w:t>Jalal, K., et al. – 2022 – Reverse vaccinology approach for multi-epitope centered vaccine design against delta variant of SARS-CoV-2 – https://link.springer.com/article/10.1007/s11356-021-17793-z</w:t>
      </w:r>
    </w:p>
    <w:p w14:paraId="4A39BC87" w14:textId="73982A23"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45</w:t>
      </w:r>
      <w:r w:rsidR="00E05C0E">
        <w:rPr>
          <w:rFonts w:ascii="Arial" w:hAnsi="Arial" w:cs="Arial"/>
        </w:rPr>
        <w:t xml:space="preserve">]. </w:t>
      </w:r>
      <w:r w:rsidR="00C41ED8" w:rsidRPr="00F05812">
        <w:rPr>
          <w:rFonts w:ascii="Arial" w:hAnsi="Arial" w:cs="Arial"/>
        </w:rPr>
        <w:t>Poland, G. A., et al. – 2013 – Vaccinomics, adversomics, and the immune response network theory – https://www.sciencedirect.com/science/article/pii/S104453231300010X</w:t>
      </w:r>
    </w:p>
    <w:p w14:paraId="240263F5" w14:textId="1326C43A"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46</w:t>
      </w:r>
      <w:r w:rsidR="00E05C0E">
        <w:rPr>
          <w:rFonts w:ascii="Arial" w:hAnsi="Arial" w:cs="Arial"/>
        </w:rPr>
        <w:t xml:space="preserve">]. </w:t>
      </w:r>
      <w:r w:rsidR="00C41ED8" w:rsidRPr="00F05812">
        <w:rPr>
          <w:rFonts w:ascii="Arial" w:hAnsi="Arial" w:cs="Arial"/>
        </w:rPr>
        <w:t>Leopold Wager, C. M. &amp; Wormley, F. L. Jr. – 2015 – Is development of a vaccine against Cryptococcus neoformans feasible? – https://journals.plos.org/plospathogens/article?id=10.1371/journal.ppat.1004843</w:t>
      </w:r>
    </w:p>
    <w:p w14:paraId="0AC16A7A" w14:textId="01C0B199" w:rsidR="00C41ED8" w:rsidRPr="00F05812" w:rsidRDefault="00EA2840" w:rsidP="00C41ED8">
      <w:pPr>
        <w:pStyle w:val="Body"/>
        <w:rPr>
          <w:rFonts w:ascii="Arial" w:hAnsi="Arial" w:cs="Arial"/>
        </w:rPr>
      </w:pPr>
      <w:r>
        <w:rPr>
          <w:rFonts w:ascii="Arial" w:hAnsi="Arial" w:cs="Arial"/>
        </w:rPr>
        <w:lastRenderedPageBreak/>
        <w:t>[</w:t>
      </w:r>
      <w:r w:rsidR="00C41ED8" w:rsidRPr="00F05812">
        <w:rPr>
          <w:rFonts w:ascii="Arial" w:hAnsi="Arial" w:cs="Arial"/>
        </w:rPr>
        <w:t>47</w:t>
      </w:r>
      <w:r w:rsidR="00E05C0E">
        <w:rPr>
          <w:rFonts w:ascii="Arial" w:hAnsi="Arial" w:cs="Arial"/>
        </w:rPr>
        <w:t xml:space="preserve">]. </w:t>
      </w:r>
      <w:r w:rsidR="00C41ED8" w:rsidRPr="00F05812">
        <w:rPr>
          <w:rFonts w:ascii="Arial" w:hAnsi="Arial" w:cs="Arial"/>
        </w:rPr>
        <w:t>Casadevall, A., et al. – 2019 – The capsule of Cryptococcus neoformans – https://www.tandfonline.com/doi/full/10.1080/21505594.2019.1627318</w:t>
      </w:r>
    </w:p>
    <w:p w14:paraId="391E6DD6" w14:textId="71EFF1DB"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48</w:t>
      </w:r>
      <w:r w:rsidR="00E05C0E">
        <w:rPr>
          <w:rFonts w:ascii="Arial" w:hAnsi="Arial" w:cs="Arial"/>
        </w:rPr>
        <w:t xml:space="preserve">]. </w:t>
      </w:r>
      <w:r w:rsidR="00C41ED8" w:rsidRPr="00F05812">
        <w:rPr>
          <w:rFonts w:ascii="Arial" w:hAnsi="Arial" w:cs="Arial"/>
        </w:rPr>
        <w:t>Pietrella, D., et al. – 2001 – Role of mannoprotein in induction and regulation of immunity to Cryptococcus neoformans – https://journals.asm.org/doi/10.1128/IAI.69.5.2808-2814.2001</w:t>
      </w:r>
    </w:p>
    <w:p w14:paraId="5F688853" w14:textId="2E4C1170"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49</w:t>
      </w:r>
      <w:r w:rsidR="00E05C0E">
        <w:rPr>
          <w:rFonts w:ascii="Arial" w:hAnsi="Arial" w:cs="Arial"/>
        </w:rPr>
        <w:t xml:space="preserve">]. </w:t>
      </w:r>
      <w:r w:rsidR="00C41ED8" w:rsidRPr="00F05812">
        <w:rPr>
          <w:rFonts w:ascii="Arial" w:hAnsi="Arial" w:cs="Arial"/>
        </w:rPr>
        <w:t>Levitz, S. M. &amp; Specht, C. A. – 2006 – The molecular basis for the immunogenicity of Cryptococcus neoformans mannoproteins – https://academic.oup.com/femsyr/article/6/4-5/513/576019</w:t>
      </w:r>
    </w:p>
    <w:p w14:paraId="4842D356" w14:textId="091543CD"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50</w:t>
      </w:r>
      <w:r w:rsidR="00E05C0E">
        <w:rPr>
          <w:rFonts w:ascii="Arial" w:hAnsi="Arial" w:cs="Arial"/>
        </w:rPr>
        <w:t xml:space="preserve">]. </w:t>
      </w:r>
      <w:r w:rsidR="00C41ED8" w:rsidRPr="00F05812">
        <w:rPr>
          <w:rFonts w:ascii="Arial" w:hAnsi="Arial" w:cs="Arial"/>
        </w:rPr>
        <w:t>Rizzo, J., et al. – 2021 – Cryptococcus extracellular vesicles properties and their use as vaccine platforms – https://www.tandfonline.com/doi/full/10.1080/20013078.2021.1973335</w:t>
      </w:r>
    </w:p>
    <w:p w14:paraId="46B25565" w14:textId="3CC558AA"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51</w:t>
      </w:r>
      <w:r w:rsidR="00E05C0E">
        <w:rPr>
          <w:rFonts w:ascii="Arial" w:hAnsi="Arial" w:cs="Arial"/>
        </w:rPr>
        <w:t xml:space="preserve">]. </w:t>
      </w:r>
      <w:r w:rsidR="00C41ED8" w:rsidRPr="00F05812">
        <w:rPr>
          <w:rFonts w:ascii="Arial" w:hAnsi="Arial" w:cs="Arial"/>
        </w:rPr>
        <w:t>Bui, H. H., et al. – 2007 – Development of an epitope conservancy analysis tool to facilitate the design of epitope-based diagnostics and vaccines – https://bmcbioinformatics.biomedcentral.com/articles/10.1186/1471-2105-8-361</w:t>
      </w:r>
    </w:p>
    <w:p w14:paraId="4282E4A6" w14:textId="3AB34E17"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52</w:t>
      </w:r>
      <w:r w:rsidR="00E05C0E">
        <w:rPr>
          <w:rFonts w:ascii="Arial" w:hAnsi="Arial" w:cs="Arial"/>
        </w:rPr>
        <w:t xml:space="preserve">]. </w:t>
      </w:r>
      <w:r w:rsidR="00C41ED8" w:rsidRPr="00F05812">
        <w:rPr>
          <w:rFonts w:ascii="Arial" w:hAnsi="Arial" w:cs="Arial"/>
        </w:rPr>
        <w:t>Larsen, J. E. P., et al. – 2006 – Improved method for predicting linear B-cell epitopes – https://www.ncbi.nlm.nih.gov/pmc/articles/PMC1464391/</w:t>
      </w:r>
    </w:p>
    <w:p w14:paraId="328A8FCB" w14:textId="022246CF"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53</w:t>
      </w:r>
      <w:r w:rsidR="00E05C0E">
        <w:rPr>
          <w:rFonts w:ascii="Arial" w:hAnsi="Arial" w:cs="Arial"/>
        </w:rPr>
        <w:t xml:space="preserve">]. </w:t>
      </w:r>
      <w:r w:rsidR="00C41ED8" w:rsidRPr="00F05812">
        <w:rPr>
          <w:rFonts w:ascii="Arial" w:hAnsi="Arial" w:cs="Arial"/>
        </w:rPr>
        <w:t>Lundegaard, C., et al. – 2008 – NetMHC-3.0: accurate web accessible predictions of MHC class I affinities – https://academic.oup.com/nar/article/36/suppl_2/W509/2505678</w:t>
      </w:r>
    </w:p>
    <w:p w14:paraId="08BB3046" w14:textId="2C3A4929"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54</w:t>
      </w:r>
      <w:r w:rsidR="00E05C0E">
        <w:rPr>
          <w:rFonts w:ascii="Arial" w:hAnsi="Arial" w:cs="Arial"/>
        </w:rPr>
        <w:t xml:space="preserve">]. </w:t>
      </w:r>
      <w:r w:rsidR="00C41ED8" w:rsidRPr="00F05812">
        <w:rPr>
          <w:rFonts w:ascii="Arial" w:hAnsi="Arial" w:cs="Arial"/>
        </w:rPr>
        <w:t>Fleri, W., et al. – 2017 – The immune epitope database and analysis resource in epitope discovery – https://www.frontiersin.org/articles/10.3389/fimmu.2017.00278/full</w:t>
      </w:r>
    </w:p>
    <w:p w14:paraId="10379286" w14:textId="3FC2C6AC" w:rsidR="00C41ED8" w:rsidRPr="00F05812" w:rsidRDefault="00C41ED8" w:rsidP="00C41ED8">
      <w:pPr>
        <w:pStyle w:val="Body"/>
        <w:rPr>
          <w:rFonts w:ascii="Arial" w:hAnsi="Arial" w:cs="Arial"/>
        </w:rPr>
      </w:pPr>
      <w:r w:rsidRPr="00F05812">
        <w:rPr>
          <w:rFonts w:ascii="Arial" w:hAnsi="Arial" w:cs="Arial"/>
        </w:rPr>
        <w:t>55.Patronov, A. &amp; Doytchinova, I. – 2013 – T-cell epitope vaccine design by immunoinformatics – https://royalsocietypublishing.org/doi/10.1098/rsob.120139</w:t>
      </w:r>
    </w:p>
    <w:p w14:paraId="3EFCCEC9" w14:textId="7A40A26A" w:rsidR="00C41ED8" w:rsidRPr="00F05812" w:rsidRDefault="00EA2840" w:rsidP="00C41ED8">
      <w:pPr>
        <w:pStyle w:val="Body"/>
        <w:rPr>
          <w:rFonts w:ascii="Arial" w:hAnsi="Arial" w:cs="Arial"/>
        </w:rPr>
      </w:pPr>
      <w:r>
        <w:rPr>
          <w:rFonts w:ascii="Arial" w:hAnsi="Arial" w:cs="Arial"/>
        </w:rPr>
        <w:t>[</w:t>
      </w:r>
      <w:r w:rsidR="00C41ED8" w:rsidRPr="00F05812">
        <w:rPr>
          <w:rFonts w:ascii="Arial" w:hAnsi="Arial" w:cs="Arial"/>
        </w:rPr>
        <w:t>56</w:t>
      </w:r>
      <w:r w:rsidR="00E05C0E">
        <w:rPr>
          <w:rFonts w:ascii="Arial" w:hAnsi="Arial" w:cs="Arial"/>
        </w:rPr>
        <w:t xml:space="preserve">]. </w:t>
      </w:r>
      <w:r w:rsidR="00C41ED8" w:rsidRPr="00F05812">
        <w:rPr>
          <w:rFonts w:ascii="Arial" w:hAnsi="Arial" w:cs="Arial"/>
        </w:rPr>
        <w:t>Li, W., et al. – 2014 – Peptide vaccine: progress and challenges – https://www.mdpi.com/2076-393X/2/3/515</w:t>
      </w:r>
    </w:p>
    <w:p w14:paraId="5AE2A6D9" w14:textId="51771942" w:rsidR="00441B6F" w:rsidRPr="00F05812" w:rsidRDefault="00EA2840" w:rsidP="00C41ED8">
      <w:pPr>
        <w:pStyle w:val="Body"/>
        <w:spacing w:after="0"/>
        <w:jc w:val="left"/>
        <w:rPr>
          <w:rFonts w:ascii="Arial" w:hAnsi="Arial" w:cs="Arial"/>
        </w:rPr>
      </w:pPr>
      <w:r>
        <w:rPr>
          <w:rFonts w:ascii="Arial" w:hAnsi="Arial" w:cs="Arial"/>
        </w:rPr>
        <w:t>[</w:t>
      </w:r>
      <w:r w:rsidR="00C41ED8" w:rsidRPr="00F05812">
        <w:rPr>
          <w:rFonts w:ascii="Arial" w:hAnsi="Arial" w:cs="Arial"/>
        </w:rPr>
        <w:t>57</w:t>
      </w:r>
      <w:r w:rsidR="00E05C0E">
        <w:rPr>
          <w:rFonts w:ascii="Arial" w:hAnsi="Arial" w:cs="Arial"/>
        </w:rPr>
        <w:t xml:space="preserve">]. </w:t>
      </w:r>
      <w:r w:rsidR="00C41ED8" w:rsidRPr="00F05812">
        <w:rPr>
          <w:rFonts w:ascii="Arial" w:hAnsi="Arial" w:cs="Arial"/>
        </w:rPr>
        <w:t>Ojha, R. &amp; Prajapati, V. K. – 2021 – Cognizance of posttranslational modifications in vaccines – https://onlinelibrary.wiley.com/doi/10.1002/jcp.30453</w:t>
      </w:r>
    </w:p>
    <w:p w14:paraId="4427A720" w14:textId="77777777" w:rsidR="00441B6F" w:rsidRPr="00F05812" w:rsidRDefault="00441B6F" w:rsidP="00441B6F">
      <w:pPr>
        <w:pStyle w:val="Body"/>
        <w:spacing w:after="0"/>
        <w:jc w:val="left"/>
        <w:rPr>
          <w:rFonts w:ascii="Arial" w:hAnsi="Arial" w:cs="Arial"/>
        </w:rPr>
      </w:pPr>
    </w:p>
    <w:p w14:paraId="40435DBA" w14:textId="77777777" w:rsidR="00B01FCD" w:rsidRPr="00F05812" w:rsidRDefault="00B01FCD" w:rsidP="00441B6F">
      <w:pPr>
        <w:pStyle w:val="Reference"/>
        <w:numPr>
          <w:ilvl w:val="0"/>
          <w:numId w:val="0"/>
        </w:numPr>
        <w:spacing w:line="240" w:lineRule="auto"/>
        <w:rPr>
          <w:rFonts w:ascii="Arial" w:hAnsi="Arial" w:cs="Arial"/>
        </w:rPr>
      </w:pPr>
    </w:p>
    <w:p w14:paraId="1DE7ED65" w14:textId="2F5A4A43" w:rsidR="00EA2840" w:rsidRPr="00EA2840" w:rsidRDefault="00EA2840" w:rsidP="00EA2840">
      <w:pPr>
        <w:pStyle w:val="DefAcrHead"/>
        <w:spacing w:after="0"/>
        <w:jc w:val="both"/>
        <w:rPr>
          <w:rFonts w:ascii="Arial" w:hAnsi="Arial" w:cs="Arial"/>
        </w:rPr>
        <w:sectPr w:rsidR="00EA2840" w:rsidRPr="00EA2840" w:rsidSect="001D54D9">
          <w:headerReference w:type="even" r:id="rId35"/>
          <w:headerReference w:type="default" r:id="rId36"/>
          <w:footerReference w:type="default" r:id="rId37"/>
          <w:headerReference w:type="first" r:id="rId38"/>
          <w:type w:val="continuous"/>
          <w:pgSz w:w="12240" w:h="15840"/>
          <w:pgMar w:top="1134" w:right="2016" w:bottom="2016" w:left="2016" w:header="720" w:footer="1123" w:gutter="0"/>
          <w:cols w:space="720"/>
          <w:docGrid w:linePitch="272"/>
        </w:sectPr>
      </w:pPr>
    </w:p>
    <w:p w14:paraId="658B0F9C" w14:textId="77777777" w:rsidR="00B01FCD" w:rsidRPr="00F05812" w:rsidRDefault="00B01FCD" w:rsidP="00EA2840">
      <w:pPr>
        <w:pStyle w:val="Appendix"/>
        <w:spacing w:after="0"/>
        <w:jc w:val="both"/>
        <w:rPr>
          <w:rFonts w:ascii="Arial" w:hAnsi="Arial" w:cs="Arial"/>
          <w:b w:val="0"/>
        </w:rPr>
      </w:pPr>
    </w:p>
    <w:sectPr w:rsidR="00B01FCD" w:rsidRPr="00F05812" w:rsidSect="001D54D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61795" w14:textId="77777777" w:rsidR="00C043D0" w:rsidRDefault="00C043D0" w:rsidP="00C37E61">
      <w:r>
        <w:separator/>
      </w:r>
    </w:p>
  </w:endnote>
  <w:endnote w:type="continuationSeparator" w:id="0">
    <w:p w14:paraId="48EDE746" w14:textId="77777777" w:rsidR="00C043D0" w:rsidRDefault="00C043D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79BEF" w14:textId="77777777" w:rsidR="001D54D9" w:rsidRDefault="001D54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613A1" w14:textId="77777777" w:rsidR="001D54D9" w:rsidRDefault="001D54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90671" w14:textId="77777777" w:rsidR="009E048A" w:rsidRDefault="009E048A">
    <w:pPr>
      <w:pStyle w:val="Footer"/>
      <w:rPr>
        <w:rFonts w:ascii="Arial" w:hAnsi="Arial" w:cs="Arial"/>
        <w:sz w:val="16"/>
      </w:rPr>
    </w:pPr>
  </w:p>
  <w:p w14:paraId="29D8D79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ED2D08E" w14:textId="77777777" w:rsidR="009E048A" w:rsidRDefault="009E048A">
    <w:pPr>
      <w:pStyle w:val="Footer"/>
      <w:rPr>
        <w:rFonts w:ascii="Arial" w:hAnsi="Arial" w:cs="Arial"/>
        <w:sz w:val="16"/>
      </w:rPr>
    </w:pPr>
  </w:p>
  <w:p w14:paraId="7897D39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ED28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EB8DB" w14:textId="77777777" w:rsidR="00C043D0" w:rsidRDefault="00C043D0" w:rsidP="00C37E61">
      <w:r>
        <w:separator/>
      </w:r>
    </w:p>
  </w:footnote>
  <w:footnote w:type="continuationSeparator" w:id="0">
    <w:p w14:paraId="34539F0C" w14:textId="77777777" w:rsidR="00C043D0" w:rsidRDefault="00C043D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0D22D" w14:textId="0F2BBE73" w:rsidR="001D54D9" w:rsidRDefault="001D54D9">
    <w:pPr>
      <w:pStyle w:val="Header"/>
    </w:pPr>
    <w:r>
      <w:rPr>
        <w:noProof/>
      </w:rPr>
      <w:pict w14:anchorId="104A5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3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2627D" w14:textId="2C40FD41" w:rsidR="001D54D9" w:rsidRDefault="001D54D9">
    <w:pPr>
      <w:pStyle w:val="Header"/>
    </w:pPr>
    <w:r>
      <w:rPr>
        <w:noProof/>
      </w:rPr>
      <w:pict w14:anchorId="2391D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4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F1B94" w14:textId="27FABB71" w:rsidR="00296529" w:rsidRPr="00296529" w:rsidRDefault="001D54D9" w:rsidP="00296529">
    <w:pPr>
      <w:ind w:left="2160"/>
      <w:jc w:val="center"/>
      <w:rPr>
        <w:rFonts w:ascii="Times New Roman" w:eastAsia="Calibri" w:hAnsi="Times New Roman"/>
        <w:i/>
        <w:sz w:val="18"/>
        <w:szCs w:val="22"/>
      </w:rPr>
    </w:pPr>
    <w:r>
      <w:rPr>
        <w:noProof/>
      </w:rPr>
      <w:pict w14:anchorId="3818B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3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6F1D03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5CE74F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6A52D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5F9E36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E955DE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33F3F9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28DD6" w14:textId="3C5C3C5F" w:rsidR="001D54D9" w:rsidRDefault="001D54D9">
    <w:pPr>
      <w:pStyle w:val="Header"/>
    </w:pPr>
    <w:r>
      <w:rPr>
        <w:noProof/>
      </w:rPr>
      <w:pict w14:anchorId="6BEB4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4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558D9" w14:textId="00CC23AD" w:rsidR="001D54D9" w:rsidRDefault="001D54D9">
    <w:pPr>
      <w:pStyle w:val="Header"/>
    </w:pPr>
    <w:r>
      <w:rPr>
        <w:noProof/>
      </w:rPr>
      <w:pict w14:anchorId="3C6EC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4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ECC96" w14:textId="4FF2489C" w:rsidR="001D54D9" w:rsidRDefault="001D54D9">
    <w:pPr>
      <w:pStyle w:val="Header"/>
    </w:pPr>
    <w:r>
      <w:rPr>
        <w:noProof/>
      </w:rPr>
      <w:pict w14:anchorId="44035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96144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0A6EB7"/>
    <w:multiLevelType w:val="hybridMultilevel"/>
    <w:tmpl w:val="4F7235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AD7F36"/>
    <w:multiLevelType w:val="hybridMultilevel"/>
    <w:tmpl w:val="82B4C8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95668FE"/>
    <w:multiLevelType w:val="hybridMultilevel"/>
    <w:tmpl w:val="55B0A00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CFD7A16"/>
    <w:multiLevelType w:val="hybridMultilevel"/>
    <w:tmpl w:val="A6B63E9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14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2548E2"/>
    <w:multiLevelType w:val="hybridMultilevel"/>
    <w:tmpl w:val="BAEA1226"/>
    <w:lvl w:ilvl="0" w:tplc="40090001">
      <w:start w:val="1"/>
      <w:numFmt w:val="bullet"/>
      <w:lvlText w:val=""/>
      <w:lvlJc w:val="left"/>
      <w:pPr>
        <w:ind w:left="1146" w:hanging="360"/>
      </w:pPr>
      <w:rPr>
        <w:rFonts w:ascii="Symbol" w:hAnsi="Symbol" w:hint="default"/>
      </w:rPr>
    </w:lvl>
    <w:lvl w:ilvl="1" w:tplc="40090003">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FF7722"/>
    <w:multiLevelType w:val="multilevel"/>
    <w:tmpl w:val="B6DA491E"/>
    <w:lvl w:ilvl="0">
      <w:start w:val="1"/>
      <w:numFmt w:val="decimal"/>
      <w:lvlText w:val="%1."/>
      <w:lvlJc w:val="left"/>
      <w:pPr>
        <w:ind w:left="644" w:hanging="360"/>
      </w:pPr>
    </w:lvl>
    <w:lvl w:ilvl="1">
      <w:start w:val="1"/>
      <w:numFmt w:val="decimal"/>
      <w:isLgl/>
      <w:lvlText w:val="%1.%2."/>
      <w:lvlJc w:val="left"/>
      <w:pPr>
        <w:ind w:left="1211" w:hanging="360"/>
      </w:pPr>
      <w:rPr>
        <w:rFonts w:hint="default"/>
        <w:b/>
        <w:bCs w:val="0"/>
      </w:rPr>
    </w:lvl>
    <w:lvl w:ilvl="2">
      <w:start w:val="1"/>
      <w:numFmt w:val="decimal"/>
      <w:isLgl/>
      <w:lvlText w:val="%1.%2.%3."/>
      <w:lvlJc w:val="left"/>
      <w:pPr>
        <w:ind w:left="724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BE118D1"/>
    <w:multiLevelType w:val="hybridMultilevel"/>
    <w:tmpl w:val="95986A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C88188F"/>
    <w:multiLevelType w:val="hybridMultilevel"/>
    <w:tmpl w:val="CF2C7F74"/>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0"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44AB24CC"/>
    <w:multiLevelType w:val="hybridMultilevel"/>
    <w:tmpl w:val="C78CE9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79569C9"/>
    <w:multiLevelType w:val="multilevel"/>
    <w:tmpl w:val="0EF678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41142C"/>
    <w:multiLevelType w:val="hybridMultilevel"/>
    <w:tmpl w:val="34D685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5FB03602"/>
    <w:multiLevelType w:val="hybridMultilevel"/>
    <w:tmpl w:val="4D3C841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AE94DAE"/>
    <w:multiLevelType w:val="hybridMultilevel"/>
    <w:tmpl w:val="7DCEDD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13F4DB1"/>
    <w:multiLevelType w:val="hybridMultilevel"/>
    <w:tmpl w:val="C2FCEF2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10"/>
  </w:num>
  <w:num w:numId="7">
    <w:abstractNumId w:val="1"/>
  </w:num>
  <w:num w:numId="8">
    <w:abstractNumId w:val="20"/>
  </w:num>
  <w:num w:numId="9">
    <w:abstractNumId w:val="39"/>
  </w:num>
  <w:num w:numId="10">
    <w:abstractNumId w:val="3"/>
  </w:num>
  <w:num w:numId="11">
    <w:abstractNumId w:val="30"/>
  </w:num>
  <w:num w:numId="12">
    <w:abstractNumId w:val="5"/>
  </w:num>
  <w:num w:numId="13">
    <w:abstractNumId w:val="28"/>
  </w:num>
  <w:num w:numId="14">
    <w:abstractNumId w:val="12"/>
  </w:num>
  <w:num w:numId="15">
    <w:abstractNumId w:val="35"/>
  </w:num>
  <w:num w:numId="16">
    <w:abstractNumId w:val="7"/>
  </w:num>
  <w:num w:numId="17">
    <w:abstractNumId w:val="36"/>
  </w:num>
  <w:num w:numId="18">
    <w:abstractNumId w:val="22"/>
  </w:num>
  <w:num w:numId="19">
    <w:abstractNumId w:val="42"/>
  </w:num>
  <w:num w:numId="20">
    <w:abstractNumId w:val="17"/>
  </w:num>
  <w:num w:numId="21">
    <w:abstractNumId w:val="14"/>
  </w:num>
  <w:num w:numId="22">
    <w:abstractNumId w:val="21"/>
  </w:num>
  <w:num w:numId="23">
    <w:abstractNumId w:val="33"/>
  </w:num>
  <w:num w:numId="24">
    <w:abstractNumId w:val="40"/>
  </w:num>
  <w:num w:numId="25">
    <w:abstractNumId w:val="6"/>
  </w:num>
  <w:num w:numId="26">
    <w:abstractNumId w:val="26"/>
  </w:num>
  <w:num w:numId="27">
    <w:abstractNumId w:val="34"/>
  </w:num>
  <w:num w:numId="28">
    <w:abstractNumId w:val="41"/>
  </w:num>
  <w:num w:numId="29">
    <w:abstractNumId w:val="38"/>
  </w:num>
  <w:num w:numId="30">
    <w:abstractNumId w:val="15"/>
  </w:num>
  <w:num w:numId="31">
    <w:abstractNumId w:val="2"/>
  </w:num>
  <w:num w:numId="32">
    <w:abstractNumId w:val="4"/>
  </w:num>
  <w:num w:numId="33">
    <w:abstractNumId w:val="16"/>
  </w:num>
  <w:num w:numId="34">
    <w:abstractNumId w:val="24"/>
  </w:num>
  <w:num w:numId="35">
    <w:abstractNumId w:val="31"/>
  </w:num>
  <w:num w:numId="36">
    <w:abstractNumId w:val="19"/>
  </w:num>
  <w:num w:numId="37">
    <w:abstractNumId w:val="29"/>
  </w:num>
  <w:num w:numId="38">
    <w:abstractNumId w:val="9"/>
  </w:num>
  <w:num w:numId="39">
    <w:abstractNumId w:val="8"/>
  </w:num>
  <w:num w:numId="40">
    <w:abstractNumId w:val="13"/>
  </w:num>
  <w:num w:numId="41">
    <w:abstractNumId w:val="27"/>
  </w:num>
  <w:num w:numId="42">
    <w:abstractNumId w:val="23"/>
  </w:num>
  <w:num w:numId="43">
    <w:abstractNumId w:val="18"/>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4671"/>
    <w:rsid w:val="000D689F"/>
    <w:rsid w:val="000E7B7B"/>
    <w:rsid w:val="000E7D62"/>
    <w:rsid w:val="00101A81"/>
    <w:rsid w:val="00103357"/>
    <w:rsid w:val="00123C9F"/>
    <w:rsid w:val="00126190"/>
    <w:rsid w:val="00130F17"/>
    <w:rsid w:val="001320BF"/>
    <w:rsid w:val="00163BC4"/>
    <w:rsid w:val="00191062"/>
    <w:rsid w:val="00192B72"/>
    <w:rsid w:val="001A29D8"/>
    <w:rsid w:val="001A5CAA"/>
    <w:rsid w:val="001B0427"/>
    <w:rsid w:val="001B57C8"/>
    <w:rsid w:val="001D08C3"/>
    <w:rsid w:val="001D3A51"/>
    <w:rsid w:val="001D54D9"/>
    <w:rsid w:val="001E10D2"/>
    <w:rsid w:val="001E237D"/>
    <w:rsid w:val="001E25B4"/>
    <w:rsid w:val="001E44FE"/>
    <w:rsid w:val="001E779F"/>
    <w:rsid w:val="001F35C8"/>
    <w:rsid w:val="001F472E"/>
    <w:rsid w:val="001F6E12"/>
    <w:rsid w:val="00200595"/>
    <w:rsid w:val="00204835"/>
    <w:rsid w:val="002251D0"/>
    <w:rsid w:val="00226DFA"/>
    <w:rsid w:val="00231920"/>
    <w:rsid w:val="0023195C"/>
    <w:rsid w:val="0024282C"/>
    <w:rsid w:val="002460DC"/>
    <w:rsid w:val="00250985"/>
    <w:rsid w:val="002556F6"/>
    <w:rsid w:val="00283105"/>
    <w:rsid w:val="00284C4C"/>
    <w:rsid w:val="00287E68"/>
    <w:rsid w:val="00291ED8"/>
    <w:rsid w:val="00296529"/>
    <w:rsid w:val="002B27FB"/>
    <w:rsid w:val="002B685A"/>
    <w:rsid w:val="002C57D2"/>
    <w:rsid w:val="002D7657"/>
    <w:rsid w:val="002E0D56"/>
    <w:rsid w:val="002F75EE"/>
    <w:rsid w:val="003054C8"/>
    <w:rsid w:val="00315186"/>
    <w:rsid w:val="003234D9"/>
    <w:rsid w:val="0033343E"/>
    <w:rsid w:val="00333F74"/>
    <w:rsid w:val="003512C2"/>
    <w:rsid w:val="00354964"/>
    <w:rsid w:val="00371FB6"/>
    <w:rsid w:val="003763C1"/>
    <w:rsid w:val="00376BBE"/>
    <w:rsid w:val="0039224F"/>
    <w:rsid w:val="003A43A4"/>
    <w:rsid w:val="003A7E18"/>
    <w:rsid w:val="003B54DB"/>
    <w:rsid w:val="003C3384"/>
    <w:rsid w:val="003C4C86"/>
    <w:rsid w:val="003C6258"/>
    <w:rsid w:val="003E2904"/>
    <w:rsid w:val="00401927"/>
    <w:rsid w:val="0041027F"/>
    <w:rsid w:val="00412475"/>
    <w:rsid w:val="00420BBB"/>
    <w:rsid w:val="00423789"/>
    <w:rsid w:val="00432F81"/>
    <w:rsid w:val="00440F43"/>
    <w:rsid w:val="00441B6F"/>
    <w:rsid w:val="00446221"/>
    <w:rsid w:val="00450E62"/>
    <w:rsid w:val="004539DB"/>
    <w:rsid w:val="00471A80"/>
    <w:rsid w:val="00487768"/>
    <w:rsid w:val="00493580"/>
    <w:rsid w:val="004B3109"/>
    <w:rsid w:val="004D305E"/>
    <w:rsid w:val="004D4277"/>
    <w:rsid w:val="004E5D94"/>
    <w:rsid w:val="004F67EE"/>
    <w:rsid w:val="00502516"/>
    <w:rsid w:val="00505F06"/>
    <w:rsid w:val="00506828"/>
    <w:rsid w:val="0053056E"/>
    <w:rsid w:val="00553C54"/>
    <w:rsid w:val="00554FDA"/>
    <w:rsid w:val="00561F7F"/>
    <w:rsid w:val="005806BD"/>
    <w:rsid w:val="005A3D2A"/>
    <w:rsid w:val="005C0A0F"/>
    <w:rsid w:val="005C784C"/>
    <w:rsid w:val="005D17F6"/>
    <w:rsid w:val="005E108C"/>
    <w:rsid w:val="005E5539"/>
    <w:rsid w:val="005F592F"/>
    <w:rsid w:val="00602BF5"/>
    <w:rsid w:val="00606D6D"/>
    <w:rsid w:val="00617FDD"/>
    <w:rsid w:val="00633614"/>
    <w:rsid w:val="00633F68"/>
    <w:rsid w:val="00636EB2"/>
    <w:rsid w:val="006375B8"/>
    <w:rsid w:val="006421F7"/>
    <w:rsid w:val="006465B2"/>
    <w:rsid w:val="00654EE7"/>
    <w:rsid w:val="0066510A"/>
    <w:rsid w:val="00673F9F"/>
    <w:rsid w:val="00675463"/>
    <w:rsid w:val="00686953"/>
    <w:rsid w:val="00687DEA"/>
    <w:rsid w:val="00687E67"/>
    <w:rsid w:val="006967F7"/>
    <w:rsid w:val="006A250C"/>
    <w:rsid w:val="006B21D3"/>
    <w:rsid w:val="006B31A1"/>
    <w:rsid w:val="006B57D0"/>
    <w:rsid w:val="006D30FF"/>
    <w:rsid w:val="006D6940"/>
    <w:rsid w:val="006F11EC"/>
    <w:rsid w:val="0070082C"/>
    <w:rsid w:val="00731F1F"/>
    <w:rsid w:val="007369E6"/>
    <w:rsid w:val="00746E59"/>
    <w:rsid w:val="00754C9A"/>
    <w:rsid w:val="0075599A"/>
    <w:rsid w:val="00761D52"/>
    <w:rsid w:val="0077749E"/>
    <w:rsid w:val="0078011D"/>
    <w:rsid w:val="00790ADA"/>
    <w:rsid w:val="007D2288"/>
    <w:rsid w:val="007E088F"/>
    <w:rsid w:val="007F7B32"/>
    <w:rsid w:val="00804BC2"/>
    <w:rsid w:val="00805988"/>
    <w:rsid w:val="0081431A"/>
    <w:rsid w:val="00815391"/>
    <w:rsid w:val="00823128"/>
    <w:rsid w:val="0083216F"/>
    <w:rsid w:val="00835719"/>
    <w:rsid w:val="00851FA7"/>
    <w:rsid w:val="00860000"/>
    <w:rsid w:val="00863BD3"/>
    <w:rsid w:val="008641ED"/>
    <w:rsid w:val="00866D66"/>
    <w:rsid w:val="008671C6"/>
    <w:rsid w:val="00875803"/>
    <w:rsid w:val="0088533B"/>
    <w:rsid w:val="008B459E"/>
    <w:rsid w:val="008E13AE"/>
    <w:rsid w:val="008E1506"/>
    <w:rsid w:val="008E6582"/>
    <w:rsid w:val="008E710C"/>
    <w:rsid w:val="008F69D6"/>
    <w:rsid w:val="00902823"/>
    <w:rsid w:val="00915CA6"/>
    <w:rsid w:val="00927834"/>
    <w:rsid w:val="00936074"/>
    <w:rsid w:val="009500A6"/>
    <w:rsid w:val="00957C18"/>
    <w:rsid w:val="009659BA"/>
    <w:rsid w:val="00975F13"/>
    <w:rsid w:val="00983040"/>
    <w:rsid w:val="00984E97"/>
    <w:rsid w:val="009A5069"/>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151D"/>
    <w:rsid w:val="00A347C0"/>
    <w:rsid w:val="00A51431"/>
    <w:rsid w:val="00A539AD"/>
    <w:rsid w:val="00A87874"/>
    <w:rsid w:val="00A94063"/>
    <w:rsid w:val="00A94707"/>
    <w:rsid w:val="00A95920"/>
    <w:rsid w:val="00AA6219"/>
    <w:rsid w:val="00AA74E0"/>
    <w:rsid w:val="00AB703F"/>
    <w:rsid w:val="00AC30BA"/>
    <w:rsid w:val="00AC6BB8"/>
    <w:rsid w:val="00AD3EC9"/>
    <w:rsid w:val="00AE008F"/>
    <w:rsid w:val="00AE0D26"/>
    <w:rsid w:val="00AE7D54"/>
    <w:rsid w:val="00B01FCD"/>
    <w:rsid w:val="00B10D01"/>
    <w:rsid w:val="00B1731E"/>
    <w:rsid w:val="00B1776C"/>
    <w:rsid w:val="00B218AB"/>
    <w:rsid w:val="00B30796"/>
    <w:rsid w:val="00B31F65"/>
    <w:rsid w:val="00B52583"/>
    <w:rsid w:val="00B52896"/>
    <w:rsid w:val="00B64152"/>
    <w:rsid w:val="00B86710"/>
    <w:rsid w:val="00B95236"/>
    <w:rsid w:val="00B96BD9"/>
    <w:rsid w:val="00BA1B01"/>
    <w:rsid w:val="00BA2641"/>
    <w:rsid w:val="00BB37AA"/>
    <w:rsid w:val="00BC53A0"/>
    <w:rsid w:val="00BE62AD"/>
    <w:rsid w:val="00BF121F"/>
    <w:rsid w:val="00BF1F80"/>
    <w:rsid w:val="00C043D0"/>
    <w:rsid w:val="00C166EF"/>
    <w:rsid w:val="00C17EB0"/>
    <w:rsid w:val="00C27F5F"/>
    <w:rsid w:val="00C30A0F"/>
    <w:rsid w:val="00C37E61"/>
    <w:rsid w:val="00C41ED8"/>
    <w:rsid w:val="00C70F1B"/>
    <w:rsid w:val="00C71A47"/>
    <w:rsid w:val="00C7464C"/>
    <w:rsid w:val="00C82074"/>
    <w:rsid w:val="00C85588"/>
    <w:rsid w:val="00C92A0C"/>
    <w:rsid w:val="00CA31A0"/>
    <w:rsid w:val="00CC3377"/>
    <w:rsid w:val="00CD6755"/>
    <w:rsid w:val="00CD6856"/>
    <w:rsid w:val="00CE0089"/>
    <w:rsid w:val="00CE793C"/>
    <w:rsid w:val="00CF193C"/>
    <w:rsid w:val="00D01F10"/>
    <w:rsid w:val="00D13921"/>
    <w:rsid w:val="00D16EE3"/>
    <w:rsid w:val="00D173F1"/>
    <w:rsid w:val="00D64393"/>
    <w:rsid w:val="00D6707E"/>
    <w:rsid w:val="00D74CB0"/>
    <w:rsid w:val="00D8295D"/>
    <w:rsid w:val="00DA39F2"/>
    <w:rsid w:val="00DA3BED"/>
    <w:rsid w:val="00DB4872"/>
    <w:rsid w:val="00DC2A65"/>
    <w:rsid w:val="00DE15F0"/>
    <w:rsid w:val="00DE5663"/>
    <w:rsid w:val="00DE78AA"/>
    <w:rsid w:val="00E00FF6"/>
    <w:rsid w:val="00E053D0"/>
    <w:rsid w:val="00E05C0E"/>
    <w:rsid w:val="00E15994"/>
    <w:rsid w:val="00E3114E"/>
    <w:rsid w:val="00E31A70"/>
    <w:rsid w:val="00E35B02"/>
    <w:rsid w:val="00E448F6"/>
    <w:rsid w:val="00E66496"/>
    <w:rsid w:val="00E66B35"/>
    <w:rsid w:val="00E66E10"/>
    <w:rsid w:val="00E769F6"/>
    <w:rsid w:val="00E8407C"/>
    <w:rsid w:val="00E84F3C"/>
    <w:rsid w:val="00EA012C"/>
    <w:rsid w:val="00EA2840"/>
    <w:rsid w:val="00EA366E"/>
    <w:rsid w:val="00EC6A55"/>
    <w:rsid w:val="00ED0288"/>
    <w:rsid w:val="00EE5169"/>
    <w:rsid w:val="00EE52CB"/>
    <w:rsid w:val="00EF581D"/>
    <w:rsid w:val="00EF7FD8"/>
    <w:rsid w:val="00F05812"/>
    <w:rsid w:val="00F06F59"/>
    <w:rsid w:val="00F17988"/>
    <w:rsid w:val="00F17E72"/>
    <w:rsid w:val="00F469F0"/>
    <w:rsid w:val="00F53273"/>
    <w:rsid w:val="00F55627"/>
    <w:rsid w:val="00F56915"/>
    <w:rsid w:val="00F755E4"/>
    <w:rsid w:val="00F77D02"/>
    <w:rsid w:val="00F964B1"/>
    <w:rsid w:val="00FA2D12"/>
    <w:rsid w:val="00FA7086"/>
    <w:rsid w:val="00FB3A86"/>
    <w:rsid w:val="00FC15EF"/>
    <w:rsid w:val="00FD36C8"/>
    <w:rsid w:val="00FE014B"/>
    <w:rsid w:val="00FF4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9FD06D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A3151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semiHidden/>
    <w:unhideWhenUsed/>
    <w:qFormat/>
    <w:rsid w:val="00CC33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A3D2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806BD"/>
    <w:pPr>
      <w:ind w:left="720"/>
      <w:contextualSpacing/>
    </w:pPr>
  </w:style>
  <w:style w:type="character" w:customStyle="1" w:styleId="Heading2Char">
    <w:name w:val="Heading 2 Char"/>
    <w:basedOn w:val="DefaultParagraphFont"/>
    <w:link w:val="Heading2"/>
    <w:semiHidden/>
    <w:rsid w:val="00A3151D"/>
    <w:rPr>
      <w:rFonts w:asciiTheme="majorHAnsi" w:eastAsiaTheme="majorEastAsia" w:hAnsiTheme="majorHAnsi" w:cstheme="majorBidi"/>
      <w:color w:val="365F91" w:themeColor="accent1" w:themeShade="BF"/>
      <w:sz w:val="26"/>
      <w:szCs w:val="26"/>
    </w:rPr>
  </w:style>
  <w:style w:type="table" w:styleId="TableGridLight">
    <w:name w:val="Grid Table Light"/>
    <w:basedOn w:val="TableNormal"/>
    <w:uiPriority w:val="40"/>
    <w:rsid w:val="00B31F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semiHidden/>
    <w:rsid w:val="00CC33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A3D2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2601235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7585825">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5161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3E2B9-C3BA-47E3-A291-8910F233C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1665</TotalTime>
  <Pages>21</Pages>
  <Words>5604</Words>
  <Characters>31947</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37477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2026-02-24T10:29:00Z</dcterms:created>
  <dcterms:modified xsi:type="dcterms:W3CDTF">2026-03-12T06:52:00Z</dcterms:modified>
</cp:coreProperties>
</file>