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C10C86" w14:textId="77777777" w:rsidR="00C24CFC" w:rsidRDefault="00AF004B">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Effectiveness of Flood Disaster Management Strategies in Benue State, Nigeria: Evidence from the 2022 Makurdi Flood Event</w:t>
      </w:r>
    </w:p>
    <w:p w14:paraId="010A52D7" w14:textId="77777777" w:rsidR="00C24CFC" w:rsidRDefault="00C24CFC">
      <w:pPr>
        <w:spacing w:after="0" w:line="240" w:lineRule="auto"/>
        <w:ind w:left="2160" w:firstLine="720"/>
        <w:jc w:val="both"/>
        <w:rPr>
          <w:rFonts w:ascii="Times New Roman" w:hAnsi="Times New Roman" w:cs="Times New Roman"/>
          <w:b/>
          <w:bCs/>
          <w:sz w:val="24"/>
          <w:szCs w:val="24"/>
        </w:rPr>
      </w:pPr>
    </w:p>
    <w:p w14:paraId="351CD63C" w14:textId="77777777" w:rsidR="0022364D" w:rsidRDefault="0022364D">
      <w:pPr>
        <w:spacing w:after="0" w:line="240" w:lineRule="auto"/>
        <w:jc w:val="both"/>
        <w:rPr>
          <w:rFonts w:ascii="Times New Roman" w:hAnsi="Times New Roman" w:cs="Times New Roman"/>
          <w:b/>
          <w:bCs/>
          <w:sz w:val="24"/>
          <w:szCs w:val="24"/>
        </w:rPr>
      </w:pPr>
    </w:p>
    <w:p w14:paraId="590838FF" w14:textId="70F654B7" w:rsidR="00C24CFC" w:rsidRDefault="00AF004B">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Abstract </w:t>
      </w:r>
    </w:p>
    <w:p w14:paraId="2B7F6302" w14:textId="77777777" w:rsidR="00C24CFC" w:rsidRDefault="00AF004B">
      <w:pPr>
        <w:spacing w:after="0" w:line="240" w:lineRule="auto"/>
        <w:jc w:val="both"/>
      </w:pPr>
      <w:r>
        <w:t>This study evaluated the effect</w:t>
      </w:r>
      <w:r>
        <w:t>iveness of flood disaster management strategies during the 2022 Makurdi flood in Benue State, Nigeria. A mixed</w:t>
      </w:r>
      <w:r>
        <w:rPr>
          <w:rFonts w:ascii="Cambria Math" w:hAnsi="Cambria Math" w:cs="Cambria Math"/>
        </w:rPr>
        <w:t>‑</w:t>
      </w:r>
      <w:r>
        <w:t>methods design was used, involving 384 household questionnaires (365 retrieved) and 12 key</w:t>
      </w:r>
      <w:r>
        <w:rPr>
          <w:rFonts w:ascii="Cambria Math" w:hAnsi="Cambria Math" w:cs="Cambria Math"/>
        </w:rPr>
        <w:t>‑</w:t>
      </w:r>
      <w:r>
        <w:t xml:space="preserve">informant interviews. Quantitative data were analyzed </w:t>
      </w:r>
      <w:r>
        <w:t>using frequencies, percentages, means, standard deviations, and effectiveness indices (HPEI, EWEI, CPOEI, REI, CFMEI), while qualitative data were examined thematically. Findings show that 68% of households relied on sandbags or wooden barriers and 60.5% c</w:t>
      </w:r>
      <w:r>
        <w:t>leared drains, but only 15.6% monitored rainfall and 15.1% stored food and water. Early warnings reached 77.3% of respondents, yet 33.7% received them only a few days before flooding; radio (58.4%) and social media (46%) were the main channels. The Househo</w:t>
      </w:r>
      <w:r>
        <w:t>ld Preparedness Effectiveness Index (HPEI) was 3.40 (moderate) and the Early Warning Effectiveness Index (EWEI) was 3.49 (moderate). Response actions were largely reactive: 34.5% stayed at home, 27.1% moved to higher ground, and only 11% evacuated to camps</w:t>
      </w:r>
      <w:r>
        <w:t>, with just 20% acting immediately after warnings. Major challenges included poor drainage maintenance (mean = 3.12), late warnings (mean = 3.00), and weak institutional coordination (mean = 3.11). The Composite Flood Management Effectiveness Index (CFMEI)</w:t>
      </w:r>
      <w:r>
        <w:t xml:space="preserve"> was 0.55, indicating moderate overall effectiveness. To improve outcomes, the study recommends strengthening early warning systems (radio, SMS, community networks) and integrating NiMet/NIHSA forecasts; promoting household preparedness through awareness, </w:t>
      </w:r>
      <w:r>
        <w:t>evacuation training, and support for sandbags and door</w:t>
      </w:r>
      <w:r>
        <w:rPr>
          <w:rFonts w:ascii="Cambria Math" w:hAnsi="Cambria Math" w:cs="Cambria Math"/>
        </w:rPr>
        <w:t>‑</w:t>
      </w:r>
      <w:r>
        <w:t>step raising; clarifying roles of NEMA, SEMA, local government, and community leaders and establishing joint response frameworks; investing in drainage infrastructure, enforcing land</w:t>
      </w:r>
      <w:r>
        <w:rPr>
          <w:rFonts w:ascii="Cambria Math" w:hAnsi="Cambria Math" w:cs="Cambria Math"/>
        </w:rPr>
        <w:t>‑</w:t>
      </w:r>
      <w:r>
        <w:t>use regulations, a</w:t>
      </w:r>
      <w:r>
        <w:t>nd pre</w:t>
      </w:r>
      <w:r>
        <w:rPr>
          <w:rFonts w:ascii="Cambria Math" w:hAnsi="Cambria Math" w:cs="Cambria Math"/>
        </w:rPr>
        <w:t>‑</w:t>
      </w:r>
      <w:r>
        <w:t>positioning relief materials; and developing sustainable recovery programs that restore livelihoods and housing with community participation.</w:t>
      </w:r>
    </w:p>
    <w:p w14:paraId="51060B6F" w14:textId="77777777" w:rsidR="00C24CFC" w:rsidRDefault="00AF004B">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Keywords: </w:t>
      </w:r>
      <w:r>
        <w:rPr>
          <w:rFonts w:ascii="Times New Roman" w:hAnsi="Times New Roman" w:cs="Times New Roman"/>
          <w:sz w:val="24"/>
          <w:szCs w:val="24"/>
        </w:rPr>
        <w:t>Effectiveness, Flood Disaster, Management Strategies, Flood Event</w:t>
      </w:r>
    </w:p>
    <w:p w14:paraId="6FF174A4" w14:textId="77777777" w:rsidR="00C24CFC" w:rsidRDefault="00C24CFC">
      <w:pPr>
        <w:spacing w:after="0" w:line="276" w:lineRule="auto"/>
        <w:jc w:val="both"/>
        <w:rPr>
          <w:rFonts w:ascii="Times New Roman" w:hAnsi="Times New Roman" w:cs="Times New Roman"/>
          <w:sz w:val="24"/>
          <w:szCs w:val="24"/>
        </w:rPr>
      </w:pPr>
    </w:p>
    <w:p w14:paraId="1D14B72F"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hAnsi="Times New Roman" w:cs="Times New Roman"/>
          <w:b/>
          <w:bCs/>
          <w:sz w:val="24"/>
          <w:szCs w:val="24"/>
        </w:rPr>
        <w:t>Introduction</w:t>
      </w:r>
    </w:p>
    <w:p w14:paraId="3EC44670"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Flooding is one of the most destructive natural hazards affecting human settlements, infrastructure, livelihoods, and ecosystems across the world. It occurs when excessive water from rainfall, river overflow, or dam releases inundates normally dry land, re</w:t>
      </w:r>
      <w:r>
        <w:rPr>
          <w:rFonts w:ascii="Times New Roman" w:eastAsia="Times New Roman" w:hAnsi="Times New Roman" w:cs="Times New Roman"/>
          <w:sz w:val="24"/>
          <w:szCs w:val="24"/>
        </w:rPr>
        <w:t>sulting in loss of lives, displacement of populations, destruction of property, and disruption of socio-economic activities. Globally, floods account for nearly 40% of all recorded natural disasters, making them the most frequent hydrometeorological hazard</w:t>
      </w:r>
      <w:r>
        <w:rPr>
          <w:rFonts w:ascii="Times New Roman" w:eastAsia="Times New Roman" w:hAnsi="Times New Roman" w:cs="Times New Roman"/>
          <w:sz w:val="24"/>
          <w:szCs w:val="24"/>
        </w:rPr>
        <w:t xml:space="preserve"> (UNDRR, 2020). The increasing frequency and magnitude of flood events have been linked to climate variability and change, rapid urbanization, land-use modification, and weak environmental governance, particularly in developing countries (IPCC, 2021). Thes</w:t>
      </w:r>
      <w:r>
        <w:rPr>
          <w:rFonts w:ascii="Times New Roman" w:eastAsia="Times New Roman" w:hAnsi="Times New Roman" w:cs="Times New Roman"/>
          <w:sz w:val="24"/>
          <w:szCs w:val="24"/>
        </w:rPr>
        <w:t xml:space="preserve">e realities have shifted global attention from the mere occurrence of floods to the </w:t>
      </w:r>
      <w:r>
        <w:rPr>
          <w:rFonts w:ascii="Times New Roman" w:eastAsia="Times New Roman" w:hAnsi="Times New Roman" w:cs="Times New Roman"/>
          <w:bCs/>
          <w:sz w:val="24"/>
          <w:szCs w:val="24"/>
        </w:rPr>
        <w:t>effectiveness of flood management strategies</w:t>
      </w:r>
      <w:r>
        <w:rPr>
          <w:rFonts w:ascii="Times New Roman" w:eastAsia="Times New Roman" w:hAnsi="Times New Roman" w:cs="Times New Roman"/>
          <w:sz w:val="24"/>
          <w:szCs w:val="24"/>
        </w:rPr>
        <w:t xml:space="preserve"> in reducing impacts and enhancing resilience.</w:t>
      </w:r>
    </w:p>
    <w:p w14:paraId="0ACF11A7"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Flooding becomes a disaster not solely because of the volume of water involved, b</w:t>
      </w:r>
      <w:r>
        <w:rPr>
          <w:rFonts w:ascii="Times New Roman" w:eastAsia="Times New Roman" w:hAnsi="Times New Roman" w:cs="Times New Roman"/>
          <w:sz w:val="24"/>
          <w:szCs w:val="24"/>
        </w:rPr>
        <w:t>ut because it overwhelms the coping capacity of affected communities and institutions. The World Bank (2019) estimates that over 1.5 billion people worldwide have been affected by floods in the last two decades, with the most severe impacts recorded in low</w:t>
      </w:r>
      <w:r>
        <w:rPr>
          <w:rFonts w:ascii="Times New Roman" w:eastAsia="Times New Roman" w:hAnsi="Times New Roman" w:cs="Times New Roman"/>
          <w:sz w:val="24"/>
          <w:szCs w:val="24"/>
        </w:rPr>
        <w:t xml:space="preserve">- and middle-income countries where institutional capacity and disaster preparedness are often weak. In Africa, floods pose significant threats to food security, livelihoods, and development, particularly in agrarian regions where </w:t>
      </w:r>
      <w:r>
        <w:rPr>
          <w:rFonts w:ascii="Times New Roman" w:eastAsia="Times New Roman" w:hAnsi="Times New Roman" w:cs="Times New Roman"/>
          <w:sz w:val="24"/>
          <w:szCs w:val="24"/>
        </w:rPr>
        <w:lastRenderedPageBreak/>
        <w:t>climate-sensitive activit</w:t>
      </w:r>
      <w:r>
        <w:rPr>
          <w:rFonts w:ascii="Times New Roman" w:eastAsia="Times New Roman" w:hAnsi="Times New Roman" w:cs="Times New Roman"/>
          <w:sz w:val="24"/>
          <w:szCs w:val="24"/>
        </w:rPr>
        <w:t>ies dominate local economies (Opere, 2019). Nigeria ranks among the most flood-prone countries in West Africa, having experienced several devastating flood events, notably in 2012 and 2022, which caused extensive displacement and economic losses running in</w:t>
      </w:r>
      <w:r>
        <w:rPr>
          <w:rFonts w:ascii="Times New Roman" w:eastAsia="Times New Roman" w:hAnsi="Times New Roman" w:cs="Times New Roman"/>
          <w:sz w:val="24"/>
          <w:szCs w:val="24"/>
        </w:rPr>
        <w:t xml:space="preserve">to billions of naira (NEMA, 2022). These recurring flood events underscore the need not just for flood management interventions, but for a critical evaluation of how </w:t>
      </w:r>
      <w:r>
        <w:rPr>
          <w:rFonts w:ascii="Times New Roman" w:eastAsia="Times New Roman" w:hAnsi="Times New Roman" w:cs="Times New Roman"/>
          <w:bCs/>
          <w:sz w:val="24"/>
          <w:szCs w:val="24"/>
        </w:rPr>
        <w:t>effective</w:t>
      </w:r>
      <w:r>
        <w:rPr>
          <w:rFonts w:ascii="Times New Roman" w:eastAsia="Times New Roman" w:hAnsi="Times New Roman" w:cs="Times New Roman"/>
          <w:sz w:val="24"/>
          <w:szCs w:val="24"/>
        </w:rPr>
        <w:t xml:space="preserve"> such interventions are in practice.</w:t>
      </w:r>
    </w:p>
    <w:p w14:paraId="44E4FAC6"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Nigeria, flood management is coordinated </w:t>
      </w:r>
      <w:r>
        <w:rPr>
          <w:rFonts w:ascii="Times New Roman" w:eastAsia="Times New Roman" w:hAnsi="Times New Roman" w:cs="Times New Roman"/>
          <w:sz w:val="24"/>
          <w:szCs w:val="24"/>
        </w:rPr>
        <w:t xml:space="preserve">primarily by the National Emergency Management Agency (NEMA), in collaboration with State Emergency Management Agencies (SEMAs) and other stakeholders. Instruments such as the Annual Flood Outlook issued by the Nigeria Hydrological Services Agency (NIHSA) </w:t>
      </w:r>
      <w:r>
        <w:rPr>
          <w:rFonts w:ascii="Times New Roman" w:eastAsia="Times New Roman" w:hAnsi="Times New Roman" w:cs="Times New Roman"/>
          <w:sz w:val="24"/>
          <w:szCs w:val="24"/>
        </w:rPr>
        <w:t>are intended to support flood preparedness through early warning and risk information (NIHSA, 2022). Despite these frameworks, flood management outcomes in many Nigerian cities remain unsatisfactory, with repeated losses suggesting gaps between policy inte</w:t>
      </w:r>
      <w:r>
        <w:rPr>
          <w:rFonts w:ascii="Times New Roman" w:eastAsia="Times New Roman" w:hAnsi="Times New Roman" w:cs="Times New Roman"/>
          <w:sz w:val="24"/>
          <w:szCs w:val="24"/>
        </w:rPr>
        <w:t>ntions and on-ground effectiveness. Hence, the need to understand management strategies adopted by affected population.  Urban centres such as Makurdi, Lagos, and Port Harcourt continue to experience severe flood impacts due to weak preparedness, delayed r</w:t>
      </w:r>
      <w:r>
        <w:rPr>
          <w:rFonts w:ascii="Times New Roman" w:eastAsia="Times New Roman" w:hAnsi="Times New Roman" w:cs="Times New Roman"/>
          <w:sz w:val="24"/>
          <w:szCs w:val="24"/>
        </w:rPr>
        <w:t>esponse, and inadequate post-disaster recovery support (Olanrewaju et al., 2019).</w:t>
      </w:r>
    </w:p>
    <w:p w14:paraId="1F75663B"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Benue State is particularly vulnerable to flooding because of its location along the River Benue and its tributaries. Makurdi, the state capital, experiences recurrent floodi</w:t>
      </w:r>
      <w:r>
        <w:rPr>
          <w:rFonts w:ascii="Times New Roman" w:eastAsia="Times New Roman" w:hAnsi="Times New Roman" w:cs="Times New Roman"/>
          <w:sz w:val="24"/>
          <w:szCs w:val="24"/>
        </w:rPr>
        <w:t>ng during peak rainfall periods, with the 2012 and 2022 flood events being among the most severe in recent history (Benue SEMA, 2022). The 2022 flood event caused widespread displacement, destruction of farmlands and housing, and disruption of livelihoods.</w:t>
      </w:r>
      <w:r>
        <w:rPr>
          <w:rFonts w:ascii="Times New Roman" w:eastAsia="Times New Roman" w:hAnsi="Times New Roman" w:cs="Times New Roman"/>
          <w:sz w:val="24"/>
          <w:szCs w:val="24"/>
        </w:rPr>
        <w:t xml:space="preserve"> While various preparedness measures, emergency response actions, and recovery interventions were undertaken by government agencies, non-governmental organizations, and community groups, the </w:t>
      </w:r>
      <w:r>
        <w:rPr>
          <w:rFonts w:ascii="Times New Roman" w:eastAsia="Times New Roman" w:hAnsi="Times New Roman" w:cs="Times New Roman"/>
          <w:bCs/>
          <w:sz w:val="24"/>
          <w:szCs w:val="24"/>
        </w:rPr>
        <w:t>extent to which these strategies were effective remains unclear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Understanding their performance is critical for improving future flood management outcomes in the state.</w:t>
      </w:r>
    </w:p>
    <w:p w14:paraId="75DFB947" w14:textId="77777777" w:rsidR="00C24CFC" w:rsidRDefault="00AF004B">
      <w:pPr>
        <w:spacing w:after="0" w:line="276"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Statement of the Research Problem</w:t>
      </w:r>
    </w:p>
    <w:p w14:paraId="22D3BC73"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Flooding remains one of Nigeria's most persistent environmental challenges, particularly in urban and riverine areas like Makurdi, Benue State, where population growth, unplanned development, and inadequate infrastructure increase vulnerability. Despite ex</w:t>
      </w:r>
      <w:r>
        <w:rPr>
          <w:rFonts w:ascii="Times New Roman" w:eastAsia="Times New Roman" w:hAnsi="Times New Roman" w:cs="Times New Roman"/>
          <w:sz w:val="24"/>
          <w:szCs w:val="24"/>
        </w:rPr>
        <w:t>isting disaster management institutions and early warning frameworks, flood impacts continue to escalate, suggesting that the problem lies in the effectiveness of flood management strategies. The 2022 flood event in Makurdi was severe, displacing thousands</w:t>
      </w:r>
      <w:r>
        <w:rPr>
          <w:rFonts w:ascii="Times New Roman" w:eastAsia="Times New Roman" w:hAnsi="Times New Roman" w:cs="Times New Roman"/>
          <w:sz w:val="24"/>
          <w:szCs w:val="24"/>
        </w:rPr>
        <w:t xml:space="preserve"> and exposing weaknesses in preparedness, emergency response, and post-flood recovery.</w:t>
      </w:r>
    </w:p>
    <w:p w14:paraId="2FF151BC"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Flood management in Nigeria is structured around preparedness, response, recovery, and mitigation, but evidence shows these components are often poorly coordinated and u</w:t>
      </w:r>
      <w:r>
        <w:rPr>
          <w:rFonts w:ascii="Times New Roman" w:eastAsia="Times New Roman" w:hAnsi="Times New Roman" w:cs="Times New Roman"/>
          <w:sz w:val="24"/>
          <w:szCs w:val="24"/>
        </w:rPr>
        <w:t>nevenly implemented. In Makurdi, preparedness is weak, with late or inadequate warnings, delayed emergency responses, and insufficient relief materials. Post-flood recovery efforts are often short-term, failing to support rebuilding livelihoods and infrast</w:t>
      </w:r>
      <w:r>
        <w:rPr>
          <w:rFonts w:ascii="Times New Roman" w:eastAsia="Times New Roman" w:hAnsi="Times New Roman" w:cs="Times New Roman"/>
          <w:sz w:val="24"/>
          <w:szCs w:val="24"/>
        </w:rPr>
        <w:t>ructure sustainably.</w:t>
      </w:r>
    </w:p>
    <w:p w14:paraId="57D9577C"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studies have examined flood risk and disaster management in Nigeria, few evaluate the effectiveness of specific flood management strategies, particularly from the 2022 Makurdi flood. </w:t>
      </w:r>
      <w:r>
        <w:rPr>
          <w:rFonts w:ascii="Times New Roman" w:eastAsia="Times New Roman" w:hAnsi="Times New Roman" w:cs="Times New Roman"/>
          <w:sz w:val="24"/>
          <w:szCs w:val="24"/>
        </w:rPr>
        <w:lastRenderedPageBreak/>
        <w:t>This study addresses this gap by evaluating pr</w:t>
      </w:r>
      <w:r>
        <w:rPr>
          <w:rFonts w:ascii="Times New Roman" w:eastAsia="Times New Roman" w:hAnsi="Times New Roman" w:cs="Times New Roman"/>
          <w:sz w:val="24"/>
          <w:szCs w:val="24"/>
        </w:rPr>
        <w:t>eparedness, and response strategies, providing evidence-based insights to improve flood management in Benue State and similar settings.</w:t>
      </w:r>
    </w:p>
    <w:p w14:paraId="47FE271C" w14:textId="77777777" w:rsidR="00C24CFC" w:rsidRDefault="00AF004B">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Aim and Objectives of the Study:</w:t>
      </w:r>
    </w:p>
    <w:p w14:paraId="7C2F28B2" w14:textId="77777777" w:rsidR="00C24CFC" w:rsidRDefault="00AF004B">
      <w:pPr>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This study is aimed at assessing the effectiveness of flood disaster management strateg</w:t>
      </w:r>
      <w:r>
        <w:rPr>
          <w:rFonts w:ascii="Times New Roman" w:eastAsia="Times New Roman" w:hAnsi="Times New Roman" w:cs="Times New Roman"/>
          <w:kern w:val="0"/>
          <w:sz w:val="24"/>
          <w:szCs w:val="24"/>
          <w14:ligatures w14:val="none"/>
        </w:rPr>
        <w:t>ies employed in Makurdi Local Government Area (LGA) during the 2022 flood event. The following are the specific objectives:</w:t>
      </w:r>
    </w:p>
    <w:p w14:paraId="38393877" w14:textId="77777777" w:rsidR="00C24CFC" w:rsidRDefault="00AF004B">
      <w:pPr>
        <w:pStyle w:val="ListParagraph"/>
        <w:numPr>
          <w:ilvl w:val="0"/>
          <w:numId w:val="1"/>
        </w:numPr>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To assess the preparedness measures implemented by residents of Flood-prone areas before the 2022 flood event in Makurdi LGA and eva</w:t>
      </w:r>
      <w:r>
        <w:rPr>
          <w:rFonts w:ascii="Times New Roman" w:eastAsia="Times New Roman" w:hAnsi="Times New Roman" w:cs="Times New Roman"/>
          <w:kern w:val="0"/>
          <w:sz w:val="24"/>
          <w:szCs w:val="24"/>
          <w14:ligatures w14:val="none"/>
        </w:rPr>
        <w:t xml:space="preserve">luate their effectiveness; </w:t>
      </w:r>
    </w:p>
    <w:p w14:paraId="0637F431" w14:textId="77777777" w:rsidR="00C24CFC" w:rsidRDefault="00AF004B">
      <w:pPr>
        <w:pStyle w:val="ListParagraph"/>
        <w:numPr>
          <w:ilvl w:val="0"/>
          <w:numId w:val="1"/>
        </w:numPr>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To examine the response strategies employed by residents of Flood-prone areas during the 2022 flood disaster in Makurdi LGA and assess their timeliness and efficiency; </w:t>
      </w:r>
    </w:p>
    <w:p w14:paraId="2B9FAFCD" w14:textId="77777777" w:rsidR="00C24CFC" w:rsidRDefault="00AF004B">
      <w:pPr>
        <w:pStyle w:val="ListParagraph"/>
        <w:numPr>
          <w:ilvl w:val="0"/>
          <w:numId w:val="1"/>
        </w:numPr>
        <w:spacing w:after="0" w:line="276" w:lineRule="auto"/>
        <w:jc w:val="both"/>
        <w:rPr>
          <w:rFonts w:ascii="Times New Roman" w:hAnsi="Times New Roman" w:cs="Times New Roman"/>
          <w:sz w:val="24"/>
          <w:szCs w:val="24"/>
        </w:rPr>
      </w:pPr>
      <w:r>
        <w:rPr>
          <w:rFonts w:ascii="Times New Roman" w:eastAsia="Times New Roman" w:hAnsi="Times New Roman" w:cs="Times New Roman"/>
          <w:kern w:val="0"/>
          <w:sz w:val="24"/>
          <w:szCs w:val="24"/>
          <w14:ligatures w14:val="none"/>
        </w:rPr>
        <w:t xml:space="preserve">To identify key challenges/factors in flood disaster management strategies in Makurdi LGA. </w:t>
      </w:r>
    </w:p>
    <w:p w14:paraId="28282790" w14:textId="77777777" w:rsidR="00C24CFC" w:rsidRDefault="00AF004B">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Research Questions </w:t>
      </w:r>
    </w:p>
    <w:p w14:paraId="27827BDB" w14:textId="77777777" w:rsidR="00C24CFC" w:rsidRDefault="00AF004B">
      <w:pPr>
        <w:pStyle w:val="ListParagraph"/>
        <w:numPr>
          <w:ilvl w:val="0"/>
          <w:numId w:val="2"/>
        </w:numPr>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What preparedness measures were implemented by residents of flood-prone areas in Makurdi Local Government Area prior to the 2022 flood event, an</w:t>
      </w:r>
      <w:r>
        <w:rPr>
          <w:rFonts w:ascii="Times New Roman" w:eastAsia="Times New Roman" w:hAnsi="Times New Roman" w:cs="Times New Roman"/>
          <w:kern w:val="0"/>
          <w:sz w:val="24"/>
          <w:szCs w:val="24"/>
          <w14:ligatures w14:val="none"/>
        </w:rPr>
        <w:t>d how effective were these measures?</w:t>
      </w:r>
    </w:p>
    <w:p w14:paraId="53D65168" w14:textId="77777777" w:rsidR="00C24CFC" w:rsidRDefault="00AF004B">
      <w:pPr>
        <w:pStyle w:val="ListParagraph"/>
        <w:numPr>
          <w:ilvl w:val="0"/>
          <w:numId w:val="2"/>
        </w:numPr>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What response strategies were employed by residents of flood-prone areas during the 2022 flood disaster in Makurdi Local Government Area, and how timely and efficient were these strategies?</w:t>
      </w:r>
    </w:p>
    <w:p w14:paraId="5FFDDC3E" w14:textId="77777777" w:rsidR="00C24CFC" w:rsidRDefault="00AF004B">
      <w:pPr>
        <w:pStyle w:val="ListParagraph"/>
        <w:numPr>
          <w:ilvl w:val="0"/>
          <w:numId w:val="2"/>
        </w:numPr>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What key challenges and facto</w:t>
      </w:r>
      <w:r>
        <w:rPr>
          <w:rFonts w:ascii="Times New Roman" w:eastAsia="Times New Roman" w:hAnsi="Times New Roman" w:cs="Times New Roman"/>
          <w:kern w:val="0"/>
          <w:sz w:val="24"/>
          <w:szCs w:val="24"/>
          <w14:ligatures w14:val="none"/>
        </w:rPr>
        <w:t>rs influenced the effectiveness of flood disaster management strategies in Makurdi Local Government Area during the 2022 flood event?</w:t>
      </w:r>
    </w:p>
    <w:p w14:paraId="28F73215" w14:textId="77777777" w:rsidR="00C24CFC" w:rsidRDefault="00AF004B">
      <w:pPr>
        <w:spacing w:line="276"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Literature Review </w:t>
      </w:r>
    </w:p>
    <w:p w14:paraId="2E491743" w14:textId="77777777" w:rsidR="00C24CFC" w:rsidRDefault="00AF004B">
      <w:pPr>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Flooding, a natural event in which normally dry land becomes submerged, is driven by heavy rainfall, ri</w:t>
      </w:r>
      <w:r>
        <w:rPr>
          <w:rFonts w:ascii="Times New Roman" w:eastAsia="Times New Roman" w:hAnsi="Times New Roman" w:cs="Times New Roman"/>
          <w:kern w:val="0"/>
          <w:sz w:val="24"/>
          <w:szCs w:val="24"/>
          <w14:ligatures w14:val="none"/>
        </w:rPr>
        <w:t>ver overflow, storm surges, or dam failure and can be classified as fluvial, pluvial, coastal, or flash (Smith &amp; Ward, 2020; Kundzewicz et al., 2019). Urbanization, deforestation, and climate change intensify runoff and increase flood frequency (Douglas et</w:t>
      </w:r>
      <w:r>
        <w:rPr>
          <w:rFonts w:ascii="Times New Roman" w:eastAsia="Times New Roman" w:hAnsi="Times New Roman" w:cs="Times New Roman"/>
          <w:kern w:val="0"/>
          <w:sz w:val="24"/>
          <w:szCs w:val="24"/>
          <w14:ligatures w14:val="none"/>
        </w:rPr>
        <w:t> al., 2020; IPCC, 2021). A disaster overwhelms a community’s coping capacity, whereas an emergency is a sudden, manageable incident (Alexander, 2017; Haddow et al., 2020). Disaster management follows a four‑phase cycle—mitigation, preparedness, response, a</w:t>
      </w:r>
      <w:r>
        <w:rPr>
          <w:rFonts w:ascii="Times New Roman" w:eastAsia="Times New Roman" w:hAnsi="Times New Roman" w:cs="Times New Roman"/>
          <w:kern w:val="0"/>
          <w:sz w:val="24"/>
          <w:szCs w:val="24"/>
          <w14:ligatures w14:val="none"/>
        </w:rPr>
        <w:t>nd recovery—encompassing structural measures (levees, dams) and non‑structural actions (zoning, afforestation), early‑warning systems, public education, rapid search‑and‑rescue, relief distribution, and long‑term reconstruction (Coppola, 2021; UNDRR, 2019;</w:t>
      </w:r>
      <w:r>
        <w:rPr>
          <w:rFonts w:ascii="Times New Roman" w:eastAsia="Times New Roman" w:hAnsi="Times New Roman" w:cs="Times New Roman"/>
          <w:kern w:val="0"/>
          <w:sz w:val="24"/>
          <w:szCs w:val="24"/>
          <w14:ligatures w14:val="none"/>
        </w:rPr>
        <w:t xml:space="preserve"> IFRC, 2020; Cutter et al., 2016). High‑income nations employ advanced early‑warning, GIS mapping, and well‑funded agencies (e.g., FEMA, Japan’s MLIT) and maintain robust defenses such as the Netherlands’ Delta Works and the Thames Barrier, resulting in re</w:t>
      </w:r>
      <w:r>
        <w:rPr>
          <w:rFonts w:ascii="Times New Roman" w:eastAsia="Times New Roman" w:hAnsi="Times New Roman" w:cs="Times New Roman"/>
          <w:kern w:val="0"/>
          <w:sz w:val="24"/>
          <w:szCs w:val="24"/>
          <w14:ligatures w14:val="none"/>
        </w:rPr>
        <w:t>latively low flood mortality (Hooijer et al., 2021). In Nigeria, flood preparedness is limited by scarce resources, weak institutional coordination, poor enforcement of land‑use regulations, and inadequate maintenance of drainage and embankments (Adelekan,</w:t>
      </w:r>
      <w:r>
        <w:rPr>
          <w:rFonts w:ascii="Times New Roman" w:eastAsia="Times New Roman" w:hAnsi="Times New Roman" w:cs="Times New Roman"/>
          <w:kern w:val="0"/>
          <w:sz w:val="24"/>
          <w:szCs w:val="24"/>
          <w14:ligatures w14:val="none"/>
        </w:rPr>
        <w:t xml:space="preserve"> 2022; NEMA, 2022; Etuonovbe, 2011). Early‑warning coverage is patchy, public awareness low, and response to the 2022 flood was reactive and fragmented (Agada &amp; Zuwu, 2021; UN OCHA, 2022). Recovery suffers from insufficient funding, corruption, and lack of</w:t>
      </w:r>
      <w:r>
        <w:rPr>
          <w:rFonts w:ascii="Times New Roman" w:eastAsia="Times New Roman" w:hAnsi="Times New Roman" w:cs="Times New Roman"/>
          <w:kern w:val="0"/>
          <w:sz w:val="24"/>
          <w:szCs w:val="24"/>
          <w14:ligatures w14:val="none"/>
        </w:rPr>
        <w:t xml:space="preserve"> flood‑insurance, prolonging economic hardship (Olanrewaju et al., 2021). </w:t>
      </w:r>
    </w:p>
    <w:p w14:paraId="450E31B1" w14:textId="77777777" w:rsidR="00C24CFC" w:rsidRDefault="00AF004B">
      <w:pPr>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Empirical studies in Benue State show heavy rainfall, drainage silting, and waste blockage as primary flood causes, with property loss as the main impact; community coping actions (</w:t>
      </w:r>
      <w:r>
        <w:rPr>
          <w:rFonts w:ascii="Times New Roman" w:eastAsia="Times New Roman" w:hAnsi="Times New Roman" w:cs="Times New Roman"/>
          <w:kern w:val="0"/>
          <w:sz w:val="24"/>
          <w:szCs w:val="24"/>
          <w14:ligatures w14:val="none"/>
        </w:rPr>
        <w:t>clearing drains, sandbanks) are often ineffective (Shabu &amp; Tyonum, 2013). Bridge &amp; Oguno (2023) found a strong positive link between self‑funded drainage construction and perceived effectiveness, while government role remains limited. Mbese et al. (2024) r</w:t>
      </w:r>
      <w:r>
        <w:rPr>
          <w:rFonts w:ascii="Times New Roman" w:eastAsia="Times New Roman" w:hAnsi="Times New Roman" w:cs="Times New Roman"/>
          <w:kern w:val="0"/>
          <w:sz w:val="24"/>
          <w:szCs w:val="24"/>
          <w14:ligatures w14:val="none"/>
        </w:rPr>
        <w:t>eported that flooding severely disrupts agricultural input supply and inflates prices, underscoring the need for resilient infrastructure, early warning, and financial support. Elum &amp; Lawal (2022) revealed low flood‑risk awareness and limited adaptive capa</w:t>
      </w:r>
      <w:r>
        <w:rPr>
          <w:rFonts w:ascii="Times New Roman" w:eastAsia="Times New Roman" w:hAnsi="Times New Roman" w:cs="Times New Roman"/>
          <w:kern w:val="0"/>
          <w:sz w:val="24"/>
          <w:szCs w:val="24"/>
          <w14:ligatures w14:val="none"/>
        </w:rPr>
        <w:t xml:space="preserve">city, with preparedness driven by risk perception, age, and household size, suggesting integrated flood‑risk management and public education. </w:t>
      </w:r>
    </w:p>
    <w:p w14:paraId="4C9530A9" w14:textId="77777777" w:rsidR="00C24CFC" w:rsidRDefault="00AF004B">
      <w:pPr>
        <w:jc w:val="both"/>
      </w:pPr>
      <w:r>
        <w:rPr>
          <w:rFonts w:ascii="Times New Roman" w:eastAsia="Times New Roman" w:hAnsi="Times New Roman" w:cs="Times New Roman"/>
          <w:kern w:val="0"/>
          <w:sz w:val="24"/>
          <w:szCs w:val="24"/>
          <w14:ligatures w14:val="none"/>
        </w:rPr>
        <w:t>The study draws on three theoretical lenses: the Disaster Management Cycle, which structures analysis across miti</w:t>
      </w:r>
      <w:r>
        <w:rPr>
          <w:rFonts w:ascii="Times New Roman" w:eastAsia="Times New Roman" w:hAnsi="Times New Roman" w:cs="Times New Roman"/>
          <w:kern w:val="0"/>
          <w:sz w:val="24"/>
          <w:szCs w:val="24"/>
          <w14:ligatures w14:val="none"/>
        </w:rPr>
        <w:t>gation, preparedness, response, and recovery (Alexander, 2002); Protection Motivation Theory, which explains how threat appraisal and coping appraisal shape protective behavior (Rogers, 1975, 1983); and the Sustainable Livelihoods Framework, which examines</w:t>
      </w:r>
      <w:r>
        <w:rPr>
          <w:rFonts w:ascii="Times New Roman" w:eastAsia="Times New Roman" w:hAnsi="Times New Roman" w:cs="Times New Roman"/>
          <w:kern w:val="0"/>
          <w:sz w:val="24"/>
          <w:szCs w:val="24"/>
          <w14:ligatures w14:val="none"/>
        </w:rPr>
        <w:t xml:space="preserve"> how five capital assets (human, social, natural, physical, financial) interact with vulnerability contexts and institutions to influence resilience (Chambers &amp; Conway, 1992; DFID, 1999). Together, these concepts and theories frame an assessment of flood m</w:t>
      </w:r>
      <w:r>
        <w:rPr>
          <w:rFonts w:ascii="Times New Roman" w:eastAsia="Times New Roman" w:hAnsi="Times New Roman" w:cs="Times New Roman"/>
          <w:kern w:val="0"/>
          <w:sz w:val="24"/>
          <w:szCs w:val="24"/>
          <w14:ligatures w14:val="none"/>
        </w:rPr>
        <w:t>anagement in Benue State, highlighting gaps in institutional capacity, community engagement, and resource allocation, and pointing to a holistic approach that integrates early‑warning, GIS mapping, maintained structural defenses, enforceable land‑use plann</w:t>
      </w:r>
      <w:r>
        <w:rPr>
          <w:rFonts w:ascii="Times New Roman" w:eastAsia="Times New Roman" w:hAnsi="Times New Roman" w:cs="Times New Roman"/>
          <w:kern w:val="0"/>
          <w:sz w:val="24"/>
          <w:szCs w:val="24"/>
          <w14:ligatures w14:val="none"/>
        </w:rPr>
        <w:t>ing, and community‑based preparedness.</w:t>
      </w:r>
    </w:p>
    <w:p w14:paraId="1278A9AD" w14:textId="77777777" w:rsidR="00C24CFC" w:rsidRDefault="00AF004B">
      <w:pPr>
        <w:spacing w:after="0" w:line="276" w:lineRule="auto"/>
        <w:jc w:val="both"/>
        <w:rPr>
          <w:rFonts w:ascii="Times New Roman" w:hAnsi="Times New Roman" w:cs="Times New Roman"/>
          <w:b/>
        </w:rPr>
      </w:pPr>
      <w:r>
        <w:rPr>
          <w:rFonts w:ascii="Times New Roman" w:hAnsi="Times New Roman" w:cs="Times New Roman"/>
          <w:b/>
        </w:rPr>
        <w:t>Research Methodology</w:t>
      </w:r>
    </w:p>
    <w:p w14:paraId="3A120300" w14:textId="77777777" w:rsidR="00C24CFC" w:rsidRDefault="00AF004B">
      <w:p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The study used a survey research design with a mixed‑methods approach, combining quantitative questionnaires and qualitative key‑informant interviews (KIIs). It focused on residents lived experien</w:t>
      </w:r>
      <w:r>
        <w:rPr>
          <w:rFonts w:ascii="Times New Roman" w:eastAsia="SimSun" w:hAnsi="Times New Roman" w:cs="Times New Roman"/>
          <w:bCs/>
          <w:sz w:val="24"/>
          <w:szCs w:val="24"/>
        </w:rPr>
        <w:t>ces of preparedness, response, and recovery during the 2022 flood in Makurdi LGA, deliberately excluding institutional actors to avoid reporting bias.</w:t>
      </w:r>
    </w:p>
    <w:p w14:paraId="6009F6D5" w14:textId="77777777" w:rsidR="00C24CFC" w:rsidRDefault="00AF004B">
      <w:p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 xml:space="preserve">Data needs covered four domains: (1) household preparedness (early‑warning receipt, risk awareness); (2) </w:t>
      </w:r>
      <w:r>
        <w:rPr>
          <w:rFonts w:ascii="Times New Roman" w:eastAsia="SimSun" w:hAnsi="Times New Roman" w:cs="Times New Roman"/>
          <w:bCs/>
          <w:sz w:val="24"/>
          <w:szCs w:val="24"/>
        </w:rPr>
        <w:t>response actions (evacuation, rescue, relief timeliness); (3) recovery outcomes (livelihood restoration, coping capacity); and (4) challenges to flood management. Primary data were gathered through structured household questionnaires and semi‑structured KI</w:t>
      </w:r>
      <w:r>
        <w:rPr>
          <w:rFonts w:ascii="Times New Roman" w:eastAsia="SimSun" w:hAnsi="Times New Roman" w:cs="Times New Roman"/>
          <w:bCs/>
          <w:sz w:val="24"/>
          <w:szCs w:val="24"/>
        </w:rPr>
        <w:t>Is with community leaders, traders, farmers, and long‑term residents.</w:t>
      </w:r>
    </w:p>
    <w:p w14:paraId="794F2F6E" w14:textId="77777777" w:rsidR="00C24CFC" w:rsidRDefault="00AF004B">
      <w:p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The study population comprised flood‑affected households in six purposively selected neighbourhoods (Idye, Wurukum, Industrial Layout, Gyado Villa, Logo I &amp; II, Kucha Utebe). Because the</w:t>
      </w:r>
      <w:r>
        <w:rPr>
          <w:rFonts w:ascii="Times New Roman" w:eastAsia="SimSun" w:hAnsi="Times New Roman" w:cs="Times New Roman"/>
          <w:bCs/>
          <w:sz w:val="24"/>
          <w:szCs w:val="24"/>
        </w:rPr>
        <w:t xml:space="preserve"> exact number of affected households was unknown, the sample size was calculated with Cochran’s (1977).</w:t>
      </w:r>
    </w:p>
    <w:p w14:paraId="6DDB77EF" w14:textId="77777777" w:rsidR="00C24CFC" w:rsidRDefault="00AF004B">
      <w:pPr>
        <w:spacing w:after="0" w:line="276"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Cochran’s (1977) Formula:</w:t>
      </w:r>
    </w:p>
    <w:p w14:paraId="1794F819" w14:textId="77777777" w:rsidR="00C24CFC" w:rsidRDefault="00AF004B">
      <w:pPr>
        <w:spacing w:after="0" w:line="276" w:lineRule="auto"/>
        <w:jc w:val="both"/>
        <w:rPr>
          <w:rFonts w:ascii="Times New Roman" w:eastAsia="Times New Roman" w:hAnsi="Times New Roman" w:cs="Times New Roman"/>
          <w:kern w:val="0"/>
          <w:sz w:val="24"/>
          <w:szCs w:val="24"/>
          <w14:ligatures w14:val="none"/>
        </w:rPr>
      </w:pPr>
      <m:oMath>
        <m:r>
          <w:rPr>
            <w:rFonts w:ascii="Cambria Math" w:eastAsia="Times New Roman" w:hAnsi="Cambria Math" w:cs="Times New Roman"/>
            <w:kern w:val="0"/>
            <w:sz w:val="24"/>
            <w:szCs w:val="24"/>
            <w14:ligatures w14:val="none"/>
          </w:rPr>
          <m:t>n</m:t>
        </m:r>
        <m:r>
          <w:rPr>
            <w:rFonts w:ascii="Cambria Math" w:eastAsia="Times New Roman" w:hAnsi="Cambria Math" w:cs="Times New Roman"/>
            <w:kern w:val="0"/>
            <w:sz w:val="24"/>
            <w:szCs w:val="24"/>
            <w14:ligatures w14:val="none"/>
          </w:rPr>
          <m:t>=</m:t>
        </m:r>
        <m:f>
          <m:fPr>
            <m:ctrlPr>
              <w:rPr>
                <w:rFonts w:ascii="Cambria Math" w:eastAsia="Times New Roman" w:hAnsi="Cambria Math" w:cs="Times New Roman"/>
                <w:kern w:val="0"/>
                <w:sz w:val="24"/>
                <w:szCs w:val="24"/>
                <w14:ligatures w14:val="none"/>
              </w:rPr>
            </m:ctrlPr>
          </m:fPr>
          <m:num>
            <m:sSup>
              <m:sSupPr>
                <m:ctrlPr>
                  <w:rPr>
                    <w:rFonts w:ascii="Cambria Math" w:eastAsia="Times New Roman" w:hAnsi="Cambria Math" w:cs="Times New Roman"/>
                    <w:kern w:val="0"/>
                    <w:sz w:val="24"/>
                    <w:szCs w:val="24"/>
                    <w14:ligatures w14:val="none"/>
                  </w:rPr>
                </m:ctrlPr>
              </m:sSupPr>
              <m:e>
                <m:r>
                  <w:rPr>
                    <w:rFonts w:ascii="Cambria Math" w:eastAsia="Times New Roman" w:hAnsi="Cambria Math" w:cs="Times New Roman"/>
                    <w:sz w:val="24"/>
                    <w:szCs w:val="24"/>
                  </w:rPr>
                  <m:t>Z</m:t>
                </m:r>
              </m:e>
              <m:sup>
                <m:r>
                  <w:rPr>
                    <w:rFonts w:ascii="Cambria Math" w:eastAsia="Times New Roman" w:hAnsi="Cambria Math" w:cs="Times New Roman"/>
                    <w:kern w:val="0"/>
                    <w:sz w:val="24"/>
                    <w:szCs w:val="24"/>
                    <w14:ligatures w14:val="none"/>
                  </w:rPr>
                  <m:t>2</m:t>
                </m:r>
              </m:sup>
            </m:sSup>
            <m:r>
              <w:rPr>
                <w:rFonts w:ascii="Cambria Math" w:eastAsia="Times New Roman" w:hAnsi="Cambria Math" w:cs="Times New Roman"/>
                <w:sz w:val="24"/>
                <w:szCs w:val="24"/>
              </w:rPr>
              <m:t>p</m:t>
            </m:r>
            <m:r>
              <w:rPr>
                <w:rFonts w:ascii="Cambria Math" w:eastAsia="Times New Roman" w:hAnsi="Cambria Math" w:cs="Times New Roman"/>
                <w:kern w:val="0"/>
                <w:sz w:val="24"/>
                <w:szCs w:val="24"/>
                <w14:ligatures w14:val="none"/>
              </w:rPr>
              <m:t xml:space="preserve"> (1-</m:t>
            </m:r>
            <m:r>
              <w:rPr>
                <w:rFonts w:ascii="Cambria Math" w:eastAsia="Times New Roman" w:hAnsi="Cambria Math" w:cs="Times New Roman"/>
                <w:sz w:val="24"/>
                <w:szCs w:val="24"/>
              </w:rPr>
              <m:t>p</m:t>
            </m:r>
            <m:r>
              <w:rPr>
                <w:rFonts w:ascii="Cambria Math" w:eastAsia="Times New Roman" w:hAnsi="Cambria Math" w:cs="Times New Roman"/>
                <w:kern w:val="0"/>
                <w:sz w:val="24"/>
                <w:szCs w:val="24"/>
                <w14:ligatures w14:val="none"/>
              </w:rPr>
              <m:t>)</m:t>
            </m:r>
          </m:num>
          <m:den>
            <m:r>
              <w:rPr>
                <w:rFonts w:ascii="Cambria Math" w:eastAsia="Times New Roman" w:hAnsi="Cambria Math" w:cs="Times New Roman"/>
                <w:kern w:val="0"/>
                <w:sz w:val="24"/>
                <w:szCs w:val="24"/>
                <w14:ligatures w14:val="none"/>
              </w:rPr>
              <m:t>e</m:t>
            </m:r>
            <m:r>
              <w:rPr>
                <w:rFonts w:ascii="Cambria Math" w:eastAsia="Times New Roman" w:hAnsi="Cambria Math" w:cs="Times New Roman"/>
                <w:kern w:val="0"/>
                <w:sz w:val="24"/>
                <w:szCs w:val="24"/>
                <w14:ligatures w14:val="none"/>
              </w:rPr>
              <m:t>2</m:t>
            </m:r>
          </m:den>
        </m:f>
      </m:oMath>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8FE9CB1" w14:textId="77777777" w:rsidR="00C24CFC" w:rsidRDefault="00AF004B">
      <w:pPr>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Where:</w:t>
      </w:r>
    </w:p>
    <w:p w14:paraId="6ACE0252" w14:textId="77777777" w:rsidR="00C24CFC" w:rsidRDefault="00AF004B">
      <w:pPr>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kern w:val="0"/>
          <w:sz w:val="24"/>
          <w:szCs w:val="24"/>
          <w14:ligatures w14:val="none"/>
        </w:rPr>
        <w:t>n</w:t>
      </w:r>
      <w:r>
        <w:rPr>
          <w:rFonts w:ascii="Times New Roman" w:eastAsia="Times New Roman" w:hAnsi="Times New Roman" w:cs="Times New Roman"/>
          <w:kern w:val="0"/>
          <w:sz w:val="24"/>
          <w:szCs w:val="24"/>
          <w14:ligatures w14:val="none"/>
        </w:rPr>
        <w:t xml:space="preserve"> = Required sample size</w:t>
      </w:r>
    </w:p>
    <w:p w14:paraId="7C3C03B0" w14:textId="77777777" w:rsidR="00C24CFC" w:rsidRDefault="00AF004B">
      <w:pPr>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kern w:val="0"/>
          <w:sz w:val="24"/>
          <w:szCs w:val="24"/>
          <w14:ligatures w14:val="none"/>
        </w:rPr>
        <w:t>Z</w:t>
      </w:r>
      <w:r>
        <w:rPr>
          <w:rFonts w:ascii="Times New Roman" w:eastAsia="Times New Roman" w:hAnsi="Times New Roman" w:cs="Times New Roman"/>
          <w:i/>
          <w:iCs/>
          <w:kern w:val="0"/>
          <w:sz w:val="24"/>
          <w:szCs w:val="24"/>
          <w:vertAlign w:val="superscript"/>
          <w14:ligatures w14:val="none"/>
        </w:rPr>
        <w:t>2</w:t>
      </w:r>
      <w:r>
        <w:rPr>
          <w:rFonts w:ascii="Times New Roman" w:eastAsia="Times New Roman" w:hAnsi="Times New Roman" w:cs="Times New Roman"/>
          <w:kern w:val="0"/>
          <w:sz w:val="24"/>
          <w:szCs w:val="24"/>
          <w14:ligatures w14:val="none"/>
        </w:rPr>
        <w:t xml:space="preserve"> = Z-score corresponding to the confidence level (e.g., 1.96 for 95% confidence)</w:t>
      </w:r>
    </w:p>
    <w:p w14:paraId="2566798A" w14:textId="77777777" w:rsidR="00C24CFC" w:rsidRDefault="00AF004B">
      <w:pPr>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kern w:val="0"/>
          <w:sz w:val="24"/>
          <w:szCs w:val="24"/>
          <w14:ligatures w14:val="none"/>
        </w:rPr>
        <w:lastRenderedPageBreak/>
        <w:t>p</w:t>
      </w:r>
      <w:r>
        <w:rPr>
          <w:rFonts w:ascii="Times New Roman" w:eastAsia="Times New Roman" w:hAnsi="Times New Roman" w:cs="Times New Roman"/>
          <w:kern w:val="0"/>
          <w:sz w:val="24"/>
          <w:szCs w:val="24"/>
          <w14:ligatures w14:val="none"/>
        </w:rPr>
        <w:t xml:space="preserve"> = Estimated proportion of the population with the characteristic of interest (usually 0.5 when unknown)</w:t>
      </w:r>
    </w:p>
    <w:p w14:paraId="67516DAF" w14:textId="77777777" w:rsidR="00C24CFC" w:rsidRDefault="00AF004B">
      <w:pPr>
        <w:spacing w:after="0" w:line="276"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e</w:t>
      </w:r>
      <w:r>
        <w:rPr>
          <w:rFonts w:ascii="Times New Roman" w:eastAsia="Times New Roman" w:hAnsi="Times New Roman" w:cs="Times New Roman"/>
          <w:kern w:val="0"/>
          <w:sz w:val="24"/>
          <w:szCs w:val="24"/>
          <w:vertAlign w:val="superscript"/>
          <w14:ligatures w14:val="none"/>
        </w:rPr>
        <w:t>2</w:t>
      </w:r>
      <w:r>
        <w:rPr>
          <w:rFonts w:ascii="Times New Roman" w:eastAsia="Times New Roman" w:hAnsi="Times New Roman" w:cs="Times New Roman"/>
          <w:kern w:val="0"/>
          <w:sz w:val="24"/>
          <w:szCs w:val="24"/>
          <w14:ligatures w14:val="none"/>
        </w:rPr>
        <w:t xml:space="preserve"> = Desired margin of error (commonly 0.05 for 95% confidence)</w:t>
      </w:r>
    </w:p>
    <w:p w14:paraId="39E9C883" w14:textId="77777777" w:rsidR="00C24CFC" w:rsidRDefault="00AF004B">
      <w:p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Using</w:t>
      </w:r>
      <w:r>
        <w:rPr>
          <w:rFonts w:ascii="Times New Roman" w:eastAsia="SimSun" w:hAnsi="Times New Roman" w:cs="Times New Roman"/>
          <w:bCs/>
          <w:sz w:val="24"/>
          <w:szCs w:val="24"/>
        </w:rPr>
        <w:t xml:space="preserve"> Z = 1.96, p = 0.5, e = 0.05, the required sample was 384 respondents. Questionnaires were evenly allocated (64 per neighborhood). Within each area, households were identified with community leaders and one adult (≥18 y) per household was randomly selected</w:t>
      </w:r>
      <w:r>
        <w:rPr>
          <w:rFonts w:ascii="Times New Roman" w:eastAsia="SimSun" w:hAnsi="Times New Roman" w:cs="Times New Roman"/>
          <w:bCs/>
          <w:sz w:val="24"/>
          <w:szCs w:val="24"/>
        </w:rPr>
        <w:t>. For KIIs, 12 informants (2 per neighborhood) were purposively chosen.</w:t>
      </w:r>
    </w:p>
    <w:p w14:paraId="58BE1FAE" w14:textId="77777777" w:rsidR="00C24CFC" w:rsidRDefault="00AF004B">
      <w:p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Data collection involved administering the 384 questionnaires (365 retrieved) and conducting the 12 KIIs.</w:t>
      </w:r>
    </w:p>
    <w:p w14:paraId="10D24B1A" w14:textId="77777777" w:rsidR="00C24CFC" w:rsidRDefault="00AF004B">
      <w:p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Effectiveness indices were constructed:</w:t>
      </w:r>
    </w:p>
    <w:p w14:paraId="6E97E5B5" w14:textId="77777777" w:rsidR="00C24CFC" w:rsidRDefault="00AF004B">
      <w:pPr>
        <w:pStyle w:val="ListParagraph"/>
        <w:numPr>
          <w:ilvl w:val="0"/>
          <w:numId w:val="3"/>
        </w:num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Household Preparedness Effectiveness I</w:t>
      </w:r>
      <w:r>
        <w:rPr>
          <w:rFonts w:ascii="Times New Roman" w:eastAsia="SimSun" w:hAnsi="Times New Roman" w:cs="Times New Roman"/>
          <w:bCs/>
          <w:sz w:val="24"/>
          <w:szCs w:val="24"/>
        </w:rPr>
        <w:t>ndex (HPEI)</w:t>
      </w:r>
    </w:p>
    <w:p w14:paraId="5454329C" w14:textId="77777777" w:rsidR="00C24CFC" w:rsidRDefault="00AF004B">
      <w:pPr>
        <w:pStyle w:val="ListParagraph"/>
        <w:numPr>
          <w:ilvl w:val="0"/>
          <w:numId w:val="3"/>
        </w:num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Early Warning Effectiveness Index (EWEI)</w:t>
      </w:r>
    </w:p>
    <w:p w14:paraId="3D266D34" w14:textId="77777777" w:rsidR="00C24CFC" w:rsidRDefault="00AF004B">
      <w:pPr>
        <w:pStyle w:val="ListParagraph"/>
        <w:numPr>
          <w:ilvl w:val="0"/>
          <w:numId w:val="3"/>
        </w:num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Combined Preparedness–Outcome Effectiveness Index (CPOEI)</w:t>
      </w:r>
    </w:p>
    <w:p w14:paraId="06383844" w14:textId="77777777" w:rsidR="00C24CFC" w:rsidRDefault="00AF004B">
      <w:pPr>
        <w:pStyle w:val="ListParagraph"/>
        <w:numPr>
          <w:ilvl w:val="0"/>
          <w:numId w:val="3"/>
        </w:num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Recovery Effectiveness Index (REI) (scale 1–5)</w:t>
      </w:r>
    </w:p>
    <w:p w14:paraId="35D32A0C" w14:textId="77777777" w:rsidR="00C24CFC" w:rsidRDefault="00AF004B">
      <w:pPr>
        <w:pStyle w:val="ListParagraph"/>
        <w:numPr>
          <w:ilvl w:val="0"/>
          <w:numId w:val="3"/>
        </w:numPr>
        <w:spacing w:line="276" w:lineRule="auto"/>
        <w:jc w:val="both"/>
        <w:rPr>
          <w:rFonts w:ascii="Times New Roman" w:eastAsia="SimSun" w:hAnsi="Times New Roman" w:cs="Times New Roman"/>
          <w:bCs/>
          <w:sz w:val="24"/>
          <w:szCs w:val="24"/>
        </w:rPr>
      </w:pPr>
      <w:r>
        <w:rPr>
          <w:rFonts w:ascii="Times New Roman" w:eastAsia="SimSun" w:hAnsi="Times New Roman" w:cs="Times New Roman"/>
          <w:bCs/>
          <w:sz w:val="24"/>
          <w:szCs w:val="24"/>
        </w:rPr>
        <w:t>Composite Flood Management Effectiveness Index (CFMEI) = (PEI + RSEI + REI)/3, normalized to 0–1.</w:t>
      </w:r>
    </w:p>
    <w:p w14:paraId="0100E1AF" w14:textId="77777777" w:rsidR="00C24CFC" w:rsidRDefault="00AF004B">
      <w:pPr>
        <w:spacing w:line="276" w:lineRule="auto"/>
        <w:jc w:val="both"/>
        <w:rPr>
          <w:rFonts w:ascii="Times New Roman" w:hAnsi="Times New Roman" w:cs="Times New Roman"/>
          <w:bCs/>
          <w:sz w:val="24"/>
          <w:szCs w:val="24"/>
        </w:rPr>
      </w:pPr>
      <w:r>
        <w:rPr>
          <w:rFonts w:ascii="Times New Roman" w:eastAsia="SimSun" w:hAnsi="Times New Roman" w:cs="Times New Roman"/>
          <w:bCs/>
          <w:sz w:val="24"/>
          <w:szCs w:val="24"/>
        </w:rPr>
        <w:t>Analysis: quantitative data were summarized with frequencies, percentages, means, and standard deviations; indices were calculated to rate effectiveness. Qualitative KII data were analyzed thematically to contextualize quantitative findings. Results are pr</w:t>
      </w:r>
      <w:r>
        <w:rPr>
          <w:rFonts w:ascii="Times New Roman" w:eastAsia="SimSun" w:hAnsi="Times New Roman" w:cs="Times New Roman"/>
          <w:bCs/>
          <w:sz w:val="24"/>
          <w:szCs w:val="24"/>
        </w:rPr>
        <w:t>esented in tables and narrative form.</w:t>
      </w:r>
    </w:p>
    <w:p w14:paraId="19DEA974" w14:textId="77777777" w:rsidR="00C24CFC" w:rsidRDefault="00AF004B">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Results and Discussion</w:t>
      </w:r>
    </w:p>
    <w:p w14:paraId="0E17876F" w14:textId="77777777" w:rsidR="00C24CFC" w:rsidRDefault="00AF004B">
      <w:pPr>
        <w:spacing w:after="0" w:line="276" w:lineRule="auto"/>
        <w:jc w:val="both"/>
        <w:rPr>
          <w:rFonts w:ascii="Times New Roman" w:eastAsia="Times New Roman" w:hAnsi="Times New Roman" w:cs="Times New Roman"/>
          <w:b/>
          <w:bCs/>
          <w:sz w:val="24"/>
          <w:szCs w:val="24"/>
        </w:rPr>
      </w:pPr>
      <w:bookmarkStart w:id="0" w:name="_Hlk219727402"/>
      <w:r>
        <w:rPr>
          <w:rFonts w:ascii="Times New Roman" w:eastAsia="Times New Roman" w:hAnsi="Times New Roman" w:cs="Times New Roman"/>
          <w:b/>
          <w:bCs/>
          <w:sz w:val="24"/>
          <w:szCs w:val="24"/>
        </w:rPr>
        <w:t>Preparedness Measures Adopted by the Residents Before The 2022 Flood</w:t>
      </w:r>
    </w:p>
    <w:p w14:paraId="37B36675" w14:textId="77777777" w:rsidR="00C24CFC" w:rsidRDefault="00AF004B">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Household Flood Preparedness Measures </w:t>
      </w:r>
    </w:p>
    <w:p w14:paraId="786E7061" w14:textId="77777777" w:rsidR="00C24CFC" w:rsidRDefault="00AF00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indicate that the most commonly adopted measure was the use of sandbags or</w:t>
      </w:r>
      <w:r>
        <w:rPr>
          <w:rFonts w:ascii="Times New Roman" w:eastAsia="Times New Roman" w:hAnsi="Times New Roman" w:cs="Times New Roman"/>
          <w:sz w:val="24"/>
          <w:szCs w:val="24"/>
        </w:rPr>
        <w:t xml:space="preserve"> wooden barriers (68.0%), suggesting a strong reliance on physical and immediate flood control methods. Clearing of drainage channels was also widely practiced (60.5%), reflecting awareness of the role of blocked drains in exacerbating flood impacts in Mak</w:t>
      </w:r>
      <w:r>
        <w:rPr>
          <w:rFonts w:ascii="Times New Roman" w:eastAsia="Times New Roman" w:hAnsi="Times New Roman" w:cs="Times New Roman"/>
          <w:sz w:val="24"/>
          <w:szCs w:val="24"/>
        </w:rPr>
        <w:t>urdi. Nearly half of the respondents reported having temporary relocation plans (48.2%) and raised doorsteps or verandas (44.7%), indicating moderate levels of anticipatory adaptation. Temporary water diversion trenches (38.9%) and strengthening of house s</w:t>
      </w:r>
      <w:r>
        <w:rPr>
          <w:rFonts w:ascii="Times New Roman" w:eastAsia="Times New Roman" w:hAnsi="Times New Roman" w:cs="Times New Roman"/>
          <w:sz w:val="24"/>
          <w:szCs w:val="24"/>
        </w:rPr>
        <w:t>tructures (32.6%) were less frequently adopted, possibly due to technical and financial constraints. Monitoring rainfall or river levels (15.6%) and storing food and water (15.1%) were relatively low, suggesting limited emphasis on information-based and ho</w:t>
      </w:r>
      <w:r>
        <w:rPr>
          <w:rFonts w:ascii="Times New Roman" w:eastAsia="Times New Roman" w:hAnsi="Times New Roman" w:cs="Times New Roman"/>
          <w:sz w:val="24"/>
          <w:szCs w:val="24"/>
        </w:rPr>
        <w:t>usehold-level contingency planning. Community-based collective action (26.8%) was moderately practiced, showing some level of communal response to flood risk. Early movement of vulnerable persons (10.4%) and contacting authorities or emergency responders (</w:t>
      </w:r>
      <w:r>
        <w:rPr>
          <w:rFonts w:ascii="Times New Roman" w:eastAsia="Times New Roman" w:hAnsi="Times New Roman" w:cs="Times New Roman"/>
          <w:sz w:val="24"/>
          <w:szCs w:val="24"/>
        </w:rPr>
        <w:t>20.3%) were among the least adopted measures, indicating weak institutional engagement at the household level. Notably, 15.6% of respondents reported taking no preparedness measures at all, highlighting significant vulnerability among a segment of the popu</w:t>
      </w:r>
      <w:r>
        <w:rPr>
          <w:rFonts w:ascii="Times New Roman" w:eastAsia="Times New Roman" w:hAnsi="Times New Roman" w:cs="Times New Roman"/>
          <w:sz w:val="24"/>
          <w:szCs w:val="24"/>
        </w:rPr>
        <w:t>lation. Overall, the results suggest that preparedness was largely reactive and structural in nature, with limited use of early planning, information, and institutional support mechanisms.</w:t>
      </w:r>
    </w:p>
    <w:p w14:paraId="3FDA218A" w14:textId="77777777" w:rsidR="00C24CFC" w:rsidRDefault="00AF004B">
      <w:pPr>
        <w:spacing w:after="0" w:line="276"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1: Household Flood Preparedness Measures</w:t>
      </w:r>
    </w:p>
    <w:tbl>
      <w:tblPr>
        <w:tblW w:w="8280" w:type="dxa"/>
        <w:tblLook w:val="04A0" w:firstRow="1" w:lastRow="0" w:firstColumn="1" w:lastColumn="0" w:noHBand="0" w:noVBand="1"/>
      </w:tblPr>
      <w:tblGrid>
        <w:gridCol w:w="4847"/>
        <w:gridCol w:w="1633"/>
        <w:gridCol w:w="1800"/>
      </w:tblGrid>
      <w:tr w:rsidR="00C24CFC" w14:paraId="4ACD4C3E" w14:textId="77777777">
        <w:trPr>
          <w:trHeight w:val="315"/>
        </w:trPr>
        <w:tc>
          <w:tcPr>
            <w:tcW w:w="4847" w:type="dxa"/>
            <w:tcBorders>
              <w:top w:val="single" w:sz="4" w:space="0" w:color="auto"/>
              <w:left w:val="nil"/>
              <w:bottom w:val="nil"/>
              <w:right w:val="nil"/>
            </w:tcBorders>
            <w:noWrap/>
            <w:hideMark/>
          </w:tcPr>
          <w:p w14:paraId="2E457EFB"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Preparedness Measure</w:t>
            </w:r>
          </w:p>
        </w:tc>
        <w:tc>
          <w:tcPr>
            <w:tcW w:w="1633" w:type="dxa"/>
            <w:tcBorders>
              <w:top w:val="single" w:sz="4" w:space="0" w:color="auto"/>
              <w:left w:val="nil"/>
              <w:bottom w:val="nil"/>
              <w:right w:val="nil"/>
            </w:tcBorders>
            <w:noWrap/>
            <w:hideMark/>
          </w:tcPr>
          <w:p w14:paraId="3B25207A"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800" w:type="dxa"/>
            <w:tcBorders>
              <w:top w:val="single" w:sz="4" w:space="0" w:color="auto"/>
              <w:left w:val="nil"/>
              <w:bottom w:val="nil"/>
              <w:right w:val="nil"/>
            </w:tcBorders>
            <w:noWrap/>
            <w:hideMark/>
          </w:tcPr>
          <w:p w14:paraId="1A5BB221"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w:t>
            </w:r>
          </w:p>
        </w:tc>
      </w:tr>
      <w:tr w:rsidR="00C24CFC" w14:paraId="0246E2FD" w14:textId="77777777">
        <w:trPr>
          <w:trHeight w:val="315"/>
        </w:trPr>
        <w:tc>
          <w:tcPr>
            <w:tcW w:w="4847" w:type="dxa"/>
            <w:tcBorders>
              <w:top w:val="single" w:sz="4" w:space="0" w:color="auto"/>
              <w:left w:val="nil"/>
              <w:bottom w:val="nil"/>
              <w:right w:val="nil"/>
            </w:tcBorders>
            <w:noWrap/>
            <w:hideMark/>
          </w:tcPr>
          <w:p w14:paraId="40F2BF77"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Raising household items/furniture</w:t>
            </w:r>
          </w:p>
        </w:tc>
        <w:tc>
          <w:tcPr>
            <w:tcW w:w="1633" w:type="dxa"/>
            <w:tcBorders>
              <w:top w:val="single" w:sz="4" w:space="0" w:color="auto"/>
              <w:left w:val="nil"/>
              <w:bottom w:val="nil"/>
              <w:right w:val="nil"/>
            </w:tcBorders>
            <w:noWrap/>
            <w:hideMark/>
          </w:tcPr>
          <w:p w14:paraId="3BA80302"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800" w:type="dxa"/>
            <w:tcBorders>
              <w:top w:val="single" w:sz="4" w:space="0" w:color="auto"/>
              <w:left w:val="nil"/>
              <w:bottom w:val="nil"/>
              <w:right w:val="nil"/>
            </w:tcBorders>
            <w:noWrap/>
            <w:hideMark/>
          </w:tcPr>
          <w:p w14:paraId="37884835"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r>
      <w:tr w:rsidR="00C24CFC" w14:paraId="296FE520" w14:textId="77777777">
        <w:trPr>
          <w:trHeight w:val="315"/>
        </w:trPr>
        <w:tc>
          <w:tcPr>
            <w:tcW w:w="4847" w:type="dxa"/>
            <w:tcBorders>
              <w:top w:val="nil"/>
              <w:left w:val="nil"/>
              <w:bottom w:val="nil"/>
              <w:right w:val="nil"/>
            </w:tcBorders>
            <w:noWrap/>
            <w:hideMark/>
          </w:tcPr>
          <w:p w14:paraId="747EAD31"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Clearing drainage channels</w:t>
            </w:r>
          </w:p>
        </w:tc>
        <w:tc>
          <w:tcPr>
            <w:tcW w:w="1633" w:type="dxa"/>
            <w:tcBorders>
              <w:top w:val="nil"/>
              <w:left w:val="nil"/>
              <w:bottom w:val="nil"/>
              <w:right w:val="nil"/>
            </w:tcBorders>
            <w:noWrap/>
            <w:hideMark/>
          </w:tcPr>
          <w:p w14:paraId="3AC7343A"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p>
        </w:tc>
        <w:tc>
          <w:tcPr>
            <w:tcW w:w="1800" w:type="dxa"/>
            <w:tcBorders>
              <w:top w:val="nil"/>
              <w:left w:val="nil"/>
              <w:bottom w:val="nil"/>
              <w:right w:val="nil"/>
            </w:tcBorders>
            <w:noWrap/>
            <w:hideMark/>
          </w:tcPr>
          <w:p w14:paraId="072B768E"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60.5</w:t>
            </w:r>
          </w:p>
        </w:tc>
      </w:tr>
      <w:tr w:rsidR="00C24CFC" w14:paraId="4A21672B" w14:textId="77777777">
        <w:trPr>
          <w:trHeight w:val="315"/>
        </w:trPr>
        <w:tc>
          <w:tcPr>
            <w:tcW w:w="4847" w:type="dxa"/>
            <w:tcBorders>
              <w:top w:val="nil"/>
              <w:left w:val="nil"/>
              <w:bottom w:val="nil"/>
              <w:right w:val="nil"/>
            </w:tcBorders>
            <w:noWrap/>
            <w:hideMark/>
          </w:tcPr>
          <w:p w14:paraId="44B5D7AA"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Temporary relocation plans</w:t>
            </w:r>
          </w:p>
        </w:tc>
        <w:tc>
          <w:tcPr>
            <w:tcW w:w="1633" w:type="dxa"/>
            <w:tcBorders>
              <w:top w:val="nil"/>
              <w:left w:val="nil"/>
              <w:bottom w:val="nil"/>
              <w:right w:val="nil"/>
            </w:tcBorders>
            <w:noWrap/>
            <w:hideMark/>
          </w:tcPr>
          <w:p w14:paraId="0F1F62D6"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176</w:t>
            </w:r>
          </w:p>
        </w:tc>
        <w:tc>
          <w:tcPr>
            <w:tcW w:w="1800" w:type="dxa"/>
            <w:tcBorders>
              <w:top w:val="nil"/>
              <w:left w:val="nil"/>
              <w:bottom w:val="nil"/>
              <w:right w:val="nil"/>
            </w:tcBorders>
            <w:noWrap/>
            <w:hideMark/>
          </w:tcPr>
          <w:p w14:paraId="421F698F"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48.2</w:t>
            </w:r>
          </w:p>
        </w:tc>
      </w:tr>
      <w:bookmarkEnd w:id="0"/>
      <w:tr w:rsidR="00C24CFC" w14:paraId="158A0CAE" w14:textId="77777777">
        <w:trPr>
          <w:trHeight w:val="315"/>
        </w:trPr>
        <w:tc>
          <w:tcPr>
            <w:tcW w:w="4847" w:type="dxa"/>
            <w:tcBorders>
              <w:top w:val="nil"/>
              <w:left w:val="nil"/>
              <w:bottom w:val="nil"/>
              <w:right w:val="nil"/>
            </w:tcBorders>
            <w:noWrap/>
            <w:hideMark/>
          </w:tcPr>
          <w:p w14:paraId="7E7FBCC0"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of sandbags/wooden barriers</w:t>
            </w:r>
          </w:p>
        </w:tc>
        <w:tc>
          <w:tcPr>
            <w:tcW w:w="1633" w:type="dxa"/>
            <w:tcBorders>
              <w:top w:val="nil"/>
              <w:left w:val="nil"/>
              <w:bottom w:val="nil"/>
              <w:right w:val="nil"/>
            </w:tcBorders>
            <w:noWrap/>
            <w:hideMark/>
          </w:tcPr>
          <w:p w14:paraId="057913AE"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248</w:t>
            </w:r>
          </w:p>
        </w:tc>
        <w:tc>
          <w:tcPr>
            <w:tcW w:w="1800" w:type="dxa"/>
            <w:tcBorders>
              <w:top w:val="nil"/>
              <w:left w:val="nil"/>
              <w:bottom w:val="nil"/>
              <w:right w:val="nil"/>
            </w:tcBorders>
            <w:noWrap/>
            <w:hideMark/>
          </w:tcPr>
          <w:p w14:paraId="10F4AC7E"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C24CFC" w14:paraId="76A9D270" w14:textId="77777777">
        <w:trPr>
          <w:trHeight w:val="315"/>
        </w:trPr>
        <w:tc>
          <w:tcPr>
            <w:tcW w:w="4847" w:type="dxa"/>
            <w:tcBorders>
              <w:top w:val="nil"/>
              <w:left w:val="nil"/>
              <w:bottom w:val="nil"/>
              <w:right w:val="nil"/>
            </w:tcBorders>
            <w:noWrap/>
            <w:hideMark/>
          </w:tcPr>
          <w:p w14:paraId="6C153DCF"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Raised doorsteps/verandas</w:t>
            </w:r>
          </w:p>
        </w:tc>
        <w:tc>
          <w:tcPr>
            <w:tcW w:w="1633" w:type="dxa"/>
            <w:tcBorders>
              <w:top w:val="nil"/>
              <w:left w:val="nil"/>
              <w:bottom w:val="nil"/>
              <w:right w:val="nil"/>
            </w:tcBorders>
            <w:noWrap/>
            <w:hideMark/>
          </w:tcPr>
          <w:p w14:paraId="05F11CCC"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c>
          <w:tcPr>
            <w:tcW w:w="1800" w:type="dxa"/>
            <w:tcBorders>
              <w:top w:val="nil"/>
              <w:left w:val="nil"/>
              <w:bottom w:val="nil"/>
              <w:right w:val="nil"/>
            </w:tcBorders>
            <w:noWrap/>
            <w:hideMark/>
          </w:tcPr>
          <w:p w14:paraId="0DEA757C"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44.7</w:t>
            </w:r>
          </w:p>
        </w:tc>
      </w:tr>
      <w:tr w:rsidR="00C24CFC" w14:paraId="57D425C4" w14:textId="77777777">
        <w:trPr>
          <w:trHeight w:val="315"/>
        </w:trPr>
        <w:tc>
          <w:tcPr>
            <w:tcW w:w="4847" w:type="dxa"/>
            <w:tcBorders>
              <w:top w:val="nil"/>
              <w:left w:val="nil"/>
              <w:bottom w:val="nil"/>
              <w:right w:val="nil"/>
            </w:tcBorders>
            <w:noWrap/>
            <w:hideMark/>
          </w:tcPr>
          <w:p w14:paraId="6BFAFBF6"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Temporary water diversion trenches</w:t>
            </w:r>
          </w:p>
        </w:tc>
        <w:tc>
          <w:tcPr>
            <w:tcW w:w="1633" w:type="dxa"/>
            <w:tcBorders>
              <w:top w:val="nil"/>
              <w:left w:val="nil"/>
              <w:bottom w:val="nil"/>
              <w:right w:val="nil"/>
            </w:tcBorders>
            <w:noWrap/>
            <w:hideMark/>
          </w:tcPr>
          <w:p w14:paraId="16A0EE27"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c>
          <w:tcPr>
            <w:tcW w:w="1800" w:type="dxa"/>
            <w:tcBorders>
              <w:top w:val="nil"/>
              <w:left w:val="nil"/>
              <w:bottom w:val="nil"/>
              <w:right w:val="nil"/>
            </w:tcBorders>
            <w:noWrap/>
            <w:hideMark/>
          </w:tcPr>
          <w:p w14:paraId="36DD034B"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38.9</w:t>
            </w:r>
          </w:p>
        </w:tc>
      </w:tr>
      <w:tr w:rsidR="00C24CFC" w14:paraId="311B7251" w14:textId="77777777">
        <w:trPr>
          <w:trHeight w:val="315"/>
        </w:trPr>
        <w:tc>
          <w:tcPr>
            <w:tcW w:w="4847" w:type="dxa"/>
            <w:tcBorders>
              <w:top w:val="nil"/>
              <w:left w:val="nil"/>
              <w:bottom w:val="nil"/>
              <w:right w:val="nil"/>
            </w:tcBorders>
            <w:noWrap/>
            <w:hideMark/>
          </w:tcPr>
          <w:p w14:paraId="00B9C206"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 rainfall/river levels</w:t>
            </w:r>
          </w:p>
        </w:tc>
        <w:tc>
          <w:tcPr>
            <w:tcW w:w="1633" w:type="dxa"/>
            <w:tcBorders>
              <w:top w:val="nil"/>
              <w:left w:val="nil"/>
              <w:bottom w:val="nil"/>
              <w:right w:val="nil"/>
            </w:tcBorders>
            <w:noWrap/>
            <w:hideMark/>
          </w:tcPr>
          <w:p w14:paraId="71551048"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800" w:type="dxa"/>
            <w:tcBorders>
              <w:top w:val="nil"/>
              <w:left w:val="nil"/>
              <w:bottom w:val="nil"/>
              <w:right w:val="nil"/>
            </w:tcBorders>
            <w:noWrap/>
            <w:hideMark/>
          </w:tcPr>
          <w:p w14:paraId="675E8B86"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r>
      <w:tr w:rsidR="00C24CFC" w14:paraId="541F12E5" w14:textId="77777777">
        <w:trPr>
          <w:trHeight w:val="315"/>
        </w:trPr>
        <w:tc>
          <w:tcPr>
            <w:tcW w:w="4847" w:type="dxa"/>
            <w:tcBorders>
              <w:top w:val="nil"/>
              <w:left w:val="nil"/>
              <w:bottom w:val="nil"/>
              <w:right w:val="nil"/>
            </w:tcBorders>
            <w:noWrap/>
            <w:hideMark/>
          </w:tcPr>
          <w:p w14:paraId="04FD50B7"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Storing food and water</w:t>
            </w:r>
          </w:p>
        </w:tc>
        <w:tc>
          <w:tcPr>
            <w:tcW w:w="1633" w:type="dxa"/>
            <w:tcBorders>
              <w:top w:val="nil"/>
              <w:left w:val="nil"/>
              <w:bottom w:val="nil"/>
              <w:right w:val="nil"/>
            </w:tcBorders>
            <w:noWrap/>
            <w:hideMark/>
          </w:tcPr>
          <w:p w14:paraId="050E344E"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800" w:type="dxa"/>
            <w:tcBorders>
              <w:top w:val="nil"/>
              <w:left w:val="nil"/>
              <w:bottom w:val="nil"/>
              <w:right w:val="nil"/>
            </w:tcBorders>
            <w:noWrap/>
            <w:hideMark/>
          </w:tcPr>
          <w:p w14:paraId="0CF9542E"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r>
      <w:tr w:rsidR="00C24CFC" w14:paraId="3A295021" w14:textId="77777777">
        <w:trPr>
          <w:trHeight w:val="315"/>
        </w:trPr>
        <w:tc>
          <w:tcPr>
            <w:tcW w:w="4847" w:type="dxa"/>
            <w:tcBorders>
              <w:top w:val="nil"/>
              <w:left w:val="nil"/>
              <w:bottom w:val="nil"/>
              <w:right w:val="nil"/>
            </w:tcBorders>
            <w:noWrap/>
            <w:hideMark/>
          </w:tcPr>
          <w:p w14:paraId="4724BF25"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Strengthening house structures</w:t>
            </w:r>
          </w:p>
        </w:tc>
        <w:tc>
          <w:tcPr>
            <w:tcW w:w="1633" w:type="dxa"/>
            <w:tcBorders>
              <w:top w:val="nil"/>
              <w:left w:val="nil"/>
              <w:bottom w:val="nil"/>
              <w:right w:val="nil"/>
            </w:tcBorders>
            <w:noWrap/>
            <w:hideMark/>
          </w:tcPr>
          <w:p w14:paraId="67C5D41E"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1800" w:type="dxa"/>
            <w:tcBorders>
              <w:top w:val="nil"/>
              <w:left w:val="nil"/>
              <w:bottom w:val="nil"/>
              <w:right w:val="nil"/>
            </w:tcBorders>
            <w:noWrap/>
            <w:hideMark/>
          </w:tcPr>
          <w:p w14:paraId="2B676F65"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p>
        </w:tc>
      </w:tr>
      <w:tr w:rsidR="00C24CFC" w14:paraId="6514AFAE" w14:textId="77777777">
        <w:trPr>
          <w:trHeight w:val="315"/>
        </w:trPr>
        <w:tc>
          <w:tcPr>
            <w:tcW w:w="4847" w:type="dxa"/>
            <w:tcBorders>
              <w:top w:val="nil"/>
              <w:left w:val="nil"/>
              <w:bottom w:val="nil"/>
              <w:right w:val="nil"/>
            </w:tcBorders>
            <w:noWrap/>
            <w:hideMark/>
          </w:tcPr>
          <w:p w14:paraId="5DF3E50B"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Community-based collective action</w:t>
            </w:r>
          </w:p>
        </w:tc>
        <w:tc>
          <w:tcPr>
            <w:tcW w:w="1633" w:type="dxa"/>
            <w:tcBorders>
              <w:top w:val="nil"/>
              <w:left w:val="nil"/>
              <w:bottom w:val="nil"/>
              <w:right w:val="nil"/>
            </w:tcBorders>
            <w:noWrap/>
            <w:hideMark/>
          </w:tcPr>
          <w:p w14:paraId="70A6B5C7"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800" w:type="dxa"/>
            <w:tcBorders>
              <w:top w:val="nil"/>
              <w:left w:val="nil"/>
              <w:bottom w:val="nil"/>
              <w:right w:val="nil"/>
            </w:tcBorders>
            <w:noWrap/>
            <w:hideMark/>
          </w:tcPr>
          <w:p w14:paraId="46988AE1"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26.8</w:t>
            </w:r>
          </w:p>
        </w:tc>
      </w:tr>
      <w:tr w:rsidR="00C24CFC" w14:paraId="3E4FB757" w14:textId="77777777">
        <w:trPr>
          <w:trHeight w:val="315"/>
        </w:trPr>
        <w:tc>
          <w:tcPr>
            <w:tcW w:w="4847" w:type="dxa"/>
            <w:tcBorders>
              <w:top w:val="nil"/>
              <w:left w:val="nil"/>
              <w:bottom w:val="nil"/>
              <w:right w:val="nil"/>
            </w:tcBorders>
            <w:noWrap/>
            <w:hideMark/>
          </w:tcPr>
          <w:p w14:paraId="65A48D29"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Early movement of vulnerable persons</w:t>
            </w:r>
          </w:p>
        </w:tc>
        <w:tc>
          <w:tcPr>
            <w:tcW w:w="1633" w:type="dxa"/>
            <w:tcBorders>
              <w:top w:val="nil"/>
              <w:left w:val="nil"/>
              <w:bottom w:val="nil"/>
              <w:right w:val="nil"/>
            </w:tcBorders>
            <w:noWrap/>
            <w:hideMark/>
          </w:tcPr>
          <w:p w14:paraId="74C84DC2"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800" w:type="dxa"/>
            <w:tcBorders>
              <w:top w:val="nil"/>
              <w:left w:val="nil"/>
              <w:bottom w:val="nil"/>
              <w:right w:val="nil"/>
            </w:tcBorders>
            <w:noWrap/>
            <w:hideMark/>
          </w:tcPr>
          <w:p w14:paraId="435C12F2"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r>
      <w:tr w:rsidR="00C24CFC" w14:paraId="5F29E704" w14:textId="77777777">
        <w:trPr>
          <w:trHeight w:val="315"/>
        </w:trPr>
        <w:tc>
          <w:tcPr>
            <w:tcW w:w="4847" w:type="dxa"/>
            <w:tcBorders>
              <w:top w:val="nil"/>
              <w:left w:val="nil"/>
              <w:bottom w:val="nil"/>
              <w:right w:val="nil"/>
            </w:tcBorders>
            <w:noWrap/>
            <w:hideMark/>
          </w:tcPr>
          <w:p w14:paraId="13394DE3"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Contacting authorities/emergency </w:t>
            </w:r>
            <w:r>
              <w:rPr>
                <w:rFonts w:ascii="Times New Roman" w:eastAsia="Times New Roman" w:hAnsi="Times New Roman" w:cs="Times New Roman"/>
                <w:sz w:val="24"/>
                <w:szCs w:val="24"/>
              </w:rPr>
              <w:t>responders</w:t>
            </w:r>
          </w:p>
        </w:tc>
        <w:tc>
          <w:tcPr>
            <w:tcW w:w="1633" w:type="dxa"/>
            <w:tcBorders>
              <w:top w:val="nil"/>
              <w:left w:val="nil"/>
              <w:bottom w:val="nil"/>
              <w:right w:val="nil"/>
            </w:tcBorders>
            <w:noWrap/>
            <w:hideMark/>
          </w:tcPr>
          <w:p w14:paraId="186DC9AB"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1800" w:type="dxa"/>
            <w:tcBorders>
              <w:top w:val="nil"/>
              <w:left w:val="nil"/>
              <w:bottom w:val="nil"/>
              <w:right w:val="nil"/>
            </w:tcBorders>
            <w:noWrap/>
            <w:hideMark/>
          </w:tcPr>
          <w:p w14:paraId="46DE748C"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r>
      <w:tr w:rsidR="00C24CFC" w14:paraId="5041D2C0" w14:textId="77777777">
        <w:trPr>
          <w:trHeight w:val="315"/>
        </w:trPr>
        <w:tc>
          <w:tcPr>
            <w:tcW w:w="4847" w:type="dxa"/>
            <w:tcBorders>
              <w:top w:val="nil"/>
              <w:left w:val="nil"/>
              <w:bottom w:val="single" w:sz="4" w:space="0" w:color="auto"/>
              <w:right w:val="nil"/>
            </w:tcBorders>
            <w:noWrap/>
            <w:hideMark/>
          </w:tcPr>
          <w:p w14:paraId="65905B38"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preparedness measures taken</w:t>
            </w:r>
          </w:p>
        </w:tc>
        <w:tc>
          <w:tcPr>
            <w:tcW w:w="1633" w:type="dxa"/>
            <w:tcBorders>
              <w:top w:val="nil"/>
              <w:left w:val="nil"/>
              <w:bottom w:val="single" w:sz="4" w:space="0" w:color="auto"/>
              <w:right w:val="nil"/>
            </w:tcBorders>
            <w:noWrap/>
            <w:hideMark/>
          </w:tcPr>
          <w:p w14:paraId="6E085A38"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800" w:type="dxa"/>
            <w:tcBorders>
              <w:top w:val="nil"/>
              <w:left w:val="nil"/>
              <w:bottom w:val="single" w:sz="4" w:space="0" w:color="auto"/>
              <w:right w:val="nil"/>
            </w:tcBorders>
            <w:noWrap/>
            <w:hideMark/>
          </w:tcPr>
          <w:p w14:paraId="5179FF3E"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r>
    </w:tbl>
    <w:p w14:paraId="083EF8CE" w14:textId="77777777" w:rsidR="00C24CFC" w:rsidRDefault="00AF004B">
      <w:pPr>
        <w:spacing w:after="0" w:line="276"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Source: Researcher’s Field Survey, 2025</w:t>
      </w:r>
    </w:p>
    <w:p w14:paraId="72DB9D45"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(Multiple responses allowed; n = 365)</w:t>
      </w:r>
    </w:p>
    <w:p w14:paraId="6E2D673C" w14:textId="77777777" w:rsidR="00C24CFC" w:rsidRDefault="00AF004B">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Effectiveness of Preparedness and Early Warning Measures</w:t>
      </w:r>
    </w:p>
    <w:p w14:paraId="5EDE5CB6" w14:textId="77777777" w:rsidR="00C24CFC" w:rsidRDefault="00AF004B">
      <w:pPr>
        <w:pStyle w:val="NormalWeb"/>
        <w:spacing w:before="0" w:beforeAutospacing="0" w:after="0" w:afterAutospacing="0" w:line="276" w:lineRule="auto"/>
        <w:jc w:val="both"/>
      </w:pPr>
      <w:r>
        <w:t xml:space="preserve">The result shows respondents’ perceptions of how household </w:t>
      </w:r>
      <w:r>
        <w:t xml:space="preserve">preparedness and early warning systems influenced flood outcomes during the 2022 Makurdi flood event. For preparedness measures, the mean score for reduction in household property damage (Q1) was 3.47, indicating a moderate to high level of effectiveness. </w:t>
      </w:r>
      <w:r>
        <w:t>Similarly, respondents moderately agreed that preparedness in 2022 was more effective than in previous flood events (Q2), with a mean value of 3.34. The perception that preparedness significantly reduced the overall flood impact (Q3) also recorded a modera</w:t>
      </w:r>
      <w:r>
        <w:t>te mean score of 3.40.</w:t>
      </w:r>
    </w:p>
    <w:p w14:paraId="13978BF6" w14:textId="77777777" w:rsidR="00C24CFC" w:rsidRDefault="00AF004B">
      <w:pPr>
        <w:spacing w:after="0" w:line="276"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 Distribution of Responses on Effectiveness of Preparedness and Early Warning Measures</w:t>
      </w:r>
    </w:p>
    <w:tbl>
      <w:tblPr>
        <w:tblW w:w="8370" w:type="dxa"/>
        <w:tblLook w:val="04A0" w:firstRow="1" w:lastRow="0" w:firstColumn="1" w:lastColumn="0" w:noHBand="0" w:noVBand="1"/>
      </w:tblPr>
      <w:tblGrid>
        <w:gridCol w:w="590"/>
        <w:gridCol w:w="3910"/>
        <w:gridCol w:w="630"/>
        <w:gridCol w:w="540"/>
        <w:gridCol w:w="630"/>
        <w:gridCol w:w="630"/>
        <w:gridCol w:w="630"/>
        <w:gridCol w:w="810"/>
      </w:tblGrid>
      <w:tr w:rsidR="00C24CFC" w14:paraId="491EFAAC" w14:textId="77777777">
        <w:trPr>
          <w:trHeight w:val="315"/>
        </w:trPr>
        <w:tc>
          <w:tcPr>
            <w:tcW w:w="590" w:type="dxa"/>
            <w:tcBorders>
              <w:top w:val="single" w:sz="4" w:space="0" w:color="auto"/>
              <w:left w:val="nil"/>
              <w:bottom w:val="nil"/>
              <w:right w:val="nil"/>
            </w:tcBorders>
            <w:noWrap/>
            <w:hideMark/>
          </w:tcPr>
          <w:p w14:paraId="37E107AD"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w:t>
            </w:r>
          </w:p>
        </w:tc>
        <w:tc>
          <w:tcPr>
            <w:tcW w:w="3910" w:type="dxa"/>
            <w:tcBorders>
              <w:top w:val="single" w:sz="4" w:space="0" w:color="auto"/>
              <w:left w:val="nil"/>
              <w:bottom w:val="nil"/>
              <w:right w:val="nil"/>
            </w:tcBorders>
            <w:noWrap/>
            <w:hideMark/>
          </w:tcPr>
          <w:p w14:paraId="4EF0513D"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w:t>
            </w:r>
          </w:p>
        </w:tc>
        <w:tc>
          <w:tcPr>
            <w:tcW w:w="630" w:type="dxa"/>
            <w:tcBorders>
              <w:top w:val="single" w:sz="4" w:space="0" w:color="auto"/>
              <w:left w:val="nil"/>
              <w:bottom w:val="nil"/>
              <w:right w:val="nil"/>
            </w:tcBorders>
            <w:noWrap/>
            <w:hideMark/>
          </w:tcPr>
          <w:p w14:paraId="74695F62"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40" w:type="dxa"/>
            <w:tcBorders>
              <w:top w:val="single" w:sz="4" w:space="0" w:color="auto"/>
              <w:left w:val="nil"/>
              <w:bottom w:val="nil"/>
              <w:right w:val="nil"/>
            </w:tcBorders>
            <w:noWrap/>
            <w:hideMark/>
          </w:tcPr>
          <w:p w14:paraId="097D24B9"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30" w:type="dxa"/>
            <w:tcBorders>
              <w:top w:val="single" w:sz="4" w:space="0" w:color="auto"/>
              <w:left w:val="nil"/>
              <w:bottom w:val="nil"/>
              <w:right w:val="nil"/>
            </w:tcBorders>
            <w:noWrap/>
            <w:hideMark/>
          </w:tcPr>
          <w:p w14:paraId="20F672E6"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30" w:type="dxa"/>
            <w:tcBorders>
              <w:top w:val="single" w:sz="4" w:space="0" w:color="auto"/>
              <w:left w:val="nil"/>
              <w:bottom w:val="nil"/>
              <w:right w:val="nil"/>
            </w:tcBorders>
            <w:noWrap/>
            <w:hideMark/>
          </w:tcPr>
          <w:p w14:paraId="29A2A30B"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30" w:type="dxa"/>
            <w:tcBorders>
              <w:top w:val="single" w:sz="4" w:space="0" w:color="auto"/>
              <w:left w:val="nil"/>
              <w:bottom w:val="nil"/>
              <w:right w:val="nil"/>
            </w:tcBorders>
            <w:noWrap/>
            <w:hideMark/>
          </w:tcPr>
          <w:p w14:paraId="5F55AD64"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10" w:type="dxa"/>
            <w:tcBorders>
              <w:top w:val="single" w:sz="4" w:space="0" w:color="auto"/>
              <w:left w:val="nil"/>
              <w:bottom w:val="nil"/>
              <w:right w:val="nil"/>
            </w:tcBorders>
            <w:noWrap/>
            <w:hideMark/>
          </w:tcPr>
          <w:p w14:paraId="74E9D1B5"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r>
      <w:tr w:rsidR="00C24CFC" w14:paraId="102101FA" w14:textId="77777777">
        <w:trPr>
          <w:trHeight w:val="315"/>
        </w:trPr>
        <w:tc>
          <w:tcPr>
            <w:tcW w:w="590" w:type="dxa"/>
            <w:tcBorders>
              <w:top w:val="single" w:sz="4" w:space="0" w:color="auto"/>
              <w:left w:val="nil"/>
              <w:bottom w:val="nil"/>
              <w:right w:val="nil"/>
            </w:tcBorders>
            <w:noWrap/>
            <w:hideMark/>
          </w:tcPr>
          <w:p w14:paraId="4483844E"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Q1</w:t>
            </w:r>
          </w:p>
        </w:tc>
        <w:tc>
          <w:tcPr>
            <w:tcW w:w="3910" w:type="dxa"/>
            <w:tcBorders>
              <w:top w:val="single" w:sz="4" w:space="0" w:color="auto"/>
              <w:left w:val="nil"/>
              <w:bottom w:val="nil"/>
              <w:right w:val="nil"/>
            </w:tcBorders>
            <w:noWrap/>
            <w:hideMark/>
          </w:tcPr>
          <w:p w14:paraId="04778CCA"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Preparedness measures reduced damage to household property</w:t>
            </w:r>
          </w:p>
        </w:tc>
        <w:tc>
          <w:tcPr>
            <w:tcW w:w="630" w:type="dxa"/>
            <w:tcBorders>
              <w:top w:val="single" w:sz="4" w:space="0" w:color="auto"/>
              <w:left w:val="nil"/>
              <w:bottom w:val="nil"/>
              <w:right w:val="nil"/>
            </w:tcBorders>
            <w:noWrap/>
            <w:hideMark/>
          </w:tcPr>
          <w:p w14:paraId="7960DCCC"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540" w:type="dxa"/>
            <w:tcBorders>
              <w:top w:val="single" w:sz="4" w:space="0" w:color="auto"/>
              <w:left w:val="nil"/>
              <w:bottom w:val="nil"/>
              <w:right w:val="nil"/>
            </w:tcBorders>
            <w:noWrap/>
            <w:hideMark/>
          </w:tcPr>
          <w:p w14:paraId="14037FE3"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630" w:type="dxa"/>
            <w:tcBorders>
              <w:top w:val="single" w:sz="4" w:space="0" w:color="auto"/>
              <w:left w:val="nil"/>
              <w:bottom w:val="nil"/>
              <w:right w:val="nil"/>
            </w:tcBorders>
            <w:noWrap/>
            <w:hideMark/>
          </w:tcPr>
          <w:p w14:paraId="654DF204"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630" w:type="dxa"/>
            <w:tcBorders>
              <w:top w:val="single" w:sz="4" w:space="0" w:color="auto"/>
              <w:left w:val="nil"/>
              <w:bottom w:val="nil"/>
              <w:right w:val="nil"/>
            </w:tcBorders>
            <w:noWrap/>
            <w:hideMark/>
          </w:tcPr>
          <w:p w14:paraId="7A4A7963"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630" w:type="dxa"/>
            <w:tcBorders>
              <w:top w:val="single" w:sz="4" w:space="0" w:color="auto"/>
              <w:left w:val="nil"/>
              <w:bottom w:val="nil"/>
              <w:right w:val="nil"/>
            </w:tcBorders>
            <w:noWrap/>
            <w:hideMark/>
          </w:tcPr>
          <w:p w14:paraId="161FC76C"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810" w:type="dxa"/>
            <w:tcBorders>
              <w:top w:val="single" w:sz="4" w:space="0" w:color="auto"/>
              <w:left w:val="nil"/>
              <w:bottom w:val="nil"/>
              <w:right w:val="nil"/>
            </w:tcBorders>
            <w:noWrap/>
            <w:hideMark/>
          </w:tcPr>
          <w:p w14:paraId="5C3248D5"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3.47</w:t>
            </w:r>
          </w:p>
        </w:tc>
      </w:tr>
      <w:tr w:rsidR="00C24CFC" w14:paraId="7B47A8B4" w14:textId="77777777">
        <w:trPr>
          <w:trHeight w:val="315"/>
        </w:trPr>
        <w:tc>
          <w:tcPr>
            <w:tcW w:w="590" w:type="dxa"/>
            <w:tcBorders>
              <w:top w:val="nil"/>
              <w:left w:val="nil"/>
              <w:bottom w:val="nil"/>
              <w:right w:val="nil"/>
            </w:tcBorders>
            <w:noWrap/>
            <w:hideMark/>
          </w:tcPr>
          <w:p w14:paraId="5D558B31"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Q2</w:t>
            </w:r>
          </w:p>
        </w:tc>
        <w:tc>
          <w:tcPr>
            <w:tcW w:w="3910" w:type="dxa"/>
            <w:tcBorders>
              <w:top w:val="nil"/>
              <w:left w:val="nil"/>
              <w:bottom w:val="nil"/>
              <w:right w:val="nil"/>
            </w:tcBorders>
            <w:noWrap/>
            <w:hideMark/>
          </w:tcPr>
          <w:p w14:paraId="35C9B98F"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Preparedness in 2022 </w:t>
            </w:r>
            <w:r>
              <w:rPr>
                <w:rFonts w:ascii="Times New Roman" w:eastAsia="Times New Roman" w:hAnsi="Times New Roman" w:cs="Times New Roman"/>
                <w:sz w:val="24"/>
                <w:szCs w:val="24"/>
              </w:rPr>
              <w:t>was more effective than previous floods</w:t>
            </w:r>
          </w:p>
        </w:tc>
        <w:tc>
          <w:tcPr>
            <w:tcW w:w="630" w:type="dxa"/>
            <w:tcBorders>
              <w:top w:val="nil"/>
              <w:left w:val="nil"/>
              <w:bottom w:val="nil"/>
              <w:right w:val="nil"/>
            </w:tcBorders>
            <w:noWrap/>
            <w:hideMark/>
          </w:tcPr>
          <w:p w14:paraId="16E065DD"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540" w:type="dxa"/>
            <w:tcBorders>
              <w:top w:val="nil"/>
              <w:left w:val="nil"/>
              <w:bottom w:val="nil"/>
              <w:right w:val="nil"/>
            </w:tcBorders>
            <w:noWrap/>
            <w:hideMark/>
          </w:tcPr>
          <w:p w14:paraId="39B08AA1"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630" w:type="dxa"/>
            <w:tcBorders>
              <w:top w:val="nil"/>
              <w:left w:val="nil"/>
              <w:bottom w:val="nil"/>
              <w:right w:val="nil"/>
            </w:tcBorders>
            <w:noWrap/>
            <w:hideMark/>
          </w:tcPr>
          <w:p w14:paraId="44C316EF"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630" w:type="dxa"/>
            <w:tcBorders>
              <w:top w:val="nil"/>
              <w:left w:val="nil"/>
              <w:bottom w:val="nil"/>
              <w:right w:val="nil"/>
            </w:tcBorders>
            <w:noWrap/>
            <w:hideMark/>
          </w:tcPr>
          <w:p w14:paraId="0B539D81"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630" w:type="dxa"/>
            <w:tcBorders>
              <w:top w:val="nil"/>
              <w:left w:val="nil"/>
              <w:bottom w:val="nil"/>
              <w:right w:val="nil"/>
            </w:tcBorders>
            <w:noWrap/>
            <w:hideMark/>
          </w:tcPr>
          <w:p w14:paraId="21CE06B4"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810" w:type="dxa"/>
            <w:tcBorders>
              <w:top w:val="nil"/>
              <w:left w:val="nil"/>
              <w:bottom w:val="nil"/>
              <w:right w:val="nil"/>
            </w:tcBorders>
            <w:noWrap/>
            <w:hideMark/>
          </w:tcPr>
          <w:p w14:paraId="77E3DAA3"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3.34</w:t>
            </w:r>
          </w:p>
        </w:tc>
      </w:tr>
      <w:tr w:rsidR="00C24CFC" w14:paraId="7647D767" w14:textId="77777777">
        <w:trPr>
          <w:trHeight w:val="315"/>
        </w:trPr>
        <w:tc>
          <w:tcPr>
            <w:tcW w:w="590" w:type="dxa"/>
            <w:tcBorders>
              <w:top w:val="nil"/>
              <w:left w:val="nil"/>
              <w:bottom w:val="nil"/>
              <w:right w:val="nil"/>
            </w:tcBorders>
            <w:noWrap/>
            <w:hideMark/>
          </w:tcPr>
          <w:p w14:paraId="07200D96"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Q3</w:t>
            </w:r>
          </w:p>
        </w:tc>
        <w:tc>
          <w:tcPr>
            <w:tcW w:w="3910" w:type="dxa"/>
            <w:tcBorders>
              <w:top w:val="nil"/>
              <w:left w:val="nil"/>
              <w:bottom w:val="nil"/>
              <w:right w:val="nil"/>
            </w:tcBorders>
            <w:noWrap/>
            <w:hideMark/>
          </w:tcPr>
          <w:p w14:paraId="73B5E145"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Preparedness significantly reduced overall flood impact</w:t>
            </w:r>
          </w:p>
        </w:tc>
        <w:tc>
          <w:tcPr>
            <w:tcW w:w="630" w:type="dxa"/>
            <w:tcBorders>
              <w:top w:val="nil"/>
              <w:left w:val="nil"/>
              <w:bottom w:val="nil"/>
              <w:right w:val="nil"/>
            </w:tcBorders>
            <w:noWrap/>
            <w:hideMark/>
          </w:tcPr>
          <w:p w14:paraId="23901399"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540" w:type="dxa"/>
            <w:tcBorders>
              <w:top w:val="nil"/>
              <w:left w:val="nil"/>
              <w:bottom w:val="nil"/>
              <w:right w:val="nil"/>
            </w:tcBorders>
            <w:noWrap/>
            <w:hideMark/>
          </w:tcPr>
          <w:p w14:paraId="694C8E0D"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630" w:type="dxa"/>
            <w:tcBorders>
              <w:top w:val="nil"/>
              <w:left w:val="nil"/>
              <w:bottom w:val="nil"/>
              <w:right w:val="nil"/>
            </w:tcBorders>
            <w:noWrap/>
            <w:hideMark/>
          </w:tcPr>
          <w:p w14:paraId="38F26EC7"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630" w:type="dxa"/>
            <w:tcBorders>
              <w:top w:val="nil"/>
              <w:left w:val="nil"/>
              <w:bottom w:val="nil"/>
              <w:right w:val="nil"/>
            </w:tcBorders>
            <w:noWrap/>
            <w:hideMark/>
          </w:tcPr>
          <w:p w14:paraId="47908AE7"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630" w:type="dxa"/>
            <w:tcBorders>
              <w:top w:val="nil"/>
              <w:left w:val="nil"/>
              <w:bottom w:val="nil"/>
              <w:right w:val="nil"/>
            </w:tcBorders>
            <w:noWrap/>
            <w:hideMark/>
          </w:tcPr>
          <w:p w14:paraId="0F2DAC1E"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810" w:type="dxa"/>
            <w:tcBorders>
              <w:top w:val="nil"/>
              <w:left w:val="nil"/>
              <w:bottom w:val="nil"/>
              <w:right w:val="nil"/>
            </w:tcBorders>
            <w:noWrap/>
            <w:hideMark/>
          </w:tcPr>
          <w:p w14:paraId="6630B976"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3.40</w:t>
            </w:r>
          </w:p>
        </w:tc>
      </w:tr>
      <w:tr w:rsidR="00C24CFC" w14:paraId="7D0CBD31" w14:textId="77777777">
        <w:trPr>
          <w:trHeight w:val="315"/>
        </w:trPr>
        <w:tc>
          <w:tcPr>
            <w:tcW w:w="590" w:type="dxa"/>
            <w:tcBorders>
              <w:top w:val="nil"/>
              <w:left w:val="nil"/>
              <w:bottom w:val="nil"/>
              <w:right w:val="nil"/>
            </w:tcBorders>
            <w:noWrap/>
            <w:hideMark/>
          </w:tcPr>
          <w:p w14:paraId="3D1F8E11"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Q4</w:t>
            </w:r>
          </w:p>
        </w:tc>
        <w:tc>
          <w:tcPr>
            <w:tcW w:w="3910" w:type="dxa"/>
            <w:tcBorders>
              <w:top w:val="nil"/>
              <w:left w:val="nil"/>
              <w:bottom w:val="nil"/>
              <w:right w:val="nil"/>
            </w:tcBorders>
            <w:noWrap/>
            <w:hideMark/>
          </w:tcPr>
          <w:p w14:paraId="7E9A018E"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Early warning enabled timely preparedness actions</w:t>
            </w:r>
          </w:p>
        </w:tc>
        <w:tc>
          <w:tcPr>
            <w:tcW w:w="630" w:type="dxa"/>
            <w:tcBorders>
              <w:top w:val="nil"/>
              <w:left w:val="nil"/>
              <w:bottom w:val="nil"/>
              <w:right w:val="nil"/>
            </w:tcBorders>
            <w:noWrap/>
            <w:hideMark/>
          </w:tcPr>
          <w:p w14:paraId="753AAD8D"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540" w:type="dxa"/>
            <w:tcBorders>
              <w:top w:val="nil"/>
              <w:left w:val="nil"/>
              <w:bottom w:val="nil"/>
              <w:right w:val="nil"/>
            </w:tcBorders>
            <w:noWrap/>
            <w:hideMark/>
          </w:tcPr>
          <w:p w14:paraId="6720FBEC"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630" w:type="dxa"/>
            <w:tcBorders>
              <w:top w:val="nil"/>
              <w:left w:val="nil"/>
              <w:bottom w:val="nil"/>
              <w:right w:val="nil"/>
            </w:tcBorders>
            <w:noWrap/>
            <w:hideMark/>
          </w:tcPr>
          <w:p w14:paraId="776D76C1"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630" w:type="dxa"/>
            <w:tcBorders>
              <w:top w:val="nil"/>
              <w:left w:val="nil"/>
              <w:bottom w:val="nil"/>
              <w:right w:val="nil"/>
            </w:tcBorders>
            <w:noWrap/>
            <w:hideMark/>
          </w:tcPr>
          <w:p w14:paraId="3D71CB24"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c>
          <w:tcPr>
            <w:tcW w:w="630" w:type="dxa"/>
            <w:tcBorders>
              <w:top w:val="nil"/>
              <w:left w:val="nil"/>
              <w:bottom w:val="nil"/>
              <w:right w:val="nil"/>
            </w:tcBorders>
            <w:noWrap/>
            <w:hideMark/>
          </w:tcPr>
          <w:p w14:paraId="518AF5D3"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810" w:type="dxa"/>
            <w:tcBorders>
              <w:top w:val="nil"/>
              <w:left w:val="nil"/>
              <w:bottom w:val="nil"/>
              <w:right w:val="nil"/>
            </w:tcBorders>
            <w:noWrap/>
            <w:hideMark/>
          </w:tcPr>
          <w:p w14:paraId="5B058002"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r>
      <w:tr w:rsidR="00C24CFC" w14:paraId="668F9913" w14:textId="77777777">
        <w:trPr>
          <w:trHeight w:val="315"/>
        </w:trPr>
        <w:tc>
          <w:tcPr>
            <w:tcW w:w="590" w:type="dxa"/>
            <w:tcBorders>
              <w:top w:val="nil"/>
              <w:left w:val="nil"/>
              <w:bottom w:val="nil"/>
              <w:right w:val="nil"/>
            </w:tcBorders>
            <w:noWrap/>
            <w:hideMark/>
          </w:tcPr>
          <w:p w14:paraId="6CC2F34A"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Q5</w:t>
            </w:r>
          </w:p>
        </w:tc>
        <w:tc>
          <w:tcPr>
            <w:tcW w:w="3910" w:type="dxa"/>
            <w:tcBorders>
              <w:top w:val="nil"/>
              <w:left w:val="nil"/>
              <w:bottom w:val="nil"/>
              <w:right w:val="nil"/>
            </w:tcBorders>
            <w:noWrap/>
            <w:hideMark/>
          </w:tcPr>
          <w:p w14:paraId="0DFC4CB5"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Timing of early warning helped </w:t>
            </w:r>
            <w:r>
              <w:rPr>
                <w:rFonts w:ascii="Times New Roman" w:eastAsia="Times New Roman" w:hAnsi="Times New Roman" w:cs="Times New Roman"/>
                <w:sz w:val="24"/>
                <w:szCs w:val="24"/>
              </w:rPr>
              <w:t>protect lives and property</w:t>
            </w:r>
          </w:p>
        </w:tc>
        <w:tc>
          <w:tcPr>
            <w:tcW w:w="630" w:type="dxa"/>
            <w:tcBorders>
              <w:top w:val="nil"/>
              <w:left w:val="nil"/>
              <w:bottom w:val="nil"/>
              <w:right w:val="nil"/>
            </w:tcBorders>
            <w:noWrap/>
            <w:hideMark/>
          </w:tcPr>
          <w:p w14:paraId="231761BF"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540" w:type="dxa"/>
            <w:tcBorders>
              <w:top w:val="nil"/>
              <w:left w:val="nil"/>
              <w:bottom w:val="nil"/>
              <w:right w:val="nil"/>
            </w:tcBorders>
            <w:noWrap/>
            <w:hideMark/>
          </w:tcPr>
          <w:p w14:paraId="530D9362"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630" w:type="dxa"/>
            <w:tcBorders>
              <w:top w:val="nil"/>
              <w:left w:val="nil"/>
              <w:bottom w:val="nil"/>
              <w:right w:val="nil"/>
            </w:tcBorders>
            <w:noWrap/>
            <w:hideMark/>
          </w:tcPr>
          <w:p w14:paraId="4ADBFCE1"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630" w:type="dxa"/>
            <w:tcBorders>
              <w:top w:val="nil"/>
              <w:left w:val="nil"/>
              <w:bottom w:val="nil"/>
              <w:right w:val="nil"/>
            </w:tcBorders>
            <w:noWrap/>
            <w:hideMark/>
          </w:tcPr>
          <w:p w14:paraId="74811B40"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630" w:type="dxa"/>
            <w:tcBorders>
              <w:top w:val="nil"/>
              <w:left w:val="nil"/>
              <w:bottom w:val="nil"/>
              <w:right w:val="nil"/>
            </w:tcBorders>
            <w:noWrap/>
            <w:hideMark/>
          </w:tcPr>
          <w:p w14:paraId="17FF6C73"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810" w:type="dxa"/>
            <w:tcBorders>
              <w:top w:val="nil"/>
              <w:left w:val="nil"/>
              <w:bottom w:val="nil"/>
              <w:right w:val="nil"/>
            </w:tcBorders>
            <w:noWrap/>
            <w:hideMark/>
          </w:tcPr>
          <w:p w14:paraId="3CF0378B"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r>
      <w:tr w:rsidR="00C24CFC" w14:paraId="65AFA3E4" w14:textId="77777777">
        <w:trPr>
          <w:trHeight w:val="315"/>
        </w:trPr>
        <w:tc>
          <w:tcPr>
            <w:tcW w:w="590" w:type="dxa"/>
            <w:tcBorders>
              <w:top w:val="nil"/>
              <w:left w:val="nil"/>
              <w:bottom w:val="nil"/>
              <w:right w:val="nil"/>
            </w:tcBorders>
            <w:noWrap/>
            <w:hideMark/>
          </w:tcPr>
          <w:p w14:paraId="2DF055FB"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Q6</w:t>
            </w:r>
          </w:p>
        </w:tc>
        <w:tc>
          <w:tcPr>
            <w:tcW w:w="3910" w:type="dxa"/>
            <w:tcBorders>
              <w:top w:val="nil"/>
              <w:left w:val="nil"/>
              <w:bottom w:val="nil"/>
              <w:right w:val="nil"/>
            </w:tcBorders>
            <w:noWrap/>
            <w:hideMark/>
          </w:tcPr>
          <w:p w14:paraId="781F3D1F"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Early warning information was useful to my household</w:t>
            </w:r>
          </w:p>
        </w:tc>
        <w:tc>
          <w:tcPr>
            <w:tcW w:w="630" w:type="dxa"/>
            <w:tcBorders>
              <w:top w:val="nil"/>
              <w:left w:val="nil"/>
              <w:bottom w:val="nil"/>
              <w:right w:val="nil"/>
            </w:tcBorders>
            <w:noWrap/>
            <w:hideMark/>
          </w:tcPr>
          <w:p w14:paraId="6178BE47"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540" w:type="dxa"/>
            <w:tcBorders>
              <w:top w:val="nil"/>
              <w:left w:val="nil"/>
              <w:bottom w:val="nil"/>
              <w:right w:val="nil"/>
            </w:tcBorders>
            <w:noWrap/>
            <w:hideMark/>
          </w:tcPr>
          <w:p w14:paraId="702898E9"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630" w:type="dxa"/>
            <w:tcBorders>
              <w:top w:val="nil"/>
              <w:left w:val="nil"/>
              <w:bottom w:val="nil"/>
              <w:right w:val="nil"/>
            </w:tcBorders>
            <w:noWrap/>
            <w:hideMark/>
          </w:tcPr>
          <w:p w14:paraId="607F0ACB"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630" w:type="dxa"/>
            <w:tcBorders>
              <w:top w:val="nil"/>
              <w:left w:val="nil"/>
              <w:bottom w:val="nil"/>
              <w:right w:val="nil"/>
            </w:tcBorders>
            <w:noWrap/>
            <w:hideMark/>
          </w:tcPr>
          <w:p w14:paraId="04CDFA2C"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tc>
        <w:tc>
          <w:tcPr>
            <w:tcW w:w="630" w:type="dxa"/>
            <w:tcBorders>
              <w:top w:val="nil"/>
              <w:left w:val="nil"/>
              <w:bottom w:val="nil"/>
              <w:right w:val="nil"/>
            </w:tcBorders>
            <w:noWrap/>
            <w:hideMark/>
          </w:tcPr>
          <w:p w14:paraId="6D031717"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810" w:type="dxa"/>
            <w:tcBorders>
              <w:top w:val="nil"/>
              <w:left w:val="nil"/>
              <w:bottom w:val="nil"/>
              <w:right w:val="nil"/>
            </w:tcBorders>
            <w:noWrap/>
            <w:hideMark/>
          </w:tcPr>
          <w:p w14:paraId="2A99B489"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3.53</w:t>
            </w:r>
          </w:p>
        </w:tc>
      </w:tr>
      <w:tr w:rsidR="00C24CFC" w14:paraId="189D03EA" w14:textId="77777777">
        <w:trPr>
          <w:trHeight w:val="315"/>
        </w:trPr>
        <w:tc>
          <w:tcPr>
            <w:tcW w:w="590" w:type="dxa"/>
            <w:tcBorders>
              <w:top w:val="nil"/>
              <w:left w:val="nil"/>
              <w:bottom w:val="single" w:sz="4" w:space="0" w:color="auto"/>
              <w:right w:val="nil"/>
            </w:tcBorders>
            <w:noWrap/>
            <w:hideMark/>
          </w:tcPr>
          <w:p w14:paraId="1E2F3D8B"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Q7</w:t>
            </w:r>
          </w:p>
        </w:tc>
        <w:tc>
          <w:tcPr>
            <w:tcW w:w="3910" w:type="dxa"/>
            <w:tcBorders>
              <w:top w:val="nil"/>
              <w:left w:val="nil"/>
              <w:bottom w:val="single" w:sz="4" w:space="0" w:color="auto"/>
              <w:right w:val="nil"/>
            </w:tcBorders>
            <w:noWrap/>
            <w:hideMark/>
          </w:tcPr>
          <w:p w14:paraId="1558BD90"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Households with early warning and preparedness suffered less damage</w:t>
            </w:r>
          </w:p>
        </w:tc>
        <w:tc>
          <w:tcPr>
            <w:tcW w:w="630" w:type="dxa"/>
            <w:tcBorders>
              <w:top w:val="nil"/>
              <w:left w:val="nil"/>
              <w:bottom w:val="single" w:sz="4" w:space="0" w:color="auto"/>
              <w:right w:val="nil"/>
            </w:tcBorders>
            <w:noWrap/>
            <w:hideMark/>
          </w:tcPr>
          <w:p w14:paraId="086CFC68"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540" w:type="dxa"/>
            <w:tcBorders>
              <w:top w:val="nil"/>
              <w:left w:val="nil"/>
              <w:bottom w:val="single" w:sz="4" w:space="0" w:color="auto"/>
              <w:right w:val="nil"/>
            </w:tcBorders>
            <w:noWrap/>
            <w:hideMark/>
          </w:tcPr>
          <w:p w14:paraId="581BD302"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630" w:type="dxa"/>
            <w:tcBorders>
              <w:top w:val="nil"/>
              <w:left w:val="nil"/>
              <w:bottom w:val="single" w:sz="4" w:space="0" w:color="auto"/>
              <w:right w:val="nil"/>
            </w:tcBorders>
            <w:noWrap/>
            <w:hideMark/>
          </w:tcPr>
          <w:p w14:paraId="3E7ADA87"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630" w:type="dxa"/>
            <w:tcBorders>
              <w:top w:val="nil"/>
              <w:left w:val="nil"/>
              <w:bottom w:val="single" w:sz="4" w:space="0" w:color="auto"/>
              <w:right w:val="nil"/>
            </w:tcBorders>
            <w:noWrap/>
            <w:hideMark/>
          </w:tcPr>
          <w:p w14:paraId="0A1E4EFA"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630" w:type="dxa"/>
            <w:tcBorders>
              <w:top w:val="nil"/>
              <w:left w:val="nil"/>
              <w:bottom w:val="single" w:sz="4" w:space="0" w:color="auto"/>
              <w:right w:val="nil"/>
            </w:tcBorders>
            <w:noWrap/>
            <w:hideMark/>
          </w:tcPr>
          <w:p w14:paraId="47C88FCE"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810" w:type="dxa"/>
            <w:tcBorders>
              <w:top w:val="nil"/>
              <w:left w:val="nil"/>
              <w:bottom w:val="single" w:sz="4" w:space="0" w:color="auto"/>
              <w:right w:val="nil"/>
            </w:tcBorders>
            <w:noWrap/>
            <w:hideMark/>
          </w:tcPr>
          <w:p w14:paraId="7441BA82"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3.64</w:t>
            </w:r>
          </w:p>
        </w:tc>
      </w:tr>
    </w:tbl>
    <w:p w14:paraId="5AABF70E" w14:textId="77777777" w:rsidR="00C24CFC" w:rsidRDefault="00AF004B">
      <w:pPr>
        <w:spacing w:after="0" w:line="276"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Source: Researcher’s Field Survey, 2025; </w:t>
      </w:r>
      <w:r>
        <w:rPr>
          <w:rFonts w:ascii="Times New Roman" w:eastAsia="Times New Roman" w:hAnsi="Times New Roman" w:cs="Times New Roman"/>
          <w:bCs/>
          <w:sz w:val="24"/>
          <w:szCs w:val="24"/>
        </w:rPr>
        <w:t>(n = 365)</w:t>
      </w:r>
    </w:p>
    <w:p w14:paraId="1231C621" w14:textId="77777777" w:rsidR="00C24CFC" w:rsidRDefault="00AF004B">
      <w:pPr>
        <w:spacing w:after="0" w:line="276" w:lineRule="auto"/>
        <w:jc w:val="both"/>
        <w:rPr>
          <w:rFonts w:ascii="Times New Roman" w:eastAsia="Times New Roman" w:hAnsi="Times New Roman" w:cs="Times New Roman"/>
          <w:i/>
          <w:sz w:val="20"/>
          <w:szCs w:val="24"/>
        </w:rPr>
      </w:pPr>
      <w:r>
        <w:rPr>
          <w:rFonts w:ascii="Times New Roman" w:eastAsia="Times New Roman" w:hAnsi="Times New Roman" w:cs="Times New Roman"/>
          <w:bCs/>
          <w:i/>
          <w:sz w:val="20"/>
          <w:szCs w:val="24"/>
        </w:rPr>
        <w:t>Response Scale</w:t>
      </w:r>
      <w:r>
        <w:rPr>
          <w:rFonts w:ascii="Times New Roman" w:eastAsia="Times New Roman" w:hAnsi="Times New Roman" w:cs="Times New Roman"/>
          <w:b/>
          <w:bCs/>
          <w:i/>
          <w:sz w:val="20"/>
          <w:szCs w:val="24"/>
        </w:rPr>
        <w:t>:</w:t>
      </w:r>
      <w:r>
        <w:rPr>
          <w:rFonts w:ascii="Times New Roman" w:eastAsia="Times New Roman" w:hAnsi="Times New Roman" w:cs="Times New Roman"/>
          <w:i/>
          <w:sz w:val="20"/>
          <w:szCs w:val="24"/>
        </w:rPr>
        <w:t xml:space="preserve"> 1 = Very low/Strongly disagree; 2 = Low/Disagree; 3 = Moderate/Neutral; 4 = High/Agree; 5 = Very high/Strongly agree</w:t>
      </w:r>
    </w:p>
    <w:p w14:paraId="1A8AA500" w14:textId="77777777" w:rsidR="00C24CFC" w:rsidRDefault="00AF004B">
      <w:pPr>
        <w:pStyle w:val="NormalWeb"/>
        <w:spacing w:before="0" w:beforeAutospacing="0" w:after="0" w:afterAutospacing="0" w:line="276" w:lineRule="auto"/>
        <w:jc w:val="both"/>
      </w:pPr>
      <w:r>
        <w:t>The Household Preparedness Effectiveness Index (HPEI), computed from Q1–</w:t>
      </w:r>
      <w:r>
        <w:t>Q3, yielded a value of 3.40, which falls within the moderate effectiveness category. This suggests that while preparedness actions such as raising household items and relocation planning were beneficial, their impact was not sufficiently strong to eliminat</w:t>
      </w:r>
      <w:r>
        <w:t>e flood losses entirely. Regarding early warning measures, Q4 recorded a mean score of 3.51, indicating that early warnings generally enabled timely preparedness actions. The timing of early warning information (Q5) was also perceived as moderately effecti</w:t>
      </w:r>
      <w:r>
        <w:t>ve in protecting lives and property, with a mean score of 3.41. Furthermore, the usefulness of early warning information to households (Q6) recorded a mean of 3.53, reflecting relatively stronger agreement among respondents.</w:t>
      </w:r>
    </w:p>
    <w:p w14:paraId="53E8AFA4" w14:textId="77777777" w:rsidR="00C24CFC" w:rsidRDefault="00AF004B">
      <w:pPr>
        <w:spacing w:after="0" w:line="276"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Response Strategies employed by</w:t>
      </w:r>
      <w:r>
        <w:rPr>
          <w:rFonts w:ascii="Times New Roman" w:eastAsia="Times New Roman" w:hAnsi="Times New Roman" w:cs="Times New Roman"/>
          <w:b/>
          <w:sz w:val="24"/>
          <w:szCs w:val="24"/>
        </w:rPr>
        <w:t xml:space="preserve"> Residents of Flood-prone areas during the 2022 Flood </w:t>
      </w:r>
    </w:p>
    <w:p w14:paraId="20A6FABA" w14:textId="77777777" w:rsidR="00C24CFC" w:rsidRDefault="00AF004B">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 xml:space="preserve">Organizations that Provided Guidance to Residents During the 2022 Flood </w:t>
      </w:r>
    </w:p>
    <w:p w14:paraId="40ED645F"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 indicates that Civil Society Organizations/Faith-Based Organizations (CSOs/FBOs) were the most prominent source of gu</w:t>
      </w:r>
      <w:r>
        <w:rPr>
          <w:rFonts w:ascii="Times New Roman" w:eastAsia="Times New Roman" w:hAnsi="Times New Roman" w:cs="Times New Roman"/>
          <w:sz w:val="24"/>
          <w:szCs w:val="24"/>
        </w:rPr>
        <w:t>idance, accounting for 39.7% of responses across all communities. This suggests that non-governmental and community-based structures played a critical role in disseminating flood-related information during the disaster. Community leaders also constituted a</w:t>
      </w:r>
      <w:r>
        <w:rPr>
          <w:rFonts w:ascii="Times New Roman" w:eastAsia="Times New Roman" w:hAnsi="Times New Roman" w:cs="Times New Roman"/>
          <w:sz w:val="24"/>
          <w:szCs w:val="24"/>
        </w:rPr>
        <w:t xml:space="preserve"> major source of guidance, with 32.1% of respondents indicating reliance on them, highlighting the importance of traditional and local leadership in emergency situations. In contrast, the State Emergency Management Agency (SEMA) accounted for 22.2% of guid</w:t>
      </w:r>
      <w:r>
        <w:rPr>
          <w:rFonts w:ascii="Times New Roman" w:eastAsia="Times New Roman" w:hAnsi="Times New Roman" w:cs="Times New Roman"/>
          <w:sz w:val="24"/>
          <w:szCs w:val="24"/>
        </w:rPr>
        <w:t>ance received, indicating moderate involvement at the state level. The National Emergency Management Agency (NEMA) contributed only 10.1%, reflecting limited federal-level engagement in direct community guidance. International NGOs recorded the lowest invo</w:t>
      </w:r>
      <w:r>
        <w:rPr>
          <w:rFonts w:ascii="Times New Roman" w:eastAsia="Times New Roman" w:hAnsi="Times New Roman" w:cs="Times New Roman"/>
          <w:sz w:val="24"/>
          <w:szCs w:val="24"/>
        </w:rPr>
        <w:t xml:space="preserve">lvement at 6.6%, suggesting minimal presence or outreach at the community scale. Notably, 34.8% of respondents reported receiving no instructions at all during the flood event. </w:t>
      </w:r>
    </w:p>
    <w:p w14:paraId="6E307031" w14:textId="77777777" w:rsidR="00C24CFC" w:rsidRDefault="00AF004B">
      <w:pPr>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Immediate Action Taken by Residents during 2022 Flooding </w:t>
      </w:r>
    </w:p>
    <w:p w14:paraId="534D0647"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reveal that the most common response was staying at home, reported by 34.5% of respondents. This suggests that a significant proportion of residents either underestimated the severity of the flood or lacked viable evacuation alternatives. Movi</w:t>
      </w:r>
      <w:r>
        <w:rPr>
          <w:rFonts w:ascii="Times New Roman" w:eastAsia="Times New Roman" w:hAnsi="Times New Roman" w:cs="Times New Roman"/>
          <w:sz w:val="24"/>
          <w:szCs w:val="24"/>
        </w:rPr>
        <w:t xml:space="preserve">ng to higher ground was the second most common response, accounting for 27.1% of the total responses, indicating some level of adaptive behaviour among residents. Relocation to relatives’ or friends’ houses was reported by 20.5% of respondents, reflecting </w:t>
      </w:r>
      <w:r>
        <w:rPr>
          <w:rFonts w:ascii="Times New Roman" w:eastAsia="Times New Roman" w:hAnsi="Times New Roman" w:cs="Times New Roman"/>
          <w:sz w:val="24"/>
          <w:szCs w:val="24"/>
        </w:rPr>
        <w:t xml:space="preserve">reliance on social networks for temporary safety. Only 11.0% of residents evacuated to designated camps, which may indicate limited availability, accessibility, or awareness of formal evacuation centres (Plate 1 and 2). Other unspecified actions accounted </w:t>
      </w:r>
      <w:r>
        <w:rPr>
          <w:rFonts w:ascii="Times New Roman" w:eastAsia="Times New Roman" w:hAnsi="Times New Roman" w:cs="Times New Roman"/>
          <w:sz w:val="24"/>
          <w:szCs w:val="24"/>
        </w:rPr>
        <w:t>for 6.8% of responses, suggesting diverse but less common coping strategies. The distribution of responses is fairly uniform across the six communities, showing similar behavioural patterns during the onset of flooding. The relatively high proportion of re</w:t>
      </w:r>
      <w:r>
        <w:rPr>
          <w:rFonts w:ascii="Times New Roman" w:eastAsia="Times New Roman" w:hAnsi="Times New Roman" w:cs="Times New Roman"/>
          <w:sz w:val="24"/>
          <w:szCs w:val="24"/>
        </w:rPr>
        <w:t xml:space="preserve">sidents who stayed at home raises concerns about exposure to flood risks and potential loss of life and property. These findings </w:t>
      </w:r>
      <w:r>
        <w:rPr>
          <w:rFonts w:ascii="Times New Roman" w:eastAsia="Times New Roman" w:hAnsi="Times New Roman" w:cs="Times New Roman"/>
          <w:sz w:val="24"/>
          <w:szCs w:val="24"/>
        </w:rPr>
        <w:lastRenderedPageBreak/>
        <w:t>indicate that evacuation compliance was generally low and that informal coping strategies were preferred over organized emergen</w:t>
      </w:r>
      <w:r>
        <w:rPr>
          <w:rFonts w:ascii="Times New Roman" w:eastAsia="Times New Roman" w:hAnsi="Times New Roman" w:cs="Times New Roman"/>
          <w:sz w:val="24"/>
          <w:szCs w:val="24"/>
        </w:rPr>
        <w:t>cy responses.</w:t>
      </w:r>
    </w:p>
    <w:p w14:paraId="4CF6C302" w14:textId="167749A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Table </w:t>
      </w:r>
      <w:r w:rsidR="00986021">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 Immediate Action Taken by Residents When Flooding Started</w:t>
      </w:r>
    </w:p>
    <w:tbl>
      <w:tblPr>
        <w:tblW w:w="10004" w:type="dxa"/>
        <w:tblLook w:val="04A0" w:firstRow="1" w:lastRow="0" w:firstColumn="1" w:lastColumn="0" w:noHBand="0" w:noVBand="1"/>
      </w:tblPr>
      <w:tblGrid>
        <w:gridCol w:w="1505"/>
        <w:gridCol w:w="1083"/>
        <w:gridCol w:w="1257"/>
        <w:gridCol w:w="1212"/>
        <w:gridCol w:w="1084"/>
        <w:gridCol w:w="1084"/>
        <w:gridCol w:w="1084"/>
        <w:gridCol w:w="1695"/>
      </w:tblGrid>
      <w:tr w:rsidR="00C24CFC" w14:paraId="17CF871C" w14:textId="77777777">
        <w:trPr>
          <w:trHeight w:val="344"/>
        </w:trPr>
        <w:tc>
          <w:tcPr>
            <w:tcW w:w="1505" w:type="dxa"/>
            <w:tcBorders>
              <w:top w:val="single" w:sz="4" w:space="0" w:color="auto"/>
              <w:left w:val="nil"/>
              <w:bottom w:val="nil"/>
              <w:right w:val="nil"/>
            </w:tcBorders>
            <w:noWrap/>
            <w:vAlign w:val="bottom"/>
            <w:hideMark/>
          </w:tcPr>
          <w:p w14:paraId="31A40F2D"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Response Action</w:t>
            </w:r>
          </w:p>
        </w:tc>
        <w:tc>
          <w:tcPr>
            <w:tcW w:w="1083" w:type="dxa"/>
            <w:tcBorders>
              <w:top w:val="single" w:sz="4" w:space="0" w:color="auto"/>
              <w:left w:val="nil"/>
              <w:bottom w:val="nil"/>
              <w:right w:val="nil"/>
            </w:tcBorders>
            <w:noWrap/>
            <w:hideMark/>
          </w:tcPr>
          <w:p w14:paraId="7DE6F6F4"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Idye</w:t>
            </w:r>
          </w:p>
        </w:tc>
        <w:tc>
          <w:tcPr>
            <w:tcW w:w="1257" w:type="dxa"/>
            <w:tcBorders>
              <w:top w:val="single" w:sz="4" w:space="0" w:color="auto"/>
              <w:left w:val="nil"/>
              <w:bottom w:val="nil"/>
              <w:right w:val="nil"/>
            </w:tcBorders>
            <w:noWrap/>
            <w:hideMark/>
          </w:tcPr>
          <w:p w14:paraId="209CE508"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Wurukum</w:t>
            </w:r>
          </w:p>
        </w:tc>
        <w:tc>
          <w:tcPr>
            <w:tcW w:w="1212" w:type="dxa"/>
            <w:tcBorders>
              <w:top w:val="single" w:sz="4" w:space="0" w:color="auto"/>
              <w:left w:val="nil"/>
              <w:bottom w:val="nil"/>
              <w:right w:val="nil"/>
            </w:tcBorders>
            <w:noWrap/>
            <w:hideMark/>
          </w:tcPr>
          <w:p w14:paraId="3E0B1715"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Industrial Layout</w:t>
            </w:r>
          </w:p>
        </w:tc>
        <w:tc>
          <w:tcPr>
            <w:tcW w:w="1084" w:type="dxa"/>
            <w:tcBorders>
              <w:top w:val="single" w:sz="4" w:space="0" w:color="auto"/>
              <w:left w:val="nil"/>
              <w:bottom w:val="nil"/>
              <w:right w:val="nil"/>
            </w:tcBorders>
            <w:noWrap/>
            <w:hideMark/>
          </w:tcPr>
          <w:p w14:paraId="4A815CCA"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Gyado Villa</w:t>
            </w:r>
          </w:p>
        </w:tc>
        <w:tc>
          <w:tcPr>
            <w:tcW w:w="1084" w:type="dxa"/>
            <w:tcBorders>
              <w:top w:val="single" w:sz="4" w:space="0" w:color="auto"/>
              <w:left w:val="nil"/>
              <w:bottom w:val="nil"/>
              <w:right w:val="nil"/>
            </w:tcBorders>
            <w:noWrap/>
            <w:hideMark/>
          </w:tcPr>
          <w:p w14:paraId="5FD19B41"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Logo I &amp; II</w:t>
            </w:r>
          </w:p>
        </w:tc>
        <w:tc>
          <w:tcPr>
            <w:tcW w:w="1084" w:type="dxa"/>
            <w:tcBorders>
              <w:top w:val="single" w:sz="4" w:space="0" w:color="auto"/>
              <w:left w:val="nil"/>
              <w:bottom w:val="nil"/>
              <w:right w:val="nil"/>
            </w:tcBorders>
            <w:noWrap/>
            <w:hideMark/>
          </w:tcPr>
          <w:p w14:paraId="073DFFB5"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Kucha Utebe</w:t>
            </w:r>
          </w:p>
        </w:tc>
        <w:tc>
          <w:tcPr>
            <w:tcW w:w="1695" w:type="dxa"/>
            <w:tcBorders>
              <w:top w:val="single" w:sz="4" w:space="0" w:color="auto"/>
              <w:left w:val="nil"/>
              <w:bottom w:val="nil"/>
              <w:right w:val="nil"/>
            </w:tcBorders>
            <w:noWrap/>
            <w:hideMark/>
          </w:tcPr>
          <w:p w14:paraId="7087763A"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Total </w:t>
            </w:r>
          </w:p>
        </w:tc>
      </w:tr>
      <w:tr w:rsidR="00C24CFC" w14:paraId="2A2E95A2" w14:textId="77777777">
        <w:trPr>
          <w:trHeight w:val="344"/>
        </w:trPr>
        <w:tc>
          <w:tcPr>
            <w:tcW w:w="1505" w:type="dxa"/>
            <w:tcBorders>
              <w:top w:val="single" w:sz="4" w:space="0" w:color="auto"/>
              <w:left w:val="nil"/>
              <w:bottom w:val="nil"/>
              <w:right w:val="nil"/>
            </w:tcBorders>
            <w:noWrap/>
            <w:vAlign w:val="bottom"/>
            <w:hideMark/>
          </w:tcPr>
          <w:p w14:paraId="0F7EF05A"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Stayed at home</w:t>
            </w:r>
          </w:p>
        </w:tc>
        <w:tc>
          <w:tcPr>
            <w:tcW w:w="1083" w:type="dxa"/>
            <w:tcBorders>
              <w:top w:val="single" w:sz="4" w:space="0" w:color="auto"/>
              <w:left w:val="nil"/>
              <w:bottom w:val="nil"/>
              <w:right w:val="nil"/>
            </w:tcBorders>
            <w:noWrap/>
            <w:hideMark/>
          </w:tcPr>
          <w:p w14:paraId="13D7627F"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 (32.8)</w:t>
            </w:r>
          </w:p>
        </w:tc>
        <w:tc>
          <w:tcPr>
            <w:tcW w:w="1257" w:type="dxa"/>
            <w:tcBorders>
              <w:top w:val="single" w:sz="4" w:space="0" w:color="auto"/>
              <w:left w:val="nil"/>
              <w:bottom w:val="nil"/>
              <w:right w:val="nil"/>
            </w:tcBorders>
            <w:noWrap/>
            <w:hideMark/>
          </w:tcPr>
          <w:p w14:paraId="48EA65A6"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 (35.0)</w:t>
            </w:r>
          </w:p>
        </w:tc>
        <w:tc>
          <w:tcPr>
            <w:tcW w:w="1212" w:type="dxa"/>
            <w:tcBorders>
              <w:top w:val="single" w:sz="4" w:space="0" w:color="auto"/>
              <w:left w:val="nil"/>
              <w:bottom w:val="nil"/>
              <w:right w:val="nil"/>
            </w:tcBorders>
            <w:noWrap/>
            <w:hideMark/>
          </w:tcPr>
          <w:p w14:paraId="634A5E08"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 (35.6)</w:t>
            </w:r>
          </w:p>
        </w:tc>
        <w:tc>
          <w:tcPr>
            <w:tcW w:w="1084" w:type="dxa"/>
            <w:tcBorders>
              <w:top w:val="single" w:sz="4" w:space="0" w:color="auto"/>
              <w:left w:val="nil"/>
              <w:bottom w:val="nil"/>
              <w:right w:val="nil"/>
            </w:tcBorders>
            <w:noWrap/>
            <w:hideMark/>
          </w:tcPr>
          <w:p w14:paraId="370632BF"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 (34.4)</w:t>
            </w:r>
          </w:p>
        </w:tc>
        <w:tc>
          <w:tcPr>
            <w:tcW w:w="1084" w:type="dxa"/>
            <w:tcBorders>
              <w:top w:val="single" w:sz="4" w:space="0" w:color="auto"/>
              <w:left w:val="nil"/>
              <w:bottom w:val="nil"/>
              <w:right w:val="nil"/>
            </w:tcBorders>
            <w:noWrap/>
            <w:hideMark/>
          </w:tcPr>
          <w:p w14:paraId="03D59B10"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 (34.9)</w:t>
            </w:r>
          </w:p>
        </w:tc>
        <w:tc>
          <w:tcPr>
            <w:tcW w:w="1084" w:type="dxa"/>
            <w:tcBorders>
              <w:top w:val="single" w:sz="4" w:space="0" w:color="auto"/>
              <w:left w:val="nil"/>
              <w:bottom w:val="nil"/>
              <w:right w:val="nil"/>
            </w:tcBorders>
            <w:noWrap/>
            <w:hideMark/>
          </w:tcPr>
          <w:p w14:paraId="34AA67D7"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 (34.5)</w:t>
            </w:r>
          </w:p>
        </w:tc>
        <w:tc>
          <w:tcPr>
            <w:tcW w:w="1695" w:type="dxa"/>
            <w:tcBorders>
              <w:top w:val="single" w:sz="4" w:space="0" w:color="auto"/>
              <w:left w:val="nil"/>
              <w:bottom w:val="nil"/>
              <w:right w:val="nil"/>
            </w:tcBorders>
            <w:noWrap/>
            <w:hideMark/>
          </w:tcPr>
          <w:p w14:paraId="085E7156"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126 </w:t>
            </w:r>
            <w:r>
              <w:rPr>
                <w:rFonts w:ascii="Times New Roman" w:eastAsia="Times New Roman" w:hAnsi="Times New Roman" w:cs="Times New Roman"/>
                <w:sz w:val="20"/>
                <w:szCs w:val="20"/>
              </w:rPr>
              <w:t>(34.5)</w:t>
            </w:r>
          </w:p>
        </w:tc>
      </w:tr>
      <w:tr w:rsidR="00C24CFC" w14:paraId="5BE0A5E7" w14:textId="77777777">
        <w:trPr>
          <w:trHeight w:val="344"/>
        </w:trPr>
        <w:tc>
          <w:tcPr>
            <w:tcW w:w="1505" w:type="dxa"/>
            <w:tcBorders>
              <w:top w:val="nil"/>
              <w:left w:val="nil"/>
              <w:bottom w:val="nil"/>
              <w:right w:val="nil"/>
            </w:tcBorders>
            <w:noWrap/>
            <w:vAlign w:val="bottom"/>
            <w:hideMark/>
          </w:tcPr>
          <w:p w14:paraId="582F33D4"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Moved to higher ground</w:t>
            </w:r>
          </w:p>
        </w:tc>
        <w:tc>
          <w:tcPr>
            <w:tcW w:w="1083" w:type="dxa"/>
            <w:tcBorders>
              <w:top w:val="nil"/>
              <w:left w:val="nil"/>
              <w:bottom w:val="nil"/>
              <w:right w:val="nil"/>
            </w:tcBorders>
            <w:noWrap/>
            <w:hideMark/>
          </w:tcPr>
          <w:p w14:paraId="25E42CE6"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 (29.5)</w:t>
            </w:r>
          </w:p>
        </w:tc>
        <w:tc>
          <w:tcPr>
            <w:tcW w:w="1257" w:type="dxa"/>
            <w:tcBorders>
              <w:top w:val="nil"/>
              <w:left w:val="nil"/>
              <w:bottom w:val="nil"/>
              <w:right w:val="nil"/>
            </w:tcBorders>
            <w:noWrap/>
            <w:hideMark/>
          </w:tcPr>
          <w:p w14:paraId="3D9B4813"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 (26.7)</w:t>
            </w:r>
          </w:p>
        </w:tc>
        <w:tc>
          <w:tcPr>
            <w:tcW w:w="1212" w:type="dxa"/>
            <w:tcBorders>
              <w:top w:val="nil"/>
              <w:left w:val="nil"/>
              <w:bottom w:val="nil"/>
              <w:right w:val="nil"/>
            </w:tcBorders>
            <w:noWrap/>
            <w:hideMark/>
          </w:tcPr>
          <w:p w14:paraId="0928D68D"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 (25.4)</w:t>
            </w:r>
          </w:p>
        </w:tc>
        <w:tc>
          <w:tcPr>
            <w:tcW w:w="1084" w:type="dxa"/>
            <w:tcBorders>
              <w:top w:val="nil"/>
              <w:left w:val="nil"/>
              <w:bottom w:val="nil"/>
              <w:right w:val="nil"/>
            </w:tcBorders>
            <w:noWrap/>
            <w:hideMark/>
          </w:tcPr>
          <w:p w14:paraId="7EBB83EF"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 (28.1)</w:t>
            </w:r>
          </w:p>
        </w:tc>
        <w:tc>
          <w:tcPr>
            <w:tcW w:w="1084" w:type="dxa"/>
            <w:tcBorders>
              <w:top w:val="nil"/>
              <w:left w:val="nil"/>
              <w:bottom w:val="nil"/>
              <w:right w:val="nil"/>
            </w:tcBorders>
            <w:noWrap/>
            <w:hideMark/>
          </w:tcPr>
          <w:p w14:paraId="7AC1682C"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 (27.0)</w:t>
            </w:r>
          </w:p>
        </w:tc>
        <w:tc>
          <w:tcPr>
            <w:tcW w:w="1084" w:type="dxa"/>
            <w:tcBorders>
              <w:top w:val="nil"/>
              <w:left w:val="nil"/>
              <w:bottom w:val="nil"/>
              <w:right w:val="nil"/>
            </w:tcBorders>
            <w:noWrap/>
            <w:hideMark/>
          </w:tcPr>
          <w:p w14:paraId="68C66607"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 (25.9)</w:t>
            </w:r>
          </w:p>
        </w:tc>
        <w:tc>
          <w:tcPr>
            <w:tcW w:w="1695" w:type="dxa"/>
            <w:tcBorders>
              <w:top w:val="nil"/>
              <w:left w:val="nil"/>
              <w:bottom w:val="nil"/>
              <w:right w:val="nil"/>
            </w:tcBorders>
            <w:noWrap/>
            <w:hideMark/>
          </w:tcPr>
          <w:p w14:paraId="1E451919"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 (27.1)</w:t>
            </w:r>
          </w:p>
        </w:tc>
      </w:tr>
      <w:tr w:rsidR="00C24CFC" w14:paraId="6B5CEA0A" w14:textId="77777777">
        <w:trPr>
          <w:trHeight w:val="344"/>
        </w:trPr>
        <w:tc>
          <w:tcPr>
            <w:tcW w:w="1505" w:type="dxa"/>
            <w:tcBorders>
              <w:top w:val="nil"/>
              <w:left w:val="nil"/>
              <w:bottom w:val="nil"/>
              <w:right w:val="nil"/>
            </w:tcBorders>
            <w:noWrap/>
            <w:vAlign w:val="bottom"/>
          </w:tcPr>
          <w:p w14:paraId="5449763E" w14:textId="77777777" w:rsidR="00C24CFC" w:rsidRDefault="00C24CFC">
            <w:pPr>
              <w:spacing w:after="0" w:line="276" w:lineRule="auto"/>
              <w:jc w:val="both"/>
              <w:rPr>
                <w:rFonts w:ascii="Times New Roman" w:eastAsia="Times New Roman" w:hAnsi="Times New Roman" w:cs="Times New Roman"/>
                <w:sz w:val="20"/>
                <w:szCs w:val="20"/>
              </w:rPr>
            </w:pPr>
          </w:p>
        </w:tc>
        <w:tc>
          <w:tcPr>
            <w:tcW w:w="1083" w:type="dxa"/>
            <w:tcBorders>
              <w:top w:val="nil"/>
              <w:left w:val="nil"/>
              <w:bottom w:val="nil"/>
              <w:right w:val="nil"/>
            </w:tcBorders>
            <w:noWrap/>
          </w:tcPr>
          <w:p w14:paraId="214A14DF" w14:textId="77777777" w:rsidR="00C24CFC" w:rsidRDefault="00C24CFC">
            <w:pPr>
              <w:spacing w:after="0" w:line="276" w:lineRule="auto"/>
              <w:jc w:val="both"/>
              <w:rPr>
                <w:rFonts w:ascii="Times New Roman" w:eastAsia="Times New Roman" w:hAnsi="Times New Roman" w:cs="Times New Roman"/>
                <w:sz w:val="20"/>
                <w:szCs w:val="20"/>
              </w:rPr>
            </w:pPr>
          </w:p>
        </w:tc>
        <w:tc>
          <w:tcPr>
            <w:tcW w:w="1257" w:type="dxa"/>
            <w:tcBorders>
              <w:top w:val="nil"/>
              <w:left w:val="nil"/>
              <w:bottom w:val="nil"/>
              <w:right w:val="nil"/>
            </w:tcBorders>
            <w:noWrap/>
          </w:tcPr>
          <w:p w14:paraId="320F7B84" w14:textId="77777777" w:rsidR="00C24CFC" w:rsidRDefault="00C24CFC">
            <w:pPr>
              <w:spacing w:after="0" w:line="276" w:lineRule="auto"/>
              <w:jc w:val="both"/>
              <w:rPr>
                <w:rFonts w:ascii="Times New Roman" w:eastAsia="Times New Roman" w:hAnsi="Times New Roman" w:cs="Times New Roman"/>
                <w:sz w:val="20"/>
                <w:szCs w:val="20"/>
              </w:rPr>
            </w:pPr>
          </w:p>
        </w:tc>
        <w:tc>
          <w:tcPr>
            <w:tcW w:w="1212" w:type="dxa"/>
            <w:tcBorders>
              <w:top w:val="nil"/>
              <w:left w:val="nil"/>
              <w:bottom w:val="nil"/>
              <w:right w:val="nil"/>
            </w:tcBorders>
            <w:noWrap/>
          </w:tcPr>
          <w:p w14:paraId="17023BE4" w14:textId="77777777" w:rsidR="00C24CFC" w:rsidRDefault="00C24CFC">
            <w:pPr>
              <w:spacing w:after="0" w:line="276" w:lineRule="auto"/>
              <w:jc w:val="both"/>
              <w:rPr>
                <w:rFonts w:ascii="Times New Roman" w:eastAsia="Times New Roman" w:hAnsi="Times New Roman" w:cs="Times New Roman"/>
                <w:sz w:val="20"/>
                <w:szCs w:val="20"/>
              </w:rPr>
            </w:pPr>
          </w:p>
        </w:tc>
        <w:tc>
          <w:tcPr>
            <w:tcW w:w="1084" w:type="dxa"/>
            <w:tcBorders>
              <w:top w:val="nil"/>
              <w:left w:val="nil"/>
              <w:bottom w:val="nil"/>
              <w:right w:val="nil"/>
            </w:tcBorders>
            <w:noWrap/>
          </w:tcPr>
          <w:p w14:paraId="4BC05180" w14:textId="77777777" w:rsidR="00C24CFC" w:rsidRDefault="00C24CFC">
            <w:pPr>
              <w:spacing w:after="0" w:line="276" w:lineRule="auto"/>
              <w:jc w:val="both"/>
              <w:rPr>
                <w:rFonts w:ascii="Times New Roman" w:eastAsia="Times New Roman" w:hAnsi="Times New Roman" w:cs="Times New Roman"/>
                <w:sz w:val="20"/>
                <w:szCs w:val="20"/>
              </w:rPr>
            </w:pPr>
          </w:p>
        </w:tc>
        <w:tc>
          <w:tcPr>
            <w:tcW w:w="1084" w:type="dxa"/>
            <w:tcBorders>
              <w:top w:val="nil"/>
              <w:left w:val="nil"/>
              <w:bottom w:val="nil"/>
              <w:right w:val="nil"/>
            </w:tcBorders>
            <w:noWrap/>
          </w:tcPr>
          <w:p w14:paraId="2C0373C4" w14:textId="77777777" w:rsidR="00C24CFC" w:rsidRDefault="00C24CFC">
            <w:pPr>
              <w:spacing w:after="0" w:line="276" w:lineRule="auto"/>
              <w:jc w:val="both"/>
              <w:rPr>
                <w:rFonts w:ascii="Times New Roman" w:eastAsia="Times New Roman" w:hAnsi="Times New Roman" w:cs="Times New Roman"/>
                <w:sz w:val="20"/>
                <w:szCs w:val="20"/>
              </w:rPr>
            </w:pPr>
          </w:p>
        </w:tc>
        <w:tc>
          <w:tcPr>
            <w:tcW w:w="1084" w:type="dxa"/>
            <w:tcBorders>
              <w:top w:val="nil"/>
              <w:left w:val="nil"/>
              <w:bottom w:val="nil"/>
              <w:right w:val="nil"/>
            </w:tcBorders>
            <w:noWrap/>
          </w:tcPr>
          <w:p w14:paraId="1B7CFEFF" w14:textId="77777777" w:rsidR="00C24CFC" w:rsidRDefault="00C24CFC">
            <w:pPr>
              <w:spacing w:after="0" w:line="276" w:lineRule="auto"/>
              <w:jc w:val="both"/>
              <w:rPr>
                <w:rFonts w:ascii="Times New Roman" w:eastAsia="Times New Roman" w:hAnsi="Times New Roman" w:cs="Times New Roman"/>
                <w:sz w:val="20"/>
                <w:szCs w:val="20"/>
              </w:rPr>
            </w:pPr>
          </w:p>
        </w:tc>
        <w:tc>
          <w:tcPr>
            <w:tcW w:w="1695" w:type="dxa"/>
            <w:tcBorders>
              <w:top w:val="nil"/>
              <w:left w:val="nil"/>
              <w:bottom w:val="nil"/>
              <w:right w:val="nil"/>
            </w:tcBorders>
            <w:noWrap/>
          </w:tcPr>
          <w:p w14:paraId="254F397B" w14:textId="77777777" w:rsidR="00C24CFC" w:rsidRDefault="00C24CFC">
            <w:pPr>
              <w:spacing w:after="0" w:line="276" w:lineRule="auto"/>
              <w:jc w:val="both"/>
              <w:rPr>
                <w:rFonts w:ascii="Times New Roman" w:eastAsia="Times New Roman" w:hAnsi="Times New Roman" w:cs="Times New Roman"/>
                <w:sz w:val="20"/>
                <w:szCs w:val="20"/>
              </w:rPr>
            </w:pPr>
          </w:p>
        </w:tc>
      </w:tr>
      <w:tr w:rsidR="00C24CFC" w14:paraId="61D434B6" w14:textId="77777777">
        <w:trPr>
          <w:trHeight w:val="344"/>
        </w:trPr>
        <w:tc>
          <w:tcPr>
            <w:tcW w:w="1505" w:type="dxa"/>
            <w:tcBorders>
              <w:top w:val="nil"/>
              <w:left w:val="nil"/>
              <w:bottom w:val="nil"/>
              <w:right w:val="nil"/>
            </w:tcBorders>
            <w:noWrap/>
            <w:vAlign w:val="bottom"/>
            <w:hideMark/>
          </w:tcPr>
          <w:p w14:paraId="668B70F9"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Relocated to relatives/friends</w:t>
            </w:r>
          </w:p>
        </w:tc>
        <w:tc>
          <w:tcPr>
            <w:tcW w:w="1083" w:type="dxa"/>
            <w:tcBorders>
              <w:top w:val="nil"/>
              <w:left w:val="nil"/>
              <w:bottom w:val="nil"/>
              <w:right w:val="nil"/>
            </w:tcBorders>
            <w:noWrap/>
            <w:hideMark/>
          </w:tcPr>
          <w:p w14:paraId="0E79FDAA"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 (19.7)</w:t>
            </w:r>
          </w:p>
        </w:tc>
        <w:tc>
          <w:tcPr>
            <w:tcW w:w="1257" w:type="dxa"/>
            <w:tcBorders>
              <w:top w:val="nil"/>
              <w:left w:val="nil"/>
              <w:bottom w:val="nil"/>
              <w:right w:val="nil"/>
            </w:tcBorders>
            <w:noWrap/>
            <w:hideMark/>
          </w:tcPr>
          <w:p w14:paraId="79052A3C"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 (18.3)</w:t>
            </w:r>
          </w:p>
        </w:tc>
        <w:tc>
          <w:tcPr>
            <w:tcW w:w="1212" w:type="dxa"/>
            <w:tcBorders>
              <w:top w:val="nil"/>
              <w:left w:val="nil"/>
              <w:bottom w:val="nil"/>
              <w:right w:val="nil"/>
            </w:tcBorders>
            <w:noWrap/>
            <w:hideMark/>
          </w:tcPr>
          <w:p w14:paraId="56324AF0"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 (20.3)</w:t>
            </w:r>
          </w:p>
        </w:tc>
        <w:tc>
          <w:tcPr>
            <w:tcW w:w="1084" w:type="dxa"/>
            <w:tcBorders>
              <w:top w:val="nil"/>
              <w:left w:val="nil"/>
              <w:bottom w:val="nil"/>
              <w:right w:val="nil"/>
            </w:tcBorders>
            <w:noWrap/>
            <w:hideMark/>
          </w:tcPr>
          <w:p w14:paraId="6271BEDD"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 (21.9)</w:t>
            </w:r>
          </w:p>
        </w:tc>
        <w:tc>
          <w:tcPr>
            <w:tcW w:w="1084" w:type="dxa"/>
            <w:tcBorders>
              <w:top w:val="nil"/>
              <w:left w:val="nil"/>
              <w:bottom w:val="nil"/>
              <w:right w:val="nil"/>
            </w:tcBorders>
            <w:noWrap/>
            <w:hideMark/>
          </w:tcPr>
          <w:p w14:paraId="40B410C8"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 (20.6)</w:t>
            </w:r>
          </w:p>
        </w:tc>
        <w:tc>
          <w:tcPr>
            <w:tcW w:w="1084" w:type="dxa"/>
            <w:tcBorders>
              <w:top w:val="nil"/>
              <w:left w:val="nil"/>
              <w:bottom w:val="nil"/>
              <w:right w:val="nil"/>
            </w:tcBorders>
            <w:noWrap/>
            <w:hideMark/>
          </w:tcPr>
          <w:p w14:paraId="56F4A318"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 (22.4)</w:t>
            </w:r>
          </w:p>
        </w:tc>
        <w:tc>
          <w:tcPr>
            <w:tcW w:w="1695" w:type="dxa"/>
            <w:tcBorders>
              <w:top w:val="nil"/>
              <w:left w:val="nil"/>
              <w:bottom w:val="nil"/>
              <w:right w:val="nil"/>
            </w:tcBorders>
            <w:noWrap/>
            <w:hideMark/>
          </w:tcPr>
          <w:p w14:paraId="0221B2C7"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75 (20.5)</w:t>
            </w:r>
          </w:p>
        </w:tc>
      </w:tr>
      <w:tr w:rsidR="00C24CFC" w14:paraId="6FC4B6A2" w14:textId="77777777">
        <w:trPr>
          <w:trHeight w:val="344"/>
        </w:trPr>
        <w:tc>
          <w:tcPr>
            <w:tcW w:w="1505" w:type="dxa"/>
            <w:tcBorders>
              <w:top w:val="nil"/>
              <w:left w:val="nil"/>
              <w:bottom w:val="nil"/>
              <w:right w:val="nil"/>
            </w:tcBorders>
            <w:noWrap/>
            <w:vAlign w:val="bottom"/>
            <w:hideMark/>
          </w:tcPr>
          <w:p w14:paraId="24F721B5"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Evacuated to designated camp</w:t>
            </w:r>
          </w:p>
        </w:tc>
        <w:tc>
          <w:tcPr>
            <w:tcW w:w="1083" w:type="dxa"/>
            <w:tcBorders>
              <w:top w:val="nil"/>
              <w:left w:val="nil"/>
              <w:bottom w:val="nil"/>
              <w:right w:val="nil"/>
            </w:tcBorders>
            <w:noWrap/>
            <w:hideMark/>
          </w:tcPr>
          <w:p w14:paraId="37D4E356"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 (11.5)</w:t>
            </w:r>
          </w:p>
        </w:tc>
        <w:tc>
          <w:tcPr>
            <w:tcW w:w="1257" w:type="dxa"/>
            <w:tcBorders>
              <w:top w:val="nil"/>
              <w:left w:val="nil"/>
              <w:bottom w:val="nil"/>
              <w:right w:val="nil"/>
            </w:tcBorders>
            <w:noWrap/>
            <w:hideMark/>
          </w:tcPr>
          <w:p w14:paraId="7D223820"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w:t>
            </w:r>
            <w:r>
              <w:rPr>
                <w:rFonts w:ascii="Times New Roman" w:eastAsia="Times New Roman" w:hAnsi="Times New Roman" w:cs="Times New Roman"/>
                <w:sz w:val="20"/>
                <w:szCs w:val="20"/>
              </w:rPr>
              <w:t>(11.7)</w:t>
            </w:r>
          </w:p>
        </w:tc>
        <w:tc>
          <w:tcPr>
            <w:tcW w:w="1212" w:type="dxa"/>
            <w:tcBorders>
              <w:top w:val="nil"/>
              <w:left w:val="nil"/>
              <w:bottom w:val="nil"/>
              <w:right w:val="nil"/>
            </w:tcBorders>
            <w:noWrap/>
            <w:hideMark/>
          </w:tcPr>
          <w:p w14:paraId="24D01452"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 (10.2)</w:t>
            </w:r>
          </w:p>
        </w:tc>
        <w:tc>
          <w:tcPr>
            <w:tcW w:w="1084" w:type="dxa"/>
            <w:tcBorders>
              <w:top w:val="nil"/>
              <w:left w:val="nil"/>
              <w:bottom w:val="nil"/>
              <w:right w:val="nil"/>
            </w:tcBorders>
            <w:noWrap/>
            <w:hideMark/>
          </w:tcPr>
          <w:p w14:paraId="5DA84875"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 (10.9)</w:t>
            </w:r>
          </w:p>
        </w:tc>
        <w:tc>
          <w:tcPr>
            <w:tcW w:w="1084" w:type="dxa"/>
            <w:tcBorders>
              <w:top w:val="nil"/>
              <w:left w:val="nil"/>
              <w:bottom w:val="nil"/>
              <w:right w:val="nil"/>
            </w:tcBorders>
            <w:noWrap/>
            <w:hideMark/>
          </w:tcPr>
          <w:p w14:paraId="1BF092F6"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 (11.1)</w:t>
            </w:r>
          </w:p>
        </w:tc>
        <w:tc>
          <w:tcPr>
            <w:tcW w:w="1084" w:type="dxa"/>
            <w:tcBorders>
              <w:top w:val="nil"/>
              <w:left w:val="nil"/>
              <w:bottom w:val="nil"/>
              <w:right w:val="nil"/>
            </w:tcBorders>
            <w:noWrap/>
            <w:hideMark/>
          </w:tcPr>
          <w:p w14:paraId="7742B4C4"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 (10.3)</w:t>
            </w:r>
          </w:p>
        </w:tc>
        <w:tc>
          <w:tcPr>
            <w:tcW w:w="1695" w:type="dxa"/>
            <w:tcBorders>
              <w:top w:val="nil"/>
              <w:left w:val="nil"/>
              <w:bottom w:val="nil"/>
              <w:right w:val="nil"/>
            </w:tcBorders>
            <w:noWrap/>
            <w:hideMark/>
          </w:tcPr>
          <w:p w14:paraId="551DB565"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 (11.0)</w:t>
            </w:r>
          </w:p>
        </w:tc>
      </w:tr>
      <w:tr w:rsidR="00C24CFC" w14:paraId="57B17E30" w14:textId="77777777">
        <w:trPr>
          <w:trHeight w:val="344"/>
        </w:trPr>
        <w:tc>
          <w:tcPr>
            <w:tcW w:w="1505" w:type="dxa"/>
            <w:tcBorders>
              <w:top w:val="nil"/>
              <w:left w:val="nil"/>
              <w:bottom w:val="single" w:sz="4" w:space="0" w:color="auto"/>
              <w:right w:val="nil"/>
            </w:tcBorders>
            <w:noWrap/>
            <w:vAlign w:val="bottom"/>
            <w:hideMark/>
          </w:tcPr>
          <w:p w14:paraId="689F67F9"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Other</w:t>
            </w:r>
          </w:p>
        </w:tc>
        <w:tc>
          <w:tcPr>
            <w:tcW w:w="1083" w:type="dxa"/>
            <w:tcBorders>
              <w:top w:val="nil"/>
              <w:left w:val="nil"/>
              <w:bottom w:val="single" w:sz="4" w:space="0" w:color="auto"/>
              <w:right w:val="nil"/>
            </w:tcBorders>
            <w:noWrap/>
            <w:hideMark/>
          </w:tcPr>
          <w:p w14:paraId="4664B6DD"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(6.6)</w:t>
            </w:r>
          </w:p>
        </w:tc>
        <w:tc>
          <w:tcPr>
            <w:tcW w:w="1257" w:type="dxa"/>
            <w:tcBorders>
              <w:top w:val="nil"/>
              <w:left w:val="nil"/>
              <w:bottom w:val="single" w:sz="4" w:space="0" w:color="auto"/>
              <w:right w:val="nil"/>
            </w:tcBorders>
            <w:noWrap/>
            <w:hideMark/>
          </w:tcPr>
          <w:p w14:paraId="20C81C58"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(8.3)</w:t>
            </w:r>
          </w:p>
        </w:tc>
        <w:tc>
          <w:tcPr>
            <w:tcW w:w="1212" w:type="dxa"/>
            <w:tcBorders>
              <w:top w:val="nil"/>
              <w:left w:val="nil"/>
              <w:bottom w:val="single" w:sz="4" w:space="0" w:color="auto"/>
              <w:right w:val="nil"/>
            </w:tcBorders>
            <w:noWrap/>
            <w:hideMark/>
          </w:tcPr>
          <w:p w14:paraId="37F43090"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(8.5)</w:t>
            </w:r>
          </w:p>
        </w:tc>
        <w:tc>
          <w:tcPr>
            <w:tcW w:w="1084" w:type="dxa"/>
            <w:tcBorders>
              <w:top w:val="nil"/>
              <w:left w:val="nil"/>
              <w:bottom w:val="single" w:sz="4" w:space="0" w:color="auto"/>
              <w:right w:val="nil"/>
            </w:tcBorders>
            <w:noWrap/>
            <w:hideMark/>
          </w:tcPr>
          <w:p w14:paraId="2DF7E0ED"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(4.7)</w:t>
            </w:r>
          </w:p>
        </w:tc>
        <w:tc>
          <w:tcPr>
            <w:tcW w:w="1084" w:type="dxa"/>
            <w:tcBorders>
              <w:top w:val="nil"/>
              <w:left w:val="nil"/>
              <w:bottom w:val="single" w:sz="4" w:space="0" w:color="auto"/>
              <w:right w:val="nil"/>
            </w:tcBorders>
            <w:noWrap/>
            <w:hideMark/>
          </w:tcPr>
          <w:p w14:paraId="197CAB0F"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(6.3)</w:t>
            </w:r>
          </w:p>
        </w:tc>
        <w:tc>
          <w:tcPr>
            <w:tcW w:w="1084" w:type="dxa"/>
            <w:tcBorders>
              <w:top w:val="nil"/>
              <w:left w:val="nil"/>
              <w:bottom w:val="single" w:sz="4" w:space="0" w:color="auto"/>
              <w:right w:val="nil"/>
            </w:tcBorders>
            <w:noWrap/>
            <w:hideMark/>
          </w:tcPr>
          <w:p w14:paraId="5EBB1273"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(6.9)</w:t>
            </w:r>
          </w:p>
        </w:tc>
        <w:tc>
          <w:tcPr>
            <w:tcW w:w="1695" w:type="dxa"/>
            <w:tcBorders>
              <w:top w:val="nil"/>
              <w:left w:val="nil"/>
              <w:bottom w:val="single" w:sz="4" w:space="0" w:color="auto"/>
              <w:right w:val="nil"/>
            </w:tcBorders>
            <w:noWrap/>
            <w:hideMark/>
          </w:tcPr>
          <w:p w14:paraId="49BFA1DD"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25 (6.8)</w:t>
            </w:r>
          </w:p>
        </w:tc>
      </w:tr>
    </w:tbl>
    <w:p w14:paraId="4F42EEA6" w14:textId="77777777" w:rsidR="00C24CFC" w:rsidRDefault="00AF004B">
      <w:pPr>
        <w:spacing w:after="0" w:line="276"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Source: Researcher’s Field Survey, 2025</w:t>
      </w:r>
    </w:p>
    <w:p w14:paraId="55CA2FC5" w14:textId="77777777" w:rsidR="00C24CFC" w:rsidRDefault="00AF004B">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932322" wp14:editId="3FB7BF12">
            <wp:extent cx="5192891" cy="3448050"/>
            <wp:effectExtent l="0" t="0" r="8255" b="0"/>
            <wp:docPr id="1026" name="Picture 8" descr="C:\Users\USER\Desktop\New folder\OTG $GB Flash Contents\Files are hidden by Trojan\ONAH PhD Materials\Flood Pictures\DSC_11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7" cstate="print"/>
                    <a:srcRect/>
                    <a:stretch/>
                  </pic:blipFill>
                  <pic:spPr>
                    <a:xfrm>
                      <a:off x="0" y="0"/>
                      <a:ext cx="5192891" cy="3448050"/>
                    </a:xfrm>
                    <a:prstGeom prst="rect">
                      <a:avLst/>
                    </a:prstGeom>
                    <a:ln>
                      <a:noFill/>
                    </a:ln>
                  </pic:spPr>
                </pic:pic>
              </a:graphicData>
            </a:graphic>
          </wp:inline>
        </w:drawing>
      </w:r>
    </w:p>
    <w:p w14:paraId="48976DC2" w14:textId="77777777" w:rsidR="00C24CFC" w:rsidRDefault="00AF00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Plate 1: Residents Evacuating/Relocating from Flooded Area of Fiidi, Makurdi (Photo: Onah, 2022)</w:t>
      </w:r>
    </w:p>
    <w:p w14:paraId="745A9978"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0729E8CA" wp14:editId="6DD4394A">
            <wp:extent cx="5172075" cy="3434228"/>
            <wp:effectExtent l="0" t="0" r="0" b="0"/>
            <wp:docPr id="1027" name="Picture 9" descr="C:\Users\USER\Desktop\New folder\OTG $GB Flash Contents\Files are hidden by Trojan\ONAH PhD Materials\Flood Pictures\DSC_11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9"/>
                    <pic:cNvPicPr/>
                  </pic:nvPicPr>
                  <pic:blipFill>
                    <a:blip r:embed="rId8" cstate="print"/>
                    <a:srcRect/>
                    <a:stretch/>
                  </pic:blipFill>
                  <pic:spPr>
                    <a:xfrm>
                      <a:off x="0" y="0"/>
                      <a:ext cx="5172075" cy="3434228"/>
                    </a:xfrm>
                    <a:prstGeom prst="rect">
                      <a:avLst/>
                    </a:prstGeom>
                    <a:ln>
                      <a:noFill/>
                    </a:ln>
                  </pic:spPr>
                </pic:pic>
              </a:graphicData>
            </a:graphic>
          </wp:inline>
        </w:drawing>
      </w:r>
    </w:p>
    <w:p w14:paraId="52BE834F" w14:textId="77777777" w:rsidR="00C24CFC" w:rsidRDefault="00AF004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Plate 2: Abandoned Flooded Area of Fiidi, Makurdi (Photo: Onah, 2022)</w:t>
      </w:r>
    </w:p>
    <w:p w14:paraId="71C04B22" w14:textId="77777777" w:rsidR="00C24CFC" w:rsidRDefault="00AF004B">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Response Time After Flood Warning</w:t>
      </w:r>
    </w:p>
    <w:p w14:paraId="790F4498"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show that only 20.0% of respondents responded immediately to flood warnings, indicating limited prompt action. About 22.2% of residents </w:t>
      </w:r>
      <w:r>
        <w:rPr>
          <w:rFonts w:ascii="Times New Roman" w:eastAsia="Times New Roman" w:hAnsi="Times New Roman" w:cs="Times New Roman"/>
          <w:sz w:val="24"/>
          <w:szCs w:val="24"/>
        </w:rPr>
        <w:t>responded within six hours, suggesting some degree of timely reaction among a segment of the population. The largest proportion of respondents, 24.1%, responded within 24 hours, which may be considered delayed given the rapid onset of flood impacts. A furt</w:t>
      </w:r>
      <w:r>
        <w:rPr>
          <w:rFonts w:ascii="Times New Roman" w:eastAsia="Times New Roman" w:hAnsi="Times New Roman" w:cs="Times New Roman"/>
          <w:sz w:val="24"/>
          <w:szCs w:val="24"/>
        </w:rPr>
        <w:t xml:space="preserve">her 16.4% of residents responded after more than 24 hours, reflecting significant delays in decision-making or constraints to action. Additionally, 17.3% of respondents reported that they did not respond at all to flood warnings. This lack of response may </w:t>
      </w:r>
      <w:r>
        <w:rPr>
          <w:rFonts w:ascii="Times New Roman" w:eastAsia="Times New Roman" w:hAnsi="Times New Roman" w:cs="Times New Roman"/>
          <w:sz w:val="24"/>
          <w:szCs w:val="24"/>
        </w:rPr>
        <w:t xml:space="preserve">be linked to distrust of warnings, poor communication, or socio-economic limitations. </w:t>
      </w:r>
    </w:p>
    <w:p w14:paraId="59C77520"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 Response Time After Flood Warning</w:t>
      </w:r>
    </w:p>
    <w:tbl>
      <w:tblPr>
        <w:tblW w:w="9360" w:type="dxa"/>
        <w:tblLook w:val="04A0" w:firstRow="1" w:lastRow="0" w:firstColumn="1" w:lastColumn="0" w:noHBand="0" w:noVBand="1"/>
      </w:tblPr>
      <w:tblGrid>
        <w:gridCol w:w="1227"/>
        <w:gridCol w:w="960"/>
        <w:gridCol w:w="1113"/>
        <w:gridCol w:w="1072"/>
        <w:gridCol w:w="960"/>
        <w:gridCol w:w="960"/>
        <w:gridCol w:w="960"/>
        <w:gridCol w:w="2108"/>
      </w:tblGrid>
      <w:tr w:rsidR="00C24CFC" w14:paraId="34AF8646" w14:textId="77777777">
        <w:trPr>
          <w:trHeight w:val="300"/>
        </w:trPr>
        <w:tc>
          <w:tcPr>
            <w:tcW w:w="1227" w:type="dxa"/>
            <w:tcBorders>
              <w:top w:val="single" w:sz="4" w:space="0" w:color="auto"/>
              <w:left w:val="nil"/>
              <w:bottom w:val="nil"/>
              <w:right w:val="nil"/>
            </w:tcBorders>
            <w:noWrap/>
            <w:hideMark/>
          </w:tcPr>
          <w:p w14:paraId="53E53AD8"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Response Time</w:t>
            </w:r>
          </w:p>
        </w:tc>
        <w:tc>
          <w:tcPr>
            <w:tcW w:w="960" w:type="dxa"/>
            <w:tcBorders>
              <w:top w:val="single" w:sz="4" w:space="0" w:color="auto"/>
              <w:left w:val="nil"/>
              <w:bottom w:val="nil"/>
              <w:right w:val="nil"/>
            </w:tcBorders>
            <w:noWrap/>
            <w:hideMark/>
          </w:tcPr>
          <w:p w14:paraId="1C0F51BA"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Idye</w:t>
            </w:r>
          </w:p>
        </w:tc>
        <w:tc>
          <w:tcPr>
            <w:tcW w:w="1113" w:type="dxa"/>
            <w:tcBorders>
              <w:top w:val="single" w:sz="4" w:space="0" w:color="auto"/>
              <w:left w:val="nil"/>
              <w:bottom w:val="nil"/>
              <w:right w:val="nil"/>
            </w:tcBorders>
            <w:noWrap/>
            <w:hideMark/>
          </w:tcPr>
          <w:p w14:paraId="12BF1D92"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Wurukum</w:t>
            </w:r>
          </w:p>
        </w:tc>
        <w:tc>
          <w:tcPr>
            <w:tcW w:w="1072" w:type="dxa"/>
            <w:tcBorders>
              <w:top w:val="single" w:sz="4" w:space="0" w:color="auto"/>
              <w:left w:val="nil"/>
              <w:bottom w:val="nil"/>
              <w:right w:val="nil"/>
            </w:tcBorders>
            <w:noWrap/>
            <w:hideMark/>
          </w:tcPr>
          <w:p w14:paraId="48DE2B14"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Industrial Layout</w:t>
            </w:r>
          </w:p>
        </w:tc>
        <w:tc>
          <w:tcPr>
            <w:tcW w:w="960" w:type="dxa"/>
            <w:tcBorders>
              <w:top w:val="single" w:sz="4" w:space="0" w:color="auto"/>
              <w:left w:val="nil"/>
              <w:bottom w:val="nil"/>
              <w:right w:val="nil"/>
            </w:tcBorders>
            <w:noWrap/>
            <w:hideMark/>
          </w:tcPr>
          <w:p w14:paraId="0E276B38"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Gyado Villa</w:t>
            </w:r>
          </w:p>
        </w:tc>
        <w:tc>
          <w:tcPr>
            <w:tcW w:w="960" w:type="dxa"/>
            <w:tcBorders>
              <w:top w:val="single" w:sz="4" w:space="0" w:color="auto"/>
              <w:left w:val="nil"/>
              <w:bottom w:val="nil"/>
              <w:right w:val="nil"/>
            </w:tcBorders>
            <w:noWrap/>
            <w:hideMark/>
          </w:tcPr>
          <w:p w14:paraId="19490BBA"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Logo I &amp; II</w:t>
            </w:r>
          </w:p>
        </w:tc>
        <w:tc>
          <w:tcPr>
            <w:tcW w:w="960" w:type="dxa"/>
            <w:tcBorders>
              <w:top w:val="single" w:sz="4" w:space="0" w:color="auto"/>
              <w:left w:val="nil"/>
              <w:bottom w:val="nil"/>
              <w:right w:val="nil"/>
            </w:tcBorders>
            <w:noWrap/>
            <w:hideMark/>
          </w:tcPr>
          <w:p w14:paraId="2253A3E2"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Kucha Utebe</w:t>
            </w:r>
          </w:p>
        </w:tc>
        <w:tc>
          <w:tcPr>
            <w:tcW w:w="2108" w:type="dxa"/>
            <w:tcBorders>
              <w:top w:val="single" w:sz="4" w:space="0" w:color="auto"/>
              <w:left w:val="nil"/>
              <w:bottom w:val="nil"/>
              <w:right w:val="nil"/>
            </w:tcBorders>
            <w:noWrap/>
            <w:hideMark/>
          </w:tcPr>
          <w:p w14:paraId="7DC2C940" w14:textId="77777777" w:rsidR="00C24CFC" w:rsidRDefault="00AF004B">
            <w:pPr>
              <w:spacing w:after="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Total </w:t>
            </w:r>
          </w:p>
        </w:tc>
      </w:tr>
      <w:tr w:rsidR="00C24CFC" w14:paraId="32F71265" w14:textId="77777777">
        <w:trPr>
          <w:trHeight w:val="300"/>
        </w:trPr>
        <w:tc>
          <w:tcPr>
            <w:tcW w:w="1227" w:type="dxa"/>
            <w:tcBorders>
              <w:top w:val="single" w:sz="4" w:space="0" w:color="auto"/>
              <w:left w:val="nil"/>
              <w:bottom w:val="nil"/>
              <w:right w:val="nil"/>
            </w:tcBorders>
            <w:noWrap/>
            <w:hideMark/>
          </w:tcPr>
          <w:p w14:paraId="4CBF062B"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Immediately</w:t>
            </w:r>
          </w:p>
        </w:tc>
        <w:tc>
          <w:tcPr>
            <w:tcW w:w="960" w:type="dxa"/>
            <w:tcBorders>
              <w:top w:val="single" w:sz="4" w:space="0" w:color="auto"/>
              <w:left w:val="nil"/>
              <w:bottom w:val="nil"/>
              <w:right w:val="nil"/>
            </w:tcBorders>
            <w:noWrap/>
            <w:hideMark/>
          </w:tcPr>
          <w:p w14:paraId="575C782F"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 (19.7)</w:t>
            </w:r>
          </w:p>
        </w:tc>
        <w:tc>
          <w:tcPr>
            <w:tcW w:w="1113" w:type="dxa"/>
            <w:tcBorders>
              <w:top w:val="single" w:sz="4" w:space="0" w:color="auto"/>
              <w:left w:val="nil"/>
              <w:bottom w:val="nil"/>
              <w:right w:val="nil"/>
            </w:tcBorders>
            <w:noWrap/>
            <w:hideMark/>
          </w:tcPr>
          <w:p w14:paraId="117B97BE"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 (18.3)</w:t>
            </w:r>
          </w:p>
        </w:tc>
        <w:tc>
          <w:tcPr>
            <w:tcW w:w="1072" w:type="dxa"/>
            <w:tcBorders>
              <w:top w:val="single" w:sz="4" w:space="0" w:color="auto"/>
              <w:left w:val="nil"/>
              <w:bottom w:val="nil"/>
              <w:right w:val="nil"/>
            </w:tcBorders>
            <w:noWrap/>
            <w:hideMark/>
          </w:tcPr>
          <w:p w14:paraId="4D790061"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11 </w:t>
            </w:r>
            <w:r>
              <w:rPr>
                <w:rFonts w:ascii="Times New Roman" w:eastAsia="Times New Roman" w:hAnsi="Times New Roman" w:cs="Times New Roman"/>
                <w:sz w:val="20"/>
                <w:szCs w:val="20"/>
              </w:rPr>
              <w:t>(18.6)</w:t>
            </w:r>
          </w:p>
        </w:tc>
        <w:tc>
          <w:tcPr>
            <w:tcW w:w="960" w:type="dxa"/>
            <w:tcBorders>
              <w:top w:val="single" w:sz="4" w:space="0" w:color="auto"/>
              <w:left w:val="nil"/>
              <w:bottom w:val="nil"/>
              <w:right w:val="nil"/>
            </w:tcBorders>
            <w:noWrap/>
            <w:hideMark/>
          </w:tcPr>
          <w:p w14:paraId="36107775"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 (21.9)</w:t>
            </w:r>
          </w:p>
        </w:tc>
        <w:tc>
          <w:tcPr>
            <w:tcW w:w="960" w:type="dxa"/>
            <w:tcBorders>
              <w:top w:val="single" w:sz="4" w:space="0" w:color="auto"/>
              <w:left w:val="nil"/>
              <w:bottom w:val="nil"/>
              <w:right w:val="nil"/>
            </w:tcBorders>
            <w:noWrap/>
            <w:hideMark/>
          </w:tcPr>
          <w:p w14:paraId="30C3A4C3"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 (20.6)</w:t>
            </w:r>
          </w:p>
        </w:tc>
        <w:tc>
          <w:tcPr>
            <w:tcW w:w="960" w:type="dxa"/>
            <w:tcBorders>
              <w:top w:val="single" w:sz="4" w:space="0" w:color="auto"/>
              <w:left w:val="nil"/>
              <w:bottom w:val="nil"/>
              <w:right w:val="nil"/>
            </w:tcBorders>
            <w:noWrap/>
            <w:hideMark/>
          </w:tcPr>
          <w:p w14:paraId="5C949DD6"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 (20.7)</w:t>
            </w:r>
          </w:p>
        </w:tc>
        <w:tc>
          <w:tcPr>
            <w:tcW w:w="2108" w:type="dxa"/>
            <w:tcBorders>
              <w:top w:val="single" w:sz="4" w:space="0" w:color="auto"/>
              <w:left w:val="nil"/>
              <w:bottom w:val="nil"/>
              <w:right w:val="nil"/>
            </w:tcBorders>
            <w:noWrap/>
            <w:hideMark/>
          </w:tcPr>
          <w:p w14:paraId="4C780225"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73 (20.0)</w:t>
            </w:r>
          </w:p>
        </w:tc>
      </w:tr>
      <w:tr w:rsidR="00C24CFC" w14:paraId="4836F57F" w14:textId="77777777">
        <w:trPr>
          <w:trHeight w:val="300"/>
        </w:trPr>
        <w:tc>
          <w:tcPr>
            <w:tcW w:w="1227" w:type="dxa"/>
            <w:tcBorders>
              <w:top w:val="nil"/>
              <w:left w:val="nil"/>
              <w:bottom w:val="nil"/>
              <w:right w:val="nil"/>
            </w:tcBorders>
            <w:noWrap/>
            <w:hideMark/>
          </w:tcPr>
          <w:p w14:paraId="4B897512"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Within 6 hours</w:t>
            </w:r>
          </w:p>
        </w:tc>
        <w:tc>
          <w:tcPr>
            <w:tcW w:w="960" w:type="dxa"/>
            <w:tcBorders>
              <w:top w:val="nil"/>
              <w:left w:val="nil"/>
              <w:bottom w:val="nil"/>
              <w:right w:val="nil"/>
            </w:tcBorders>
            <w:noWrap/>
            <w:hideMark/>
          </w:tcPr>
          <w:p w14:paraId="735D1F35"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 (23.0)</w:t>
            </w:r>
          </w:p>
        </w:tc>
        <w:tc>
          <w:tcPr>
            <w:tcW w:w="1113" w:type="dxa"/>
            <w:tcBorders>
              <w:top w:val="nil"/>
              <w:left w:val="nil"/>
              <w:bottom w:val="nil"/>
              <w:right w:val="nil"/>
            </w:tcBorders>
            <w:noWrap/>
            <w:hideMark/>
          </w:tcPr>
          <w:p w14:paraId="56833521"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 (21.7)</w:t>
            </w:r>
          </w:p>
        </w:tc>
        <w:tc>
          <w:tcPr>
            <w:tcW w:w="1072" w:type="dxa"/>
            <w:tcBorders>
              <w:top w:val="nil"/>
              <w:left w:val="nil"/>
              <w:bottom w:val="nil"/>
              <w:right w:val="nil"/>
            </w:tcBorders>
            <w:noWrap/>
            <w:hideMark/>
          </w:tcPr>
          <w:p w14:paraId="029A1D04"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 (20.3)</w:t>
            </w:r>
          </w:p>
        </w:tc>
        <w:tc>
          <w:tcPr>
            <w:tcW w:w="960" w:type="dxa"/>
            <w:tcBorders>
              <w:top w:val="nil"/>
              <w:left w:val="nil"/>
              <w:bottom w:val="nil"/>
              <w:right w:val="nil"/>
            </w:tcBorders>
            <w:noWrap/>
            <w:hideMark/>
          </w:tcPr>
          <w:p w14:paraId="6D57D6C0"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 (23.4)</w:t>
            </w:r>
          </w:p>
        </w:tc>
        <w:tc>
          <w:tcPr>
            <w:tcW w:w="960" w:type="dxa"/>
            <w:tcBorders>
              <w:top w:val="nil"/>
              <w:left w:val="nil"/>
              <w:bottom w:val="nil"/>
              <w:right w:val="nil"/>
            </w:tcBorders>
            <w:noWrap/>
            <w:hideMark/>
          </w:tcPr>
          <w:p w14:paraId="5DD67BB6"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 (22.2)</w:t>
            </w:r>
          </w:p>
        </w:tc>
        <w:tc>
          <w:tcPr>
            <w:tcW w:w="960" w:type="dxa"/>
            <w:tcBorders>
              <w:top w:val="nil"/>
              <w:left w:val="nil"/>
              <w:bottom w:val="nil"/>
              <w:right w:val="nil"/>
            </w:tcBorders>
            <w:noWrap/>
            <w:hideMark/>
          </w:tcPr>
          <w:p w14:paraId="0854DE8C"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 (22.4)</w:t>
            </w:r>
          </w:p>
        </w:tc>
        <w:tc>
          <w:tcPr>
            <w:tcW w:w="2108" w:type="dxa"/>
            <w:tcBorders>
              <w:top w:val="nil"/>
              <w:left w:val="nil"/>
              <w:bottom w:val="nil"/>
              <w:right w:val="nil"/>
            </w:tcBorders>
            <w:noWrap/>
            <w:hideMark/>
          </w:tcPr>
          <w:p w14:paraId="3AEA43C7"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81 (22.2)</w:t>
            </w:r>
          </w:p>
        </w:tc>
      </w:tr>
      <w:tr w:rsidR="00C24CFC" w14:paraId="259E6E0F" w14:textId="77777777">
        <w:trPr>
          <w:trHeight w:val="612"/>
        </w:trPr>
        <w:tc>
          <w:tcPr>
            <w:tcW w:w="1227" w:type="dxa"/>
            <w:tcBorders>
              <w:top w:val="nil"/>
              <w:left w:val="nil"/>
              <w:bottom w:val="nil"/>
              <w:right w:val="nil"/>
            </w:tcBorders>
            <w:noWrap/>
            <w:hideMark/>
          </w:tcPr>
          <w:p w14:paraId="7F74D88F"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Within 24 hours</w:t>
            </w:r>
          </w:p>
        </w:tc>
        <w:tc>
          <w:tcPr>
            <w:tcW w:w="960" w:type="dxa"/>
            <w:tcBorders>
              <w:top w:val="nil"/>
              <w:left w:val="nil"/>
              <w:bottom w:val="nil"/>
              <w:right w:val="nil"/>
            </w:tcBorders>
            <w:noWrap/>
            <w:hideMark/>
          </w:tcPr>
          <w:p w14:paraId="40A4D478"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 (24.6)</w:t>
            </w:r>
          </w:p>
        </w:tc>
        <w:tc>
          <w:tcPr>
            <w:tcW w:w="1113" w:type="dxa"/>
            <w:tcBorders>
              <w:top w:val="nil"/>
              <w:left w:val="nil"/>
              <w:bottom w:val="nil"/>
              <w:right w:val="nil"/>
            </w:tcBorders>
            <w:noWrap/>
            <w:hideMark/>
          </w:tcPr>
          <w:p w14:paraId="0E77D670"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 (23.3)</w:t>
            </w:r>
          </w:p>
        </w:tc>
        <w:tc>
          <w:tcPr>
            <w:tcW w:w="1072" w:type="dxa"/>
            <w:tcBorders>
              <w:top w:val="nil"/>
              <w:left w:val="nil"/>
              <w:bottom w:val="nil"/>
              <w:right w:val="nil"/>
            </w:tcBorders>
            <w:noWrap/>
            <w:hideMark/>
          </w:tcPr>
          <w:p w14:paraId="266A4E2C"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 (23.7)</w:t>
            </w:r>
          </w:p>
        </w:tc>
        <w:tc>
          <w:tcPr>
            <w:tcW w:w="960" w:type="dxa"/>
            <w:tcBorders>
              <w:top w:val="nil"/>
              <w:left w:val="nil"/>
              <w:bottom w:val="nil"/>
              <w:right w:val="nil"/>
            </w:tcBorders>
            <w:noWrap/>
            <w:hideMark/>
          </w:tcPr>
          <w:p w14:paraId="5745AC66"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 (25.0)</w:t>
            </w:r>
          </w:p>
        </w:tc>
        <w:tc>
          <w:tcPr>
            <w:tcW w:w="960" w:type="dxa"/>
            <w:tcBorders>
              <w:top w:val="nil"/>
              <w:left w:val="nil"/>
              <w:bottom w:val="nil"/>
              <w:right w:val="nil"/>
            </w:tcBorders>
            <w:noWrap/>
            <w:hideMark/>
          </w:tcPr>
          <w:p w14:paraId="26F3AAA9"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 (23.8)</w:t>
            </w:r>
          </w:p>
        </w:tc>
        <w:tc>
          <w:tcPr>
            <w:tcW w:w="960" w:type="dxa"/>
            <w:tcBorders>
              <w:top w:val="nil"/>
              <w:left w:val="nil"/>
              <w:bottom w:val="nil"/>
              <w:right w:val="nil"/>
            </w:tcBorders>
            <w:noWrap/>
            <w:hideMark/>
          </w:tcPr>
          <w:p w14:paraId="6CE6D48F"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 (24.1)</w:t>
            </w:r>
          </w:p>
        </w:tc>
        <w:tc>
          <w:tcPr>
            <w:tcW w:w="2108" w:type="dxa"/>
            <w:tcBorders>
              <w:top w:val="nil"/>
              <w:left w:val="nil"/>
              <w:bottom w:val="nil"/>
              <w:right w:val="nil"/>
            </w:tcBorders>
            <w:noWrap/>
            <w:hideMark/>
          </w:tcPr>
          <w:p w14:paraId="6E755082"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88 (24.1)</w:t>
            </w:r>
          </w:p>
        </w:tc>
      </w:tr>
      <w:tr w:rsidR="00C24CFC" w14:paraId="5EEA3EEA" w14:textId="77777777">
        <w:trPr>
          <w:trHeight w:val="300"/>
        </w:trPr>
        <w:tc>
          <w:tcPr>
            <w:tcW w:w="1227" w:type="dxa"/>
            <w:tcBorders>
              <w:top w:val="nil"/>
              <w:left w:val="nil"/>
              <w:bottom w:val="nil"/>
              <w:right w:val="nil"/>
            </w:tcBorders>
            <w:noWrap/>
            <w:hideMark/>
          </w:tcPr>
          <w:p w14:paraId="49F0FF67"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After more than 24 hours</w:t>
            </w:r>
          </w:p>
        </w:tc>
        <w:tc>
          <w:tcPr>
            <w:tcW w:w="960" w:type="dxa"/>
            <w:tcBorders>
              <w:top w:val="nil"/>
              <w:left w:val="nil"/>
              <w:bottom w:val="nil"/>
              <w:right w:val="nil"/>
            </w:tcBorders>
            <w:noWrap/>
            <w:hideMark/>
          </w:tcPr>
          <w:p w14:paraId="3D82F6F9"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 (16.4)</w:t>
            </w:r>
          </w:p>
        </w:tc>
        <w:tc>
          <w:tcPr>
            <w:tcW w:w="1113" w:type="dxa"/>
            <w:tcBorders>
              <w:top w:val="nil"/>
              <w:left w:val="nil"/>
              <w:bottom w:val="nil"/>
              <w:right w:val="nil"/>
            </w:tcBorders>
            <w:noWrap/>
            <w:hideMark/>
          </w:tcPr>
          <w:p w14:paraId="64497F27"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 (18.3)</w:t>
            </w:r>
          </w:p>
        </w:tc>
        <w:tc>
          <w:tcPr>
            <w:tcW w:w="1072" w:type="dxa"/>
            <w:tcBorders>
              <w:top w:val="nil"/>
              <w:left w:val="nil"/>
              <w:bottom w:val="nil"/>
              <w:right w:val="nil"/>
            </w:tcBorders>
            <w:noWrap/>
            <w:hideMark/>
          </w:tcPr>
          <w:p w14:paraId="729FED0E"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 (18.6)</w:t>
            </w:r>
          </w:p>
        </w:tc>
        <w:tc>
          <w:tcPr>
            <w:tcW w:w="960" w:type="dxa"/>
            <w:tcBorders>
              <w:top w:val="nil"/>
              <w:left w:val="nil"/>
              <w:bottom w:val="nil"/>
              <w:right w:val="nil"/>
            </w:tcBorders>
            <w:noWrap/>
            <w:hideMark/>
          </w:tcPr>
          <w:p w14:paraId="7C5635E2"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 (14.1)</w:t>
            </w:r>
          </w:p>
        </w:tc>
        <w:tc>
          <w:tcPr>
            <w:tcW w:w="960" w:type="dxa"/>
            <w:tcBorders>
              <w:top w:val="nil"/>
              <w:left w:val="nil"/>
              <w:bottom w:val="nil"/>
              <w:right w:val="nil"/>
            </w:tcBorders>
            <w:noWrap/>
            <w:hideMark/>
          </w:tcPr>
          <w:p w14:paraId="125E0C6D"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 (15.9)</w:t>
            </w:r>
          </w:p>
        </w:tc>
        <w:tc>
          <w:tcPr>
            <w:tcW w:w="960" w:type="dxa"/>
            <w:tcBorders>
              <w:top w:val="nil"/>
              <w:left w:val="nil"/>
              <w:bottom w:val="nil"/>
              <w:right w:val="nil"/>
            </w:tcBorders>
            <w:noWrap/>
            <w:hideMark/>
          </w:tcPr>
          <w:p w14:paraId="3D0F65AC"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 (15.5)</w:t>
            </w:r>
          </w:p>
        </w:tc>
        <w:tc>
          <w:tcPr>
            <w:tcW w:w="2108" w:type="dxa"/>
            <w:tcBorders>
              <w:top w:val="nil"/>
              <w:left w:val="nil"/>
              <w:bottom w:val="nil"/>
              <w:right w:val="nil"/>
            </w:tcBorders>
            <w:noWrap/>
            <w:hideMark/>
          </w:tcPr>
          <w:p w14:paraId="12BC5A8B"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60 (16.4)</w:t>
            </w:r>
          </w:p>
        </w:tc>
      </w:tr>
      <w:tr w:rsidR="00C24CFC" w14:paraId="47A70A01" w14:textId="77777777">
        <w:trPr>
          <w:trHeight w:val="300"/>
        </w:trPr>
        <w:tc>
          <w:tcPr>
            <w:tcW w:w="1227" w:type="dxa"/>
            <w:tcBorders>
              <w:top w:val="nil"/>
              <w:left w:val="nil"/>
              <w:bottom w:val="single" w:sz="4" w:space="0" w:color="auto"/>
              <w:right w:val="nil"/>
            </w:tcBorders>
            <w:noWrap/>
            <w:hideMark/>
          </w:tcPr>
          <w:p w14:paraId="5B7C8E98"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Did not respond</w:t>
            </w:r>
          </w:p>
        </w:tc>
        <w:tc>
          <w:tcPr>
            <w:tcW w:w="960" w:type="dxa"/>
            <w:tcBorders>
              <w:top w:val="nil"/>
              <w:left w:val="nil"/>
              <w:bottom w:val="single" w:sz="4" w:space="0" w:color="auto"/>
              <w:right w:val="nil"/>
            </w:tcBorders>
            <w:noWrap/>
            <w:hideMark/>
          </w:tcPr>
          <w:p w14:paraId="54773329"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 (16.4)</w:t>
            </w:r>
          </w:p>
        </w:tc>
        <w:tc>
          <w:tcPr>
            <w:tcW w:w="1113" w:type="dxa"/>
            <w:tcBorders>
              <w:top w:val="nil"/>
              <w:left w:val="nil"/>
              <w:bottom w:val="single" w:sz="4" w:space="0" w:color="auto"/>
              <w:right w:val="nil"/>
            </w:tcBorders>
            <w:noWrap/>
            <w:hideMark/>
          </w:tcPr>
          <w:p w14:paraId="7BF292D8"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 (18.3)</w:t>
            </w:r>
          </w:p>
        </w:tc>
        <w:tc>
          <w:tcPr>
            <w:tcW w:w="1072" w:type="dxa"/>
            <w:tcBorders>
              <w:top w:val="nil"/>
              <w:left w:val="nil"/>
              <w:bottom w:val="single" w:sz="4" w:space="0" w:color="auto"/>
              <w:right w:val="nil"/>
            </w:tcBorders>
            <w:noWrap/>
            <w:hideMark/>
          </w:tcPr>
          <w:p w14:paraId="23F85857"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 (18.6)</w:t>
            </w:r>
          </w:p>
        </w:tc>
        <w:tc>
          <w:tcPr>
            <w:tcW w:w="960" w:type="dxa"/>
            <w:tcBorders>
              <w:top w:val="nil"/>
              <w:left w:val="nil"/>
              <w:bottom w:val="single" w:sz="4" w:space="0" w:color="auto"/>
              <w:right w:val="nil"/>
            </w:tcBorders>
            <w:noWrap/>
            <w:hideMark/>
          </w:tcPr>
          <w:p w14:paraId="0961BC6E"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 (15.6)</w:t>
            </w:r>
          </w:p>
        </w:tc>
        <w:tc>
          <w:tcPr>
            <w:tcW w:w="960" w:type="dxa"/>
            <w:tcBorders>
              <w:top w:val="nil"/>
              <w:left w:val="nil"/>
              <w:bottom w:val="single" w:sz="4" w:space="0" w:color="auto"/>
              <w:right w:val="nil"/>
            </w:tcBorders>
            <w:noWrap/>
            <w:hideMark/>
          </w:tcPr>
          <w:p w14:paraId="05866BA1"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 (17.5)</w:t>
            </w:r>
          </w:p>
        </w:tc>
        <w:tc>
          <w:tcPr>
            <w:tcW w:w="960" w:type="dxa"/>
            <w:tcBorders>
              <w:top w:val="nil"/>
              <w:left w:val="nil"/>
              <w:bottom w:val="single" w:sz="4" w:space="0" w:color="auto"/>
              <w:right w:val="nil"/>
            </w:tcBorders>
            <w:noWrap/>
            <w:hideMark/>
          </w:tcPr>
          <w:p w14:paraId="10DBC4A6"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 (17.2)</w:t>
            </w:r>
          </w:p>
        </w:tc>
        <w:tc>
          <w:tcPr>
            <w:tcW w:w="2108" w:type="dxa"/>
            <w:tcBorders>
              <w:top w:val="nil"/>
              <w:left w:val="nil"/>
              <w:bottom w:val="single" w:sz="4" w:space="0" w:color="auto"/>
              <w:right w:val="nil"/>
            </w:tcBorders>
            <w:noWrap/>
            <w:hideMark/>
          </w:tcPr>
          <w:p w14:paraId="5A13E0E1" w14:textId="77777777" w:rsidR="00C24CFC" w:rsidRDefault="00AF004B">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63 (17.3)</w:t>
            </w:r>
          </w:p>
        </w:tc>
      </w:tr>
    </w:tbl>
    <w:p w14:paraId="6E37A246" w14:textId="77777777" w:rsidR="00C24CFC" w:rsidRDefault="00AF004B">
      <w:pPr>
        <w:spacing w:after="0" w:line="276"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Source: Researcher’s Field Survey, 2025</w:t>
      </w:r>
    </w:p>
    <w:p w14:paraId="6759566E"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response pattern is consistent across the communities, indicating </w:t>
      </w:r>
      <w:r>
        <w:rPr>
          <w:rFonts w:ascii="Times New Roman" w:eastAsia="Times New Roman" w:hAnsi="Times New Roman" w:cs="Times New Roman"/>
          <w:sz w:val="24"/>
          <w:szCs w:val="24"/>
        </w:rPr>
        <w:t>a general challenge in achieving timely action. Therefore, the results suggest that flood warnings did not translate effectively into rapid response among residents. This indicates deficiencies in early warning systems, risk perception, and preparedness le</w:t>
      </w:r>
      <w:r>
        <w:rPr>
          <w:rFonts w:ascii="Times New Roman" w:eastAsia="Times New Roman" w:hAnsi="Times New Roman" w:cs="Times New Roman"/>
          <w:sz w:val="24"/>
          <w:szCs w:val="24"/>
        </w:rPr>
        <w:t>vels. The findings imply that improving the clarity, credibility, and accessibility of flood warnings is crucial for enhancing response timeliness during future flood events.</w:t>
      </w:r>
    </w:p>
    <w:p w14:paraId="6955B5AA" w14:textId="732D4F5F" w:rsidR="00C24CFC" w:rsidRDefault="00020CE5">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C4AE081" wp14:editId="6311376A">
                <wp:simplePos x="0" y="0"/>
                <wp:positionH relativeFrom="column">
                  <wp:posOffset>470848</wp:posOffset>
                </wp:positionH>
                <wp:positionV relativeFrom="paragraph">
                  <wp:posOffset>1407293</wp:posOffset>
                </wp:positionV>
                <wp:extent cx="197892" cy="45719"/>
                <wp:effectExtent l="0" t="0" r="12065" b="12065"/>
                <wp:wrapNone/>
                <wp:docPr id="285110586" name="Rectangle 2"/>
                <wp:cNvGraphicFramePr/>
                <a:graphic xmlns:a="http://schemas.openxmlformats.org/drawingml/2006/main">
                  <a:graphicData uri="http://schemas.microsoft.com/office/word/2010/wordprocessingShape">
                    <wps:wsp>
                      <wps:cNvSpPr/>
                      <wps:spPr>
                        <a:xfrm>
                          <a:off x="0" y="0"/>
                          <a:ext cx="197892"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215E679" id="Rectangle 2" o:spid="_x0000_s1026" style="position:absolute;margin-left:37.05pt;margin-top:110.8pt;width:15.6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" fillcolor="#4f81bd [3204]" strokecolor="#0a121c [484]" strokeweight="2p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A141D61" wp14:editId="5C866980">
                <wp:simplePos x="0" y="0"/>
                <wp:positionH relativeFrom="column">
                  <wp:posOffset>771099</wp:posOffset>
                </wp:positionH>
                <wp:positionV relativeFrom="paragraph">
                  <wp:posOffset>1407293</wp:posOffset>
                </wp:positionV>
                <wp:extent cx="259307" cy="45719"/>
                <wp:effectExtent l="0" t="0" r="26670" b="12065"/>
                <wp:wrapNone/>
                <wp:docPr id="428010143" name="Rectangle 1"/>
                <wp:cNvGraphicFramePr/>
                <a:graphic xmlns:a="http://schemas.openxmlformats.org/drawingml/2006/main">
                  <a:graphicData uri="http://schemas.microsoft.com/office/word/2010/wordprocessingShape">
                    <wps:wsp>
                      <wps:cNvSpPr/>
                      <wps:spPr>
                        <a:xfrm>
                          <a:off x="0" y="0"/>
                          <a:ext cx="25930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313E1E9" id="Rectangle 1" o:spid="_x0000_s1026" style="position:absolute;margin-left:60.7pt;margin-top:110.8pt;width:20.4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" fillcolor="#4f81bd [3204]" strokecolor="#0a121c [484]" strokeweight="2pt"/>
            </w:pict>
          </mc:Fallback>
        </mc:AlternateContent>
      </w:r>
      <w:r>
        <w:rPr>
          <w:rFonts w:ascii="Times New Roman" w:eastAsia="Times New Roman" w:hAnsi="Times New Roman" w:cs="Times New Roman"/>
          <w:noProof/>
          <w:sz w:val="24"/>
          <w:szCs w:val="24"/>
        </w:rPr>
        <w:drawing>
          <wp:inline distT="0" distB="0" distL="0" distR="0" wp14:anchorId="01A6B6A9" wp14:editId="73BA1EB9">
            <wp:extent cx="5095875" cy="2943005"/>
            <wp:effectExtent l="0" t="0" r="0" b="0"/>
            <wp:docPr id="1028" name="Picture 10" descr="C:\Users\USER\Desktop\New folder\OTG $GB Flash Contents\Files are hidden by Trojan\ONAH PhD Materials\Flood Pictures\DSC_11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0"/>
                    <pic:cNvPicPr/>
                  </pic:nvPicPr>
                  <pic:blipFill>
                    <a:blip r:embed="rId9" cstate="print"/>
                    <a:srcRect/>
                    <a:stretch/>
                  </pic:blipFill>
                  <pic:spPr>
                    <a:xfrm>
                      <a:off x="0" y="0"/>
                      <a:ext cx="5095875" cy="2943005"/>
                    </a:xfrm>
                    <a:prstGeom prst="rect">
                      <a:avLst/>
                    </a:prstGeom>
                    <a:ln>
                      <a:noFill/>
                    </a:ln>
                  </pic:spPr>
                </pic:pic>
              </a:graphicData>
            </a:graphic>
          </wp:inline>
        </w:drawing>
      </w:r>
    </w:p>
    <w:p w14:paraId="182736B1"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Plate 3: Residents Watching and contemplating their response options (Onah, 2</w:t>
      </w:r>
      <w:r>
        <w:rPr>
          <w:rFonts w:ascii="Times New Roman" w:eastAsia="Times New Roman" w:hAnsi="Times New Roman" w:cs="Times New Roman"/>
          <w:sz w:val="24"/>
          <w:szCs w:val="24"/>
        </w:rPr>
        <w:t>022)</w:t>
      </w:r>
    </w:p>
    <w:p w14:paraId="3369E869" w14:textId="77777777" w:rsidR="00C24CFC" w:rsidRDefault="00C24CFC">
      <w:pPr>
        <w:spacing w:after="0" w:line="276" w:lineRule="auto"/>
        <w:jc w:val="both"/>
        <w:rPr>
          <w:rFonts w:ascii="Times New Roman" w:eastAsia="Times New Roman" w:hAnsi="Times New Roman" w:cs="Times New Roman"/>
          <w:sz w:val="24"/>
          <w:szCs w:val="24"/>
        </w:rPr>
      </w:pPr>
    </w:p>
    <w:p w14:paraId="0105E242"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hAnsi="Times New Roman" w:cs="Times New Roman"/>
          <w:noProof/>
        </w:rPr>
        <w:drawing>
          <wp:inline distT="0" distB="0" distL="0" distR="0" wp14:anchorId="46399B4A" wp14:editId="2B074378">
            <wp:extent cx="2552700" cy="2162520"/>
            <wp:effectExtent l="0" t="0" r="0" b="9525"/>
            <wp:docPr id="1029" name="Picture 11" descr="C:\Users\USER\Desktop\New folder\Onah PhD work AD\Onah PhD1\Onah PhD Flood Pictures\IMG_20211024_091146_3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10" cstate="print"/>
                    <a:srcRect/>
                    <a:stretch/>
                  </pic:blipFill>
                  <pic:spPr>
                    <a:xfrm>
                      <a:off x="0" y="0"/>
                      <a:ext cx="2552700" cy="2162520"/>
                    </a:xfrm>
                    <a:prstGeom prst="rect">
                      <a:avLst/>
                    </a:prstGeom>
                    <a:ln>
                      <a:noFill/>
                    </a:ln>
                  </pic:spPr>
                </pic:pic>
              </a:graphicData>
            </a:graphic>
          </wp:inline>
        </w:drawing>
      </w:r>
      <w:r>
        <w:rPr>
          <w:rFonts w:ascii="Times New Roman" w:eastAsia="Times New Roman" w:hAnsi="Times New Roman" w:cs="Times New Roman"/>
          <w:noProof/>
          <w:sz w:val="24"/>
          <w:szCs w:val="24"/>
        </w:rPr>
        <w:drawing>
          <wp:inline distT="0" distB="0" distL="0" distR="0" wp14:anchorId="50B42769" wp14:editId="2A58D8AA">
            <wp:extent cx="2571115" cy="2166448"/>
            <wp:effectExtent l="0" t="0" r="635" b="5715"/>
            <wp:docPr id="1030" name="Picture 12" descr="C:\Users\USER\Desktop\New folder\Onah PhD work AD\Onah PhD1\Onah PhD Flood Pictures\IMG_20211024_090422_2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11" cstate="print"/>
                    <a:srcRect/>
                    <a:stretch/>
                  </pic:blipFill>
                  <pic:spPr>
                    <a:xfrm>
                      <a:off x="0" y="0"/>
                      <a:ext cx="2571115" cy="2166448"/>
                    </a:xfrm>
                    <a:prstGeom prst="rect">
                      <a:avLst/>
                    </a:prstGeom>
                    <a:ln>
                      <a:noFill/>
                    </a:ln>
                  </pic:spPr>
                </pic:pic>
              </a:graphicData>
            </a:graphic>
          </wp:inline>
        </w:drawing>
      </w:r>
    </w:p>
    <w:p w14:paraId="59C5B6D9"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Plate 4: Idye Area (Onah, 2022)</w:t>
      </w:r>
    </w:p>
    <w:p w14:paraId="11047781" w14:textId="77777777" w:rsidR="00C24CFC" w:rsidRDefault="00AF004B">
      <w:pPr>
        <w:spacing w:after="0" w:line="276" w:lineRule="auto"/>
        <w:jc w:val="both"/>
        <w:outlineLvl w:val="2"/>
        <w:rPr>
          <w:rFonts w:ascii="Times New Roman" w:eastAsia="Times New Roman" w:hAnsi="Times New Roman" w:cs="Times New Roman"/>
          <w:b/>
          <w:bCs/>
          <w:sz w:val="24"/>
          <w:szCs w:val="24"/>
        </w:rPr>
      </w:pPr>
      <w:bookmarkStart w:id="1" w:name="_Hlk218596101"/>
      <w:r>
        <w:rPr>
          <w:rFonts w:ascii="Times New Roman" w:eastAsia="Times New Roman" w:hAnsi="Times New Roman" w:cs="Times New Roman"/>
          <w:b/>
          <w:sz w:val="24"/>
          <w:szCs w:val="24"/>
        </w:rPr>
        <w:t xml:space="preserve">Challenges and Factors at the </w:t>
      </w:r>
      <w:r>
        <w:rPr>
          <w:rFonts w:ascii="Times New Roman" w:eastAsia="Times New Roman" w:hAnsi="Times New Roman" w:cs="Times New Roman"/>
          <w:b/>
          <w:bCs/>
          <w:sz w:val="24"/>
          <w:szCs w:val="24"/>
        </w:rPr>
        <w:t>Preparedness Phase</w:t>
      </w:r>
      <w:bookmarkEnd w:id="1"/>
    </w:p>
    <w:p w14:paraId="7369588A"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Table 5 presents the descriptive statistics for preparedness-related challenges prior to the 2022 flood event in Makurdi LGA.</w:t>
      </w:r>
      <w:r>
        <w:rPr>
          <w:rFonts w:ascii="Times New Roman" w:eastAsia="Times New Roman" w:hAnsi="Times New Roman" w:cs="Times New Roman"/>
          <w:sz w:val="24"/>
          <w:szCs w:val="24"/>
        </w:rPr>
        <w:t xml:space="preserve"> </w:t>
      </w:r>
    </w:p>
    <w:p w14:paraId="2B76ADAE" w14:textId="77777777" w:rsidR="00C24CFC" w:rsidRDefault="00AF004B">
      <w:pPr>
        <w:spacing w:after="0" w:line="276" w:lineRule="auto"/>
        <w:jc w:val="both"/>
        <w:rPr>
          <w:rFonts w:ascii="Times New Roman" w:hAnsi="Times New Roman" w:cs="Times New Roman"/>
          <w:b/>
        </w:rPr>
      </w:pPr>
      <w:r>
        <w:rPr>
          <w:rFonts w:ascii="Times New Roman" w:hAnsi="Times New Roman" w:cs="Times New Roman"/>
          <w:b/>
        </w:rPr>
        <w:t xml:space="preserve">Table 5: </w:t>
      </w:r>
      <w:r>
        <w:rPr>
          <w:rFonts w:ascii="Times New Roman" w:hAnsi="Times New Roman" w:cs="Times New Roman"/>
          <w:b/>
          <w:bCs/>
        </w:rPr>
        <w:t xml:space="preserve">Descriptive Statistics - </w:t>
      </w:r>
      <w:r>
        <w:rPr>
          <w:rFonts w:ascii="Times New Roman" w:hAnsi="Times New Roman" w:cs="Times New Roman"/>
          <w:b/>
          <w:bCs/>
        </w:rPr>
        <w:t>Preparedness Phase</w:t>
      </w:r>
    </w:p>
    <w:tbl>
      <w:tblPr>
        <w:tblW w:w="8367"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957"/>
        <w:gridCol w:w="720"/>
        <w:gridCol w:w="810"/>
        <w:gridCol w:w="900"/>
        <w:gridCol w:w="994"/>
        <w:gridCol w:w="986"/>
      </w:tblGrid>
      <w:tr w:rsidR="00C24CFC" w14:paraId="24997D55" w14:textId="77777777">
        <w:trPr>
          <w:cantSplit/>
        </w:trPr>
        <w:tc>
          <w:tcPr>
            <w:tcW w:w="3957" w:type="dxa"/>
            <w:tcBorders>
              <w:top w:val="single" w:sz="18" w:space="0" w:color="000000"/>
              <w:left w:val="single" w:sz="18" w:space="0" w:color="000000"/>
              <w:bottom w:val="single" w:sz="8" w:space="0" w:color="000000"/>
              <w:right w:val="single" w:sz="18" w:space="0" w:color="000000"/>
            </w:tcBorders>
            <w:shd w:val="clear" w:color="auto" w:fill="FFFFFF"/>
            <w:hideMark/>
          </w:tcPr>
          <w:p w14:paraId="02F1B652" w14:textId="77777777" w:rsidR="00C24CFC" w:rsidRDefault="00AF004B">
            <w:pPr>
              <w:autoSpaceDE w:val="0"/>
              <w:autoSpaceDN w:val="0"/>
              <w:adjustRightInd w:val="0"/>
              <w:spacing w:after="0" w:line="276" w:lineRule="auto"/>
              <w:jc w:val="both"/>
              <w:rPr>
                <w:rFonts w:ascii="Times New Roman" w:hAnsi="Times New Roman" w:cs="Times New Roman"/>
                <w:b/>
              </w:rPr>
            </w:pPr>
            <w:r>
              <w:rPr>
                <w:rFonts w:ascii="Times New Roman" w:hAnsi="Times New Roman" w:cs="Times New Roman"/>
                <w:b/>
              </w:rPr>
              <w:lastRenderedPageBreak/>
              <w:t>Variables</w:t>
            </w:r>
          </w:p>
        </w:tc>
        <w:tc>
          <w:tcPr>
            <w:tcW w:w="720" w:type="dxa"/>
            <w:tcBorders>
              <w:top w:val="single" w:sz="18" w:space="0" w:color="000000"/>
              <w:left w:val="single" w:sz="18" w:space="0" w:color="000000"/>
              <w:bottom w:val="single" w:sz="8" w:space="0" w:color="000000"/>
              <w:right w:val="single" w:sz="8" w:space="0" w:color="000000"/>
            </w:tcBorders>
            <w:shd w:val="clear" w:color="auto" w:fill="FFFFFF"/>
            <w:hideMark/>
          </w:tcPr>
          <w:p w14:paraId="0DEC0D8E" w14:textId="77777777" w:rsidR="00C24CFC" w:rsidRDefault="00AF004B">
            <w:pPr>
              <w:autoSpaceDE w:val="0"/>
              <w:autoSpaceDN w:val="0"/>
              <w:adjustRightInd w:val="0"/>
              <w:spacing w:after="0" w:line="276" w:lineRule="auto"/>
              <w:ind w:left="60" w:right="60"/>
              <w:jc w:val="both"/>
              <w:rPr>
                <w:rFonts w:ascii="Times New Roman" w:hAnsi="Times New Roman" w:cs="Times New Roman"/>
                <w:b/>
              </w:rPr>
            </w:pPr>
            <w:r>
              <w:rPr>
                <w:rFonts w:ascii="Times New Roman" w:hAnsi="Times New Roman" w:cs="Times New Roman"/>
                <w:b/>
              </w:rPr>
              <w:t>N</w:t>
            </w:r>
          </w:p>
        </w:tc>
        <w:tc>
          <w:tcPr>
            <w:tcW w:w="810" w:type="dxa"/>
            <w:tcBorders>
              <w:top w:val="single" w:sz="18" w:space="0" w:color="000000"/>
              <w:left w:val="single" w:sz="8" w:space="0" w:color="000000"/>
              <w:bottom w:val="single" w:sz="8" w:space="0" w:color="000000"/>
              <w:right w:val="single" w:sz="8" w:space="0" w:color="000000"/>
            </w:tcBorders>
            <w:shd w:val="clear" w:color="auto" w:fill="FFFFFF"/>
            <w:hideMark/>
          </w:tcPr>
          <w:p w14:paraId="33D0C90C" w14:textId="77777777" w:rsidR="00C24CFC" w:rsidRDefault="00AF004B">
            <w:pPr>
              <w:autoSpaceDE w:val="0"/>
              <w:autoSpaceDN w:val="0"/>
              <w:adjustRightInd w:val="0"/>
              <w:spacing w:after="0" w:line="276" w:lineRule="auto"/>
              <w:ind w:left="60" w:right="60"/>
              <w:jc w:val="both"/>
              <w:rPr>
                <w:rFonts w:ascii="Times New Roman" w:hAnsi="Times New Roman" w:cs="Times New Roman"/>
                <w:b/>
              </w:rPr>
            </w:pPr>
            <w:r>
              <w:rPr>
                <w:rFonts w:ascii="Times New Roman" w:hAnsi="Times New Roman" w:cs="Times New Roman"/>
                <w:b/>
              </w:rPr>
              <w:t>Mean</w:t>
            </w:r>
          </w:p>
        </w:tc>
        <w:tc>
          <w:tcPr>
            <w:tcW w:w="900" w:type="dxa"/>
            <w:tcBorders>
              <w:top w:val="single" w:sz="18" w:space="0" w:color="000000"/>
              <w:left w:val="single" w:sz="8" w:space="0" w:color="000000"/>
              <w:bottom w:val="single" w:sz="8" w:space="0" w:color="000000"/>
              <w:right w:val="single" w:sz="8" w:space="0" w:color="000000"/>
            </w:tcBorders>
            <w:shd w:val="clear" w:color="auto" w:fill="FFFFFF"/>
            <w:hideMark/>
          </w:tcPr>
          <w:p w14:paraId="6BBD8E46" w14:textId="77777777" w:rsidR="00C24CFC" w:rsidRDefault="00AF004B">
            <w:pPr>
              <w:autoSpaceDE w:val="0"/>
              <w:autoSpaceDN w:val="0"/>
              <w:adjustRightInd w:val="0"/>
              <w:spacing w:after="0" w:line="276" w:lineRule="auto"/>
              <w:ind w:left="60" w:right="60"/>
              <w:jc w:val="both"/>
              <w:rPr>
                <w:rFonts w:ascii="Times New Roman" w:hAnsi="Times New Roman" w:cs="Times New Roman"/>
                <w:b/>
              </w:rPr>
            </w:pPr>
            <w:r>
              <w:rPr>
                <w:rFonts w:ascii="Times New Roman" w:hAnsi="Times New Roman" w:cs="Times New Roman"/>
                <w:b/>
              </w:rPr>
              <w:t>Std. Deviation</w:t>
            </w:r>
          </w:p>
        </w:tc>
        <w:tc>
          <w:tcPr>
            <w:tcW w:w="994" w:type="dxa"/>
            <w:tcBorders>
              <w:top w:val="single" w:sz="18" w:space="0" w:color="000000"/>
              <w:left w:val="single" w:sz="8" w:space="0" w:color="000000"/>
              <w:bottom w:val="single" w:sz="8" w:space="0" w:color="000000"/>
              <w:right w:val="single" w:sz="8" w:space="0" w:color="000000"/>
            </w:tcBorders>
            <w:shd w:val="clear" w:color="auto" w:fill="FFFFFF"/>
            <w:hideMark/>
          </w:tcPr>
          <w:p w14:paraId="6208071E" w14:textId="77777777" w:rsidR="00C24CFC" w:rsidRDefault="00AF004B">
            <w:pPr>
              <w:autoSpaceDE w:val="0"/>
              <w:autoSpaceDN w:val="0"/>
              <w:adjustRightInd w:val="0"/>
              <w:spacing w:after="0" w:line="276" w:lineRule="auto"/>
              <w:ind w:left="60" w:right="60"/>
              <w:jc w:val="both"/>
              <w:rPr>
                <w:rFonts w:ascii="Times New Roman" w:hAnsi="Times New Roman" w:cs="Times New Roman"/>
                <w:b/>
              </w:rPr>
            </w:pPr>
            <w:r>
              <w:rPr>
                <w:rFonts w:ascii="Times New Roman" w:hAnsi="Times New Roman" w:cs="Times New Roman"/>
                <w:b/>
              </w:rPr>
              <w:t>Skewness</w:t>
            </w:r>
          </w:p>
        </w:tc>
        <w:tc>
          <w:tcPr>
            <w:tcW w:w="986" w:type="dxa"/>
            <w:tcBorders>
              <w:top w:val="single" w:sz="18" w:space="0" w:color="000000"/>
              <w:left w:val="single" w:sz="8" w:space="0" w:color="000000"/>
              <w:bottom w:val="single" w:sz="8" w:space="0" w:color="000000"/>
              <w:right w:val="single" w:sz="8" w:space="0" w:color="000000"/>
            </w:tcBorders>
            <w:shd w:val="clear" w:color="auto" w:fill="FFFFFF"/>
            <w:hideMark/>
          </w:tcPr>
          <w:p w14:paraId="6905F51E" w14:textId="77777777" w:rsidR="00C24CFC" w:rsidRDefault="00AF004B">
            <w:pPr>
              <w:autoSpaceDE w:val="0"/>
              <w:autoSpaceDN w:val="0"/>
              <w:adjustRightInd w:val="0"/>
              <w:spacing w:after="0" w:line="276" w:lineRule="auto"/>
              <w:ind w:left="60" w:right="60"/>
              <w:jc w:val="both"/>
              <w:rPr>
                <w:rFonts w:ascii="Times New Roman" w:hAnsi="Times New Roman" w:cs="Times New Roman"/>
                <w:b/>
              </w:rPr>
            </w:pPr>
            <w:r>
              <w:rPr>
                <w:rFonts w:ascii="Times New Roman" w:hAnsi="Times New Roman" w:cs="Times New Roman"/>
                <w:b/>
              </w:rPr>
              <w:t>Kurtosis</w:t>
            </w:r>
          </w:p>
        </w:tc>
      </w:tr>
      <w:tr w:rsidR="00C24CFC" w14:paraId="16CBB763" w14:textId="77777777">
        <w:trPr>
          <w:cantSplit/>
        </w:trPr>
        <w:tc>
          <w:tcPr>
            <w:tcW w:w="3957" w:type="dxa"/>
            <w:tcBorders>
              <w:top w:val="single" w:sz="18" w:space="0" w:color="000000"/>
              <w:left w:val="single" w:sz="18" w:space="0" w:color="000000"/>
              <w:bottom w:val="nil"/>
              <w:right w:val="single" w:sz="18" w:space="0" w:color="000000"/>
            </w:tcBorders>
            <w:shd w:val="clear" w:color="auto" w:fill="FFFFFF"/>
            <w:hideMark/>
          </w:tcPr>
          <w:p w14:paraId="2F69DBE7"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No early flood warning before the 2022 flood</w:t>
            </w:r>
          </w:p>
        </w:tc>
        <w:tc>
          <w:tcPr>
            <w:tcW w:w="720" w:type="dxa"/>
            <w:tcBorders>
              <w:top w:val="single" w:sz="18" w:space="0" w:color="000000"/>
              <w:left w:val="single" w:sz="18" w:space="0" w:color="000000"/>
              <w:bottom w:val="nil"/>
              <w:right w:val="single" w:sz="8" w:space="0" w:color="000000"/>
            </w:tcBorders>
            <w:shd w:val="clear" w:color="auto" w:fill="FFFFFF"/>
            <w:hideMark/>
          </w:tcPr>
          <w:p w14:paraId="0B260556"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single" w:sz="18" w:space="0" w:color="000000"/>
              <w:left w:val="single" w:sz="8" w:space="0" w:color="000000"/>
              <w:bottom w:val="nil"/>
              <w:right w:val="single" w:sz="8" w:space="0" w:color="000000"/>
            </w:tcBorders>
            <w:shd w:val="clear" w:color="auto" w:fill="FFFFFF"/>
            <w:hideMark/>
          </w:tcPr>
          <w:p w14:paraId="4CA7749B"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3.00</w:t>
            </w:r>
          </w:p>
        </w:tc>
        <w:tc>
          <w:tcPr>
            <w:tcW w:w="900" w:type="dxa"/>
            <w:tcBorders>
              <w:top w:val="single" w:sz="18" w:space="0" w:color="000000"/>
              <w:left w:val="single" w:sz="8" w:space="0" w:color="000000"/>
              <w:bottom w:val="nil"/>
              <w:right w:val="single" w:sz="8" w:space="0" w:color="000000"/>
            </w:tcBorders>
            <w:shd w:val="clear" w:color="auto" w:fill="FFFFFF"/>
            <w:hideMark/>
          </w:tcPr>
          <w:p w14:paraId="4F313945"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1.430</w:t>
            </w:r>
          </w:p>
        </w:tc>
        <w:tc>
          <w:tcPr>
            <w:tcW w:w="994" w:type="dxa"/>
            <w:tcBorders>
              <w:top w:val="single" w:sz="18" w:space="0" w:color="000000"/>
              <w:left w:val="single" w:sz="8" w:space="0" w:color="000000"/>
              <w:bottom w:val="nil"/>
              <w:right w:val="single" w:sz="8" w:space="0" w:color="000000"/>
            </w:tcBorders>
            <w:shd w:val="clear" w:color="auto" w:fill="FFFFFF"/>
            <w:hideMark/>
          </w:tcPr>
          <w:p w14:paraId="2E6EF98A"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-.011</w:t>
            </w:r>
          </w:p>
        </w:tc>
        <w:tc>
          <w:tcPr>
            <w:tcW w:w="986" w:type="dxa"/>
            <w:tcBorders>
              <w:top w:val="single" w:sz="18" w:space="0" w:color="000000"/>
              <w:left w:val="single" w:sz="8" w:space="0" w:color="000000"/>
              <w:bottom w:val="nil"/>
              <w:right w:val="single" w:sz="8" w:space="0" w:color="000000"/>
            </w:tcBorders>
            <w:shd w:val="clear" w:color="auto" w:fill="FFFFFF"/>
            <w:hideMark/>
          </w:tcPr>
          <w:p w14:paraId="7267E511"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-1.340</w:t>
            </w:r>
          </w:p>
        </w:tc>
      </w:tr>
      <w:tr w:rsidR="00C24CFC" w14:paraId="57C65BAB" w14:textId="77777777">
        <w:trPr>
          <w:cantSplit/>
        </w:trPr>
        <w:tc>
          <w:tcPr>
            <w:tcW w:w="3957" w:type="dxa"/>
            <w:tcBorders>
              <w:top w:val="nil"/>
              <w:left w:val="single" w:sz="18" w:space="0" w:color="000000"/>
              <w:bottom w:val="nil"/>
              <w:right w:val="single" w:sz="18" w:space="0" w:color="000000"/>
            </w:tcBorders>
            <w:shd w:val="clear" w:color="auto" w:fill="FFFFFF"/>
            <w:hideMark/>
          </w:tcPr>
          <w:p w14:paraId="20470E55"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Flood warnings were received too late</w:t>
            </w:r>
          </w:p>
        </w:tc>
        <w:tc>
          <w:tcPr>
            <w:tcW w:w="720" w:type="dxa"/>
            <w:tcBorders>
              <w:top w:val="nil"/>
              <w:left w:val="single" w:sz="18" w:space="0" w:color="000000"/>
              <w:bottom w:val="nil"/>
              <w:right w:val="single" w:sz="8" w:space="0" w:color="000000"/>
            </w:tcBorders>
            <w:shd w:val="clear" w:color="auto" w:fill="FFFFFF"/>
            <w:hideMark/>
          </w:tcPr>
          <w:p w14:paraId="60FDA3A6"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7D7C1029"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3.00</w:t>
            </w:r>
          </w:p>
        </w:tc>
        <w:tc>
          <w:tcPr>
            <w:tcW w:w="900" w:type="dxa"/>
            <w:tcBorders>
              <w:top w:val="nil"/>
              <w:left w:val="single" w:sz="8" w:space="0" w:color="000000"/>
              <w:bottom w:val="nil"/>
              <w:right w:val="single" w:sz="8" w:space="0" w:color="000000"/>
            </w:tcBorders>
            <w:shd w:val="clear" w:color="auto" w:fill="FFFFFF"/>
            <w:hideMark/>
          </w:tcPr>
          <w:p w14:paraId="1B84F493"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1.420</w:t>
            </w:r>
          </w:p>
        </w:tc>
        <w:tc>
          <w:tcPr>
            <w:tcW w:w="994" w:type="dxa"/>
            <w:tcBorders>
              <w:top w:val="nil"/>
              <w:left w:val="single" w:sz="8" w:space="0" w:color="000000"/>
              <w:bottom w:val="nil"/>
              <w:right w:val="single" w:sz="8" w:space="0" w:color="000000"/>
            </w:tcBorders>
            <w:shd w:val="clear" w:color="auto" w:fill="FFFFFF"/>
            <w:hideMark/>
          </w:tcPr>
          <w:p w14:paraId="56A772A8"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-.023</w:t>
            </w:r>
          </w:p>
        </w:tc>
        <w:tc>
          <w:tcPr>
            <w:tcW w:w="986" w:type="dxa"/>
            <w:tcBorders>
              <w:top w:val="nil"/>
              <w:left w:val="single" w:sz="8" w:space="0" w:color="000000"/>
              <w:bottom w:val="nil"/>
              <w:right w:val="single" w:sz="8" w:space="0" w:color="000000"/>
            </w:tcBorders>
            <w:shd w:val="clear" w:color="auto" w:fill="FFFFFF"/>
            <w:hideMark/>
          </w:tcPr>
          <w:p w14:paraId="70E68D44"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-1.268</w:t>
            </w:r>
          </w:p>
        </w:tc>
      </w:tr>
      <w:tr w:rsidR="00C24CFC" w14:paraId="2CA42E68" w14:textId="77777777">
        <w:trPr>
          <w:cantSplit/>
        </w:trPr>
        <w:tc>
          <w:tcPr>
            <w:tcW w:w="3957" w:type="dxa"/>
            <w:tcBorders>
              <w:top w:val="nil"/>
              <w:left w:val="single" w:sz="18" w:space="0" w:color="000000"/>
              <w:bottom w:val="nil"/>
              <w:right w:val="single" w:sz="18" w:space="0" w:color="000000"/>
            </w:tcBorders>
            <w:shd w:val="clear" w:color="auto" w:fill="FFFFFF"/>
            <w:hideMark/>
          </w:tcPr>
          <w:p w14:paraId="6FB79399"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Flood warnings were poorly communicated</w:t>
            </w:r>
          </w:p>
        </w:tc>
        <w:tc>
          <w:tcPr>
            <w:tcW w:w="720" w:type="dxa"/>
            <w:tcBorders>
              <w:top w:val="nil"/>
              <w:left w:val="single" w:sz="18" w:space="0" w:color="000000"/>
              <w:bottom w:val="nil"/>
              <w:right w:val="single" w:sz="8" w:space="0" w:color="000000"/>
            </w:tcBorders>
            <w:shd w:val="clear" w:color="auto" w:fill="FFFFFF"/>
            <w:hideMark/>
          </w:tcPr>
          <w:p w14:paraId="70A644AC"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35A5707F"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2.97</w:t>
            </w:r>
          </w:p>
        </w:tc>
        <w:tc>
          <w:tcPr>
            <w:tcW w:w="900" w:type="dxa"/>
            <w:tcBorders>
              <w:top w:val="nil"/>
              <w:left w:val="single" w:sz="8" w:space="0" w:color="000000"/>
              <w:bottom w:val="nil"/>
              <w:right w:val="single" w:sz="8" w:space="0" w:color="000000"/>
            </w:tcBorders>
            <w:shd w:val="clear" w:color="auto" w:fill="FFFFFF"/>
            <w:hideMark/>
          </w:tcPr>
          <w:p w14:paraId="26D99546"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1.402</w:t>
            </w:r>
          </w:p>
        </w:tc>
        <w:tc>
          <w:tcPr>
            <w:tcW w:w="994" w:type="dxa"/>
            <w:tcBorders>
              <w:top w:val="nil"/>
              <w:left w:val="single" w:sz="8" w:space="0" w:color="000000"/>
              <w:bottom w:val="nil"/>
              <w:right w:val="single" w:sz="8" w:space="0" w:color="000000"/>
            </w:tcBorders>
            <w:shd w:val="clear" w:color="auto" w:fill="FFFFFF"/>
            <w:hideMark/>
          </w:tcPr>
          <w:p w14:paraId="04406FCE"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.071</w:t>
            </w:r>
          </w:p>
        </w:tc>
        <w:tc>
          <w:tcPr>
            <w:tcW w:w="986" w:type="dxa"/>
            <w:tcBorders>
              <w:top w:val="nil"/>
              <w:left w:val="single" w:sz="8" w:space="0" w:color="000000"/>
              <w:bottom w:val="nil"/>
              <w:right w:val="single" w:sz="8" w:space="0" w:color="000000"/>
            </w:tcBorders>
            <w:shd w:val="clear" w:color="auto" w:fill="FFFFFF"/>
            <w:hideMark/>
          </w:tcPr>
          <w:p w14:paraId="370DEF5A"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-1.290</w:t>
            </w:r>
          </w:p>
        </w:tc>
      </w:tr>
      <w:tr w:rsidR="00C24CFC" w14:paraId="70B3C4A5" w14:textId="77777777">
        <w:trPr>
          <w:cantSplit/>
        </w:trPr>
        <w:tc>
          <w:tcPr>
            <w:tcW w:w="3957" w:type="dxa"/>
            <w:tcBorders>
              <w:top w:val="nil"/>
              <w:left w:val="single" w:sz="18" w:space="0" w:color="000000"/>
              <w:bottom w:val="nil"/>
              <w:right w:val="single" w:sz="18" w:space="0" w:color="000000"/>
            </w:tcBorders>
            <w:shd w:val="clear" w:color="auto" w:fill="FFFFFF"/>
            <w:hideMark/>
          </w:tcPr>
          <w:p w14:paraId="31951609"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Community flood awareness programmes were inadequate</w:t>
            </w:r>
          </w:p>
        </w:tc>
        <w:tc>
          <w:tcPr>
            <w:tcW w:w="720" w:type="dxa"/>
            <w:tcBorders>
              <w:top w:val="nil"/>
              <w:left w:val="single" w:sz="18" w:space="0" w:color="000000"/>
              <w:bottom w:val="nil"/>
              <w:right w:val="single" w:sz="8" w:space="0" w:color="000000"/>
            </w:tcBorders>
            <w:shd w:val="clear" w:color="auto" w:fill="FFFFFF"/>
            <w:hideMark/>
          </w:tcPr>
          <w:p w14:paraId="3F7B3155"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74207074"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2.85</w:t>
            </w:r>
          </w:p>
        </w:tc>
        <w:tc>
          <w:tcPr>
            <w:tcW w:w="900" w:type="dxa"/>
            <w:tcBorders>
              <w:top w:val="nil"/>
              <w:left w:val="single" w:sz="8" w:space="0" w:color="000000"/>
              <w:bottom w:val="nil"/>
              <w:right w:val="single" w:sz="8" w:space="0" w:color="000000"/>
            </w:tcBorders>
            <w:shd w:val="clear" w:color="auto" w:fill="FFFFFF"/>
            <w:hideMark/>
          </w:tcPr>
          <w:p w14:paraId="1B870588"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1.437</w:t>
            </w:r>
          </w:p>
        </w:tc>
        <w:tc>
          <w:tcPr>
            <w:tcW w:w="994" w:type="dxa"/>
            <w:tcBorders>
              <w:top w:val="nil"/>
              <w:left w:val="single" w:sz="8" w:space="0" w:color="000000"/>
              <w:bottom w:val="nil"/>
              <w:right w:val="single" w:sz="8" w:space="0" w:color="000000"/>
            </w:tcBorders>
            <w:shd w:val="clear" w:color="auto" w:fill="FFFFFF"/>
            <w:hideMark/>
          </w:tcPr>
          <w:p w14:paraId="25EC01C2"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.127</w:t>
            </w:r>
          </w:p>
        </w:tc>
        <w:tc>
          <w:tcPr>
            <w:tcW w:w="986" w:type="dxa"/>
            <w:tcBorders>
              <w:top w:val="nil"/>
              <w:left w:val="single" w:sz="8" w:space="0" w:color="000000"/>
              <w:bottom w:val="nil"/>
              <w:right w:val="single" w:sz="8" w:space="0" w:color="000000"/>
            </w:tcBorders>
            <w:shd w:val="clear" w:color="auto" w:fill="FFFFFF"/>
            <w:hideMark/>
          </w:tcPr>
          <w:p w14:paraId="6A0C30A9"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-1.361</w:t>
            </w:r>
          </w:p>
        </w:tc>
      </w:tr>
      <w:tr w:rsidR="00C24CFC" w14:paraId="0105451B" w14:textId="77777777">
        <w:trPr>
          <w:cantSplit/>
        </w:trPr>
        <w:tc>
          <w:tcPr>
            <w:tcW w:w="3957" w:type="dxa"/>
            <w:tcBorders>
              <w:top w:val="nil"/>
              <w:left w:val="single" w:sz="18" w:space="0" w:color="000000"/>
              <w:bottom w:val="nil"/>
              <w:right w:val="single" w:sz="18" w:space="0" w:color="000000"/>
            </w:tcBorders>
            <w:shd w:val="clear" w:color="auto" w:fill="FFFFFF"/>
            <w:hideMark/>
          </w:tcPr>
          <w:p w14:paraId="3B8BD472"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Lack of knowledge of evacuation routes before the flood</w:t>
            </w:r>
          </w:p>
        </w:tc>
        <w:tc>
          <w:tcPr>
            <w:tcW w:w="720" w:type="dxa"/>
            <w:tcBorders>
              <w:top w:val="nil"/>
              <w:left w:val="single" w:sz="18" w:space="0" w:color="000000"/>
              <w:bottom w:val="nil"/>
              <w:right w:val="single" w:sz="8" w:space="0" w:color="000000"/>
            </w:tcBorders>
            <w:shd w:val="clear" w:color="auto" w:fill="FFFFFF"/>
            <w:hideMark/>
          </w:tcPr>
          <w:p w14:paraId="7E61DF78"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0BC6F86E"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3.07</w:t>
            </w:r>
          </w:p>
        </w:tc>
        <w:tc>
          <w:tcPr>
            <w:tcW w:w="900" w:type="dxa"/>
            <w:tcBorders>
              <w:top w:val="nil"/>
              <w:left w:val="single" w:sz="8" w:space="0" w:color="000000"/>
              <w:bottom w:val="nil"/>
              <w:right w:val="single" w:sz="8" w:space="0" w:color="000000"/>
            </w:tcBorders>
            <w:shd w:val="clear" w:color="auto" w:fill="FFFFFF"/>
            <w:hideMark/>
          </w:tcPr>
          <w:p w14:paraId="6B3554EC"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1.440</w:t>
            </w:r>
          </w:p>
        </w:tc>
        <w:tc>
          <w:tcPr>
            <w:tcW w:w="994" w:type="dxa"/>
            <w:tcBorders>
              <w:top w:val="nil"/>
              <w:left w:val="single" w:sz="8" w:space="0" w:color="000000"/>
              <w:bottom w:val="nil"/>
              <w:right w:val="single" w:sz="8" w:space="0" w:color="000000"/>
            </w:tcBorders>
            <w:shd w:val="clear" w:color="auto" w:fill="FFFFFF"/>
            <w:hideMark/>
          </w:tcPr>
          <w:p w14:paraId="7807CE14"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-.037</w:t>
            </w:r>
          </w:p>
        </w:tc>
        <w:tc>
          <w:tcPr>
            <w:tcW w:w="986" w:type="dxa"/>
            <w:tcBorders>
              <w:top w:val="nil"/>
              <w:left w:val="single" w:sz="8" w:space="0" w:color="000000"/>
              <w:bottom w:val="nil"/>
              <w:right w:val="single" w:sz="8" w:space="0" w:color="000000"/>
            </w:tcBorders>
            <w:shd w:val="clear" w:color="auto" w:fill="FFFFFF"/>
            <w:hideMark/>
          </w:tcPr>
          <w:p w14:paraId="5E79C847"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-1.365</w:t>
            </w:r>
          </w:p>
        </w:tc>
      </w:tr>
      <w:tr w:rsidR="00C24CFC" w14:paraId="64D1AD01" w14:textId="77777777">
        <w:trPr>
          <w:cantSplit/>
        </w:trPr>
        <w:tc>
          <w:tcPr>
            <w:tcW w:w="3957" w:type="dxa"/>
            <w:tcBorders>
              <w:top w:val="nil"/>
              <w:left w:val="single" w:sz="18" w:space="0" w:color="000000"/>
              <w:bottom w:val="nil"/>
              <w:right w:val="single" w:sz="18" w:space="0" w:color="000000"/>
            </w:tcBorders>
            <w:shd w:val="clear" w:color="auto" w:fill="FFFFFF"/>
            <w:hideMark/>
          </w:tcPr>
          <w:p w14:paraId="4238D335"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Households lacked preparedness plans</w:t>
            </w:r>
          </w:p>
        </w:tc>
        <w:tc>
          <w:tcPr>
            <w:tcW w:w="720" w:type="dxa"/>
            <w:tcBorders>
              <w:top w:val="nil"/>
              <w:left w:val="single" w:sz="18" w:space="0" w:color="000000"/>
              <w:bottom w:val="nil"/>
              <w:right w:val="single" w:sz="8" w:space="0" w:color="000000"/>
            </w:tcBorders>
            <w:shd w:val="clear" w:color="auto" w:fill="FFFFFF"/>
            <w:hideMark/>
          </w:tcPr>
          <w:p w14:paraId="190B6D27"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66672863"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3.06</w:t>
            </w:r>
          </w:p>
        </w:tc>
        <w:tc>
          <w:tcPr>
            <w:tcW w:w="900" w:type="dxa"/>
            <w:tcBorders>
              <w:top w:val="nil"/>
              <w:left w:val="single" w:sz="8" w:space="0" w:color="000000"/>
              <w:bottom w:val="nil"/>
              <w:right w:val="single" w:sz="8" w:space="0" w:color="000000"/>
            </w:tcBorders>
            <w:shd w:val="clear" w:color="auto" w:fill="FFFFFF"/>
            <w:hideMark/>
          </w:tcPr>
          <w:p w14:paraId="1E855926"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1.454</w:t>
            </w:r>
          </w:p>
        </w:tc>
        <w:tc>
          <w:tcPr>
            <w:tcW w:w="994" w:type="dxa"/>
            <w:tcBorders>
              <w:top w:val="nil"/>
              <w:left w:val="single" w:sz="8" w:space="0" w:color="000000"/>
              <w:bottom w:val="nil"/>
              <w:right w:val="single" w:sz="8" w:space="0" w:color="000000"/>
            </w:tcBorders>
            <w:shd w:val="clear" w:color="auto" w:fill="FFFFFF"/>
            <w:hideMark/>
          </w:tcPr>
          <w:p w14:paraId="7CB9D1F4"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-.036</w:t>
            </w:r>
          </w:p>
        </w:tc>
        <w:tc>
          <w:tcPr>
            <w:tcW w:w="986" w:type="dxa"/>
            <w:tcBorders>
              <w:top w:val="nil"/>
              <w:left w:val="single" w:sz="8" w:space="0" w:color="000000"/>
              <w:bottom w:val="nil"/>
              <w:right w:val="single" w:sz="8" w:space="0" w:color="000000"/>
            </w:tcBorders>
            <w:shd w:val="clear" w:color="auto" w:fill="FFFFFF"/>
            <w:hideMark/>
          </w:tcPr>
          <w:p w14:paraId="7FB884F5"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-1.363</w:t>
            </w:r>
          </w:p>
        </w:tc>
      </w:tr>
      <w:tr w:rsidR="00C24CFC" w14:paraId="6F058A0F" w14:textId="77777777">
        <w:trPr>
          <w:cantSplit/>
        </w:trPr>
        <w:tc>
          <w:tcPr>
            <w:tcW w:w="3957" w:type="dxa"/>
            <w:tcBorders>
              <w:top w:val="nil"/>
              <w:left w:val="single" w:sz="18" w:space="0" w:color="000000"/>
              <w:bottom w:val="nil"/>
              <w:right w:val="single" w:sz="18" w:space="0" w:color="000000"/>
            </w:tcBorders>
            <w:shd w:val="clear" w:color="auto" w:fill="FFFFFF"/>
            <w:hideMark/>
          </w:tcPr>
          <w:p w14:paraId="5AE6DEE5"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Poor drainage maintenance before rainy season</w:t>
            </w:r>
          </w:p>
        </w:tc>
        <w:tc>
          <w:tcPr>
            <w:tcW w:w="720" w:type="dxa"/>
            <w:tcBorders>
              <w:top w:val="nil"/>
              <w:left w:val="single" w:sz="18" w:space="0" w:color="000000"/>
              <w:bottom w:val="nil"/>
              <w:right w:val="single" w:sz="8" w:space="0" w:color="000000"/>
            </w:tcBorders>
            <w:shd w:val="clear" w:color="auto" w:fill="FFFFFF"/>
            <w:hideMark/>
          </w:tcPr>
          <w:p w14:paraId="6601E7BB"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7223EA64"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3.12</w:t>
            </w:r>
          </w:p>
        </w:tc>
        <w:tc>
          <w:tcPr>
            <w:tcW w:w="900" w:type="dxa"/>
            <w:tcBorders>
              <w:top w:val="nil"/>
              <w:left w:val="single" w:sz="8" w:space="0" w:color="000000"/>
              <w:bottom w:val="nil"/>
              <w:right w:val="single" w:sz="8" w:space="0" w:color="000000"/>
            </w:tcBorders>
            <w:shd w:val="clear" w:color="auto" w:fill="FFFFFF"/>
            <w:hideMark/>
          </w:tcPr>
          <w:p w14:paraId="66E3E906"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1.421</w:t>
            </w:r>
          </w:p>
        </w:tc>
        <w:tc>
          <w:tcPr>
            <w:tcW w:w="994" w:type="dxa"/>
            <w:tcBorders>
              <w:top w:val="nil"/>
              <w:left w:val="single" w:sz="8" w:space="0" w:color="000000"/>
              <w:bottom w:val="nil"/>
              <w:right w:val="single" w:sz="8" w:space="0" w:color="000000"/>
            </w:tcBorders>
            <w:shd w:val="clear" w:color="auto" w:fill="FFFFFF"/>
            <w:hideMark/>
          </w:tcPr>
          <w:p w14:paraId="506F7E32"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-.081</w:t>
            </w:r>
          </w:p>
        </w:tc>
        <w:tc>
          <w:tcPr>
            <w:tcW w:w="986" w:type="dxa"/>
            <w:tcBorders>
              <w:top w:val="nil"/>
              <w:left w:val="single" w:sz="8" w:space="0" w:color="000000"/>
              <w:bottom w:val="nil"/>
              <w:right w:val="single" w:sz="8" w:space="0" w:color="000000"/>
            </w:tcBorders>
            <w:shd w:val="clear" w:color="auto" w:fill="FFFFFF"/>
            <w:hideMark/>
          </w:tcPr>
          <w:p w14:paraId="60491708"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-1.308</w:t>
            </w:r>
          </w:p>
        </w:tc>
      </w:tr>
      <w:tr w:rsidR="00C24CFC" w14:paraId="6789A042" w14:textId="77777777">
        <w:trPr>
          <w:cantSplit/>
        </w:trPr>
        <w:tc>
          <w:tcPr>
            <w:tcW w:w="3957" w:type="dxa"/>
            <w:tcBorders>
              <w:top w:val="nil"/>
              <w:left w:val="single" w:sz="18" w:space="0" w:color="000000"/>
              <w:bottom w:val="nil"/>
              <w:right w:val="single" w:sz="18" w:space="0" w:color="000000"/>
            </w:tcBorders>
            <w:shd w:val="clear" w:color="auto" w:fill="FFFFFF"/>
            <w:hideMark/>
          </w:tcPr>
          <w:p w14:paraId="428E60D4"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Inadequate land-use planning in flood-prone areas</w:t>
            </w:r>
          </w:p>
        </w:tc>
        <w:tc>
          <w:tcPr>
            <w:tcW w:w="720" w:type="dxa"/>
            <w:tcBorders>
              <w:top w:val="nil"/>
              <w:left w:val="single" w:sz="18" w:space="0" w:color="000000"/>
              <w:bottom w:val="nil"/>
              <w:right w:val="single" w:sz="8" w:space="0" w:color="000000"/>
            </w:tcBorders>
            <w:shd w:val="clear" w:color="auto" w:fill="FFFFFF"/>
            <w:hideMark/>
          </w:tcPr>
          <w:p w14:paraId="6B2576C3"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1749F733"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3.02</w:t>
            </w:r>
          </w:p>
        </w:tc>
        <w:tc>
          <w:tcPr>
            <w:tcW w:w="900" w:type="dxa"/>
            <w:tcBorders>
              <w:top w:val="nil"/>
              <w:left w:val="single" w:sz="8" w:space="0" w:color="000000"/>
              <w:bottom w:val="nil"/>
              <w:right w:val="single" w:sz="8" w:space="0" w:color="000000"/>
            </w:tcBorders>
            <w:shd w:val="clear" w:color="auto" w:fill="FFFFFF"/>
            <w:hideMark/>
          </w:tcPr>
          <w:p w14:paraId="0B9D29C9"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1.366</w:t>
            </w:r>
          </w:p>
        </w:tc>
        <w:tc>
          <w:tcPr>
            <w:tcW w:w="994" w:type="dxa"/>
            <w:tcBorders>
              <w:top w:val="nil"/>
              <w:left w:val="single" w:sz="8" w:space="0" w:color="000000"/>
              <w:bottom w:val="nil"/>
              <w:right w:val="single" w:sz="8" w:space="0" w:color="000000"/>
            </w:tcBorders>
            <w:shd w:val="clear" w:color="auto" w:fill="FFFFFF"/>
            <w:hideMark/>
          </w:tcPr>
          <w:p w14:paraId="2758B7B9"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-.012</w:t>
            </w:r>
          </w:p>
        </w:tc>
        <w:tc>
          <w:tcPr>
            <w:tcW w:w="986" w:type="dxa"/>
            <w:tcBorders>
              <w:top w:val="nil"/>
              <w:left w:val="single" w:sz="8" w:space="0" w:color="000000"/>
              <w:bottom w:val="nil"/>
              <w:right w:val="single" w:sz="8" w:space="0" w:color="000000"/>
            </w:tcBorders>
            <w:shd w:val="clear" w:color="auto" w:fill="FFFFFF"/>
            <w:hideMark/>
          </w:tcPr>
          <w:p w14:paraId="118CF46C"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-1.237</w:t>
            </w:r>
          </w:p>
        </w:tc>
      </w:tr>
      <w:tr w:rsidR="00C24CFC" w14:paraId="45ABBB43" w14:textId="77777777">
        <w:trPr>
          <w:cantSplit/>
        </w:trPr>
        <w:tc>
          <w:tcPr>
            <w:tcW w:w="3957" w:type="dxa"/>
            <w:tcBorders>
              <w:top w:val="nil"/>
              <w:left w:val="single" w:sz="18" w:space="0" w:color="000000"/>
              <w:bottom w:val="nil"/>
              <w:right w:val="single" w:sz="18" w:space="0" w:color="000000"/>
            </w:tcBorders>
            <w:shd w:val="clear" w:color="auto" w:fill="FFFFFF"/>
            <w:hideMark/>
          </w:tcPr>
          <w:p w14:paraId="25D5F9B1"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Poor enforcement of building regulations</w:t>
            </w:r>
          </w:p>
        </w:tc>
        <w:tc>
          <w:tcPr>
            <w:tcW w:w="720" w:type="dxa"/>
            <w:tcBorders>
              <w:top w:val="nil"/>
              <w:left w:val="single" w:sz="18" w:space="0" w:color="000000"/>
              <w:bottom w:val="nil"/>
              <w:right w:val="single" w:sz="8" w:space="0" w:color="000000"/>
            </w:tcBorders>
            <w:shd w:val="clear" w:color="auto" w:fill="FFFFFF"/>
            <w:hideMark/>
          </w:tcPr>
          <w:p w14:paraId="1CD8BC7E"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41C3E24C"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3.01</w:t>
            </w:r>
          </w:p>
        </w:tc>
        <w:tc>
          <w:tcPr>
            <w:tcW w:w="900" w:type="dxa"/>
            <w:tcBorders>
              <w:top w:val="nil"/>
              <w:left w:val="single" w:sz="8" w:space="0" w:color="000000"/>
              <w:bottom w:val="nil"/>
              <w:right w:val="single" w:sz="8" w:space="0" w:color="000000"/>
            </w:tcBorders>
            <w:shd w:val="clear" w:color="auto" w:fill="FFFFFF"/>
            <w:hideMark/>
          </w:tcPr>
          <w:p w14:paraId="12CD641D"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1.444</w:t>
            </w:r>
          </w:p>
        </w:tc>
        <w:tc>
          <w:tcPr>
            <w:tcW w:w="994" w:type="dxa"/>
            <w:tcBorders>
              <w:top w:val="nil"/>
              <w:left w:val="single" w:sz="8" w:space="0" w:color="000000"/>
              <w:bottom w:val="nil"/>
              <w:right w:val="single" w:sz="8" w:space="0" w:color="000000"/>
            </w:tcBorders>
            <w:shd w:val="clear" w:color="auto" w:fill="FFFFFF"/>
            <w:hideMark/>
          </w:tcPr>
          <w:p w14:paraId="6C867297"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-.008</w:t>
            </w:r>
          </w:p>
        </w:tc>
        <w:tc>
          <w:tcPr>
            <w:tcW w:w="986" w:type="dxa"/>
            <w:tcBorders>
              <w:top w:val="nil"/>
              <w:left w:val="single" w:sz="8" w:space="0" w:color="000000"/>
              <w:bottom w:val="nil"/>
              <w:right w:val="single" w:sz="8" w:space="0" w:color="000000"/>
            </w:tcBorders>
            <w:shd w:val="clear" w:color="auto" w:fill="FFFFFF"/>
            <w:hideMark/>
          </w:tcPr>
          <w:p w14:paraId="7CE704AF"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-1.358</w:t>
            </w:r>
          </w:p>
        </w:tc>
      </w:tr>
      <w:tr w:rsidR="00C24CFC" w14:paraId="10402E0C" w14:textId="77777777">
        <w:trPr>
          <w:cantSplit/>
        </w:trPr>
        <w:tc>
          <w:tcPr>
            <w:tcW w:w="3957" w:type="dxa"/>
            <w:tcBorders>
              <w:top w:val="nil"/>
              <w:left w:val="single" w:sz="18" w:space="0" w:color="000000"/>
              <w:bottom w:val="nil"/>
              <w:right w:val="single" w:sz="18" w:space="0" w:color="000000"/>
            </w:tcBorders>
            <w:shd w:val="clear" w:color="auto" w:fill="FFFFFF"/>
            <w:hideMark/>
          </w:tcPr>
          <w:p w14:paraId="683BE5C2"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Lack of community involvement in</w:t>
            </w:r>
            <w:r>
              <w:rPr>
                <w:rFonts w:ascii="Times New Roman" w:hAnsi="Times New Roman" w:cs="Times New Roman"/>
              </w:rPr>
              <w:t xml:space="preserve"> preparedness planning</w:t>
            </w:r>
          </w:p>
        </w:tc>
        <w:tc>
          <w:tcPr>
            <w:tcW w:w="720" w:type="dxa"/>
            <w:tcBorders>
              <w:top w:val="nil"/>
              <w:left w:val="single" w:sz="18" w:space="0" w:color="000000"/>
              <w:bottom w:val="nil"/>
              <w:right w:val="single" w:sz="8" w:space="0" w:color="000000"/>
            </w:tcBorders>
            <w:shd w:val="clear" w:color="auto" w:fill="FFFFFF"/>
            <w:hideMark/>
          </w:tcPr>
          <w:p w14:paraId="5CEA3D4F"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213EE6E1"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2.92</w:t>
            </w:r>
          </w:p>
        </w:tc>
        <w:tc>
          <w:tcPr>
            <w:tcW w:w="900" w:type="dxa"/>
            <w:tcBorders>
              <w:top w:val="nil"/>
              <w:left w:val="single" w:sz="8" w:space="0" w:color="000000"/>
              <w:bottom w:val="nil"/>
              <w:right w:val="single" w:sz="8" w:space="0" w:color="000000"/>
            </w:tcBorders>
            <w:shd w:val="clear" w:color="auto" w:fill="FFFFFF"/>
            <w:hideMark/>
          </w:tcPr>
          <w:p w14:paraId="052BFDCA"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1.432</w:t>
            </w:r>
          </w:p>
        </w:tc>
        <w:tc>
          <w:tcPr>
            <w:tcW w:w="994" w:type="dxa"/>
            <w:tcBorders>
              <w:top w:val="nil"/>
              <w:left w:val="single" w:sz="8" w:space="0" w:color="000000"/>
              <w:bottom w:val="nil"/>
              <w:right w:val="single" w:sz="8" w:space="0" w:color="000000"/>
            </w:tcBorders>
            <w:shd w:val="clear" w:color="auto" w:fill="FFFFFF"/>
            <w:hideMark/>
          </w:tcPr>
          <w:p w14:paraId="03B3DCC4"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.127</w:t>
            </w:r>
          </w:p>
        </w:tc>
        <w:tc>
          <w:tcPr>
            <w:tcW w:w="986" w:type="dxa"/>
            <w:tcBorders>
              <w:top w:val="nil"/>
              <w:left w:val="single" w:sz="8" w:space="0" w:color="000000"/>
              <w:bottom w:val="nil"/>
              <w:right w:val="single" w:sz="8" w:space="0" w:color="000000"/>
            </w:tcBorders>
            <w:shd w:val="clear" w:color="auto" w:fill="FFFFFF"/>
            <w:hideMark/>
          </w:tcPr>
          <w:p w14:paraId="26290F64"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-1.307</w:t>
            </w:r>
          </w:p>
        </w:tc>
      </w:tr>
      <w:tr w:rsidR="00C24CFC" w14:paraId="5A1FECC5" w14:textId="77777777">
        <w:trPr>
          <w:cantSplit/>
        </w:trPr>
        <w:tc>
          <w:tcPr>
            <w:tcW w:w="3957" w:type="dxa"/>
            <w:tcBorders>
              <w:top w:val="nil"/>
              <w:left w:val="single" w:sz="18" w:space="0" w:color="000000"/>
              <w:bottom w:val="single" w:sz="18" w:space="0" w:color="000000"/>
              <w:right w:val="single" w:sz="18" w:space="0" w:color="000000"/>
            </w:tcBorders>
            <w:shd w:val="clear" w:color="auto" w:fill="FFFFFF"/>
            <w:vAlign w:val="center"/>
            <w:hideMark/>
          </w:tcPr>
          <w:p w14:paraId="0933371D"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Valid N (listwise)</w:t>
            </w:r>
          </w:p>
        </w:tc>
        <w:tc>
          <w:tcPr>
            <w:tcW w:w="720" w:type="dxa"/>
            <w:tcBorders>
              <w:top w:val="nil"/>
              <w:left w:val="single" w:sz="18" w:space="0" w:color="000000"/>
              <w:bottom w:val="single" w:sz="18" w:space="0" w:color="000000"/>
              <w:right w:val="single" w:sz="8" w:space="0" w:color="000000"/>
            </w:tcBorders>
            <w:shd w:val="clear" w:color="auto" w:fill="FFFFFF"/>
            <w:hideMark/>
          </w:tcPr>
          <w:p w14:paraId="0CD60238"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single" w:sz="18" w:space="0" w:color="000000"/>
              <w:right w:val="single" w:sz="8" w:space="0" w:color="000000"/>
            </w:tcBorders>
            <w:shd w:val="clear" w:color="auto" w:fill="FFFFFF"/>
          </w:tcPr>
          <w:p w14:paraId="091FD80B" w14:textId="77777777" w:rsidR="00C24CFC" w:rsidRDefault="00C24CFC">
            <w:pPr>
              <w:autoSpaceDE w:val="0"/>
              <w:autoSpaceDN w:val="0"/>
              <w:adjustRightInd w:val="0"/>
              <w:spacing w:after="0" w:line="276" w:lineRule="auto"/>
              <w:jc w:val="both"/>
              <w:rPr>
                <w:rFonts w:ascii="Times New Roman" w:hAnsi="Times New Roman" w:cs="Times New Roman"/>
              </w:rPr>
            </w:pPr>
          </w:p>
        </w:tc>
        <w:tc>
          <w:tcPr>
            <w:tcW w:w="900" w:type="dxa"/>
            <w:tcBorders>
              <w:top w:val="nil"/>
              <w:left w:val="single" w:sz="8" w:space="0" w:color="000000"/>
              <w:bottom w:val="single" w:sz="18" w:space="0" w:color="000000"/>
              <w:right w:val="single" w:sz="8" w:space="0" w:color="000000"/>
            </w:tcBorders>
            <w:shd w:val="clear" w:color="auto" w:fill="FFFFFF"/>
          </w:tcPr>
          <w:p w14:paraId="25AFCC3B" w14:textId="77777777" w:rsidR="00C24CFC" w:rsidRDefault="00C24CFC">
            <w:pPr>
              <w:autoSpaceDE w:val="0"/>
              <w:autoSpaceDN w:val="0"/>
              <w:adjustRightInd w:val="0"/>
              <w:spacing w:after="0" w:line="276" w:lineRule="auto"/>
              <w:jc w:val="both"/>
              <w:rPr>
                <w:rFonts w:ascii="Times New Roman" w:hAnsi="Times New Roman" w:cs="Times New Roman"/>
              </w:rPr>
            </w:pPr>
          </w:p>
        </w:tc>
        <w:tc>
          <w:tcPr>
            <w:tcW w:w="994" w:type="dxa"/>
            <w:tcBorders>
              <w:top w:val="nil"/>
              <w:left w:val="single" w:sz="8" w:space="0" w:color="000000"/>
              <w:bottom w:val="single" w:sz="18" w:space="0" w:color="000000"/>
              <w:right w:val="single" w:sz="8" w:space="0" w:color="000000"/>
            </w:tcBorders>
            <w:shd w:val="clear" w:color="auto" w:fill="FFFFFF"/>
          </w:tcPr>
          <w:p w14:paraId="643AA9AE" w14:textId="77777777" w:rsidR="00C24CFC" w:rsidRDefault="00C24CFC">
            <w:pPr>
              <w:autoSpaceDE w:val="0"/>
              <w:autoSpaceDN w:val="0"/>
              <w:adjustRightInd w:val="0"/>
              <w:spacing w:after="0" w:line="276" w:lineRule="auto"/>
              <w:jc w:val="both"/>
              <w:rPr>
                <w:rFonts w:ascii="Times New Roman" w:hAnsi="Times New Roman" w:cs="Times New Roman"/>
              </w:rPr>
            </w:pPr>
          </w:p>
        </w:tc>
        <w:tc>
          <w:tcPr>
            <w:tcW w:w="986" w:type="dxa"/>
            <w:tcBorders>
              <w:top w:val="nil"/>
              <w:left w:val="single" w:sz="8" w:space="0" w:color="000000"/>
              <w:bottom w:val="single" w:sz="18" w:space="0" w:color="000000"/>
              <w:right w:val="single" w:sz="8" w:space="0" w:color="000000"/>
            </w:tcBorders>
            <w:shd w:val="clear" w:color="auto" w:fill="FFFFFF"/>
          </w:tcPr>
          <w:p w14:paraId="398C6588" w14:textId="77777777" w:rsidR="00C24CFC" w:rsidRDefault="00C24CFC">
            <w:pPr>
              <w:autoSpaceDE w:val="0"/>
              <w:autoSpaceDN w:val="0"/>
              <w:adjustRightInd w:val="0"/>
              <w:spacing w:after="0" w:line="276" w:lineRule="auto"/>
              <w:jc w:val="both"/>
              <w:rPr>
                <w:rFonts w:ascii="Times New Roman" w:hAnsi="Times New Roman" w:cs="Times New Roman"/>
              </w:rPr>
            </w:pPr>
          </w:p>
        </w:tc>
      </w:tr>
    </w:tbl>
    <w:p w14:paraId="15CB1DA8" w14:textId="77777777" w:rsidR="00C24CFC" w:rsidRDefault="00AF004B">
      <w:pPr>
        <w:spacing w:after="0" w:line="276"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Source: Researcher’s Field Survey, 2025</w:t>
      </w:r>
    </w:p>
    <w:p w14:paraId="2C3D7293" w14:textId="795138FF"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indicate generally </w:t>
      </w:r>
      <w:r>
        <w:rPr>
          <w:rFonts w:ascii="Times New Roman" w:eastAsia="Times New Roman" w:hAnsi="Times New Roman" w:cs="Times New Roman"/>
          <w:bCs/>
          <w:sz w:val="24"/>
          <w:szCs w:val="24"/>
        </w:rPr>
        <w:t>moderate to high mean scores</w:t>
      </w:r>
      <w:r>
        <w:rPr>
          <w:rFonts w:ascii="Times New Roman" w:eastAsia="Times New Roman" w:hAnsi="Times New Roman" w:cs="Times New Roman"/>
          <w:sz w:val="24"/>
          <w:szCs w:val="24"/>
        </w:rPr>
        <w:t xml:space="preserve">, ranging from 2.85 to 3.12, suggesting that respondents largely agreed that </w:t>
      </w:r>
      <w:r>
        <w:rPr>
          <w:rFonts w:ascii="Times New Roman" w:eastAsia="Times New Roman" w:hAnsi="Times New Roman" w:cs="Times New Roman"/>
          <w:sz w:val="24"/>
          <w:szCs w:val="24"/>
        </w:rPr>
        <w:t>several preparedness gaps existed before the flood. Poor drainage maintenance before the rainy season recorded the highest mean (M = 3.12), highlighting infrastructural neglect as a major preparedness challenge. This was closely followed by lack of knowled</w:t>
      </w:r>
      <w:r>
        <w:rPr>
          <w:rFonts w:ascii="Times New Roman" w:eastAsia="Times New Roman" w:hAnsi="Times New Roman" w:cs="Times New Roman"/>
          <w:sz w:val="24"/>
          <w:szCs w:val="24"/>
        </w:rPr>
        <w:t>ge of evacuation routes (M = 3.07) and households lacking preparedness plans (M = 3.06), indicating weak household-level readiness. Issues related to flood warning systems, including absence of early warnings (M = 3.00), late receipt of warnings (M = 3.00)</w:t>
      </w:r>
      <w:r>
        <w:rPr>
          <w:rFonts w:ascii="Times New Roman" w:eastAsia="Times New Roman" w:hAnsi="Times New Roman" w:cs="Times New Roman"/>
          <w:sz w:val="24"/>
          <w:szCs w:val="24"/>
        </w:rPr>
        <w:t>, and poor communication of warnings (M = 2.97), further reveal deficiencies in early warning dissemination. Inadequate land-use planning (M = 3.02) and poor enforcement of building regulations (M = 3.01) point to institutional and regulatory failures that</w:t>
      </w:r>
      <w:r>
        <w:rPr>
          <w:rFonts w:ascii="Times New Roman" w:eastAsia="Times New Roman" w:hAnsi="Times New Roman" w:cs="Times New Roman"/>
          <w:sz w:val="24"/>
          <w:szCs w:val="24"/>
        </w:rPr>
        <w:t xml:space="preserve"> increase exposure to flood risk. The relatively low mean for community flood awareness programmes (M = 2.85) suggests insufficient public sensitisation efforts. The negative kurtosis values across variables indicate a flat distribution, implying varied ex</w:t>
      </w:r>
      <w:r>
        <w:rPr>
          <w:rFonts w:ascii="Times New Roman" w:eastAsia="Times New Roman" w:hAnsi="Times New Roman" w:cs="Times New Roman"/>
          <w:sz w:val="24"/>
          <w:szCs w:val="24"/>
        </w:rPr>
        <w:t>periences among respondents. Overall, Table 3 underscores systemic weaknesses in preparedness mechanisms, contributing to heightened vulnerability during the 2022 flood event.</w:t>
      </w:r>
    </w:p>
    <w:p w14:paraId="4C614240" w14:textId="77777777"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The result presents the PCA results for the preparedness phase, with six compone</w:t>
      </w:r>
      <w:r>
        <w:rPr>
          <w:rFonts w:ascii="Times New Roman" w:eastAsia="Times New Roman" w:hAnsi="Times New Roman" w:cs="Times New Roman"/>
          <w:bCs/>
          <w:sz w:val="24"/>
          <w:szCs w:val="24"/>
        </w:rPr>
        <w:t>nts cumulatively explaining 68.29% of the total variance.</w:t>
      </w:r>
      <w:r>
        <w:rPr>
          <w:rFonts w:ascii="Times New Roman" w:eastAsia="Times New Roman" w:hAnsi="Times New Roman" w:cs="Times New Roman"/>
          <w:sz w:val="24"/>
          <w:szCs w:val="24"/>
        </w:rPr>
        <w:t xml:space="preserve"> This cumulative variance indicates a strong explanatory power of the extracted components in capturing preparedness-related challenges.</w:t>
      </w:r>
    </w:p>
    <w:p w14:paraId="4A376AB7" w14:textId="77777777" w:rsidR="00C24CFC" w:rsidRDefault="00C24CFC">
      <w:pPr>
        <w:spacing w:after="0" w:line="276" w:lineRule="auto"/>
        <w:jc w:val="both"/>
        <w:rPr>
          <w:rFonts w:ascii="Times New Roman" w:eastAsia="Times New Roman" w:hAnsi="Times New Roman" w:cs="Times New Roman"/>
          <w:sz w:val="24"/>
          <w:szCs w:val="24"/>
        </w:rPr>
      </w:pPr>
    </w:p>
    <w:p w14:paraId="4B05C3AC" w14:textId="77777777" w:rsidR="00C24CFC" w:rsidRDefault="00C24CFC">
      <w:pPr>
        <w:spacing w:after="0" w:line="276" w:lineRule="auto"/>
        <w:jc w:val="both"/>
        <w:outlineLvl w:val="2"/>
        <w:rPr>
          <w:rFonts w:ascii="Times New Roman" w:eastAsia="Times New Roman" w:hAnsi="Times New Roman" w:cs="Times New Roman"/>
          <w:sz w:val="24"/>
          <w:szCs w:val="24"/>
        </w:rPr>
      </w:pPr>
    </w:p>
    <w:p w14:paraId="37308B7B" w14:textId="77777777" w:rsidR="00C24CFC" w:rsidRDefault="00C24CFC">
      <w:pPr>
        <w:spacing w:after="0" w:line="276" w:lineRule="auto"/>
        <w:jc w:val="both"/>
        <w:outlineLvl w:val="2"/>
        <w:rPr>
          <w:rFonts w:ascii="Times New Roman" w:eastAsia="Times New Roman" w:hAnsi="Times New Roman" w:cs="Times New Roman"/>
          <w:sz w:val="24"/>
          <w:szCs w:val="24"/>
        </w:rPr>
      </w:pPr>
    </w:p>
    <w:p w14:paraId="5C63BA09" w14:textId="77777777" w:rsidR="00C24CFC" w:rsidRDefault="00AF004B">
      <w:pPr>
        <w:spacing w:after="0" w:line="276"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lastRenderedPageBreak/>
        <w:t>Challenges and Factors at the</w:t>
      </w:r>
      <w:r>
        <w:rPr>
          <w:rFonts w:ascii="Times New Roman" w:eastAsia="Times New Roman" w:hAnsi="Times New Roman" w:cs="Times New Roman"/>
          <w:b/>
          <w:bCs/>
          <w:sz w:val="24"/>
          <w:szCs w:val="24"/>
        </w:rPr>
        <w:t xml:space="preserve"> Response Phase</w:t>
      </w:r>
    </w:p>
    <w:p w14:paraId="78E4C8A1" w14:textId="77777777" w:rsidR="00C24CFC" w:rsidRDefault="00AF004B">
      <w:pPr>
        <w:spacing w:after="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Table 6 presen</w:t>
      </w:r>
      <w:r>
        <w:rPr>
          <w:rFonts w:ascii="Times New Roman" w:eastAsia="Times New Roman" w:hAnsi="Times New Roman" w:cs="Times New Roman"/>
          <w:bCs/>
          <w:sz w:val="24"/>
          <w:szCs w:val="24"/>
        </w:rPr>
        <w:t>ts the descriptive statistics for response-related challenges during the 2022 flood event.</w:t>
      </w:r>
    </w:p>
    <w:p w14:paraId="7BF1AEC3" w14:textId="77777777" w:rsidR="00C24CFC" w:rsidRDefault="00AF004B">
      <w:pPr>
        <w:spacing w:after="0" w:line="276" w:lineRule="auto"/>
        <w:jc w:val="both"/>
        <w:rPr>
          <w:rFonts w:ascii="Times New Roman" w:hAnsi="Times New Roman" w:cs="Times New Roman"/>
          <w:b/>
        </w:rPr>
      </w:pPr>
      <w:r>
        <w:rPr>
          <w:rFonts w:ascii="Times New Roman" w:hAnsi="Times New Roman" w:cs="Times New Roman"/>
          <w:b/>
        </w:rPr>
        <w:t xml:space="preserve">Table 6: </w:t>
      </w:r>
      <w:bookmarkStart w:id="2" w:name="_Hlk218600136"/>
      <w:r>
        <w:rPr>
          <w:rFonts w:ascii="Times New Roman" w:hAnsi="Times New Roman" w:cs="Times New Roman"/>
          <w:b/>
          <w:bCs/>
        </w:rPr>
        <w:t>Descriptive Statistics - Response Phase</w:t>
      </w:r>
      <w:bookmarkEnd w:id="2"/>
    </w:p>
    <w:tbl>
      <w:tblPr>
        <w:tblW w:w="821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417"/>
        <w:gridCol w:w="810"/>
        <w:gridCol w:w="810"/>
        <w:gridCol w:w="1042"/>
        <w:gridCol w:w="1059"/>
        <w:gridCol w:w="1081"/>
      </w:tblGrid>
      <w:tr w:rsidR="00C24CFC" w14:paraId="1803BCD8" w14:textId="77777777">
        <w:trPr>
          <w:cantSplit/>
        </w:trPr>
        <w:tc>
          <w:tcPr>
            <w:tcW w:w="3417" w:type="dxa"/>
            <w:tcBorders>
              <w:top w:val="single" w:sz="18" w:space="0" w:color="000000"/>
              <w:left w:val="single" w:sz="18" w:space="0" w:color="000000"/>
              <w:bottom w:val="single" w:sz="8" w:space="0" w:color="000000"/>
              <w:right w:val="single" w:sz="18" w:space="0" w:color="000000"/>
            </w:tcBorders>
            <w:shd w:val="clear" w:color="auto" w:fill="FFFFFF"/>
            <w:hideMark/>
          </w:tcPr>
          <w:p w14:paraId="01CA6CCC" w14:textId="77777777" w:rsidR="00C24CFC" w:rsidRDefault="00AF004B">
            <w:pPr>
              <w:autoSpaceDE w:val="0"/>
              <w:autoSpaceDN w:val="0"/>
              <w:adjustRightInd w:val="0"/>
              <w:spacing w:after="0" w:line="276" w:lineRule="auto"/>
              <w:jc w:val="both"/>
              <w:rPr>
                <w:rFonts w:ascii="Times New Roman" w:hAnsi="Times New Roman" w:cs="Times New Roman"/>
              </w:rPr>
            </w:pPr>
            <w:r>
              <w:rPr>
                <w:rFonts w:ascii="Times New Roman" w:hAnsi="Times New Roman" w:cs="Times New Roman"/>
              </w:rPr>
              <w:t>Variable</w:t>
            </w:r>
          </w:p>
        </w:tc>
        <w:tc>
          <w:tcPr>
            <w:tcW w:w="810" w:type="dxa"/>
            <w:tcBorders>
              <w:top w:val="single" w:sz="18" w:space="0" w:color="000000"/>
              <w:left w:val="single" w:sz="18" w:space="0" w:color="000000"/>
              <w:bottom w:val="single" w:sz="8" w:space="0" w:color="000000"/>
              <w:right w:val="single" w:sz="8" w:space="0" w:color="000000"/>
            </w:tcBorders>
            <w:shd w:val="clear" w:color="auto" w:fill="FFFFFF"/>
            <w:hideMark/>
          </w:tcPr>
          <w:p w14:paraId="4DBC8E9F"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N</w:t>
            </w:r>
          </w:p>
        </w:tc>
        <w:tc>
          <w:tcPr>
            <w:tcW w:w="810" w:type="dxa"/>
            <w:tcBorders>
              <w:top w:val="single" w:sz="18" w:space="0" w:color="000000"/>
              <w:left w:val="single" w:sz="8" w:space="0" w:color="000000"/>
              <w:bottom w:val="single" w:sz="8" w:space="0" w:color="000000"/>
              <w:right w:val="single" w:sz="8" w:space="0" w:color="000000"/>
            </w:tcBorders>
            <w:shd w:val="clear" w:color="auto" w:fill="FFFFFF"/>
            <w:hideMark/>
          </w:tcPr>
          <w:p w14:paraId="55B852AA"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Mean</w:t>
            </w:r>
          </w:p>
        </w:tc>
        <w:tc>
          <w:tcPr>
            <w:tcW w:w="1042" w:type="dxa"/>
            <w:tcBorders>
              <w:top w:val="single" w:sz="18" w:space="0" w:color="000000"/>
              <w:left w:val="single" w:sz="8" w:space="0" w:color="000000"/>
              <w:bottom w:val="single" w:sz="8" w:space="0" w:color="000000"/>
              <w:right w:val="single" w:sz="8" w:space="0" w:color="000000"/>
            </w:tcBorders>
            <w:shd w:val="clear" w:color="auto" w:fill="FFFFFF"/>
            <w:hideMark/>
          </w:tcPr>
          <w:p w14:paraId="1B4819A1"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 xml:space="preserve">Std. Deviation                </w:t>
            </w:r>
          </w:p>
        </w:tc>
        <w:tc>
          <w:tcPr>
            <w:tcW w:w="1059" w:type="dxa"/>
            <w:tcBorders>
              <w:top w:val="single" w:sz="18" w:space="0" w:color="000000"/>
              <w:left w:val="single" w:sz="8" w:space="0" w:color="000000"/>
              <w:bottom w:val="single" w:sz="8" w:space="0" w:color="000000"/>
              <w:right w:val="single" w:sz="8" w:space="0" w:color="000000"/>
            </w:tcBorders>
            <w:shd w:val="clear" w:color="auto" w:fill="FFFFFF"/>
            <w:hideMark/>
          </w:tcPr>
          <w:p w14:paraId="380BEF1C"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Skewness</w:t>
            </w:r>
          </w:p>
        </w:tc>
        <w:tc>
          <w:tcPr>
            <w:tcW w:w="1081" w:type="dxa"/>
            <w:tcBorders>
              <w:top w:val="single" w:sz="18" w:space="0" w:color="000000"/>
              <w:left w:val="single" w:sz="8" w:space="0" w:color="000000"/>
              <w:bottom w:val="single" w:sz="8" w:space="0" w:color="000000"/>
              <w:right w:val="single" w:sz="8" w:space="0" w:color="000000"/>
            </w:tcBorders>
            <w:shd w:val="clear" w:color="auto" w:fill="FFFFFF"/>
            <w:hideMark/>
          </w:tcPr>
          <w:p w14:paraId="3CE0D2CC"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Kurtosis</w:t>
            </w:r>
          </w:p>
        </w:tc>
      </w:tr>
      <w:tr w:rsidR="00C24CFC" w14:paraId="55863C44" w14:textId="77777777">
        <w:trPr>
          <w:cantSplit/>
        </w:trPr>
        <w:tc>
          <w:tcPr>
            <w:tcW w:w="3417" w:type="dxa"/>
            <w:tcBorders>
              <w:top w:val="single" w:sz="18" w:space="0" w:color="000000"/>
              <w:left w:val="single" w:sz="18" w:space="0" w:color="000000"/>
              <w:bottom w:val="nil"/>
              <w:right w:val="single" w:sz="18" w:space="0" w:color="000000"/>
            </w:tcBorders>
            <w:shd w:val="clear" w:color="auto" w:fill="FFFFFF"/>
            <w:hideMark/>
          </w:tcPr>
          <w:p w14:paraId="6270710D"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Emergency response to flood was delayed</w:t>
            </w:r>
          </w:p>
        </w:tc>
        <w:tc>
          <w:tcPr>
            <w:tcW w:w="810" w:type="dxa"/>
            <w:tcBorders>
              <w:top w:val="single" w:sz="18" w:space="0" w:color="000000"/>
              <w:left w:val="single" w:sz="18" w:space="0" w:color="000000"/>
              <w:bottom w:val="nil"/>
              <w:right w:val="single" w:sz="8" w:space="0" w:color="000000"/>
            </w:tcBorders>
            <w:shd w:val="clear" w:color="auto" w:fill="FFFFFF"/>
            <w:hideMark/>
          </w:tcPr>
          <w:p w14:paraId="0EADDD9C"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single" w:sz="18" w:space="0" w:color="000000"/>
              <w:left w:val="single" w:sz="8" w:space="0" w:color="000000"/>
              <w:bottom w:val="nil"/>
              <w:right w:val="single" w:sz="8" w:space="0" w:color="000000"/>
            </w:tcBorders>
            <w:shd w:val="clear" w:color="auto" w:fill="FFFFFF"/>
            <w:hideMark/>
          </w:tcPr>
          <w:p w14:paraId="3F1B7400"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2.92</w:t>
            </w:r>
          </w:p>
        </w:tc>
        <w:tc>
          <w:tcPr>
            <w:tcW w:w="1042" w:type="dxa"/>
            <w:tcBorders>
              <w:top w:val="single" w:sz="18" w:space="0" w:color="000000"/>
              <w:left w:val="single" w:sz="8" w:space="0" w:color="000000"/>
              <w:bottom w:val="nil"/>
              <w:right w:val="single" w:sz="8" w:space="0" w:color="000000"/>
            </w:tcBorders>
            <w:shd w:val="clear" w:color="auto" w:fill="FFFFFF"/>
            <w:hideMark/>
          </w:tcPr>
          <w:p w14:paraId="1B3E0509"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1.440</w:t>
            </w:r>
          </w:p>
        </w:tc>
        <w:tc>
          <w:tcPr>
            <w:tcW w:w="1059" w:type="dxa"/>
            <w:tcBorders>
              <w:top w:val="single" w:sz="18" w:space="0" w:color="000000"/>
              <w:left w:val="single" w:sz="8" w:space="0" w:color="000000"/>
              <w:bottom w:val="nil"/>
              <w:right w:val="single" w:sz="8" w:space="0" w:color="000000"/>
            </w:tcBorders>
            <w:shd w:val="clear" w:color="auto" w:fill="FFFFFF"/>
            <w:hideMark/>
          </w:tcPr>
          <w:p w14:paraId="3553E65D"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-.005</w:t>
            </w:r>
          </w:p>
        </w:tc>
        <w:tc>
          <w:tcPr>
            <w:tcW w:w="1081" w:type="dxa"/>
            <w:tcBorders>
              <w:top w:val="single" w:sz="18" w:space="0" w:color="000000"/>
              <w:left w:val="single" w:sz="8" w:space="0" w:color="000000"/>
              <w:bottom w:val="nil"/>
              <w:right w:val="single" w:sz="8" w:space="0" w:color="000000"/>
            </w:tcBorders>
            <w:shd w:val="clear" w:color="auto" w:fill="FFFFFF"/>
            <w:hideMark/>
          </w:tcPr>
          <w:p w14:paraId="6EB94B2F"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-1.352</w:t>
            </w:r>
          </w:p>
        </w:tc>
      </w:tr>
      <w:tr w:rsidR="00C24CFC" w14:paraId="7CECDD9B" w14:textId="77777777">
        <w:trPr>
          <w:cantSplit/>
        </w:trPr>
        <w:tc>
          <w:tcPr>
            <w:tcW w:w="3417" w:type="dxa"/>
            <w:tcBorders>
              <w:top w:val="nil"/>
              <w:left w:val="single" w:sz="18" w:space="0" w:color="000000"/>
              <w:bottom w:val="nil"/>
              <w:right w:val="single" w:sz="18" w:space="0" w:color="000000"/>
            </w:tcBorders>
            <w:shd w:val="clear" w:color="auto" w:fill="FFFFFF"/>
            <w:hideMark/>
          </w:tcPr>
          <w:p w14:paraId="19C2CFA7"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Evacuation support during flood was inadequate</w:t>
            </w:r>
          </w:p>
        </w:tc>
        <w:tc>
          <w:tcPr>
            <w:tcW w:w="810" w:type="dxa"/>
            <w:tcBorders>
              <w:top w:val="nil"/>
              <w:left w:val="single" w:sz="18" w:space="0" w:color="000000"/>
              <w:bottom w:val="nil"/>
              <w:right w:val="single" w:sz="8" w:space="0" w:color="000000"/>
            </w:tcBorders>
            <w:shd w:val="clear" w:color="auto" w:fill="FFFFFF"/>
            <w:hideMark/>
          </w:tcPr>
          <w:p w14:paraId="61A4F010"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0F9A9113"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3.20</w:t>
            </w:r>
          </w:p>
        </w:tc>
        <w:tc>
          <w:tcPr>
            <w:tcW w:w="1042" w:type="dxa"/>
            <w:tcBorders>
              <w:top w:val="nil"/>
              <w:left w:val="single" w:sz="8" w:space="0" w:color="000000"/>
              <w:bottom w:val="nil"/>
              <w:right w:val="single" w:sz="8" w:space="0" w:color="000000"/>
            </w:tcBorders>
            <w:shd w:val="clear" w:color="auto" w:fill="FFFFFF"/>
            <w:hideMark/>
          </w:tcPr>
          <w:p w14:paraId="37BC31A9"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1.493</w:t>
            </w:r>
          </w:p>
        </w:tc>
        <w:tc>
          <w:tcPr>
            <w:tcW w:w="1059" w:type="dxa"/>
            <w:tcBorders>
              <w:top w:val="nil"/>
              <w:left w:val="single" w:sz="8" w:space="0" w:color="000000"/>
              <w:bottom w:val="nil"/>
              <w:right w:val="single" w:sz="8" w:space="0" w:color="000000"/>
            </w:tcBorders>
            <w:shd w:val="clear" w:color="auto" w:fill="FFFFFF"/>
            <w:hideMark/>
          </w:tcPr>
          <w:p w14:paraId="49C9FD3B"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-.172</w:t>
            </w:r>
          </w:p>
        </w:tc>
        <w:tc>
          <w:tcPr>
            <w:tcW w:w="1081" w:type="dxa"/>
            <w:tcBorders>
              <w:top w:val="nil"/>
              <w:left w:val="single" w:sz="8" w:space="0" w:color="000000"/>
              <w:bottom w:val="nil"/>
              <w:right w:val="single" w:sz="8" w:space="0" w:color="000000"/>
            </w:tcBorders>
            <w:shd w:val="clear" w:color="auto" w:fill="FFFFFF"/>
            <w:hideMark/>
          </w:tcPr>
          <w:p w14:paraId="65049C4B"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-1.404</w:t>
            </w:r>
          </w:p>
        </w:tc>
      </w:tr>
      <w:tr w:rsidR="00C24CFC" w14:paraId="063D16FE" w14:textId="77777777">
        <w:trPr>
          <w:cantSplit/>
        </w:trPr>
        <w:tc>
          <w:tcPr>
            <w:tcW w:w="3417" w:type="dxa"/>
            <w:tcBorders>
              <w:top w:val="nil"/>
              <w:left w:val="single" w:sz="18" w:space="0" w:color="000000"/>
              <w:bottom w:val="nil"/>
              <w:right w:val="single" w:sz="18" w:space="0" w:color="000000"/>
            </w:tcBorders>
            <w:shd w:val="clear" w:color="auto" w:fill="FFFFFF"/>
            <w:hideMark/>
          </w:tcPr>
          <w:p w14:paraId="25FE86E2"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Insufficient evacuation centres</w:t>
            </w:r>
          </w:p>
        </w:tc>
        <w:tc>
          <w:tcPr>
            <w:tcW w:w="810" w:type="dxa"/>
            <w:tcBorders>
              <w:top w:val="nil"/>
              <w:left w:val="single" w:sz="18" w:space="0" w:color="000000"/>
              <w:bottom w:val="nil"/>
              <w:right w:val="single" w:sz="8" w:space="0" w:color="000000"/>
            </w:tcBorders>
            <w:shd w:val="clear" w:color="auto" w:fill="FFFFFF"/>
            <w:hideMark/>
          </w:tcPr>
          <w:p w14:paraId="30896471"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21DF22D0"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2.99</w:t>
            </w:r>
          </w:p>
        </w:tc>
        <w:tc>
          <w:tcPr>
            <w:tcW w:w="1042" w:type="dxa"/>
            <w:tcBorders>
              <w:top w:val="nil"/>
              <w:left w:val="single" w:sz="8" w:space="0" w:color="000000"/>
              <w:bottom w:val="nil"/>
              <w:right w:val="single" w:sz="8" w:space="0" w:color="000000"/>
            </w:tcBorders>
            <w:shd w:val="clear" w:color="auto" w:fill="FFFFFF"/>
            <w:hideMark/>
          </w:tcPr>
          <w:p w14:paraId="08473E49"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1.441</w:t>
            </w:r>
          </w:p>
        </w:tc>
        <w:tc>
          <w:tcPr>
            <w:tcW w:w="1059" w:type="dxa"/>
            <w:tcBorders>
              <w:top w:val="nil"/>
              <w:left w:val="single" w:sz="8" w:space="0" w:color="000000"/>
              <w:bottom w:val="nil"/>
              <w:right w:val="single" w:sz="8" w:space="0" w:color="000000"/>
            </w:tcBorders>
            <w:shd w:val="clear" w:color="auto" w:fill="FFFFFF"/>
            <w:hideMark/>
          </w:tcPr>
          <w:p w14:paraId="302D3D41"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.019</w:t>
            </w:r>
          </w:p>
        </w:tc>
        <w:tc>
          <w:tcPr>
            <w:tcW w:w="1081" w:type="dxa"/>
            <w:tcBorders>
              <w:top w:val="nil"/>
              <w:left w:val="single" w:sz="8" w:space="0" w:color="000000"/>
              <w:bottom w:val="nil"/>
              <w:right w:val="single" w:sz="8" w:space="0" w:color="000000"/>
            </w:tcBorders>
            <w:shd w:val="clear" w:color="auto" w:fill="FFFFFF"/>
            <w:hideMark/>
          </w:tcPr>
          <w:p w14:paraId="5293AC12"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-1.338</w:t>
            </w:r>
          </w:p>
        </w:tc>
      </w:tr>
      <w:tr w:rsidR="00C24CFC" w14:paraId="1C44D4A6" w14:textId="77777777">
        <w:trPr>
          <w:cantSplit/>
        </w:trPr>
        <w:tc>
          <w:tcPr>
            <w:tcW w:w="3417" w:type="dxa"/>
            <w:tcBorders>
              <w:top w:val="nil"/>
              <w:left w:val="single" w:sz="18" w:space="0" w:color="000000"/>
              <w:bottom w:val="nil"/>
              <w:right w:val="single" w:sz="18" w:space="0" w:color="000000"/>
            </w:tcBorders>
            <w:shd w:val="clear" w:color="auto" w:fill="FFFFFF"/>
            <w:hideMark/>
          </w:tcPr>
          <w:p w14:paraId="70A7C9B0"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Overcrowding in temporary shelters</w:t>
            </w:r>
          </w:p>
        </w:tc>
        <w:tc>
          <w:tcPr>
            <w:tcW w:w="810" w:type="dxa"/>
            <w:tcBorders>
              <w:top w:val="nil"/>
              <w:left w:val="single" w:sz="18" w:space="0" w:color="000000"/>
              <w:bottom w:val="nil"/>
              <w:right w:val="single" w:sz="8" w:space="0" w:color="000000"/>
            </w:tcBorders>
            <w:shd w:val="clear" w:color="auto" w:fill="FFFFFF"/>
            <w:hideMark/>
          </w:tcPr>
          <w:p w14:paraId="6FF166B6"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1AFE4509"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2.97</w:t>
            </w:r>
          </w:p>
        </w:tc>
        <w:tc>
          <w:tcPr>
            <w:tcW w:w="1042" w:type="dxa"/>
            <w:tcBorders>
              <w:top w:val="nil"/>
              <w:left w:val="single" w:sz="8" w:space="0" w:color="000000"/>
              <w:bottom w:val="nil"/>
              <w:right w:val="single" w:sz="8" w:space="0" w:color="000000"/>
            </w:tcBorders>
            <w:shd w:val="clear" w:color="auto" w:fill="FFFFFF"/>
            <w:hideMark/>
          </w:tcPr>
          <w:p w14:paraId="27AB39EC"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1.418</w:t>
            </w:r>
          </w:p>
        </w:tc>
        <w:tc>
          <w:tcPr>
            <w:tcW w:w="1059" w:type="dxa"/>
            <w:tcBorders>
              <w:top w:val="nil"/>
              <w:left w:val="single" w:sz="8" w:space="0" w:color="000000"/>
              <w:bottom w:val="nil"/>
              <w:right w:val="single" w:sz="8" w:space="0" w:color="000000"/>
            </w:tcBorders>
            <w:shd w:val="clear" w:color="auto" w:fill="FFFFFF"/>
            <w:hideMark/>
          </w:tcPr>
          <w:p w14:paraId="6ED9C96E"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.058</w:t>
            </w:r>
          </w:p>
        </w:tc>
        <w:tc>
          <w:tcPr>
            <w:tcW w:w="1081" w:type="dxa"/>
            <w:tcBorders>
              <w:top w:val="nil"/>
              <w:left w:val="single" w:sz="8" w:space="0" w:color="000000"/>
              <w:bottom w:val="nil"/>
              <w:right w:val="single" w:sz="8" w:space="0" w:color="000000"/>
            </w:tcBorders>
            <w:shd w:val="clear" w:color="auto" w:fill="FFFFFF"/>
            <w:hideMark/>
          </w:tcPr>
          <w:p w14:paraId="341171BB"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-1.322</w:t>
            </w:r>
          </w:p>
        </w:tc>
      </w:tr>
      <w:tr w:rsidR="00C24CFC" w14:paraId="1FF13269" w14:textId="77777777">
        <w:trPr>
          <w:cantSplit/>
        </w:trPr>
        <w:tc>
          <w:tcPr>
            <w:tcW w:w="3417" w:type="dxa"/>
            <w:tcBorders>
              <w:top w:val="nil"/>
              <w:left w:val="single" w:sz="18" w:space="0" w:color="000000"/>
              <w:bottom w:val="nil"/>
              <w:right w:val="single" w:sz="18" w:space="0" w:color="000000"/>
            </w:tcBorders>
            <w:shd w:val="clear" w:color="auto" w:fill="FFFFFF"/>
            <w:hideMark/>
          </w:tcPr>
          <w:p w14:paraId="179EA33F"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Relief materials were inadequate</w:t>
            </w:r>
          </w:p>
        </w:tc>
        <w:tc>
          <w:tcPr>
            <w:tcW w:w="810" w:type="dxa"/>
            <w:tcBorders>
              <w:top w:val="nil"/>
              <w:left w:val="single" w:sz="18" w:space="0" w:color="000000"/>
              <w:bottom w:val="nil"/>
              <w:right w:val="single" w:sz="8" w:space="0" w:color="000000"/>
            </w:tcBorders>
            <w:shd w:val="clear" w:color="auto" w:fill="FFFFFF"/>
            <w:hideMark/>
          </w:tcPr>
          <w:p w14:paraId="3BE9718B"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05B5AA2E"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2.90</w:t>
            </w:r>
          </w:p>
        </w:tc>
        <w:tc>
          <w:tcPr>
            <w:tcW w:w="1042" w:type="dxa"/>
            <w:tcBorders>
              <w:top w:val="nil"/>
              <w:left w:val="single" w:sz="8" w:space="0" w:color="000000"/>
              <w:bottom w:val="nil"/>
              <w:right w:val="single" w:sz="8" w:space="0" w:color="000000"/>
            </w:tcBorders>
            <w:shd w:val="clear" w:color="auto" w:fill="FFFFFF"/>
            <w:hideMark/>
          </w:tcPr>
          <w:p w14:paraId="254E6188"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1.475</w:t>
            </w:r>
          </w:p>
        </w:tc>
        <w:tc>
          <w:tcPr>
            <w:tcW w:w="1059" w:type="dxa"/>
            <w:tcBorders>
              <w:top w:val="nil"/>
              <w:left w:val="single" w:sz="8" w:space="0" w:color="000000"/>
              <w:bottom w:val="nil"/>
              <w:right w:val="single" w:sz="8" w:space="0" w:color="000000"/>
            </w:tcBorders>
            <w:shd w:val="clear" w:color="auto" w:fill="FFFFFF"/>
            <w:hideMark/>
          </w:tcPr>
          <w:p w14:paraId="4B00686F"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.098</w:t>
            </w:r>
          </w:p>
        </w:tc>
        <w:tc>
          <w:tcPr>
            <w:tcW w:w="1081" w:type="dxa"/>
            <w:tcBorders>
              <w:top w:val="nil"/>
              <w:left w:val="single" w:sz="8" w:space="0" w:color="000000"/>
              <w:bottom w:val="nil"/>
              <w:right w:val="single" w:sz="8" w:space="0" w:color="000000"/>
            </w:tcBorders>
            <w:shd w:val="clear" w:color="auto" w:fill="FFFFFF"/>
            <w:hideMark/>
          </w:tcPr>
          <w:p w14:paraId="69B355D8"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-1.369</w:t>
            </w:r>
          </w:p>
        </w:tc>
      </w:tr>
      <w:tr w:rsidR="00C24CFC" w14:paraId="5C0E1960" w14:textId="77777777">
        <w:trPr>
          <w:cantSplit/>
        </w:trPr>
        <w:tc>
          <w:tcPr>
            <w:tcW w:w="3417" w:type="dxa"/>
            <w:tcBorders>
              <w:top w:val="nil"/>
              <w:left w:val="single" w:sz="18" w:space="0" w:color="000000"/>
              <w:bottom w:val="nil"/>
              <w:right w:val="single" w:sz="18" w:space="0" w:color="000000"/>
            </w:tcBorders>
            <w:shd w:val="clear" w:color="auto" w:fill="FFFFFF"/>
            <w:hideMark/>
          </w:tcPr>
          <w:p w14:paraId="0327B20D"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Poor coordination among response agencies</w:t>
            </w:r>
          </w:p>
        </w:tc>
        <w:tc>
          <w:tcPr>
            <w:tcW w:w="810" w:type="dxa"/>
            <w:tcBorders>
              <w:top w:val="nil"/>
              <w:left w:val="single" w:sz="18" w:space="0" w:color="000000"/>
              <w:bottom w:val="nil"/>
              <w:right w:val="single" w:sz="8" w:space="0" w:color="000000"/>
            </w:tcBorders>
            <w:shd w:val="clear" w:color="auto" w:fill="FFFFFF"/>
            <w:hideMark/>
          </w:tcPr>
          <w:p w14:paraId="24E65046"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32A26613"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3.11</w:t>
            </w:r>
          </w:p>
        </w:tc>
        <w:tc>
          <w:tcPr>
            <w:tcW w:w="1042" w:type="dxa"/>
            <w:tcBorders>
              <w:top w:val="nil"/>
              <w:left w:val="single" w:sz="8" w:space="0" w:color="000000"/>
              <w:bottom w:val="nil"/>
              <w:right w:val="single" w:sz="8" w:space="0" w:color="000000"/>
            </w:tcBorders>
            <w:shd w:val="clear" w:color="auto" w:fill="FFFFFF"/>
            <w:hideMark/>
          </w:tcPr>
          <w:p w14:paraId="1B32ACD0"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1.450</w:t>
            </w:r>
          </w:p>
        </w:tc>
        <w:tc>
          <w:tcPr>
            <w:tcW w:w="1059" w:type="dxa"/>
            <w:tcBorders>
              <w:top w:val="nil"/>
              <w:left w:val="single" w:sz="8" w:space="0" w:color="000000"/>
              <w:bottom w:val="nil"/>
              <w:right w:val="single" w:sz="8" w:space="0" w:color="000000"/>
            </w:tcBorders>
            <w:shd w:val="clear" w:color="auto" w:fill="FFFFFF"/>
            <w:hideMark/>
          </w:tcPr>
          <w:p w14:paraId="021C6D1A"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-.051</w:t>
            </w:r>
          </w:p>
        </w:tc>
        <w:tc>
          <w:tcPr>
            <w:tcW w:w="1081" w:type="dxa"/>
            <w:tcBorders>
              <w:top w:val="nil"/>
              <w:left w:val="single" w:sz="8" w:space="0" w:color="000000"/>
              <w:bottom w:val="nil"/>
              <w:right w:val="single" w:sz="8" w:space="0" w:color="000000"/>
            </w:tcBorders>
            <w:shd w:val="clear" w:color="auto" w:fill="FFFFFF"/>
            <w:hideMark/>
          </w:tcPr>
          <w:p w14:paraId="17922124"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-1.376</w:t>
            </w:r>
          </w:p>
        </w:tc>
      </w:tr>
      <w:tr w:rsidR="00C24CFC" w14:paraId="41072771" w14:textId="77777777">
        <w:trPr>
          <w:cantSplit/>
        </w:trPr>
        <w:tc>
          <w:tcPr>
            <w:tcW w:w="3417" w:type="dxa"/>
            <w:tcBorders>
              <w:top w:val="nil"/>
              <w:left w:val="single" w:sz="18" w:space="0" w:color="000000"/>
              <w:bottom w:val="nil"/>
              <w:right w:val="single" w:sz="18" w:space="0" w:color="000000"/>
            </w:tcBorders>
            <w:shd w:val="clear" w:color="auto" w:fill="FFFFFF"/>
            <w:hideMark/>
          </w:tcPr>
          <w:p w14:paraId="23F06AAB"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Unfair distribution of relief materials</w:t>
            </w:r>
          </w:p>
        </w:tc>
        <w:tc>
          <w:tcPr>
            <w:tcW w:w="810" w:type="dxa"/>
            <w:tcBorders>
              <w:top w:val="nil"/>
              <w:left w:val="single" w:sz="18" w:space="0" w:color="000000"/>
              <w:bottom w:val="nil"/>
              <w:right w:val="single" w:sz="8" w:space="0" w:color="000000"/>
            </w:tcBorders>
            <w:shd w:val="clear" w:color="auto" w:fill="FFFFFF"/>
            <w:hideMark/>
          </w:tcPr>
          <w:p w14:paraId="5938E016"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75F98E25"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3.03</w:t>
            </w:r>
          </w:p>
        </w:tc>
        <w:tc>
          <w:tcPr>
            <w:tcW w:w="1042" w:type="dxa"/>
            <w:tcBorders>
              <w:top w:val="nil"/>
              <w:left w:val="single" w:sz="8" w:space="0" w:color="000000"/>
              <w:bottom w:val="nil"/>
              <w:right w:val="single" w:sz="8" w:space="0" w:color="000000"/>
            </w:tcBorders>
            <w:shd w:val="clear" w:color="auto" w:fill="FFFFFF"/>
            <w:hideMark/>
          </w:tcPr>
          <w:p w14:paraId="01CF1FB3"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1.352</w:t>
            </w:r>
          </w:p>
        </w:tc>
        <w:tc>
          <w:tcPr>
            <w:tcW w:w="1059" w:type="dxa"/>
            <w:tcBorders>
              <w:top w:val="nil"/>
              <w:left w:val="single" w:sz="8" w:space="0" w:color="000000"/>
              <w:bottom w:val="nil"/>
              <w:right w:val="single" w:sz="8" w:space="0" w:color="000000"/>
            </w:tcBorders>
            <w:shd w:val="clear" w:color="auto" w:fill="FFFFFF"/>
            <w:hideMark/>
          </w:tcPr>
          <w:p w14:paraId="01FFCC0E"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-.077</w:t>
            </w:r>
          </w:p>
        </w:tc>
        <w:tc>
          <w:tcPr>
            <w:tcW w:w="1081" w:type="dxa"/>
            <w:tcBorders>
              <w:top w:val="nil"/>
              <w:left w:val="single" w:sz="8" w:space="0" w:color="000000"/>
              <w:bottom w:val="nil"/>
              <w:right w:val="single" w:sz="8" w:space="0" w:color="000000"/>
            </w:tcBorders>
            <w:shd w:val="clear" w:color="auto" w:fill="FFFFFF"/>
            <w:hideMark/>
          </w:tcPr>
          <w:p w14:paraId="4D43E724"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-1.142</w:t>
            </w:r>
          </w:p>
        </w:tc>
      </w:tr>
      <w:tr w:rsidR="00C24CFC" w14:paraId="1D2BF963" w14:textId="77777777">
        <w:trPr>
          <w:cantSplit/>
        </w:trPr>
        <w:tc>
          <w:tcPr>
            <w:tcW w:w="3417" w:type="dxa"/>
            <w:tcBorders>
              <w:top w:val="nil"/>
              <w:left w:val="single" w:sz="18" w:space="0" w:color="000000"/>
              <w:bottom w:val="nil"/>
              <w:right w:val="single" w:sz="18" w:space="0" w:color="000000"/>
            </w:tcBorders>
            <w:shd w:val="clear" w:color="auto" w:fill="FFFFFF"/>
            <w:hideMark/>
          </w:tcPr>
          <w:p w14:paraId="4A80E44E"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Poor road access during flood</w:t>
            </w:r>
          </w:p>
        </w:tc>
        <w:tc>
          <w:tcPr>
            <w:tcW w:w="810" w:type="dxa"/>
            <w:tcBorders>
              <w:top w:val="nil"/>
              <w:left w:val="single" w:sz="18" w:space="0" w:color="000000"/>
              <w:bottom w:val="nil"/>
              <w:right w:val="single" w:sz="8" w:space="0" w:color="000000"/>
            </w:tcBorders>
            <w:shd w:val="clear" w:color="auto" w:fill="FFFFFF"/>
            <w:hideMark/>
          </w:tcPr>
          <w:p w14:paraId="4DC35E66"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5B0955A1"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3.02</w:t>
            </w:r>
          </w:p>
        </w:tc>
        <w:tc>
          <w:tcPr>
            <w:tcW w:w="1042" w:type="dxa"/>
            <w:tcBorders>
              <w:top w:val="nil"/>
              <w:left w:val="single" w:sz="8" w:space="0" w:color="000000"/>
              <w:bottom w:val="nil"/>
              <w:right w:val="single" w:sz="8" w:space="0" w:color="000000"/>
            </w:tcBorders>
            <w:shd w:val="clear" w:color="auto" w:fill="FFFFFF"/>
            <w:hideMark/>
          </w:tcPr>
          <w:p w14:paraId="1026F4E2"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1.412</w:t>
            </w:r>
          </w:p>
        </w:tc>
        <w:tc>
          <w:tcPr>
            <w:tcW w:w="1059" w:type="dxa"/>
            <w:tcBorders>
              <w:top w:val="nil"/>
              <w:left w:val="single" w:sz="8" w:space="0" w:color="000000"/>
              <w:bottom w:val="nil"/>
              <w:right w:val="single" w:sz="8" w:space="0" w:color="000000"/>
            </w:tcBorders>
            <w:shd w:val="clear" w:color="auto" w:fill="FFFFFF"/>
            <w:hideMark/>
          </w:tcPr>
          <w:p w14:paraId="418D2B16"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.026</w:t>
            </w:r>
          </w:p>
        </w:tc>
        <w:tc>
          <w:tcPr>
            <w:tcW w:w="1081" w:type="dxa"/>
            <w:tcBorders>
              <w:top w:val="nil"/>
              <w:left w:val="single" w:sz="8" w:space="0" w:color="000000"/>
              <w:bottom w:val="nil"/>
              <w:right w:val="single" w:sz="8" w:space="0" w:color="000000"/>
            </w:tcBorders>
            <w:shd w:val="clear" w:color="auto" w:fill="FFFFFF"/>
            <w:hideMark/>
          </w:tcPr>
          <w:p w14:paraId="5FBAD28B"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-1.279</w:t>
            </w:r>
          </w:p>
        </w:tc>
      </w:tr>
      <w:tr w:rsidR="00C24CFC" w14:paraId="5C098B62" w14:textId="77777777">
        <w:trPr>
          <w:cantSplit/>
        </w:trPr>
        <w:tc>
          <w:tcPr>
            <w:tcW w:w="3417" w:type="dxa"/>
            <w:tcBorders>
              <w:top w:val="nil"/>
              <w:left w:val="single" w:sz="18" w:space="0" w:color="000000"/>
              <w:bottom w:val="nil"/>
              <w:right w:val="single" w:sz="18" w:space="0" w:color="000000"/>
            </w:tcBorders>
            <w:shd w:val="clear" w:color="auto" w:fill="FFFFFF"/>
            <w:hideMark/>
          </w:tcPr>
          <w:p w14:paraId="3B0B0B1B"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 xml:space="preserve">Inadequate medical emergency </w:t>
            </w:r>
            <w:r>
              <w:rPr>
                <w:rFonts w:ascii="Times New Roman" w:hAnsi="Times New Roman" w:cs="Times New Roman"/>
              </w:rPr>
              <w:t>services</w:t>
            </w:r>
          </w:p>
        </w:tc>
        <w:tc>
          <w:tcPr>
            <w:tcW w:w="810" w:type="dxa"/>
            <w:tcBorders>
              <w:top w:val="nil"/>
              <w:left w:val="single" w:sz="18" w:space="0" w:color="000000"/>
              <w:bottom w:val="nil"/>
              <w:right w:val="single" w:sz="8" w:space="0" w:color="000000"/>
            </w:tcBorders>
            <w:shd w:val="clear" w:color="auto" w:fill="FFFFFF"/>
            <w:hideMark/>
          </w:tcPr>
          <w:p w14:paraId="31B5D0DE"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271AA81F"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2.96</w:t>
            </w:r>
          </w:p>
        </w:tc>
        <w:tc>
          <w:tcPr>
            <w:tcW w:w="1042" w:type="dxa"/>
            <w:tcBorders>
              <w:top w:val="nil"/>
              <w:left w:val="single" w:sz="8" w:space="0" w:color="000000"/>
              <w:bottom w:val="nil"/>
              <w:right w:val="single" w:sz="8" w:space="0" w:color="000000"/>
            </w:tcBorders>
            <w:shd w:val="clear" w:color="auto" w:fill="FFFFFF"/>
            <w:hideMark/>
          </w:tcPr>
          <w:p w14:paraId="44B06E13"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1.485</w:t>
            </w:r>
          </w:p>
        </w:tc>
        <w:tc>
          <w:tcPr>
            <w:tcW w:w="1059" w:type="dxa"/>
            <w:tcBorders>
              <w:top w:val="nil"/>
              <w:left w:val="single" w:sz="8" w:space="0" w:color="000000"/>
              <w:bottom w:val="nil"/>
              <w:right w:val="single" w:sz="8" w:space="0" w:color="000000"/>
            </w:tcBorders>
            <w:shd w:val="clear" w:color="auto" w:fill="FFFFFF"/>
            <w:hideMark/>
          </w:tcPr>
          <w:p w14:paraId="3F7BAD50"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-.005</w:t>
            </w:r>
          </w:p>
        </w:tc>
        <w:tc>
          <w:tcPr>
            <w:tcW w:w="1081" w:type="dxa"/>
            <w:tcBorders>
              <w:top w:val="nil"/>
              <w:left w:val="single" w:sz="8" w:space="0" w:color="000000"/>
              <w:bottom w:val="nil"/>
              <w:right w:val="single" w:sz="8" w:space="0" w:color="000000"/>
            </w:tcBorders>
            <w:shd w:val="clear" w:color="auto" w:fill="FFFFFF"/>
            <w:hideMark/>
          </w:tcPr>
          <w:p w14:paraId="06B4AACF"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-1.417</w:t>
            </w:r>
          </w:p>
        </w:tc>
      </w:tr>
      <w:tr w:rsidR="00C24CFC" w14:paraId="41BA4273" w14:textId="77777777">
        <w:trPr>
          <w:cantSplit/>
        </w:trPr>
        <w:tc>
          <w:tcPr>
            <w:tcW w:w="3417" w:type="dxa"/>
            <w:tcBorders>
              <w:top w:val="nil"/>
              <w:left w:val="single" w:sz="18" w:space="0" w:color="000000"/>
              <w:bottom w:val="nil"/>
              <w:right w:val="single" w:sz="18" w:space="0" w:color="000000"/>
            </w:tcBorders>
            <w:shd w:val="clear" w:color="auto" w:fill="FFFFFF"/>
            <w:hideMark/>
          </w:tcPr>
          <w:p w14:paraId="753513AD" w14:textId="77777777" w:rsidR="00C24CFC" w:rsidRDefault="00AF004B">
            <w:pPr>
              <w:spacing w:after="0" w:line="276" w:lineRule="auto"/>
              <w:jc w:val="both"/>
              <w:rPr>
                <w:rFonts w:ascii="Times New Roman" w:hAnsi="Times New Roman" w:cs="Times New Roman"/>
              </w:rPr>
            </w:pPr>
            <w:r>
              <w:rPr>
                <w:rFonts w:ascii="Times New Roman" w:hAnsi="Times New Roman" w:cs="Times New Roman"/>
              </w:rPr>
              <w:t>Inadequate security at evacuation centres</w:t>
            </w:r>
          </w:p>
        </w:tc>
        <w:tc>
          <w:tcPr>
            <w:tcW w:w="810" w:type="dxa"/>
            <w:tcBorders>
              <w:top w:val="nil"/>
              <w:left w:val="single" w:sz="18" w:space="0" w:color="000000"/>
              <w:bottom w:val="nil"/>
              <w:right w:val="single" w:sz="8" w:space="0" w:color="000000"/>
            </w:tcBorders>
            <w:shd w:val="clear" w:color="auto" w:fill="FFFFFF"/>
            <w:hideMark/>
          </w:tcPr>
          <w:p w14:paraId="1040D554"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nil"/>
              <w:right w:val="single" w:sz="8" w:space="0" w:color="000000"/>
            </w:tcBorders>
            <w:shd w:val="clear" w:color="auto" w:fill="FFFFFF"/>
            <w:hideMark/>
          </w:tcPr>
          <w:p w14:paraId="2244A633"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3.01</w:t>
            </w:r>
          </w:p>
        </w:tc>
        <w:tc>
          <w:tcPr>
            <w:tcW w:w="1042" w:type="dxa"/>
            <w:tcBorders>
              <w:top w:val="nil"/>
              <w:left w:val="single" w:sz="8" w:space="0" w:color="000000"/>
              <w:bottom w:val="nil"/>
              <w:right w:val="single" w:sz="8" w:space="0" w:color="000000"/>
            </w:tcBorders>
            <w:shd w:val="clear" w:color="auto" w:fill="FFFFFF"/>
            <w:hideMark/>
          </w:tcPr>
          <w:p w14:paraId="3EA8AC39"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1.423</w:t>
            </w:r>
          </w:p>
        </w:tc>
        <w:tc>
          <w:tcPr>
            <w:tcW w:w="1059" w:type="dxa"/>
            <w:tcBorders>
              <w:top w:val="nil"/>
              <w:left w:val="single" w:sz="8" w:space="0" w:color="000000"/>
              <w:bottom w:val="nil"/>
              <w:right w:val="single" w:sz="8" w:space="0" w:color="000000"/>
            </w:tcBorders>
            <w:shd w:val="clear" w:color="auto" w:fill="FFFFFF"/>
            <w:hideMark/>
          </w:tcPr>
          <w:p w14:paraId="67E3DB4D"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.022</w:t>
            </w:r>
          </w:p>
        </w:tc>
        <w:tc>
          <w:tcPr>
            <w:tcW w:w="1081" w:type="dxa"/>
            <w:tcBorders>
              <w:top w:val="nil"/>
              <w:left w:val="single" w:sz="8" w:space="0" w:color="000000"/>
              <w:bottom w:val="nil"/>
              <w:right w:val="single" w:sz="8" w:space="0" w:color="000000"/>
            </w:tcBorders>
            <w:shd w:val="clear" w:color="auto" w:fill="FFFFFF"/>
            <w:hideMark/>
          </w:tcPr>
          <w:p w14:paraId="2B60F596"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-1.330</w:t>
            </w:r>
          </w:p>
        </w:tc>
      </w:tr>
      <w:tr w:rsidR="00C24CFC" w14:paraId="22A02FC2" w14:textId="77777777">
        <w:trPr>
          <w:cantSplit/>
        </w:trPr>
        <w:tc>
          <w:tcPr>
            <w:tcW w:w="3417" w:type="dxa"/>
            <w:tcBorders>
              <w:top w:val="nil"/>
              <w:left w:val="single" w:sz="18" w:space="0" w:color="000000"/>
              <w:bottom w:val="single" w:sz="18" w:space="0" w:color="000000"/>
              <w:right w:val="single" w:sz="18" w:space="0" w:color="000000"/>
            </w:tcBorders>
            <w:shd w:val="clear" w:color="auto" w:fill="FFFFFF"/>
            <w:vAlign w:val="center"/>
            <w:hideMark/>
          </w:tcPr>
          <w:p w14:paraId="21941025"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Valid N (listwise)</w:t>
            </w:r>
          </w:p>
        </w:tc>
        <w:tc>
          <w:tcPr>
            <w:tcW w:w="810" w:type="dxa"/>
            <w:tcBorders>
              <w:top w:val="nil"/>
              <w:left w:val="single" w:sz="18" w:space="0" w:color="000000"/>
              <w:bottom w:val="single" w:sz="18" w:space="0" w:color="000000"/>
              <w:right w:val="single" w:sz="8" w:space="0" w:color="000000"/>
            </w:tcBorders>
            <w:shd w:val="clear" w:color="auto" w:fill="FFFFFF"/>
            <w:hideMark/>
          </w:tcPr>
          <w:p w14:paraId="483C112A" w14:textId="77777777" w:rsidR="00C24CFC" w:rsidRDefault="00AF004B">
            <w:pPr>
              <w:autoSpaceDE w:val="0"/>
              <w:autoSpaceDN w:val="0"/>
              <w:adjustRightInd w:val="0"/>
              <w:spacing w:after="0" w:line="276" w:lineRule="auto"/>
              <w:ind w:left="60" w:right="60"/>
              <w:jc w:val="both"/>
              <w:rPr>
                <w:rFonts w:ascii="Times New Roman" w:hAnsi="Times New Roman" w:cs="Times New Roman"/>
              </w:rPr>
            </w:pPr>
            <w:r>
              <w:rPr>
                <w:rFonts w:ascii="Times New Roman" w:hAnsi="Times New Roman" w:cs="Times New Roman"/>
              </w:rPr>
              <w:t>365</w:t>
            </w:r>
          </w:p>
        </w:tc>
        <w:tc>
          <w:tcPr>
            <w:tcW w:w="810" w:type="dxa"/>
            <w:tcBorders>
              <w:top w:val="nil"/>
              <w:left w:val="single" w:sz="8" w:space="0" w:color="000000"/>
              <w:bottom w:val="single" w:sz="18" w:space="0" w:color="000000"/>
              <w:right w:val="single" w:sz="8" w:space="0" w:color="000000"/>
            </w:tcBorders>
            <w:shd w:val="clear" w:color="auto" w:fill="FFFFFF"/>
          </w:tcPr>
          <w:p w14:paraId="436B5B2A" w14:textId="77777777" w:rsidR="00C24CFC" w:rsidRDefault="00C24CFC">
            <w:pPr>
              <w:autoSpaceDE w:val="0"/>
              <w:autoSpaceDN w:val="0"/>
              <w:adjustRightInd w:val="0"/>
              <w:spacing w:after="0" w:line="276" w:lineRule="auto"/>
              <w:jc w:val="both"/>
              <w:rPr>
                <w:rFonts w:ascii="Times New Roman" w:hAnsi="Times New Roman" w:cs="Times New Roman"/>
              </w:rPr>
            </w:pPr>
          </w:p>
        </w:tc>
        <w:tc>
          <w:tcPr>
            <w:tcW w:w="1042" w:type="dxa"/>
            <w:tcBorders>
              <w:top w:val="nil"/>
              <w:left w:val="single" w:sz="8" w:space="0" w:color="000000"/>
              <w:bottom w:val="single" w:sz="18" w:space="0" w:color="000000"/>
              <w:right w:val="single" w:sz="8" w:space="0" w:color="000000"/>
            </w:tcBorders>
            <w:shd w:val="clear" w:color="auto" w:fill="FFFFFF"/>
          </w:tcPr>
          <w:p w14:paraId="08952B1C" w14:textId="77777777" w:rsidR="00C24CFC" w:rsidRDefault="00C24CFC">
            <w:pPr>
              <w:autoSpaceDE w:val="0"/>
              <w:autoSpaceDN w:val="0"/>
              <w:adjustRightInd w:val="0"/>
              <w:spacing w:after="0" w:line="276" w:lineRule="auto"/>
              <w:jc w:val="both"/>
              <w:rPr>
                <w:rFonts w:ascii="Times New Roman" w:hAnsi="Times New Roman" w:cs="Times New Roman"/>
              </w:rPr>
            </w:pPr>
          </w:p>
        </w:tc>
        <w:tc>
          <w:tcPr>
            <w:tcW w:w="1059" w:type="dxa"/>
            <w:tcBorders>
              <w:top w:val="nil"/>
              <w:left w:val="single" w:sz="8" w:space="0" w:color="000000"/>
              <w:bottom w:val="single" w:sz="18" w:space="0" w:color="000000"/>
              <w:right w:val="single" w:sz="8" w:space="0" w:color="000000"/>
            </w:tcBorders>
            <w:shd w:val="clear" w:color="auto" w:fill="FFFFFF"/>
          </w:tcPr>
          <w:p w14:paraId="5DA38446" w14:textId="77777777" w:rsidR="00C24CFC" w:rsidRDefault="00C24CFC">
            <w:pPr>
              <w:autoSpaceDE w:val="0"/>
              <w:autoSpaceDN w:val="0"/>
              <w:adjustRightInd w:val="0"/>
              <w:spacing w:after="0" w:line="276" w:lineRule="auto"/>
              <w:jc w:val="both"/>
              <w:rPr>
                <w:rFonts w:ascii="Times New Roman" w:hAnsi="Times New Roman" w:cs="Times New Roman"/>
              </w:rPr>
            </w:pPr>
          </w:p>
        </w:tc>
        <w:tc>
          <w:tcPr>
            <w:tcW w:w="1081" w:type="dxa"/>
            <w:tcBorders>
              <w:top w:val="nil"/>
              <w:left w:val="single" w:sz="8" w:space="0" w:color="000000"/>
              <w:bottom w:val="single" w:sz="18" w:space="0" w:color="000000"/>
              <w:right w:val="single" w:sz="8" w:space="0" w:color="000000"/>
            </w:tcBorders>
            <w:shd w:val="clear" w:color="auto" w:fill="FFFFFF"/>
          </w:tcPr>
          <w:p w14:paraId="6516469F" w14:textId="77777777" w:rsidR="00C24CFC" w:rsidRDefault="00C24CFC">
            <w:pPr>
              <w:autoSpaceDE w:val="0"/>
              <w:autoSpaceDN w:val="0"/>
              <w:adjustRightInd w:val="0"/>
              <w:spacing w:after="0" w:line="276" w:lineRule="auto"/>
              <w:jc w:val="both"/>
              <w:rPr>
                <w:rFonts w:ascii="Times New Roman" w:hAnsi="Times New Roman" w:cs="Times New Roman"/>
              </w:rPr>
            </w:pPr>
          </w:p>
        </w:tc>
      </w:tr>
    </w:tbl>
    <w:p w14:paraId="7654F1D3" w14:textId="77777777" w:rsidR="00C24CFC" w:rsidRDefault="00AF004B">
      <w:pPr>
        <w:spacing w:after="0" w:line="276"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Source: Researcher’s Field Survey, (2025)</w:t>
      </w:r>
    </w:p>
    <w:p w14:paraId="33CE2F61" w14:textId="154A86E5" w:rsidR="00C24CFC" w:rsidRDefault="00AF004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mean values range between 2.90 and 3.20, indicating moderate inadequacies in emergency response mechanisms. Evacuation support inadequacy recorded the highest mean (M = 3.20), suggesting that many residents experienced insufficient assistance during ev</w:t>
      </w:r>
      <w:r>
        <w:rPr>
          <w:rFonts w:ascii="Times New Roman" w:eastAsia="Times New Roman" w:hAnsi="Times New Roman" w:cs="Times New Roman"/>
          <w:sz w:val="24"/>
          <w:szCs w:val="24"/>
        </w:rPr>
        <w:t>acuation. Poor coordination among response agencies (M = 3.11) further highlights institutional inefficiencies during emergency operations. Unfair distribution of relief materials (M = 3.03) and poor road access during the flood (M = 3.02) indicate logisti</w:t>
      </w:r>
      <w:r>
        <w:rPr>
          <w:rFonts w:ascii="Times New Roman" w:eastAsia="Times New Roman" w:hAnsi="Times New Roman" w:cs="Times New Roman"/>
          <w:sz w:val="24"/>
          <w:szCs w:val="24"/>
        </w:rPr>
        <w:t xml:space="preserve">cal and equity challenges in relief delivery. Delayed emergency response (M = 2.92) and inadequate relief materials (M = 2.90) suggest capacity constraints among responding agencies. The consistently negative kurtosis values again indicate wide variations </w:t>
      </w:r>
      <w:r>
        <w:rPr>
          <w:rFonts w:ascii="Times New Roman" w:eastAsia="Times New Roman" w:hAnsi="Times New Roman" w:cs="Times New Roman"/>
          <w:sz w:val="24"/>
          <w:szCs w:val="24"/>
        </w:rPr>
        <w:t xml:space="preserve">in respondents’ experiences. Collectively, Table </w:t>
      </w:r>
      <w:r w:rsidR="00986021">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shows that response efforts during the flood were constrained by coordination, logistics, and service delivery challenges.</w:t>
      </w:r>
    </w:p>
    <w:p w14:paraId="07FC5C4E" w14:textId="77777777" w:rsidR="00C24CFC" w:rsidRDefault="00AF004B">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776DDB6C" w14:textId="77777777" w:rsidR="00C24CFC" w:rsidRDefault="00AF004B">
      <w:pPr>
        <w:spacing w:line="276" w:lineRule="auto"/>
        <w:jc w:val="both"/>
        <w:rPr>
          <w:rFonts w:ascii="Times New Roman" w:hAnsi="Times New Roman" w:cs="Times New Roman"/>
          <w:sz w:val="24"/>
          <w:szCs w:val="24"/>
        </w:rPr>
      </w:pPr>
      <w:r>
        <w:rPr>
          <w:rFonts w:ascii="Times New Roman" w:hAnsi="Times New Roman" w:cs="Times New Roman"/>
          <w:sz w:val="24"/>
          <w:szCs w:val="24"/>
        </w:rPr>
        <w:t>The 2022 Makurdi flood showed that flood disaster management in Benue S</w:t>
      </w:r>
      <w:r>
        <w:rPr>
          <w:rFonts w:ascii="Times New Roman" w:hAnsi="Times New Roman" w:cs="Times New Roman"/>
          <w:sz w:val="24"/>
          <w:szCs w:val="24"/>
        </w:rPr>
        <w:t xml:space="preserve">tate was only moderately effective. Households relied heavily on physical measures like sandbags and drainage clearing, while early warnings were often delayed, poorly communicated, or not received at all. Response actions were largely reactive, with many </w:t>
      </w:r>
      <w:r>
        <w:rPr>
          <w:rFonts w:ascii="Times New Roman" w:hAnsi="Times New Roman" w:cs="Times New Roman"/>
          <w:sz w:val="24"/>
          <w:szCs w:val="24"/>
        </w:rPr>
        <w:t xml:space="preserve">residents staying at home, and evacuation and relief efforts were constrained by weak institutional coordination, inadequate shelters, and inequitable distribution of aid. Recovery was short‑term and unsustainable, leaving communities </w:t>
      </w:r>
      <w:r>
        <w:rPr>
          <w:rFonts w:ascii="Times New Roman" w:hAnsi="Times New Roman" w:cs="Times New Roman"/>
          <w:sz w:val="24"/>
          <w:szCs w:val="24"/>
        </w:rPr>
        <w:lastRenderedPageBreak/>
        <w:t xml:space="preserve">vulnerable to future </w:t>
      </w:r>
      <w:r>
        <w:rPr>
          <w:rFonts w:ascii="Times New Roman" w:hAnsi="Times New Roman" w:cs="Times New Roman"/>
          <w:sz w:val="24"/>
          <w:szCs w:val="24"/>
        </w:rPr>
        <w:t>floods. Overall, preparedness, response, and recovery were limited by weak early warning systems, poor drainage maintenance, low household readiness, and fragmented institutional collaboration.</w:t>
      </w:r>
    </w:p>
    <w:p w14:paraId="23B81DB7" w14:textId="77777777" w:rsidR="00986021" w:rsidRDefault="00986021" w:rsidP="00986021">
      <w:pPr>
        <w:pStyle w:val="ListParagraph"/>
        <w:spacing w:line="276" w:lineRule="auto"/>
        <w:ind w:left="540"/>
        <w:jc w:val="both"/>
        <w:rPr>
          <w:rFonts w:ascii="Times New Roman" w:hAnsi="Times New Roman" w:cs="Times New Roman"/>
          <w:sz w:val="24"/>
          <w:szCs w:val="24"/>
        </w:rPr>
      </w:pPr>
      <w:bookmarkStart w:id="3" w:name="_GoBack"/>
      <w:bookmarkEnd w:id="3"/>
    </w:p>
    <w:p w14:paraId="5F67E8FF" w14:textId="77777777" w:rsidR="00C24CFC" w:rsidRDefault="00AF004B">
      <w:pPr>
        <w:jc w:val="both"/>
        <w:rPr>
          <w:rFonts w:ascii="Times New Roman" w:hAnsi="Times New Roman" w:cs="Times New Roman"/>
          <w:b/>
          <w:bCs/>
          <w:sz w:val="24"/>
          <w:szCs w:val="24"/>
        </w:rPr>
      </w:pPr>
      <w:r>
        <w:rPr>
          <w:rFonts w:ascii="Times New Roman" w:hAnsi="Times New Roman" w:cs="Times New Roman"/>
          <w:b/>
          <w:bCs/>
          <w:sz w:val="24"/>
          <w:szCs w:val="24"/>
        </w:rPr>
        <w:t xml:space="preserve">References </w:t>
      </w:r>
    </w:p>
    <w:p w14:paraId="30627300"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Abaje, I. B., Ati, O. F., &amp; Iguisi, E. O. (2015). Floods and their impact on rural households in Benue State,</w:t>
      </w:r>
      <w:r>
        <w:rPr>
          <w:rFonts w:ascii="Times New Roman" w:hAnsi="Times New Roman" w:cs="Times New Roman"/>
          <w:sz w:val="24"/>
          <w:szCs w:val="24"/>
        </w:rPr>
        <w:t xml:space="preserve"> Nigeria. </w:t>
      </w:r>
      <w:r>
        <w:rPr>
          <w:rFonts w:ascii="Times New Roman" w:hAnsi="Times New Roman" w:cs="Times New Roman"/>
          <w:i/>
          <w:iCs/>
          <w:sz w:val="24"/>
          <w:szCs w:val="24"/>
        </w:rPr>
        <w:t>Journal of Geography and Regional Planning</w:t>
      </w:r>
      <w:r>
        <w:rPr>
          <w:rFonts w:ascii="Times New Roman" w:hAnsi="Times New Roman" w:cs="Times New Roman"/>
          <w:sz w:val="24"/>
          <w:szCs w:val="24"/>
        </w:rPr>
        <w:t>, 8(2), 32–40.</w:t>
      </w:r>
    </w:p>
    <w:p w14:paraId="4BE2A436"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Adelekan, I. O. (2016). Flood risk and vulnerability in Nigeria: A review of the literature. Environmental Hazards, 15(3), 213–228. </w:t>
      </w:r>
    </w:p>
    <w:p w14:paraId="50C283F5"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Adelekan, I. O. (2022). Flood preparedness and response </w:t>
      </w:r>
      <w:r>
        <w:rPr>
          <w:rFonts w:ascii="Times New Roman" w:hAnsi="Times New Roman" w:cs="Times New Roman"/>
          <w:sz w:val="24"/>
          <w:szCs w:val="24"/>
        </w:rPr>
        <w:t xml:space="preserve">in Nigeria: Challenges and prospects. </w:t>
      </w:r>
      <w:r>
        <w:rPr>
          <w:rFonts w:ascii="Times New Roman" w:hAnsi="Times New Roman" w:cs="Times New Roman"/>
          <w:i/>
          <w:iCs/>
          <w:sz w:val="24"/>
          <w:szCs w:val="24"/>
        </w:rPr>
        <w:t>International Journal of Disaster Risk Reduction</w:t>
      </w:r>
      <w:r>
        <w:rPr>
          <w:rFonts w:ascii="Times New Roman" w:hAnsi="Times New Roman" w:cs="Times New Roman"/>
          <w:sz w:val="24"/>
          <w:szCs w:val="24"/>
        </w:rPr>
        <w:t xml:space="preserve">, 66, 102596. </w:t>
      </w:r>
    </w:p>
    <w:p w14:paraId="514D2DC3"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Aderogba, K. A. (2023). Post‑flood recovery and livelihood resilience in Nigerian urban centers. GeoJournal, 88(1), 101–119. </w:t>
      </w:r>
    </w:p>
    <w:p w14:paraId="18E170ED"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Agada, S., &amp; Zuwu, G. (2021).</w:t>
      </w:r>
      <w:r>
        <w:rPr>
          <w:rFonts w:ascii="Times New Roman" w:hAnsi="Times New Roman" w:cs="Times New Roman"/>
          <w:sz w:val="24"/>
          <w:szCs w:val="24"/>
        </w:rPr>
        <w:t xml:space="preserve"> Early warning systems and community awareness in flood‑prone areas of Nigeria. </w:t>
      </w:r>
      <w:r>
        <w:rPr>
          <w:rFonts w:ascii="Times New Roman" w:hAnsi="Times New Roman" w:cs="Times New Roman"/>
          <w:i/>
          <w:iCs/>
          <w:sz w:val="24"/>
          <w:szCs w:val="24"/>
        </w:rPr>
        <w:t>Journal of Environmental Management and Safety</w:t>
      </w:r>
      <w:r>
        <w:rPr>
          <w:rFonts w:ascii="Times New Roman" w:hAnsi="Times New Roman" w:cs="Times New Roman"/>
          <w:sz w:val="24"/>
          <w:szCs w:val="24"/>
        </w:rPr>
        <w:t>, 12(4), 45–58.</w:t>
      </w:r>
    </w:p>
    <w:p w14:paraId="1BB5FAD5"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Agbor, C. F., Odoh, B. I., &amp; Okeke, C. U. (2019). Urban planning and flood vulnerability in Makurdi, Nigeria. </w:t>
      </w:r>
      <w:r>
        <w:rPr>
          <w:rFonts w:ascii="Times New Roman" w:hAnsi="Times New Roman" w:cs="Times New Roman"/>
          <w:i/>
          <w:iCs/>
          <w:sz w:val="24"/>
          <w:szCs w:val="24"/>
        </w:rPr>
        <w:t>Journal of Urban Affairs</w:t>
      </w:r>
      <w:r>
        <w:rPr>
          <w:rFonts w:ascii="Times New Roman" w:hAnsi="Times New Roman" w:cs="Times New Roman"/>
          <w:sz w:val="24"/>
          <w:szCs w:val="24"/>
        </w:rPr>
        <w:t xml:space="preserve">, 41(6), 789–805. </w:t>
      </w:r>
    </w:p>
    <w:p w14:paraId="2F6482D7"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Alexander, D. (2002). Principles of emergency planning and management. Oxford University Press.</w:t>
      </w:r>
    </w:p>
    <w:p w14:paraId="3DFC3431"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Alexander, D. (2017). Disaster and emergency: Definitions and differences. In Handbook of Disaster Research (pp. 3–18</w:t>
      </w:r>
      <w:r>
        <w:rPr>
          <w:rFonts w:ascii="Times New Roman" w:hAnsi="Times New Roman" w:cs="Times New Roman"/>
          <w:sz w:val="24"/>
          <w:szCs w:val="24"/>
        </w:rPr>
        <w:t>). Springer.</w:t>
      </w:r>
    </w:p>
    <w:p w14:paraId="0F6B1D96"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Anyanyu, J. C. (2025). Assessment of flood management institutions in Nigeria: A case study of Benue State. </w:t>
      </w:r>
      <w:r>
        <w:rPr>
          <w:rFonts w:ascii="Times New Roman" w:hAnsi="Times New Roman" w:cs="Times New Roman"/>
          <w:i/>
          <w:iCs/>
          <w:sz w:val="24"/>
          <w:szCs w:val="24"/>
        </w:rPr>
        <w:t>Nigerian Journal of Environmental Studies</w:t>
      </w:r>
      <w:r>
        <w:rPr>
          <w:rFonts w:ascii="Times New Roman" w:hAnsi="Times New Roman" w:cs="Times New Roman"/>
          <w:sz w:val="24"/>
          <w:szCs w:val="24"/>
        </w:rPr>
        <w:t>, 14(1), 22–35.</w:t>
      </w:r>
    </w:p>
    <w:p w14:paraId="1B5AB88B"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Benue State Emergency Management Agency (SEMA). (2022). 2022 Flood Situation R</w:t>
      </w:r>
      <w:r>
        <w:rPr>
          <w:rFonts w:ascii="Times New Roman" w:hAnsi="Times New Roman" w:cs="Times New Roman"/>
          <w:sz w:val="24"/>
          <w:szCs w:val="24"/>
        </w:rPr>
        <w:t>eport. Makurdi: Benue SEMA.</w:t>
      </w:r>
    </w:p>
    <w:p w14:paraId="0266770E"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Bridge, A., &amp; Oguno, A. (2023). Community‑driven flood control measures and their perceived effectiveness in Nigeria. </w:t>
      </w:r>
      <w:r>
        <w:rPr>
          <w:rFonts w:ascii="Times New Roman" w:hAnsi="Times New Roman" w:cs="Times New Roman"/>
          <w:i/>
          <w:iCs/>
          <w:sz w:val="24"/>
          <w:szCs w:val="24"/>
        </w:rPr>
        <w:t>International Journal of Disaster Resilience</w:t>
      </w:r>
      <w:r>
        <w:rPr>
          <w:rFonts w:ascii="Times New Roman" w:hAnsi="Times New Roman" w:cs="Times New Roman"/>
          <w:sz w:val="24"/>
          <w:szCs w:val="24"/>
        </w:rPr>
        <w:t>, 9(2), 112–128.</w:t>
      </w:r>
    </w:p>
    <w:p w14:paraId="2FF1FD4C"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Chambers, R., &amp; Conway, G. R. (1992). Sustainable</w:t>
      </w:r>
      <w:r>
        <w:rPr>
          <w:rFonts w:ascii="Times New Roman" w:hAnsi="Times New Roman" w:cs="Times New Roman"/>
          <w:sz w:val="24"/>
          <w:szCs w:val="24"/>
        </w:rPr>
        <w:t xml:space="preserve"> rural livelihoods: Practical concepts for the 21st century. Institute of Development Studies, University of Sussex.</w:t>
      </w:r>
    </w:p>
    <w:p w14:paraId="718F22B4"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Coppola, D. P. (2021). Introduction to international disaster management (4th ed.). Butterworth‑Heinemann.</w:t>
      </w:r>
    </w:p>
    <w:p w14:paraId="1B3338EC"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Cutter, S. L., Barnes, L., Berry</w:t>
      </w:r>
      <w:r>
        <w:rPr>
          <w:rFonts w:ascii="Times New Roman" w:hAnsi="Times New Roman" w:cs="Times New Roman"/>
          <w:sz w:val="24"/>
          <w:szCs w:val="24"/>
        </w:rPr>
        <w:t>, M., Burton, C., Evans, E., Tate, E., &amp; Webb, J. (2016). A place‑based model for understanding community resilience to natural disasters. Global Environmental Change, 18(4), 598–606.</w:t>
      </w:r>
    </w:p>
    <w:p w14:paraId="171B6E02"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lastRenderedPageBreak/>
        <w:t>Department for International Development (DFID). (1999). Sustainable liv</w:t>
      </w:r>
      <w:r>
        <w:rPr>
          <w:rFonts w:ascii="Times New Roman" w:hAnsi="Times New Roman" w:cs="Times New Roman"/>
          <w:sz w:val="24"/>
          <w:szCs w:val="24"/>
        </w:rPr>
        <w:t>elihoods guidance sheets. London: DFID.</w:t>
      </w:r>
    </w:p>
    <w:p w14:paraId="12580604"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Douglas, I., Garvin, S., Lawson, N., Richards, J., Tippett, J., &amp; White, I. (2020). Urban flood risk and climate change: A global perspective. Environmental Research Letters, 15(5), 053001. </w:t>
      </w:r>
    </w:p>
    <w:p w14:paraId="55EB7F46"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Elum, Z. A., &amp; Lawal, O. </w:t>
      </w:r>
      <w:r>
        <w:rPr>
          <w:rFonts w:ascii="Times New Roman" w:hAnsi="Times New Roman" w:cs="Times New Roman"/>
          <w:sz w:val="24"/>
          <w:szCs w:val="24"/>
        </w:rPr>
        <w:t>(2022). Flood risk perception and adaptive capacity of urban households in Nigeria. Environmental Science &amp; Policy, 131, 45–53.</w:t>
      </w:r>
    </w:p>
    <w:p w14:paraId="467E86A2"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Etuonovbe, A. K. (2011). Drainage infrastructure and flood management in Nigerian cities. </w:t>
      </w:r>
      <w:r>
        <w:rPr>
          <w:rFonts w:ascii="Times New Roman" w:hAnsi="Times New Roman" w:cs="Times New Roman"/>
          <w:i/>
          <w:iCs/>
          <w:sz w:val="24"/>
          <w:szCs w:val="24"/>
        </w:rPr>
        <w:t>Journal of Water Resources and Environ</w:t>
      </w:r>
      <w:r>
        <w:rPr>
          <w:rFonts w:ascii="Times New Roman" w:hAnsi="Times New Roman" w:cs="Times New Roman"/>
          <w:i/>
          <w:iCs/>
          <w:sz w:val="24"/>
          <w:szCs w:val="24"/>
        </w:rPr>
        <w:t>mental Engineering</w:t>
      </w:r>
      <w:r>
        <w:rPr>
          <w:rFonts w:ascii="Times New Roman" w:hAnsi="Times New Roman" w:cs="Times New Roman"/>
          <w:sz w:val="24"/>
          <w:szCs w:val="24"/>
        </w:rPr>
        <w:t>, 3(5), 210–218.</w:t>
      </w:r>
    </w:p>
    <w:p w14:paraId="7EFFC565"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Haddow, G. D., Bullock, J. A., &amp; Coppola, D. P. (2020). Introduction to emergency management (6th ed.). Butterworth‑Heinemann.</w:t>
      </w:r>
    </w:p>
    <w:p w14:paraId="3544BE03"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Hooijer, A., Klijn, F., &amp; Kwadijk, J. (2021). Flood risk management in high‑income countries: </w:t>
      </w:r>
      <w:r>
        <w:rPr>
          <w:rFonts w:ascii="Times New Roman" w:hAnsi="Times New Roman" w:cs="Times New Roman"/>
          <w:sz w:val="24"/>
          <w:szCs w:val="24"/>
        </w:rPr>
        <w:t>Lessons for developing nations. Water Policy, 23(2), 245–262. (link unavailable)</w:t>
      </w:r>
    </w:p>
    <w:p w14:paraId="293A388E"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IFRC (International Federation of Red Cross and Red Crescent Societies). (2020). World Disasters Report 2020: Focus on response. Geneva: IFRC.</w:t>
      </w:r>
    </w:p>
    <w:p w14:paraId="399873A8"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IPCC (Intergovernmental Panel on</w:t>
      </w:r>
      <w:r>
        <w:rPr>
          <w:rFonts w:ascii="Times New Roman" w:hAnsi="Times New Roman" w:cs="Times New Roman"/>
          <w:sz w:val="24"/>
          <w:szCs w:val="24"/>
        </w:rPr>
        <w:t xml:space="preserve"> Climate Change). (2021). Climate Change 2021: The Physical Science Basis. Contribution of Working Group I to the Sixth Assessment Report. Cambridge University Press.</w:t>
      </w:r>
    </w:p>
    <w:p w14:paraId="2899C63B"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Ishaya, S., Nwagbo, E., &amp; Adeyemi, O. (2014). Early warning and flood preparedness in Mak</w:t>
      </w:r>
      <w:r>
        <w:rPr>
          <w:rFonts w:ascii="Times New Roman" w:hAnsi="Times New Roman" w:cs="Times New Roman"/>
          <w:sz w:val="24"/>
          <w:szCs w:val="24"/>
        </w:rPr>
        <w:t xml:space="preserve">urdi, Nigeria. </w:t>
      </w:r>
      <w:r>
        <w:rPr>
          <w:rFonts w:ascii="Times New Roman" w:hAnsi="Times New Roman" w:cs="Times New Roman"/>
          <w:i/>
          <w:iCs/>
          <w:sz w:val="24"/>
          <w:szCs w:val="24"/>
        </w:rPr>
        <w:t>Journal of Disaster Risk Studies</w:t>
      </w:r>
      <w:r>
        <w:rPr>
          <w:rFonts w:ascii="Times New Roman" w:hAnsi="Times New Roman" w:cs="Times New Roman"/>
          <w:sz w:val="24"/>
          <w:szCs w:val="24"/>
        </w:rPr>
        <w:t>, 6(1), 45–53.</w:t>
      </w:r>
    </w:p>
    <w:p w14:paraId="2E5682E0"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Kelman, I. (2020). Disaster risk reduction and climate change adaptation: A review of their integration. </w:t>
      </w:r>
      <w:r>
        <w:rPr>
          <w:rFonts w:ascii="Times New Roman" w:hAnsi="Times New Roman" w:cs="Times New Roman"/>
          <w:i/>
          <w:iCs/>
          <w:sz w:val="24"/>
          <w:szCs w:val="24"/>
        </w:rPr>
        <w:t>International Journal of Disaster Risk Science</w:t>
      </w:r>
      <w:r>
        <w:rPr>
          <w:rFonts w:ascii="Times New Roman" w:hAnsi="Times New Roman" w:cs="Times New Roman"/>
          <w:sz w:val="24"/>
          <w:szCs w:val="24"/>
        </w:rPr>
        <w:t>, 11(3), 259–272. (link unavailable)</w:t>
      </w:r>
    </w:p>
    <w:p w14:paraId="47E7A31E"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Kundze</w:t>
      </w:r>
      <w:r>
        <w:rPr>
          <w:rFonts w:ascii="Times New Roman" w:hAnsi="Times New Roman" w:cs="Times New Roman"/>
          <w:sz w:val="24"/>
          <w:szCs w:val="24"/>
        </w:rPr>
        <w:t xml:space="preserve">wicz, Z. W., Kanae, S., Seneviratne, S. I., Handmer, J., Nicholls, N., Peduzzi, P., … &amp; Sherstyukov, B. (2019). Flood risk and climate change: Global and regional perspectives. </w:t>
      </w:r>
      <w:r>
        <w:rPr>
          <w:rFonts w:ascii="Times New Roman" w:hAnsi="Times New Roman" w:cs="Times New Roman"/>
          <w:i/>
          <w:iCs/>
          <w:sz w:val="24"/>
          <w:szCs w:val="24"/>
        </w:rPr>
        <w:t>Hydrological Sciences Journal</w:t>
      </w:r>
      <w:r>
        <w:rPr>
          <w:rFonts w:ascii="Times New Roman" w:hAnsi="Times New Roman" w:cs="Times New Roman"/>
          <w:sz w:val="24"/>
          <w:szCs w:val="24"/>
        </w:rPr>
        <w:t xml:space="preserve">, 59(1), 1–28. </w:t>
      </w:r>
    </w:p>
    <w:p w14:paraId="1C698447"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Mbese, J. A., Onyekachi, C., &amp; Eze</w:t>
      </w:r>
      <w:r>
        <w:rPr>
          <w:rFonts w:ascii="Times New Roman" w:hAnsi="Times New Roman" w:cs="Times New Roman"/>
          <w:sz w:val="24"/>
          <w:szCs w:val="24"/>
        </w:rPr>
        <w:t>, J. (2024). Impact of flooding on agricultural input supply and market prices in Benue State, Nigeria. Agricultural Economics Review, 25(1), 78–94.</w:t>
      </w:r>
    </w:p>
    <w:p w14:paraId="17044B1F"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National Emergency Management Agency (NEMA). (2022). 2022 Flood Situation Report. Abuja: NEMA.</w:t>
      </w:r>
    </w:p>
    <w:p w14:paraId="1AC2A800"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Nigeria Hydr</w:t>
      </w:r>
      <w:r>
        <w:rPr>
          <w:rFonts w:ascii="Times New Roman" w:hAnsi="Times New Roman" w:cs="Times New Roman"/>
          <w:sz w:val="24"/>
          <w:szCs w:val="24"/>
        </w:rPr>
        <w:t>ological Services Agency (NIHSA). (2022). Annual Flood Outlook 2022. Abuja: NIHSA.</w:t>
      </w:r>
    </w:p>
    <w:p w14:paraId="38B3C345"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Olanrewaju, O. O., Akinyemi, O., &amp; Adebayo, A. (2019). Flood management and urban resilience in Nigeria: A case study of Lagos</w:t>
      </w:r>
      <w:r>
        <w:rPr>
          <w:rFonts w:ascii="Times New Roman" w:hAnsi="Times New Roman" w:cs="Times New Roman"/>
          <w:i/>
          <w:iCs/>
          <w:sz w:val="24"/>
          <w:szCs w:val="24"/>
        </w:rPr>
        <w:t>. International Journal of Environmental Studie</w:t>
      </w:r>
      <w:r>
        <w:rPr>
          <w:rFonts w:ascii="Times New Roman" w:hAnsi="Times New Roman" w:cs="Times New Roman"/>
          <w:i/>
          <w:iCs/>
          <w:sz w:val="24"/>
          <w:szCs w:val="24"/>
        </w:rPr>
        <w:t>s</w:t>
      </w:r>
      <w:r>
        <w:rPr>
          <w:rFonts w:ascii="Times New Roman" w:hAnsi="Times New Roman" w:cs="Times New Roman"/>
          <w:sz w:val="24"/>
          <w:szCs w:val="24"/>
        </w:rPr>
        <w:t xml:space="preserve">, 76(4), 567–582. </w:t>
      </w:r>
    </w:p>
    <w:p w14:paraId="6356FB8A"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Olanrewaju, O. O., Ogunleye, O., &amp; Akinyemi, O. (2021). Financing flood recovery in Nigeria: Challenges and opportunities. </w:t>
      </w:r>
      <w:r>
        <w:rPr>
          <w:rFonts w:ascii="Times New Roman" w:hAnsi="Times New Roman" w:cs="Times New Roman"/>
          <w:i/>
          <w:iCs/>
          <w:sz w:val="24"/>
          <w:szCs w:val="24"/>
        </w:rPr>
        <w:t>Journal of Environmental Policy &amp; Planning</w:t>
      </w:r>
      <w:r>
        <w:rPr>
          <w:rFonts w:ascii="Times New Roman" w:hAnsi="Times New Roman" w:cs="Times New Roman"/>
          <w:sz w:val="24"/>
          <w:szCs w:val="24"/>
        </w:rPr>
        <w:t xml:space="preserve">, 23(5), 589–603. </w:t>
      </w:r>
    </w:p>
    <w:p w14:paraId="1AFCD64B"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lastRenderedPageBreak/>
        <w:t>Ologunorisa, T. E. (2006). Flood risk assessment and</w:t>
      </w:r>
      <w:r>
        <w:rPr>
          <w:rFonts w:ascii="Times New Roman" w:hAnsi="Times New Roman" w:cs="Times New Roman"/>
          <w:sz w:val="24"/>
          <w:szCs w:val="24"/>
        </w:rPr>
        <w:t xml:space="preserve"> management in Nigeria: A case study of Benue State. Environmental Hazards, 7(4), 321–334. </w:t>
      </w:r>
    </w:p>
    <w:p w14:paraId="70B5CA11"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Ologunorisa, T. E., &amp; Abawua, S. (2005). Flood hazard and vulnerability mapping in Makurdi, Nigeria. </w:t>
      </w:r>
      <w:r>
        <w:rPr>
          <w:rFonts w:ascii="Times New Roman" w:hAnsi="Times New Roman" w:cs="Times New Roman"/>
          <w:i/>
          <w:iCs/>
          <w:sz w:val="24"/>
          <w:szCs w:val="24"/>
        </w:rPr>
        <w:t>Journal of Applied Sciences</w:t>
      </w:r>
      <w:r>
        <w:rPr>
          <w:rFonts w:ascii="Times New Roman" w:hAnsi="Times New Roman" w:cs="Times New Roman"/>
          <w:sz w:val="24"/>
          <w:szCs w:val="24"/>
        </w:rPr>
        <w:t>, 5(3), 456–462.</w:t>
      </w:r>
    </w:p>
    <w:p w14:paraId="0915F1AE"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Opere, A. O. (2019)</w:t>
      </w:r>
      <w:r>
        <w:rPr>
          <w:rFonts w:ascii="Times New Roman" w:hAnsi="Times New Roman" w:cs="Times New Roman"/>
          <w:sz w:val="24"/>
          <w:szCs w:val="24"/>
        </w:rPr>
        <w:t xml:space="preserve">. Climate change and flood risk in Africa: Impacts and adaptation strategies. </w:t>
      </w:r>
      <w:r>
        <w:rPr>
          <w:rFonts w:ascii="Times New Roman" w:hAnsi="Times New Roman" w:cs="Times New Roman"/>
          <w:i/>
          <w:iCs/>
          <w:sz w:val="24"/>
          <w:szCs w:val="24"/>
        </w:rPr>
        <w:t>African Journal of Environmental Science and Technology</w:t>
      </w:r>
      <w:r>
        <w:rPr>
          <w:rFonts w:ascii="Times New Roman" w:hAnsi="Times New Roman" w:cs="Times New Roman"/>
          <w:sz w:val="24"/>
          <w:szCs w:val="24"/>
        </w:rPr>
        <w:t>, 13(2), 45–57.</w:t>
      </w:r>
    </w:p>
    <w:p w14:paraId="29E54B4C"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Rogers, R. W. (1975). A protection motivation theory of fear appeals and attitude change. </w:t>
      </w:r>
      <w:r>
        <w:rPr>
          <w:rFonts w:ascii="Times New Roman" w:hAnsi="Times New Roman" w:cs="Times New Roman"/>
          <w:i/>
          <w:iCs/>
          <w:sz w:val="24"/>
          <w:szCs w:val="24"/>
        </w:rPr>
        <w:t>Journal of Psycho</w:t>
      </w:r>
      <w:r>
        <w:rPr>
          <w:rFonts w:ascii="Times New Roman" w:hAnsi="Times New Roman" w:cs="Times New Roman"/>
          <w:i/>
          <w:iCs/>
          <w:sz w:val="24"/>
          <w:szCs w:val="24"/>
        </w:rPr>
        <w:t>logy</w:t>
      </w:r>
      <w:r>
        <w:rPr>
          <w:rFonts w:ascii="Times New Roman" w:hAnsi="Times New Roman" w:cs="Times New Roman"/>
          <w:sz w:val="24"/>
          <w:szCs w:val="24"/>
        </w:rPr>
        <w:t>, 91(1), 93–114.</w:t>
      </w:r>
    </w:p>
    <w:p w14:paraId="5C866718"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Rogers, R. W. (1983). Cognitive and physiological processes in fear appeals and attitude change: A revised theory of protection motivation. In J. Cacioppo &amp; R. Petty (Eds.), Social Psychophysiology (pp. 153–176). Guilford Press.</w:t>
      </w:r>
    </w:p>
    <w:p w14:paraId="2B2DDE4F"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 xml:space="preserve">Shabu, T., &amp; Tyonum, T. E. (2013). Residents’ coping measures and perceived effectiveness of flood management in Makurdi, Nigeria. </w:t>
      </w:r>
      <w:r>
        <w:rPr>
          <w:rFonts w:ascii="Times New Roman" w:hAnsi="Times New Roman" w:cs="Times New Roman"/>
          <w:i/>
          <w:iCs/>
          <w:sz w:val="24"/>
          <w:szCs w:val="24"/>
        </w:rPr>
        <w:t>Journal of Geography and Geology</w:t>
      </w:r>
      <w:r>
        <w:rPr>
          <w:rFonts w:ascii="Times New Roman" w:hAnsi="Times New Roman" w:cs="Times New Roman"/>
          <w:sz w:val="24"/>
          <w:szCs w:val="24"/>
        </w:rPr>
        <w:t xml:space="preserve">, 5(4), 12–22. </w:t>
      </w:r>
    </w:p>
    <w:p w14:paraId="19B64755"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Smith, K., &amp; Ward, R. (2020). Floods: Physical processes and human impacts (3</w:t>
      </w:r>
      <w:r>
        <w:rPr>
          <w:rFonts w:ascii="Times New Roman" w:hAnsi="Times New Roman" w:cs="Times New Roman"/>
          <w:sz w:val="24"/>
          <w:szCs w:val="24"/>
        </w:rPr>
        <w:t>rd ed.). Wiley.</w:t>
      </w:r>
    </w:p>
    <w:p w14:paraId="00DB3810" w14:textId="77777777" w:rsidR="00C24CFC" w:rsidRDefault="00AF004B">
      <w:pPr>
        <w:jc w:val="both"/>
        <w:rPr>
          <w:rFonts w:ascii="Times New Roman" w:hAnsi="Times New Roman" w:cs="Times New Roman"/>
          <w:sz w:val="24"/>
          <w:szCs w:val="24"/>
        </w:rPr>
      </w:pPr>
      <w:r>
        <w:rPr>
          <w:rFonts w:ascii="Times New Roman" w:hAnsi="Times New Roman" w:cs="Times New Roman"/>
          <w:sz w:val="24"/>
          <w:szCs w:val="24"/>
        </w:rPr>
        <w:t>Tierney, K. (2019). Disasters: A sociological approach. Polity Press.</w:t>
      </w:r>
    </w:p>
    <w:p w14:paraId="7502696B" w14:textId="77777777" w:rsidR="00C24CFC" w:rsidRDefault="00AF004B">
      <w:pPr>
        <w:jc w:val="both"/>
      </w:pPr>
      <w:r>
        <w:rPr>
          <w:rFonts w:ascii="Times New Roman" w:hAnsi="Times New Roman" w:cs="Times New Roman"/>
          <w:sz w:val="24"/>
          <w:szCs w:val="24"/>
        </w:rPr>
        <w:t>UNDRR (United Nations Office for Disaster Risk</w:t>
      </w:r>
    </w:p>
    <w:sectPr w:rsidR="00C24CFC">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36ACFE" w14:textId="77777777" w:rsidR="00AF004B" w:rsidRDefault="00AF004B">
      <w:pPr>
        <w:spacing w:after="0" w:line="240" w:lineRule="auto"/>
      </w:pPr>
      <w:r>
        <w:separator/>
      </w:r>
    </w:p>
  </w:endnote>
  <w:endnote w:type="continuationSeparator" w:id="0">
    <w:p w14:paraId="469F3C8D" w14:textId="77777777" w:rsidR="00AF004B" w:rsidRDefault="00AF0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E9C37" w14:textId="77777777" w:rsidR="009737EA" w:rsidRDefault="009737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830EF" w14:textId="77777777" w:rsidR="00C24CFC" w:rsidRDefault="00AF004B">
    <w:pPr>
      <w:pStyle w:val="Footer"/>
      <w:jc w:val="center"/>
    </w:pPr>
    <w:r>
      <w:fldChar w:fldCharType="begin"/>
    </w:r>
    <w:r>
      <w:instrText xml:space="preserve"> PAGE   \* MERGEFORMAT </w:instrText>
    </w:r>
    <w:r>
      <w:fldChar w:fldCharType="separate"/>
    </w:r>
    <w:r>
      <w:rPr>
        <w:noProof/>
      </w:rPr>
      <w:t>2</w:t>
    </w:r>
    <w:r>
      <w:rPr>
        <w:noProof/>
      </w:rPr>
      <w:fldChar w:fldCharType="end"/>
    </w:r>
  </w:p>
  <w:p w14:paraId="5FAA1C76" w14:textId="77777777" w:rsidR="00C24CFC" w:rsidRDefault="00C24C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A47F8" w14:textId="77777777" w:rsidR="009737EA" w:rsidRDefault="009737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60AB8D" w14:textId="77777777" w:rsidR="00AF004B" w:rsidRDefault="00AF004B">
      <w:pPr>
        <w:spacing w:after="0" w:line="240" w:lineRule="auto"/>
      </w:pPr>
      <w:r>
        <w:separator/>
      </w:r>
    </w:p>
  </w:footnote>
  <w:footnote w:type="continuationSeparator" w:id="0">
    <w:p w14:paraId="1FEB4B12" w14:textId="77777777" w:rsidR="00AF004B" w:rsidRDefault="00AF00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89051" w14:textId="24859B0A" w:rsidR="009737EA" w:rsidRDefault="009737EA">
    <w:pPr>
      <w:pStyle w:val="Header"/>
    </w:pPr>
    <w:r>
      <w:rPr>
        <w:noProof/>
      </w:rPr>
      <w:pict w14:anchorId="155CCF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2384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B8F7E" w14:textId="63512F2C" w:rsidR="009737EA" w:rsidRDefault="009737EA">
    <w:pPr>
      <w:pStyle w:val="Header"/>
    </w:pPr>
    <w:r>
      <w:rPr>
        <w:noProof/>
      </w:rPr>
      <w:pict w14:anchorId="776471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23848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F19AA" w14:textId="1011F2FB" w:rsidR="009737EA" w:rsidRDefault="009737EA">
    <w:pPr>
      <w:pStyle w:val="Header"/>
    </w:pPr>
    <w:r>
      <w:rPr>
        <w:noProof/>
      </w:rPr>
      <w:pict w14:anchorId="256E35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2384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E2C90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ABD0C5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E5C8EEFA"/>
    <w:lvl w:ilvl="0" w:tplc="0409000F">
      <w:start w:val="1"/>
      <w:numFmt w:val="decimal"/>
      <w:lvlText w:val="%1."/>
      <w:lvlJc w:val="left"/>
      <w:pPr>
        <w:ind w:left="540" w:hanging="360"/>
      </w:pPr>
    </w:lvl>
    <w:lvl w:ilvl="1" w:tplc="9ECA2EA6">
      <w:start w:val="1"/>
      <w:numFmt w:val="bullet"/>
      <w:lvlText w:val="-"/>
      <w:lvlJc w:val="left"/>
      <w:pPr>
        <w:ind w:left="1260" w:hanging="360"/>
      </w:pPr>
      <w:rPr>
        <w:rFonts w:ascii="Times New Roman" w:eastAsia="Calibri" w:hAnsi="Times New Roman" w:cs="Times New Roman"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04D46AFD"/>
    <w:multiLevelType w:val="hybridMultilevel"/>
    <w:tmpl w:val="7C4296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CFC"/>
    <w:rsid w:val="00020CE5"/>
    <w:rsid w:val="0022364D"/>
    <w:rsid w:val="003B1CB5"/>
    <w:rsid w:val="006B0414"/>
    <w:rsid w:val="008F39FE"/>
    <w:rsid w:val="009737EA"/>
    <w:rsid w:val="00986021"/>
    <w:rsid w:val="00AF004B"/>
    <w:rsid w:val="00C11E0F"/>
    <w:rsid w:val="00C24CFC"/>
    <w:rsid w:val="00DD6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42AA57"/>
  <w15:docId w15:val="{8585557C-F383-40CD-90F3-49F02E99F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59" w:lineRule="auto"/>
    </w:pPr>
    <w:rPr>
      <w:sz w:val="22"/>
      <w:szCs w:val="22"/>
    </w:rPr>
  </w:style>
  <w:style w:type="paragraph" w:styleId="Heading1">
    <w:name w:val="heading 1"/>
    <w:basedOn w:val="Normal"/>
    <w:next w:val="Normal"/>
    <w:link w:val="Heading1Char"/>
    <w:uiPriority w:val="9"/>
    <w:qFormat/>
    <w:pPr>
      <w:keepNext/>
      <w:keepLines/>
      <w:spacing w:before="360" w:after="80"/>
      <w:outlineLvl w:val="0"/>
    </w:pPr>
    <w:rPr>
      <w:rFonts w:ascii="Calibri Light" w:eastAsia="SimSun" w:hAnsi="Calibri Light"/>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Light" w:eastAsia="SimSun" w:hAnsi="Calibri Light"/>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SimSun"/>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SimSun"/>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SimSun"/>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SimSu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olor w:val="595959"/>
    </w:rPr>
  </w:style>
  <w:style w:type="paragraph" w:styleId="Heading8">
    <w:name w:val="heading 8"/>
    <w:basedOn w:val="Normal"/>
    <w:next w:val="Normal"/>
    <w:link w:val="Heading8Char"/>
    <w:uiPriority w:val="9"/>
    <w:qFormat/>
    <w:pPr>
      <w:keepNext/>
      <w:keepLines/>
      <w:spacing w:after="0"/>
      <w:outlineLvl w:val="7"/>
    </w:pPr>
    <w:rPr>
      <w:rFonts w:eastAsia="SimSu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SimSu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SimSun"/>
      <w:color w:val="2F5496"/>
      <w:sz w:val="32"/>
      <w:szCs w:val="32"/>
    </w:rPr>
  </w:style>
  <w:style w:type="character" w:customStyle="1" w:styleId="Heading3Char">
    <w:name w:val="Heading 3 Char"/>
    <w:basedOn w:val="DefaultParagraphFont"/>
    <w:link w:val="Heading3"/>
    <w:uiPriority w:val="9"/>
    <w:rPr>
      <w:rFonts w:eastAsia="SimSun" w:cs="SimSun"/>
      <w:color w:val="2F5496"/>
      <w:sz w:val="28"/>
      <w:szCs w:val="28"/>
    </w:rPr>
  </w:style>
  <w:style w:type="character" w:customStyle="1" w:styleId="Heading4Char">
    <w:name w:val="Heading 4 Char"/>
    <w:basedOn w:val="DefaultParagraphFont"/>
    <w:link w:val="Heading4"/>
    <w:uiPriority w:val="9"/>
    <w:rPr>
      <w:rFonts w:eastAsia="SimSun" w:cs="SimSun"/>
      <w:i/>
      <w:iCs/>
      <w:color w:val="2F5496"/>
    </w:rPr>
  </w:style>
  <w:style w:type="character" w:customStyle="1" w:styleId="Heading5Char">
    <w:name w:val="Heading 5 Char"/>
    <w:basedOn w:val="DefaultParagraphFont"/>
    <w:link w:val="Heading5"/>
    <w:uiPriority w:val="9"/>
    <w:rPr>
      <w:rFonts w:eastAsia="SimSun" w:cs="SimSun"/>
      <w:color w:val="2F5496"/>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SimSu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olor w:val="595959"/>
      <w:spacing w:val="15"/>
      <w:sz w:val="28"/>
      <w:szCs w:val="28"/>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sz w:val="22"/>
      <w:szCs w:val="22"/>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2"/>
      <w:szCs w:val="22"/>
    </w:rPr>
  </w:style>
  <w:style w:type="character" w:styleId="Hyperlink">
    <w:name w:val="Hyperlink"/>
    <w:basedOn w:val="DefaultParagraphFont"/>
    <w:uiPriority w:val="99"/>
    <w:unhideWhenUsed/>
    <w:rsid w:val="00C11E0F"/>
    <w:rPr>
      <w:color w:val="0000FF" w:themeColor="hyperlink"/>
      <w:u w:val="single"/>
    </w:rPr>
  </w:style>
  <w:style w:type="character" w:styleId="UnresolvedMention">
    <w:name w:val="Unresolved Mention"/>
    <w:basedOn w:val="DefaultParagraphFont"/>
    <w:uiPriority w:val="99"/>
    <w:semiHidden/>
    <w:unhideWhenUsed/>
    <w:rsid w:val="00C11E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15</Pages>
  <Words>5375</Words>
  <Characters>30644</Characters>
  <Application>Microsoft Office Word</Application>
  <DocSecurity>0</DocSecurity>
  <Lines>255</Lines>
  <Paragraphs>71</Paragraphs>
  <ScaleCrop>false</ScaleCrop>
  <Company/>
  <LinksUpToDate>false</LinksUpToDate>
  <CharactersWithSpaces>35948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Maris</dc:creator>
  <cp:lastModifiedBy>SDI PC 1170</cp:lastModifiedBy>
  <cp:revision>25</cp:revision>
  <cp:lastPrinted>2026-02-22T11:29:00Z</cp:lastPrinted>
  <dcterms:created xsi:type="dcterms:W3CDTF">2026-02-20T19:00:00Z</dcterms:created>
  <dcterms:modified xsi:type="dcterms:W3CDTF">2026-02-25T10:47:00Z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504daef196404e0a9a63e4d94d540726</vt:lpwstr>
  </property>
</Properties>
</file>