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5B7ADD" w14:textId="3375A2F6" w:rsidR="007A4690" w:rsidRDefault="007A4690"/>
    <w:p w14:paraId="1378DD32" w14:textId="172BF1D8" w:rsidR="009B421D" w:rsidRPr="000741CE" w:rsidRDefault="004F6010" w:rsidP="0079636A">
      <w:pPr>
        <w:spacing w:line="360" w:lineRule="auto"/>
        <w:jc w:val="right"/>
        <w:rPr>
          <w:rFonts w:ascii="Times New Roman" w:hAnsi="Times New Roman" w:cs="Times New Roman"/>
          <w:b/>
          <w:bCs/>
          <w:sz w:val="28"/>
          <w:szCs w:val="28"/>
        </w:rPr>
      </w:pPr>
      <w:r w:rsidRPr="000741CE">
        <w:rPr>
          <w:rFonts w:ascii="Times New Roman" w:hAnsi="Times New Roman" w:cs="Times New Roman"/>
          <w:b/>
          <w:bCs/>
          <w:sz w:val="28"/>
          <w:szCs w:val="28"/>
        </w:rPr>
        <w:t>Effect</w:t>
      </w:r>
      <w:r w:rsidR="009B421D" w:rsidRPr="000741CE">
        <w:rPr>
          <w:rFonts w:ascii="Times New Roman" w:hAnsi="Times New Roman" w:cs="Times New Roman"/>
          <w:b/>
          <w:bCs/>
          <w:sz w:val="28"/>
          <w:szCs w:val="28"/>
        </w:rPr>
        <w:t xml:space="preserve"> of feeding frequency and seasonal variation on water quality and growth performance of Nile tilapia (</w:t>
      </w:r>
      <w:r w:rsidR="009B421D" w:rsidRPr="000741CE">
        <w:rPr>
          <w:rFonts w:ascii="Times New Roman" w:hAnsi="Times New Roman" w:cs="Times New Roman"/>
          <w:b/>
          <w:bCs/>
          <w:i/>
          <w:iCs/>
          <w:sz w:val="28"/>
          <w:szCs w:val="28"/>
        </w:rPr>
        <w:t>Oreochromis niloticus</w:t>
      </w:r>
      <w:r w:rsidR="009B421D" w:rsidRPr="000741CE">
        <w:rPr>
          <w:rFonts w:ascii="Times New Roman" w:hAnsi="Times New Roman" w:cs="Times New Roman"/>
          <w:b/>
          <w:bCs/>
          <w:sz w:val="28"/>
          <w:szCs w:val="28"/>
        </w:rPr>
        <w:t>)</w:t>
      </w:r>
    </w:p>
    <w:p w14:paraId="40554757" w14:textId="33C366AF" w:rsidR="00250448" w:rsidRDefault="007A4690" w:rsidP="00301135">
      <w:pPr>
        <w:jc w:val="center"/>
        <w:rPr>
          <w:rFonts w:ascii="Times New Roman" w:hAnsi="Times New Roman" w:cs="Times New Roman"/>
          <w:b/>
          <w:bCs/>
        </w:rPr>
      </w:pPr>
      <w:r w:rsidRPr="00346A44">
        <w:rPr>
          <w:rFonts w:ascii="Times New Roman" w:hAnsi="Times New Roman" w:cs="Times New Roman"/>
          <w:b/>
          <w:bCs/>
        </w:rPr>
        <w:t>Abstract</w:t>
      </w:r>
    </w:p>
    <w:p w14:paraId="6F8CDC24" w14:textId="3E3ADAFF" w:rsidR="009C28BE" w:rsidRDefault="001429EB" w:rsidP="009C28BE">
      <w:pPr>
        <w:spacing w:line="360" w:lineRule="auto"/>
        <w:jc w:val="both"/>
        <w:rPr>
          <w:rFonts w:ascii="Times New Roman" w:hAnsi="Times New Roman" w:cs="Times New Roman"/>
        </w:rPr>
      </w:pPr>
      <w:r w:rsidRPr="001429EB">
        <w:rPr>
          <w:rFonts w:ascii="Times New Roman" w:hAnsi="Times New Roman" w:cs="Times New Roman"/>
        </w:rPr>
        <w:t>The principal challenge in intensive tilapia growing is achieving an appropriate combination between environmental sustainability and nutritional input. The study was a 120-day ex</w:t>
      </w:r>
      <w:bookmarkStart w:id="0" w:name="_GoBack"/>
      <w:bookmarkEnd w:id="0"/>
      <w:r w:rsidRPr="001429EB">
        <w:rPr>
          <w:rFonts w:ascii="Times New Roman" w:hAnsi="Times New Roman" w:cs="Times New Roman"/>
        </w:rPr>
        <w:t>periment that compared feeding frequency, once per day (T</w:t>
      </w:r>
      <w:r w:rsidRPr="001429EB">
        <w:rPr>
          <w:rFonts w:ascii="Times New Roman" w:hAnsi="Times New Roman" w:cs="Times New Roman"/>
          <w:vertAlign w:val="subscript"/>
        </w:rPr>
        <w:t>1</w:t>
      </w:r>
      <w:r w:rsidRPr="001429EB">
        <w:rPr>
          <w:rFonts w:ascii="Times New Roman" w:hAnsi="Times New Roman" w:cs="Times New Roman"/>
        </w:rPr>
        <w:t>), twice per day (T</w:t>
      </w:r>
      <w:r w:rsidRPr="001429EB">
        <w:rPr>
          <w:rFonts w:ascii="Times New Roman" w:hAnsi="Times New Roman" w:cs="Times New Roman"/>
          <w:vertAlign w:val="subscript"/>
        </w:rPr>
        <w:t>2</w:t>
      </w:r>
      <w:r w:rsidRPr="001429EB">
        <w:rPr>
          <w:rFonts w:ascii="Times New Roman" w:hAnsi="Times New Roman" w:cs="Times New Roman"/>
        </w:rPr>
        <w:t>) and thrice per day (T</w:t>
      </w:r>
      <w:r w:rsidRPr="001429EB">
        <w:rPr>
          <w:rFonts w:ascii="Times New Roman" w:hAnsi="Times New Roman" w:cs="Times New Roman"/>
          <w:vertAlign w:val="subscript"/>
        </w:rPr>
        <w:t>3</w:t>
      </w:r>
      <w:r w:rsidRPr="001429EB">
        <w:rPr>
          <w:rFonts w:ascii="Times New Roman" w:hAnsi="Times New Roman" w:cs="Times New Roman"/>
        </w:rPr>
        <w:t xml:space="preserve">) in combination with seasonal fluctuation (monsoon vs post-monsoon) on ecological stability and growth performance of </w:t>
      </w:r>
      <w:r w:rsidRPr="001429EB">
        <w:rPr>
          <w:rFonts w:ascii="Times New Roman" w:hAnsi="Times New Roman" w:cs="Times New Roman"/>
          <w:i/>
          <w:iCs/>
        </w:rPr>
        <w:t>Oreochromis niloticus</w:t>
      </w:r>
      <w:r w:rsidRPr="001429EB">
        <w:rPr>
          <w:rFonts w:ascii="Times New Roman" w:hAnsi="Times New Roman" w:cs="Times New Roman"/>
        </w:rPr>
        <w:t>. Though higher feeding rates are often linked with greater biomass, the thrice-a-day regime (T</w:t>
      </w:r>
      <w:r w:rsidRPr="00645F4F">
        <w:rPr>
          <w:rFonts w:ascii="Times New Roman" w:hAnsi="Times New Roman" w:cs="Times New Roman"/>
          <w:vertAlign w:val="subscript"/>
        </w:rPr>
        <w:t>3</w:t>
      </w:r>
      <w:r w:rsidRPr="001429EB">
        <w:rPr>
          <w:rFonts w:ascii="Times New Roman" w:hAnsi="Times New Roman" w:cs="Times New Roman"/>
        </w:rPr>
        <w:t>) caused a metabolic bottleneck which led to the highest ammonia levels (0.0567</w:t>
      </w:r>
      <w:r>
        <w:rPr>
          <w:rFonts w:ascii="Times New Roman" w:hAnsi="Times New Roman" w:cs="Times New Roman"/>
        </w:rPr>
        <w:t>mg/</w:t>
      </w:r>
      <w:r w:rsidRPr="001429EB">
        <w:rPr>
          <w:rFonts w:ascii="Times New Roman" w:hAnsi="Times New Roman" w:cs="Times New Roman"/>
        </w:rPr>
        <w:t>L) and nitrite levels that were accompanied with significantly lower dissolved oxygen. On the other hand, T</w:t>
      </w:r>
      <w:r w:rsidRPr="001429EB">
        <w:rPr>
          <w:rFonts w:ascii="Times New Roman" w:hAnsi="Times New Roman" w:cs="Times New Roman"/>
          <w:vertAlign w:val="subscript"/>
        </w:rPr>
        <w:t>2</w:t>
      </w:r>
      <w:r w:rsidRPr="001429EB">
        <w:rPr>
          <w:rFonts w:ascii="Times New Roman" w:hAnsi="Times New Roman" w:cs="Times New Roman"/>
        </w:rPr>
        <w:t xml:space="preserve"> was seen as the most biologically favored, and it had better final body weights (220 93 </w:t>
      </w:r>
      <w:r>
        <w:rPr>
          <w:rFonts w:ascii="Times New Roman" w:hAnsi="Times New Roman" w:cs="Times New Roman"/>
        </w:rPr>
        <w:t>gm</w:t>
      </w:r>
      <w:r w:rsidRPr="001429EB">
        <w:rPr>
          <w:rFonts w:ascii="Times New Roman" w:hAnsi="Times New Roman" w:cs="Times New Roman"/>
        </w:rPr>
        <w:t xml:space="preserve">), survival rates (91.00 93 </w:t>
      </w:r>
      <w:r w:rsidR="009C28BE">
        <w:rPr>
          <w:rFonts w:ascii="Times New Roman" w:hAnsi="Times New Roman" w:cs="Times New Roman"/>
        </w:rPr>
        <w:t>%</w:t>
      </w:r>
      <w:r w:rsidR="009C28BE" w:rsidRPr="001429EB">
        <w:rPr>
          <w:rFonts w:ascii="Times New Roman" w:hAnsi="Times New Roman" w:cs="Times New Roman"/>
        </w:rPr>
        <w:t>)</w:t>
      </w:r>
      <w:r w:rsidRPr="001429EB">
        <w:rPr>
          <w:rFonts w:ascii="Times New Roman" w:hAnsi="Times New Roman" w:cs="Times New Roman"/>
        </w:rPr>
        <w:t xml:space="preserve">, and total production (40.67 </w:t>
      </w:r>
      <w:r w:rsidR="009C28BE">
        <w:rPr>
          <w:rFonts w:ascii="Times New Roman" w:hAnsi="Times New Roman" w:cs="Times New Roman"/>
        </w:rPr>
        <w:t>kg/</w:t>
      </w:r>
      <w:r w:rsidRPr="001429EB">
        <w:rPr>
          <w:rFonts w:ascii="Times New Roman" w:hAnsi="Times New Roman" w:cs="Times New Roman"/>
        </w:rPr>
        <w:t>dec) compared to both T</w:t>
      </w:r>
      <w:r w:rsidRPr="009C28BE">
        <w:rPr>
          <w:rFonts w:ascii="Times New Roman" w:hAnsi="Times New Roman" w:cs="Times New Roman"/>
          <w:vertAlign w:val="subscript"/>
        </w:rPr>
        <w:t>1</w:t>
      </w:r>
      <w:r w:rsidRPr="001429EB">
        <w:rPr>
          <w:rFonts w:ascii="Times New Roman" w:hAnsi="Times New Roman" w:cs="Times New Roman"/>
        </w:rPr>
        <w:t xml:space="preserve"> and T</w:t>
      </w:r>
      <w:r w:rsidRPr="009C28BE">
        <w:rPr>
          <w:rFonts w:ascii="Times New Roman" w:hAnsi="Times New Roman" w:cs="Times New Roman"/>
          <w:vertAlign w:val="subscript"/>
        </w:rPr>
        <w:t>3</w:t>
      </w:r>
      <w:r w:rsidRPr="001429EB">
        <w:rPr>
          <w:rFonts w:ascii="Times New Roman" w:hAnsi="Times New Roman" w:cs="Times New Roman"/>
        </w:rPr>
        <w:t xml:space="preserve"> with statistical significance (</w:t>
      </w:r>
      <w:r w:rsidR="009C28BE" w:rsidRPr="009C28BE">
        <w:rPr>
          <w:rFonts w:ascii="Times New Roman" w:hAnsi="Times New Roman" w:cs="Times New Roman"/>
          <w:i/>
          <w:iCs/>
        </w:rPr>
        <w:t>p</w:t>
      </w:r>
      <w:r w:rsidR="009C28BE">
        <w:rPr>
          <w:rFonts w:ascii="Times New Roman" w:hAnsi="Times New Roman" w:cs="Times New Roman"/>
        </w:rPr>
        <w:t>&lt;</w:t>
      </w:r>
      <w:r w:rsidRPr="001429EB">
        <w:rPr>
          <w:rFonts w:ascii="Times New Roman" w:hAnsi="Times New Roman" w:cs="Times New Roman"/>
        </w:rPr>
        <w:t>0.05). Statistical results obtained showed that over feeding enhances organic breakdown and respiration of microbes, thus exceeding pond carrying capacity regardless of seasonal buffering. These results show that T</w:t>
      </w:r>
      <w:r w:rsidRPr="009C28BE">
        <w:rPr>
          <w:rFonts w:ascii="Times New Roman" w:hAnsi="Times New Roman" w:cs="Times New Roman"/>
          <w:vertAlign w:val="subscript"/>
        </w:rPr>
        <w:t>2</w:t>
      </w:r>
      <w:r w:rsidRPr="001429EB">
        <w:rPr>
          <w:rFonts w:ascii="Times New Roman" w:hAnsi="Times New Roman" w:cs="Times New Roman"/>
        </w:rPr>
        <w:t xml:space="preserve"> improves the rate of nutrient absorption without reducing water quality. </w:t>
      </w:r>
      <w:r w:rsidR="002A2606" w:rsidRPr="009C28BE">
        <w:rPr>
          <w:rFonts w:ascii="Times New Roman" w:hAnsi="Times New Roman" w:cs="Times New Roman"/>
        </w:rPr>
        <w:t>To</w:t>
      </w:r>
      <w:r w:rsidR="009C28BE" w:rsidRPr="009C28BE">
        <w:rPr>
          <w:rFonts w:ascii="Times New Roman" w:hAnsi="Times New Roman" w:cs="Times New Roman"/>
        </w:rPr>
        <w:t xml:space="preserve"> improve the economic effectiveness and environmental sustainability of tilapia culture in tropical ponds, a twice-daily feeding regimen is recommended.</w:t>
      </w:r>
    </w:p>
    <w:p w14:paraId="3B012ADD" w14:textId="7613DA2A" w:rsidR="00CD5CDE" w:rsidRDefault="00CD5CDE" w:rsidP="009C28BE">
      <w:pPr>
        <w:spacing w:line="360" w:lineRule="auto"/>
        <w:jc w:val="both"/>
        <w:rPr>
          <w:rFonts w:ascii="Times New Roman" w:hAnsi="Times New Roman" w:cs="Times New Roman"/>
        </w:rPr>
      </w:pPr>
    </w:p>
    <w:p w14:paraId="41634F20" w14:textId="57C8BB38" w:rsidR="001801C7" w:rsidRDefault="001801C7" w:rsidP="009C28BE">
      <w:pPr>
        <w:spacing w:line="360" w:lineRule="auto"/>
        <w:jc w:val="both"/>
        <w:rPr>
          <w:rFonts w:ascii="Times New Roman" w:hAnsi="Times New Roman" w:cs="Times New Roman"/>
        </w:rPr>
      </w:pPr>
      <w:r w:rsidRPr="00301135">
        <w:rPr>
          <w:rFonts w:ascii="Times New Roman" w:hAnsi="Times New Roman" w:cs="Times New Roman"/>
          <w:b/>
          <w:bCs/>
        </w:rPr>
        <w:t>Keyword:</w:t>
      </w:r>
      <w:r>
        <w:rPr>
          <w:rFonts w:ascii="Times New Roman" w:hAnsi="Times New Roman" w:cs="Times New Roman"/>
        </w:rPr>
        <w:t xml:space="preserve"> </w:t>
      </w:r>
      <w:r w:rsidR="00301135" w:rsidRPr="00301135">
        <w:rPr>
          <w:rFonts w:ascii="Times New Roman" w:hAnsi="Times New Roman" w:cs="Times New Roman"/>
        </w:rPr>
        <w:t>Intensive aquaculture</w:t>
      </w:r>
      <w:r w:rsidR="00301135">
        <w:rPr>
          <w:rFonts w:ascii="Times New Roman" w:hAnsi="Times New Roman" w:cs="Times New Roman"/>
        </w:rPr>
        <w:t xml:space="preserve">, </w:t>
      </w:r>
      <w:r w:rsidR="00301135" w:rsidRPr="00301135">
        <w:rPr>
          <w:rFonts w:ascii="Times New Roman" w:hAnsi="Times New Roman" w:cs="Times New Roman"/>
        </w:rPr>
        <w:t>Pond ecosystem stability</w:t>
      </w:r>
      <w:r w:rsidR="00301135">
        <w:rPr>
          <w:rFonts w:ascii="Times New Roman" w:hAnsi="Times New Roman" w:cs="Times New Roman"/>
        </w:rPr>
        <w:t xml:space="preserve">, </w:t>
      </w:r>
      <w:r w:rsidR="00301135" w:rsidRPr="00301135">
        <w:rPr>
          <w:rFonts w:ascii="Times New Roman" w:hAnsi="Times New Roman" w:cs="Times New Roman"/>
        </w:rPr>
        <w:t>Ammonia and nitrite dynamics</w:t>
      </w:r>
      <w:r w:rsidR="00301135">
        <w:rPr>
          <w:rFonts w:ascii="Times New Roman" w:hAnsi="Times New Roman" w:cs="Times New Roman"/>
        </w:rPr>
        <w:t xml:space="preserve">, </w:t>
      </w:r>
      <w:r w:rsidR="00301135" w:rsidRPr="00301135">
        <w:rPr>
          <w:rFonts w:ascii="Times New Roman" w:hAnsi="Times New Roman" w:cs="Times New Roman"/>
        </w:rPr>
        <w:t>Dissolved oxygen fluctuation</w:t>
      </w:r>
      <w:r w:rsidR="00301135">
        <w:rPr>
          <w:rFonts w:ascii="Times New Roman" w:hAnsi="Times New Roman" w:cs="Times New Roman"/>
        </w:rPr>
        <w:t xml:space="preserve">, </w:t>
      </w:r>
      <w:r w:rsidR="00301135" w:rsidRPr="00301135">
        <w:rPr>
          <w:rFonts w:ascii="Times New Roman" w:hAnsi="Times New Roman" w:cs="Times New Roman"/>
        </w:rPr>
        <w:t>Survival rate</w:t>
      </w:r>
    </w:p>
    <w:p w14:paraId="254A401E" w14:textId="1A2CD441" w:rsidR="007A4690" w:rsidRDefault="007A4690">
      <w:pPr>
        <w:rPr>
          <w:rFonts w:ascii="Times New Roman" w:hAnsi="Times New Roman" w:cs="Times New Roman"/>
          <w:b/>
          <w:bCs/>
        </w:rPr>
      </w:pPr>
      <w:r w:rsidRPr="003B0D5F">
        <w:rPr>
          <w:rFonts w:ascii="Times New Roman" w:hAnsi="Times New Roman" w:cs="Times New Roman"/>
          <w:b/>
          <w:bCs/>
        </w:rPr>
        <w:t>Introduction</w:t>
      </w:r>
    </w:p>
    <w:p w14:paraId="1CED570D" w14:textId="1E0DB39D" w:rsidR="003B0D5F" w:rsidRPr="003B0D5F" w:rsidRDefault="003B0D5F" w:rsidP="003B0D5F">
      <w:pPr>
        <w:spacing w:line="360" w:lineRule="auto"/>
        <w:jc w:val="both"/>
        <w:rPr>
          <w:rFonts w:ascii="Times New Roman" w:hAnsi="Times New Roman" w:cs="Times New Roman"/>
        </w:rPr>
      </w:pPr>
      <w:r w:rsidRPr="003B0D5F">
        <w:rPr>
          <w:rFonts w:ascii="Times New Roman" w:hAnsi="Times New Roman" w:cs="Times New Roman"/>
        </w:rPr>
        <w:t>The global aquaculture industry has witnessed a significant shift toward the intensification of Nile tilapia (</w:t>
      </w:r>
      <w:r w:rsidRPr="003B0D5F">
        <w:rPr>
          <w:rFonts w:ascii="Times New Roman" w:hAnsi="Times New Roman" w:cs="Times New Roman"/>
          <w:i/>
          <w:iCs/>
        </w:rPr>
        <w:t>Oreochromis niloticus</w:t>
      </w:r>
      <w:r w:rsidRPr="003B0D5F">
        <w:rPr>
          <w:rFonts w:ascii="Times New Roman" w:hAnsi="Times New Roman" w:cs="Times New Roman"/>
        </w:rPr>
        <w:t>) culture, driven by the species' remarkable growth rates, environmental plasticity, and high consumer demand</w:t>
      </w:r>
      <w:r w:rsidR="00AD4E54">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"/>
          <w:id w:val="-2104250043"/>
          <w:placeholder>
            <w:docPart w:val="DefaultPlaceholder_-1854013440"/>
          </w:placeholder>
        </w:sdtPr>
        <w:sdtEndPr/>
        <w:sdtContent>
          <w:r w:rsidR="001801C7" w:rsidRPr="001801C7">
            <w:rPr>
              <w:rFonts w:ascii="Times New Roman" w:hAnsi="Times New Roman" w:cs="Times New Roman"/>
              <w:color w:val="000000"/>
            </w:rPr>
            <w:t>(Emam et al., 2025; Rodriguez‐Barreto et al., 2019)</w:t>
          </w:r>
        </w:sdtContent>
      </w:sdt>
      <w:r w:rsidRPr="003B0D5F">
        <w:rPr>
          <w:rFonts w:ascii="Times New Roman" w:hAnsi="Times New Roman" w:cs="Times New Roman"/>
        </w:rPr>
        <w:t xml:space="preserve">. </w:t>
      </w:r>
      <w:r w:rsidR="00A546B8" w:rsidRPr="00A546B8">
        <w:rPr>
          <w:rFonts w:ascii="Times New Roman" w:hAnsi="Times New Roman" w:cs="Times New Roman"/>
        </w:rPr>
        <w:t>In some areas like in Bangladesh where livelihood and property of rural people heavily depend on aquaculture industry, the shift towards large scale to the high-input intensive animal protein production is central to the transformation of the industry</w:t>
      </w:r>
      <w:r w:rsidR="00A546B8">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"/>
          <w:id w:val="-1815935274"/>
          <w:placeholder>
            <w:docPart w:val="DefaultPlaceholder_-1854013440"/>
          </w:placeholder>
        </w:sdtPr>
        <w:sdtEndPr/>
        <w:sdtContent>
          <w:r w:rsidR="001801C7" w:rsidRPr="001801C7">
            <w:rPr>
              <w:rFonts w:ascii="Times New Roman" w:hAnsi="Times New Roman" w:cs="Times New Roman"/>
              <w:color w:val="000000"/>
            </w:rPr>
            <w:t>(</w:t>
          </w:r>
          <w:proofErr w:type="spellStart"/>
          <w:r w:rsidR="001801C7" w:rsidRPr="001801C7">
            <w:rPr>
              <w:rFonts w:ascii="Times New Roman" w:hAnsi="Times New Roman" w:cs="Times New Roman"/>
              <w:color w:val="000000"/>
            </w:rPr>
            <w:t>Dompreh</w:t>
          </w:r>
          <w:proofErr w:type="spellEnd"/>
          <w:r w:rsidR="001801C7" w:rsidRPr="001801C7">
            <w:rPr>
              <w:rFonts w:ascii="Times New Roman" w:hAnsi="Times New Roman" w:cs="Times New Roman"/>
              <w:color w:val="000000"/>
            </w:rPr>
            <w:t xml:space="preserve"> et al., 2024)</w:t>
          </w:r>
        </w:sdtContent>
      </w:sdt>
      <w:r w:rsidR="00A546B8" w:rsidRPr="00A546B8">
        <w:rPr>
          <w:rFonts w:ascii="Times New Roman" w:hAnsi="Times New Roman" w:cs="Times New Roman"/>
        </w:rPr>
        <w:t xml:space="preserve">. Nevertheless, this exacerbation creates essential issues related to environmental sustainability and </w:t>
      </w:r>
      <w:r w:rsidR="00A546B8" w:rsidRPr="00A546B8">
        <w:rPr>
          <w:rFonts w:ascii="Times New Roman" w:hAnsi="Times New Roman" w:cs="Times New Roman"/>
        </w:rPr>
        <w:lastRenderedPageBreak/>
        <w:t xml:space="preserve">optimization of resources. Feed management is the best factor during intensive pond </w:t>
      </w:r>
      <w:r w:rsidR="00F8636C" w:rsidRPr="00A546B8">
        <w:rPr>
          <w:rFonts w:ascii="Times New Roman" w:hAnsi="Times New Roman" w:cs="Times New Roman"/>
        </w:rPr>
        <w:t>systems;</w:t>
      </w:r>
      <w:r w:rsidR="00A546B8" w:rsidRPr="00A546B8">
        <w:rPr>
          <w:rFonts w:ascii="Times New Roman" w:hAnsi="Times New Roman" w:cs="Times New Roman"/>
        </w:rPr>
        <w:t xml:space="preserve"> it is the most significant cost of operation and the source of metabolic waste</w:t>
      </w:r>
      <w:r w:rsidR="009C51D2">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"/>
          <w:id w:val="583500494"/>
          <w:placeholder>
            <w:docPart w:val="DefaultPlaceholder_-1854013440"/>
          </w:placeholder>
        </w:sdtPr>
        <w:sdtEndPr/>
        <w:sdtContent>
          <w:r w:rsidR="001801C7" w:rsidRPr="001801C7">
            <w:rPr>
              <w:rFonts w:ascii="Times New Roman" w:hAnsi="Times New Roman" w:cs="Times New Roman"/>
              <w:color w:val="000000"/>
            </w:rPr>
            <w:t>(</w:t>
          </w:r>
          <w:proofErr w:type="spellStart"/>
          <w:r w:rsidR="001801C7" w:rsidRPr="001801C7">
            <w:rPr>
              <w:rFonts w:ascii="Times New Roman" w:hAnsi="Times New Roman" w:cs="Times New Roman"/>
              <w:color w:val="000000"/>
            </w:rPr>
            <w:t>Tabrett</w:t>
          </w:r>
          <w:proofErr w:type="spellEnd"/>
          <w:r w:rsidR="001801C7" w:rsidRPr="001801C7">
            <w:rPr>
              <w:rFonts w:ascii="Times New Roman" w:hAnsi="Times New Roman" w:cs="Times New Roman"/>
              <w:color w:val="000000"/>
            </w:rPr>
            <w:t xml:space="preserve"> et al., 2024)</w:t>
          </w:r>
        </w:sdtContent>
      </w:sdt>
      <w:r w:rsidR="00A546B8" w:rsidRPr="00A546B8">
        <w:rPr>
          <w:rFonts w:ascii="Times New Roman" w:hAnsi="Times New Roman" w:cs="Times New Roman"/>
        </w:rPr>
        <w:t xml:space="preserve">. The best frequency of feeding is therefore very important as it determines the effectiveness of the nutrient assimilation process and avoids the excessive </w:t>
      </w:r>
      <w:r w:rsidR="009C51D2" w:rsidRPr="00A546B8">
        <w:rPr>
          <w:rFonts w:ascii="Times New Roman" w:hAnsi="Times New Roman" w:cs="Times New Roman"/>
        </w:rPr>
        <w:t>buildup</w:t>
      </w:r>
      <w:r w:rsidR="00A546B8" w:rsidRPr="00A546B8">
        <w:rPr>
          <w:rFonts w:ascii="Times New Roman" w:hAnsi="Times New Roman" w:cs="Times New Roman"/>
        </w:rPr>
        <w:t xml:space="preserve"> of organic matter which cause unsafe water quality conditions</w:t>
      </w:r>
      <w:r w:rsidR="009C51D2">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"/>
          <w:id w:val="-607499151"/>
          <w:placeholder>
            <w:docPart w:val="DefaultPlaceholder_-1854013440"/>
          </w:placeholder>
        </w:sdtPr>
        <w:sdtEndPr/>
        <w:sdtContent>
          <w:r w:rsidR="001801C7" w:rsidRPr="001801C7">
            <w:rPr>
              <w:rFonts w:ascii="Times New Roman" w:hAnsi="Times New Roman" w:cs="Times New Roman"/>
              <w:color w:val="000000"/>
            </w:rPr>
            <w:t>(Salger et al., 2020)</w:t>
          </w:r>
        </w:sdtContent>
      </w:sdt>
      <w:r w:rsidR="00A546B8" w:rsidRPr="00A546B8">
        <w:rPr>
          <w:rFonts w:ascii="Times New Roman" w:hAnsi="Times New Roman" w:cs="Times New Roman"/>
        </w:rPr>
        <w:t>.</w:t>
      </w:r>
    </w:p>
    <w:p w14:paraId="4118399B" w14:textId="6C4A1063" w:rsidR="004935FB" w:rsidRPr="004935FB" w:rsidRDefault="004935FB" w:rsidP="004935FB">
      <w:pPr>
        <w:spacing w:line="360" w:lineRule="auto"/>
        <w:jc w:val="both"/>
        <w:rPr>
          <w:rFonts w:ascii="Times New Roman" w:hAnsi="Times New Roman" w:cs="Times New Roman"/>
        </w:rPr>
      </w:pPr>
      <w:r w:rsidRPr="004935FB">
        <w:rPr>
          <w:rFonts w:ascii="Times New Roman" w:hAnsi="Times New Roman" w:cs="Times New Roman"/>
        </w:rPr>
        <w:t>The feeding regimes (metabolic load induced on the environment through feeding) along with seasonal climatic changes significantly affect the physicochemical stability of a pond ecosystem</w:t>
      </w:r>
      <w:r w:rsidR="00100770">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"/>
          <w:id w:val="-387033087"/>
          <w:placeholder>
            <w:docPart w:val="DefaultPlaceholder_-1854013440"/>
          </w:placeholder>
        </w:sdtPr>
        <w:sdtEndPr/>
        <w:sdtContent>
          <w:r w:rsidR="001801C7" w:rsidRPr="001801C7">
            <w:rPr>
              <w:rFonts w:ascii="Times New Roman" w:eastAsia="Times New Roman" w:hAnsi="Times New Roman" w:cs="Times New Roman"/>
              <w:color w:val="000000"/>
            </w:rPr>
            <w:t>(</w:t>
          </w:r>
          <w:proofErr w:type="spellStart"/>
          <w:r w:rsidR="001801C7" w:rsidRPr="001801C7">
            <w:rPr>
              <w:rFonts w:ascii="Times New Roman" w:eastAsia="Times New Roman" w:hAnsi="Times New Roman" w:cs="Times New Roman"/>
              <w:color w:val="000000"/>
            </w:rPr>
            <w:t>Mramba</w:t>
          </w:r>
          <w:proofErr w:type="spellEnd"/>
          <w:r w:rsidR="001801C7" w:rsidRPr="001801C7">
            <w:rPr>
              <w:rFonts w:ascii="Times New Roman" w:eastAsia="Times New Roman" w:hAnsi="Times New Roman" w:cs="Times New Roman"/>
              <w:color w:val="000000"/>
            </w:rPr>
            <w:t xml:space="preserve"> &amp; </w:t>
          </w:r>
          <w:proofErr w:type="spellStart"/>
          <w:r w:rsidR="001801C7" w:rsidRPr="001801C7">
            <w:rPr>
              <w:rFonts w:ascii="Times New Roman" w:eastAsia="Times New Roman" w:hAnsi="Times New Roman" w:cs="Times New Roman"/>
              <w:color w:val="000000"/>
            </w:rPr>
            <w:t>Kahindi</w:t>
          </w:r>
          <w:proofErr w:type="spellEnd"/>
          <w:r w:rsidR="001801C7" w:rsidRPr="001801C7">
            <w:rPr>
              <w:rFonts w:ascii="Times New Roman" w:eastAsia="Times New Roman" w:hAnsi="Times New Roman" w:cs="Times New Roman"/>
              <w:color w:val="000000"/>
            </w:rPr>
            <w:t>, 2023)</w:t>
          </w:r>
        </w:sdtContent>
      </w:sdt>
      <w:r w:rsidRPr="004935FB">
        <w:rPr>
          <w:rFonts w:ascii="Times New Roman" w:hAnsi="Times New Roman" w:cs="Times New Roman"/>
        </w:rPr>
        <w:t xml:space="preserve">. The feeding rate affects main characteristics like the concentration of dissolved oxygen (DO), pH, </w:t>
      </w:r>
      <w:r w:rsidR="00791C49">
        <w:rPr>
          <w:rFonts w:ascii="Times New Roman" w:hAnsi="Times New Roman" w:cs="Times New Roman"/>
        </w:rPr>
        <w:t>water transparency</w:t>
      </w:r>
      <w:r w:rsidRPr="004935FB">
        <w:rPr>
          <w:rFonts w:ascii="Times New Roman" w:hAnsi="Times New Roman" w:cs="Times New Roman"/>
        </w:rPr>
        <w:t xml:space="preserve"> and toxic metabolites such as ammonia and nitrite. These dynamics become more nuanced in tropical climatic regions with defined seasonality, like monsoon and post-monsoon seasons</w:t>
      </w:r>
      <w:r w:rsidR="00D7521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"/>
          <w:id w:val="-2099715451"/>
          <w:placeholder>
            <w:docPart w:val="DefaultPlaceholder_-1854013440"/>
          </w:placeholder>
        </w:sdtPr>
        <w:sdtEndPr/>
        <w:sdtContent>
          <w:r w:rsidR="001801C7" w:rsidRPr="001801C7">
            <w:rPr>
              <w:rFonts w:ascii="Times New Roman" w:hAnsi="Times New Roman" w:cs="Times New Roman"/>
              <w:color w:val="000000"/>
            </w:rPr>
            <w:t>(</w:t>
          </w:r>
          <w:proofErr w:type="spellStart"/>
          <w:r w:rsidR="001801C7" w:rsidRPr="001801C7">
            <w:rPr>
              <w:rFonts w:ascii="Times New Roman" w:hAnsi="Times New Roman" w:cs="Times New Roman"/>
              <w:color w:val="000000"/>
            </w:rPr>
            <w:t>Sipaúba</w:t>
          </w:r>
          <w:proofErr w:type="spellEnd"/>
          <w:r w:rsidR="001801C7" w:rsidRPr="001801C7">
            <w:rPr>
              <w:rFonts w:ascii="Times New Roman" w:hAnsi="Times New Roman" w:cs="Times New Roman"/>
              <w:color w:val="000000"/>
            </w:rPr>
            <w:t>-Tavares et al., 2013)</w:t>
          </w:r>
        </w:sdtContent>
      </w:sdt>
      <w:r w:rsidRPr="004935FB">
        <w:rPr>
          <w:rFonts w:ascii="Times New Roman" w:hAnsi="Times New Roman" w:cs="Times New Roman"/>
        </w:rPr>
        <w:t>. Monsoon season in Bangladesh induces large-scale hydrologic changes through the process of rainfall mediated aeration and surface mixing, changes that may amplify or reduce respiratory distress induced by high-frequency feeding</w:t>
      </w:r>
      <w:r w:rsidR="00D3241F">
        <w:rPr>
          <w:rFonts w:ascii="Times New Roman" w:hAnsi="Times New Roman" w:cs="Times New Roman"/>
        </w:rPr>
        <w:t xml:space="preserve">. </w:t>
      </w:r>
      <w:r w:rsidRPr="004935FB">
        <w:rPr>
          <w:rFonts w:ascii="Times New Roman" w:hAnsi="Times New Roman" w:cs="Times New Roman"/>
        </w:rPr>
        <w:t>In contrast, post-monsoon they would permit the retention of higher nutrient concentrations coupled with changed microbial dynamics due to stability</w:t>
      </w:r>
      <w:r w:rsidR="00D3241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"/>
          <w:id w:val="624354534"/>
          <w:placeholder>
            <w:docPart w:val="DefaultPlaceholder_-1854013440"/>
          </w:placeholder>
        </w:sdtPr>
        <w:sdtEndPr/>
        <w:sdtContent>
          <w:r w:rsidR="001801C7" w:rsidRPr="001801C7">
            <w:rPr>
              <w:rFonts w:ascii="Times New Roman" w:hAnsi="Times New Roman" w:cs="Times New Roman"/>
              <w:color w:val="000000"/>
            </w:rPr>
            <w:t>(Islam et al., 2015)</w:t>
          </w:r>
        </w:sdtContent>
      </w:sdt>
      <w:r w:rsidRPr="004935FB">
        <w:rPr>
          <w:rFonts w:ascii="Times New Roman" w:hAnsi="Times New Roman" w:cs="Times New Roman"/>
        </w:rPr>
        <w:t xml:space="preserve">. Although the demand for tilapia as per their physiology has been widely reported, the specific association between feeding management and individual species' seasonal environmental factors needs to be scientifically studied </w:t>
      </w:r>
      <w:r w:rsidR="00100770" w:rsidRPr="004935FB">
        <w:rPr>
          <w:rFonts w:ascii="Times New Roman" w:hAnsi="Times New Roman" w:cs="Times New Roman"/>
        </w:rPr>
        <w:t>to</w:t>
      </w:r>
      <w:r w:rsidRPr="004935FB">
        <w:rPr>
          <w:rFonts w:ascii="Times New Roman" w:hAnsi="Times New Roman" w:cs="Times New Roman"/>
        </w:rPr>
        <w:t xml:space="preserve"> define sustainable managerial practices.</w:t>
      </w:r>
    </w:p>
    <w:p w14:paraId="7457366E" w14:textId="20DBBC77" w:rsidR="003B0D5F" w:rsidRPr="003B0D5F" w:rsidRDefault="003B0D5F" w:rsidP="003B0D5F">
      <w:pPr>
        <w:spacing w:line="360" w:lineRule="auto"/>
        <w:jc w:val="both"/>
        <w:rPr>
          <w:rFonts w:ascii="Times New Roman" w:hAnsi="Times New Roman" w:cs="Times New Roman"/>
        </w:rPr>
      </w:pPr>
      <w:r w:rsidRPr="003B0D5F">
        <w:rPr>
          <w:rFonts w:ascii="Times New Roman" w:hAnsi="Times New Roman" w:cs="Times New Roman"/>
        </w:rPr>
        <w:t xml:space="preserve">The primary objectives of this study were to comprehensively evaluate the synergistic impact of varying feeding frequencies and seasonal transitions on the dynamic fluctuations of critical water quality parameters in earthen pond systems and to identify the optimal feeding regime that maximizes the growth performance, survival rates, and total production yield of </w:t>
      </w:r>
      <w:r w:rsidRPr="003B0D5F">
        <w:rPr>
          <w:rFonts w:ascii="Times New Roman" w:hAnsi="Times New Roman" w:cs="Times New Roman"/>
          <w:i/>
          <w:iCs/>
        </w:rPr>
        <w:t>Oreochromis niloticus</w:t>
      </w:r>
      <w:r w:rsidRPr="003B0D5F">
        <w:rPr>
          <w:rFonts w:ascii="Times New Roman" w:hAnsi="Times New Roman" w:cs="Times New Roman"/>
        </w:rPr>
        <w:t xml:space="preserve"> over a 120-day culture period. By synchronizing management practices with seasonal environmental carrying capacities, </w:t>
      </w:r>
      <w:r w:rsidR="00FC108B">
        <w:rPr>
          <w:rFonts w:ascii="Times New Roman" w:hAnsi="Times New Roman" w:cs="Times New Roman"/>
        </w:rPr>
        <w:t>the purpose of this study is providing a scientific basis for improving tilapia aquaculture's biological efficiency and environmental resilience.</w:t>
      </w:r>
    </w:p>
    <w:p w14:paraId="315BC506" w14:textId="7E27430A" w:rsidR="007A4690" w:rsidRPr="007A21B4" w:rsidRDefault="007A4690">
      <w:pPr>
        <w:rPr>
          <w:rFonts w:ascii="Times New Roman" w:hAnsi="Times New Roman" w:cs="Times New Roman"/>
          <w:b/>
          <w:bCs/>
        </w:rPr>
      </w:pPr>
      <w:r w:rsidRPr="007A21B4">
        <w:rPr>
          <w:rFonts w:ascii="Times New Roman" w:hAnsi="Times New Roman" w:cs="Times New Roman"/>
          <w:b/>
          <w:bCs/>
        </w:rPr>
        <w:t>Method and materials</w:t>
      </w:r>
    </w:p>
    <w:p w14:paraId="55D3B096" w14:textId="77777777" w:rsidR="007A21B4" w:rsidRPr="007A21B4" w:rsidRDefault="007A21B4" w:rsidP="007A21B4">
      <w:pPr>
        <w:rPr>
          <w:rFonts w:ascii="Times New Roman" w:hAnsi="Times New Roman" w:cs="Times New Roman"/>
          <w:b/>
          <w:bCs/>
        </w:rPr>
      </w:pPr>
      <w:r w:rsidRPr="007A21B4">
        <w:rPr>
          <w:rFonts w:ascii="Times New Roman" w:hAnsi="Times New Roman" w:cs="Times New Roman"/>
          <w:b/>
          <w:bCs/>
        </w:rPr>
        <w:t>Study Area and Period</w:t>
      </w:r>
    </w:p>
    <w:p w14:paraId="352A572D" w14:textId="51BEA90E" w:rsidR="007A21B4" w:rsidRPr="007A21B4" w:rsidRDefault="007A21B4" w:rsidP="007A21B4">
      <w:pPr>
        <w:spacing w:line="360" w:lineRule="auto"/>
        <w:jc w:val="both"/>
        <w:rPr>
          <w:rFonts w:ascii="Times New Roman" w:hAnsi="Times New Roman" w:cs="Times New Roman"/>
        </w:rPr>
      </w:pPr>
      <w:r w:rsidRPr="007A21B4">
        <w:rPr>
          <w:rFonts w:ascii="Times New Roman" w:hAnsi="Times New Roman" w:cs="Times New Roman"/>
        </w:rPr>
        <w:t xml:space="preserve">The study was conducted at </w:t>
      </w:r>
      <w:proofErr w:type="spellStart"/>
      <w:r>
        <w:rPr>
          <w:rFonts w:ascii="Times New Roman" w:hAnsi="Times New Roman" w:cs="Times New Roman"/>
        </w:rPr>
        <w:t>Bhabokhali</w:t>
      </w:r>
      <w:proofErr w:type="spellEnd"/>
      <w:r>
        <w:rPr>
          <w:rFonts w:ascii="Times New Roman" w:hAnsi="Times New Roman" w:cs="Times New Roman"/>
        </w:rPr>
        <w:t xml:space="preserve"> Union, </w:t>
      </w:r>
      <w:proofErr w:type="spellStart"/>
      <w:r>
        <w:rPr>
          <w:rFonts w:ascii="Times New Roman" w:hAnsi="Times New Roman" w:cs="Times New Roman"/>
        </w:rPr>
        <w:t>Sadar</w:t>
      </w:r>
      <w:proofErr w:type="spellEnd"/>
      <w:r w:rsidRPr="007A21B4">
        <w:rPr>
          <w:rFonts w:ascii="Times New Roman" w:hAnsi="Times New Roman" w:cs="Times New Roman"/>
        </w:rPr>
        <w:t xml:space="preserve"> </w:t>
      </w:r>
      <w:proofErr w:type="spellStart"/>
      <w:r w:rsidRPr="007A21B4">
        <w:rPr>
          <w:rFonts w:ascii="Times New Roman" w:hAnsi="Times New Roman" w:cs="Times New Roman"/>
        </w:rPr>
        <w:t>Upazila</w:t>
      </w:r>
      <w:proofErr w:type="spellEnd"/>
      <w:r w:rsidRPr="007A21B4">
        <w:rPr>
          <w:rFonts w:ascii="Times New Roman" w:hAnsi="Times New Roman" w:cs="Times New Roman"/>
        </w:rPr>
        <w:t xml:space="preserve"> under </w:t>
      </w:r>
      <w:r>
        <w:rPr>
          <w:rFonts w:ascii="Times New Roman" w:hAnsi="Times New Roman" w:cs="Times New Roman"/>
        </w:rPr>
        <w:t>Mymensingh</w:t>
      </w:r>
      <w:r w:rsidRPr="007A21B4">
        <w:rPr>
          <w:rFonts w:ascii="Times New Roman" w:hAnsi="Times New Roman" w:cs="Times New Roman"/>
        </w:rPr>
        <w:t xml:space="preserve"> District, Bangladesh). The experiment spanned a duration of 120 days, from July to November 2025.</w:t>
      </w:r>
    </w:p>
    <w:p w14:paraId="345F3210" w14:textId="36A08971" w:rsidR="007A21B4" w:rsidRPr="00AC4F24" w:rsidRDefault="007A21B4" w:rsidP="00AC4F24">
      <w:pPr>
        <w:rPr>
          <w:rFonts w:ascii="Times New Roman" w:hAnsi="Times New Roman" w:cs="Times New Roman"/>
          <w:b/>
          <w:bCs/>
        </w:rPr>
      </w:pPr>
      <w:r w:rsidRPr="00AC4F24">
        <w:rPr>
          <w:rFonts w:ascii="Times New Roman" w:hAnsi="Times New Roman" w:cs="Times New Roman"/>
          <w:b/>
          <w:bCs/>
        </w:rPr>
        <w:t>Experimental Design and Pond Management</w:t>
      </w:r>
    </w:p>
    <w:p w14:paraId="741AB800" w14:textId="2A9E461D" w:rsidR="00AC4F24" w:rsidRPr="00AC4F24" w:rsidRDefault="00AC4F24" w:rsidP="00AC4F24">
      <w:pPr>
        <w:spacing w:line="360" w:lineRule="auto"/>
        <w:jc w:val="both"/>
        <w:rPr>
          <w:rFonts w:ascii="Times New Roman" w:hAnsi="Times New Roman" w:cs="Times New Roman"/>
        </w:rPr>
      </w:pPr>
      <w:r w:rsidRPr="00AC4F24">
        <w:rPr>
          <w:rFonts w:ascii="Times New Roman" w:hAnsi="Times New Roman" w:cs="Times New Roman"/>
        </w:rPr>
        <w:lastRenderedPageBreak/>
        <w:t xml:space="preserve">The experiment was conducted using a completely randomized design (CRD) consisting of three distinct feeding frequency treatments, with each treatment replicated </w:t>
      </w:r>
      <w:r>
        <w:rPr>
          <w:rFonts w:ascii="Times New Roman" w:hAnsi="Times New Roman" w:cs="Times New Roman"/>
        </w:rPr>
        <w:t>thrice</w:t>
      </w:r>
      <w:r w:rsidRPr="00AC4F24">
        <w:rPr>
          <w:rFonts w:ascii="Times New Roman" w:hAnsi="Times New Roman" w:cs="Times New Roman"/>
        </w:rPr>
        <w:t xml:space="preserve"> (n=</w:t>
      </w:r>
      <w:r>
        <w:rPr>
          <w:rFonts w:ascii="Times New Roman" w:hAnsi="Times New Roman" w:cs="Times New Roman"/>
        </w:rPr>
        <w:t>3</w:t>
      </w:r>
      <w:r w:rsidRPr="00AC4F24">
        <w:rPr>
          <w:rFonts w:ascii="Times New Roman" w:hAnsi="Times New Roman" w:cs="Times New Roman"/>
        </w:rPr>
        <w:t>). These treatments were defined as once-daily feeding (T</w:t>
      </w:r>
      <w:r w:rsidRPr="00AC4F24">
        <w:rPr>
          <w:rFonts w:ascii="Times New Roman" w:hAnsi="Times New Roman" w:cs="Times New Roman"/>
          <w:vertAlign w:val="subscript"/>
        </w:rPr>
        <w:t>1</w:t>
      </w:r>
      <w:r w:rsidRPr="00AC4F24">
        <w:rPr>
          <w:rFonts w:ascii="Times New Roman" w:hAnsi="Times New Roman" w:cs="Times New Roman"/>
        </w:rPr>
        <w:t>), twice-daily feeding (T</w:t>
      </w:r>
      <w:r w:rsidRPr="00AC4F24">
        <w:rPr>
          <w:rFonts w:ascii="Times New Roman" w:hAnsi="Times New Roman" w:cs="Times New Roman"/>
          <w:vertAlign w:val="subscript"/>
        </w:rPr>
        <w:t>2</w:t>
      </w:r>
      <w:r w:rsidRPr="00AC4F24">
        <w:rPr>
          <w:rFonts w:ascii="Times New Roman" w:hAnsi="Times New Roman" w:cs="Times New Roman"/>
        </w:rPr>
        <w:t>), and thrice-daily feeding (T</w:t>
      </w:r>
      <w:r w:rsidRPr="00AC4F24">
        <w:rPr>
          <w:rFonts w:ascii="Times New Roman" w:hAnsi="Times New Roman" w:cs="Times New Roman"/>
          <w:vertAlign w:val="subscript"/>
        </w:rPr>
        <w:t>3</w:t>
      </w:r>
      <w:r w:rsidRPr="00AC4F24">
        <w:rPr>
          <w:rFonts w:ascii="Times New Roman" w:hAnsi="Times New Roman" w:cs="Times New Roman"/>
        </w:rPr>
        <w:t>). The study utilized six rectangular earthen ponds, each covering an area of 20 decimals with an average depth of 1.2 m. To ensure experimental consistency, all ponds were standardized for basin configuration and bottom type. Water levels were strictly maintained at a minimum of 1 m throughout the study period, supplemented by both groundwater and natural rainfall. Before the commencement of the trial, each pond underwent manual cleaning, and all unwanted species were eradicated through thorough netting.</w:t>
      </w:r>
    </w:p>
    <w:p w14:paraId="446EC59E" w14:textId="29D9A581" w:rsidR="007A21B4" w:rsidRPr="00AC4F24" w:rsidRDefault="007A21B4" w:rsidP="00AC4F24">
      <w:pPr>
        <w:rPr>
          <w:rFonts w:ascii="Times New Roman" w:hAnsi="Times New Roman" w:cs="Times New Roman"/>
          <w:b/>
          <w:bCs/>
        </w:rPr>
      </w:pPr>
      <w:r w:rsidRPr="00AC4F24">
        <w:rPr>
          <w:rFonts w:ascii="Times New Roman" w:hAnsi="Times New Roman" w:cs="Times New Roman"/>
          <w:b/>
          <w:bCs/>
        </w:rPr>
        <w:t>Stocking and Feeding Regime</w:t>
      </w:r>
    </w:p>
    <w:p w14:paraId="5E231570" w14:textId="76EC6E38" w:rsidR="00AC4F24" w:rsidRPr="00AC4F24" w:rsidRDefault="00AC4F24" w:rsidP="00AC4F24">
      <w:pPr>
        <w:spacing w:line="360" w:lineRule="auto"/>
        <w:jc w:val="both"/>
        <w:rPr>
          <w:rFonts w:ascii="Times New Roman" w:hAnsi="Times New Roman" w:cs="Times New Roman"/>
        </w:rPr>
      </w:pPr>
      <w:r w:rsidRPr="00AC4F24">
        <w:rPr>
          <w:rFonts w:ascii="Times New Roman" w:hAnsi="Times New Roman" w:cs="Times New Roman"/>
        </w:rPr>
        <w:t>Nile tilapia (</w:t>
      </w:r>
      <w:r w:rsidRPr="00AC4F24">
        <w:rPr>
          <w:rFonts w:ascii="Times New Roman" w:hAnsi="Times New Roman" w:cs="Times New Roman"/>
          <w:i/>
          <w:iCs/>
        </w:rPr>
        <w:t>Oreochromis niloticus</w:t>
      </w:r>
      <w:r w:rsidRPr="00AC4F24">
        <w:rPr>
          <w:rFonts w:ascii="Times New Roman" w:hAnsi="Times New Roman" w:cs="Times New Roman"/>
        </w:rPr>
        <w:t xml:space="preserve">) fry was sourced from the </w:t>
      </w:r>
      <w:proofErr w:type="spellStart"/>
      <w:r w:rsidR="00122A42">
        <w:rPr>
          <w:rFonts w:ascii="Times New Roman" w:hAnsi="Times New Roman" w:cs="Times New Roman"/>
        </w:rPr>
        <w:t>Sotota</w:t>
      </w:r>
      <w:proofErr w:type="spellEnd"/>
      <w:r w:rsidR="00122A42">
        <w:rPr>
          <w:rFonts w:ascii="Times New Roman" w:hAnsi="Times New Roman" w:cs="Times New Roman"/>
        </w:rPr>
        <w:t xml:space="preserve"> </w:t>
      </w:r>
      <w:proofErr w:type="spellStart"/>
      <w:r w:rsidR="00122A42">
        <w:rPr>
          <w:rFonts w:ascii="Times New Roman" w:hAnsi="Times New Roman" w:cs="Times New Roman"/>
        </w:rPr>
        <w:t>Motso</w:t>
      </w:r>
      <w:proofErr w:type="spellEnd"/>
      <w:r w:rsidR="00122A42">
        <w:rPr>
          <w:rFonts w:ascii="Times New Roman" w:hAnsi="Times New Roman" w:cs="Times New Roman"/>
        </w:rPr>
        <w:t xml:space="preserve"> </w:t>
      </w:r>
      <w:proofErr w:type="spellStart"/>
      <w:r w:rsidR="00122A42">
        <w:rPr>
          <w:rFonts w:ascii="Times New Roman" w:hAnsi="Times New Roman" w:cs="Times New Roman"/>
        </w:rPr>
        <w:t>Khamar</w:t>
      </w:r>
      <w:proofErr w:type="spellEnd"/>
      <w:r w:rsidRPr="00AC4F24">
        <w:rPr>
          <w:rFonts w:ascii="Times New Roman" w:hAnsi="Times New Roman" w:cs="Times New Roman"/>
        </w:rPr>
        <w:t xml:space="preserve"> in </w:t>
      </w:r>
      <w:r w:rsidR="00122A42">
        <w:rPr>
          <w:rFonts w:ascii="Times New Roman" w:hAnsi="Times New Roman" w:cs="Times New Roman"/>
        </w:rPr>
        <w:t>Sadar</w:t>
      </w:r>
      <w:r w:rsidRPr="00AC4F24">
        <w:rPr>
          <w:rFonts w:ascii="Times New Roman" w:hAnsi="Times New Roman" w:cs="Times New Roman"/>
        </w:rPr>
        <w:t xml:space="preserve">, Mymensingh, and underwent a period of acclimatization prior to stocking. Following this, fingerlings with a mean length of 6.5 cm and a mean weight of </w:t>
      </w:r>
      <w:r w:rsidR="00122A42">
        <w:rPr>
          <w:rFonts w:ascii="Times New Roman" w:hAnsi="Times New Roman" w:cs="Times New Roman"/>
        </w:rPr>
        <w:t>6</w:t>
      </w:r>
      <w:r w:rsidRPr="00AC4F24">
        <w:rPr>
          <w:rFonts w:ascii="Times New Roman" w:hAnsi="Times New Roman" w:cs="Times New Roman"/>
        </w:rPr>
        <w:t xml:space="preserve"> g were stocked in the experimental ponds at a density of 200 fish per decimal. To support optimal growth and minimize waste, the feeding rate was systematically adjusted </w:t>
      </w:r>
      <w:r w:rsidR="00122A42" w:rsidRPr="00AC4F24">
        <w:rPr>
          <w:rFonts w:ascii="Times New Roman" w:hAnsi="Times New Roman" w:cs="Times New Roman"/>
        </w:rPr>
        <w:t>monthly</w:t>
      </w:r>
      <w:r w:rsidRPr="00AC4F24">
        <w:rPr>
          <w:rFonts w:ascii="Times New Roman" w:hAnsi="Times New Roman" w:cs="Times New Roman"/>
        </w:rPr>
        <w:t xml:space="preserve"> according to the percentage of body weight (BW). The feeding schedule was initiated at 20% BW during the first month, followed by reductions to 15% BW in the second month, 10% BW in the third month, and finally 5% BW during the fourth month of the culture period.</w:t>
      </w:r>
    </w:p>
    <w:p w14:paraId="2077E270" w14:textId="20FDB3BA" w:rsidR="007A21B4" w:rsidRPr="002A0DA4" w:rsidRDefault="007A21B4" w:rsidP="002A0DA4">
      <w:pPr>
        <w:spacing w:line="360" w:lineRule="auto"/>
        <w:jc w:val="both"/>
        <w:rPr>
          <w:rFonts w:ascii="Times New Roman" w:hAnsi="Times New Roman" w:cs="Times New Roman"/>
          <w:b/>
          <w:bCs/>
        </w:rPr>
      </w:pPr>
      <w:r w:rsidRPr="002A0DA4">
        <w:rPr>
          <w:rFonts w:ascii="Times New Roman" w:hAnsi="Times New Roman" w:cs="Times New Roman"/>
          <w:b/>
          <w:bCs/>
        </w:rPr>
        <w:t>Water Quality Monitoring</w:t>
      </w:r>
    </w:p>
    <w:p w14:paraId="74620CF6" w14:textId="2F2715F3" w:rsidR="007A21B4" w:rsidRDefault="007A21B4" w:rsidP="006A032E">
      <w:pPr>
        <w:pStyle w:val="NormalWeb"/>
        <w:spacing w:line="360" w:lineRule="auto"/>
        <w:jc w:val="both"/>
      </w:pPr>
      <w:r w:rsidRPr="002A0DA4">
        <w:t xml:space="preserve">Physicochemical parameters were monitored every </w:t>
      </w:r>
      <w:r w:rsidR="0027305C">
        <w:t>seven</w:t>
      </w:r>
      <w:r w:rsidRPr="002A0DA4">
        <w:t xml:space="preserve"> days in the morning. Temperature, Dissolved Oxygen (DO), and pH were measured using a Portable Multiparameter (HANNA, HI 98194 pH/EC/DO multiparameter).</w:t>
      </w:r>
      <w:r w:rsidR="00460160">
        <w:t xml:space="preserve"> Transparency of pond water was measured by Secchi Disc. </w:t>
      </w:r>
      <w:r w:rsidRPr="002A0DA4">
        <w:t>Nutrient concentrations, including</w:t>
      </w:r>
      <w:r w:rsidR="00927682">
        <w:t xml:space="preserve"> </w:t>
      </w:r>
      <w:r w:rsidR="00927682" w:rsidRPr="00927682">
        <w:t>Ammonia-nitrogen (NH</w:t>
      </w:r>
      <w:r w:rsidR="00927682" w:rsidRPr="00927682">
        <w:rPr>
          <w:vertAlign w:val="subscript"/>
        </w:rPr>
        <w:t>3</w:t>
      </w:r>
      <w:r w:rsidR="00927682" w:rsidRPr="00927682">
        <w:rPr>
          <w:vertAlign w:val="superscript"/>
        </w:rPr>
        <w:t>-</w:t>
      </w:r>
      <w:r w:rsidR="00927682" w:rsidRPr="00927682">
        <w:t>N),</w:t>
      </w:r>
      <w:r w:rsidRPr="002A0DA4">
        <w:t xml:space="preserve"> Nitrite-nitrogen (</w:t>
      </w:r>
      <w:r w:rsidRPr="002A0DA4">
        <w:rPr>
          <w:rStyle w:val="math-inline"/>
          <w:rFonts w:eastAsiaTheme="majorEastAsia"/>
        </w:rPr>
        <w:t>NO</w:t>
      </w:r>
      <w:r w:rsidRPr="002A0DA4">
        <w:rPr>
          <w:rStyle w:val="math-inline"/>
          <w:rFonts w:eastAsiaTheme="majorEastAsia"/>
          <w:vertAlign w:val="subscript"/>
        </w:rPr>
        <w:t>2</w:t>
      </w:r>
      <w:r w:rsidRPr="00927682">
        <w:rPr>
          <w:rStyle w:val="math-inline"/>
          <w:rFonts w:eastAsiaTheme="majorEastAsia"/>
          <w:vertAlign w:val="superscript"/>
        </w:rPr>
        <w:t>-</w:t>
      </w:r>
      <w:r w:rsidRPr="002A0DA4">
        <w:rPr>
          <w:rStyle w:val="math-inline"/>
          <w:rFonts w:eastAsiaTheme="majorEastAsia"/>
        </w:rPr>
        <w:t>N</w:t>
      </w:r>
      <w:r w:rsidRPr="002A0DA4">
        <w:t>), were analyzed using a HACH spectrophotometer DR-1900 with appropriate reagents (NitraVer-6, NitriVer-3, and Nessler reagent)</w:t>
      </w:r>
      <w:r w:rsidR="00460160">
        <w:t xml:space="preserve"> at Water Quality Laboratory of Bangladesh Fisheries Research Institute (BFRI), Mymensingh.</w:t>
      </w:r>
    </w:p>
    <w:p w14:paraId="7098220A" w14:textId="3BE95E3B" w:rsidR="007A21B4" w:rsidRPr="006A032E" w:rsidRDefault="007A21B4" w:rsidP="006A032E">
      <w:pPr>
        <w:rPr>
          <w:rFonts w:ascii="Times New Roman" w:hAnsi="Times New Roman" w:cs="Times New Roman"/>
          <w:b/>
          <w:bCs/>
        </w:rPr>
      </w:pPr>
      <w:r w:rsidRPr="006A032E">
        <w:rPr>
          <w:rFonts w:ascii="Times New Roman" w:hAnsi="Times New Roman" w:cs="Times New Roman"/>
          <w:b/>
          <w:bCs/>
        </w:rPr>
        <w:t>Growth Performance and Yield Parameters</w:t>
      </w:r>
    </w:p>
    <w:p w14:paraId="69E00A52" w14:textId="19AEFBFA" w:rsidR="006A032E" w:rsidRPr="006A032E" w:rsidRDefault="006A032E" w:rsidP="006A032E">
      <w:pPr>
        <w:spacing w:line="360" w:lineRule="auto"/>
        <w:jc w:val="both"/>
        <w:rPr>
          <w:rFonts w:ascii="Times New Roman" w:hAnsi="Times New Roman" w:cs="Times New Roman"/>
        </w:rPr>
      </w:pPr>
      <w:r w:rsidRPr="006A032E">
        <w:rPr>
          <w:rFonts w:ascii="Times New Roman" w:hAnsi="Times New Roman" w:cs="Times New Roman"/>
        </w:rPr>
        <w:t xml:space="preserve">To monitor growth performance throughout the 120-day culture period, monthly sampling was performed by collecting 10% of the fish population from each pond using a seine net. The collected data were used to evaluate growth and yield efficiency based on several standard parameters. </w:t>
      </w:r>
      <w:r w:rsidRPr="006A032E">
        <w:rPr>
          <w:rFonts w:ascii="Times New Roman" w:hAnsi="Times New Roman" w:cs="Times New Roman"/>
        </w:rPr>
        <w:lastRenderedPageBreak/>
        <w:t>Weight gain was determined by subtracting the mean initial weight from the mean final weight of the harvested tilapia. The survival rate (%) was calculated as the ratio of the total number of fish harvested to the total number of fish originally stocked, expressed as a percentage. Finally, total production per unit area (kg/dec) was calculated by multiplying the total number of fish caught at harvest by their average final body weight.</w:t>
      </w:r>
    </w:p>
    <w:p w14:paraId="6D71DD96" w14:textId="39849CE1" w:rsidR="007A21B4" w:rsidRDefault="007A21B4" w:rsidP="006A032E">
      <w:pPr>
        <w:rPr>
          <w:rFonts w:ascii="Times New Roman" w:hAnsi="Times New Roman" w:cs="Times New Roman"/>
          <w:b/>
          <w:bCs/>
        </w:rPr>
      </w:pPr>
      <w:r w:rsidRPr="006A032E">
        <w:rPr>
          <w:rFonts w:ascii="Times New Roman" w:hAnsi="Times New Roman" w:cs="Times New Roman"/>
          <w:b/>
          <w:bCs/>
        </w:rPr>
        <w:t>Statistical Analysis</w:t>
      </w:r>
    </w:p>
    <w:p w14:paraId="2C596184" w14:textId="53385531" w:rsidR="00B97A31" w:rsidRPr="00B97A31" w:rsidRDefault="00B97A31" w:rsidP="00B97A31">
      <w:pPr>
        <w:spacing w:line="360" w:lineRule="auto"/>
        <w:jc w:val="both"/>
        <w:rPr>
          <w:rFonts w:ascii="Times New Roman" w:hAnsi="Times New Roman" w:cs="Times New Roman"/>
        </w:rPr>
      </w:pPr>
      <w:r w:rsidRPr="00B97A31">
        <w:rPr>
          <w:rFonts w:ascii="Times New Roman" w:hAnsi="Times New Roman" w:cs="Times New Roman"/>
        </w:rPr>
        <w:t>For the statistical analysis of the research data, R software was utilized to perform all computational tasks and data visualizations</w:t>
      </w:r>
      <w:r w:rsidR="00721469">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"/>
          <w:id w:val="-1663614595"/>
          <w:placeholder>
            <w:docPart w:val="DefaultPlaceholder_-1854013440"/>
          </w:placeholder>
        </w:sdtPr>
        <w:sdtEndPr/>
        <w:sdtContent>
          <w:r w:rsidR="001801C7" w:rsidRPr="001801C7">
            <w:rPr>
              <w:rFonts w:ascii="Times New Roman" w:hAnsi="Times New Roman" w:cs="Times New Roman"/>
              <w:color w:val="000000"/>
            </w:rPr>
            <w:t>(Posit team, 2024)</w:t>
          </w:r>
        </w:sdtContent>
      </w:sdt>
      <w:r w:rsidR="00721469">
        <w:rPr>
          <w:rFonts w:ascii="Times New Roman" w:hAnsi="Times New Roman" w:cs="Times New Roman"/>
          <w:color w:val="000000"/>
        </w:rPr>
        <w:t>.</w:t>
      </w:r>
      <w:r w:rsidRPr="00B97A31">
        <w:rPr>
          <w:rFonts w:ascii="Times New Roman" w:hAnsi="Times New Roman" w:cs="Times New Roman"/>
        </w:rPr>
        <w:t xml:space="preserve"> This open-source environment was specifically employed to execute the two-way Analysis of Variance (ANOVA) and Tukey’s Honestly Significant Difference (HSD) tests to determine the impact of feeding frequencies and seasonal variations. Additionally, the software was used to generate the Pearson correlation matrix, which mapped the interrelationships between the physical and chemical water quality parameters.</w:t>
      </w:r>
    </w:p>
    <w:p w14:paraId="1DD79302" w14:textId="35A89DDA" w:rsidR="007A4690" w:rsidRDefault="007A4690" w:rsidP="006D3E50">
      <w:pPr>
        <w:spacing w:line="360" w:lineRule="auto"/>
        <w:rPr>
          <w:rFonts w:ascii="Times New Roman" w:hAnsi="Times New Roman" w:cs="Times New Roman"/>
          <w:b/>
          <w:bCs/>
        </w:rPr>
      </w:pPr>
      <w:r w:rsidRPr="00C276A0">
        <w:rPr>
          <w:rFonts w:ascii="Times New Roman" w:hAnsi="Times New Roman" w:cs="Times New Roman"/>
          <w:b/>
          <w:bCs/>
        </w:rPr>
        <w:t>Result</w:t>
      </w:r>
      <w:r w:rsidR="00D30B6A" w:rsidRPr="00C276A0">
        <w:rPr>
          <w:rFonts w:ascii="Times New Roman" w:hAnsi="Times New Roman" w:cs="Times New Roman"/>
          <w:b/>
          <w:bCs/>
        </w:rPr>
        <w:t xml:space="preserve"> and Discussion</w:t>
      </w:r>
    </w:p>
    <w:p w14:paraId="3A3E3919" w14:textId="60ED6593" w:rsidR="00F2337A" w:rsidRPr="00F2337A" w:rsidRDefault="007A3179" w:rsidP="00F2337A">
      <w:pPr>
        <w:spacing w:line="360" w:lineRule="auto"/>
        <w:jc w:val="both"/>
        <w:rPr>
          <w:rFonts w:ascii="Times New Roman" w:hAnsi="Times New Roman" w:cs="Times New Roman"/>
        </w:rPr>
      </w:pPr>
      <w:r>
        <w:rPr>
          <w:rFonts w:ascii="Times New Roman" w:hAnsi="Times New Roman" w:cs="Times New Roman"/>
        </w:rPr>
        <w:t>The evaluation of growth indices and water quality indicators provides essential details on the biological efficiency and environmental stability of Nile tilapia (</w:t>
      </w:r>
      <w:r w:rsidRPr="007A3179">
        <w:rPr>
          <w:rFonts w:ascii="Times New Roman" w:hAnsi="Times New Roman" w:cs="Times New Roman"/>
          <w:i/>
          <w:iCs/>
        </w:rPr>
        <w:t>Oreochromis niloticus</w:t>
      </w:r>
      <w:r>
        <w:rPr>
          <w:rFonts w:ascii="Times New Roman" w:hAnsi="Times New Roman" w:cs="Times New Roman"/>
        </w:rPr>
        <w:t xml:space="preserve">) culture under various management systems. This part describes how the seasons and feeding frequency interact to change the physicochemical dynamics of the pond ecosystem, which in fact influences fish </w:t>
      </w:r>
      <w:r w:rsidR="00F1502F">
        <w:rPr>
          <w:rFonts w:ascii="Times New Roman" w:hAnsi="Times New Roman" w:cs="Times New Roman"/>
        </w:rPr>
        <w:t>productivity</w:t>
      </w:r>
      <w:r>
        <w:rPr>
          <w:rFonts w:ascii="Times New Roman" w:hAnsi="Times New Roman" w:cs="Times New Roman"/>
        </w:rPr>
        <w:t>.</w:t>
      </w:r>
    </w:p>
    <w:p w14:paraId="5122FCBE" w14:textId="49683069" w:rsidR="00C276A0" w:rsidRDefault="00C276A0" w:rsidP="006D3E50">
      <w:pPr>
        <w:spacing w:line="360" w:lineRule="auto"/>
        <w:rPr>
          <w:rFonts w:ascii="Times New Roman" w:hAnsi="Times New Roman" w:cs="Times New Roman"/>
          <w:b/>
          <w:bCs/>
        </w:rPr>
      </w:pPr>
      <w:r>
        <w:rPr>
          <w:rFonts w:ascii="Times New Roman" w:hAnsi="Times New Roman" w:cs="Times New Roman"/>
          <w:b/>
          <w:bCs/>
        </w:rPr>
        <w:t>Dissolve Oxygen</w:t>
      </w:r>
    </w:p>
    <w:p w14:paraId="15A4F99F" w14:textId="0712C1F6" w:rsidR="0079273A" w:rsidRDefault="00C276A0" w:rsidP="0079273A">
      <w:pPr>
        <w:spacing w:line="360" w:lineRule="auto"/>
        <w:jc w:val="both"/>
        <w:rPr>
          <w:rFonts w:ascii="Times New Roman" w:hAnsi="Times New Roman" w:cs="Times New Roman"/>
        </w:rPr>
      </w:pPr>
      <w:r w:rsidRPr="00C276A0">
        <w:rPr>
          <w:rFonts w:ascii="Times New Roman" w:hAnsi="Times New Roman" w:cs="Times New Roman"/>
        </w:rPr>
        <w:t>Dissolved oxygen (DO) concentrations in the Nile tilapia culture system exhibited significant fluctuations influenced by both feeding frequency and seasonal transitions. During the monsoon, the highest DO was recorded in T</w:t>
      </w:r>
      <w:r w:rsidRPr="009B37CB">
        <w:rPr>
          <w:rFonts w:ascii="Times New Roman" w:hAnsi="Times New Roman" w:cs="Times New Roman"/>
          <w:vertAlign w:val="subscript"/>
        </w:rPr>
        <w:t>1</w:t>
      </w:r>
      <w:r w:rsidRPr="00C276A0">
        <w:rPr>
          <w:rFonts w:ascii="Times New Roman" w:hAnsi="Times New Roman" w:cs="Times New Roman"/>
        </w:rPr>
        <w:t xml:space="preserve"> (5.16</w:t>
      </w:r>
      <w:r w:rsidR="003062FE">
        <w:rPr>
          <w:rFonts w:ascii="Times New Roman" w:hAnsi="Times New Roman" w:cs="Times New Roman"/>
        </w:rPr>
        <w:t xml:space="preserve"> ±</w:t>
      </w:r>
      <w:r w:rsidRPr="00C276A0">
        <w:rPr>
          <w:rFonts w:ascii="Times New Roman" w:hAnsi="Times New Roman" w:cs="Times New Roman"/>
        </w:rPr>
        <w:t xml:space="preserve"> 0.32 mg/L), which significantly decreased to 4.57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0.68 mg/L in T</w:t>
      </w:r>
      <w:r w:rsidRPr="009B37CB">
        <w:rPr>
          <w:rFonts w:ascii="Times New Roman" w:hAnsi="Times New Roman" w:cs="Times New Roman"/>
          <w:vertAlign w:val="subscript"/>
        </w:rPr>
        <w:t>2</w:t>
      </w:r>
      <w:r w:rsidRPr="00C276A0">
        <w:rPr>
          <w:rFonts w:ascii="Times New Roman" w:hAnsi="Times New Roman" w:cs="Times New Roman"/>
        </w:rPr>
        <w:t xml:space="preserve"> and reached a minimum of 4.24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0.13 mg/L in T</w:t>
      </w:r>
      <w:r w:rsidRPr="00000486">
        <w:rPr>
          <w:rFonts w:ascii="Times New Roman" w:hAnsi="Times New Roman" w:cs="Times New Roman"/>
          <w:vertAlign w:val="subscript"/>
        </w:rPr>
        <w:t>3</w:t>
      </w:r>
      <w:r w:rsidR="00514FBF">
        <w:rPr>
          <w:rFonts w:ascii="Times New Roman" w:hAnsi="Times New Roman" w:cs="Times New Roman"/>
          <w:vertAlign w:val="subscript"/>
        </w:rPr>
        <w:t xml:space="preserve"> </w:t>
      </w:r>
      <w:r w:rsidR="00514FBF">
        <w:rPr>
          <w:rFonts w:ascii="Times New Roman" w:hAnsi="Times New Roman" w:cs="Times New Roman"/>
        </w:rPr>
        <w:t>(Figure 1)</w:t>
      </w:r>
      <w:r w:rsidRPr="00C276A0">
        <w:rPr>
          <w:rFonts w:ascii="Times New Roman" w:hAnsi="Times New Roman" w:cs="Times New Roman"/>
        </w:rPr>
        <w:t>. Post-monsoon values followed a similar declining trend from T</w:t>
      </w:r>
      <w:r w:rsidRPr="000A6071">
        <w:rPr>
          <w:rFonts w:ascii="Times New Roman" w:hAnsi="Times New Roman" w:cs="Times New Roman"/>
          <w:vertAlign w:val="subscript"/>
        </w:rPr>
        <w:t>1</w:t>
      </w:r>
      <w:r w:rsidRPr="00C276A0">
        <w:rPr>
          <w:rFonts w:ascii="Times New Roman" w:hAnsi="Times New Roman" w:cs="Times New Roman"/>
        </w:rPr>
        <w:t xml:space="preserve"> (4.76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0.22 mg/L) to T</w:t>
      </w:r>
      <w:r w:rsidRPr="000A6071">
        <w:rPr>
          <w:rFonts w:ascii="Times New Roman" w:hAnsi="Times New Roman" w:cs="Times New Roman"/>
          <w:vertAlign w:val="subscript"/>
        </w:rPr>
        <w:t>3</w:t>
      </w:r>
      <w:r w:rsidRPr="00C276A0">
        <w:rPr>
          <w:rFonts w:ascii="Times New Roman" w:hAnsi="Times New Roman" w:cs="Times New Roman"/>
        </w:rPr>
        <w:t xml:space="preserve"> (4.43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0.33 mg/L), although the disparity between T</w:t>
      </w:r>
      <w:r w:rsidRPr="00995824">
        <w:rPr>
          <w:rFonts w:ascii="Times New Roman" w:hAnsi="Times New Roman" w:cs="Times New Roman"/>
          <w:vertAlign w:val="subscript"/>
        </w:rPr>
        <w:t>2</w:t>
      </w:r>
      <w:r w:rsidRPr="00C276A0">
        <w:rPr>
          <w:rFonts w:ascii="Times New Roman" w:hAnsi="Times New Roman" w:cs="Times New Roman"/>
        </w:rPr>
        <w:t xml:space="preserve"> and T</w:t>
      </w:r>
      <w:r w:rsidRPr="00995824">
        <w:rPr>
          <w:rFonts w:ascii="Times New Roman" w:hAnsi="Times New Roman" w:cs="Times New Roman"/>
          <w:vertAlign w:val="subscript"/>
        </w:rPr>
        <w:t>3</w:t>
      </w:r>
      <w:r w:rsidRPr="00C276A0">
        <w:rPr>
          <w:rFonts w:ascii="Times New Roman" w:hAnsi="Times New Roman" w:cs="Times New Roman"/>
        </w:rPr>
        <w:t xml:space="preserve"> was less pronounced (</w:t>
      </w:r>
      <w:r w:rsidR="003062FE">
        <w:rPr>
          <w:rFonts w:ascii="Times New Roman" w:hAnsi="Times New Roman" w:cs="Times New Roman"/>
        </w:rPr>
        <w:t>p</w:t>
      </w:r>
      <w:r w:rsidRPr="00C276A0">
        <w:rPr>
          <w:rFonts w:ascii="Times New Roman" w:hAnsi="Times New Roman" w:cs="Times New Roman"/>
        </w:rPr>
        <w:t xml:space="preserve"> &lt; 0.05). The observed reduction in DO with increased feeding frequency is likely due to elevated biological oxygen demand (BOD) resulting from the microbial decomposition of uneaten feed and increased metabolic waste</w:t>
      </w:r>
      <w:r w:rsidR="00BB4AF4">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"/>
          <w:id w:val="-1684430713"/>
          <w:placeholder>
            <w:docPart w:val="DefaultPlaceholder_-1854013440"/>
          </w:placeholder>
        </w:sdtPr>
        <w:sdtEndPr/>
        <w:sdtContent>
          <w:r w:rsidR="001801C7" w:rsidRPr="001801C7">
            <w:rPr>
              <w:rFonts w:ascii="Times New Roman" w:hAnsi="Times New Roman" w:cs="Times New Roman"/>
              <w:color w:val="000000"/>
            </w:rPr>
            <w:t>(He et al., 2015)</w:t>
          </w:r>
        </w:sdtContent>
      </w:sdt>
      <w:r w:rsidRPr="00C276A0">
        <w:rPr>
          <w:rFonts w:ascii="Times New Roman" w:hAnsi="Times New Roman" w:cs="Times New Roman"/>
        </w:rPr>
        <w:t xml:space="preserve">. Additionally, higher monsoon DO levels may be attributed to enhanced atmospheric aeration and surface mixing during rainfall, which partially offset the respiratory demands of the </w:t>
      </w:r>
      <w:r w:rsidRPr="00C276A0">
        <w:rPr>
          <w:rFonts w:ascii="Times New Roman" w:hAnsi="Times New Roman" w:cs="Times New Roman"/>
        </w:rPr>
        <w:lastRenderedPageBreak/>
        <w:t>intensified feeding regimes</w:t>
      </w:r>
      <w:r w:rsidR="00BB4AF4">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"/>
          <w:id w:val="1441178341"/>
          <w:placeholder>
            <w:docPart w:val="DefaultPlaceholder_-1854013440"/>
          </w:placeholder>
        </w:sdtPr>
        <w:sdtEndPr/>
        <w:sdtContent>
          <w:r w:rsidR="001801C7" w:rsidRPr="001801C7">
            <w:rPr>
              <w:rFonts w:ascii="Times New Roman" w:hAnsi="Times New Roman" w:cs="Times New Roman"/>
              <w:color w:val="000000"/>
            </w:rPr>
            <w:t>(Wan et al., 2022)</w:t>
          </w:r>
        </w:sdtContent>
      </w:sdt>
      <w:r w:rsidRPr="00C276A0">
        <w:rPr>
          <w:rFonts w:ascii="Times New Roman" w:hAnsi="Times New Roman" w:cs="Times New Roman"/>
        </w:rPr>
        <w:t>.</w:t>
      </w:r>
      <w:r w:rsidR="003062FE" w:rsidRPr="003062FE">
        <w:rPr>
          <w:rFonts w:ascii="Times New Roman" w:hAnsi="Times New Roman" w:cs="Times New Roman"/>
          <w:b/>
          <w:bCs/>
          <w:noProof/>
        </w:rPr>
        <w:drawing>
          <wp:inline distT="0" distB="0" distL="0" distR="0" wp14:anchorId="27A26FA5" wp14:editId="292D9148">
            <wp:extent cx="12700" cy="12700"/>
            <wp:effectExtent l="0" t="0" r="0" b="0"/>
            <wp:docPr id="9057130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0079273A">
        <w:rPr>
          <w:rFonts w:ascii="Times New Roman" w:hAnsi="Times New Roman" w:cs="Times New Roman"/>
        </w:rPr>
        <w:t xml:space="preserve"> </w:t>
      </w:r>
      <w:r w:rsidR="0079273A" w:rsidRPr="0079273A">
        <w:rPr>
          <w:rFonts w:ascii="Times New Roman" w:hAnsi="Times New Roman" w:cs="Times New Roman"/>
        </w:rPr>
        <w:t xml:space="preserve">Similar findings were also reported by </w:t>
      </w:r>
      <w:proofErr w:type="spellStart"/>
      <w:r w:rsidR="0079273A" w:rsidRPr="0079273A">
        <w:rPr>
          <w:rFonts w:ascii="Times New Roman" w:hAnsi="Times New Roman" w:cs="Times New Roman"/>
        </w:rPr>
        <w:t>Ayisi</w:t>
      </w:r>
      <w:proofErr w:type="spellEnd"/>
      <w:r w:rsidR="0079273A" w:rsidRPr="0079273A">
        <w:rPr>
          <w:rFonts w:ascii="Times New Roman" w:hAnsi="Times New Roman" w:cs="Times New Roman"/>
        </w:rPr>
        <w:t xml:space="preserve"> et al. (2021) and Wan et al. (2022), who conducted comparable studies and observed the same trend.</w:t>
      </w:r>
    </w:p>
    <w:p w14:paraId="606BE91E" w14:textId="319AAB28" w:rsidR="007A4690" w:rsidRDefault="007A4690" w:rsidP="0079273A">
      <w:pPr>
        <w:spacing w:line="360" w:lineRule="auto"/>
        <w:jc w:val="center"/>
      </w:pPr>
      <w:r>
        <w:rPr>
          <w:noProof/>
        </w:rPr>
        <w:drawing>
          <wp:inline distT="0" distB="0" distL="0" distR="0" wp14:anchorId="1B859067" wp14:editId="0AAEF2D1">
            <wp:extent cx="4389120" cy="2926080"/>
            <wp:effectExtent l="0" t="0" r="0" b="7620"/>
            <wp:docPr id="75021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16894" name="Picture 750216894"/>
                    <pic:cNvPicPr/>
                  </pic:nvPicPr>
                  <pic:blipFill>
                    <a:blip r:embed="rId9">
                      <a:extLst>
                        <a:ext uri="{28A0092B-C50C-407E-A947-70E740481C1C}">
                          <a14:useLocalDpi xmlns:a14="http://schemas.microsoft.com/office/drawing/2010/main" val="0"/>
                        </a:ext>
                      </a:extLst>
                    </a:blip>
                    <a:stretch>
                      <a:fillRect/>
                    </a:stretch>
                  </pic:blipFill>
                  <pic:spPr>
                    <a:xfrm>
                      <a:off x="0" y="0"/>
                      <a:ext cx="4389120" cy="2926080"/>
                    </a:xfrm>
                    <a:prstGeom prst="rect">
                      <a:avLst/>
                    </a:prstGeom>
                  </pic:spPr>
                </pic:pic>
              </a:graphicData>
            </a:graphic>
          </wp:inline>
        </w:drawing>
      </w:r>
    </w:p>
    <w:p w14:paraId="412C9737" w14:textId="1773B250" w:rsidR="00CF193F" w:rsidRPr="00CF193F" w:rsidRDefault="00DE54FD" w:rsidP="006D3E50">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A073F1">
        <w:rPr>
          <w:rFonts w:ascii="Times New Roman" w:hAnsi="Times New Roman" w:cs="Times New Roman"/>
          <w:b/>
          <w:bCs/>
          <w:i w:val="0"/>
          <w:iCs w:val="0"/>
          <w:color w:val="auto"/>
          <w:sz w:val="24"/>
          <w:szCs w:val="24"/>
        </w:rPr>
        <w:t>1</w:t>
      </w:r>
      <w:r w:rsidRPr="00CF193F">
        <w:rPr>
          <w:rFonts w:ascii="Times New Roman" w:hAnsi="Times New Roman" w:cs="Times New Roman"/>
          <w:i w:val="0"/>
          <w:iCs w:val="0"/>
          <w:color w:val="auto"/>
          <w:sz w:val="24"/>
          <w:szCs w:val="24"/>
        </w:rPr>
        <w:t xml:space="preserve"> Effects of seasonal variation (monsoon and post-monsoon) and feeding frequency (T</w:t>
      </w:r>
      <w:r w:rsidRPr="00CF193F">
        <w:rPr>
          <w:rFonts w:ascii="Times New Roman" w:hAnsi="Times New Roman" w:cs="Times New Roman"/>
          <w:i w:val="0"/>
          <w:iCs w:val="0"/>
          <w:color w:val="auto"/>
          <w:sz w:val="24"/>
          <w:szCs w:val="24"/>
          <w:vertAlign w:val="subscript"/>
        </w:rPr>
        <w:t>1</w:t>
      </w:r>
      <w:r w:rsidRPr="00CF193F">
        <w:rPr>
          <w:rFonts w:ascii="Times New Roman" w:hAnsi="Times New Roman" w:cs="Times New Roman"/>
          <w:i w:val="0"/>
          <w:iCs w:val="0"/>
          <w:color w:val="auto"/>
          <w:sz w:val="24"/>
          <w:szCs w:val="24"/>
        </w:rPr>
        <w:t>: once daily, T</w:t>
      </w:r>
      <w:r w:rsidRPr="00CF193F">
        <w:rPr>
          <w:rFonts w:ascii="Times New Roman" w:hAnsi="Times New Roman" w:cs="Times New Roman"/>
          <w:i w:val="0"/>
          <w:iCs w:val="0"/>
          <w:color w:val="auto"/>
          <w:sz w:val="24"/>
          <w:szCs w:val="24"/>
          <w:vertAlign w:val="subscript"/>
        </w:rPr>
        <w:t>2</w:t>
      </w:r>
      <w:r w:rsidRPr="00CF193F">
        <w:rPr>
          <w:rFonts w:ascii="Times New Roman" w:hAnsi="Times New Roman" w:cs="Times New Roman"/>
          <w:i w:val="0"/>
          <w:iCs w:val="0"/>
          <w:color w:val="auto"/>
          <w:sz w:val="24"/>
          <w:szCs w:val="24"/>
        </w:rPr>
        <w:t>: twice daily, T</w:t>
      </w:r>
      <w:r w:rsidRPr="00CF193F">
        <w:rPr>
          <w:rFonts w:ascii="Times New Roman" w:hAnsi="Times New Roman" w:cs="Times New Roman"/>
          <w:i w:val="0"/>
          <w:iCs w:val="0"/>
          <w:color w:val="auto"/>
          <w:sz w:val="24"/>
          <w:szCs w:val="24"/>
          <w:vertAlign w:val="subscript"/>
        </w:rPr>
        <w:t>3</w:t>
      </w:r>
      <w:r w:rsidRPr="00CF193F">
        <w:rPr>
          <w:rFonts w:ascii="Times New Roman" w:hAnsi="Times New Roman" w:cs="Times New Roman"/>
          <w:i w:val="0"/>
          <w:iCs w:val="0"/>
          <w:color w:val="auto"/>
          <w:sz w:val="24"/>
          <w:szCs w:val="24"/>
        </w:rPr>
        <w:t xml:space="preserve">: thrice daily) on dissolved oxygen (DO) concentrations (mg/L) in a Nile tilapia (Oreochromis niloticus) culture pond. </w:t>
      </w:r>
      <w:r w:rsidR="00CF193F" w:rsidRPr="00CF193F">
        <w:rPr>
          <w:rFonts w:ascii="Times New Roman" w:hAnsi="Times New Roman" w:cs="Times New Roman"/>
          <w:i w:val="0"/>
          <w:iCs w:val="0"/>
          <w:color w:val="auto"/>
          <w:sz w:val="24"/>
          <w:szCs w:val="24"/>
        </w:rPr>
        <w:t xml:space="preserve">Values are expressed as mean </w:t>
      </w:r>
      <w:r w:rsidR="00CF193F">
        <w:rPr>
          <w:rFonts w:ascii="Times New Roman" w:hAnsi="Times New Roman" w:cs="Times New Roman"/>
          <w:i w:val="0"/>
          <w:iCs w:val="0"/>
          <w:color w:val="auto"/>
          <w:sz w:val="24"/>
          <w:szCs w:val="24"/>
        </w:rPr>
        <w:t xml:space="preserve">± </w:t>
      </w:r>
      <w:r w:rsidR="00CF193F" w:rsidRPr="00CF193F">
        <w:rPr>
          <w:rFonts w:ascii="Times New Roman" w:hAnsi="Times New Roman" w:cs="Times New Roman"/>
          <w:i w:val="0"/>
          <w:iCs w:val="0"/>
          <w:color w:val="auto"/>
          <w:sz w:val="24"/>
          <w:szCs w:val="24"/>
        </w:rPr>
        <w:t>SD (p &lt; 0.05; CV = 8.82%).</w:t>
      </w:r>
    </w:p>
    <w:p w14:paraId="104E9858" w14:textId="310BD8CA" w:rsidR="007A4690" w:rsidRDefault="00C16AE1" w:rsidP="006D3E50">
      <w:pPr>
        <w:pStyle w:val="Caption"/>
        <w:spacing w:line="360" w:lineRule="auto"/>
        <w:jc w:val="both"/>
        <w:rPr>
          <w:rFonts w:ascii="Times New Roman" w:hAnsi="Times New Roman" w:cs="Times New Roman"/>
          <w:b/>
          <w:bCs/>
          <w:i w:val="0"/>
          <w:iCs w:val="0"/>
          <w:color w:val="auto"/>
          <w:sz w:val="24"/>
          <w:szCs w:val="24"/>
        </w:rPr>
      </w:pPr>
      <w:r w:rsidRPr="00C16AE1">
        <w:rPr>
          <w:rFonts w:ascii="Times New Roman" w:hAnsi="Times New Roman" w:cs="Times New Roman"/>
          <w:b/>
          <w:bCs/>
          <w:i w:val="0"/>
          <w:iCs w:val="0"/>
          <w:color w:val="auto"/>
          <w:sz w:val="24"/>
          <w:szCs w:val="24"/>
        </w:rPr>
        <w:t>Air and water temperature</w:t>
      </w:r>
    </w:p>
    <w:p w14:paraId="26D8B47E" w14:textId="2B724534" w:rsidR="00C16AE1" w:rsidRDefault="00C16AE1" w:rsidP="006D3E50">
      <w:pPr>
        <w:spacing w:line="360" w:lineRule="auto"/>
        <w:jc w:val="both"/>
        <w:rPr>
          <w:rFonts w:ascii="Times New Roman" w:hAnsi="Times New Roman" w:cs="Times New Roman"/>
        </w:rPr>
      </w:pPr>
      <w:r w:rsidRPr="00C16AE1">
        <w:rPr>
          <w:rFonts w:ascii="Times New Roman" w:hAnsi="Times New Roman" w:cs="Times New Roman"/>
        </w:rPr>
        <w:t>Environmental thermal profiles in the tilapia culture system were primarily governed by seasonal transitions rather than feeding interventions. Air temperatures were significantly higher during the monsoon (31.60°C) compared to the post-monsoon (28.04°C), a trend mirrored by water temperatures which reached 29.91°C and 26.50°C, respectively (p &lt; 0.05)</w:t>
      </w:r>
      <w:r w:rsidR="0052646C">
        <w:rPr>
          <w:rFonts w:ascii="Times New Roman" w:hAnsi="Times New Roman" w:cs="Times New Roman"/>
        </w:rPr>
        <w:t xml:space="preserve"> </w:t>
      </w:r>
      <w:r w:rsidR="0052646C" w:rsidRPr="0052646C">
        <w:rPr>
          <w:rFonts w:ascii="Times New Roman" w:hAnsi="Times New Roman" w:cs="Times New Roman"/>
          <w:color w:val="000000" w:themeColor="text1"/>
        </w:rPr>
        <w:t xml:space="preserve">(Table </w:t>
      </w:r>
      <w:r w:rsidR="0052646C">
        <w:rPr>
          <w:rFonts w:ascii="Times New Roman" w:hAnsi="Times New Roman" w:cs="Times New Roman"/>
          <w:color w:val="000000" w:themeColor="text1"/>
        </w:rPr>
        <w:t>1</w:t>
      </w:r>
      <w:r w:rsidR="0052646C" w:rsidRPr="0052646C">
        <w:rPr>
          <w:rFonts w:ascii="Times New Roman" w:hAnsi="Times New Roman" w:cs="Times New Roman"/>
          <w:color w:val="000000" w:themeColor="text1"/>
        </w:rPr>
        <w:t>)</w:t>
      </w:r>
      <w:r w:rsidRPr="00C16AE1">
        <w:rPr>
          <w:rFonts w:ascii="Times New Roman" w:hAnsi="Times New Roman" w:cs="Times New Roman"/>
        </w:rPr>
        <w:t>. While feeding frequencies (T</w:t>
      </w:r>
      <w:r w:rsidRPr="007A1550">
        <w:rPr>
          <w:rFonts w:ascii="Times New Roman" w:hAnsi="Times New Roman" w:cs="Times New Roman"/>
          <w:vertAlign w:val="subscript"/>
        </w:rPr>
        <w:t>1</w:t>
      </w:r>
      <w:r w:rsidRPr="00C16AE1">
        <w:rPr>
          <w:rFonts w:ascii="Times New Roman" w:hAnsi="Times New Roman" w:cs="Times New Roman"/>
        </w:rPr>
        <w:t>–T</w:t>
      </w:r>
      <w:r w:rsidRPr="007A1550">
        <w:rPr>
          <w:rFonts w:ascii="Times New Roman" w:hAnsi="Times New Roman" w:cs="Times New Roman"/>
          <w:vertAlign w:val="subscript"/>
        </w:rPr>
        <w:t>3</w:t>
      </w:r>
      <w:r w:rsidRPr="00C16AE1">
        <w:rPr>
          <w:rFonts w:ascii="Times New Roman" w:hAnsi="Times New Roman" w:cs="Times New Roman"/>
        </w:rPr>
        <w:t>) showed negligible impact on thermal stability, a significant interaction was noted for transparency, where higher feeding intensity reduced water clarity. The observed thermal patterns are fundamentally driven by seasonal solar radiation and atmospheric conditions characteristic of the monsoon cycle</w:t>
      </w:r>
      <w:r w:rsidR="00D27B7E">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"/>
          <w:id w:val="-978685532"/>
          <w:placeholder>
            <w:docPart w:val="DefaultPlaceholder_-1854013440"/>
          </w:placeholder>
        </w:sdtPr>
        <w:sdtEndPr/>
        <w:sdtContent>
          <w:r w:rsidR="001801C7" w:rsidRPr="001801C7">
            <w:rPr>
              <w:rFonts w:ascii="Times New Roman" w:hAnsi="Times New Roman" w:cs="Times New Roman"/>
              <w:color w:val="000000"/>
            </w:rPr>
            <w:t>(Giddings et al., 2021)</w:t>
          </w:r>
        </w:sdtContent>
      </w:sdt>
      <w:r w:rsidRPr="00C16AE1">
        <w:rPr>
          <w:rFonts w:ascii="Times New Roman" w:hAnsi="Times New Roman" w:cs="Times New Roman"/>
        </w:rPr>
        <w:t>. Unlike dissolved oxygen, temperature remained independent of feeding-induced organic loading or microbial respiration, suggesting that the pond's thermal capacity was sufficient to buffer any localized metabolic heat generated by fish or decomposition processes across the different treatment groups.</w:t>
      </w:r>
    </w:p>
    <w:p w14:paraId="36D126DA" w14:textId="4C89396B" w:rsidR="00C16AE1" w:rsidRPr="00C16AE1" w:rsidRDefault="00C16AE1" w:rsidP="006D3E50">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lastRenderedPageBreak/>
        <w:t xml:space="preserve">Table </w:t>
      </w:r>
      <w:r w:rsidRPr="003F5771">
        <w:rPr>
          <w:rFonts w:ascii="Times New Roman" w:hAnsi="Times New Roman" w:cs="Times New Roman"/>
          <w:b/>
          <w:bCs/>
          <w:i w:val="0"/>
          <w:iCs w:val="0"/>
          <w:color w:val="auto"/>
          <w:sz w:val="24"/>
          <w:szCs w:val="24"/>
        </w:rPr>
        <w:fldChar w:fldCharType="begin"/>
      </w:r>
      <w:r w:rsidRPr="003F5771">
        <w:rPr>
          <w:rFonts w:ascii="Times New Roman" w:hAnsi="Times New Roman" w:cs="Times New Roman"/>
          <w:b/>
          <w:bCs/>
          <w:i w:val="0"/>
          <w:iCs w:val="0"/>
          <w:color w:val="auto"/>
          <w:sz w:val="24"/>
          <w:szCs w:val="24"/>
        </w:rPr>
        <w:instrText xml:space="preserve"> SEQ Table \* ARABIC </w:instrText>
      </w:r>
      <w:r w:rsidRPr="003F5771">
        <w:rPr>
          <w:rFonts w:ascii="Times New Roman" w:hAnsi="Times New Roman" w:cs="Times New Roman"/>
          <w:b/>
          <w:bCs/>
          <w:i w:val="0"/>
          <w:iCs w:val="0"/>
          <w:color w:val="auto"/>
          <w:sz w:val="24"/>
          <w:szCs w:val="24"/>
        </w:rPr>
        <w:fldChar w:fldCharType="separate"/>
      </w:r>
      <w:r w:rsidR="00B44AA0" w:rsidRPr="003F5771">
        <w:rPr>
          <w:rFonts w:ascii="Times New Roman" w:hAnsi="Times New Roman" w:cs="Times New Roman"/>
          <w:b/>
          <w:bCs/>
          <w:i w:val="0"/>
          <w:iCs w:val="0"/>
          <w:noProof/>
          <w:color w:val="auto"/>
          <w:sz w:val="24"/>
          <w:szCs w:val="24"/>
        </w:rPr>
        <w:t>1</w:t>
      </w:r>
      <w:r w:rsidRPr="003F5771">
        <w:rPr>
          <w:rFonts w:ascii="Times New Roman" w:hAnsi="Times New Roman" w:cs="Times New Roman"/>
          <w:b/>
          <w:bCs/>
          <w:i w:val="0"/>
          <w:iCs w:val="0"/>
          <w:color w:val="auto"/>
          <w:sz w:val="24"/>
          <w:szCs w:val="24"/>
        </w:rPr>
        <w:fldChar w:fldCharType="end"/>
      </w:r>
      <w:r w:rsidRPr="00C16AE1">
        <w:rPr>
          <w:rFonts w:ascii="Times New Roman" w:hAnsi="Times New Roman" w:cs="Times New Roman"/>
          <w:i w:val="0"/>
          <w:iCs w:val="0"/>
          <w:color w:val="auto"/>
          <w:sz w:val="24"/>
          <w:szCs w:val="24"/>
        </w:rPr>
        <w:t xml:space="preserve"> Variations in air and water temperature (°C) under different feeding frequencies (T</w:t>
      </w:r>
      <w:r w:rsidRPr="0036383C">
        <w:rPr>
          <w:rFonts w:ascii="Times New Roman" w:hAnsi="Times New Roman" w:cs="Times New Roman"/>
          <w:i w:val="0"/>
          <w:iCs w:val="0"/>
          <w:color w:val="auto"/>
          <w:sz w:val="24"/>
          <w:szCs w:val="24"/>
          <w:vertAlign w:val="subscript"/>
        </w:rPr>
        <w:t>1</w:t>
      </w:r>
      <w:r w:rsidRPr="00C16AE1">
        <w:rPr>
          <w:rFonts w:ascii="Times New Roman" w:hAnsi="Times New Roman" w:cs="Times New Roman"/>
          <w:i w:val="0"/>
          <w:iCs w:val="0"/>
          <w:color w:val="auto"/>
          <w:sz w:val="24"/>
          <w:szCs w:val="24"/>
        </w:rPr>
        <w:t>, T</w:t>
      </w:r>
      <w:r w:rsidRPr="0036383C">
        <w:rPr>
          <w:rFonts w:ascii="Times New Roman" w:hAnsi="Times New Roman" w:cs="Times New Roman"/>
          <w:i w:val="0"/>
          <w:iCs w:val="0"/>
          <w:color w:val="auto"/>
          <w:sz w:val="24"/>
          <w:szCs w:val="24"/>
          <w:vertAlign w:val="subscript"/>
        </w:rPr>
        <w:t>2</w:t>
      </w:r>
      <w:r w:rsidRPr="00C16AE1">
        <w:rPr>
          <w:rFonts w:ascii="Times New Roman" w:hAnsi="Times New Roman" w:cs="Times New Roman"/>
          <w:i w:val="0"/>
          <w:iCs w:val="0"/>
          <w:color w:val="auto"/>
          <w:sz w:val="24"/>
          <w:szCs w:val="24"/>
        </w:rPr>
        <w:t>, and T</w:t>
      </w:r>
      <w:r w:rsidRPr="0036383C">
        <w:rPr>
          <w:rFonts w:ascii="Times New Roman" w:hAnsi="Times New Roman" w:cs="Times New Roman"/>
          <w:i w:val="0"/>
          <w:iCs w:val="0"/>
          <w:color w:val="auto"/>
          <w:sz w:val="24"/>
          <w:szCs w:val="24"/>
          <w:vertAlign w:val="subscript"/>
        </w:rPr>
        <w:t>3</w:t>
      </w:r>
      <w:r w:rsidRPr="00C16AE1">
        <w:rPr>
          <w:rFonts w:ascii="Times New Roman" w:hAnsi="Times New Roman" w:cs="Times New Roman"/>
          <w:i w:val="0"/>
          <w:iCs w:val="0"/>
          <w:color w:val="auto"/>
          <w:sz w:val="24"/>
          <w:szCs w:val="24"/>
        </w:rPr>
        <w:t>) during monsoon and post-monsoon seasons in a Nile tilapia (</w:t>
      </w:r>
      <w:r w:rsidRPr="00C16AE1">
        <w:rPr>
          <w:rFonts w:ascii="Times New Roman" w:hAnsi="Times New Roman" w:cs="Times New Roman"/>
          <w:color w:val="auto"/>
          <w:sz w:val="24"/>
          <w:szCs w:val="24"/>
        </w:rPr>
        <w:t>Oreochromis niloticus</w:t>
      </w:r>
      <w:r w:rsidRPr="00C16AE1">
        <w:rPr>
          <w:rFonts w:ascii="Times New Roman" w:hAnsi="Times New Roman" w:cs="Times New Roman"/>
          <w:i w:val="0"/>
          <w:iCs w:val="0"/>
          <w:color w:val="auto"/>
          <w:sz w:val="24"/>
          <w:szCs w:val="24"/>
        </w:rPr>
        <w:t>) culture system.</w:t>
      </w:r>
    </w:p>
    <w:tbl>
      <w:tblPr>
        <w:tblStyle w:val="TableGrid"/>
        <w:tblW w:w="5000" w:type="pct"/>
        <w:jc w:val="center"/>
        <w:tblLook w:val="04A0" w:firstRow="1" w:lastRow="0" w:firstColumn="1" w:lastColumn="0" w:noHBand="0" w:noVBand="1"/>
      </w:tblPr>
      <w:tblGrid>
        <w:gridCol w:w="2202"/>
        <w:gridCol w:w="2100"/>
        <w:gridCol w:w="2327"/>
        <w:gridCol w:w="2731"/>
      </w:tblGrid>
      <w:tr w:rsidR="00D06859" w:rsidRPr="00D06859" w14:paraId="302F0A4C" w14:textId="77777777" w:rsidTr="00B27B69">
        <w:trPr>
          <w:trHeight w:val="290"/>
          <w:jc w:val="center"/>
        </w:trPr>
        <w:tc>
          <w:tcPr>
            <w:tcW w:w="1176" w:type="pct"/>
            <w:tcBorders>
              <w:left w:val="nil"/>
              <w:bottom w:val="single" w:sz="4" w:space="0" w:color="auto"/>
              <w:right w:val="nil"/>
            </w:tcBorders>
            <w:noWrap/>
            <w:hideMark/>
          </w:tcPr>
          <w:p w14:paraId="6811C689" w14:textId="77777777" w:rsidR="00D06859" w:rsidRPr="006D3E50" w:rsidRDefault="00D06859" w:rsidP="006D3E50">
            <w:pPr>
              <w:spacing w:line="360" w:lineRule="auto"/>
              <w:rPr>
                <w:rFonts w:ascii="Times New Roman" w:hAnsi="Times New Roman" w:cs="Times New Roman"/>
              </w:rPr>
            </w:pPr>
          </w:p>
        </w:tc>
        <w:tc>
          <w:tcPr>
            <w:tcW w:w="1122" w:type="pct"/>
            <w:tcBorders>
              <w:left w:val="nil"/>
              <w:bottom w:val="single" w:sz="4" w:space="0" w:color="auto"/>
              <w:right w:val="nil"/>
            </w:tcBorders>
            <w:noWrap/>
            <w:hideMark/>
          </w:tcPr>
          <w:p w14:paraId="0CFA6D5C" w14:textId="77777777" w:rsidR="00D06859" w:rsidRPr="006D3E50" w:rsidRDefault="00D06859" w:rsidP="006D3E50">
            <w:pPr>
              <w:spacing w:line="360" w:lineRule="auto"/>
              <w:rPr>
                <w:rFonts w:ascii="Times New Roman" w:hAnsi="Times New Roman" w:cs="Times New Roman"/>
              </w:rPr>
            </w:pPr>
          </w:p>
        </w:tc>
        <w:tc>
          <w:tcPr>
            <w:tcW w:w="1243" w:type="pct"/>
            <w:tcBorders>
              <w:left w:val="nil"/>
              <w:bottom w:val="single" w:sz="4" w:space="0" w:color="auto"/>
              <w:right w:val="nil"/>
            </w:tcBorders>
            <w:noWrap/>
            <w:hideMark/>
          </w:tcPr>
          <w:p w14:paraId="7E4211FF" w14:textId="42D155BC" w:rsidR="00D06859" w:rsidRPr="00C34571" w:rsidRDefault="00D06859" w:rsidP="006D3E50">
            <w:pPr>
              <w:spacing w:line="360" w:lineRule="auto"/>
              <w:rPr>
                <w:rFonts w:ascii="Times New Roman" w:hAnsi="Times New Roman" w:cs="Times New Roman"/>
              </w:rPr>
            </w:pPr>
            <w:r w:rsidRPr="00C34571">
              <w:rPr>
                <w:rFonts w:ascii="Times New Roman" w:hAnsi="Times New Roman" w:cs="Times New Roman"/>
              </w:rPr>
              <w:t xml:space="preserve">Air Temperature </w:t>
            </w:r>
            <w:r w:rsidR="006D3E50" w:rsidRPr="00C34571">
              <w:rPr>
                <w:rFonts w:ascii="Times New Roman" w:hAnsi="Times New Roman" w:cs="Times New Roman"/>
              </w:rPr>
              <w:t>(°C)</w:t>
            </w:r>
          </w:p>
        </w:tc>
        <w:tc>
          <w:tcPr>
            <w:tcW w:w="1459" w:type="pct"/>
            <w:tcBorders>
              <w:left w:val="nil"/>
              <w:bottom w:val="single" w:sz="4" w:space="0" w:color="auto"/>
              <w:right w:val="nil"/>
            </w:tcBorders>
            <w:noWrap/>
            <w:hideMark/>
          </w:tcPr>
          <w:p w14:paraId="47B970F4" w14:textId="7EAEE7BA" w:rsidR="00D06859" w:rsidRPr="00C34571" w:rsidRDefault="00D06859" w:rsidP="006D3E50">
            <w:pPr>
              <w:spacing w:line="360" w:lineRule="auto"/>
              <w:rPr>
                <w:rFonts w:ascii="Times New Roman" w:hAnsi="Times New Roman" w:cs="Times New Roman"/>
              </w:rPr>
            </w:pPr>
            <w:r w:rsidRPr="00C34571">
              <w:rPr>
                <w:rFonts w:ascii="Times New Roman" w:hAnsi="Times New Roman" w:cs="Times New Roman"/>
              </w:rPr>
              <w:t xml:space="preserve">Water Temperature </w:t>
            </w:r>
            <w:r w:rsidR="006D3E50" w:rsidRPr="00C34571">
              <w:rPr>
                <w:rFonts w:ascii="Times New Roman" w:hAnsi="Times New Roman" w:cs="Times New Roman"/>
              </w:rPr>
              <w:t>(°C)</w:t>
            </w:r>
          </w:p>
        </w:tc>
      </w:tr>
      <w:tr w:rsidR="00D06859" w:rsidRPr="00D06859" w14:paraId="34BB5916" w14:textId="77777777" w:rsidTr="00B27B69">
        <w:trPr>
          <w:trHeight w:val="290"/>
          <w:jc w:val="center"/>
        </w:trPr>
        <w:tc>
          <w:tcPr>
            <w:tcW w:w="1176" w:type="pct"/>
            <w:vMerge w:val="restart"/>
            <w:tcBorders>
              <w:left w:val="nil"/>
              <w:right w:val="nil"/>
            </w:tcBorders>
            <w:noWrap/>
            <w:hideMark/>
          </w:tcPr>
          <w:p w14:paraId="17AACE4B"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Environment</w:t>
            </w:r>
          </w:p>
        </w:tc>
        <w:tc>
          <w:tcPr>
            <w:tcW w:w="1122" w:type="pct"/>
            <w:tcBorders>
              <w:left w:val="nil"/>
              <w:bottom w:val="nil"/>
              <w:right w:val="nil"/>
            </w:tcBorders>
            <w:noWrap/>
            <w:hideMark/>
          </w:tcPr>
          <w:p w14:paraId="0EB8CE11"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Monsoon</w:t>
            </w:r>
          </w:p>
        </w:tc>
        <w:tc>
          <w:tcPr>
            <w:tcW w:w="1243" w:type="pct"/>
            <w:tcBorders>
              <w:left w:val="nil"/>
              <w:bottom w:val="nil"/>
              <w:right w:val="nil"/>
            </w:tcBorders>
            <w:noWrap/>
            <w:hideMark/>
          </w:tcPr>
          <w:p w14:paraId="62C62C34"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31.60a</w:t>
            </w:r>
          </w:p>
        </w:tc>
        <w:tc>
          <w:tcPr>
            <w:tcW w:w="1459" w:type="pct"/>
            <w:tcBorders>
              <w:left w:val="nil"/>
              <w:bottom w:val="nil"/>
              <w:right w:val="nil"/>
            </w:tcBorders>
            <w:noWrap/>
            <w:hideMark/>
          </w:tcPr>
          <w:p w14:paraId="679AB269"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29.91a</w:t>
            </w:r>
          </w:p>
        </w:tc>
      </w:tr>
      <w:tr w:rsidR="00D06859" w:rsidRPr="00D06859" w14:paraId="68CFAED4" w14:textId="77777777" w:rsidTr="00B27B69">
        <w:trPr>
          <w:trHeight w:val="290"/>
          <w:jc w:val="center"/>
        </w:trPr>
        <w:tc>
          <w:tcPr>
            <w:tcW w:w="1176" w:type="pct"/>
            <w:vMerge/>
            <w:tcBorders>
              <w:left w:val="nil"/>
              <w:bottom w:val="single" w:sz="4" w:space="0" w:color="auto"/>
              <w:right w:val="nil"/>
            </w:tcBorders>
            <w:hideMark/>
          </w:tcPr>
          <w:p w14:paraId="12556CE6" w14:textId="77777777" w:rsidR="00D06859" w:rsidRPr="006D3E50" w:rsidRDefault="00D06859" w:rsidP="006D3E50">
            <w:pPr>
              <w:spacing w:line="360" w:lineRule="auto"/>
              <w:rPr>
                <w:rFonts w:ascii="Times New Roman" w:hAnsi="Times New Roman" w:cs="Times New Roman"/>
              </w:rPr>
            </w:pPr>
          </w:p>
        </w:tc>
        <w:tc>
          <w:tcPr>
            <w:tcW w:w="1122" w:type="pct"/>
            <w:tcBorders>
              <w:top w:val="nil"/>
              <w:left w:val="nil"/>
              <w:bottom w:val="single" w:sz="4" w:space="0" w:color="auto"/>
              <w:right w:val="nil"/>
            </w:tcBorders>
            <w:noWrap/>
            <w:hideMark/>
          </w:tcPr>
          <w:p w14:paraId="723F671A"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Post Monsoon</w:t>
            </w:r>
          </w:p>
        </w:tc>
        <w:tc>
          <w:tcPr>
            <w:tcW w:w="1243" w:type="pct"/>
            <w:tcBorders>
              <w:top w:val="nil"/>
              <w:left w:val="nil"/>
              <w:bottom w:val="single" w:sz="4" w:space="0" w:color="auto"/>
              <w:right w:val="nil"/>
            </w:tcBorders>
            <w:noWrap/>
            <w:hideMark/>
          </w:tcPr>
          <w:p w14:paraId="05634F74"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28.04b</w:t>
            </w:r>
          </w:p>
        </w:tc>
        <w:tc>
          <w:tcPr>
            <w:tcW w:w="1459" w:type="pct"/>
            <w:tcBorders>
              <w:top w:val="nil"/>
              <w:left w:val="nil"/>
              <w:bottom w:val="single" w:sz="4" w:space="0" w:color="auto"/>
              <w:right w:val="nil"/>
            </w:tcBorders>
            <w:noWrap/>
            <w:hideMark/>
          </w:tcPr>
          <w:p w14:paraId="4DEBC41F"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26.50b</w:t>
            </w:r>
          </w:p>
        </w:tc>
      </w:tr>
      <w:tr w:rsidR="00D06859" w:rsidRPr="00D06859" w14:paraId="278512B2" w14:textId="77777777" w:rsidTr="00B27B69">
        <w:trPr>
          <w:trHeight w:val="290"/>
          <w:jc w:val="center"/>
        </w:trPr>
        <w:tc>
          <w:tcPr>
            <w:tcW w:w="1176" w:type="pct"/>
            <w:vMerge w:val="restart"/>
            <w:tcBorders>
              <w:left w:val="nil"/>
              <w:right w:val="nil"/>
            </w:tcBorders>
            <w:noWrap/>
            <w:hideMark/>
          </w:tcPr>
          <w:p w14:paraId="0272E57E"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Treatment</w:t>
            </w:r>
          </w:p>
        </w:tc>
        <w:tc>
          <w:tcPr>
            <w:tcW w:w="1122" w:type="pct"/>
            <w:tcBorders>
              <w:left w:val="nil"/>
              <w:bottom w:val="nil"/>
              <w:right w:val="nil"/>
            </w:tcBorders>
            <w:noWrap/>
            <w:hideMark/>
          </w:tcPr>
          <w:p w14:paraId="0CDACA86"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T1</w:t>
            </w:r>
          </w:p>
        </w:tc>
        <w:tc>
          <w:tcPr>
            <w:tcW w:w="1243" w:type="pct"/>
            <w:tcBorders>
              <w:left w:val="nil"/>
              <w:bottom w:val="nil"/>
              <w:right w:val="nil"/>
            </w:tcBorders>
            <w:noWrap/>
            <w:hideMark/>
          </w:tcPr>
          <w:p w14:paraId="40982F8E"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30.24</w:t>
            </w:r>
          </w:p>
        </w:tc>
        <w:tc>
          <w:tcPr>
            <w:tcW w:w="1459" w:type="pct"/>
            <w:tcBorders>
              <w:left w:val="nil"/>
              <w:bottom w:val="nil"/>
              <w:right w:val="nil"/>
            </w:tcBorders>
            <w:noWrap/>
            <w:hideMark/>
          </w:tcPr>
          <w:p w14:paraId="29651FE3"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28.61</w:t>
            </w:r>
          </w:p>
        </w:tc>
      </w:tr>
      <w:tr w:rsidR="00D06859" w:rsidRPr="00D06859" w14:paraId="03301B77" w14:textId="77777777" w:rsidTr="00B27B69">
        <w:trPr>
          <w:trHeight w:val="290"/>
          <w:jc w:val="center"/>
        </w:trPr>
        <w:tc>
          <w:tcPr>
            <w:tcW w:w="1176" w:type="pct"/>
            <w:vMerge/>
            <w:tcBorders>
              <w:left w:val="nil"/>
              <w:right w:val="nil"/>
            </w:tcBorders>
            <w:hideMark/>
          </w:tcPr>
          <w:p w14:paraId="372AF83A" w14:textId="77777777" w:rsidR="00D06859" w:rsidRPr="006D3E50" w:rsidRDefault="00D06859" w:rsidP="006D3E50">
            <w:pPr>
              <w:spacing w:line="360" w:lineRule="auto"/>
              <w:rPr>
                <w:rFonts w:ascii="Times New Roman" w:hAnsi="Times New Roman" w:cs="Times New Roman"/>
              </w:rPr>
            </w:pPr>
          </w:p>
        </w:tc>
        <w:tc>
          <w:tcPr>
            <w:tcW w:w="1122" w:type="pct"/>
            <w:tcBorders>
              <w:top w:val="nil"/>
              <w:left w:val="nil"/>
              <w:bottom w:val="nil"/>
              <w:right w:val="nil"/>
            </w:tcBorders>
            <w:noWrap/>
            <w:hideMark/>
          </w:tcPr>
          <w:p w14:paraId="0681A071"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T2</w:t>
            </w:r>
          </w:p>
        </w:tc>
        <w:tc>
          <w:tcPr>
            <w:tcW w:w="1243" w:type="pct"/>
            <w:tcBorders>
              <w:top w:val="nil"/>
              <w:left w:val="nil"/>
              <w:bottom w:val="nil"/>
              <w:right w:val="nil"/>
            </w:tcBorders>
            <w:noWrap/>
            <w:hideMark/>
          </w:tcPr>
          <w:p w14:paraId="35F4BA96"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30.33</w:t>
            </w:r>
          </w:p>
        </w:tc>
        <w:tc>
          <w:tcPr>
            <w:tcW w:w="1459" w:type="pct"/>
            <w:tcBorders>
              <w:top w:val="nil"/>
              <w:left w:val="nil"/>
              <w:bottom w:val="nil"/>
              <w:right w:val="nil"/>
            </w:tcBorders>
            <w:noWrap/>
            <w:hideMark/>
          </w:tcPr>
          <w:p w14:paraId="08A6D46D"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28.61</w:t>
            </w:r>
          </w:p>
        </w:tc>
      </w:tr>
      <w:tr w:rsidR="00D06859" w:rsidRPr="00D06859" w14:paraId="5B7F2E10" w14:textId="77777777" w:rsidTr="00B27B69">
        <w:trPr>
          <w:trHeight w:val="290"/>
          <w:jc w:val="center"/>
        </w:trPr>
        <w:tc>
          <w:tcPr>
            <w:tcW w:w="1176" w:type="pct"/>
            <w:vMerge/>
            <w:tcBorders>
              <w:left w:val="nil"/>
              <w:right w:val="nil"/>
            </w:tcBorders>
            <w:hideMark/>
          </w:tcPr>
          <w:p w14:paraId="679A4ABE" w14:textId="77777777" w:rsidR="00D06859" w:rsidRPr="006D3E50" w:rsidRDefault="00D06859" w:rsidP="006D3E50">
            <w:pPr>
              <w:spacing w:line="360" w:lineRule="auto"/>
              <w:rPr>
                <w:rFonts w:ascii="Times New Roman" w:hAnsi="Times New Roman" w:cs="Times New Roman"/>
              </w:rPr>
            </w:pPr>
          </w:p>
        </w:tc>
        <w:tc>
          <w:tcPr>
            <w:tcW w:w="1122" w:type="pct"/>
            <w:tcBorders>
              <w:top w:val="nil"/>
              <w:left w:val="nil"/>
              <w:right w:val="nil"/>
            </w:tcBorders>
            <w:noWrap/>
            <w:hideMark/>
          </w:tcPr>
          <w:p w14:paraId="253242CE"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T3</w:t>
            </w:r>
          </w:p>
        </w:tc>
        <w:tc>
          <w:tcPr>
            <w:tcW w:w="1243" w:type="pct"/>
            <w:tcBorders>
              <w:top w:val="nil"/>
              <w:left w:val="nil"/>
              <w:right w:val="nil"/>
            </w:tcBorders>
            <w:noWrap/>
            <w:hideMark/>
          </w:tcPr>
          <w:p w14:paraId="143992E9"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30.15</w:t>
            </w:r>
          </w:p>
        </w:tc>
        <w:tc>
          <w:tcPr>
            <w:tcW w:w="1459" w:type="pct"/>
            <w:tcBorders>
              <w:top w:val="nil"/>
              <w:left w:val="nil"/>
              <w:right w:val="nil"/>
            </w:tcBorders>
            <w:noWrap/>
            <w:hideMark/>
          </w:tcPr>
          <w:p w14:paraId="7FC59F5A"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28.61</w:t>
            </w:r>
          </w:p>
        </w:tc>
      </w:tr>
    </w:tbl>
    <w:p w14:paraId="6210F9A1" w14:textId="77777777" w:rsidR="00EA1966" w:rsidRDefault="00EA1966" w:rsidP="00EA1966">
      <w:pPr>
        <w:spacing w:line="360" w:lineRule="auto"/>
        <w:rPr>
          <w:b/>
          <w:bCs/>
        </w:rPr>
      </w:pPr>
    </w:p>
    <w:p w14:paraId="7D45F7A6" w14:textId="0701907F" w:rsidR="00EA1966" w:rsidRPr="00EA1966" w:rsidRDefault="00EA1966" w:rsidP="00AB3221">
      <w:pPr>
        <w:spacing w:line="360" w:lineRule="auto"/>
        <w:rPr>
          <w:rFonts w:ascii="Times New Roman" w:hAnsi="Times New Roman" w:cs="Times New Roman"/>
          <w:b/>
          <w:bCs/>
        </w:rPr>
      </w:pPr>
      <w:r w:rsidRPr="00EA1966">
        <w:rPr>
          <w:rFonts w:ascii="Times New Roman" w:hAnsi="Times New Roman" w:cs="Times New Roman"/>
          <w:b/>
          <w:bCs/>
        </w:rPr>
        <w:t>Water Transparency</w:t>
      </w:r>
    </w:p>
    <w:p w14:paraId="29C59D07" w14:textId="61F19587" w:rsidR="000C3383" w:rsidRPr="00AB3221" w:rsidRDefault="00EA1966" w:rsidP="00AB3221">
      <w:pPr>
        <w:spacing w:line="360" w:lineRule="auto"/>
        <w:jc w:val="both"/>
        <w:rPr>
          <w:rFonts w:ascii="Times New Roman" w:hAnsi="Times New Roman" w:cs="Times New Roman"/>
        </w:rPr>
      </w:pPr>
      <w:r w:rsidRPr="00EA1966">
        <w:rPr>
          <w:rFonts w:ascii="Times New Roman" w:hAnsi="Times New Roman" w:cs="Times New Roman"/>
        </w:rPr>
        <w:t>Water transparency serves as a critical indicator of the physical and biological turbidity within the tilapia culture environment. During the monsoon, transparency was highest in T</w:t>
      </w:r>
      <w:r w:rsidRPr="00EA1966">
        <w:rPr>
          <w:rFonts w:ascii="Times New Roman" w:hAnsi="Times New Roman" w:cs="Times New Roman"/>
          <w:vertAlign w:val="subscript"/>
        </w:rPr>
        <w:t>1</w:t>
      </w:r>
      <w:r w:rsidR="00787B89">
        <w:rPr>
          <w:rFonts w:ascii="Times New Roman" w:hAnsi="Times New Roman" w:cs="Times New Roman"/>
        </w:rPr>
        <w:t xml:space="preserve"> </w:t>
      </w:r>
      <w:r w:rsidR="00787B89" w:rsidRPr="00787B89">
        <w:rPr>
          <w:rFonts w:ascii="Times New Roman" w:hAnsi="Times New Roman" w:cs="Times New Roman"/>
        </w:rPr>
        <w:t xml:space="preserve">(35.0 </w:t>
      </w:r>
      <w:r w:rsidR="00787B89">
        <w:rPr>
          <w:rFonts w:ascii="Times New Roman" w:hAnsi="Times New Roman" w:cs="Times New Roman"/>
        </w:rPr>
        <w:t>±</w:t>
      </w:r>
      <w:r w:rsidR="00787B89" w:rsidRPr="00787B89">
        <w:rPr>
          <w:rFonts w:ascii="Times New Roman" w:hAnsi="Times New Roman" w:cs="Times New Roman"/>
        </w:rPr>
        <w:t xml:space="preserve"> 0.9 cm)</w:t>
      </w:r>
      <w:r w:rsidRPr="00EA1966">
        <w:rPr>
          <w:rFonts w:ascii="Times New Roman" w:hAnsi="Times New Roman" w:cs="Times New Roman"/>
        </w:rPr>
        <w:t xml:space="preserve"> and significantly decreased as feeding frequency increased, reaching</w:t>
      </w:r>
      <w:r w:rsidR="00876F01">
        <w:rPr>
          <w:rFonts w:ascii="Times New Roman" w:hAnsi="Times New Roman" w:cs="Times New Roman"/>
        </w:rPr>
        <w:t xml:space="preserve"> </w:t>
      </w:r>
      <w:r w:rsidR="00876F01" w:rsidRPr="00876F01">
        <w:rPr>
          <w:rFonts w:ascii="Times New Roman" w:hAnsi="Times New Roman" w:cs="Times New Roman"/>
        </w:rPr>
        <w:t xml:space="preserve">33.2 </w:t>
      </w:r>
      <w:r w:rsidR="00876F01">
        <w:rPr>
          <w:rFonts w:ascii="Times New Roman" w:hAnsi="Times New Roman" w:cs="Times New Roman"/>
        </w:rPr>
        <w:t>±</w:t>
      </w:r>
      <w:r w:rsidR="00876F01" w:rsidRPr="00876F01">
        <w:rPr>
          <w:rFonts w:ascii="Times New Roman" w:hAnsi="Times New Roman" w:cs="Times New Roman"/>
        </w:rPr>
        <w:t xml:space="preserve"> 0.5 cm</w:t>
      </w:r>
      <w:r w:rsidRPr="00EA1966">
        <w:rPr>
          <w:rFonts w:ascii="Times New Roman" w:hAnsi="Times New Roman" w:cs="Times New Roman"/>
        </w:rPr>
        <w:t xml:space="preserve"> in T</w:t>
      </w:r>
      <w:r w:rsidRPr="00EA1966">
        <w:rPr>
          <w:rFonts w:ascii="Times New Roman" w:hAnsi="Times New Roman" w:cs="Times New Roman"/>
          <w:vertAlign w:val="subscript"/>
        </w:rPr>
        <w:t>2</w:t>
      </w:r>
      <w:r w:rsidRPr="00EA1966">
        <w:rPr>
          <w:rFonts w:ascii="Times New Roman" w:hAnsi="Times New Roman" w:cs="Times New Roman"/>
        </w:rPr>
        <w:t xml:space="preserve"> and a minimum of</w:t>
      </w:r>
      <w:r w:rsidR="00876F01">
        <w:rPr>
          <w:rFonts w:ascii="Times New Roman" w:hAnsi="Times New Roman" w:cs="Times New Roman"/>
        </w:rPr>
        <w:t xml:space="preserve"> </w:t>
      </w:r>
      <w:r w:rsidR="00876F01" w:rsidRPr="00876F01">
        <w:rPr>
          <w:rFonts w:ascii="Times New Roman" w:hAnsi="Times New Roman" w:cs="Times New Roman"/>
        </w:rPr>
        <w:t xml:space="preserve">30.8 </w:t>
      </w:r>
      <w:r w:rsidR="00876F01">
        <w:rPr>
          <w:rFonts w:ascii="Times New Roman" w:hAnsi="Times New Roman" w:cs="Times New Roman"/>
        </w:rPr>
        <w:t>±</w:t>
      </w:r>
      <w:r w:rsidR="00876F01" w:rsidRPr="00876F01">
        <w:rPr>
          <w:rFonts w:ascii="Times New Roman" w:hAnsi="Times New Roman" w:cs="Times New Roman"/>
        </w:rPr>
        <w:t xml:space="preserve"> 0.6</w:t>
      </w:r>
      <w:r w:rsidRPr="00EA1966">
        <w:rPr>
          <w:rFonts w:ascii="Times New Roman" w:hAnsi="Times New Roman" w:cs="Times New Roman"/>
        </w:rPr>
        <w:t xml:space="preserve"> cm in T</w:t>
      </w:r>
      <w:r w:rsidRPr="00EA1966">
        <w:rPr>
          <w:rFonts w:ascii="Times New Roman" w:hAnsi="Times New Roman" w:cs="Times New Roman"/>
          <w:vertAlign w:val="subscript"/>
        </w:rPr>
        <w:t>3</w:t>
      </w:r>
      <w:r w:rsidR="00A2276D">
        <w:rPr>
          <w:rFonts w:ascii="Times New Roman" w:hAnsi="Times New Roman" w:cs="Times New Roman"/>
          <w:vertAlign w:val="subscript"/>
        </w:rPr>
        <w:t xml:space="preserve"> </w:t>
      </w:r>
      <w:r w:rsidR="00A2276D">
        <w:rPr>
          <w:rFonts w:ascii="Times New Roman" w:hAnsi="Times New Roman" w:cs="Times New Roman"/>
        </w:rPr>
        <w:t xml:space="preserve">(Figure </w:t>
      </w:r>
      <w:r w:rsidR="00DF43A7">
        <w:rPr>
          <w:rFonts w:ascii="Times New Roman" w:hAnsi="Times New Roman" w:cs="Times New Roman"/>
        </w:rPr>
        <w:t>2</w:t>
      </w:r>
      <w:r w:rsidR="00A2276D">
        <w:rPr>
          <w:rFonts w:ascii="Times New Roman" w:hAnsi="Times New Roman" w:cs="Times New Roman"/>
        </w:rPr>
        <w:t>)</w:t>
      </w:r>
      <w:r w:rsidRPr="00EA1966">
        <w:rPr>
          <w:rFonts w:ascii="Times New Roman" w:hAnsi="Times New Roman" w:cs="Times New Roman"/>
        </w:rPr>
        <w:t>. Post-monsoon observations mirrored this trend, with values declining from</w:t>
      </w:r>
      <w:r w:rsidR="00086DAC">
        <w:rPr>
          <w:rFonts w:ascii="Times New Roman" w:hAnsi="Times New Roman" w:cs="Times New Roman"/>
        </w:rPr>
        <w:t xml:space="preserve"> </w:t>
      </w:r>
      <w:r w:rsidR="00086DAC" w:rsidRPr="00086DAC">
        <w:rPr>
          <w:rFonts w:ascii="Times New Roman" w:hAnsi="Times New Roman" w:cs="Times New Roman"/>
        </w:rPr>
        <w:t xml:space="preserve">33.1 </w:t>
      </w:r>
      <w:r w:rsidR="00086DAC">
        <w:rPr>
          <w:rFonts w:ascii="Times New Roman" w:hAnsi="Times New Roman" w:cs="Times New Roman"/>
        </w:rPr>
        <w:t>±</w:t>
      </w:r>
      <w:r w:rsidR="00086DAC" w:rsidRPr="00086DAC">
        <w:rPr>
          <w:rFonts w:ascii="Times New Roman" w:hAnsi="Times New Roman" w:cs="Times New Roman"/>
        </w:rPr>
        <w:t xml:space="preserve"> 0.8</w:t>
      </w:r>
      <w:r w:rsidRPr="00EA1966">
        <w:rPr>
          <w:rFonts w:ascii="Times New Roman" w:hAnsi="Times New Roman" w:cs="Times New Roman"/>
        </w:rPr>
        <w:t xml:space="preserve"> cm (T</w:t>
      </w:r>
      <w:r w:rsidRPr="00EA1966">
        <w:rPr>
          <w:rFonts w:ascii="Times New Roman" w:hAnsi="Times New Roman" w:cs="Times New Roman"/>
          <w:vertAlign w:val="subscript"/>
        </w:rPr>
        <w:t>1</w:t>
      </w:r>
      <w:r w:rsidRPr="00EA1966">
        <w:rPr>
          <w:rFonts w:ascii="Times New Roman" w:hAnsi="Times New Roman" w:cs="Times New Roman"/>
        </w:rPr>
        <w:t>) to</w:t>
      </w:r>
      <w:r w:rsidR="00086DAC">
        <w:rPr>
          <w:rFonts w:ascii="Times New Roman" w:hAnsi="Times New Roman" w:cs="Times New Roman"/>
        </w:rPr>
        <w:t xml:space="preserve"> </w:t>
      </w:r>
      <w:r w:rsidR="00086DAC" w:rsidRPr="00086DAC">
        <w:rPr>
          <w:rFonts w:ascii="Times New Roman" w:hAnsi="Times New Roman" w:cs="Times New Roman"/>
        </w:rPr>
        <w:t xml:space="preserve">30.9 </w:t>
      </w:r>
      <w:r w:rsidR="00086DAC">
        <w:rPr>
          <w:rFonts w:ascii="Times New Roman" w:hAnsi="Times New Roman" w:cs="Times New Roman"/>
        </w:rPr>
        <w:t xml:space="preserve">± </w:t>
      </w:r>
      <w:r w:rsidR="00086DAC" w:rsidRPr="00086DAC">
        <w:rPr>
          <w:rFonts w:ascii="Times New Roman" w:hAnsi="Times New Roman" w:cs="Times New Roman"/>
        </w:rPr>
        <w:t>0.4</w:t>
      </w:r>
      <w:r w:rsidRPr="00EA1966">
        <w:rPr>
          <w:rFonts w:ascii="Times New Roman" w:hAnsi="Times New Roman" w:cs="Times New Roman"/>
        </w:rPr>
        <w:t xml:space="preserve"> cm (T</w:t>
      </w:r>
      <w:r w:rsidRPr="00EA1966">
        <w:rPr>
          <w:rFonts w:ascii="Times New Roman" w:hAnsi="Times New Roman" w:cs="Times New Roman"/>
          <w:vertAlign w:val="subscript"/>
        </w:rPr>
        <w:t>3</w:t>
      </w:r>
      <w:r w:rsidRPr="00EA1966">
        <w:rPr>
          <w:rFonts w:ascii="Times New Roman" w:hAnsi="Times New Roman" w:cs="Times New Roman"/>
        </w:rPr>
        <w:t>), indicating that increased feeding intensity consistently reduced water clarity across both seasons. The significant reduction in transparency in T</w:t>
      </w:r>
      <w:r w:rsidRPr="00EA1966">
        <w:rPr>
          <w:rFonts w:ascii="Times New Roman" w:hAnsi="Times New Roman" w:cs="Times New Roman"/>
          <w:vertAlign w:val="subscript"/>
        </w:rPr>
        <w:t>3</w:t>
      </w:r>
      <w:r w:rsidRPr="00EA1966">
        <w:rPr>
          <w:rFonts w:ascii="Times New Roman" w:hAnsi="Times New Roman" w:cs="Times New Roman"/>
        </w:rPr>
        <w:t xml:space="preserve"> is likely attributable to the accumulation of uneaten feed and metabolic wastes, which promote phytoplankton blooms and increase total suspended solids through organic matter decomposition</w:t>
      </w:r>
      <w:r w:rsidR="00BD689E">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"/>
          <w:id w:val="505249034"/>
          <w:placeholder>
            <w:docPart w:val="DefaultPlaceholder_-1854013440"/>
          </w:placeholder>
        </w:sdtPr>
        <w:sdtEndPr/>
        <w:sdtContent>
          <w:r w:rsidR="001801C7" w:rsidRPr="001801C7">
            <w:rPr>
              <w:rFonts w:ascii="Times New Roman" w:hAnsi="Times New Roman" w:cs="Times New Roman"/>
              <w:color w:val="000000"/>
            </w:rPr>
            <w:t>(Song et al., 2026)</w:t>
          </w:r>
        </w:sdtContent>
      </w:sdt>
      <w:r w:rsidRPr="00EA1966">
        <w:rPr>
          <w:rFonts w:ascii="Times New Roman" w:hAnsi="Times New Roman" w:cs="Times New Roman"/>
        </w:rPr>
        <w:t>. Furthermore, the slightly higher transparency noted during the monsoon, particularly in T</w:t>
      </w:r>
      <w:r w:rsidRPr="00EA1966">
        <w:rPr>
          <w:rFonts w:ascii="Times New Roman" w:hAnsi="Times New Roman" w:cs="Times New Roman"/>
          <w:vertAlign w:val="subscript"/>
        </w:rPr>
        <w:t>1</w:t>
      </w:r>
      <w:r w:rsidRPr="00EA1966">
        <w:rPr>
          <w:rFonts w:ascii="Times New Roman" w:hAnsi="Times New Roman" w:cs="Times New Roman"/>
        </w:rPr>
        <w:t>, may result from the dilution effect of rainwater and lower initial nutrient concentrations compared to the post-monsoon period, where reduced water volume and stable temperatures often favor higher microbial and algal densities</w:t>
      </w:r>
      <w:r w:rsidR="00E13E2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"/>
          <w:id w:val="1891068548"/>
          <w:placeholder>
            <w:docPart w:val="DefaultPlaceholder_-1854013440"/>
          </w:placeholder>
        </w:sdtPr>
        <w:sdtEndPr/>
        <w:sdtContent>
          <w:r w:rsidR="001801C7" w:rsidRPr="001801C7">
            <w:rPr>
              <w:rFonts w:ascii="Times New Roman" w:hAnsi="Times New Roman" w:cs="Times New Roman"/>
              <w:color w:val="000000"/>
            </w:rPr>
            <w:t>(Uddin et al., 2007)</w:t>
          </w:r>
        </w:sdtContent>
      </w:sdt>
      <w:r w:rsidRPr="00EA1966">
        <w:rPr>
          <w:rFonts w:ascii="Times New Roman" w:hAnsi="Times New Roman" w:cs="Times New Roman"/>
        </w:rPr>
        <w:t>.</w:t>
      </w:r>
    </w:p>
    <w:p w14:paraId="7C04AFFC" w14:textId="6D050321" w:rsidR="0068548F" w:rsidRDefault="0068548F" w:rsidP="000C3383">
      <w:pPr>
        <w:jc w:val="center"/>
      </w:pPr>
      <w:r>
        <w:rPr>
          <w:noProof/>
        </w:rPr>
        <w:lastRenderedPageBreak/>
        <w:drawing>
          <wp:inline distT="0" distB="0" distL="0" distR="0" wp14:anchorId="745605F7" wp14:editId="50AE1D0D">
            <wp:extent cx="4389119" cy="2926080"/>
            <wp:effectExtent l="0" t="0" r="0" b="7620"/>
            <wp:docPr id="1601138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38997" name="Picture 1601138997"/>
                    <pic:cNvPicPr/>
                  </pic:nvPicPr>
                  <pic:blipFill>
                    <a:blip r:embed="rId10">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11221CFC" w14:textId="421233EE" w:rsidR="00DB2E78" w:rsidRDefault="00DB2E78" w:rsidP="00DB2E78">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A073F1">
        <w:rPr>
          <w:rFonts w:ascii="Times New Roman" w:hAnsi="Times New Roman" w:cs="Times New Roman"/>
          <w:b/>
          <w:bCs/>
          <w:i w:val="0"/>
          <w:iCs w:val="0"/>
          <w:color w:val="auto"/>
          <w:sz w:val="24"/>
          <w:szCs w:val="24"/>
        </w:rPr>
        <w:t>2</w:t>
      </w:r>
      <w:r w:rsidRPr="00DB2E78">
        <w:rPr>
          <w:rFonts w:ascii="Times New Roman" w:hAnsi="Times New Roman" w:cs="Times New Roman"/>
          <w:i w:val="0"/>
          <w:iCs w:val="0"/>
          <w:color w:val="auto"/>
          <w:sz w:val="24"/>
          <w:szCs w:val="24"/>
        </w:rPr>
        <w:t xml:space="preserve"> Variations in water transparency (cm) influenced by seasonal conditions (monsoon and post-monsoon) and feeding frequencies (T</w:t>
      </w:r>
      <w:r w:rsidRPr="00387AC9">
        <w:rPr>
          <w:rFonts w:ascii="Times New Roman" w:hAnsi="Times New Roman" w:cs="Times New Roman"/>
          <w:i w:val="0"/>
          <w:iCs w:val="0"/>
          <w:color w:val="auto"/>
          <w:sz w:val="24"/>
          <w:szCs w:val="24"/>
          <w:vertAlign w:val="subscript"/>
        </w:rPr>
        <w:t>1</w:t>
      </w:r>
      <w:r w:rsidRPr="00DB2E78">
        <w:rPr>
          <w:rFonts w:ascii="Times New Roman" w:hAnsi="Times New Roman" w:cs="Times New Roman"/>
          <w:i w:val="0"/>
          <w:iCs w:val="0"/>
          <w:color w:val="auto"/>
          <w:sz w:val="24"/>
          <w:szCs w:val="24"/>
        </w:rPr>
        <w:t>: once daily, T</w:t>
      </w:r>
      <w:r w:rsidRPr="00387AC9">
        <w:rPr>
          <w:rFonts w:ascii="Times New Roman" w:hAnsi="Times New Roman" w:cs="Times New Roman"/>
          <w:i w:val="0"/>
          <w:iCs w:val="0"/>
          <w:color w:val="auto"/>
          <w:sz w:val="24"/>
          <w:szCs w:val="24"/>
          <w:vertAlign w:val="subscript"/>
        </w:rPr>
        <w:t>2</w:t>
      </w:r>
      <w:r w:rsidRPr="00DB2E78">
        <w:rPr>
          <w:rFonts w:ascii="Times New Roman" w:hAnsi="Times New Roman" w:cs="Times New Roman"/>
          <w:i w:val="0"/>
          <w:iCs w:val="0"/>
          <w:color w:val="auto"/>
          <w:sz w:val="24"/>
          <w:szCs w:val="24"/>
        </w:rPr>
        <w:t>: twice daily, T</w:t>
      </w:r>
      <w:r w:rsidRPr="00387AC9">
        <w:rPr>
          <w:rFonts w:ascii="Times New Roman" w:hAnsi="Times New Roman" w:cs="Times New Roman"/>
          <w:i w:val="0"/>
          <w:iCs w:val="0"/>
          <w:color w:val="auto"/>
          <w:sz w:val="24"/>
          <w:szCs w:val="24"/>
          <w:vertAlign w:val="subscript"/>
        </w:rPr>
        <w:t>3</w:t>
      </w:r>
      <w:r w:rsidRPr="00DB2E78">
        <w:rPr>
          <w:rFonts w:ascii="Times New Roman" w:hAnsi="Times New Roman" w:cs="Times New Roman"/>
          <w:i w:val="0"/>
          <w:iCs w:val="0"/>
          <w:color w:val="auto"/>
          <w:sz w:val="24"/>
          <w:szCs w:val="24"/>
        </w:rPr>
        <w:t>: thrice daily) in a Nile tilapia (</w:t>
      </w:r>
      <w:r w:rsidRPr="00787B89">
        <w:rPr>
          <w:rFonts w:ascii="Times New Roman" w:hAnsi="Times New Roman" w:cs="Times New Roman"/>
          <w:color w:val="auto"/>
          <w:sz w:val="24"/>
          <w:szCs w:val="24"/>
        </w:rPr>
        <w:t>Oreochromis niloticus</w:t>
      </w:r>
      <w:r w:rsidRPr="00DB2E78">
        <w:rPr>
          <w:rFonts w:ascii="Times New Roman" w:hAnsi="Times New Roman" w:cs="Times New Roman"/>
          <w:i w:val="0"/>
          <w:iCs w:val="0"/>
          <w:color w:val="auto"/>
          <w:sz w:val="24"/>
          <w:szCs w:val="24"/>
        </w:rPr>
        <w:t>) culture pond. (p &lt; 0.05; CV = 2.37%)</w:t>
      </w:r>
    </w:p>
    <w:p w14:paraId="6667C5A0" w14:textId="77777777" w:rsidR="0031466E" w:rsidRPr="0031466E" w:rsidRDefault="0031466E" w:rsidP="0031466E">
      <w:pPr>
        <w:jc w:val="both"/>
        <w:rPr>
          <w:rFonts w:ascii="Times New Roman" w:hAnsi="Times New Roman" w:cs="Times New Roman"/>
          <w:b/>
          <w:bCs/>
        </w:rPr>
      </w:pPr>
      <w:r w:rsidRPr="0031466E">
        <w:rPr>
          <w:rFonts w:ascii="Times New Roman" w:hAnsi="Times New Roman" w:cs="Times New Roman"/>
          <w:b/>
          <w:bCs/>
        </w:rPr>
        <w:t>Pond Water pH</w:t>
      </w:r>
    </w:p>
    <w:p w14:paraId="4E69A4F1" w14:textId="16C5F563" w:rsidR="00EC3507" w:rsidRPr="00EC3507" w:rsidRDefault="0031466E" w:rsidP="00EC3507">
      <w:pPr>
        <w:spacing w:line="360" w:lineRule="auto"/>
        <w:jc w:val="both"/>
      </w:pPr>
      <w:r w:rsidRPr="0031466E">
        <w:rPr>
          <w:rFonts w:ascii="Times New Roman" w:hAnsi="Times New Roman" w:cs="Times New Roman"/>
        </w:rPr>
        <w:t>Water pH remains a critical chemical parameter that dictates the chemical speciation of nutrients and the physiological homeostasis of cultured Nile tilapia. During the monsoon, pH values exhibited significant fluctuations among treatments, with the lowest concentration recorded in T</w:t>
      </w:r>
      <w:r w:rsidRPr="0031466E">
        <w:rPr>
          <w:rFonts w:ascii="Times New Roman" w:hAnsi="Times New Roman" w:cs="Times New Roman"/>
          <w:vertAlign w:val="subscript"/>
        </w:rPr>
        <w:t>1</w:t>
      </w:r>
      <w:r w:rsidRPr="0031466E">
        <w:rPr>
          <w:rFonts w:ascii="Times New Roman" w:hAnsi="Times New Roman" w:cs="Times New Roman"/>
        </w:rPr>
        <w:t xml:space="preserve"> (6.79</w:t>
      </w:r>
      <w:r w:rsidR="00077573">
        <w:rPr>
          <w:rFonts w:ascii="Times New Roman" w:hAnsi="Times New Roman" w:cs="Times New Roman"/>
        </w:rPr>
        <w:t xml:space="preserve"> ±</w:t>
      </w:r>
      <w:r w:rsidRPr="0031466E">
        <w:rPr>
          <w:rFonts w:ascii="Times New Roman" w:hAnsi="Times New Roman" w:cs="Times New Roman"/>
        </w:rPr>
        <w:t xml:space="preserve"> 0.13) and a peak observed in T</w:t>
      </w:r>
      <w:r w:rsidRPr="0031466E">
        <w:rPr>
          <w:rFonts w:ascii="Times New Roman" w:hAnsi="Times New Roman" w:cs="Times New Roman"/>
          <w:vertAlign w:val="subscript"/>
        </w:rPr>
        <w:t>2</w:t>
      </w:r>
      <w:r w:rsidRPr="0031466E">
        <w:rPr>
          <w:rFonts w:ascii="Times New Roman" w:hAnsi="Times New Roman" w:cs="Times New Roman"/>
        </w:rPr>
        <w:t xml:space="preserve"> (7.79 </w:t>
      </w:r>
      <w:r w:rsidR="00387AC9">
        <w:rPr>
          <w:rFonts w:ascii="Times New Roman" w:hAnsi="Times New Roman" w:cs="Times New Roman"/>
        </w:rPr>
        <w:t>±</w:t>
      </w:r>
      <w:r w:rsidRPr="0031466E">
        <w:rPr>
          <w:rFonts w:ascii="Times New Roman" w:hAnsi="Times New Roman" w:cs="Times New Roman"/>
        </w:rPr>
        <w:t xml:space="preserve"> 0.1), followed by 7.19 </w:t>
      </w:r>
      <w:r w:rsidR="00387AC9">
        <w:rPr>
          <w:rFonts w:ascii="Times New Roman" w:hAnsi="Times New Roman" w:cs="Times New Roman"/>
        </w:rPr>
        <w:t>±</w:t>
      </w:r>
      <w:r w:rsidRPr="0031466E">
        <w:rPr>
          <w:rFonts w:ascii="Times New Roman" w:hAnsi="Times New Roman" w:cs="Times New Roman"/>
        </w:rPr>
        <w:t xml:space="preserve"> 0.17 in T</w:t>
      </w:r>
      <w:r w:rsidRPr="0031466E">
        <w:rPr>
          <w:rFonts w:ascii="Times New Roman" w:hAnsi="Times New Roman" w:cs="Times New Roman"/>
          <w:vertAlign w:val="subscript"/>
        </w:rPr>
        <w:t>3</w:t>
      </w:r>
      <w:r w:rsidR="00DF43A7">
        <w:rPr>
          <w:rFonts w:ascii="Times New Roman" w:hAnsi="Times New Roman" w:cs="Times New Roman"/>
          <w:vertAlign w:val="subscript"/>
        </w:rPr>
        <w:t xml:space="preserve"> </w:t>
      </w:r>
      <w:r w:rsidR="00DF43A7">
        <w:rPr>
          <w:rFonts w:ascii="Times New Roman" w:hAnsi="Times New Roman" w:cs="Times New Roman"/>
        </w:rPr>
        <w:t>(Figure 3)</w:t>
      </w:r>
      <w:r w:rsidRPr="0031466E">
        <w:rPr>
          <w:rFonts w:ascii="Times New Roman" w:hAnsi="Times New Roman" w:cs="Times New Roman"/>
        </w:rPr>
        <w:t xml:space="preserve">. Conversely, the post-monsoon period demonstrated a more consistent and slightly alkaline trend across all </w:t>
      </w:r>
      <w:r w:rsidRPr="00EC3507">
        <w:rPr>
          <w:rFonts w:ascii="Times New Roman" w:hAnsi="Times New Roman" w:cs="Times New Roman"/>
        </w:rPr>
        <w:t xml:space="preserve">groups, with values ranging from 7.06 </w:t>
      </w:r>
      <w:r w:rsidR="00077573" w:rsidRPr="00EC3507">
        <w:rPr>
          <w:rFonts w:ascii="Times New Roman" w:hAnsi="Times New Roman" w:cs="Times New Roman"/>
        </w:rPr>
        <w:t>±</w:t>
      </w:r>
      <w:r w:rsidRPr="00EC3507">
        <w:rPr>
          <w:rFonts w:ascii="Times New Roman" w:hAnsi="Times New Roman" w:cs="Times New Roman"/>
        </w:rPr>
        <w:t xml:space="preserve"> 0.25 in T</w:t>
      </w:r>
      <w:r w:rsidRPr="00EC3507">
        <w:rPr>
          <w:rFonts w:ascii="Times New Roman" w:hAnsi="Times New Roman" w:cs="Times New Roman"/>
          <w:vertAlign w:val="subscript"/>
        </w:rPr>
        <w:t>1</w:t>
      </w:r>
      <w:r w:rsidRPr="00EC3507">
        <w:rPr>
          <w:rFonts w:ascii="Times New Roman" w:hAnsi="Times New Roman" w:cs="Times New Roman"/>
        </w:rPr>
        <w:t xml:space="preserve"> to 7.24 </w:t>
      </w:r>
      <w:r w:rsidR="00077573" w:rsidRPr="00EC3507">
        <w:rPr>
          <w:rFonts w:ascii="Times New Roman" w:hAnsi="Times New Roman" w:cs="Times New Roman"/>
        </w:rPr>
        <w:t>±</w:t>
      </w:r>
      <w:r w:rsidRPr="00EC3507">
        <w:rPr>
          <w:rFonts w:ascii="Times New Roman" w:hAnsi="Times New Roman" w:cs="Times New Roman"/>
        </w:rPr>
        <w:t xml:space="preserve"> 0.22 in T</w:t>
      </w:r>
      <w:r w:rsidRPr="00EC3507">
        <w:rPr>
          <w:rFonts w:ascii="Times New Roman" w:hAnsi="Times New Roman" w:cs="Times New Roman"/>
          <w:vertAlign w:val="subscript"/>
        </w:rPr>
        <w:t>3</w:t>
      </w:r>
      <w:r w:rsidRPr="00EC3507">
        <w:rPr>
          <w:rFonts w:ascii="Times New Roman" w:hAnsi="Times New Roman" w:cs="Times New Roman"/>
        </w:rPr>
        <w:t>. Notably, the T</w:t>
      </w:r>
      <w:r w:rsidRPr="00EC3507">
        <w:rPr>
          <w:rFonts w:ascii="Times New Roman" w:hAnsi="Times New Roman" w:cs="Times New Roman"/>
          <w:vertAlign w:val="subscript"/>
        </w:rPr>
        <w:t>2</w:t>
      </w:r>
      <w:r w:rsidRPr="00EC3507">
        <w:rPr>
          <w:rFonts w:ascii="Times New Roman" w:hAnsi="Times New Roman" w:cs="Times New Roman"/>
        </w:rPr>
        <w:t xml:space="preserve"> treatment during the monsoon season represented the highest alkalinity observed in the study, while T</w:t>
      </w:r>
      <w:r w:rsidRPr="00EC3507">
        <w:rPr>
          <w:rFonts w:ascii="Times New Roman" w:hAnsi="Times New Roman" w:cs="Times New Roman"/>
          <w:vertAlign w:val="subscript"/>
        </w:rPr>
        <w:t>1</w:t>
      </w:r>
      <w:r w:rsidRPr="00EC3507">
        <w:rPr>
          <w:rFonts w:ascii="Times New Roman" w:hAnsi="Times New Roman" w:cs="Times New Roman"/>
        </w:rPr>
        <w:t xml:space="preserve"> in the same season was significantly more acidic than its post-monsoon counterpart (p &lt; 0.05</w:t>
      </w:r>
      <w:r w:rsidR="00EC3507" w:rsidRPr="00EC3507">
        <w:rPr>
          <w:rFonts w:ascii="Times New Roman" w:hAnsi="Times New Roman" w:cs="Times New Roman"/>
        </w:rPr>
        <w:t>%</w:t>
      </w:r>
      <w:r w:rsidRPr="00EC3507">
        <w:rPr>
          <w:rFonts w:ascii="Times New Roman" w:hAnsi="Times New Roman" w:cs="Times New Roman"/>
        </w:rPr>
        <w:t xml:space="preserve">). </w:t>
      </w:r>
      <w:r w:rsidR="00EC3507" w:rsidRPr="00EC3507">
        <w:rPr>
          <w:rFonts w:ascii="Times New Roman" w:hAnsi="Times New Roman" w:cs="Times New Roman"/>
        </w:rPr>
        <w:t>These observed trends are primarily driven by the dynamics of the carbonate-bicarbonate buffering system and the metabolic balance between photosynthesis and respiration</w:t>
      </w:r>
      <w:r w:rsidR="00EC3507">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"/>
          <w:id w:val="1807586547"/>
          <w:placeholder>
            <w:docPart w:val="DefaultPlaceholder_-1854013440"/>
          </w:placeholder>
        </w:sdtPr>
        <w:sdtEndPr/>
        <w:sdtContent>
          <w:r w:rsidR="001801C7" w:rsidRPr="001801C7">
            <w:rPr>
              <w:rFonts w:ascii="Times New Roman" w:eastAsia="Times New Roman" w:hAnsi="Times New Roman" w:cs="Times New Roman"/>
              <w:color w:val="000000"/>
            </w:rPr>
            <w:t>(Wurts &amp; Durborow, 1992)</w:t>
          </w:r>
        </w:sdtContent>
      </w:sdt>
      <w:r w:rsidR="00EC3507" w:rsidRPr="00EC3507">
        <w:rPr>
          <w:rFonts w:ascii="Times New Roman" w:hAnsi="Times New Roman" w:cs="Times New Roman"/>
        </w:rPr>
        <w:t>. The pH in monsoon T</w:t>
      </w:r>
      <w:r w:rsidR="00EC3507" w:rsidRPr="00EC3507">
        <w:rPr>
          <w:rFonts w:ascii="Times New Roman" w:hAnsi="Times New Roman" w:cs="Times New Roman"/>
          <w:vertAlign w:val="subscript"/>
        </w:rPr>
        <w:t>1</w:t>
      </w:r>
      <w:r w:rsidR="00EC3507" w:rsidRPr="00EC3507">
        <w:rPr>
          <w:rFonts w:ascii="Times New Roman" w:hAnsi="Times New Roman" w:cs="Times New Roman"/>
        </w:rPr>
        <w:t xml:space="preserve"> is lower due to generation of high amount of carbon dioxide (</w:t>
      </w:r>
      <w:r w:rsidR="0027305C" w:rsidRPr="00EC3507">
        <w:rPr>
          <w:rFonts w:ascii="Times New Roman" w:hAnsi="Times New Roman" w:cs="Times New Roman"/>
        </w:rPr>
        <w:t>CO</w:t>
      </w:r>
      <w:r w:rsidR="0027305C" w:rsidRPr="00926ABD">
        <w:rPr>
          <w:rFonts w:ascii="Times New Roman" w:hAnsi="Times New Roman" w:cs="Times New Roman"/>
          <w:vertAlign w:val="subscript"/>
        </w:rPr>
        <w:t>2</w:t>
      </w:r>
      <w:r w:rsidR="00EC3507" w:rsidRPr="00EC3507">
        <w:rPr>
          <w:rFonts w:ascii="Times New Roman" w:hAnsi="Times New Roman" w:cs="Times New Roman"/>
        </w:rPr>
        <w:t>) by the decomposition of organic matter and microbial respiration which causes decrease in the pH value of water</w:t>
      </w:r>
      <w:r w:rsidR="00851807">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"/>
          <w:id w:val="-283572556"/>
          <w:placeholder>
            <w:docPart w:val="DefaultPlaceholder_-1854013440"/>
          </w:placeholder>
        </w:sdtPr>
        <w:sdtEndPr/>
        <w:sdtContent>
          <w:r w:rsidR="001801C7" w:rsidRPr="001801C7">
            <w:rPr>
              <w:rFonts w:ascii="Times New Roman" w:hAnsi="Times New Roman" w:cs="Times New Roman"/>
              <w:color w:val="000000"/>
            </w:rPr>
            <w:t>(Boyd, 1990)</w:t>
          </w:r>
        </w:sdtContent>
      </w:sdt>
      <w:r w:rsidR="00EC3507" w:rsidRPr="00EC3507">
        <w:rPr>
          <w:rFonts w:ascii="Times New Roman" w:hAnsi="Times New Roman" w:cs="Times New Roman"/>
        </w:rPr>
        <w:t>. Thus, while the more alkaline trend in monsoon T</w:t>
      </w:r>
      <w:r w:rsidR="00EC3507" w:rsidRPr="00A20CFA">
        <w:rPr>
          <w:rFonts w:ascii="Times New Roman" w:hAnsi="Times New Roman" w:cs="Times New Roman"/>
          <w:vertAlign w:val="subscript"/>
        </w:rPr>
        <w:t>2</w:t>
      </w:r>
      <w:r w:rsidR="00EC3507" w:rsidRPr="00EC3507">
        <w:rPr>
          <w:rFonts w:ascii="Times New Roman" w:hAnsi="Times New Roman" w:cs="Times New Roman"/>
        </w:rPr>
        <w:t xml:space="preserve"> inputs points to increased productivity owing to the drawdown of CO</w:t>
      </w:r>
      <w:r w:rsidR="00EC3507" w:rsidRPr="00926ABD">
        <w:rPr>
          <w:rFonts w:ascii="Times New Roman" w:hAnsi="Times New Roman" w:cs="Times New Roman"/>
          <w:vertAlign w:val="subscript"/>
        </w:rPr>
        <w:t>2</w:t>
      </w:r>
      <w:r w:rsidR="00EC3507" w:rsidRPr="00EC3507">
        <w:rPr>
          <w:rFonts w:ascii="Times New Roman" w:hAnsi="Times New Roman" w:cs="Times New Roman"/>
        </w:rPr>
        <w:t xml:space="preserve"> during photosynthesis driving up pH, </w:t>
      </w:r>
      <w:r w:rsidR="00F91428" w:rsidRPr="00EC3507">
        <w:rPr>
          <w:rFonts w:ascii="Times New Roman" w:hAnsi="Times New Roman" w:cs="Times New Roman"/>
        </w:rPr>
        <w:t>in</w:t>
      </w:r>
      <w:r w:rsidR="00EC3507" w:rsidRPr="00EC3507">
        <w:rPr>
          <w:rFonts w:ascii="Times New Roman" w:hAnsi="Times New Roman" w:cs="Times New Roman"/>
        </w:rPr>
        <w:t xml:space="preserve"> addition, monsoon seasonal rains can impact the buffering capacity of the pond </w:t>
      </w:r>
      <w:r w:rsidR="00EC3507" w:rsidRPr="00EC3507">
        <w:rPr>
          <w:rFonts w:ascii="Times New Roman" w:hAnsi="Times New Roman" w:cs="Times New Roman"/>
        </w:rPr>
        <w:lastRenderedPageBreak/>
        <w:t>bath, probably leading to more pronounced pH fluctuations than we see in these data for post-monsoon stable conditions</w:t>
      </w:r>
      <w:r w:rsidR="00F91428">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"/>
          <w:id w:val="1614477193"/>
          <w:placeholder>
            <w:docPart w:val="DefaultPlaceholder_-1854013440"/>
          </w:placeholder>
        </w:sdtPr>
        <w:sdtEndPr/>
        <w:sdtContent>
          <w:r w:rsidR="001801C7" w:rsidRPr="001801C7">
            <w:rPr>
              <w:rFonts w:ascii="Times New Roman" w:eastAsia="Times New Roman" w:hAnsi="Times New Roman" w:cs="Times New Roman"/>
              <w:color w:val="000000"/>
            </w:rPr>
            <w:t xml:space="preserve">(Tucker &amp; </w:t>
          </w:r>
          <w:proofErr w:type="spellStart"/>
          <w:r w:rsidR="001801C7" w:rsidRPr="001801C7">
            <w:rPr>
              <w:rFonts w:ascii="Times New Roman" w:eastAsia="Times New Roman" w:hAnsi="Times New Roman" w:cs="Times New Roman"/>
              <w:color w:val="000000"/>
            </w:rPr>
            <w:t>D’Abramo</w:t>
          </w:r>
          <w:proofErr w:type="spellEnd"/>
          <w:r w:rsidR="001801C7" w:rsidRPr="001801C7">
            <w:rPr>
              <w:rFonts w:ascii="Times New Roman" w:eastAsia="Times New Roman" w:hAnsi="Times New Roman" w:cs="Times New Roman"/>
              <w:color w:val="000000"/>
            </w:rPr>
            <w:t>, 2008)</w:t>
          </w:r>
        </w:sdtContent>
      </w:sdt>
      <w:r w:rsidR="00EC3507" w:rsidRPr="00EC3507">
        <w:rPr>
          <w:rFonts w:ascii="Times New Roman" w:hAnsi="Times New Roman" w:cs="Times New Roman"/>
        </w:rPr>
        <w:t>.</w:t>
      </w:r>
    </w:p>
    <w:p w14:paraId="16B1E50C" w14:textId="1A61C3E6" w:rsidR="0068548F" w:rsidRDefault="0068548F" w:rsidP="004E2788">
      <w:pPr>
        <w:jc w:val="center"/>
      </w:pPr>
      <w:r>
        <w:rPr>
          <w:noProof/>
        </w:rPr>
        <w:drawing>
          <wp:inline distT="0" distB="0" distL="0" distR="0" wp14:anchorId="33A505C7" wp14:editId="3E9A853C">
            <wp:extent cx="4389119" cy="2926080"/>
            <wp:effectExtent l="0" t="0" r="0" b="7620"/>
            <wp:docPr id="1332947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47140" name="Picture 1332947140"/>
                    <pic:cNvPicPr/>
                  </pic:nvPicPr>
                  <pic:blipFill>
                    <a:blip r:embed="rId11">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76AD8D88" w14:textId="0D412F23" w:rsidR="00D7790F" w:rsidRDefault="00D7790F" w:rsidP="00D7790F">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A073F1">
        <w:rPr>
          <w:rFonts w:ascii="Times New Roman" w:hAnsi="Times New Roman" w:cs="Times New Roman"/>
          <w:b/>
          <w:bCs/>
          <w:i w:val="0"/>
          <w:iCs w:val="0"/>
          <w:color w:val="auto"/>
          <w:sz w:val="24"/>
          <w:szCs w:val="24"/>
        </w:rPr>
        <w:t>3</w:t>
      </w:r>
      <w:r w:rsidRPr="00D7790F">
        <w:rPr>
          <w:rFonts w:ascii="Times New Roman" w:hAnsi="Times New Roman" w:cs="Times New Roman"/>
          <w:i w:val="0"/>
          <w:iCs w:val="0"/>
          <w:color w:val="auto"/>
          <w:sz w:val="24"/>
          <w:szCs w:val="24"/>
        </w:rPr>
        <w:t xml:space="preserve"> Effects of seasonal variation and feeding frequency (T</w:t>
      </w:r>
      <w:r w:rsidRPr="009F7177">
        <w:rPr>
          <w:rFonts w:ascii="Times New Roman" w:hAnsi="Times New Roman" w:cs="Times New Roman"/>
          <w:i w:val="0"/>
          <w:iCs w:val="0"/>
          <w:color w:val="auto"/>
          <w:sz w:val="24"/>
          <w:szCs w:val="24"/>
          <w:vertAlign w:val="subscript"/>
        </w:rPr>
        <w:t>1</w:t>
      </w:r>
      <w:r w:rsidRPr="00D7790F">
        <w:rPr>
          <w:rFonts w:ascii="Times New Roman" w:hAnsi="Times New Roman" w:cs="Times New Roman"/>
          <w:i w:val="0"/>
          <w:iCs w:val="0"/>
          <w:color w:val="auto"/>
          <w:sz w:val="24"/>
          <w:szCs w:val="24"/>
        </w:rPr>
        <w:t>: once daily, T</w:t>
      </w:r>
      <w:r w:rsidRPr="009F7177">
        <w:rPr>
          <w:rFonts w:ascii="Times New Roman" w:hAnsi="Times New Roman" w:cs="Times New Roman"/>
          <w:i w:val="0"/>
          <w:iCs w:val="0"/>
          <w:color w:val="auto"/>
          <w:sz w:val="24"/>
          <w:szCs w:val="24"/>
          <w:vertAlign w:val="subscript"/>
        </w:rPr>
        <w:t>2</w:t>
      </w:r>
      <w:r w:rsidRPr="00D7790F">
        <w:rPr>
          <w:rFonts w:ascii="Times New Roman" w:hAnsi="Times New Roman" w:cs="Times New Roman"/>
          <w:i w:val="0"/>
          <w:iCs w:val="0"/>
          <w:color w:val="auto"/>
          <w:sz w:val="24"/>
          <w:szCs w:val="24"/>
        </w:rPr>
        <w:t>: twice daily, T</w:t>
      </w:r>
      <w:r w:rsidRPr="009F7177">
        <w:rPr>
          <w:rFonts w:ascii="Times New Roman" w:hAnsi="Times New Roman" w:cs="Times New Roman"/>
          <w:i w:val="0"/>
          <w:iCs w:val="0"/>
          <w:color w:val="auto"/>
          <w:sz w:val="24"/>
          <w:szCs w:val="24"/>
          <w:vertAlign w:val="subscript"/>
        </w:rPr>
        <w:t>3</w:t>
      </w:r>
      <w:r w:rsidRPr="00D7790F">
        <w:rPr>
          <w:rFonts w:ascii="Times New Roman" w:hAnsi="Times New Roman" w:cs="Times New Roman"/>
          <w:i w:val="0"/>
          <w:iCs w:val="0"/>
          <w:color w:val="auto"/>
          <w:sz w:val="24"/>
          <w:szCs w:val="24"/>
        </w:rPr>
        <w:t>: thrice daily) on pH levels in a Nile tilapia (Oreochromis niloticus) culture pond (p &lt; 1e-04; CV = 2.46%).</w:t>
      </w:r>
    </w:p>
    <w:p w14:paraId="39979235" w14:textId="485508C1" w:rsidR="009F7177" w:rsidRPr="009F7177" w:rsidRDefault="009F7177" w:rsidP="009F7177">
      <w:pPr>
        <w:spacing w:line="360" w:lineRule="auto"/>
        <w:jc w:val="both"/>
        <w:rPr>
          <w:rFonts w:ascii="Times New Roman" w:hAnsi="Times New Roman" w:cs="Times New Roman"/>
          <w:b/>
          <w:bCs/>
        </w:rPr>
      </w:pPr>
      <w:r w:rsidRPr="009F7177">
        <w:rPr>
          <w:rFonts w:ascii="Times New Roman" w:hAnsi="Times New Roman" w:cs="Times New Roman"/>
          <w:b/>
          <w:bCs/>
        </w:rPr>
        <w:t>Ammonia</w:t>
      </w:r>
    </w:p>
    <w:p w14:paraId="5C10B4F9" w14:textId="0A7B8B42" w:rsidR="006702CF" w:rsidRDefault="009F7177" w:rsidP="0043159F">
      <w:pPr>
        <w:spacing w:line="360" w:lineRule="auto"/>
        <w:jc w:val="both"/>
        <w:rPr>
          <w:rFonts w:ascii="Times New Roman" w:hAnsi="Times New Roman" w:cs="Times New Roman"/>
        </w:rPr>
      </w:pPr>
      <w:r w:rsidRPr="009F7177">
        <w:rPr>
          <w:rFonts w:ascii="Times New Roman" w:hAnsi="Times New Roman" w:cs="Times New Roman"/>
        </w:rPr>
        <w:t>Ammonia concentration serves as a primary indicator of nitrogenous waste accumulation and toxicological stress within the intensive aquaculture environment</w:t>
      </w:r>
      <w:r w:rsidR="0043159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"/>
          <w:id w:val="1415130197"/>
          <w:placeholder>
            <w:docPart w:val="DefaultPlaceholder_-1854013440"/>
          </w:placeholder>
        </w:sdtPr>
        <w:sdtEndPr/>
        <w:sdtContent>
          <w:r w:rsidR="001801C7" w:rsidRPr="001801C7">
            <w:rPr>
              <w:rFonts w:ascii="Times New Roman" w:hAnsi="Times New Roman" w:cs="Times New Roman"/>
              <w:color w:val="000000"/>
            </w:rPr>
            <w:t>(Jin et al., 2025; Sun et al., 2024)</w:t>
          </w:r>
        </w:sdtContent>
      </w:sdt>
      <w:r w:rsidRPr="009F7177">
        <w:rPr>
          <w:rFonts w:ascii="Times New Roman" w:hAnsi="Times New Roman" w:cs="Times New Roman"/>
        </w:rPr>
        <w:t>. During the monsoon, ammonia levels increased significantly with feeding frequency, starting from a minimum in T</w:t>
      </w:r>
      <w:r w:rsidRPr="009F7177">
        <w:rPr>
          <w:rFonts w:ascii="Times New Roman" w:hAnsi="Times New Roman" w:cs="Times New Roman"/>
          <w:vertAlign w:val="subscript"/>
        </w:rPr>
        <w:t>1</w:t>
      </w:r>
      <w:r w:rsidRPr="009F7177">
        <w:rPr>
          <w:rFonts w:ascii="Times New Roman" w:hAnsi="Times New Roman" w:cs="Times New Roman"/>
        </w:rPr>
        <w:t xml:space="preserve"> (0.0135 </w:t>
      </w:r>
      <w:r w:rsidR="00726FF7">
        <w:rPr>
          <w:rFonts w:ascii="Times New Roman" w:hAnsi="Times New Roman" w:cs="Times New Roman"/>
        </w:rPr>
        <w:t xml:space="preserve">± </w:t>
      </w:r>
      <w:r w:rsidRPr="009F7177">
        <w:rPr>
          <w:rFonts w:ascii="Times New Roman" w:hAnsi="Times New Roman" w:cs="Times New Roman"/>
        </w:rPr>
        <w:t xml:space="preserve">0.002 mg/L), rising to 0.0402 </w:t>
      </w:r>
      <w:r w:rsidR="00726FF7">
        <w:rPr>
          <w:rFonts w:ascii="Times New Roman" w:hAnsi="Times New Roman" w:cs="Times New Roman"/>
        </w:rPr>
        <w:t>±</w:t>
      </w:r>
      <w:r w:rsidRPr="009F7177">
        <w:rPr>
          <w:rFonts w:ascii="Times New Roman" w:hAnsi="Times New Roman" w:cs="Times New Roman"/>
        </w:rPr>
        <w:t xml:space="preserve"> 0.007 mg/L in T</w:t>
      </w:r>
      <w:r w:rsidRPr="009F7177">
        <w:rPr>
          <w:rFonts w:ascii="Times New Roman" w:hAnsi="Times New Roman" w:cs="Times New Roman"/>
          <w:vertAlign w:val="subscript"/>
        </w:rPr>
        <w:t>2</w:t>
      </w:r>
      <w:r w:rsidRPr="009F7177">
        <w:rPr>
          <w:rFonts w:ascii="Times New Roman" w:hAnsi="Times New Roman" w:cs="Times New Roman"/>
        </w:rPr>
        <w:t>, and reaching a study-wide peak in T</w:t>
      </w:r>
      <w:r w:rsidRPr="009F7177">
        <w:rPr>
          <w:rFonts w:ascii="Times New Roman" w:hAnsi="Times New Roman" w:cs="Times New Roman"/>
          <w:vertAlign w:val="subscript"/>
        </w:rPr>
        <w:t>3</w:t>
      </w:r>
      <w:r w:rsidRPr="009F7177">
        <w:rPr>
          <w:rFonts w:ascii="Times New Roman" w:hAnsi="Times New Roman" w:cs="Times New Roman"/>
        </w:rPr>
        <w:t xml:space="preserve"> (0.0567 </w:t>
      </w:r>
      <w:r w:rsidR="00726FF7">
        <w:rPr>
          <w:rFonts w:ascii="Times New Roman" w:hAnsi="Times New Roman" w:cs="Times New Roman"/>
        </w:rPr>
        <w:t>±</w:t>
      </w:r>
      <w:r w:rsidRPr="009F7177">
        <w:rPr>
          <w:rFonts w:ascii="Times New Roman" w:hAnsi="Times New Roman" w:cs="Times New Roman"/>
        </w:rPr>
        <w:t xml:space="preserve"> 0.004 mg/L)</w:t>
      </w:r>
      <w:r w:rsidR="00DF43A7">
        <w:rPr>
          <w:rFonts w:ascii="Times New Roman" w:hAnsi="Times New Roman" w:cs="Times New Roman"/>
        </w:rPr>
        <w:t xml:space="preserve"> (Figure 4)</w:t>
      </w:r>
      <w:r w:rsidRPr="009F7177">
        <w:rPr>
          <w:rFonts w:ascii="Times New Roman" w:hAnsi="Times New Roman" w:cs="Times New Roman"/>
        </w:rPr>
        <w:t xml:space="preserve">. A remarkably similar trend was maintained during the post-monsoon period, with values recorded at 0.0140 </w:t>
      </w:r>
      <w:r w:rsidR="00726FF7">
        <w:rPr>
          <w:rFonts w:ascii="Times New Roman" w:hAnsi="Times New Roman" w:cs="Times New Roman"/>
        </w:rPr>
        <w:t>±</w:t>
      </w:r>
      <w:r w:rsidRPr="009F7177">
        <w:rPr>
          <w:rFonts w:ascii="Times New Roman" w:hAnsi="Times New Roman" w:cs="Times New Roman"/>
        </w:rPr>
        <w:t xml:space="preserve"> 0.003 mg/L, 0.0398 </w:t>
      </w:r>
      <w:r w:rsidR="00726FF7">
        <w:rPr>
          <w:rFonts w:ascii="Times New Roman" w:hAnsi="Times New Roman" w:cs="Times New Roman"/>
        </w:rPr>
        <w:t>±</w:t>
      </w:r>
      <w:r w:rsidRPr="009F7177">
        <w:rPr>
          <w:rFonts w:ascii="Times New Roman" w:hAnsi="Times New Roman" w:cs="Times New Roman"/>
        </w:rPr>
        <w:t xml:space="preserve"> 0.002 mg/L, and 0.0523 </w:t>
      </w:r>
      <w:r w:rsidR="00726FF7">
        <w:rPr>
          <w:rFonts w:ascii="Times New Roman" w:hAnsi="Times New Roman" w:cs="Times New Roman"/>
        </w:rPr>
        <w:t>±</w:t>
      </w:r>
      <w:r w:rsidRPr="009F7177">
        <w:rPr>
          <w:rFonts w:ascii="Times New Roman" w:hAnsi="Times New Roman" w:cs="Times New Roman"/>
        </w:rPr>
        <w:t xml:space="preserve"> 0.002 mg/L for T</w:t>
      </w:r>
      <w:r w:rsidRPr="009F7177">
        <w:rPr>
          <w:rFonts w:ascii="Times New Roman" w:hAnsi="Times New Roman" w:cs="Times New Roman"/>
          <w:vertAlign w:val="subscript"/>
        </w:rPr>
        <w:t>1</w:t>
      </w:r>
      <w:r w:rsidRPr="009F7177">
        <w:rPr>
          <w:rFonts w:ascii="Times New Roman" w:hAnsi="Times New Roman" w:cs="Times New Roman"/>
        </w:rPr>
        <w:t>, T</w:t>
      </w:r>
      <w:r w:rsidRPr="009F7177">
        <w:rPr>
          <w:rFonts w:ascii="Times New Roman" w:hAnsi="Times New Roman" w:cs="Times New Roman"/>
          <w:vertAlign w:val="subscript"/>
        </w:rPr>
        <w:t>2</w:t>
      </w:r>
      <w:r w:rsidRPr="009F7177">
        <w:rPr>
          <w:rFonts w:ascii="Times New Roman" w:hAnsi="Times New Roman" w:cs="Times New Roman"/>
        </w:rPr>
        <w:t>, and T</w:t>
      </w:r>
      <w:r w:rsidRPr="009F7177">
        <w:rPr>
          <w:rFonts w:ascii="Times New Roman" w:hAnsi="Times New Roman" w:cs="Times New Roman"/>
          <w:vertAlign w:val="subscript"/>
        </w:rPr>
        <w:t>3</w:t>
      </w:r>
      <w:r w:rsidRPr="009F7177">
        <w:rPr>
          <w:rFonts w:ascii="Times New Roman" w:hAnsi="Times New Roman" w:cs="Times New Roman"/>
        </w:rPr>
        <w:t xml:space="preserve"> respectively. Statistically, T</w:t>
      </w:r>
      <w:r w:rsidRPr="009F7177">
        <w:rPr>
          <w:rFonts w:ascii="Times New Roman" w:hAnsi="Times New Roman" w:cs="Times New Roman"/>
          <w:vertAlign w:val="subscript"/>
        </w:rPr>
        <w:t>3</w:t>
      </w:r>
      <w:r w:rsidRPr="009F7177">
        <w:rPr>
          <w:rFonts w:ascii="Times New Roman" w:hAnsi="Times New Roman" w:cs="Times New Roman"/>
        </w:rPr>
        <w:t xml:space="preserve"> exhibited significantly higher ammonia loads compared to T</w:t>
      </w:r>
      <w:r w:rsidRPr="009F7177">
        <w:rPr>
          <w:rFonts w:ascii="Times New Roman" w:hAnsi="Times New Roman" w:cs="Times New Roman"/>
          <w:vertAlign w:val="subscript"/>
        </w:rPr>
        <w:t>1</w:t>
      </w:r>
      <w:r w:rsidRPr="009F7177">
        <w:rPr>
          <w:rFonts w:ascii="Times New Roman" w:hAnsi="Times New Roman" w:cs="Times New Roman"/>
        </w:rPr>
        <w:t xml:space="preserve"> and T</w:t>
      </w:r>
      <w:r w:rsidRPr="009F7177">
        <w:rPr>
          <w:rFonts w:ascii="Times New Roman" w:hAnsi="Times New Roman" w:cs="Times New Roman"/>
          <w:vertAlign w:val="subscript"/>
        </w:rPr>
        <w:t>2</w:t>
      </w:r>
      <w:r w:rsidRPr="009F7177">
        <w:rPr>
          <w:rFonts w:ascii="Times New Roman" w:hAnsi="Times New Roman" w:cs="Times New Roman"/>
        </w:rPr>
        <w:t xml:space="preserve"> across both seasons (p &lt; 0.05), although the seasonal influence on ammonia within each specific treatment remained relatively marginal. </w:t>
      </w:r>
      <w:r w:rsidR="0043159F" w:rsidRPr="0043159F">
        <w:rPr>
          <w:rFonts w:ascii="Times New Roman" w:hAnsi="Times New Roman" w:cs="Times New Roman"/>
        </w:rPr>
        <w:t>The consistent increase in ammonia with feeding frequency is primarily driven by metabolic deamination of dietary proteins and subsequent excretion of unionized ammonia by tilapia</w:t>
      </w:r>
      <w:r w:rsidR="0043159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"/>
          <w:id w:val="596382493"/>
          <w:placeholder>
            <w:docPart w:val="DefaultPlaceholder_-1854013440"/>
          </w:placeholder>
        </w:sdtPr>
        <w:sdtEndPr/>
        <w:sdtContent>
          <w:r w:rsidR="001801C7" w:rsidRPr="001801C7">
            <w:rPr>
              <w:rFonts w:ascii="Times New Roman" w:hAnsi="Times New Roman" w:cs="Times New Roman"/>
              <w:color w:val="000000"/>
            </w:rPr>
            <w:t>(Lu et al., 2023)</w:t>
          </w:r>
        </w:sdtContent>
      </w:sdt>
      <w:r w:rsidR="0043159F" w:rsidRPr="0043159F">
        <w:rPr>
          <w:rFonts w:ascii="Times New Roman" w:hAnsi="Times New Roman" w:cs="Times New Roman"/>
        </w:rPr>
        <w:t>. In parallel, higher feeding intensities in T</w:t>
      </w:r>
      <w:r w:rsidR="0043159F" w:rsidRPr="0043159F">
        <w:rPr>
          <w:rFonts w:ascii="Times New Roman" w:hAnsi="Times New Roman" w:cs="Times New Roman"/>
          <w:vertAlign w:val="subscript"/>
        </w:rPr>
        <w:t>2</w:t>
      </w:r>
      <w:r w:rsidR="0043159F" w:rsidRPr="0043159F">
        <w:rPr>
          <w:rFonts w:ascii="Times New Roman" w:hAnsi="Times New Roman" w:cs="Times New Roman"/>
        </w:rPr>
        <w:t xml:space="preserve"> and T</w:t>
      </w:r>
      <w:r w:rsidR="0043159F" w:rsidRPr="0043159F">
        <w:rPr>
          <w:rFonts w:ascii="Times New Roman" w:hAnsi="Times New Roman" w:cs="Times New Roman"/>
          <w:vertAlign w:val="subscript"/>
        </w:rPr>
        <w:t>3</w:t>
      </w:r>
      <w:r w:rsidR="0043159F" w:rsidRPr="0043159F">
        <w:rPr>
          <w:rFonts w:ascii="Times New Roman" w:hAnsi="Times New Roman" w:cs="Times New Roman"/>
        </w:rPr>
        <w:t xml:space="preserve"> generate greater quantities of uneaten feed and </w:t>
      </w:r>
      <w:proofErr w:type="spellStart"/>
      <w:r w:rsidR="0043159F" w:rsidRPr="0043159F">
        <w:rPr>
          <w:rFonts w:ascii="Times New Roman" w:hAnsi="Times New Roman" w:cs="Times New Roman"/>
        </w:rPr>
        <w:t>faeces</w:t>
      </w:r>
      <w:proofErr w:type="spellEnd"/>
      <w:r w:rsidR="0043159F" w:rsidRPr="0043159F">
        <w:rPr>
          <w:rFonts w:ascii="Times New Roman" w:hAnsi="Times New Roman" w:cs="Times New Roman"/>
        </w:rPr>
        <w:t xml:space="preserve">, which undergo microbial decomposition and release additional nitrogenous </w:t>
      </w:r>
      <w:r w:rsidR="0043159F" w:rsidRPr="0043159F">
        <w:rPr>
          <w:rFonts w:ascii="Times New Roman" w:hAnsi="Times New Roman" w:cs="Times New Roman"/>
        </w:rPr>
        <w:lastRenderedPageBreak/>
        <w:t xml:space="preserve">compounds into the water column </w:t>
      </w:r>
      <w:sdt>
        <w:sdtPr>
          <w:rPr>
            <w:rFonts w:ascii="Times New Roman" w:hAnsi="Times New Roman" w:cs="Times New Roman"/>
            <w:color w:val="000000"/>
          </w:rPr>
          <w:tag w:val="MENDELEY_CITATION_v3_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"/>
          <w:id w:val="14661553"/>
          <w:placeholder>
            <w:docPart w:val="DefaultPlaceholder_-1854013440"/>
          </w:placeholder>
        </w:sdtPr>
        <w:sdtEndPr/>
        <w:sdtContent>
          <w:r w:rsidR="001801C7" w:rsidRPr="001801C7">
            <w:rPr>
              <w:rFonts w:ascii="Times New Roman" w:hAnsi="Times New Roman" w:cs="Times New Roman"/>
              <w:color w:val="000000"/>
            </w:rPr>
            <w:t>(Torres-Beristain et al., 2006).</w:t>
          </w:r>
        </w:sdtContent>
      </w:sdt>
      <w:r w:rsidR="006702CF">
        <w:rPr>
          <w:rFonts w:ascii="Times New Roman" w:hAnsi="Times New Roman" w:cs="Times New Roman"/>
          <w:color w:val="000000"/>
        </w:rPr>
        <w:t xml:space="preserve"> </w:t>
      </w:r>
      <w:r w:rsidR="0043159F" w:rsidRPr="0043159F">
        <w:rPr>
          <w:rFonts w:ascii="Times New Roman" w:hAnsi="Times New Roman" w:cs="Times New Roman"/>
        </w:rPr>
        <w:t>The slightly higher peak observed during the monsoon in T3 may be linked to runoff</w:t>
      </w:r>
      <w:r w:rsidR="0043159F" w:rsidRPr="0043159F">
        <w:rPr>
          <w:rFonts w:ascii="Times New Roman" w:hAnsi="Times New Roman" w:cs="Times New Roman"/>
        </w:rPr>
        <w:noBreakHyphen/>
        <w:t>driven organic loading, as documented in seasonally dynamic warm</w:t>
      </w:r>
      <w:r w:rsidR="0043159F" w:rsidRPr="0043159F">
        <w:rPr>
          <w:rFonts w:ascii="Times New Roman" w:hAnsi="Times New Roman" w:cs="Times New Roman"/>
        </w:rPr>
        <w:noBreakHyphen/>
        <w:t>water systems</w:t>
      </w:r>
      <w:r w:rsidR="006702C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"/>
          <w:id w:val="-1497877982"/>
          <w:placeholder>
            <w:docPart w:val="DefaultPlaceholder_-1854013440"/>
          </w:placeholder>
        </w:sdtPr>
        <w:sdtEndPr/>
        <w:sdtContent>
          <w:r w:rsidR="001801C7" w:rsidRPr="001801C7">
            <w:rPr>
              <w:rFonts w:ascii="Times New Roman" w:hAnsi="Times New Roman" w:cs="Times New Roman"/>
              <w:color w:val="000000"/>
            </w:rPr>
            <w:t>(</w:t>
          </w:r>
          <w:proofErr w:type="spellStart"/>
          <w:r w:rsidR="001801C7" w:rsidRPr="001801C7">
            <w:rPr>
              <w:rFonts w:ascii="Times New Roman" w:hAnsi="Times New Roman" w:cs="Times New Roman"/>
              <w:color w:val="000000"/>
            </w:rPr>
            <w:t>Alkhadher</w:t>
          </w:r>
          <w:proofErr w:type="spellEnd"/>
          <w:r w:rsidR="001801C7" w:rsidRPr="001801C7">
            <w:rPr>
              <w:rFonts w:ascii="Times New Roman" w:hAnsi="Times New Roman" w:cs="Times New Roman"/>
              <w:color w:val="000000"/>
            </w:rPr>
            <w:t xml:space="preserve"> et al., 2025)</w:t>
          </w:r>
        </w:sdtContent>
      </w:sdt>
      <w:r w:rsidR="0043159F" w:rsidRPr="0043159F">
        <w:rPr>
          <w:rFonts w:ascii="Times New Roman" w:hAnsi="Times New Roman" w:cs="Times New Roman"/>
        </w:rPr>
        <w:t xml:space="preserve"> , although the overall stability of treatment</w:t>
      </w:r>
      <w:r w:rsidR="0043159F" w:rsidRPr="0043159F">
        <w:rPr>
          <w:rFonts w:ascii="Times New Roman" w:hAnsi="Times New Roman" w:cs="Times New Roman"/>
        </w:rPr>
        <w:noBreakHyphen/>
        <w:t>wise patterns suggests that feeding management remains the dominant driver of ammonia spikes in this culture system.</w:t>
      </w:r>
    </w:p>
    <w:p w14:paraId="6805C7CE" w14:textId="70A098BE" w:rsidR="0068548F" w:rsidRDefault="0068548F" w:rsidP="006702CF">
      <w:pPr>
        <w:spacing w:line="360" w:lineRule="auto"/>
        <w:jc w:val="center"/>
      </w:pPr>
      <w:r>
        <w:rPr>
          <w:noProof/>
        </w:rPr>
        <w:drawing>
          <wp:inline distT="0" distB="0" distL="0" distR="0" wp14:anchorId="03076772" wp14:editId="4BDD0059">
            <wp:extent cx="4389119" cy="2926080"/>
            <wp:effectExtent l="0" t="0" r="0" b="7620"/>
            <wp:docPr id="3846157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15728" name="Picture 384615728"/>
                    <pic:cNvPicPr/>
                  </pic:nvPicPr>
                  <pic:blipFill>
                    <a:blip r:embed="rId12">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3A588032" w14:textId="2EBA9987" w:rsidR="0068548F" w:rsidRDefault="0099593E" w:rsidP="0099593E">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E760F8">
        <w:rPr>
          <w:rFonts w:ascii="Times New Roman" w:hAnsi="Times New Roman" w:cs="Times New Roman"/>
          <w:b/>
          <w:bCs/>
          <w:i w:val="0"/>
          <w:iCs w:val="0"/>
          <w:color w:val="auto"/>
          <w:sz w:val="24"/>
          <w:szCs w:val="24"/>
        </w:rPr>
        <w:t>4</w:t>
      </w:r>
      <w:r w:rsidRPr="0099593E">
        <w:rPr>
          <w:rFonts w:ascii="Times New Roman" w:hAnsi="Times New Roman" w:cs="Times New Roman"/>
          <w:i w:val="0"/>
          <w:iCs w:val="0"/>
          <w:color w:val="auto"/>
          <w:sz w:val="24"/>
          <w:szCs w:val="24"/>
        </w:rPr>
        <w:t xml:space="preserve"> Influence of seasonal variations and feeding frequencies (T</w:t>
      </w:r>
      <w:r w:rsidRPr="0099593E">
        <w:rPr>
          <w:rFonts w:ascii="Times New Roman" w:hAnsi="Times New Roman" w:cs="Times New Roman"/>
          <w:i w:val="0"/>
          <w:iCs w:val="0"/>
          <w:color w:val="auto"/>
          <w:sz w:val="24"/>
          <w:szCs w:val="24"/>
          <w:vertAlign w:val="subscript"/>
        </w:rPr>
        <w:t>1</w:t>
      </w:r>
      <w:r w:rsidRPr="0099593E">
        <w:rPr>
          <w:rFonts w:ascii="Times New Roman" w:hAnsi="Times New Roman" w:cs="Times New Roman"/>
          <w:i w:val="0"/>
          <w:iCs w:val="0"/>
          <w:color w:val="auto"/>
          <w:sz w:val="24"/>
          <w:szCs w:val="24"/>
        </w:rPr>
        <w:t>: once daily, T</w:t>
      </w:r>
      <w:r w:rsidRPr="0099593E">
        <w:rPr>
          <w:rFonts w:ascii="Times New Roman" w:hAnsi="Times New Roman" w:cs="Times New Roman"/>
          <w:i w:val="0"/>
          <w:iCs w:val="0"/>
          <w:color w:val="auto"/>
          <w:sz w:val="24"/>
          <w:szCs w:val="24"/>
          <w:vertAlign w:val="subscript"/>
        </w:rPr>
        <w:t>2</w:t>
      </w:r>
      <w:r w:rsidRPr="0099593E">
        <w:rPr>
          <w:rFonts w:ascii="Times New Roman" w:hAnsi="Times New Roman" w:cs="Times New Roman"/>
          <w:i w:val="0"/>
          <w:iCs w:val="0"/>
          <w:color w:val="auto"/>
          <w:sz w:val="24"/>
          <w:szCs w:val="24"/>
        </w:rPr>
        <w:t>: twice daily, T</w:t>
      </w:r>
      <w:r w:rsidRPr="0099593E">
        <w:rPr>
          <w:rFonts w:ascii="Times New Roman" w:hAnsi="Times New Roman" w:cs="Times New Roman"/>
          <w:i w:val="0"/>
          <w:iCs w:val="0"/>
          <w:color w:val="auto"/>
          <w:sz w:val="24"/>
          <w:szCs w:val="24"/>
          <w:vertAlign w:val="subscript"/>
        </w:rPr>
        <w:t>3</w:t>
      </w:r>
      <w:r w:rsidRPr="0099593E">
        <w:rPr>
          <w:rFonts w:ascii="Times New Roman" w:hAnsi="Times New Roman" w:cs="Times New Roman"/>
          <w:i w:val="0"/>
          <w:iCs w:val="0"/>
          <w:color w:val="auto"/>
          <w:sz w:val="24"/>
          <w:szCs w:val="24"/>
        </w:rPr>
        <w:t>: thrice daily) on ammonia concentrations in a Nile tilapia (</w:t>
      </w:r>
      <w:r w:rsidRPr="0099593E">
        <w:rPr>
          <w:rFonts w:ascii="Times New Roman" w:hAnsi="Times New Roman" w:cs="Times New Roman"/>
          <w:color w:val="auto"/>
          <w:sz w:val="24"/>
          <w:szCs w:val="24"/>
        </w:rPr>
        <w:t>Oreochromis niloticus</w:t>
      </w:r>
      <w:r w:rsidRPr="0099593E">
        <w:rPr>
          <w:rFonts w:ascii="Times New Roman" w:hAnsi="Times New Roman" w:cs="Times New Roman"/>
          <w:i w:val="0"/>
          <w:iCs w:val="0"/>
          <w:color w:val="auto"/>
          <w:sz w:val="24"/>
          <w:szCs w:val="24"/>
        </w:rPr>
        <w:t>) culture pond (</w:t>
      </w:r>
      <w:r w:rsidRPr="00F2557F">
        <w:rPr>
          <w:rFonts w:ascii="Times New Roman" w:hAnsi="Times New Roman" w:cs="Times New Roman"/>
          <w:color w:val="auto"/>
          <w:sz w:val="24"/>
          <w:szCs w:val="24"/>
        </w:rPr>
        <w:t>p</w:t>
      </w:r>
      <w:r w:rsidRPr="0099593E">
        <w:rPr>
          <w:rFonts w:ascii="Times New Roman" w:hAnsi="Times New Roman" w:cs="Times New Roman"/>
          <w:i w:val="0"/>
          <w:iCs w:val="0"/>
          <w:color w:val="auto"/>
          <w:sz w:val="24"/>
          <w:szCs w:val="24"/>
        </w:rPr>
        <w:t xml:space="preserve"> = 0.0022; CV = 11.12%).</w:t>
      </w:r>
    </w:p>
    <w:p w14:paraId="5131FD98" w14:textId="0E03B6FB" w:rsidR="00F9055C" w:rsidRPr="00F9055C" w:rsidRDefault="00F9055C" w:rsidP="00F9055C">
      <w:pPr>
        <w:spacing w:line="360" w:lineRule="auto"/>
        <w:jc w:val="both"/>
        <w:rPr>
          <w:rFonts w:ascii="Times New Roman" w:hAnsi="Times New Roman" w:cs="Times New Roman"/>
          <w:b/>
          <w:bCs/>
        </w:rPr>
      </w:pPr>
      <w:r w:rsidRPr="00F9055C">
        <w:rPr>
          <w:rFonts w:ascii="Times New Roman" w:hAnsi="Times New Roman" w:cs="Times New Roman"/>
          <w:b/>
          <w:bCs/>
        </w:rPr>
        <w:t>Nitrite-Nitrogen (NO</w:t>
      </w:r>
      <w:r w:rsidRPr="00F9055C">
        <w:rPr>
          <w:rFonts w:ascii="Times New Roman" w:hAnsi="Times New Roman" w:cs="Times New Roman"/>
          <w:b/>
          <w:bCs/>
          <w:vertAlign w:val="subscript"/>
        </w:rPr>
        <w:t>2</w:t>
      </w:r>
      <w:r w:rsidRPr="00F9055C">
        <w:rPr>
          <w:rFonts w:ascii="Times New Roman" w:hAnsi="Times New Roman" w:cs="Times New Roman"/>
          <w:b/>
          <w:bCs/>
          <w:vertAlign w:val="superscript"/>
        </w:rPr>
        <w:t>-</w:t>
      </w:r>
      <w:r w:rsidRPr="00F9055C">
        <w:rPr>
          <w:rFonts w:ascii="Times New Roman" w:hAnsi="Times New Roman" w:cs="Times New Roman"/>
          <w:b/>
          <w:bCs/>
        </w:rPr>
        <w:t>) Concentration</w:t>
      </w:r>
    </w:p>
    <w:p w14:paraId="05DA9EE4" w14:textId="665DE384" w:rsidR="00F9055C" w:rsidRDefault="00F9055C" w:rsidP="00F9055C">
      <w:pPr>
        <w:spacing w:line="360" w:lineRule="auto"/>
        <w:jc w:val="both"/>
        <w:rPr>
          <w:rFonts w:ascii="Times New Roman" w:hAnsi="Times New Roman" w:cs="Times New Roman"/>
        </w:rPr>
      </w:pPr>
      <w:r w:rsidRPr="00F9055C">
        <w:rPr>
          <w:rFonts w:ascii="Times New Roman" w:hAnsi="Times New Roman" w:cs="Times New Roman"/>
        </w:rPr>
        <w:t>Nitrite concentrations in the aquaculture system serve as a vital indicator of the efficiency of the nitrification process and the overall nitrogenous load within the pond environment</w:t>
      </w:r>
      <w:r w:rsidR="00C4705B">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GNlNDI2YzYtNGFkYy00NTNlLThmNDgtNDllMjM5YmJhOGZj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
          <w:id w:val="-1074581947"/>
          <w:placeholder>
            <w:docPart w:val="DefaultPlaceholder_-1854013440"/>
          </w:placeholder>
        </w:sdtPr>
        <w:sdtEndPr/>
        <w:sdtContent>
          <w:r w:rsidR="001801C7" w:rsidRPr="001801C7">
            <w:rPr>
              <w:rFonts w:ascii="Times New Roman" w:hAnsi="Times New Roman" w:cs="Times New Roman"/>
              <w:color w:val="000000"/>
            </w:rPr>
            <w:t>(Zhou et al., 2022)</w:t>
          </w:r>
        </w:sdtContent>
      </w:sdt>
      <w:r w:rsidRPr="00F9055C">
        <w:rPr>
          <w:rFonts w:ascii="Times New Roman" w:hAnsi="Times New Roman" w:cs="Times New Roman"/>
        </w:rPr>
        <w:t xml:space="preserve">. During the monsoon, nitrite levels increased progressively with feeding frequency, recorded at 0.0212 </w:t>
      </w:r>
      <w:r w:rsidR="001F5BB6">
        <w:rPr>
          <w:rFonts w:ascii="Times New Roman" w:hAnsi="Times New Roman" w:cs="Times New Roman"/>
        </w:rPr>
        <w:t xml:space="preserve">± </w:t>
      </w:r>
      <w:r w:rsidRPr="00F9055C">
        <w:rPr>
          <w:rFonts w:ascii="Times New Roman" w:hAnsi="Times New Roman" w:cs="Times New Roman"/>
        </w:rPr>
        <w:t>0.008 mg/L in T</w:t>
      </w:r>
      <w:r w:rsidRPr="00F9055C">
        <w:rPr>
          <w:rFonts w:ascii="Times New Roman" w:hAnsi="Times New Roman" w:cs="Times New Roman"/>
          <w:vertAlign w:val="subscript"/>
        </w:rPr>
        <w:t>1</w:t>
      </w:r>
      <w:r w:rsidRPr="00F9055C">
        <w:rPr>
          <w:rFonts w:ascii="Times New Roman" w:hAnsi="Times New Roman" w:cs="Times New Roman"/>
        </w:rPr>
        <w:t xml:space="preserve">, 0.0333 </w:t>
      </w:r>
      <w:r w:rsidR="001F5BB6">
        <w:rPr>
          <w:rFonts w:ascii="Times New Roman" w:hAnsi="Times New Roman" w:cs="Times New Roman"/>
        </w:rPr>
        <w:t xml:space="preserve">± </w:t>
      </w:r>
      <w:r w:rsidRPr="00F9055C">
        <w:rPr>
          <w:rFonts w:ascii="Times New Roman" w:hAnsi="Times New Roman" w:cs="Times New Roman"/>
        </w:rPr>
        <w:t>0.002 mg/L in T</w:t>
      </w:r>
      <w:r w:rsidRPr="00F9055C">
        <w:rPr>
          <w:rFonts w:ascii="Times New Roman" w:hAnsi="Times New Roman" w:cs="Times New Roman"/>
          <w:vertAlign w:val="subscript"/>
        </w:rPr>
        <w:t>2</w:t>
      </w:r>
      <w:r w:rsidRPr="00F9055C">
        <w:rPr>
          <w:rFonts w:ascii="Times New Roman" w:hAnsi="Times New Roman" w:cs="Times New Roman"/>
        </w:rPr>
        <w:t xml:space="preserve">, and peaking at 0.0540 </w:t>
      </w:r>
      <w:r w:rsidR="001F5BB6">
        <w:rPr>
          <w:rFonts w:ascii="Times New Roman" w:hAnsi="Times New Roman" w:cs="Times New Roman"/>
        </w:rPr>
        <w:t>±</w:t>
      </w:r>
      <w:r w:rsidRPr="00F9055C">
        <w:rPr>
          <w:rFonts w:ascii="Times New Roman" w:hAnsi="Times New Roman" w:cs="Times New Roman"/>
        </w:rPr>
        <w:t xml:space="preserve"> 0.003 mg/L in T</w:t>
      </w:r>
      <w:r w:rsidRPr="00F9055C">
        <w:rPr>
          <w:rFonts w:ascii="Times New Roman" w:hAnsi="Times New Roman" w:cs="Times New Roman"/>
          <w:vertAlign w:val="subscript"/>
        </w:rPr>
        <w:t>3</w:t>
      </w:r>
      <w:r w:rsidR="00DF43A7">
        <w:rPr>
          <w:rFonts w:ascii="Times New Roman" w:hAnsi="Times New Roman" w:cs="Times New Roman"/>
          <w:vertAlign w:val="subscript"/>
        </w:rPr>
        <w:t xml:space="preserve"> </w:t>
      </w:r>
      <w:r w:rsidR="00DF43A7">
        <w:rPr>
          <w:rFonts w:ascii="Times New Roman" w:hAnsi="Times New Roman" w:cs="Times New Roman"/>
        </w:rPr>
        <w:t>(Figure 5)</w:t>
      </w:r>
      <w:r w:rsidRPr="00F9055C">
        <w:rPr>
          <w:rFonts w:ascii="Times New Roman" w:hAnsi="Times New Roman" w:cs="Times New Roman"/>
        </w:rPr>
        <w:t xml:space="preserve">. A similar significant upward trend was observed during the post-monsoon period, with values rising from 0.0128 </w:t>
      </w:r>
      <w:r w:rsidR="001F5BB6">
        <w:rPr>
          <w:rFonts w:ascii="Times New Roman" w:hAnsi="Times New Roman" w:cs="Times New Roman"/>
        </w:rPr>
        <w:t>±</w:t>
      </w:r>
      <w:r w:rsidRPr="00F9055C">
        <w:rPr>
          <w:rFonts w:ascii="Times New Roman" w:hAnsi="Times New Roman" w:cs="Times New Roman"/>
        </w:rPr>
        <w:t xml:space="preserve"> 0.004 mg/L (T</w:t>
      </w:r>
      <w:r w:rsidRPr="00F9055C">
        <w:rPr>
          <w:rFonts w:ascii="Times New Roman" w:hAnsi="Times New Roman" w:cs="Times New Roman"/>
          <w:vertAlign w:val="subscript"/>
        </w:rPr>
        <w:t>1</w:t>
      </w:r>
      <w:r w:rsidRPr="00F9055C">
        <w:rPr>
          <w:rFonts w:ascii="Times New Roman" w:hAnsi="Times New Roman" w:cs="Times New Roman"/>
        </w:rPr>
        <w:t xml:space="preserve">) to 0.0485 </w:t>
      </w:r>
      <w:r w:rsidR="001F5BB6">
        <w:rPr>
          <w:rFonts w:ascii="Times New Roman" w:hAnsi="Times New Roman" w:cs="Times New Roman"/>
        </w:rPr>
        <w:t xml:space="preserve">± </w:t>
      </w:r>
      <w:r w:rsidRPr="00F9055C">
        <w:rPr>
          <w:rFonts w:ascii="Times New Roman" w:hAnsi="Times New Roman" w:cs="Times New Roman"/>
        </w:rPr>
        <w:t>0.001 mg/L (T</w:t>
      </w:r>
      <w:r w:rsidRPr="00F9055C">
        <w:rPr>
          <w:rFonts w:ascii="Times New Roman" w:hAnsi="Times New Roman" w:cs="Times New Roman"/>
          <w:vertAlign w:val="subscript"/>
        </w:rPr>
        <w:t>3</w:t>
      </w:r>
      <w:r w:rsidRPr="00F9055C">
        <w:rPr>
          <w:rFonts w:ascii="Times New Roman" w:hAnsi="Times New Roman" w:cs="Times New Roman"/>
        </w:rPr>
        <w:t xml:space="preserve">). </w:t>
      </w:r>
      <w:r w:rsidR="00D164AA" w:rsidRPr="00D164AA">
        <w:rPr>
          <w:rFonts w:ascii="Times New Roman" w:hAnsi="Times New Roman" w:cs="Times New Roman"/>
        </w:rPr>
        <w:t>Notably, T</w:t>
      </w:r>
      <w:r w:rsidR="00D164AA" w:rsidRPr="00D164AA">
        <w:rPr>
          <w:rFonts w:ascii="Times New Roman" w:hAnsi="Times New Roman" w:cs="Times New Roman"/>
          <w:vertAlign w:val="subscript"/>
        </w:rPr>
        <w:t>3</w:t>
      </w:r>
      <w:r w:rsidR="00D164AA" w:rsidRPr="00D164AA">
        <w:rPr>
          <w:rFonts w:ascii="Times New Roman" w:hAnsi="Times New Roman" w:cs="Times New Roman"/>
        </w:rPr>
        <w:t xml:space="preserve"> maintained the highest nitrite levels across both seasons, while the monsoon period generally exhibited higher concentrations compared to the post</w:t>
      </w:r>
      <w:r w:rsidR="00D164AA" w:rsidRPr="00D164AA">
        <w:rPr>
          <w:rFonts w:ascii="Times New Roman" w:hAnsi="Times New Roman" w:cs="Times New Roman"/>
        </w:rPr>
        <w:noBreakHyphen/>
        <w:t>monsoon within each treatment (p &lt; 0.05), consistent with reports of elevated reactive nitrogen under warmer, high</w:t>
      </w:r>
      <w:r w:rsidR="00D164AA" w:rsidRPr="00D164AA">
        <w:rPr>
          <w:rFonts w:ascii="Times New Roman" w:hAnsi="Times New Roman" w:cs="Times New Roman"/>
        </w:rPr>
        <w:noBreakHyphen/>
        <w:t>loading conditions</w:t>
      </w:r>
      <w:r w:rsidR="00715663">
        <w:rPr>
          <w:rFonts w:ascii="Times New Roman" w:hAnsi="Times New Roman" w:cs="Times New Roman"/>
        </w:rPr>
        <w:t>.</w:t>
      </w:r>
    </w:p>
    <w:p w14:paraId="41116CE2" w14:textId="218A6688" w:rsidR="00D164AA" w:rsidRPr="00F9055C" w:rsidRDefault="00D164AA" w:rsidP="00F9055C">
      <w:pPr>
        <w:spacing w:line="360" w:lineRule="auto"/>
        <w:jc w:val="both"/>
        <w:rPr>
          <w:rFonts w:ascii="Times New Roman" w:hAnsi="Times New Roman" w:cs="Times New Roman"/>
        </w:rPr>
      </w:pPr>
      <w:r w:rsidRPr="00D164AA">
        <w:rPr>
          <w:rFonts w:ascii="Times New Roman" w:hAnsi="Times New Roman" w:cs="Times New Roman"/>
        </w:rPr>
        <w:lastRenderedPageBreak/>
        <w:t xml:space="preserve">This marked increase in nitrite with feeding intensity is plausibly linked to the incomplete oxidation of ammonia originating from the decomposition of uneaten feed and fish metabolic waste, particularly when organic and ammonia inputs approach or exceed the functional capacity of nitrifying consortia </w:t>
      </w:r>
      <w:sdt>
        <w:sdtPr>
          <w:rPr>
            <w:rFonts w:ascii="Times New Roman" w:hAnsi="Times New Roman" w:cs="Times New Roman"/>
            <w:color w:val="000000"/>
          </w:rPr>
          <w:tag w:val="MENDELEY_CITATION_v3_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"/>
          <w:id w:val="787164408"/>
          <w:placeholder>
            <w:docPart w:val="DefaultPlaceholder_-1854013440"/>
          </w:placeholder>
        </w:sdtPr>
        <w:sdtEndPr/>
        <w:sdtContent>
          <w:r w:rsidR="001801C7" w:rsidRPr="001801C7">
            <w:rPr>
              <w:rFonts w:ascii="Times New Roman" w:hAnsi="Times New Roman" w:cs="Times New Roman"/>
              <w:color w:val="000000"/>
            </w:rPr>
            <w:t>(Effendi et al., 2020)</w:t>
          </w:r>
        </w:sdtContent>
      </w:sdt>
      <w:r w:rsidR="00715663">
        <w:rPr>
          <w:rFonts w:ascii="Times New Roman" w:hAnsi="Times New Roman" w:cs="Times New Roman"/>
          <w:color w:val="000000"/>
        </w:rPr>
        <w:t xml:space="preserve">. </w:t>
      </w:r>
      <w:r w:rsidRPr="00D164AA">
        <w:rPr>
          <w:rFonts w:ascii="Times New Roman" w:hAnsi="Times New Roman" w:cs="Times New Roman"/>
        </w:rPr>
        <w:t>Under such conditions, higher feed inputs in T</w:t>
      </w:r>
      <w:r w:rsidRPr="00715663">
        <w:rPr>
          <w:rFonts w:ascii="Times New Roman" w:hAnsi="Times New Roman" w:cs="Times New Roman"/>
          <w:vertAlign w:val="subscript"/>
        </w:rPr>
        <w:t>2</w:t>
      </w:r>
      <w:r w:rsidRPr="00D164AA">
        <w:rPr>
          <w:rFonts w:ascii="Times New Roman" w:hAnsi="Times New Roman" w:cs="Times New Roman"/>
        </w:rPr>
        <w:t xml:space="preserve"> and T</w:t>
      </w:r>
      <w:r w:rsidRPr="002A0169">
        <w:rPr>
          <w:rFonts w:ascii="Times New Roman" w:hAnsi="Times New Roman" w:cs="Times New Roman"/>
          <w:vertAlign w:val="subscript"/>
        </w:rPr>
        <w:t>3</w:t>
      </w:r>
      <w:r w:rsidRPr="00D164AA">
        <w:rPr>
          <w:rFonts w:ascii="Times New Roman" w:hAnsi="Times New Roman" w:cs="Times New Roman"/>
        </w:rPr>
        <w:t xml:space="preserve"> can transiently overwhelm nitrite</w:t>
      </w:r>
      <w:r w:rsidRPr="00D164AA">
        <w:rPr>
          <w:rFonts w:ascii="Times New Roman" w:hAnsi="Times New Roman" w:cs="Times New Roman"/>
        </w:rPr>
        <w:noBreakHyphen/>
        <w:t>oxidizing bacteria, leading to the accumulation of nitrite as an intermediate product. Furthermore, elevated monsoon levels may reflect increased organic runoff and higher temperatures, which accelerate early mineralization and ammonium oxidation, whereas the more hydrologically stable post</w:t>
      </w:r>
      <w:r w:rsidRPr="00D164AA">
        <w:rPr>
          <w:rFonts w:ascii="Times New Roman" w:hAnsi="Times New Roman" w:cs="Times New Roman"/>
        </w:rPr>
        <w:noBreakHyphen/>
        <w:t xml:space="preserve">monsoon period </w:t>
      </w:r>
      <w:proofErr w:type="spellStart"/>
      <w:r w:rsidRPr="00D164AA">
        <w:rPr>
          <w:rFonts w:ascii="Times New Roman" w:hAnsi="Times New Roman" w:cs="Times New Roman"/>
        </w:rPr>
        <w:t>favours</w:t>
      </w:r>
      <w:proofErr w:type="spellEnd"/>
      <w:r w:rsidRPr="00D164AA">
        <w:rPr>
          <w:rFonts w:ascii="Times New Roman" w:hAnsi="Times New Roman" w:cs="Times New Roman"/>
        </w:rPr>
        <w:t xml:space="preserve"> slightly more efficient completion of nitrification to nitrate</w:t>
      </w:r>
      <w:r w:rsidR="00715663">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zViYzYyMzEtMGQzNi00ZWUwLTgxYWYtMTU4MDRiMTZlY2Rl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
          <w:id w:val="2039163533"/>
          <w:placeholder>
            <w:docPart w:val="DefaultPlaceholder_-1854013440"/>
          </w:placeholder>
        </w:sdtPr>
        <w:sdtEndPr/>
        <w:sdtContent>
          <w:r w:rsidR="001801C7" w:rsidRPr="001801C7">
            <w:rPr>
              <w:rFonts w:ascii="Times New Roman" w:hAnsi="Times New Roman" w:cs="Times New Roman"/>
              <w:color w:val="000000"/>
            </w:rPr>
            <w:t>(Zhou et al., 2022)</w:t>
          </w:r>
        </w:sdtContent>
      </w:sdt>
      <w:r w:rsidR="00715663">
        <w:rPr>
          <w:rFonts w:ascii="Times New Roman" w:hAnsi="Times New Roman" w:cs="Times New Roman"/>
          <w:color w:val="000000"/>
        </w:rPr>
        <w:t>.</w:t>
      </w:r>
    </w:p>
    <w:p w14:paraId="1CE7CB41" w14:textId="0EF1B2FF" w:rsidR="0068548F" w:rsidRDefault="0068548F" w:rsidP="00AB0948">
      <w:pPr>
        <w:jc w:val="center"/>
      </w:pPr>
      <w:r>
        <w:rPr>
          <w:noProof/>
        </w:rPr>
        <w:drawing>
          <wp:inline distT="0" distB="0" distL="0" distR="0" wp14:anchorId="696C990E" wp14:editId="642102A8">
            <wp:extent cx="4389119" cy="2926080"/>
            <wp:effectExtent l="0" t="0" r="0" b="7620"/>
            <wp:docPr id="13625230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23062" name="Picture 1362523062"/>
                    <pic:cNvPicPr/>
                  </pic:nvPicPr>
                  <pic:blipFill>
                    <a:blip r:embed="rId13">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793808D7" w14:textId="74D98BDD" w:rsidR="003A1E0C" w:rsidRDefault="003A1E0C" w:rsidP="00751CA1">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E760F8">
        <w:rPr>
          <w:rFonts w:ascii="Times New Roman" w:hAnsi="Times New Roman" w:cs="Times New Roman"/>
          <w:b/>
          <w:bCs/>
          <w:i w:val="0"/>
          <w:iCs w:val="0"/>
          <w:color w:val="auto"/>
          <w:sz w:val="24"/>
          <w:szCs w:val="24"/>
        </w:rPr>
        <w:t>5</w:t>
      </w:r>
      <w:r w:rsidRPr="003A1E0C">
        <w:rPr>
          <w:rFonts w:ascii="Times New Roman" w:hAnsi="Times New Roman" w:cs="Times New Roman"/>
          <w:i w:val="0"/>
          <w:iCs w:val="0"/>
          <w:color w:val="auto"/>
          <w:sz w:val="24"/>
          <w:szCs w:val="24"/>
        </w:rPr>
        <w:t xml:space="preserve"> Seasonal and feeding frequency-dependent variations in nitrite (NO</w:t>
      </w:r>
      <w:r w:rsidRPr="003A1E0C">
        <w:rPr>
          <w:rFonts w:ascii="Times New Roman" w:hAnsi="Times New Roman" w:cs="Times New Roman"/>
          <w:i w:val="0"/>
          <w:iCs w:val="0"/>
          <w:color w:val="auto"/>
          <w:sz w:val="24"/>
          <w:szCs w:val="24"/>
          <w:vertAlign w:val="subscript"/>
        </w:rPr>
        <w:t>2</w:t>
      </w:r>
      <w:r w:rsidRPr="003A1E0C">
        <w:rPr>
          <w:rFonts w:ascii="Times New Roman" w:hAnsi="Times New Roman" w:cs="Times New Roman"/>
          <w:i w:val="0"/>
          <w:iCs w:val="0"/>
          <w:color w:val="auto"/>
          <w:sz w:val="24"/>
          <w:szCs w:val="24"/>
          <w:vertAlign w:val="superscript"/>
        </w:rPr>
        <w:t>-</w:t>
      </w:r>
      <w:r w:rsidRPr="003A1E0C">
        <w:rPr>
          <w:rFonts w:ascii="Times New Roman" w:hAnsi="Times New Roman" w:cs="Times New Roman"/>
          <w:i w:val="0"/>
          <w:iCs w:val="0"/>
          <w:color w:val="auto"/>
          <w:sz w:val="24"/>
          <w:szCs w:val="24"/>
        </w:rPr>
        <w:t>) concentrations in a Nile tilapia (</w:t>
      </w:r>
      <w:r w:rsidRPr="003A1E0C">
        <w:rPr>
          <w:rFonts w:ascii="Times New Roman" w:hAnsi="Times New Roman" w:cs="Times New Roman"/>
          <w:color w:val="auto"/>
          <w:sz w:val="24"/>
          <w:szCs w:val="24"/>
        </w:rPr>
        <w:t>Oreochromis niloticus</w:t>
      </w:r>
      <w:r w:rsidRPr="003A1E0C">
        <w:rPr>
          <w:rFonts w:ascii="Times New Roman" w:hAnsi="Times New Roman" w:cs="Times New Roman"/>
          <w:i w:val="0"/>
          <w:iCs w:val="0"/>
          <w:color w:val="auto"/>
          <w:sz w:val="24"/>
          <w:szCs w:val="24"/>
        </w:rPr>
        <w:t>) aquaculture pond (p = 0.0221; CV = 13.78%).</w:t>
      </w:r>
    </w:p>
    <w:p w14:paraId="7D2F7899" w14:textId="77777777" w:rsidR="00DD67B6" w:rsidRPr="00DD67B6" w:rsidRDefault="00DD67B6" w:rsidP="00DD67B6">
      <w:pPr>
        <w:jc w:val="both"/>
        <w:rPr>
          <w:rFonts w:ascii="Times New Roman" w:hAnsi="Times New Roman" w:cs="Times New Roman"/>
          <w:b/>
          <w:bCs/>
        </w:rPr>
      </w:pPr>
      <w:r w:rsidRPr="00DD67B6">
        <w:rPr>
          <w:rFonts w:ascii="Times New Roman" w:hAnsi="Times New Roman" w:cs="Times New Roman"/>
          <w:b/>
          <w:bCs/>
        </w:rPr>
        <w:t>Inter-parameter Correlation Analysis</w:t>
      </w:r>
    </w:p>
    <w:p w14:paraId="21328317" w14:textId="7D9A3936" w:rsidR="00DD67B6" w:rsidRPr="00DD67B6" w:rsidRDefault="00DD67B6" w:rsidP="00DD67B6">
      <w:pPr>
        <w:spacing w:line="360" w:lineRule="auto"/>
        <w:jc w:val="both"/>
        <w:rPr>
          <w:rFonts w:ascii="Times New Roman" w:hAnsi="Times New Roman" w:cs="Times New Roman"/>
        </w:rPr>
      </w:pPr>
      <w:r w:rsidRPr="00DD67B6">
        <w:rPr>
          <w:rFonts w:ascii="Times New Roman" w:hAnsi="Times New Roman" w:cs="Times New Roman"/>
        </w:rPr>
        <w:t>The complex interactions between physicochemical variables in the aquaculture pond reveal how feeding management and seasonal shifts co-regulate the culture environment</w:t>
      </w:r>
      <w:r w:rsidR="006811D5">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mVmYzY4ZWYtMzIwYS00NmJkLTgxMzMtY2RlMzc1NzQ4Mzg4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
          <w:id w:val="1721708453"/>
          <w:placeholder>
            <w:docPart w:val="DefaultPlaceholder_-1854013440"/>
          </w:placeholder>
        </w:sdtPr>
        <w:sdtEndPr/>
        <w:sdtContent>
          <w:r w:rsidR="001801C7" w:rsidRPr="001801C7">
            <w:rPr>
              <w:rFonts w:ascii="Times New Roman" w:hAnsi="Times New Roman" w:cs="Times New Roman"/>
              <w:color w:val="000000"/>
            </w:rPr>
            <w:t>(Jiang et al., 2021)</w:t>
          </w:r>
        </w:sdtContent>
      </w:sdt>
      <w:r w:rsidRPr="00DD67B6">
        <w:rPr>
          <w:rFonts w:ascii="Times New Roman" w:hAnsi="Times New Roman" w:cs="Times New Roman"/>
        </w:rPr>
        <w:t>. Statistical analysis showed that dissolved oxygen (DO) was negatively correlated with ammonia (</w:t>
      </w:r>
      <w:r w:rsidRPr="00DD67B6">
        <w:rPr>
          <w:rFonts w:ascii="Times New Roman" w:hAnsi="Times New Roman" w:cs="Times New Roman"/>
          <w:i/>
          <w:iCs/>
        </w:rPr>
        <w:t xml:space="preserve">r </w:t>
      </w:r>
      <w:r w:rsidRPr="00DD67B6">
        <w:rPr>
          <w:rFonts w:ascii="Times New Roman" w:hAnsi="Times New Roman" w:cs="Times New Roman"/>
        </w:rPr>
        <w:t>= -0.633) and nitrite (</w:t>
      </w:r>
      <w:r w:rsidRPr="00DD67B6">
        <w:rPr>
          <w:rFonts w:ascii="Times New Roman" w:hAnsi="Times New Roman" w:cs="Times New Roman"/>
          <w:i/>
          <w:iCs/>
        </w:rPr>
        <w:t>r</w:t>
      </w:r>
      <w:r w:rsidRPr="00DD67B6">
        <w:rPr>
          <w:rFonts w:ascii="Times New Roman" w:hAnsi="Times New Roman" w:cs="Times New Roman"/>
        </w:rPr>
        <w:t xml:space="preserve"> = -0.482), while showing a strong positive relationship with transparency (</w:t>
      </w:r>
      <w:r w:rsidRPr="00DD67B6">
        <w:rPr>
          <w:rFonts w:ascii="Times New Roman" w:hAnsi="Times New Roman" w:cs="Times New Roman"/>
          <w:i/>
          <w:iCs/>
        </w:rPr>
        <w:t xml:space="preserve">r </w:t>
      </w:r>
      <w:r w:rsidRPr="00DD67B6">
        <w:rPr>
          <w:rFonts w:ascii="Times New Roman" w:hAnsi="Times New Roman" w:cs="Times New Roman"/>
        </w:rPr>
        <w:t>= 0.511)</w:t>
      </w:r>
      <w:r w:rsidR="00DF43A7">
        <w:rPr>
          <w:rFonts w:ascii="Times New Roman" w:hAnsi="Times New Roman" w:cs="Times New Roman"/>
        </w:rPr>
        <w:t xml:space="preserve"> (Figure 6)</w:t>
      </w:r>
      <w:r w:rsidR="006811D5">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DM1MDhmZDYtMmUxZC00MTNkLTg3MWEtNjU1MWM1YmM0Y2M0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nJlcG9yd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"/>
          <w:id w:val="-266086241"/>
          <w:placeholder>
            <w:docPart w:val="DefaultPlaceholder_-1854013440"/>
          </w:placeholder>
        </w:sdtPr>
        <w:sdtEndPr/>
        <w:sdtContent>
          <w:r w:rsidR="001801C7" w:rsidRPr="001801C7">
            <w:rPr>
              <w:rFonts w:ascii="Times New Roman" w:hAnsi="Times New Roman" w:cs="Times New Roman"/>
              <w:color w:val="000000"/>
            </w:rPr>
            <w:t>(Maurya et al., 2025)</w:t>
          </w:r>
        </w:sdtContent>
      </w:sdt>
      <w:r w:rsidRPr="00DD67B6">
        <w:rPr>
          <w:rFonts w:ascii="Times New Roman" w:hAnsi="Times New Roman" w:cs="Times New Roman"/>
        </w:rPr>
        <w:t>. Specifically, in T</w:t>
      </w:r>
      <w:r w:rsidRPr="00DD67B6">
        <w:rPr>
          <w:rFonts w:ascii="Times New Roman" w:hAnsi="Times New Roman" w:cs="Times New Roman"/>
          <w:vertAlign w:val="subscript"/>
        </w:rPr>
        <w:t>3</w:t>
      </w:r>
      <w:r w:rsidRPr="00DD67B6">
        <w:rPr>
          <w:rFonts w:ascii="Times New Roman" w:hAnsi="Times New Roman" w:cs="Times New Roman"/>
        </w:rPr>
        <w:t>, DO exhibited a significant negative correlation with air and water temperatures (</w:t>
      </w:r>
      <w:r w:rsidRPr="00DD67B6">
        <w:rPr>
          <w:rFonts w:ascii="Times New Roman" w:hAnsi="Times New Roman" w:cs="Times New Roman"/>
          <w:i/>
          <w:iCs/>
        </w:rPr>
        <w:t>r</w:t>
      </w:r>
      <w:r w:rsidRPr="00DD67B6">
        <w:rPr>
          <w:rFonts w:ascii="Times New Roman" w:hAnsi="Times New Roman" w:cs="Times New Roman"/>
        </w:rPr>
        <w:t xml:space="preserve"> = -0.581 and -0.583, respectively), a trend not observed in T</w:t>
      </w:r>
      <w:r w:rsidRPr="00DD67B6">
        <w:rPr>
          <w:rFonts w:ascii="Times New Roman" w:hAnsi="Times New Roman" w:cs="Times New Roman"/>
          <w:vertAlign w:val="subscript"/>
        </w:rPr>
        <w:t>1</w:t>
      </w:r>
      <w:r w:rsidR="009A27F5">
        <w:rPr>
          <w:rFonts w:ascii="Times New Roman" w:hAnsi="Times New Roman" w:cs="Times New Roman"/>
          <w:vertAlign w:val="subscript"/>
        </w:rPr>
        <w:t xml:space="preserve"> </w:t>
      </w:r>
      <w:sdt>
        <w:sdtPr>
          <w:rPr>
            <w:rFonts w:ascii="Times New Roman" w:hAnsi="Times New Roman" w:cs="Times New Roman"/>
            <w:color w:val="000000"/>
          </w:rPr>
          <w:tag w:val="MENDELEY_CITATION_v3_eyJjaXRhdGlvbklEIjoiTUVOREVMRVlfQ0lUQVRJT05fOWExZGQyMGQtYjMzMS00MGUyLWE5MjEtOTA0NzNmNWNjNGRh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
          <w:id w:val="-70814319"/>
          <w:placeholder>
            <w:docPart w:val="DefaultPlaceholder_-1854013440"/>
          </w:placeholder>
        </w:sdtPr>
        <w:sdtEndPr/>
        <w:sdtContent>
          <w:r w:rsidR="001801C7" w:rsidRPr="001801C7">
            <w:rPr>
              <w:rFonts w:ascii="Times New Roman" w:hAnsi="Times New Roman" w:cs="Times New Roman"/>
              <w:color w:val="000000"/>
            </w:rPr>
            <w:t>(Jiang et al., 2021)</w:t>
          </w:r>
        </w:sdtContent>
      </w:sdt>
      <w:r w:rsidRPr="00DD67B6">
        <w:rPr>
          <w:rFonts w:ascii="Times New Roman" w:hAnsi="Times New Roman" w:cs="Times New Roman"/>
        </w:rPr>
        <w:t xml:space="preserve">. Furthermore, ammonia and nitrite displayed a very high positive </w:t>
      </w:r>
      <w:r w:rsidRPr="00DD67B6">
        <w:rPr>
          <w:rFonts w:ascii="Times New Roman" w:hAnsi="Times New Roman" w:cs="Times New Roman"/>
        </w:rPr>
        <w:lastRenderedPageBreak/>
        <w:t>correlation (</w:t>
      </w:r>
      <w:r w:rsidRPr="00DD67B6">
        <w:rPr>
          <w:rFonts w:ascii="Times New Roman" w:hAnsi="Times New Roman" w:cs="Times New Roman"/>
          <w:i/>
          <w:iCs/>
        </w:rPr>
        <w:t>r</w:t>
      </w:r>
      <w:r w:rsidRPr="00DD67B6">
        <w:rPr>
          <w:rFonts w:ascii="Times New Roman" w:hAnsi="Times New Roman" w:cs="Times New Roman"/>
        </w:rPr>
        <w:t xml:space="preserve"> = 0.893), especially under the intensive feeding of T</w:t>
      </w:r>
      <w:r w:rsidRPr="00DD67B6">
        <w:rPr>
          <w:rFonts w:ascii="Times New Roman" w:hAnsi="Times New Roman" w:cs="Times New Roman"/>
          <w:vertAlign w:val="subscript"/>
        </w:rPr>
        <w:t>2</w:t>
      </w:r>
      <w:r w:rsidRPr="00DD67B6">
        <w:rPr>
          <w:rFonts w:ascii="Times New Roman" w:hAnsi="Times New Roman" w:cs="Times New Roman"/>
        </w:rPr>
        <w:t xml:space="preserve"> and T</w:t>
      </w:r>
      <w:r w:rsidRPr="00DD67B6">
        <w:rPr>
          <w:rFonts w:ascii="Times New Roman" w:hAnsi="Times New Roman" w:cs="Times New Roman"/>
          <w:vertAlign w:val="subscript"/>
        </w:rPr>
        <w:t>3</w:t>
      </w:r>
      <w:r w:rsidRPr="00DD67B6">
        <w:rPr>
          <w:rFonts w:ascii="Times New Roman" w:hAnsi="Times New Roman" w:cs="Times New Roman"/>
        </w:rPr>
        <w:t>. Transparency was inversely related to both nitrogenous wastes (</w:t>
      </w:r>
      <w:r w:rsidRPr="00DD67B6">
        <w:rPr>
          <w:rFonts w:ascii="Times New Roman" w:hAnsi="Times New Roman" w:cs="Times New Roman"/>
          <w:i/>
          <w:iCs/>
        </w:rPr>
        <w:t>r</w:t>
      </w:r>
      <w:r w:rsidRPr="00DD67B6">
        <w:rPr>
          <w:rFonts w:ascii="Times New Roman" w:hAnsi="Times New Roman" w:cs="Times New Roman"/>
        </w:rPr>
        <w:t xml:space="preserve"> = -0.736 for ammonia) and pH (</w:t>
      </w:r>
      <w:r w:rsidRPr="00DD67B6">
        <w:rPr>
          <w:rFonts w:ascii="Times New Roman" w:hAnsi="Times New Roman" w:cs="Times New Roman"/>
          <w:i/>
          <w:iCs/>
        </w:rPr>
        <w:t>r</w:t>
      </w:r>
      <w:r w:rsidRPr="00DD67B6">
        <w:rPr>
          <w:rFonts w:ascii="Times New Roman" w:hAnsi="Times New Roman" w:cs="Times New Roman"/>
        </w:rPr>
        <w:t xml:space="preserve"> = -0.281), highlighting the systemic impact of organic loading</w:t>
      </w:r>
      <w:r w:rsidR="00D1150A">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zFjNzNlMzEtOTAxZS00MWQ2LWE1NjUtOTY5NmFhODdhOWZl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nJlcG9yd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"/>
          <w:id w:val="-1306697762"/>
          <w:placeholder>
            <w:docPart w:val="DefaultPlaceholder_-1854013440"/>
          </w:placeholder>
        </w:sdtPr>
        <w:sdtEndPr/>
        <w:sdtContent>
          <w:r w:rsidR="001801C7" w:rsidRPr="001801C7">
            <w:rPr>
              <w:rFonts w:ascii="Times New Roman" w:hAnsi="Times New Roman" w:cs="Times New Roman"/>
              <w:color w:val="000000"/>
            </w:rPr>
            <w:t>(Maurya et al., 2025)</w:t>
          </w:r>
        </w:sdtContent>
      </w:sdt>
      <w:r w:rsidRPr="00DD67B6">
        <w:rPr>
          <w:rFonts w:ascii="Times New Roman" w:hAnsi="Times New Roman" w:cs="Times New Roman"/>
        </w:rPr>
        <w:t>. These patterns suggest that high feeding intensities drive a biological cascade where excess nutrients stimulate microbial respiration and phytoplankton growth, simultaneously reducing transparency and DO while elevating toxic nitrogenous metabolites. The stronger negative correlations between temperature and DO in high-frequency treatments indicate that thermal increases exacerbate the oxygen demand of both fish and decomposers when organic matter is abundant. This synergy between temperature and nutrient load highlights the precariousness of water quality stability during the monsoon, where high temperatures and intensive feeding jointly accelerate the depletion of vital oxygen reserves</w:t>
      </w:r>
      <w:r w:rsidR="00426458">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jk0NjFmN2YtNDZmOS00ZTg2LTgzYmEtYzg5NDYyNTk5NWZl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
          <w:id w:val="-959264533"/>
          <w:placeholder>
            <w:docPart w:val="DefaultPlaceholder_-1854013440"/>
          </w:placeholder>
        </w:sdtPr>
        <w:sdtEndPr/>
        <w:sdtContent>
          <w:r w:rsidR="001801C7" w:rsidRPr="001801C7">
            <w:rPr>
              <w:rFonts w:ascii="Times New Roman" w:hAnsi="Times New Roman" w:cs="Times New Roman"/>
              <w:color w:val="000000"/>
            </w:rPr>
            <w:t>(Jiang et al., 2021)</w:t>
          </w:r>
        </w:sdtContent>
      </w:sdt>
      <w:r w:rsidRPr="00DD67B6">
        <w:rPr>
          <w:rFonts w:ascii="Times New Roman" w:hAnsi="Times New Roman" w:cs="Times New Roman"/>
        </w:rPr>
        <w:t>.</w:t>
      </w:r>
    </w:p>
    <w:p w14:paraId="5C42EB26" w14:textId="5DE1155F" w:rsidR="0060531F" w:rsidRDefault="0060531F" w:rsidP="00316EF6">
      <w:pPr>
        <w:jc w:val="center"/>
      </w:pPr>
      <w:r>
        <w:rPr>
          <w:noProof/>
        </w:rPr>
        <w:drawing>
          <wp:inline distT="0" distB="0" distL="0" distR="0" wp14:anchorId="1EFDC7FD" wp14:editId="7D8D8665">
            <wp:extent cx="5486400" cy="4114800"/>
            <wp:effectExtent l="0" t="0" r="0" b="0"/>
            <wp:docPr id="18325187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18711" name="Picture 1832518711"/>
                    <pic:cNvPicPr/>
                  </pic:nvPicPr>
                  <pic:blipFill>
                    <a:blip r:embed="rId14">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2BED08F" w14:textId="6151A6B5" w:rsidR="0060531F" w:rsidRDefault="00AC66A6" w:rsidP="00AC66A6">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E760F8">
        <w:rPr>
          <w:rFonts w:ascii="Times New Roman" w:hAnsi="Times New Roman" w:cs="Times New Roman"/>
          <w:b/>
          <w:bCs/>
          <w:i w:val="0"/>
          <w:iCs w:val="0"/>
          <w:color w:val="auto"/>
          <w:sz w:val="24"/>
          <w:szCs w:val="24"/>
        </w:rPr>
        <w:t>6</w:t>
      </w:r>
      <w:r w:rsidRPr="00AC66A6">
        <w:rPr>
          <w:rFonts w:ascii="Times New Roman" w:hAnsi="Times New Roman" w:cs="Times New Roman"/>
          <w:i w:val="0"/>
          <w:iCs w:val="0"/>
          <w:color w:val="auto"/>
          <w:sz w:val="24"/>
          <w:szCs w:val="24"/>
        </w:rPr>
        <w:t xml:space="preserve"> Pearson correlation matrix illustrating the interrelationships between physical and chemical water quality parameters in a Nile tilapia (</w:t>
      </w:r>
      <w:r w:rsidRPr="00AC66A6">
        <w:rPr>
          <w:rFonts w:ascii="Times New Roman" w:hAnsi="Times New Roman" w:cs="Times New Roman"/>
          <w:color w:val="auto"/>
          <w:sz w:val="24"/>
          <w:szCs w:val="24"/>
        </w:rPr>
        <w:t>Oreochromis niloticus</w:t>
      </w:r>
      <w:r w:rsidRPr="00AC66A6">
        <w:rPr>
          <w:rFonts w:ascii="Times New Roman" w:hAnsi="Times New Roman" w:cs="Times New Roman"/>
          <w:i w:val="0"/>
          <w:iCs w:val="0"/>
          <w:color w:val="auto"/>
          <w:sz w:val="24"/>
          <w:szCs w:val="24"/>
        </w:rPr>
        <w:t>) pond under varying feeding frequencies and seasonal conditions.</w:t>
      </w:r>
    </w:p>
    <w:p w14:paraId="487E054A" w14:textId="77777777" w:rsidR="00716C5E" w:rsidRDefault="00716C5E" w:rsidP="00CD3FE5">
      <w:pPr>
        <w:spacing w:line="360" w:lineRule="auto"/>
        <w:jc w:val="both"/>
        <w:rPr>
          <w:rFonts w:ascii="Times New Roman" w:hAnsi="Times New Roman" w:cs="Times New Roman"/>
          <w:b/>
          <w:bCs/>
        </w:rPr>
      </w:pPr>
    </w:p>
    <w:p w14:paraId="4F25032A" w14:textId="2FC23528" w:rsidR="00CD3FE5" w:rsidRPr="00CD3FE5" w:rsidRDefault="00CD3FE5" w:rsidP="00CD3FE5">
      <w:pPr>
        <w:spacing w:line="360" w:lineRule="auto"/>
        <w:jc w:val="both"/>
        <w:rPr>
          <w:rFonts w:ascii="Times New Roman" w:hAnsi="Times New Roman" w:cs="Times New Roman"/>
          <w:b/>
          <w:bCs/>
        </w:rPr>
      </w:pPr>
      <w:r w:rsidRPr="00CD3FE5">
        <w:rPr>
          <w:rFonts w:ascii="Times New Roman" w:hAnsi="Times New Roman" w:cs="Times New Roman"/>
          <w:b/>
          <w:bCs/>
        </w:rPr>
        <w:lastRenderedPageBreak/>
        <w:t>Growth Performance and Production Metrics</w:t>
      </w:r>
    </w:p>
    <w:p w14:paraId="50AD3C8A" w14:textId="6AEDD5D0" w:rsidR="00B166C9" w:rsidRPr="00B166C9" w:rsidRDefault="00B166C9" w:rsidP="00B166C9">
      <w:pPr>
        <w:pStyle w:val="Caption"/>
        <w:spacing w:line="360" w:lineRule="auto"/>
        <w:jc w:val="both"/>
        <w:rPr>
          <w:rFonts w:ascii="Times New Roman" w:hAnsi="Times New Roman" w:cs="Times New Roman"/>
          <w:i w:val="0"/>
          <w:iCs w:val="0"/>
          <w:color w:val="000000" w:themeColor="text1"/>
          <w:sz w:val="24"/>
          <w:szCs w:val="24"/>
        </w:rPr>
      </w:pPr>
      <w:r w:rsidRPr="00B166C9">
        <w:rPr>
          <w:rFonts w:ascii="Times New Roman" w:hAnsi="Times New Roman" w:cs="Times New Roman"/>
          <w:i w:val="0"/>
          <w:iCs w:val="0"/>
          <w:color w:val="000000" w:themeColor="text1"/>
          <w:sz w:val="24"/>
          <w:szCs w:val="24"/>
        </w:rPr>
        <w:t>Growth trajectories and total yield of Nile tilapia were significantly influenced by the optimization of daily feeding schedules within the pond environment, consistent with previous reports on the importance of feeding frequency for this species</w:t>
      </w:r>
      <w:r>
        <w:rPr>
          <w:rFonts w:ascii="Times New Roman" w:hAnsi="Times New Roman" w:cs="Times New Roman"/>
          <w:i w:val="0"/>
          <w:iCs w:val="0"/>
          <w:color w:val="000000" w:themeColor="text1"/>
          <w:sz w:val="24"/>
          <w:szCs w:val="24"/>
        </w:rPr>
        <w:t xml:space="preserve"> </w:t>
      </w:r>
      <w:sdt>
        <w:sdtPr>
          <w:rPr>
            <w:rFonts w:ascii="Times New Roman" w:hAnsi="Times New Roman" w:cs="Times New Roman"/>
            <w:i w:val="0"/>
            <w:iCs w:val="0"/>
            <w:color w:val="000000"/>
            <w:sz w:val="24"/>
            <w:szCs w:val="24"/>
          </w:rPr>
          <w:tag w:val="MENDELEY_CITATION_v3_eyJjaXRhdGlvbklEIjoiTUVOREVMRVlfQ0lUQVRJT05fMGRiNjVkNTMtOGY0ZC00MTZjLTk5NTEtYjU0ODE5NmE3ZTBkIiwicHJvcGVydGllcyI6eyJub3RlSW5kZXgiOjB9LCJpc0VkaXRlZCI6ZmFsc2UsIm1hbnVhbE92ZXJyaWRlIjp7ImlzTWFudWFsbHlPdmVycmlkZGVuIjpmYWxzZSwiY2l0ZXByb2NUZXh0IjoiKE1hYnJva2UgZXQgYWwuLCAyMDIx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"/>
          <w:id w:val="668684665"/>
          <w:placeholder>
            <w:docPart w:val="DefaultPlaceholder_-1854013440"/>
          </w:placeholder>
        </w:sdtPr>
        <w:sdtEndPr/>
        <w:sdtContent>
          <w:r w:rsidR="001801C7" w:rsidRPr="001801C7">
            <w:rPr>
              <w:rFonts w:ascii="Times New Roman" w:hAnsi="Times New Roman" w:cs="Times New Roman"/>
              <w:i w:val="0"/>
              <w:iCs w:val="0"/>
              <w:color w:val="000000"/>
              <w:sz w:val="24"/>
              <w:szCs w:val="24"/>
            </w:rPr>
            <w:t>(</w:t>
          </w:r>
          <w:proofErr w:type="spellStart"/>
          <w:r w:rsidR="001801C7" w:rsidRPr="001801C7">
            <w:rPr>
              <w:rFonts w:ascii="Times New Roman" w:hAnsi="Times New Roman" w:cs="Times New Roman"/>
              <w:i w:val="0"/>
              <w:iCs w:val="0"/>
              <w:color w:val="000000"/>
              <w:sz w:val="24"/>
              <w:szCs w:val="24"/>
            </w:rPr>
            <w:t>Mabroke</w:t>
          </w:r>
          <w:proofErr w:type="spellEnd"/>
          <w:r w:rsidR="001801C7" w:rsidRPr="001801C7">
            <w:rPr>
              <w:rFonts w:ascii="Times New Roman" w:hAnsi="Times New Roman" w:cs="Times New Roman"/>
              <w:i w:val="0"/>
              <w:iCs w:val="0"/>
              <w:color w:val="000000"/>
              <w:sz w:val="24"/>
              <w:szCs w:val="24"/>
            </w:rPr>
            <w:t xml:space="preserve"> et al., 2021; </w:t>
          </w:r>
          <w:proofErr w:type="spellStart"/>
          <w:r w:rsidR="001801C7" w:rsidRPr="001801C7">
            <w:rPr>
              <w:rFonts w:ascii="Times New Roman" w:hAnsi="Times New Roman" w:cs="Times New Roman"/>
              <w:i w:val="0"/>
              <w:iCs w:val="0"/>
              <w:color w:val="000000"/>
              <w:sz w:val="24"/>
              <w:szCs w:val="24"/>
            </w:rPr>
            <w:t>Thongprajukaew</w:t>
          </w:r>
          <w:proofErr w:type="spellEnd"/>
          <w:r w:rsidR="001801C7" w:rsidRPr="001801C7">
            <w:rPr>
              <w:rFonts w:ascii="Times New Roman" w:hAnsi="Times New Roman" w:cs="Times New Roman"/>
              <w:i w:val="0"/>
              <w:iCs w:val="0"/>
              <w:color w:val="000000"/>
              <w:sz w:val="24"/>
              <w:szCs w:val="24"/>
            </w:rPr>
            <w:t xml:space="preserve"> et al., 2017)</w:t>
          </w:r>
        </w:sdtContent>
      </w:sdt>
      <w:r>
        <w:rPr>
          <w:rFonts w:ascii="Times New Roman" w:hAnsi="Times New Roman" w:cs="Times New Roman"/>
          <w:i w:val="0"/>
          <w:iCs w:val="0"/>
          <w:color w:val="000000" w:themeColor="text1"/>
          <w:sz w:val="24"/>
          <w:szCs w:val="24"/>
        </w:rPr>
        <w:t xml:space="preserve">. </w:t>
      </w:r>
      <w:r w:rsidRPr="00B166C9">
        <w:rPr>
          <w:rFonts w:ascii="Times New Roman" w:hAnsi="Times New Roman" w:cs="Times New Roman"/>
          <w:i w:val="0"/>
          <w:iCs w:val="0"/>
          <w:color w:val="000000" w:themeColor="text1"/>
          <w:sz w:val="24"/>
          <w:szCs w:val="24"/>
        </w:rPr>
        <w:t>While initial weights remained uniform at 6 g across all groups, the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treatment (twice</w:t>
      </w:r>
      <w:r w:rsidRPr="00B166C9">
        <w:rPr>
          <w:rFonts w:ascii="Times New Roman" w:hAnsi="Times New Roman" w:cs="Times New Roman"/>
          <w:i w:val="0"/>
          <w:iCs w:val="0"/>
          <w:color w:val="000000" w:themeColor="text1"/>
          <w:sz w:val="24"/>
          <w:szCs w:val="24"/>
        </w:rPr>
        <w:noBreakHyphen/>
        <w:t>daily feeding) demonstrated superior performance, yielding a significantly higher final weight of 220 g and weight gain of 21 g compared to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(200 g; 194 g) and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(209 g; 203 g)</w:t>
      </w:r>
      <w:r w:rsidR="0052646C">
        <w:rPr>
          <w:rFonts w:ascii="Times New Roman" w:hAnsi="Times New Roman" w:cs="Times New Roman"/>
          <w:i w:val="0"/>
          <w:iCs w:val="0"/>
          <w:color w:val="000000" w:themeColor="text1"/>
          <w:sz w:val="24"/>
          <w:szCs w:val="24"/>
        </w:rPr>
        <w:t xml:space="preserve"> (Table 2)</w:t>
      </w:r>
      <w:r w:rsidRPr="00B166C9">
        <w:rPr>
          <w:rFonts w:ascii="Times New Roman" w:hAnsi="Times New Roman" w:cs="Times New Roman"/>
          <w:i w:val="0"/>
          <w:iCs w:val="0"/>
          <w:color w:val="000000" w:themeColor="text1"/>
          <w:sz w:val="24"/>
          <w:szCs w:val="24"/>
        </w:rPr>
        <w:t>. Survival rates peaked at 91.00% in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whereas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and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exhibited significantly lower values of 84.33% and 82.67%, respectively (p &lt; 0.05). Consequently, total production in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reached 40.67 kg/dec, outperforming both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(32.67 kg/dec) and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(34.67 kg/dec), indicating that twice</w:t>
      </w:r>
      <w:r w:rsidRPr="00B166C9">
        <w:rPr>
          <w:rFonts w:ascii="Times New Roman" w:hAnsi="Times New Roman" w:cs="Times New Roman"/>
          <w:i w:val="0"/>
          <w:iCs w:val="0"/>
          <w:color w:val="000000" w:themeColor="text1"/>
          <w:sz w:val="24"/>
          <w:szCs w:val="24"/>
        </w:rPr>
        <w:noBreakHyphen/>
        <w:t xml:space="preserve">daily feeding provided the most effective balance for maximizing biomass, in line with findings that two daily meals are often sufficient for optimal growth of Nile tilapia juveniles </w:t>
      </w:r>
      <w:sdt>
        <w:sdtPr>
          <w:rPr>
            <w:rFonts w:ascii="Times New Roman" w:hAnsi="Times New Roman" w:cs="Times New Roman"/>
            <w:i w:val="0"/>
            <w:iCs w:val="0"/>
            <w:color w:val="000000"/>
            <w:sz w:val="24"/>
            <w:szCs w:val="24"/>
          </w:rPr>
          <w:tag w:val="MENDELEY_CITATION_v3_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"/>
          <w:id w:val="-1805836788"/>
          <w:placeholder>
            <w:docPart w:val="DefaultPlaceholder_-1854013440"/>
          </w:placeholder>
        </w:sdtPr>
        <w:sdtEndPr/>
        <w:sdtContent>
          <w:r w:rsidR="001801C7" w:rsidRPr="001801C7">
            <w:rPr>
              <w:rFonts w:ascii="Times New Roman" w:hAnsi="Times New Roman" w:cs="Times New Roman"/>
              <w:i w:val="0"/>
              <w:iCs w:val="0"/>
              <w:color w:val="000000"/>
              <w:sz w:val="24"/>
              <w:szCs w:val="24"/>
            </w:rPr>
            <w:t>(</w:t>
          </w:r>
          <w:proofErr w:type="spellStart"/>
          <w:r w:rsidR="001801C7" w:rsidRPr="001801C7">
            <w:rPr>
              <w:rFonts w:ascii="Times New Roman" w:hAnsi="Times New Roman" w:cs="Times New Roman"/>
              <w:i w:val="0"/>
              <w:iCs w:val="0"/>
              <w:color w:val="000000"/>
              <w:sz w:val="24"/>
              <w:szCs w:val="24"/>
            </w:rPr>
            <w:t>Cadorin</w:t>
          </w:r>
          <w:proofErr w:type="spellEnd"/>
          <w:r w:rsidR="001801C7" w:rsidRPr="001801C7">
            <w:rPr>
              <w:rFonts w:ascii="Times New Roman" w:hAnsi="Times New Roman" w:cs="Times New Roman"/>
              <w:i w:val="0"/>
              <w:iCs w:val="0"/>
              <w:color w:val="000000"/>
              <w:sz w:val="24"/>
              <w:szCs w:val="24"/>
            </w:rPr>
            <w:t xml:space="preserve"> et al., 2022; </w:t>
          </w:r>
          <w:proofErr w:type="spellStart"/>
          <w:r w:rsidR="001801C7" w:rsidRPr="001801C7">
            <w:rPr>
              <w:rFonts w:ascii="Times New Roman" w:hAnsi="Times New Roman" w:cs="Times New Roman"/>
              <w:i w:val="0"/>
              <w:iCs w:val="0"/>
              <w:color w:val="000000"/>
              <w:sz w:val="24"/>
              <w:szCs w:val="24"/>
            </w:rPr>
            <w:t>Mabroke</w:t>
          </w:r>
          <w:proofErr w:type="spellEnd"/>
          <w:r w:rsidR="001801C7" w:rsidRPr="001801C7">
            <w:rPr>
              <w:rFonts w:ascii="Times New Roman" w:hAnsi="Times New Roman" w:cs="Times New Roman"/>
              <w:i w:val="0"/>
              <w:iCs w:val="0"/>
              <w:color w:val="000000"/>
              <w:sz w:val="24"/>
              <w:szCs w:val="24"/>
            </w:rPr>
            <w:t xml:space="preserve"> et al., 2021)</w:t>
          </w:r>
        </w:sdtContent>
      </w:sdt>
      <w:r w:rsidR="00326E03">
        <w:rPr>
          <w:rFonts w:ascii="Times New Roman" w:hAnsi="Times New Roman" w:cs="Times New Roman"/>
          <w:i w:val="0"/>
          <w:iCs w:val="0"/>
          <w:color w:val="000000"/>
          <w:sz w:val="24"/>
          <w:szCs w:val="24"/>
        </w:rPr>
        <w:t xml:space="preserve">. </w:t>
      </w:r>
      <w:r w:rsidRPr="00B166C9">
        <w:rPr>
          <w:rFonts w:ascii="Times New Roman" w:hAnsi="Times New Roman" w:cs="Times New Roman"/>
          <w:i w:val="0"/>
          <w:iCs w:val="0"/>
          <w:color w:val="000000" w:themeColor="text1"/>
          <w:sz w:val="24"/>
          <w:szCs w:val="24"/>
        </w:rPr>
        <w:t>The enhanced productivity observed in T</w:t>
      </w:r>
      <w:r w:rsidRPr="00A073F1">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is likely a result of efficient nutrient assimilation and minimized metabolic and environmental stress, whereas the performance decline in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can be attributed to the deterioration in water quality, particularly the accumulation of ammonia and reduction in dissolved oxygen that commonly accompany high feeding intensities </w:t>
      </w:r>
      <w:sdt>
        <w:sdtPr>
          <w:rPr>
            <w:rFonts w:ascii="Times New Roman" w:hAnsi="Times New Roman" w:cs="Times New Roman"/>
            <w:i w:val="0"/>
            <w:iCs w:val="0"/>
            <w:color w:val="000000"/>
            <w:sz w:val="24"/>
            <w:szCs w:val="24"/>
          </w:rPr>
          <w:tag w:val="MENDELEY_CITATION_v3_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"/>
          <w:id w:val="983037504"/>
          <w:placeholder>
            <w:docPart w:val="DefaultPlaceholder_-1854013440"/>
          </w:placeholder>
        </w:sdtPr>
        <w:sdtEndPr/>
        <w:sdtContent>
          <w:r w:rsidR="001801C7" w:rsidRPr="001801C7">
            <w:rPr>
              <w:rFonts w:ascii="Times New Roman" w:hAnsi="Times New Roman" w:cs="Times New Roman"/>
              <w:i w:val="0"/>
              <w:iCs w:val="0"/>
              <w:color w:val="000000"/>
              <w:sz w:val="24"/>
              <w:szCs w:val="24"/>
            </w:rPr>
            <w:t>(Abd El-Hack et al., 2022)</w:t>
          </w:r>
        </w:sdtContent>
      </w:sdt>
      <w:r w:rsidR="00326E03">
        <w:rPr>
          <w:rFonts w:ascii="Times New Roman" w:hAnsi="Times New Roman" w:cs="Times New Roman"/>
          <w:i w:val="0"/>
          <w:iCs w:val="0"/>
          <w:color w:val="000000"/>
          <w:sz w:val="24"/>
          <w:szCs w:val="24"/>
        </w:rPr>
        <w:t>.</w:t>
      </w:r>
      <w:r w:rsidRPr="00B166C9">
        <w:rPr>
          <w:rFonts w:ascii="Times New Roman" w:hAnsi="Times New Roman" w:cs="Times New Roman"/>
          <w:i w:val="0"/>
          <w:iCs w:val="0"/>
          <w:color w:val="000000" w:themeColor="text1"/>
          <w:sz w:val="24"/>
          <w:szCs w:val="24"/>
        </w:rPr>
        <w:t xml:space="preserve"> High</w:t>
      </w:r>
      <w:r w:rsidRPr="00B166C9">
        <w:rPr>
          <w:rFonts w:ascii="Times New Roman" w:hAnsi="Times New Roman" w:cs="Times New Roman"/>
          <w:i w:val="0"/>
          <w:iCs w:val="0"/>
          <w:color w:val="000000" w:themeColor="text1"/>
          <w:sz w:val="24"/>
          <w:szCs w:val="24"/>
        </w:rPr>
        <w:noBreakHyphen/>
        <w:t>frequency feeding in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likely promoted excessive organic matter decomposition and microbial respiration, creating a physiological bottleneck that impaired growth and survival. Conversely, the lower yield in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suggests that once</w:t>
      </w:r>
      <w:r w:rsidRPr="00B166C9">
        <w:rPr>
          <w:rFonts w:ascii="Times New Roman" w:hAnsi="Times New Roman" w:cs="Times New Roman"/>
          <w:i w:val="0"/>
          <w:iCs w:val="0"/>
          <w:color w:val="000000" w:themeColor="text1"/>
          <w:sz w:val="24"/>
          <w:szCs w:val="24"/>
        </w:rPr>
        <w:noBreakHyphen/>
        <w:t>daily feeding provides insufficient energy to support maximum growth potential, highlighting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as an optimal compromise between nutrient supply and water</w:t>
      </w:r>
      <w:r w:rsidRPr="00B166C9">
        <w:rPr>
          <w:rFonts w:ascii="Times New Roman" w:hAnsi="Times New Roman" w:cs="Times New Roman"/>
          <w:i w:val="0"/>
          <w:iCs w:val="0"/>
          <w:color w:val="000000" w:themeColor="text1"/>
          <w:sz w:val="24"/>
          <w:szCs w:val="24"/>
        </w:rPr>
        <w:noBreakHyphen/>
        <w:t xml:space="preserve">quality stability </w:t>
      </w:r>
      <w:sdt>
        <w:sdtPr>
          <w:rPr>
            <w:rFonts w:ascii="Times New Roman" w:hAnsi="Times New Roman" w:cs="Times New Roman"/>
            <w:i w:val="0"/>
            <w:iCs w:val="0"/>
            <w:color w:val="000000"/>
            <w:sz w:val="24"/>
            <w:szCs w:val="24"/>
          </w:rPr>
          <w:tag w:val="MENDELEY_CITATION_v3_eyJjaXRhdGlvbklEIjoiTUVOREVMRVlfQ0lUQVRJT05fZTgxNjk1MjAtNTUyNy00MDY3LWJjNTEtMzY1ZjdkYjI4NDRmIiwicHJvcGVydGllcyI6eyJub3RlSW5kZXgiOjB9LCJpc0VkaXRlZCI6ZmFsc2UsIm1hbnVhbE92ZXJyaWRlIjp7ImlzTWFudWFsbHlPdmVycmlkZGVuIjpmYWxzZSwiY2l0ZXByb2NUZXh0IjoiKENhZG9yaW4gZXQgYWwuLCAyMDIy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"/>
          <w:id w:val="-769542667"/>
          <w:placeholder>
            <w:docPart w:val="DefaultPlaceholder_-1854013440"/>
          </w:placeholder>
        </w:sdtPr>
        <w:sdtEndPr/>
        <w:sdtContent>
          <w:r w:rsidR="001801C7" w:rsidRPr="001801C7">
            <w:rPr>
              <w:rFonts w:ascii="Times New Roman" w:hAnsi="Times New Roman" w:cs="Times New Roman"/>
              <w:i w:val="0"/>
              <w:iCs w:val="0"/>
              <w:color w:val="000000"/>
              <w:sz w:val="24"/>
              <w:szCs w:val="24"/>
            </w:rPr>
            <w:t>(</w:t>
          </w:r>
          <w:proofErr w:type="spellStart"/>
          <w:r w:rsidR="001801C7" w:rsidRPr="001801C7">
            <w:rPr>
              <w:rFonts w:ascii="Times New Roman" w:hAnsi="Times New Roman" w:cs="Times New Roman"/>
              <w:i w:val="0"/>
              <w:iCs w:val="0"/>
              <w:color w:val="000000"/>
              <w:sz w:val="24"/>
              <w:szCs w:val="24"/>
            </w:rPr>
            <w:t>Cadorin</w:t>
          </w:r>
          <w:proofErr w:type="spellEnd"/>
          <w:r w:rsidR="001801C7" w:rsidRPr="001801C7">
            <w:rPr>
              <w:rFonts w:ascii="Times New Roman" w:hAnsi="Times New Roman" w:cs="Times New Roman"/>
              <w:i w:val="0"/>
              <w:iCs w:val="0"/>
              <w:color w:val="000000"/>
              <w:sz w:val="24"/>
              <w:szCs w:val="24"/>
            </w:rPr>
            <w:t xml:space="preserve"> et al., 2022; </w:t>
          </w:r>
          <w:proofErr w:type="spellStart"/>
          <w:r w:rsidR="001801C7" w:rsidRPr="001801C7">
            <w:rPr>
              <w:rFonts w:ascii="Times New Roman" w:hAnsi="Times New Roman" w:cs="Times New Roman"/>
              <w:i w:val="0"/>
              <w:iCs w:val="0"/>
              <w:color w:val="000000"/>
              <w:sz w:val="24"/>
              <w:szCs w:val="24"/>
            </w:rPr>
            <w:t>Thongprajukaew</w:t>
          </w:r>
          <w:proofErr w:type="spellEnd"/>
          <w:r w:rsidR="001801C7" w:rsidRPr="001801C7">
            <w:rPr>
              <w:rFonts w:ascii="Times New Roman" w:hAnsi="Times New Roman" w:cs="Times New Roman"/>
              <w:i w:val="0"/>
              <w:iCs w:val="0"/>
              <w:color w:val="000000"/>
              <w:sz w:val="24"/>
              <w:szCs w:val="24"/>
            </w:rPr>
            <w:t xml:space="preserve"> et al., 2017)</w:t>
          </w:r>
        </w:sdtContent>
      </w:sdt>
      <w:r w:rsidR="00AB5134">
        <w:rPr>
          <w:rFonts w:ascii="Times New Roman" w:hAnsi="Times New Roman" w:cs="Times New Roman"/>
          <w:i w:val="0"/>
          <w:iCs w:val="0"/>
          <w:color w:val="000000"/>
          <w:sz w:val="24"/>
          <w:szCs w:val="24"/>
        </w:rPr>
        <w:t>.</w:t>
      </w:r>
    </w:p>
    <w:p w14:paraId="6C777AC5" w14:textId="2A015A15" w:rsidR="00C20FD9" w:rsidRPr="00B44AA0" w:rsidRDefault="00B44AA0" w:rsidP="00B44AA0">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Table </w:t>
      </w:r>
      <w:r w:rsidRPr="003F5771">
        <w:rPr>
          <w:rFonts w:ascii="Times New Roman" w:hAnsi="Times New Roman" w:cs="Times New Roman"/>
          <w:b/>
          <w:bCs/>
          <w:i w:val="0"/>
          <w:iCs w:val="0"/>
          <w:color w:val="auto"/>
          <w:sz w:val="24"/>
          <w:szCs w:val="24"/>
        </w:rPr>
        <w:fldChar w:fldCharType="begin"/>
      </w:r>
      <w:r w:rsidRPr="003F5771">
        <w:rPr>
          <w:rFonts w:ascii="Times New Roman" w:hAnsi="Times New Roman" w:cs="Times New Roman"/>
          <w:b/>
          <w:bCs/>
          <w:i w:val="0"/>
          <w:iCs w:val="0"/>
          <w:color w:val="auto"/>
          <w:sz w:val="24"/>
          <w:szCs w:val="24"/>
        </w:rPr>
        <w:instrText xml:space="preserve"> SEQ Table \* ARABIC </w:instrText>
      </w:r>
      <w:r w:rsidRPr="003F5771">
        <w:rPr>
          <w:rFonts w:ascii="Times New Roman" w:hAnsi="Times New Roman" w:cs="Times New Roman"/>
          <w:b/>
          <w:bCs/>
          <w:i w:val="0"/>
          <w:iCs w:val="0"/>
          <w:color w:val="auto"/>
          <w:sz w:val="24"/>
          <w:szCs w:val="24"/>
        </w:rPr>
        <w:fldChar w:fldCharType="separate"/>
      </w:r>
      <w:r w:rsidRPr="003F5771">
        <w:rPr>
          <w:rFonts w:ascii="Times New Roman" w:hAnsi="Times New Roman" w:cs="Times New Roman"/>
          <w:b/>
          <w:bCs/>
          <w:i w:val="0"/>
          <w:iCs w:val="0"/>
          <w:noProof/>
          <w:color w:val="auto"/>
          <w:sz w:val="24"/>
          <w:szCs w:val="24"/>
        </w:rPr>
        <w:t>2</w:t>
      </w:r>
      <w:r w:rsidRPr="003F5771">
        <w:rPr>
          <w:rFonts w:ascii="Times New Roman" w:hAnsi="Times New Roman" w:cs="Times New Roman"/>
          <w:b/>
          <w:bCs/>
          <w:i w:val="0"/>
          <w:iCs w:val="0"/>
          <w:color w:val="auto"/>
          <w:sz w:val="24"/>
          <w:szCs w:val="24"/>
        </w:rPr>
        <w:fldChar w:fldCharType="end"/>
      </w:r>
      <w:r w:rsidRPr="00B44AA0">
        <w:rPr>
          <w:rFonts w:ascii="Times New Roman" w:hAnsi="Times New Roman" w:cs="Times New Roman"/>
          <w:i w:val="0"/>
          <w:iCs w:val="0"/>
          <w:color w:val="auto"/>
          <w:sz w:val="24"/>
          <w:szCs w:val="24"/>
        </w:rPr>
        <w:t xml:space="preserve"> Growth performance, survival rates, and total production yield of Nile tilapia (Oreochromis niloticus) under varying feeding frequencies over a 120-day culture period.</w:t>
      </w:r>
    </w:p>
    <w:tbl>
      <w:tblPr>
        <w:tblStyle w:val="TableGrid"/>
        <w:tblW w:w="0" w:type="auto"/>
        <w:jc w:val="center"/>
        <w:tblLayout w:type="fixed"/>
        <w:tblLook w:val="04A0" w:firstRow="1" w:lastRow="0" w:firstColumn="1" w:lastColumn="0" w:noHBand="0" w:noVBand="1"/>
      </w:tblPr>
      <w:tblGrid>
        <w:gridCol w:w="1260"/>
        <w:gridCol w:w="1800"/>
        <w:gridCol w:w="1710"/>
        <w:gridCol w:w="1350"/>
        <w:gridCol w:w="1080"/>
        <w:gridCol w:w="2160"/>
      </w:tblGrid>
      <w:tr w:rsidR="0057410A" w:rsidRPr="0060531F" w14:paraId="250DFFB4" w14:textId="77777777" w:rsidTr="00C35A28">
        <w:trPr>
          <w:trHeight w:val="290"/>
          <w:jc w:val="center"/>
        </w:trPr>
        <w:tc>
          <w:tcPr>
            <w:tcW w:w="1260" w:type="dxa"/>
            <w:tcBorders>
              <w:left w:val="nil"/>
              <w:bottom w:val="single" w:sz="4" w:space="0" w:color="auto"/>
              <w:right w:val="nil"/>
            </w:tcBorders>
            <w:noWrap/>
            <w:hideMark/>
          </w:tcPr>
          <w:p w14:paraId="594F7C54"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Treatment</w:t>
            </w:r>
          </w:p>
        </w:tc>
        <w:tc>
          <w:tcPr>
            <w:tcW w:w="1800" w:type="dxa"/>
            <w:tcBorders>
              <w:left w:val="nil"/>
              <w:bottom w:val="single" w:sz="4" w:space="0" w:color="auto"/>
              <w:right w:val="nil"/>
            </w:tcBorders>
            <w:noWrap/>
            <w:hideMark/>
          </w:tcPr>
          <w:p w14:paraId="59618FE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Initial weight (gm)</w:t>
            </w:r>
          </w:p>
        </w:tc>
        <w:tc>
          <w:tcPr>
            <w:tcW w:w="1710" w:type="dxa"/>
            <w:tcBorders>
              <w:left w:val="nil"/>
              <w:bottom w:val="single" w:sz="4" w:space="0" w:color="auto"/>
              <w:right w:val="nil"/>
            </w:tcBorders>
            <w:noWrap/>
            <w:hideMark/>
          </w:tcPr>
          <w:p w14:paraId="0EDABEFB"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Final weight (gm)</w:t>
            </w:r>
          </w:p>
        </w:tc>
        <w:tc>
          <w:tcPr>
            <w:tcW w:w="1350" w:type="dxa"/>
            <w:tcBorders>
              <w:left w:val="nil"/>
              <w:bottom w:val="single" w:sz="4" w:space="0" w:color="auto"/>
              <w:right w:val="nil"/>
            </w:tcBorders>
            <w:noWrap/>
            <w:hideMark/>
          </w:tcPr>
          <w:p w14:paraId="78DD54C8"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Weight gain (gm)</w:t>
            </w:r>
          </w:p>
        </w:tc>
        <w:tc>
          <w:tcPr>
            <w:tcW w:w="1080" w:type="dxa"/>
            <w:tcBorders>
              <w:left w:val="nil"/>
              <w:bottom w:val="single" w:sz="4" w:space="0" w:color="auto"/>
              <w:right w:val="nil"/>
            </w:tcBorders>
            <w:noWrap/>
            <w:hideMark/>
          </w:tcPr>
          <w:p w14:paraId="5E0A864C"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Survival (%)</w:t>
            </w:r>
          </w:p>
        </w:tc>
        <w:tc>
          <w:tcPr>
            <w:tcW w:w="2160" w:type="dxa"/>
            <w:tcBorders>
              <w:left w:val="nil"/>
              <w:bottom w:val="single" w:sz="4" w:space="0" w:color="auto"/>
              <w:right w:val="nil"/>
            </w:tcBorders>
            <w:noWrap/>
            <w:hideMark/>
          </w:tcPr>
          <w:p w14:paraId="54CF055F"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Production (Kg/dec./120 days)</w:t>
            </w:r>
          </w:p>
        </w:tc>
      </w:tr>
      <w:tr w:rsidR="0057410A" w:rsidRPr="0060531F" w14:paraId="13D1EE19" w14:textId="77777777" w:rsidTr="00C35A28">
        <w:trPr>
          <w:trHeight w:val="290"/>
          <w:jc w:val="center"/>
        </w:trPr>
        <w:tc>
          <w:tcPr>
            <w:tcW w:w="1260" w:type="dxa"/>
            <w:tcBorders>
              <w:left w:val="nil"/>
              <w:bottom w:val="nil"/>
              <w:right w:val="nil"/>
            </w:tcBorders>
            <w:noWrap/>
            <w:hideMark/>
          </w:tcPr>
          <w:p w14:paraId="25176F57"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T1</w:t>
            </w:r>
          </w:p>
        </w:tc>
        <w:tc>
          <w:tcPr>
            <w:tcW w:w="1800" w:type="dxa"/>
            <w:tcBorders>
              <w:left w:val="nil"/>
              <w:bottom w:val="nil"/>
              <w:right w:val="nil"/>
            </w:tcBorders>
            <w:noWrap/>
            <w:hideMark/>
          </w:tcPr>
          <w:p w14:paraId="0F171302"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6a</w:t>
            </w:r>
          </w:p>
        </w:tc>
        <w:tc>
          <w:tcPr>
            <w:tcW w:w="1710" w:type="dxa"/>
            <w:tcBorders>
              <w:left w:val="nil"/>
              <w:bottom w:val="nil"/>
              <w:right w:val="nil"/>
            </w:tcBorders>
            <w:noWrap/>
            <w:hideMark/>
          </w:tcPr>
          <w:p w14:paraId="0340E243"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200b</w:t>
            </w:r>
          </w:p>
        </w:tc>
        <w:tc>
          <w:tcPr>
            <w:tcW w:w="1350" w:type="dxa"/>
            <w:tcBorders>
              <w:left w:val="nil"/>
              <w:bottom w:val="nil"/>
              <w:right w:val="nil"/>
            </w:tcBorders>
            <w:noWrap/>
            <w:hideMark/>
          </w:tcPr>
          <w:p w14:paraId="6B34D018"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194b</w:t>
            </w:r>
          </w:p>
        </w:tc>
        <w:tc>
          <w:tcPr>
            <w:tcW w:w="1080" w:type="dxa"/>
            <w:tcBorders>
              <w:left w:val="nil"/>
              <w:bottom w:val="nil"/>
              <w:right w:val="nil"/>
            </w:tcBorders>
            <w:noWrap/>
            <w:hideMark/>
          </w:tcPr>
          <w:p w14:paraId="64202BEB"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84.33b</w:t>
            </w:r>
          </w:p>
        </w:tc>
        <w:tc>
          <w:tcPr>
            <w:tcW w:w="2160" w:type="dxa"/>
            <w:tcBorders>
              <w:left w:val="nil"/>
              <w:bottom w:val="nil"/>
              <w:right w:val="nil"/>
            </w:tcBorders>
            <w:noWrap/>
            <w:hideMark/>
          </w:tcPr>
          <w:p w14:paraId="4141C93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32.67b</w:t>
            </w:r>
          </w:p>
        </w:tc>
      </w:tr>
      <w:tr w:rsidR="0057410A" w:rsidRPr="0060531F" w14:paraId="3D15F08D" w14:textId="77777777" w:rsidTr="00C35A28">
        <w:trPr>
          <w:trHeight w:val="290"/>
          <w:jc w:val="center"/>
        </w:trPr>
        <w:tc>
          <w:tcPr>
            <w:tcW w:w="1260" w:type="dxa"/>
            <w:tcBorders>
              <w:top w:val="nil"/>
              <w:left w:val="nil"/>
              <w:bottom w:val="nil"/>
              <w:right w:val="nil"/>
            </w:tcBorders>
            <w:noWrap/>
            <w:hideMark/>
          </w:tcPr>
          <w:p w14:paraId="77A7ECC0"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T2</w:t>
            </w:r>
          </w:p>
        </w:tc>
        <w:tc>
          <w:tcPr>
            <w:tcW w:w="1800" w:type="dxa"/>
            <w:tcBorders>
              <w:top w:val="nil"/>
              <w:left w:val="nil"/>
              <w:bottom w:val="nil"/>
              <w:right w:val="nil"/>
            </w:tcBorders>
            <w:noWrap/>
            <w:hideMark/>
          </w:tcPr>
          <w:p w14:paraId="00328062"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6a</w:t>
            </w:r>
          </w:p>
        </w:tc>
        <w:tc>
          <w:tcPr>
            <w:tcW w:w="1710" w:type="dxa"/>
            <w:tcBorders>
              <w:top w:val="nil"/>
              <w:left w:val="nil"/>
              <w:bottom w:val="nil"/>
              <w:right w:val="nil"/>
            </w:tcBorders>
            <w:noWrap/>
            <w:hideMark/>
          </w:tcPr>
          <w:p w14:paraId="2C73E22E"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220a</w:t>
            </w:r>
          </w:p>
        </w:tc>
        <w:tc>
          <w:tcPr>
            <w:tcW w:w="1350" w:type="dxa"/>
            <w:tcBorders>
              <w:top w:val="nil"/>
              <w:left w:val="nil"/>
              <w:bottom w:val="nil"/>
              <w:right w:val="nil"/>
            </w:tcBorders>
            <w:noWrap/>
            <w:hideMark/>
          </w:tcPr>
          <w:p w14:paraId="74B8C97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214a</w:t>
            </w:r>
          </w:p>
        </w:tc>
        <w:tc>
          <w:tcPr>
            <w:tcW w:w="1080" w:type="dxa"/>
            <w:tcBorders>
              <w:top w:val="nil"/>
              <w:left w:val="nil"/>
              <w:bottom w:val="nil"/>
              <w:right w:val="nil"/>
            </w:tcBorders>
            <w:noWrap/>
            <w:hideMark/>
          </w:tcPr>
          <w:p w14:paraId="7016B346"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91.00a</w:t>
            </w:r>
          </w:p>
        </w:tc>
        <w:tc>
          <w:tcPr>
            <w:tcW w:w="2160" w:type="dxa"/>
            <w:tcBorders>
              <w:top w:val="nil"/>
              <w:left w:val="nil"/>
              <w:bottom w:val="nil"/>
              <w:right w:val="nil"/>
            </w:tcBorders>
            <w:noWrap/>
            <w:hideMark/>
          </w:tcPr>
          <w:p w14:paraId="31E86FCE"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40.67a</w:t>
            </w:r>
          </w:p>
        </w:tc>
      </w:tr>
      <w:tr w:rsidR="0057410A" w:rsidRPr="0060531F" w14:paraId="11AF1671" w14:textId="77777777" w:rsidTr="00C35A28">
        <w:trPr>
          <w:trHeight w:val="290"/>
          <w:jc w:val="center"/>
        </w:trPr>
        <w:tc>
          <w:tcPr>
            <w:tcW w:w="1260" w:type="dxa"/>
            <w:tcBorders>
              <w:top w:val="nil"/>
              <w:left w:val="nil"/>
              <w:bottom w:val="single" w:sz="4" w:space="0" w:color="auto"/>
              <w:right w:val="nil"/>
            </w:tcBorders>
            <w:noWrap/>
            <w:hideMark/>
          </w:tcPr>
          <w:p w14:paraId="0DBA2C57"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T3</w:t>
            </w:r>
          </w:p>
        </w:tc>
        <w:tc>
          <w:tcPr>
            <w:tcW w:w="1800" w:type="dxa"/>
            <w:tcBorders>
              <w:top w:val="nil"/>
              <w:left w:val="nil"/>
              <w:bottom w:val="single" w:sz="4" w:space="0" w:color="auto"/>
              <w:right w:val="nil"/>
            </w:tcBorders>
            <w:noWrap/>
            <w:hideMark/>
          </w:tcPr>
          <w:p w14:paraId="3A43B44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6a</w:t>
            </w:r>
          </w:p>
        </w:tc>
        <w:tc>
          <w:tcPr>
            <w:tcW w:w="1710" w:type="dxa"/>
            <w:tcBorders>
              <w:top w:val="nil"/>
              <w:left w:val="nil"/>
              <w:bottom w:val="single" w:sz="4" w:space="0" w:color="auto"/>
              <w:right w:val="nil"/>
            </w:tcBorders>
            <w:noWrap/>
            <w:hideMark/>
          </w:tcPr>
          <w:p w14:paraId="52683494"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209b</w:t>
            </w:r>
          </w:p>
        </w:tc>
        <w:tc>
          <w:tcPr>
            <w:tcW w:w="1350" w:type="dxa"/>
            <w:tcBorders>
              <w:top w:val="nil"/>
              <w:left w:val="nil"/>
              <w:bottom w:val="single" w:sz="4" w:space="0" w:color="auto"/>
              <w:right w:val="nil"/>
            </w:tcBorders>
            <w:noWrap/>
            <w:hideMark/>
          </w:tcPr>
          <w:p w14:paraId="02B5E65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203b</w:t>
            </w:r>
          </w:p>
        </w:tc>
        <w:tc>
          <w:tcPr>
            <w:tcW w:w="1080" w:type="dxa"/>
            <w:tcBorders>
              <w:top w:val="nil"/>
              <w:left w:val="nil"/>
              <w:bottom w:val="single" w:sz="4" w:space="0" w:color="auto"/>
              <w:right w:val="nil"/>
            </w:tcBorders>
            <w:noWrap/>
            <w:hideMark/>
          </w:tcPr>
          <w:p w14:paraId="1753340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82.67b</w:t>
            </w:r>
          </w:p>
        </w:tc>
        <w:tc>
          <w:tcPr>
            <w:tcW w:w="2160" w:type="dxa"/>
            <w:tcBorders>
              <w:top w:val="nil"/>
              <w:left w:val="nil"/>
              <w:bottom w:val="single" w:sz="4" w:space="0" w:color="auto"/>
              <w:right w:val="nil"/>
            </w:tcBorders>
            <w:noWrap/>
            <w:hideMark/>
          </w:tcPr>
          <w:p w14:paraId="6E00043A"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34.67b</w:t>
            </w:r>
          </w:p>
        </w:tc>
      </w:tr>
      <w:tr w:rsidR="0057410A" w:rsidRPr="0060531F" w14:paraId="1FC3D788" w14:textId="77777777" w:rsidTr="00C35A28">
        <w:trPr>
          <w:trHeight w:val="290"/>
          <w:jc w:val="center"/>
        </w:trPr>
        <w:tc>
          <w:tcPr>
            <w:tcW w:w="1260" w:type="dxa"/>
            <w:tcBorders>
              <w:left w:val="nil"/>
              <w:right w:val="nil"/>
            </w:tcBorders>
            <w:noWrap/>
            <w:hideMark/>
          </w:tcPr>
          <w:p w14:paraId="04FC99C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CV</w:t>
            </w:r>
          </w:p>
        </w:tc>
        <w:tc>
          <w:tcPr>
            <w:tcW w:w="1800" w:type="dxa"/>
            <w:tcBorders>
              <w:left w:val="nil"/>
              <w:right w:val="nil"/>
            </w:tcBorders>
            <w:noWrap/>
            <w:hideMark/>
          </w:tcPr>
          <w:p w14:paraId="69A4785A"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3.46</w:t>
            </w:r>
          </w:p>
        </w:tc>
        <w:tc>
          <w:tcPr>
            <w:tcW w:w="1710" w:type="dxa"/>
            <w:tcBorders>
              <w:left w:val="nil"/>
              <w:right w:val="nil"/>
            </w:tcBorders>
            <w:noWrap/>
            <w:hideMark/>
          </w:tcPr>
          <w:p w14:paraId="65AA07B5"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2.12</w:t>
            </w:r>
          </w:p>
        </w:tc>
        <w:tc>
          <w:tcPr>
            <w:tcW w:w="1350" w:type="dxa"/>
            <w:tcBorders>
              <w:left w:val="nil"/>
              <w:right w:val="nil"/>
            </w:tcBorders>
            <w:noWrap/>
            <w:hideMark/>
          </w:tcPr>
          <w:p w14:paraId="46F6A3F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2.11</w:t>
            </w:r>
          </w:p>
        </w:tc>
        <w:tc>
          <w:tcPr>
            <w:tcW w:w="1080" w:type="dxa"/>
            <w:tcBorders>
              <w:left w:val="nil"/>
              <w:right w:val="nil"/>
            </w:tcBorders>
            <w:noWrap/>
            <w:hideMark/>
          </w:tcPr>
          <w:p w14:paraId="7EFDF6B3"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2.68</w:t>
            </w:r>
          </w:p>
        </w:tc>
        <w:tc>
          <w:tcPr>
            <w:tcW w:w="2160" w:type="dxa"/>
            <w:tcBorders>
              <w:left w:val="nil"/>
              <w:right w:val="nil"/>
            </w:tcBorders>
            <w:noWrap/>
            <w:hideMark/>
          </w:tcPr>
          <w:p w14:paraId="6FEE3067"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3.92</w:t>
            </w:r>
          </w:p>
        </w:tc>
      </w:tr>
      <w:tr w:rsidR="0057410A" w:rsidRPr="0060531F" w14:paraId="7DFB630E" w14:textId="77777777" w:rsidTr="00C35A28">
        <w:trPr>
          <w:trHeight w:val="290"/>
          <w:jc w:val="center"/>
        </w:trPr>
        <w:tc>
          <w:tcPr>
            <w:tcW w:w="1260" w:type="dxa"/>
            <w:tcBorders>
              <w:left w:val="nil"/>
              <w:right w:val="nil"/>
            </w:tcBorders>
            <w:noWrap/>
            <w:hideMark/>
          </w:tcPr>
          <w:p w14:paraId="3730367A"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lastRenderedPageBreak/>
              <w:t>LSD</w:t>
            </w:r>
          </w:p>
        </w:tc>
        <w:tc>
          <w:tcPr>
            <w:tcW w:w="1800" w:type="dxa"/>
            <w:tcBorders>
              <w:left w:val="nil"/>
              <w:right w:val="nil"/>
            </w:tcBorders>
            <w:noWrap/>
            <w:hideMark/>
          </w:tcPr>
          <w:p w14:paraId="4FA6B764"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0.47</w:t>
            </w:r>
          </w:p>
        </w:tc>
        <w:tc>
          <w:tcPr>
            <w:tcW w:w="1710" w:type="dxa"/>
            <w:tcBorders>
              <w:left w:val="nil"/>
              <w:right w:val="nil"/>
            </w:tcBorders>
            <w:noWrap/>
            <w:hideMark/>
          </w:tcPr>
          <w:p w14:paraId="49D665B2"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10.09</w:t>
            </w:r>
          </w:p>
        </w:tc>
        <w:tc>
          <w:tcPr>
            <w:tcW w:w="1350" w:type="dxa"/>
            <w:tcBorders>
              <w:left w:val="nil"/>
              <w:right w:val="nil"/>
            </w:tcBorders>
            <w:noWrap/>
            <w:hideMark/>
          </w:tcPr>
          <w:p w14:paraId="41084CDC"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9.74</w:t>
            </w:r>
          </w:p>
        </w:tc>
        <w:tc>
          <w:tcPr>
            <w:tcW w:w="1080" w:type="dxa"/>
            <w:tcBorders>
              <w:left w:val="nil"/>
              <w:right w:val="nil"/>
            </w:tcBorders>
            <w:noWrap/>
            <w:hideMark/>
          </w:tcPr>
          <w:p w14:paraId="76795CA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5.23</w:t>
            </w:r>
          </w:p>
        </w:tc>
        <w:tc>
          <w:tcPr>
            <w:tcW w:w="2160" w:type="dxa"/>
            <w:tcBorders>
              <w:left w:val="nil"/>
              <w:right w:val="nil"/>
            </w:tcBorders>
            <w:noWrap/>
            <w:hideMark/>
          </w:tcPr>
          <w:p w14:paraId="28E54100"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3.2</w:t>
            </w:r>
          </w:p>
        </w:tc>
      </w:tr>
    </w:tbl>
    <w:p w14:paraId="5EECF2B7" w14:textId="77777777" w:rsidR="0060531F" w:rsidRDefault="0060531F"/>
    <w:p w14:paraId="754A021B" w14:textId="780BFB39" w:rsidR="00474E21" w:rsidRPr="00474E21" w:rsidRDefault="00474E21" w:rsidP="00474E21">
      <w:pPr>
        <w:spacing w:line="360" w:lineRule="auto"/>
        <w:jc w:val="both"/>
        <w:rPr>
          <w:rFonts w:ascii="Times New Roman" w:hAnsi="Times New Roman" w:cs="Times New Roman"/>
          <w:b/>
          <w:bCs/>
        </w:rPr>
      </w:pPr>
      <w:r w:rsidRPr="00474E21">
        <w:rPr>
          <w:rFonts w:ascii="Times New Roman" w:hAnsi="Times New Roman" w:cs="Times New Roman"/>
          <w:b/>
          <w:bCs/>
        </w:rPr>
        <w:t>Conclusion</w:t>
      </w:r>
    </w:p>
    <w:p w14:paraId="30E3F138" w14:textId="297706B6" w:rsidR="00CD5CDE" w:rsidRDefault="00474E21" w:rsidP="00474E21">
      <w:pPr>
        <w:spacing w:line="360" w:lineRule="auto"/>
        <w:jc w:val="both"/>
        <w:rPr>
          <w:rFonts w:ascii="Times New Roman" w:hAnsi="Times New Roman" w:cs="Times New Roman"/>
        </w:rPr>
      </w:pPr>
      <w:r w:rsidRPr="00474E21">
        <w:rPr>
          <w:rFonts w:ascii="Times New Roman" w:hAnsi="Times New Roman" w:cs="Times New Roman"/>
        </w:rPr>
        <w:t>Feeding frequency is a primary driver of environmental stability and production efficiency in Nile tilapia culture. While intensification often favors frequent feeding, the thrice-daily regime (T</w:t>
      </w:r>
      <w:r w:rsidRPr="00474E21">
        <w:rPr>
          <w:rFonts w:ascii="Times New Roman" w:hAnsi="Times New Roman" w:cs="Times New Roman"/>
          <w:vertAlign w:val="subscript"/>
        </w:rPr>
        <w:t>3</w:t>
      </w:r>
      <w:r w:rsidRPr="00474E21">
        <w:rPr>
          <w:rFonts w:ascii="Times New Roman" w:hAnsi="Times New Roman" w:cs="Times New Roman"/>
        </w:rPr>
        <w:t>) exceeded the pond’s carrying capacity, resulting in degraded water quality and diminished survival. Conversely, the twice-daily treatment (T</w:t>
      </w:r>
      <w:r w:rsidRPr="00954C45">
        <w:rPr>
          <w:rFonts w:ascii="Times New Roman" w:hAnsi="Times New Roman" w:cs="Times New Roman"/>
          <w:vertAlign w:val="subscript"/>
        </w:rPr>
        <w:t>2</w:t>
      </w:r>
      <w:r w:rsidRPr="00474E21">
        <w:rPr>
          <w:rFonts w:ascii="Times New Roman" w:hAnsi="Times New Roman" w:cs="Times New Roman"/>
        </w:rPr>
        <w:t>) emerged as the biological optimum, maximizing growth performance and total yield. Seasonal variations, particularly monsoon-driven aeration, further modulated these metabolic stressors. Consequently, a twice-daily feeding protocol is recommended to balance nutrient assimilation with ecosystem resilience. This approach optimizes the trade-off between fish growth and water quality maintenance, providing a scientifically grounded management strategy for sustainable intensive tilapia farming in tropical regions.</w:t>
      </w:r>
    </w:p>
    <w:p w14:paraId="0C7A6725" w14:textId="77777777" w:rsidR="0013736F" w:rsidRDefault="0013736F" w:rsidP="00474E21">
      <w:pPr>
        <w:spacing w:line="360" w:lineRule="auto"/>
        <w:jc w:val="both"/>
        <w:rPr>
          <w:rFonts w:ascii="Times New Roman" w:hAnsi="Times New Roman" w:cs="Times New Roman"/>
          <w:b/>
          <w:bCs/>
        </w:rPr>
      </w:pPr>
      <w:r w:rsidRPr="0013736F">
        <w:rPr>
          <w:rFonts w:ascii="Times New Roman" w:hAnsi="Times New Roman" w:cs="Times New Roman"/>
          <w:b/>
          <w:bCs/>
        </w:rPr>
        <w:t>Disclaimer (Artificial Intelligence)</w:t>
      </w:r>
    </w:p>
    <w:p w14:paraId="46072E96" w14:textId="1B855B0B" w:rsidR="0013736F" w:rsidRDefault="0013736F" w:rsidP="00474E21">
      <w:pPr>
        <w:spacing w:line="360" w:lineRule="auto"/>
        <w:jc w:val="both"/>
        <w:rPr>
          <w:rFonts w:ascii="Times New Roman" w:hAnsi="Times New Roman" w:cs="Times New Roman"/>
        </w:rPr>
      </w:pPr>
      <w:r w:rsidRPr="0013736F">
        <w:rPr>
          <w:rFonts w:ascii="Times New Roman" w:hAnsi="Times New Roman" w:cs="Times New Roman"/>
        </w:rPr>
        <w:t>The authors hereby declare that no generative AI technologies, such as Large Language Models (e.g., ChatGPT, Copilot) or text-to-image generators, have been used during the writing or editing of this manuscript.</w:t>
      </w:r>
      <w:r>
        <w:rPr>
          <w:rFonts w:ascii="Times New Roman" w:hAnsi="Times New Roman" w:cs="Times New Roman"/>
        </w:rPr>
        <w:t xml:space="preserve"> </w:t>
      </w:r>
    </w:p>
    <w:p w14:paraId="4C290F5D" w14:textId="77777777" w:rsidR="00666010" w:rsidRDefault="00666010" w:rsidP="00474E21">
      <w:pPr>
        <w:spacing w:line="360" w:lineRule="auto"/>
        <w:jc w:val="both"/>
        <w:rPr>
          <w:rFonts w:ascii="Times New Roman" w:hAnsi="Times New Roman" w:cs="Times New Roman"/>
          <w:b/>
          <w:bCs/>
        </w:rPr>
      </w:pPr>
      <w:r w:rsidRPr="00666010">
        <w:rPr>
          <w:rFonts w:ascii="Times New Roman" w:hAnsi="Times New Roman" w:cs="Times New Roman"/>
          <w:b/>
          <w:bCs/>
        </w:rPr>
        <w:t>Competing Interests</w:t>
      </w:r>
    </w:p>
    <w:p w14:paraId="1C13B829" w14:textId="52BA3250" w:rsidR="00666010" w:rsidRPr="00666010" w:rsidRDefault="00666010" w:rsidP="00474E21">
      <w:pPr>
        <w:spacing w:line="360" w:lineRule="auto"/>
        <w:jc w:val="both"/>
        <w:rPr>
          <w:rFonts w:ascii="Times New Roman" w:hAnsi="Times New Roman" w:cs="Times New Roman"/>
        </w:rPr>
      </w:pPr>
      <w:r w:rsidRPr="00666010">
        <w:rPr>
          <w:rFonts w:ascii="Times New Roman" w:hAnsi="Times New Roman" w:cs="Times New Roman"/>
        </w:rPr>
        <w:t>The authors have declared that no competing interests exist.</w:t>
      </w:r>
    </w:p>
    <w:p w14:paraId="53019B8A" w14:textId="2FF3A260" w:rsidR="00CD5CDE" w:rsidRDefault="00CD5CDE" w:rsidP="00474E21">
      <w:pPr>
        <w:spacing w:line="360" w:lineRule="auto"/>
        <w:jc w:val="both"/>
        <w:rPr>
          <w:rFonts w:ascii="Times New Roman" w:hAnsi="Times New Roman" w:cs="Times New Roman"/>
          <w:b/>
          <w:bCs/>
        </w:rPr>
      </w:pPr>
      <w:r w:rsidRPr="00CD5CDE">
        <w:rPr>
          <w:rFonts w:ascii="Times New Roman" w:hAnsi="Times New Roman" w:cs="Times New Roman"/>
          <w:b/>
          <w:bCs/>
        </w:rPr>
        <w:t>Reference</w:t>
      </w:r>
    </w:p>
    <w:sdt>
      <w:sdtPr>
        <w:rPr>
          <w:rFonts w:ascii="Times New Roman" w:hAnsi="Times New Roman" w:cs="Times New Roman"/>
          <w:b/>
          <w:bCs/>
          <w:color w:val="000000"/>
        </w:rPr>
        <w:tag w:val="MENDELEY_BIBLIOGRAPHY"/>
        <w:id w:val="-940451939"/>
        <w:placeholder>
          <w:docPart w:val="DefaultPlaceholder_-1854013440"/>
        </w:placeholder>
      </w:sdtPr>
      <w:sdtEndPr/>
      <w:sdtContent>
        <w:p w14:paraId="5222069C" w14:textId="77777777" w:rsidR="00A162CD" w:rsidRPr="00A162CD" w:rsidRDefault="00A162CD" w:rsidP="00A162CD">
          <w:pPr>
            <w:autoSpaceDE w:val="0"/>
            <w:autoSpaceDN w:val="0"/>
            <w:spacing w:line="360" w:lineRule="auto"/>
            <w:ind w:hanging="480"/>
            <w:jc w:val="both"/>
            <w:divId w:val="164050512"/>
            <w:rPr>
              <w:rFonts w:ascii="Times New Roman" w:eastAsia="Times New Roman" w:hAnsi="Times New Roman" w:cs="Times New Roman"/>
              <w:bCs/>
              <w:color w:val="000000"/>
              <w:kern w:val="0"/>
              <w14:ligatures w14:val="none"/>
            </w:rPr>
          </w:pPr>
          <w:r w:rsidRPr="00A162CD">
            <w:rPr>
              <w:rFonts w:ascii="Times New Roman" w:eastAsia="Times New Roman" w:hAnsi="Times New Roman" w:cs="Times New Roman"/>
              <w:bCs/>
              <w:color w:val="000000"/>
            </w:rPr>
            <w:t>Abd El-Hack, M. E., El-</w:t>
          </w:r>
          <w:proofErr w:type="spellStart"/>
          <w:r w:rsidRPr="00A162CD">
            <w:rPr>
              <w:rFonts w:ascii="Times New Roman" w:eastAsia="Times New Roman" w:hAnsi="Times New Roman" w:cs="Times New Roman"/>
              <w:bCs/>
              <w:color w:val="000000"/>
            </w:rPr>
            <w:t>Saadony</w:t>
          </w:r>
          <w:proofErr w:type="spellEnd"/>
          <w:r w:rsidRPr="00A162CD">
            <w:rPr>
              <w:rFonts w:ascii="Times New Roman" w:eastAsia="Times New Roman" w:hAnsi="Times New Roman" w:cs="Times New Roman"/>
              <w:bCs/>
              <w:color w:val="000000"/>
            </w:rPr>
            <w:t xml:space="preserve">, M. T., Nader, M. M., Salem, H. M., El-Tahan, A. M., Soliman, S. M., &amp; </w:t>
          </w:r>
          <w:proofErr w:type="spellStart"/>
          <w:r w:rsidRPr="00A162CD">
            <w:rPr>
              <w:rFonts w:ascii="Times New Roman" w:eastAsia="Times New Roman" w:hAnsi="Times New Roman" w:cs="Times New Roman"/>
              <w:bCs/>
              <w:color w:val="000000"/>
            </w:rPr>
            <w:t>Khafaga</w:t>
          </w:r>
          <w:proofErr w:type="spellEnd"/>
          <w:r w:rsidRPr="00A162CD">
            <w:rPr>
              <w:rFonts w:ascii="Times New Roman" w:eastAsia="Times New Roman" w:hAnsi="Times New Roman" w:cs="Times New Roman"/>
              <w:bCs/>
              <w:color w:val="000000"/>
            </w:rPr>
            <w:t xml:space="preserve">, A. F. (2022). Effect of environmental factors on growth performance of Nile tilapia (Oreochromis niloticus). </w:t>
          </w:r>
          <w:r w:rsidRPr="00A162CD">
            <w:rPr>
              <w:rFonts w:ascii="Times New Roman" w:eastAsia="Times New Roman" w:hAnsi="Times New Roman" w:cs="Times New Roman"/>
              <w:bCs/>
              <w:i/>
              <w:iCs/>
              <w:color w:val="000000"/>
            </w:rPr>
            <w:t>International Journal of Biometeorology</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66</w:t>
          </w:r>
          <w:r w:rsidRPr="00A162CD">
            <w:rPr>
              <w:rFonts w:ascii="Times New Roman" w:eastAsia="Times New Roman" w:hAnsi="Times New Roman" w:cs="Times New Roman"/>
              <w:bCs/>
              <w:color w:val="000000"/>
            </w:rPr>
            <w:t>(11), 2183–2194. https://doi.org/10.1007/s00484-022-02347-6</w:t>
          </w:r>
        </w:p>
        <w:p w14:paraId="7E646390" w14:textId="77777777" w:rsidR="00A162CD" w:rsidRPr="00A162CD" w:rsidRDefault="00A162CD" w:rsidP="00A162CD">
          <w:pPr>
            <w:autoSpaceDE w:val="0"/>
            <w:autoSpaceDN w:val="0"/>
            <w:spacing w:line="360" w:lineRule="auto"/>
            <w:ind w:hanging="480"/>
            <w:jc w:val="both"/>
            <w:divId w:val="1063866582"/>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Alkhadher, S. A. A., Sidek, L. M., Khan, M. S. J., Al-</w:t>
          </w:r>
          <w:proofErr w:type="spellStart"/>
          <w:r w:rsidRPr="00A162CD">
            <w:rPr>
              <w:rFonts w:ascii="Times New Roman" w:eastAsia="Times New Roman" w:hAnsi="Times New Roman" w:cs="Times New Roman"/>
              <w:bCs/>
              <w:color w:val="000000"/>
            </w:rPr>
            <w:t>Habshi</w:t>
          </w:r>
          <w:proofErr w:type="spellEnd"/>
          <w:r w:rsidRPr="00A162CD">
            <w:rPr>
              <w:rFonts w:ascii="Times New Roman" w:eastAsia="Times New Roman" w:hAnsi="Times New Roman" w:cs="Times New Roman"/>
              <w:bCs/>
              <w:color w:val="000000"/>
            </w:rPr>
            <w:t xml:space="preserve">, M. M. A., &amp; Kurniawan, T. A. (2025). Seasonal variations in water quality and hydrological dynamics in a tropical reservoir driven by rainfall, runoff, and anthropogenic activities. </w:t>
          </w:r>
          <w:r w:rsidRPr="00A162CD">
            <w:rPr>
              <w:rFonts w:ascii="Times New Roman" w:eastAsia="Times New Roman" w:hAnsi="Times New Roman" w:cs="Times New Roman"/>
              <w:bCs/>
              <w:i/>
              <w:iCs/>
              <w:color w:val="000000"/>
            </w:rPr>
            <w:t>Scientific Reports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15</w:t>
          </w:r>
          <w:r w:rsidRPr="00A162CD">
            <w:rPr>
              <w:rFonts w:ascii="Times New Roman" w:eastAsia="Times New Roman" w:hAnsi="Times New Roman" w:cs="Times New Roman"/>
              <w:bCs/>
              <w:color w:val="000000"/>
            </w:rPr>
            <w:t>(1), 35589. https://doi.org/10.1038/s41598-025-09808-z</w:t>
          </w:r>
        </w:p>
        <w:p w14:paraId="6C4C83CB" w14:textId="77777777" w:rsidR="00A162CD" w:rsidRPr="00A162CD" w:rsidRDefault="00A162CD" w:rsidP="00A162CD">
          <w:pPr>
            <w:autoSpaceDE w:val="0"/>
            <w:autoSpaceDN w:val="0"/>
            <w:spacing w:line="360" w:lineRule="auto"/>
            <w:ind w:hanging="480"/>
            <w:jc w:val="both"/>
            <w:divId w:val="698243901"/>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lastRenderedPageBreak/>
            <w:t xml:space="preserve">Boyd, C. E. (1990). Water quality in ponds for aquaculture. Auburn University, Alabama agricultural experiment station. </w:t>
          </w:r>
          <w:r w:rsidRPr="00A162CD">
            <w:rPr>
              <w:rFonts w:ascii="Times New Roman" w:eastAsia="Times New Roman" w:hAnsi="Times New Roman" w:cs="Times New Roman"/>
              <w:bCs/>
              <w:i/>
              <w:iCs/>
              <w:color w:val="000000"/>
            </w:rPr>
            <w:t>Science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482</w:t>
          </w:r>
          <w:r w:rsidRPr="00A162CD">
            <w:rPr>
              <w:rFonts w:ascii="Times New Roman" w:eastAsia="Times New Roman" w:hAnsi="Times New Roman" w:cs="Times New Roman"/>
              <w:bCs/>
              <w:color w:val="000000"/>
            </w:rPr>
            <w:t>.</w:t>
          </w:r>
        </w:p>
        <w:p w14:paraId="4E6905F2" w14:textId="77777777" w:rsidR="00A162CD" w:rsidRPr="00A162CD" w:rsidRDefault="00A162CD" w:rsidP="00A162CD">
          <w:pPr>
            <w:autoSpaceDE w:val="0"/>
            <w:autoSpaceDN w:val="0"/>
            <w:spacing w:line="360" w:lineRule="auto"/>
            <w:ind w:hanging="480"/>
            <w:jc w:val="both"/>
            <w:divId w:val="907229636"/>
            <w:rPr>
              <w:rFonts w:ascii="Times New Roman" w:eastAsia="Times New Roman" w:hAnsi="Times New Roman" w:cs="Times New Roman"/>
              <w:bCs/>
              <w:color w:val="000000"/>
            </w:rPr>
          </w:pPr>
          <w:proofErr w:type="spellStart"/>
          <w:r w:rsidRPr="00A162CD">
            <w:rPr>
              <w:rFonts w:ascii="Times New Roman" w:eastAsia="Times New Roman" w:hAnsi="Times New Roman" w:cs="Times New Roman"/>
              <w:bCs/>
              <w:color w:val="000000"/>
            </w:rPr>
            <w:t>Cadorin</w:t>
          </w:r>
          <w:proofErr w:type="spellEnd"/>
          <w:r w:rsidRPr="00A162CD">
            <w:rPr>
              <w:rFonts w:ascii="Times New Roman" w:eastAsia="Times New Roman" w:hAnsi="Times New Roman" w:cs="Times New Roman"/>
              <w:bCs/>
              <w:color w:val="000000"/>
            </w:rPr>
            <w:t xml:space="preserve">, D. I., da Silva, M. F. O., </w:t>
          </w:r>
          <w:proofErr w:type="spellStart"/>
          <w:r w:rsidRPr="00A162CD">
            <w:rPr>
              <w:rFonts w:ascii="Times New Roman" w:eastAsia="Times New Roman" w:hAnsi="Times New Roman" w:cs="Times New Roman"/>
              <w:bCs/>
              <w:color w:val="000000"/>
            </w:rPr>
            <w:t>Masagounder</w:t>
          </w:r>
          <w:proofErr w:type="spellEnd"/>
          <w:r w:rsidRPr="00A162CD">
            <w:rPr>
              <w:rFonts w:ascii="Times New Roman" w:eastAsia="Times New Roman" w:hAnsi="Times New Roman" w:cs="Times New Roman"/>
              <w:bCs/>
              <w:color w:val="000000"/>
            </w:rPr>
            <w:t xml:space="preserve">, K., &amp; </w:t>
          </w:r>
          <w:proofErr w:type="spellStart"/>
          <w:r w:rsidRPr="00A162CD">
            <w:rPr>
              <w:rFonts w:ascii="Times New Roman" w:eastAsia="Times New Roman" w:hAnsi="Times New Roman" w:cs="Times New Roman"/>
              <w:bCs/>
              <w:color w:val="000000"/>
            </w:rPr>
            <w:t>Fracalossi</w:t>
          </w:r>
          <w:proofErr w:type="spellEnd"/>
          <w:r w:rsidRPr="00A162CD">
            <w:rPr>
              <w:rFonts w:ascii="Times New Roman" w:eastAsia="Times New Roman" w:hAnsi="Times New Roman" w:cs="Times New Roman"/>
              <w:bCs/>
              <w:color w:val="000000"/>
            </w:rPr>
            <w:t xml:space="preserve">, D. M. (2022). Interaction of feeding frequency and feeding rate on growth, nutrient utilization, and plasma metabolites of juvenile genetically improved farmed Nile tilapia, (Oreochromis niloticus). </w:t>
          </w:r>
          <w:r w:rsidRPr="00A162CD">
            <w:rPr>
              <w:rFonts w:ascii="Times New Roman" w:eastAsia="Times New Roman" w:hAnsi="Times New Roman" w:cs="Times New Roman"/>
              <w:bCs/>
              <w:i/>
              <w:iCs/>
              <w:color w:val="000000"/>
            </w:rPr>
            <w:t>Journal of the World Aquaculture Society</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53</w:t>
          </w:r>
          <w:r w:rsidRPr="00A162CD">
            <w:rPr>
              <w:rFonts w:ascii="Times New Roman" w:eastAsia="Times New Roman" w:hAnsi="Times New Roman" w:cs="Times New Roman"/>
              <w:bCs/>
              <w:color w:val="000000"/>
            </w:rPr>
            <w:t>(2), 500–515. https://doi.org/10.1111/jwas.12833</w:t>
          </w:r>
        </w:p>
        <w:p w14:paraId="2E15F0DA" w14:textId="77777777" w:rsidR="00A162CD" w:rsidRPr="00A162CD" w:rsidRDefault="00A162CD" w:rsidP="00A162CD">
          <w:pPr>
            <w:autoSpaceDE w:val="0"/>
            <w:autoSpaceDN w:val="0"/>
            <w:spacing w:line="360" w:lineRule="auto"/>
            <w:ind w:hanging="480"/>
            <w:jc w:val="both"/>
            <w:divId w:val="1435829314"/>
            <w:rPr>
              <w:rFonts w:ascii="Times New Roman" w:eastAsia="Times New Roman" w:hAnsi="Times New Roman" w:cs="Times New Roman"/>
              <w:bCs/>
              <w:color w:val="000000"/>
            </w:rPr>
          </w:pPr>
          <w:proofErr w:type="spellStart"/>
          <w:r w:rsidRPr="00A162CD">
            <w:rPr>
              <w:rFonts w:ascii="Times New Roman" w:eastAsia="Times New Roman" w:hAnsi="Times New Roman" w:cs="Times New Roman"/>
              <w:bCs/>
              <w:color w:val="000000"/>
            </w:rPr>
            <w:t>Dompreh</w:t>
          </w:r>
          <w:proofErr w:type="spellEnd"/>
          <w:r w:rsidRPr="00A162CD">
            <w:rPr>
              <w:rFonts w:ascii="Times New Roman" w:eastAsia="Times New Roman" w:hAnsi="Times New Roman" w:cs="Times New Roman"/>
              <w:bCs/>
              <w:color w:val="000000"/>
            </w:rPr>
            <w:t xml:space="preserve">, E. B., </w:t>
          </w:r>
          <w:proofErr w:type="spellStart"/>
          <w:r w:rsidRPr="00A162CD">
            <w:rPr>
              <w:rFonts w:ascii="Times New Roman" w:eastAsia="Times New Roman" w:hAnsi="Times New Roman" w:cs="Times New Roman"/>
              <w:bCs/>
              <w:color w:val="000000"/>
            </w:rPr>
            <w:t>Manyise</w:t>
          </w:r>
          <w:proofErr w:type="spellEnd"/>
          <w:r w:rsidRPr="00A162CD">
            <w:rPr>
              <w:rFonts w:ascii="Times New Roman" w:eastAsia="Times New Roman" w:hAnsi="Times New Roman" w:cs="Times New Roman"/>
              <w:bCs/>
              <w:color w:val="000000"/>
            </w:rPr>
            <w:t xml:space="preserve">, T., Lozano Lazo, D., </w:t>
          </w:r>
          <w:proofErr w:type="spellStart"/>
          <w:r w:rsidRPr="00A162CD">
            <w:rPr>
              <w:rFonts w:ascii="Times New Roman" w:eastAsia="Times New Roman" w:hAnsi="Times New Roman" w:cs="Times New Roman"/>
              <w:bCs/>
              <w:color w:val="000000"/>
            </w:rPr>
            <w:t>Khondker</w:t>
          </w:r>
          <w:proofErr w:type="spellEnd"/>
          <w:r w:rsidRPr="00A162CD">
            <w:rPr>
              <w:rFonts w:ascii="Times New Roman" w:eastAsia="Times New Roman" w:hAnsi="Times New Roman" w:cs="Times New Roman"/>
              <w:bCs/>
              <w:color w:val="000000"/>
            </w:rPr>
            <w:t xml:space="preserve">, M.-J., Lam, R. D., &amp; </w:t>
          </w:r>
          <w:proofErr w:type="spellStart"/>
          <w:r w:rsidRPr="00A162CD">
            <w:rPr>
              <w:rFonts w:ascii="Times New Roman" w:eastAsia="Times New Roman" w:hAnsi="Times New Roman" w:cs="Times New Roman"/>
              <w:bCs/>
              <w:color w:val="000000"/>
            </w:rPr>
            <w:t>Rossignoli</w:t>
          </w:r>
          <w:proofErr w:type="spellEnd"/>
          <w:r w:rsidRPr="00A162CD">
            <w:rPr>
              <w:rFonts w:ascii="Times New Roman" w:eastAsia="Times New Roman" w:hAnsi="Times New Roman" w:cs="Times New Roman"/>
              <w:bCs/>
              <w:color w:val="000000"/>
            </w:rPr>
            <w:t xml:space="preserve">, C. M. (2024). Exploring the potential of decentralized extension models on the sustainability of livelihoods: a food security lens on aquaculture farmers in Bangladesh. </w:t>
          </w:r>
          <w:r w:rsidRPr="00A162CD">
            <w:rPr>
              <w:rFonts w:ascii="Times New Roman" w:eastAsia="Times New Roman" w:hAnsi="Times New Roman" w:cs="Times New Roman"/>
              <w:bCs/>
              <w:i/>
              <w:iCs/>
              <w:color w:val="000000"/>
            </w:rPr>
            <w:t>Frontiers in Sustainable Food Systems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8</w:t>
          </w:r>
          <w:r w:rsidRPr="00A162CD">
            <w:rPr>
              <w:rFonts w:ascii="Times New Roman" w:eastAsia="Times New Roman" w:hAnsi="Times New Roman" w:cs="Times New Roman"/>
              <w:bCs/>
              <w:color w:val="000000"/>
            </w:rPr>
            <w:t>. https://doi.org/10.3389/fsufs.2024.1499081</w:t>
          </w:r>
        </w:p>
        <w:p w14:paraId="1AC5B02B" w14:textId="77777777" w:rsidR="00A162CD" w:rsidRPr="00A162CD" w:rsidRDefault="00A162CD" w:rsidP="00A162CD">
          <w:pPr>
            <w:autoSpaceDE w:val="0"/>
            <w:autoSpaceDN w:val="0"/>
            <w:spacing w:line="360" w:lineRule="auto"/>
            <w:ind w:hanging="480"/>
            <w:jc w:val="both"/>
            <w:divId w:val="348873676"/>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Effendi, H., Utomo, B. A., &amp; Pratiwi, N. T. M. (2020). Ammonia and orthophosphate removal of tilapia cultivation wastewater with </w:t>
          </w:r>
          <w:proofErr w:type="spellStart"/>
          <w:r w:rsidRPr="00A162CD">
            <w:rPr>
              <w:rFonts w:ascii="Times New Roman" w:eastAsia="Times New Roman" w:hAnsi="Times New Roman" w:cs="Times New Roman"/>
              <w:bCs/>
              <w:color w:val="000000"/>
            </w:rPr>
            <w:t>Vetiveria</w:t>
          </w:r>
          <w:proofErr w:type="spellEnd"/>
          <w:r w:rsidRPr="00A162CD">
            <w:rPr>
              <w:rFonts w:ascii="Times New Roman" w:eastAsia="Times New Roman" w:hAnsi="Times New Roman" w:cs="Times New Roman"/>
              <w:bCs/>
              <w:color w:val="000000"/>
            </w:rPr>
            <w:t xml:space="preserve"> </w:t>
          </w:r>
          <w:proofErr w:type="spellStart"/>
          <w:r w:rsidRPr="00A162CD">
            <w:rPr>
              <w:rFonts w:ascii="Times New Roman" w:eastAsia="Times New Roman" w:hAnsi="Times New Roman" w:cs="Times New Roman"/>
              <w:bCs/>
              <w:color w:val="000000"/>
            </w:rPr>
            <w:t>zizanioides</w:t>
          </w:r>
          <w:proofErr w:type="spellEnd"/>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Journal of King Saud University-Science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32</w:t>
          </w:r>
          <w:r w:rsidRPr="00A162CD">
            <w:rPr>
              <w:rFonts w:ascii="Times New Roman" w:eastAsia="Times New Roman" w:hAnsi="Times New Roman" w:cs="Times New Roman"/>
              <w:bCs/>
              <w:color w:val="000000"/>
            </w:rPr>
            <w:t>(1), 207–212.</w:t>
          </w:r>
        </w:p>
        <w:p w14:paraId="2D041459" w14:textId="77777777" w:rsidR="00A162CD" w:rsidRPr="00A162CD" w:rsidRDefault="00A162CD" w:rsidP="00A162CD">
          <w:pPr>
            <w:autoSpaceDE w:val="0"/>
            <w:autoSpaceDN w:val="0"/>
            <w:spacing w:line="360" w:lineRule="auto"/>
            <w:ind w:hanging="480"/>
            <w:jc w:val="both"/>
            <w:divId w:val="2057704084"/>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Emam, W., Lambert, H., &amp; Brown, C. (2025). The welfare of farmed Nile tilapia: a review. </w:t>
          </w:r>
          <w:r w:rsidRPr="00A162CD">
            <w:rPr>
              <w:rFonts w:ascii="Times New Roman" w:eastAsia="Times New Roman" w:hAnsi="Times New Roman" w:cs="Times New Roman"/>
              <w:bCs/>
              <w:i/>
              <w:iCs/>
              <w:color w:val="000000"/>
            </w:rPr>
            <w:t>Frontiers in Veterinary Science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12</w:t>
          </w:r>
          <w:r w:rsidRPr="00A162CD">
            <w:rPr>
              <w:rFonts w:ascii="Times New Roman" w:eastAsia="Times New Roman" w:hAnsi="Times New Roman" w:cs="Times New Roman"/>
              <w:bCs/>
              <w:color w:val="000000"/>
            </w:rPr>
            <w:t>. https://doi.org/10.3389/fvets.2025.1567984</w:t>
          </w:r>
        </w:p>
        <w:p w14:paraId="108D730D" w14:textId="77777777" w:rsidR="00A162CD" w:rsidRPr="00A162CD" w:rsidRDefault="00A162CD" w:rsidP="00A162CD">
          <w:pPr>
            <w:autoSpaceDE w:val="0"/>
            <w:autoSpaceDN w:val="0"/>
            <w:spacing w:line="360" w:lineRule="auto"/>
            <w:ind w:hanging="480"/>
            <w:jc w:val="both"/>
            <w:divId w:val="820659143"/>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Giddings, J., Heywood, K. J., Matthews, A. J., Joshi, M. M., Webber, B. G. M., Sanchez-Franks, A., King, B. A., &amp; </w:t>
          </w:r>
          <w:proofErr w:type="spellStart"/>
          <w:r w:rsidRPr="00A162CD">
            <w:rPr>
              <w:rFonts w:ascii="Times New Roman" w:eastAsia="Times New Roman" w:hAnsi="Times New Roman" w:cs="Times New Roman"/>
              <w:bCs/>
              <w:color w:val="000000"/>
            </w:rPr>
            <w:t>Vinayachandran</w:t>
          </w:r>
          <w:proofErr w:type="spellEnd"/>
          <w:r w:rsidRPr="00A162CD">
            <w:rPr>
              <w:rFonts w:ascii="Times New Roman" w:eastAsia="Times New Roman" w:hAnsi="Times New Roman" w:cs="Times New Roman"/>
              <w:bCs/>
              <w:color w:val="000000"/>
            </w:rPr>
            <w:t xml:space="preserve">, P. N. (2021). Spatial and temporal variability of solar penetration depths in the Bay of Bengal and its impact on sea surface temperature (SST) during the summer monsoon. </w:t>
          </w:r>
          <w:r w:rsidRPr="00A162CD">
            <w:rPr>
              <w:rFonts w:ascii="Times New Roman" w:eastAsia="Times New Roman" w:hAnsi="Times New Roman" w:cs="Times New Roman"/>
              <w:bCs/>
              <w:i/>
              <w:iCs/>
              <w:color w:val="000000"/>
            </w:rPr>
            <w:t>Ocean Science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17</w:t>
          </w:r>
          <w:r w:rsidRPr="00A162CD">
            <w:rPr>
              <w:rFonts w:ascii="Times New Roman" w:eastAsia="Times New Roman" w:hAnsi="Times New Roman" w:cs="Times New Roman"/>
              <w:bCs/>
              <w:color w:val="000000"/>
            </w:rPr>
            <w:t>(4), 871–890. https://doi.org/10.5194/os-17-871-2021</w:t>
          </w:r>
        </w:p>
        <w:p w14:paraId="1D836F99" w14:textId="77777777" w:rsidR="00A162CD" w:rsidRPr="00A162CD" w:rsidRDefault="00A162CD" w:rsidP="00A162CD">
          <w:pPr>
            <w:autoSpaceDE w:val="0"/>
            <w:autoSpaceDN w:val="0"/>
            <w:spacing w:line="360" w:lineRule="auto"/>
            <w:ind w:hanging="480"/>
            <w:jc w:val="both"/>
            <w:divId w:val="77870895"/>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He, D., Li, G., Xie, H., Liu, S., &amp; Luo, Y. (2015). Effects of feeding frequency on the post-feeding oxygen consumption and ammonia excretion of the juvenile snakehead. </w:t>
          </w:r>
          <w:r w:rsidRPr="00A162CD">
            <w:rPr>
              <w:rFonts w:ascii="Times New Roman" w:eastAsia="Times New Roman" w:hAnsi="Times New Roman" w:cs="Times New Roman"/>
              <w:bCs/>
              <w:i/>
              <w:iCs/>
              <w:color w:val="000000"/>
            </w:rPr>
            <w:t>Turkish Journal of Fisheries and Aquatic Sciences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15</w:t>
          </w:r>
          <w:r w:rsidRPr="00A162CD">
            <w:rPr>
              <w:rFonts w:ascii="Times New Roman" w:eastAsia="Times New Roman" w:hAnsi="Times New Roman" w:cs="Times New Roman"/>
              <w:bCs/>
              <w:color w:val="000000"/>
            </w:rPr>
            <w:t>(2), 293–301.</w:t>
          </w:r>
        </w:p>
        <w:p w14:paraId="565D0B0F" w14:textId="77777777" w:rsidR="00A162CD" w:rsidRPr="00A162CD" w:rsidRDefault="00A162CD" w:rsidP="00A162CD">
          <w:pPr>
            <w:autoSpaceDE w:val="0"/>
            <w:autoSpaceDN w:val="0"/>
            <w:spacing w:line="360" w:lineRule="auto"/>
            <w:ind w:hanging="480"/>
            <w:jc w:val="both"/>
            <w:divId w:val="1217855965"/>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Islam, Md., Uddin, M., Tareq, S., </w:t>
          </w:r>
          <w:proofErr w:type="spellStart"/>
          <w:r w:rsidRPr="00A162CD">
            <w:rPr>
              <w:rFonts w:ascii="Times New Roman" w:eastAsia="Times New Roman" w:hAnsi="Times New Roman" w:cs="Times New Roman"/>
              <w:bCs/>
              <w:color w:val="000000"/>
            </w:rPr>
            <w:t>Shammi</w:t>
          </w:r>
          <w:proofErr w:type="spellEnd"/>
          <w:r w:rsidRPr="00A162CD">
            <w:rPr>
              <w:rFonts w:ascii="Times New Roman" w:eastAsia="Times New Roman" w:hAnsi="Times New Roman" w:cs="Times New Roman"/>
              <w:bCs/>
              <w:color w:val="000000"/>
            </w:rPr>
            <w:t xml:space="preserve">, M., Kamal, A., Sugano, T., </w:t>
          </w:r>
          <w:proofErr w:type="spellStart"/>
          <w:r w:rsidRPr="00A162CD">
            <w:rPr>
              <w:rFonts w:ascii="Times New Roman" w:eastAsia="Times New Roman" w:hAnsi="Times New Roman" w:cs="Times New Roman"/>
              <w:bCs/>
              <w:color w:val="000000"/>
            </w:rPr>
            <w:t>Kurasaki</w:t>
          </w:r>
          <w:proofErr w:type="spellEnd"/>
          <w:r w:rsidRPr="00A162CD">
            <w:rPr>
              <w:rFonts w:ascii="Times New Roman" w:eastAsia="Times New Roman" w:hAnsi="Times New Roman" w:cs="Times New Roman"/>
              <w:bCs/>
              <w:color w:val="000000"/>
            </w:rPr>
            <w:t xml:space="preserve">, M., Saito, T., Tanaka, S., &amp; Kuramitz, H. (2015). Alteration of Water Pollution Level with the Seasonal Changes in Mean Daily Discharge in Three Main Rivers around Dhaka City, Bangladesh. </w:t>
          </w:r>
          <w:r w:rsidRPr="00A162CD">
            <w:rPr>
              <w:rFonts w:ascii="Times New Roman" w:eastAsia="Times New Roman" w:hAnsi="Times New Roman" w:cs="Times New Roman"/>
              <w:bCs/>
              <w:i/>
              <w:iCs/>
              <w:color w:val="000000"/>
            </w:rPr>
            <w:t>Environments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2</w:t>
          </w:r>
          <w:r w:rsidRPr="00A162CD">
            <w:rPr>
              <w:rFonts w:ascii="Times New Roman" w:eastAsia="Times New Roman" w:hAnsi="Times New Roman" w:cs="Times New Roman"/>
              <w:bCs/>
              <w:color w:val="000000"/>
            </w:rPr>
            <w:t>(3), 280–294. https://doi.org/10.3390/environments2030280</w:t>
          </w:r>
        </w:p>
        <w:p w14:paraId="4A7E2D6B" w14:textId="77777777" w:rsidR="00A162CD" w:rsidRPr="00A162CD" w:rsidRDefault="00A162CD" w:rsidP="00A162CD">
          <w:pPr>
            <w:autoSpaceDE w:val="0"/>
            <w:autoSpaceDN w:val="0"/>
            <w:spacing w:line="360" w:lineRule="auto"/>
            <w:ind w:hanging="480"/>
            <w:jc w:val="both"/>
            <w:divId w:val="1714620385"/>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Jiang, X., Dong, S., Liu, R., Huang, M., Dong, K., Ge, J., Gao, Q., &amp; Zhou, Y. (2021). Effects of temperature, dissolved oxygen, and their interaction on the growth performance and condition </w:t>
          </w:r>
          <w:r w:rsidRPr="00A162CD">
            <w:rPr>
              <w:rFonts w:ascii="Times New Roman" w:eastAsia="Times New Roman" w:hAnsi="Times New Roman" w:cs="Times New Roman"/>
              <w:bCs/>
              <w:color w:val="000000"/>
            </w:rPr>
            <w:lastRenderedPageBreak/>
            <w:t xml:space="preserve">of rainbow trout (Oncorhynchus mykiss). </w:t>
          </w:r>
          <w:r w:rsidRPr="00A162CD">
            <w:rPr>
              <w:rFonts w:ascii="Times New Roman" w:eastAsia="Times New Roman" w:hAnsi="Times New Roman" w:cs="Times New Roman"/>
              <w:bCs/>
              <w:i/>
              <w:iCs/>
              <w:color w:val="000000"/>
            </w:rPr>
            <w:t>Journal of Thermal Biology</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98</w:t>
          </w:r>
          <w:r w:rsidRPr="00A162CD">
            <w:rPr>
              <w:rFonts w:ascii="Times New Roman" w:eastAsia="Times New Roman" w:hAnsi="Times New Roman" w:cs="Times New Roman"/>
              <w:bCs/>
              <w:color w:val="000000"/>
            </w:rPr>
            <w:t>, 102928. https://doi.org/10.1016/j.jtherbio.2021.102928</w:t>
          </w:r>
        </w:p>
        <w:p w14:paraId="65A13C15" w14:textId="77777777" w:rsidR="00A162CD" w:rsidRPr="00A162CD" w:rsidRDefault="00A162CD" w:rsidP="00A162CD">
          <w:pPr>
            <w:autoSpaceDE w:val="0"/>
            <w:autoSpaceDN w:val="0"/>
            <w:spacing w:line="360" w:lineRule="auto"/>
            <w:ind w:hanging="480"/>
            <w:jc w:val="both"/>
            <w:divId w:val="1001348659"/>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Jin, J.-H., Wang, H.-J., </w:t>
          </w:r>
          <w:proofErr w:type="spellStart"/>
          <w:r w:rsidRPr="00A162CD">
            <w:rPr>
              <w:rFonts w:ascii="Times New Roman" w:eastAsia="Times New Roman" w:hAnsi="Times New Roman" w:cs="Times New Roman"/>
              <w:bCs/>
              <w:color w:val="000000"/>
            </w:rPr>
            <w:t>Amenyogbe</w:t>
          </w:r>
          <w:proofErr w:type="spellEnd"/>
          <w:r w:rsidRPr="00A162CD">
            <w:rPr>
              <w:rFonts w:ascii="Times New Roman" w:eastAsia="Times New Roman" w:hAnsi="Times New Roman" w:cs="Times New Roman"/>
              <w:bCs/>
              <w:color w:val="000000"/>
            </w:rPr>
            <w:t>, E., Lu, Y., Xie, R.-T., Wang, Z.-L., &amp; Huang, J.-S. (2025). Effects of ammonia nitrogen stress on liver tissue structure and physiological indicators, and metabolomic analysis of juvenile four-finger threadfin (</w:t>
          </w:r>
          <w:proofErr w:type="spellStart"/>
          <w:r w:rsidRPr="00A162CD">
            <w:rPr>
              <w:rFonts w:ascii="Times New Roman" w:eastAsia="Times New Roman" w:hAnsi="Times New Roman" w:cs="Times New Roman"/>
              <w:bCs/>
              <w:color w:val="000000"/>
            </w:rPr>
            <w:t>Eleutheronema</w:t>
          </w:r>
          <w:proofErr w:type="spellEnd"/>
          <w:r w:rsidRPr="00A162CD">
            <w:rPr>
              <w:rFonts w:ascii="Times New Roman" w:eastAsia="Times New Roman" w:hAnsi="Times New Roman" w:cs="Times New Roman"/>
              <w:bCs/>
              <w:color w:val="000000"/>
            </w:rPr>
            <w:t xml:space="preserve"> </w:t>
          </w:r>
          <w:proofErr w:type="spellStart"/>
          <w:r w:rsidRPr="00A162CD">
            <w:rPr>
              <w:rFonts w:ascii="Times New Roman" w:eastAsia="Times New Roman" w:hAnsi="Times New Roman" w:cs="Times New Roman"/>
              <w:bCs/>
              <w:color w:val="000000"/>
            </w:rPr>
            <w:t>tetradactylum</w:t>
          </w:r>
          <w:proofErr w:type="spellEnd"/>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Frontiers in Marine Science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12</w:t>
          </w:r>
          <w:r w:rsidRPr="00A162CD">
            <w:rPr>
              <w:rFonts w:ascii="Times New Roman" w:eastAsia="Times New Roman" w:hAnsi="Times New Roman" w:cs="Times New Roman"/>
              <w:bCs/>
              <w:color w:val="000000"/>
            </w:rPr>
            <w:t>, 1549668.</w:t>
          </w:r>
        </w:p>
        <w:p w14:paraId="758AE624" w14:textId="77777777" w:rsidR="00A162CD" w:rsidRPr="00A162CD" w:rsidRDefault="00A162CD" w:rsidP="00A162CD">
          <w:pPr>
            <w:autoSpaceDE w:val="0"/>
            <w:autoSpaceDN w:val="0"/>
            <w:spacing w:line="360" w:lineRule="auto"/>
            <w:ind w:hanging="480"/>
            <w:jc w:val="both"/>
            <w:divId w:val="1382050492"/>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Lu, X., Ji, Z.-H., Wang, M.-Z., Tian, J., Dong, L.-X., Guo, Z.-B., Luo, Y.-J., Wen, H., &amp; Jiang, M. (2023). The Requirement and Protective Effects of Dietary Protein against Chronic Ammonia Exposure in Juvenile Genetically Improved Farmed Tilapia (Oreochromis niloticus). </w:t>
          </w:r>
          <w:r w:rsidRPr="00A162CD">
            <w:rPr>
              <w:rFonts w:ascii="Times New Roman" w:eastAsia="Times New Roman" w:hAnsi="Times New Roman" w:cs="Times New Roman"/>
              <w:bCs/>
              <w:i/>
              <w:iCs/>
              <w:color w:val="000000"/>
            </w:rPr>
            <w:t>Aquaculture Nutrition</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2023</w:t>
          </w:r>
          <w:r w:rsidRPr="00A162CD">
            <w:rPr>
              <w:rFonts w:ascii="Times New Roman" w:eastAsia="Times New Roman" w:hAnsi="Times New Roman" w:cs="Times New Roman"/>
              <w:bCs/>
              <w:color w:val="000000"/>
            </w:rPr>
            <w:t>, 1–11. https://doi.org/10.1155/2023/6306517</w:t>
          </w:r>
        </w:p>
        <w:p w14:paraId="6CABDE39" w14:textId="77777777" w:rsidR="00A162CD" w:rsidRPr="00A162CD" w:rsidRDefault="00A162CD" w:rsidP="00A162CD">
          <w:pPr>
            <w:autoSpaceDE w:val="0"/>
            <w:autoSpaceDN w:val="0"/>
            <w:spacing w:line="360" w:lineRule="auto"/>
            <w:ind w:hanging="480"/>
            <w:jc w:val="both"/>
            <w:divId w:val="841972530"/>
            <w:rPr>
              <w:rFonts w:ascii="Times New Roman" w:eastAsia="Times New Roman" w:hAnsi="Times New Roman" w:cs="Times New Roman"/>
              <w:bCs/>
              <w:color w:val="000000"/>
            </w:rPr>
          </w:pPr>
          <w:proofErr w:type="spellStart"/>
          <w:r w:rsidRPr="00A162CD">
            <w:rPr>
              <w:rFonts w:ascii="Times New Roman" w:eastAsia="Times New Roman" w:hAnsi="Times New Roman" w:cs="Times New Roman"/>
              <w:bCs/>
              <w:color w:val="000000"/>
            </w:rPr>
            <w:t>Mabroke</w:t>
          </w:r>
          <w:proofErr w:type="spellEnd"/>
          <w:r w:rsidRPr="00A162CD">
            <w:rPr>
              <w:rFonts w:ascii="Times New Roman" w:eastAsia="Times New Roman" w:hAnsi="Times New Roman" w:cs="Times New Roman"/>
              <w:bCs/>
              <w:color w:val="000000"/>
            </w:rPr>
            <w:t xml:space="preserve">, R. S., Zidan, A. E.-N. F. A., </w:t>
          </w:r>
          <w:proofErr w:type="spellStart"/>
          <w:r w:rsidRPr="00A162CD">
            <w:rPr>
              <w:rFonts w:ascii="Times New Roman" w:eastAsia="Times New Roman" w:hAnsi="Times New Roman" w:cs="Times New Roman"/>
              <w:bCs/>
              <w:color w:val="000000"/>
            </w:rPr>
            <w:t>Tahoun</w:t>
          </w:r>
          <w:proofErr w:type="spellEnd"/>
          <w:r w:rsidRPr="00A162CD">
            <w:rPr>
              <w:rFonts w:ascii="Times New Roman" w:eastAsia="Times New Roman" w:hAnsi="Times New Roman" w:cs="Times New Roman"/>
              <w:bCs/>
              <w:color w:val="000000"/>
            </w:rPr>
            <w:t xml:space="preserve">, A.-A., Mola, H. R. A., Abo-State, H., &amp; Suloma, A. (2021). Feeding frequency affect feed utilization of tilapia under </w:t>
          </w:r>
          <w:proofErr w:type="spellStart"/>
          <w:r w:rsidRPr="00A162CD">
            <w:rPr>
              <w:rFonts w:ascii="Times New Roman" w:eastAsia="Times New Roman" w:hAnsi="Times New Roman" w:cs="Times New Roman"/>
              <w:bCs/>
              <w:color w:val="000000"/>
            </w:rPr>
            <w:t>biofloc</w:t>
          </w:r>
          <w:proofErr w:type="spellEnd"/>
          <w:r w:rsidRPr="00A162CD">
            <w:rPr>
              <w:rFonts w:ascii="Times New Roman" w:eastAsia="Times New Roman" w:hAnsi="Times New Roman" w:cs="Times New Roman"/>
              <w:bCs/>
              <w:color w:val="000000"/>
            </w:rPr>
            <w:t xml:space="preserve"> system condition during nursery phase. </w:t>
          </w:r>
          <w:r w:rsidRPr="00A162CD">
            <w:rPr>
              <w:rFonts w:ascii="Times New Roman" w:eastAsia="Times New Roman" w:hAnsi="Times New Roman" w:cs="Times New Roman"/>
              <w:bCs/>
              <w:i/>
              <w:iCs/>
              <w:color w:val="000000"/>
            </w:rPr>
            <w:t>Aquaculture Reports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19</w:t>
          </w:r>
          <w:r w:rsidRPr="00A162CD">
            <w:rPr>
              <w:rFonts w:ascii="Times New Roman" w:eastAsia="Times New Roman" w:hAnsi="Times New Roman" w:cs="Times New Roman"/>
              <w:bCs/>
              <w:color w:val="000000"/>
            </w:rPr>
            <w:t>, 100625.</w:t>
          </w:r>
        </w:p>
        <w:p w14:paraId="18792752" w14:textId="77777777" w:rsidR="00A162CD" w:rsidRPr="00A162CD" w:rsidRDefault="00A162CD" w:rsidP="00A162CD">
          <w:pPr>
            <w:autoSpaceDE w:val="0"/>
            <w:autoSpaceDN w:val="0"/>
            <w:spacing w:line="360" w:lineRule="auto"/>
            <w:ind w:hanging="480"/>
            <w:jc w:val="both"/>
            <w:divId w:val="381565250"/>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Maurya, V. S., Dixit, M., &amp; Vyas, V. (2025). </w:t>
          </w:r>
          <w:r w:rsidRPr="00A162CD">
            <w:rPr>
              <w:rFonts w:ascii="Times New Roman" w:eastAsia="Times New Roman" w:hAnsi="Times New Roman" w:cs="Times New Roman"/>
              <w:bCs/>
              <w:i/>
              <w:iCs/>
              <w:color w:val="000000"/>
            </w:rPr>
            <w:t xml:space="preserve">Seasonal Comparative Assessment of Water Quality Dynamics in </w:t>
          </w:r>
          <w:proofErr w:type="spellStart"/>
          <w:r w:rsidRPr="00A162CD">
            <w:rPr>
              <w:rFonts w:ascii="Times New Roman" w:eastAsia="Times New Roman" w:hAnsi="Times New Roman" w:cs="Times New Roman"/>
              <w:bCs/>
              <w:i/>
              <w:iCs/>
              <w:color w:val="000000"/>
            </w:rPr>
            <w:t>Biofloc</w:t>
          </w:r>
          <w:proofErr w:type="spellEnd"/>
          <w:r w:rsidRPr="00A162CD">
            <w:rPr>
              <w:rFonts w:ascii="Times New Roman" w:eastAsia="Times New Roman" w:hAnsi="Times New Roman" w:cs="Times New Roman"/>
              <w:bCs/>
              <w:i/>
              <w:iCs/>
              <w:color w:val="000000"/>
            </w:rPr>
            <w:t xml:space="preserve">, Natural Pond and Cage Culture Systems for Culturing Pangasius </w:t>
          </w:r>
          <w:proofErr w:type="spellStart"/>
          <w:r w:rsidRPr="00A162CD">
            <w:rPr>
              <w:rFonts w:ascii="Times New Roman" w:eastAsia="Times New Roman" w:hAnsi="Times New Roman" w:cs="Times New Roman"/>
              <w:bCs/>
              <w:i/>
              <w:iCs/>
              <w:color w:val="000000"/>
            </w:rPr>
            <w:t>pangasius</w:t>
          </w:r>
          <w:proofErr w:type="spellEnd"/>
          <w:r w:rsidRPr="00A162CD">
            <w:rPr>
              <w:rFonts w:ascii="Times New Roman" w:eastAsia="Times New Roman" w:hAnsi="Times New Roman" w:cs="Times New Roman"/>
              <w:bCs/>
              <w:color w:val="000000"/>
            </w:rPr>
            <w:t>. www.ijsdr.org</w:t>
          </w:r>
        </w:p>
        <w:p w14:paraId="7AE63CF1" w14:textId="77777777" w:rsidR="00A162CD" w:rsidRPr="00A162CD" w:rsidRDefault="00A162CD" w:rsidP="00A162CD">
          <w:pPr>
            <w:autoSpaceDE w:val="0"/>
            <w:autoSpaceDN w:val="0"/>
            <w:spacing w:line="360" w:lineRule="auto"/>
            <w:ind w:hanging="480"/>
            <w:jc w:val="both"/>
            <w:divId w:val="988821090"/>
            <w:rPr>
              <w:rFonts w:ascii="Times New Roman" w:eastAsia="Times New Roman" w:hAnsi="Times New Roman" w:cs="Times New Roman"/>
              <w:bCs/>
              <w:color w:val="000000"/>
            </w:rPr>
          </w:pPr>
          <w:proofErr w:type="spellStart"/>
          <w:r w:rsidRPr="00A162CD">
            <w:rPr>
              <w:rFonts w:ascii="Times New Roman" w:eastAsia="Times New Roman" w:hAnsi="Times New Roman" w:cs="Times New Roman"/>
              <w:bCs/>
              <w:color w:val="000000"/>
            </w:rPr>
            <w:t>Mramba</w:t>
          </w:r>
          <w:proofErr w:type="spellEnd"/>
          <w:r w:rsidRPr="00A162CD">
            <w:rPr>
              <w:rFonts w:ascii="Times New Roman" w:eastAsia="Times New Roman" w:hAnsi="Times New Roman" w:cs="Times New Roman"/>
              <w:bCs/>
              <w:color w:val="000000"/>
            </w:rPr>
            <w:t xml:space="preserve">, R. P., &amp; Kahindi, E. J. (2023). Pond water quality and its relation to fish yield and disease occurrence in small-scale aquaculture in arid areas. </w:t>
          </w:r>
          <w:proofErr w:type="spellStart"/>
          <w:r w:rsidRPr="00A162CD">
            <w:rPr>
              <w:rFonts w:ascii="Times New Roman" w:eastAsia="Times New Roman" w:hAnsi="Times New Roman" w:cs="Times New Roman"/>
              <w:bCs/>
              <w:i/>
              <w:iCs/>
              <w:color w:val="000000"/>
            </w:rPr>
            <w:t>Heliyon</w:t>
          </w:r>
          <w:proofErr w:type="spellEnd"/>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9</w:t>
          </w:r>
          <w:r w:rsidRPr="00A162CD">
            <w:rPr>
              <w:rFonts w:ascii="Times New Roman" w:eastAsia="Times New Roman" w:hAnsi="Times New Roman" w:cs="Times New Roman"/>
              <w:bCs/>
              <w:color w:val="000000"/>
            </w:rPr>
            <w:t>(6), e16753. https://doi.org/10.1016/j.heliyon.2023.e16753</w:t>
          </w:r>
        </w:p>
        <w:p w14:paraId="6DBCE6AE" w14:textId="77777777" w:rsidR="00A162CD" w:rsidRPr="00A162CD" w:rsidRDefault="00A162CD" w:rsidP="00A162CD">
          <w:pPr>
            <w:autoSpaceDE w:val="0"/>
            <w:autoSpaceDN w:val="0"/>
            <w:spacing w:line="360" w:lineRule="auto"/>
            <w:ind w:hanging="480"/>
            <w:jc w:val="both"/>
            <w:divId w:val="839387559"/>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Posit team. (2024). </w:t>
          </w:r>
          <w:r w:rsidRPr="00A162CD">
            <w:rPr>
              <w:rFonts w:ascii="Times New Roman" w:eastAsia="Times New Roman" w:hAnsi="Times New Roman" w:cs="Times New Roman"/>
              <w:bCs/>
              <w:i/>
              <w:iCs/>
              <w:color w:val="000000"/>
            </w:rPr>
            <w:t>RStudio: Integrated Development Environment for R</w:t>
          </w:r>
          <w:r w:rsidRPr="00A162CD">
            <w:rPr>
              <w:rFonts w:ascii="Times New Roman" w:eastAsia="Times New Roman" w:hAnsi="Times New Roman" w:cs="Times New Roman"/>
              <w:bCs/>
              <w:color w:val="000000"/>
            </w:rPr>
            <w:t>. Posit Software, PBC. https://posit.co/products/open-source/rstudio/</w:t>
          </w:r>
        </w:p>
        <w:p w14:paraId="02EA883E" w14:textId="77777777" w:rsidR="00A162CD" w:rsidRPr="00A162CD" w:rsidRDefault="00A162CD" w:rsidP="00A162CD">
          <w:pPr>
            <w:autoSpaceDE w:val="0"/>
            <w:autoSpaceDN w:val="0"/>
            <w:spacing w:line="360" w:lineRule="auto"/>
            <w:ind w:hanging="480"/>
            <w:jc w:val="both"/>
            <w:divId w:val="1481465180"/>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Rodriguez‐Barreto, D., Rey, O., Uren‐Webster, T. M., Castaldo, G., Consuegra, S., &amp; Garcia de Leaniz, C. (2019). Transcriptomic response to aquaculture intensification in Nile tilapia. </w:t>
          </w:r>
          <w:r w:rsidRPr="00A162CD">
            <w:rPr>
              <w:rFonts w:ascii="Times New Roman" w:eastAsia="Times New Roman" w:hAnsi="Times New Roman" w:cs="Times New Roman"/>
              <w:bCs/>
              <w:i/>
              <w:iCs/>
              <w:color w:val="000000"/>
            </w:rPr>
            <w:t>Evolutionary Applications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12</w:t>
          </w:r>
          <w:r w:rsidRPr="00A162CD">
            <w:rPr>
              <w:rFonts w:ascii="Times New Roman" w:eastAsia="Times New Roman" w:hAnsi="Times New Roman" w:cs="Times New Roman"/>
              <w:bCs/>
              <w:color w:val="000000"/>
            </w:rPr>
            <w:t>(9), 1757–1771. https://doi.org/10.1111/eva.12830</w:t>
          </w:r>
        </w:p>
        <w:p w14:paraId="7A795CB4" w14:textId="77777777" w:rsidR="00A162CD" w:rsidRPr="00A162CD" w:rsidRDefault="00A162CD" w:rsidP="00A162CD">
          <w:pPr>
            <w:autoSpaceDE w:val="0"/>
            <w:autoSpaceDN w:val="0"/>
            <w:spacing w:line="360" w:lineRule="auto"/>
            <w:ind w:hanging="480"/>
            <w:jc w:val="both"/>
            <w:divId w:val="809904524"/>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Salger, S. A., Reza, J., Deck, C. A., Wahab, Md. A., Baltzegar, D. A., Murr, A. T., &amp; Borski, R. J. (2020). Enhanced biodiversity of gut flora and feed efficiency in pond cultured tilapia under reduced frequency feeding strategies. </w:t>
          </w:r>
          <w:r w:rsidRPr="00A162CD">
            <w:rPr>
              <w:rFonts w:ascii="Times New Roman" w:eastAsia="Times New Roman" w:hAnsi="Times New Roman" w:cs="Times New Roman"/>
              <w:bCs/>
              <w:i/>
              <w:iCs/>
              <w:color w:val="000000"/>
            </w:rPr>
            <w:t>PLOS ONE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15</w:t>
          </w:r>
          <w:r w:rsidRPr="00A162CD">
            <w:rPr>
              <w:rFonts w:ascii="Times New Roman" w:eastAsia="Times New Roman" w:hAnsi="Times New Roman" w:cs="Times New Roman"/>
              <w:bCs/>
              <w:color w:val="000000"/>
            </w:rPr>
            <w:t>(7), e0236100. https://doi.org/10.1371/journal.pone.0236100</w:t>
          </w:r>
        </w:p>
        <w:p w14:paraId="1CE66FB7" w14:textId="77777777" w:rsidR="00A162CD" w:rsidRPr="00A162CD" w:rsidRDefault="00A162CD" w:rsidP="00A162CD">
          <w:pPr>
            <w:autoSpaceDE w:val="0"/>
            <w:autoSpaceDN w:val="0"/>
            <w:spacing w:line="360" w:lineRule="auto"/>
            <w:ind w:hanging="480"/>
            <w:jc w:val="both"/>
            <w:divId w:val="381246722"/>
            <w:rPr>
              <w:rFonts w:ascii="Times New Roman" w:eastAsia="Times New Roman" w:hAnsi="Times New Roman" w:cs="Times New Roman"/>
              <w:bCs/>
              <w:color w:val="000000"/>
            </w:rPr>
          </w:pPr>
          <w:proofErr w:type="spellStart"/>
          <w:r w:rsidRPr="00A162CD">
            <w:rPr>
              <w:rFonts w:ascii="Times New Roman" w:eastAsia="Times New Roman" w:hAnsi="Times New Roman" w:cs="Times New Roman"/>
              <w:bCs/>
              <w:color w:val="000000"/>
            </w:rPr>
            <w:lastRenderedPageBreak/>
            <w:t>Sipaúba</w:t>
          </w:r>
          <w:proofErr w:type="spellEnd"/>
          <w:r w:rsidRPr="00A162CD">
            <w:rPr>
              <w:rFonts w:ascii="Times New Roman" w:eastAsia="Times New Roman" w:hAnsi="Times New Roman" w:cs="Times New Roman"/>
              <w:bCs/>
              <w:color w:val="000000"/>
            </w:rPr>
            <w:t xml:space="preserve">-Tavares, L. H., Millan, R. N., &amp; Amaral, A. A. do. (2013). Influence of Management on the Water Quality and Sediment in Tropical Fish Farm. </w:t>
          </w:r>
          <w:r w:rsidRPr="00A162CD">
            <w:rPr>
              <w:rFonts w:ascii="Times New Roman" w:eastAsia="Times New Roman" w:hAnsi="Times New Roman" w:cs="Times New Roman"/>
              <w:bCs/>
              <w:i/>
              <w:iCs/>
              <w:color w:val="000000"/>
            </w:rPr>
            <w:t>Journal of Water Resource and Protection</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05</w:t>
          </w:r>
          <w:r w:rsidRPr="00A162CD">
            <w:rPr>
              <w:rFonts w:ascii="Times New Roman" w:eastAsia="Times New Roman" w:hAnsi="Times New Roman" w:cs="Times New Roman"/>
              <w:bCs/>
              <w:color w:val="000000"/>
            </w:rPr>
            <w:t>(05), 495–501. https://doi.org/10.4236/jwarp.2013.55049</w:t>
          </w:r>
        </w:p>
        <w:p w14:paraId="4F586F82" w14:textId="77777777" w:rsidR="00A162CD" w:rsidRPr="00A162CD" w:rsidRDefault="00A162CD" w:rsidP="00A162CD">
          <w:pPr>
            <w:autoSpaceDE w:val="0"/>
            <w:autoSpaceDN w:val="0"/>
            <w:spacing w:line="360" w:lineRule="auto"/>
            <w:ind w:hanging="480"/>
            <w:jc w:val="both"/>
            <w:divId w:val="2059697931"/>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Song, Y., Fei, F., Luo, D., Yang, J., Ji, G., &amp; Wu, X. (2026). Species Composition and Biomass Dynamics of Filamentous Algae and Their Environmental Drivers in </w:t>
          </w:r>
          <w:proofErr w:type="spellStart"/>
          <w:r w:rsidRPr="00A162CD">
            <w:rPr>
              <w:rFonts w:ascii="Times New Roman" w:eastAsia="Times New Roman" w:hAnsi="Times New Roman" w:cs="Times New Roman"/>
              <w:bCs/>
              <w:color w:val="000000"/>
            </w:rPr>
            <w:t>Eriocheir</w:t>
          </w:r>
          <w:proofErr w:type="spellEnd"/>
          <w:r w:rsidRPr="00A162CD">
            <w:rPr>
              <w:rFonts w:ascii="Times New Roman" w:eastAsia="Times New Roman" w:hAnsi="Times New Roman" w:cs="Times New Roman"/>
              <w:bCs/>
              <w:color w:val="000000"/>
            </w:rPr>
            <w:t xml:space="preserve"> </w:t>
          </w:r>
          <w:proofErr w:type="spellStart"/>
          <w:r w:rsidRPr="00A162CD">
            <w:rPr>
              <w:rFonts w:ascii="Times New Roman" w:eastAsia="Times New Roman" w:hAnsi="Times New Roman" w:cs="Times New Roman"/>
              <w:bCs/>
              <w:color w:val="000000"/>
            </w:rPr>
            <w:t>sinensis</w:t>
          </w:r>
          <w:proofErr w:type="spellEnd"/>
          <w:r w:rsidRPr="00A162CD">
            <w:rPr>
              <w:rFonts w:ascii="Times New Roman" w:eastAsia="Times New Roman" w:hAnsi="Times New Roman" w:cs="Times New Roman"/>
              <w:bCs/>
              <w:color w:val="000000"/>
            </w:rPr>
            <w:t xml:space="preserve"> Aquaculture Ponds. </w:t>
          </w:r>
          <w:r w:rsidRPr="00A162CD">
            <w:rPr>
              <w:rFonts w:ascii="Times New Roman" w:eastAsia="Times New Roman" w:hAnsi="Times New Roman" w:cs="Times New Roman"/>
              <w:bCs/>
              <w:i/>
              <w:iCs/>
              <w:color w:val="000000"/>
            </w:rPr>
            <w:t>Biology</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15</w:t>
          </w:r>
          <w:r w:rsidRPr="00A162CD">
            <w:rPr>
              <w:rFonts w:ascii="Times New Roman" w:eastAsia="Times New Roman" w:hAnsi="Times New Roman" w:cs="Times New Roman"/>
              <w:bCs/>
              <w:color w:val="000000"/>
            </w:rPr>
            <w:t>(3), 286.</w:t>
          </w:r>
        </w:p>
        <w:p w14:paraId="0EBAB8A1" w14:textId="77777777" w:rsidR="00A162CD" w:rsidRPr="00A162CD" w:rsidRDefault="00A162CD" w:rsidP="00A162CD">
          <w:pPr>
            <w:autoSpaceDE w:val="0"/>
            <w:autoSpaceDN w:val="0"/>
            <w:spacing w:line="360" w:lineRule="auto"/>
            <w:ind w:hanging="480"/>
            <w:jc w:val="both"/>
            <w:divId w:val="1202478359"/>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Sun, Y., Fu, Z., &amp; Ma, Z. (2024). The impact of acute ammonia nitrogen stress on serum biochemical indicators and spleen gene expression in juvenile yellowfin tuna (</w:t>
          </w:r>
          <w:proofErr w:type="spellStart"/>
          <w:r w:rsidRPr="00A162CD">
            <w:rPr>
              <w:rFonts w:ascii="Times New Roman" w:eastAsia="Times New Roman" w:hAnsi="Times New Roman" w:cs="Times New Roman"/>
              <w:bCs/>
              <w:color w:val="000000"/>
            </w:rPr>
            <w:t>Thunnus</w:t>
          </w:r>
          <w:proofErr w:type="spellEnd"/>
          <w:r w:rsidRPr="00A162CD">
            <w:rPr>
              <w:rFonts w:ascii="Times New Roman" w:eastAsia="Times New Roman" w:hAnsi="Times New Roman" w:cs="Times New Roman"/>
              <w:bCs/>
              <w:color w:val="000000"/>
            </w:rPr>
            <w:t xml:space="preserve"> </w:t>
          </w:r>
          <w:proofErr w:type="spellStart"/>
          <w:r w:rsidRPr="00A162CD">
            <w:rPr>
              <w:rFonts w:ascii="Times New Roman" w:eastAsia="Times New Roman" w:hAnsi="Times New Roman" w:cs="Times New Roman"/>
              <w:bCs/>
              <w:color w:val="000000"/>
            </w:rPr>
            <w:t>albacares</w:t>
          </w:r>
          <w:proofErr w:type="spellEnd"/>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Animals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14</w:t>
          </w:r>
          <w:r w:rsidRPr="00A162CD">
            <w:rPr>
              <w:rFonts w:ascii="Times New Roman" w:eastAsia="Times New Roman" w:hAnsi="Times New Roman" w:cs="Times New Roman"/>
              <w:bCs/>
              <w:color w:val="000000"/>
            </w:rPr>
            <w:t>(21), 3090.</w:t>
          </w:r>
        </w:p>
        <w:p w14:paraId="2C49A945" w14:textId="77777777" w:rsidR="00A162CD" w:rsidRPr="00A162CD" w:rsidRDefault="00A162CD" w:rsidP="00A162CD">
          <w:pPr>
            <w:autoSpaceDE w:val="0"/>
            <w:autoSpaceDN w:val="0"/>
            <w:spacing w:line="360" w:lineRule="auto"/>
            <w:ind w:hanging="480"/>
            <w:jc w:val="both"/>
            <w:divId w:val="514538265"/>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Tabrett, S., Ramsay, I., Paterson, B., &amp; Burford, M. A. (2024). A review of the benefits and limitations of waste nutrient treatment in aquaculture pond facilities. </w:t>
          </w:r>
          <w:r w:rsidRPr="00A162CD">
            <w:rPr>
              <w:rFonts w:ascii="Times New Roman" w:eastAsia="Times New Roman" w:hAnsi="Times New Roman" w:cs="Times New Roman"/>
              <w:bCs/>
              <w:i/>
              <w:iCs/>
              <w:color w:val="000000"/>
            </w:rPr>
            <w:t>Reviews in Aquaculture</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16</w:t>
          </w:r>
          <w:r w:rsidRPr="00A162CD">
            <w:rPr>
              <w:rFonts w:ascii="Times New Roman" w:eastAsia="Times New Roman" w:hAnsi="Times New Roman" w:cs="Times New Roman"/>
              <w:bCs/>
              <w:color w:val="000000"/>
            </w:rPr>
            <w:t>(4), 1766–1786. https://doi.org/10.1111/raq.12921</w:t>
          </w:r>
        </w:p>
        <w:p w14:paraId="20EF790F" w14:textId="77777777" w:rsidR="00A162CD" w:rsidRPr="00A162CD" w:rsidRDefault="00A162CD" w:rsidP="00A162CD">
          <w:pPr>
            <w:autoSpaceDE w:val="0"/>
            <w:autoSpaceDN w:val="0"/>
            <w:spacing w:line="360" w:lineRule="auto"/>
            <w:ind w:hanging="480"/>
            <w:jc w:val="both"/>
            <w:divId w:val="1073351997"/>
            <w:rPr>
              <w:rFonts w:ascii="Times New Roman" w:eastAsia="Times New Roman" w:hAnsi="Times New Roman" w:cs="Times New Roman"/>
              <w:bCs/>
              <w:color w:val="000000"/>
            </w:rPr>
          </w:pPr>
          <w:proofErr w:type="spellStart"/>
          <w:r w:rsidRPr="00A162CD">
            <w:rPr>
              <w:rFonts w:ascii="Times New Roman" w:eastAsia="Times New Roman" w:hAnsi="Times New Roman" w:cs="Times New Roman"/>
              <w:bCs/>
              <w:color w:val="000000"/>
            </w:rPr>
            <w:t>Thongprajukaew</w:t>
          </w:r>
          <w:proofErr w:type="spellEnd"/>
          <w:r w:rsidRPr="00A162CD">
            <w:rPr>
              <w:rFonts w:ascii="Times New Roman" w:eastAsia="Times New Roman" w:hAnsi="Times New Roman" w:cs="Times New Roman"/>
              <w:bCs/>
              <w:color w:val="000000"/>
            </w:rPr>
            <w:t xml:space="preserve">, K., Kovitvadhi, S., Kovitvadhi, U., &amp; </w:t>
          </w:r>
          <w:proofErr w:type="spellStart"/>
          <w:r w:rsidRPr="00A162CD">
            <w:rPr>
              <w:rFonts w:ascii="Times New Roman" w:eastAsia="Times New Roman" w:hAnsi="Times New Roman" w:cs="Times New Roman"/>
              <w:bCs/>
              <w:color w:val="000000"/>
            </w:rPr>
            <w:t>Preprame</w:t>
          </w:r>
          <w:proofErr w:type="spellEnd"/>
          <w:r w:rsidRPr="00A162CD">
            <w:rPr>
              <w:rFonts w:ascii="Times New Roman" w:eastAsia="Times New Roman" w:hAnsi="Times New Roman" w:cs="Times New Roman"/>
              <w:bCs/>
              <w:color w:val="000000"/>
            </w:rPr>
            <w:t xml:space="preserve">, P. (2017). Effects of feeding frequency on growth performance and digestive enzyme activity of sex-reversed Nile tilapia, Oreochromis niloticus (Linnaeus, 1758). </w:t>
          </w:r>
          <w:r w:rsidRPr="00A162CD">
            <w:rPr>
              <w:rFonts w:ascii="Times New Roman" w:eastAsia="Times New Roman" w:hAnsi="Times New Roman" w:cs="Times New Roman"/>
              <w:bCs/>
              <w:i/>
              <w:iCs/>
              <w:color w:val="000000"/>
            </w:rPr>
            <w:t>Agriculture and Natural Resources</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51</w:t>
          </w:r>
          <w:r w:rsidRPr="00A162CD">
            <w:rPr>
              <w:rFonts w:ascii="Times New Roman" w:eastAsia="Times New Roman" w:hAnsi="Times New Roman" w:cs="Times New Roman"/>
              <w:bCs/>
              <w:color w:val="000000"/>
            </w:rPr>
            <w:t>(4), 292–298.</w:t>
          </w:r>
        </w:p>
        <w:p w14:paraId="1E0408BF" w14:textId="77777777" w:rsidR="00A162CD" w:rsidRPr="00A162CD" w:rsidRDefault="00A162CD" w:rsidP="00A162CD">
          <w:pPr>
            <w:autoSpaceDE w:val="0"/>
            <w:autoSpaceDN w:val="0"/>
            <w:spacing w:line="360" w:lineRule="auto"/>
            <w:ind w:hanging="480"/>
            <w:jc w:val="both"/>
            <w:divId w:val="1111582580"/>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Torres-Beristain, B., </w:t>
          </w:r>
          <w:proofErr w:type="spellStart"/>
          <w:r w:rsidRPr="00A162CD">
            <w:rPr>
              <w:rFonts w:ascii="Times New Roman" w:eastAsia="Times New Roman" w:hAnsi="Times New Roman" w:cs="Times New Roman"/>
              <w:bCs/>
              <w:color w:val="000000"/>
            </w:rPr>
            <w:t>Verdegem</w:t>
          </w:r>
          <w:proofErr w:type="spellEnd"/>
          <w:r w:rsidRPr="00A162CD">
            <w:rPr>
              <w:rFonts w:ascii="Times New Roman" w:eastAsia="Times New Roman" w:hAnsi="Times New Roman" w:cs="Times New Roman"/>
              <w:bCs/>
              <w:color w:val="000000"/>
            </w:rPr>
            <w:t xml:space="preserve">, M., Kerepeczki, E., &amp; </w:t>
          </w:r>
          <w:proofErr w:type="spellStart"/>
          <w:r w:rsidRPr="00A162CD">
            <w:rPr>
              <w:rFonts w:ascii="Times New Roman" w:eastAsia="Times New Roman" w:hAnsi="Times New Roman" w:cs="Times New Roman"/>
              <w:bCs/>
              <w:color w:val="000000"/>
            </w:rPr>
            <w:t>Verreth</w:t>
          </w:r>
          <w:proofErr w:type="spellEnd"/>
          <w:r w:rsidRPr="00A162CD">
            <w:rPr>
              <w:rFonts w:ascii="Times New Roman" w:eastAsia="Times New Roman" w:hAnsi="Times New Roman" w:cs="Times New Roman"/>
              <w:bCs/>
              <w:color w:val="000000"/>
            </w:rPr>
            <w:t xml:space="preserve">, J. (2006). Decomposition of high protein aquaculture feed under variable </w:t>
          </w:r>
          <w:proofErr w:type="spellStart"/>
          <w:r w:rsidRPr="00A162CD">
            <w:rPr>
              <w:rFonts w:ascii="Times New Roman" w:eastAsia="Times New Roman" w:hAnsi="Times New Roman" w:cs="Times New Roman"/>
              <w:bCs/>
              <w:color w:val="000000"/>
            </w:rPr>
            <w:t>oxic</w:t>
          </w:r>
          <w:proofErr w:type="spellEnd"/>
          <w:r w:rsidRPr="00A162CD">
            <w:rPr>
              <w:rFonts w:ascii="Times New Roman" w:eastAsia="Times New Roman" w:hAnsi="Times New Roman" w:cs="Times New Roman"/>
              <w:bCs/>
              <w:color w:val="000000"/>
            </w:rPr>
            <w:t xml:space="preserve"> conditions. </w:t>
          </w:r>
          <w:r w:rsidRPr="00A162CD">
            <w:rPr>
              <w:rFonts w:ascii="Times New Roman" w:eastAsia="Times New Roman" w:hAnsi="Times New Roman" w:cs="Times New Roman"/>
              <w:bCs/>
              <w:i/>
              <w:iCs/>
              <w:color w:val="000000"/>
            </w:rPr>
            <w:t>Water Research</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40</w:t>
          </w:r>
          <w:r w:rsidRPr="00A162CD">
            <w:rPr>
              <w:rFonts w:ascii="Times New Roman" w:eastAsia="Times New Roman" w:hAnsi="Times New Roman" w:cs="Times New Roman"/>
              <w:bCs/>
              <w:color w:val="000000"/>
            </w:rPr>
            <w:t>(7), 1341–1350.</w:t>
          </w:r>
        </w:p>
        <w:p w14:paraId="1BD04821" w14:textId="77777777" w:rsidR="00A162CD" w:rsidRPr="00A162CD" w:rsidRDefault="00A162CD" w:rsidP="00A162CD">
          <w:pPr>
            <w:autoSpaceDE w:val="0"/>
            <w:autoSpaceDN w:val="0"/>
            <w:spacing w:line="360" w:lineRule="auto"/>
            <w:ind w:hanging="480"/>
            <w:jc w:val="both"/>
            <w:divId w:val="500511278"/>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Tucker, C. S., &amp; </w:t>
          </w:r>
          <w:proofErr w:type="spellStart"/>
          <w:r w:rsidRPr="00A162CD">
            <w:rPr>
              <w:rFonts w:ascii="Times New Roman" w:eastAsia="Times New Roman" w:hAnsi="Times New Roman" w:cs="Times New Roman"/>
              <w:bCs/>
              <w:color w:val="000000"/>
            </w:rPr>
            <w:t>D’Abramo</w:t>
          </w:r>
          <w:proofErr w:type="spellEnd"/>
          <w:r w:rsidRPr="00A162CD">
            <w:rPr>
              <w:rFonts w:ascii="Times New Roman" w:eastAsia="Times New Roman" w:hAnsi="Times New Roman" w:cs="Times New Roman"/>
              <w:bCs/>
              <w:color w:val="000000"/>
            </w:rPr>
            <w:t xml:space="preserve">, L. R. (2008). </w:t>
          </w:r>
          <w:r w:rsidRPr="00A162CD">
            <w:rPr>
              <w:rFonts w:ascii="Times New Roman" w:eastAsia="Times New Roman" w:hAnsi="Times New Roman" w:cs="Times New Roman"/>
              <w:bCs/>
              <w:i/>
              <w:iCs/>
              <w:color w:val="000000"/>
            </w:rPr>
            <w:t>Managing high pH in freshwater ponds</w:t>
          </w:r>
          <w:r w:rsidRPr="00A162CD">
            <w:rPr>
              <w:rFonts w:ascii="Times New Roman" w:eastAsia="Times New Roman" w:hAnsi="Times New Roman" w:cs="Times New Roman"/>
              <w:bCs/>
              <w:color w:val="000000"/>
            </w:rPr>
            <w:t>. Southern Regional Aquaculture Center Stoneville.</w:t>
          </w:r>
        </w:p>
        <w:p w14:paraId="206BCB12" w14:textId="77777777" w:rsidR="00A162CD" w:rsidRPr="00A162CD" w:rsidRDefault="00A162CD" w:rsidP="00A162CD">
          <w:pPr>
            <w:autoSpaceDE w:val="0"/>
            <w:autoSpaceDN w:val="0"/>
            <w:spacing w:line="360" w:lineRule="auto"/>
            <w:ind w:hanging="480"/>
            <w:jc w:val="both"/>
            <w:divId w:val="399401472"/>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Uddin, M. M., Chowdhury, S. R., Zafar, M., &amp; Nessa, M. U. (2007). Temporal and spatial variation of dissolved nutrients in the lower Meghna River estuary, Bangladesh. </w:t>
          </w:r>
          <w:r w:rsidRPr="00A162CD">
            <w:rPr>
              <w:rFonts w:ascii="Times New Roman" w:eastAsia="Times New Roman" w:hAnsi="Times New Roman" w:cs="Times New Roman"/>
              <w:bCs/>
              <w:i/>
              <w:iCs/>
              <w:color w:val="000000"/>
            </w:rPr>
            <w:t>Khulna University Studies</w:t>
          </w:r>
          <w:r w:rsidRPr="00A162CD">
            <w:rPr>
              <w:rFonts w:ascii="Times New Roman" w:eastAsia="Times New Roman" w:hAnsi="Times New Roman" w:cs="Times New Roman"/>
              <w:bCs/>
              <w:color w:val="000000"/>
            </w:rPr>
            <w:t>, 117–124.</w:t>
          </w:r>
        </w:p>
        <w:p w14:paraId="625A240A" w14:textId="77777777" w:rsidR="00A162CD" w:rsidRPr="00A162CD" w:rsidRDefault="00A162CD" w:rsidP="00A162CD">
          <w:pPr>
            <w:autoSpaceDE w:val="0"/>
            <w:autoSpaceDN w:val="0"/>
            <w:spacing w:line="360" w:lineRule="auto"/>
            <w:ind w:hanging="480"/>
            <w:jc w:val="both"/>
            <w:divId w:val="1468669823"/>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Wan, X., Jiang, S., Xiong, Q., Yang, J. R., Xia, S., &amp; Chen, Q. (2022). Effects of thermal stratification and mixing on the vertical distribution of dissolved oxygen in aquaculture ponds. </w:t>
          </w:r>
          <w:r w:rsidRPr="00A162CD">
            <w:rPr>
              <w:rFonts w:ascii="Times New Roman" w:eastAsia="Times New Roman" w:hAnsi="Times New Roman" w:cs="Times New Roman"/>
              <w:bCs/>
              <w:i/>
              <w:iCs/>
              <w:color w:val="000000"/>
            </w:rPr>
            <w:t xml:space="preserve">Israeli Journal of Aquaculture - </w:t>
          </w:r>
          <w:proofErr w:type="spellStart"/>
          <w:r w:rsidRPr="00A162CD">
            <w:rPr>
              <w:rFonts w:ascii="Times New Roman" w:eastAsia="Times New Roman" w:hAnsi="Times New Roman" w:cs="Times New Roman"/>
              <w:bCs/>
              <w:i/>
              <w:iCs/>
              <w:color w:val="000000"/>
            </w:rPr>
            <w:t>Bamidgeh</w:t>
          </w:r>
          <w:proofErr w:type="spellEnd"/>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74</w:t>
          </w:r>
          <w:r w:rsidRPr="00A162CD">
            <w:rPr>
              <w:rFonts w:ascii="Times New Roman" w:eastAsia="Times New Roman" w:hAnsi="Times New Roman" w:cs="Times New Roman"/>
              <w:bCs/>
              <w:color w:val="000000"/>
            </w:rPr>
            <w:t>. https://doi.org/10.46989/001c.38406</w:t>
          </w:r>
        </w:p>
        <w:p w14:paraId="37257DCF" w14:textId="77777777" w:rsidR="00A162CD" w:rsidRPr="00A162CD" w:rsidRDefault="00A162CD" w:rsidP="00A162CD">
          <w:pPr>
            <w:autoSpaceDE w:val="0"/>
            <w:autoSpaceDN w:val="0"/>
            <w:spacing w:line="360" w:lineRule="auto"/>
            <w:ind w:hanging="480"/>
            <w:jc w:val="both"/>
            <w:divId w:val="1972976099"/>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t xml:space="preserve">Wurts, W. A., &amp; Durborow, R. M. (1992). </w:t>
          </w:r>
          <w:r w:rsidRPr="00A162CD">
            <w:rPr>
              <w:rFonts w:ascii="Times New Roman" w:eastAsia="Times New Roman" w:hAnsi="Times New Roman" w:cs="Times New Roman"/>
              <w:bCs/>
              <w:i/>
              <w:iCs/>
              <w:color w:val="000000"/>
            </w:rPr>
            <w:t>Interactions of pH, carbon dioxide, alkalinity and hardness in fish ponds</w:t>
          </w:r>
          <w:r w:rsidRPr="00A162CD">
            <w:rPr>
              <w:rFonts w:ascii="Times New Roman" w:eastAsia="Times New Roman" w:hAnsi="Times New Roman" w:cs="Times New Roman"/>
              <w:bCs/>
              <w:color w:val="000000"/>
            </w:rPr>
            <w:t>.</w:t>
          </w:r>
        </w:p>
        <w:p w14:paraId="34583070" w14:textId="77777777" w:rsidR="00A162CD" w:rsidRPr="00A162CD" w:rsidRDefault="00A162CD" w:rsidP="00A162CD">
          <w:pPr>
            <w:autoSpaceDE w:val="0"/>
            <w:autoSpaceDN w:val="0"/>
            <w:spacing w:line="360" w:lineRule="auto"/>
            <w:ind w:hanging="480"/>
            <w:jc w:val="both"/>
            <w:divId w:val="1900744388"/>
            <w:rPr>
              <w:rFonts w:ascii="Times New Roman" w:eastAsia="Times New Roman" w:hAnsi="Times New Roman" w:cs="Times New Roman"/>
              <w:bCs/>
              <w:color w:val="000000"/>
            </w:rPr>
          </w:pPr>
          <w:r w:rsidRPr="00A162CD">
            <w:rPr>
              <w:rFonts w:ascii="Times New Roman" w:eastAsia="Times New Roman" w:hAnsi="Times New Roman" w:cs="Times New Roman"/>
              <w:bCs/>
              <w:color w:val="000000"/>
            </w:rPr>
            <w:lastRenderedPageBreak/>
            <w:t xml:space="preserve">Zhou, R., Li, Y., Xiao, S., Liu, X., Liu, C., Cheng, G., Zhang, W., &amp; Lu, S. (2022). </w:t>
          </w:r>
          <w:proofErr w:type="spellStart"/>
          <w:r w:rsidRPr="00A162CD">
            <w:rPr>
              <w:rFonts w:ascii="Times New Roman" w:eastAsia="Times New Roman" w:hAnsi="Times New Roman" w:cs="Times New Roman"/>
              <w:bCs/>
              <w:color w:val="000000"/>
            </w:rPr>
            <w:t>Ecophysiological</w:t>
          </w:r>
          <w:proofErr w:type="spellEnd"/>
          <w:r w:rsidRPr="00A162CD">
            <w:rPr>
              <w:rFonts w:ascii="Times New Roman" w:eastAsia="Times New Roman" w:hAnsi="Times New Roman" w:cs="Times New Roman"/>
              <w:bCs/>
              <w:color w:val="000000"/>
            </w:rPr>
            <w:t xml:space="preserve"> characterization of a nitrite-oxidizing bacterial culture from a freshwater aquaculture pond. </w:t>
          </w:r>
          <w:r w:rsidRPr="00A162CD">
            <w:rPr>
              <w:rFonts w:ascii="Times New Roman" w:eastAsia="Times New Roman" w:hAnsi="Times New Roman" w:cs="Times New Roman"/>
              <w:bCs/>
              <w:i/>
              <w:iCs/>
              <w:color w:val="000000"/>
            </w:rPr>
            <w:t>Biotechnology &amp; Biotechnological Equipment</w:t>
          </w:r>
          <w:r w:rsidRPr="00A162CD">
            <w:rPr>
              <w:rFonts w:ascii="Times New Roman" w:eastAsia="Times New Roman" w:hAnsi="Times New Roman" w:cs="Times New Roman"/>
              <w:bCs/>
              <w:color w:val="000000"/>
            </w:rPr>
            <w:t xml:space="preserve">, </w:t>
          </w:r>
          <w:r w:rsidRPr="00A162CD">
            <w:rPr>
              <w:rFonts w:ascii="Times New Roman" w:eastAsia="Times New Roman" w:hAnsi="Times New Roman" w:cs="Times New Roman"/>
              <w:bCs/>
              <w:i/>
              <w:iCs/>
              <w:color w:val="000000"/>
            </w:rPr>
            <w:t>36</w:t>
          </w:r>
          <w:r w:rsidRPr="00A162CD">
            <w:rPr>
              <w:rFonts w:ascii="Times New Roman" w:eastAsia="Times New Roman" w:hAnsi="Times New Roman" w:cs="Times New Roman"/>
              <w:bCs/>
              <w:color w:val="000000"/>
            </w:rPr>
            <w:t>(1), 891–901.</w:t>
          </w:r>
        </w:p>
        <w:p w14:paraId="61943F41" w14:textId="3647020B" w:rsidR="00CD5CDE" w:rsidRPr="00CD5CDE" w:rsidRDefault="00A162CD" w:rsidP="00474E21">
          <w:pPr>
            <w:spacing w:line="360" w:lineRule="auto"/>
            <w:jc w:val="both"/>
            <w:rPr>
              <w:rFonts w:ascii="Times New Roman" w:hAnsi="Times New Roman" w:cs="Times New Roman"/>
              <w:b/>
              <w:bCs/>
            </w:rPr>
          </w:pPr>
          <w:r w:rsidRPr="00A162CD">
            <w:rPr>
              <w:rFonts w:ascii="Times New Roman" w:eastAsia="Times New Roman" w:hAnsi="Times New Roman" w:cs="Times New Roman"/>
              <w:b/>
              <w:color w:val="000000"/>
            </w:rPr>
            <w:t> </w:t>
          </w:r>
        </w:p>
      </w:sdtContent>
    </w:sdt>
    <w:sectPr w:rsidR="00CD5CDE" w:rsidRPr="00CD5CDE" w:rsidSect="0079273A">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DAC15C" w14:textId="77777777" w:rsidR="007A42B6" w:rsidRDefault="007A42B6" w:rsidP="007942CF">
      <w:pPr>
        <w:spacing w:after="0" w:line="240" w:lineRule="auto"/>
      </w:pPr>
      <w:r>
        <w:separator/>
      </w:r>
    </w:p>
  </w:endnote>
  <w:endnote w:type="continuationSeparator" w:id="0">
    <w:p w14:paraId="2FF0CFB0" w14:textId="77777777" w:rsidR="007A42B6" w:rsidRDefault="007A42B6" w:rsidP="007942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57D38" w14:textId="77777777" w:rsidR="007942CF" w:rsidRDefault="007942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A0636D" w14:textId="77777777" w:rsidR="007942CF" w:rsidRDefault="007942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61147" w14:textId="77777777" w:rsidR="007942CF" w:rsidRDefault="007942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146D15" w14:textId="77777777" w:rsidR="007A42B6" w:rsidRDefault="007A42B6" w:rsidP="007942CF">
      <w:pPr>
        <w:spacing w:after="0" w:line="240" w:lineRule="auto"/>
      </w:pPr>
      <w:r>
        <w:separator/>
      </w:r>
    </w:p>
  </w:footnote>
  <w:footnote w:type="continuationSeparator" w:id="0">
    <w:p w14:paraId="4B953F5F" w14:textId="77777777" w:rsidR="007A42B6" w:rsidRDefault="007A42B6" w:rsidP="007942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24C5D" w14:textId="32CCA7A5" w:rsidR="007942CF" w:rsidRDefault="007A42B6">
    <w:pPr>
      <w:pStyle w:val="Header"/>
    </w:pPr>
    <w:r>
      <w:rPr>
        <w:noProof/>
      </w:rPr>
      <w:pict w14:anchorId="218628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92313"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11F58" w14:textId="4A951E43" w:rsidR="007942CF" w:rsidRDefault="007A42B6">
    <w:pPr>
      <w:pStyle w:val="Header"/>
    </w:pPr>
    <w:r>
      <w:rPr>
        <w:noProof/>
      </w:rPr>
      <w:pict w14:anchorId="6FCDF0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92314"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42C21" w14:textId="2125E89A" w:rsidR="007942CF" w:rsidRDefault="007A42B6">
    <w:pPr>
      <w:pStyle w:val="Header"/>
    </w:pPr>
    <w:r>
      <w:rPr>
        <w:noProof/>
      </w:rPr>
      <w:pict w14:anchorId="35C6A7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92312"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8222B2"/>
    <w:multiLevelType w:val="multilevel"/>
    <w:tmpl w:val="73E6C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805A0B"/>
    <w:multiLevelType w:val="multilevel"/>
    <w:tmpl w:val="41A4C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A4B3470"/>
    <w:multiLevelType w:val="multilevel"/>
    <w:tmpl w:val="D3BC9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D78538F"/>
    <w:multiLevelType w:val="multilevel"/>
    <w:tmpl w:val="CF50B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2A86E7E"/>
    <w:multiLevelType w:val="multilevel"/>
    <w:tmpl w:val="667C1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tDAyNDEwNjYwszAwNzVS0lEKTi0uzszPAykwqgUApJlDeSwAAAA="/>
  </w:docVars>
  <w:rsids>
    <w:rsidRoot w:val="009E3A8E"/>
    <w:rsid w:val="00000486"/>
    <w:rsid w:val="000202AE"/>
    <w:rsid w:val="00056D21"/>
    <w:rsid w:val="000741CE"/>
    <w:rsid w:val="00077573"/>
    <w:rsid w:val="00084206"/>
    <w:rsid w:val="00086DAC"/>
    <w:rsid w:val="000A6071"/>
    <w:rsid w:val="000C3383"/>
    <w:rsid w:val="000F6CD8"/>
    <w:rsid w:val="00100770"/>
    <w:rsid w:val="0010798D"/>
    <w:rsid w:val="00122A42"/>
    <w:rsid w:val="0013736F"/>
    <w:rsid w:val="001429EB"/>
    <w:rsid w:val="001748A2"/>
    <w:rsid w:val="001801C7"/>
    <w:rsid w:val="00182C7A"/>
    <w:rsid w:val="001B45FA"/>
    <w:rsid w:val="001C417B"/>
    <w:rsid w:val="001F5BB6"/>
    <w:rsid w:val="00225077"/>
    <w:rsid w:val="002274D3"/>
    <w:rsid w:val="00240FCB"/>
    <w:rsid w:val="00250448"/>
    <w:rsid w:val="0027305C"/>
    <w:rsid w:val="002909F7"/>
    <w:rsid w:val="002A0169"/>
    <w:rsid w:val="002A0DA4"/>
    <w:rsid w:val="002A2606"/>
    <w:rsid w:val="002B79C7"/>
    <w:rsid w:val="002C357F"/>
    <w:rsid w:val="002C6813"/>
    <w:rsid w:val="002F0DB1"/>
    <w:rsid w:val="002F594B"/>
    <w:rsid w:val="00301135"/>
    <w:rsid w:val="003062FE"/>
    <w:rsid w:val="0031466E"/>
    <w:rsid w:val="00316EF6"/>
    <w:rsid w:val="00326E03"/>
    <w:rsid w:val="003310B2"/>
    <w:rsid w:val="00346A44"/>
    <w:rsid w:val="0036383C"/>
    <w:rsid w:val="00374A1F"/>
    <w:rsid w:val="00375CAB"/>
    <w:rsid w:val="00387AC9"/>
    <w:rsid w:val="00392D19"/>
    <w:rsid w:val="003A1E0C"/>
    <w:rsid w:val="003B0D5F"/>
    <w:rsid w:val="003C35A7"/>
    <w:rsid w:val="003E4F10"/>
    <w:rsid w:val="003F2739"/>
    <w:rsid w:val="003F5771"/>
    <w:rsid w:val="00421E5B"/>
    <w:rsid w:val="00426458"/>
    <w:rsid w:val="0043159F"/>
    <w:rsid w:val="00460160"/>
    <w:rsid w:val="00463AB6"/>
    <w:rsid w:val="00474E21"/>
    <w:rsid w:val="0048510D"/>
    <w:rsid w:val="004935FB"/>
    <w:rsid w:val="004966B9"/>
    <w:rsid w:val="004A2C24"/>
    <w:rsid w:val="004E2788"/>
    <w:rsid w:val="004F38F7"/>
    <w:rsid w:val="004F6010"/>
    <w:rsid w:val="004F7A68"/>
    <w:rsid w:val="00514FBF"/>
    <w:rsid w:val="0052646C"/>
    <w:rsid w:val="0057410A"/>
    <w:rsid w:val="00595C1B"/>
    <w:rsid w:val="005A31C0"/>
    <w:rsid w:val="005A6AF4"/>
    <w:rsid w:val="005B1300"/>
    <w:rsid w:val="00602A3B"/>
    <w:rsid w:val="0060531F"/>
    <w:rsid w:val="00624D79"/>
    <w:rsid w:val="00645F4F"/>
    <w:rsid w:val="00664716"/>
    <w:rsid w:val="00666010"/>
    <w:rsid w:val="006702CF"/>
    <w:rsid w:val="006811D5"/>
    <w:rsid w:val="0068548F"/>
    <w:rsid w:val="006A032E"/>
    <w:rsid w:val="006A1A33"/>
    <w:rsid w:val="006A53B8"/>
    <w:rsid w:val="006B7C42"/>
    <w:rsid w:val="006D3E50"/>
    <w:rsid w:val="00715663"/>
    <w:rsid w:val="00716C5E"/>
    <w:rsid w:val="00721469"/>
    <w:rsid w:val="00726FF7"/>
    <w:rsid w:val="00751CA1"/>
    <w:rsid w:val="00756EC9"/>
    <w:rsid w:val="00787B89"/>
    <w:rsid w:val="00791C49"/>
    <w:rsid w:val="0079273A"/>
    <w:rsid w:val="007942CF"/>
    <w:rsid w:val="0079636A"/>
    <w:rsid w:val="007A1550"/>
    <w:rsid w:val="007A21B4"/>
    <w:rsid w:val="007A3179"/>
    <w:rsid w:val="007A42B6"/>
    <w:rsid w:val="007A4690"/>
    <w:rsid w:val="007F33CA"/>
    <w:rsid w:val="00804AE0"/>
    <w:rsid w:val="00807674"/>
    <w:rsid w:val="0081747C"/>
    <w:rsid w:val="008504B8"/>
    <w:rsid w:val="00851807"/>
    <w:rsid w:val="00876F01"/>
    <w:rsid w:val="00882E09"/>
    <w:rsid w:val="008B7B58"/>
    <w:rsid w:val="008D5499"/>
    <w:rsid w:val="00913311"/>
    <w:rsid w:val="00926ABD"/>
    <w:rsid w:val="00927682"/>
    <w:rsid w:val="00954C45"/>
    <w:rsid w:val="009619B7"/>
    <w:rsid w:val="009719C7"/>
    <w:rsid w:val="00976B7A"/>
    <w:rsid w:val="00995824"/>
    <w:rsid w:val="0099593E"/>
    <w:rsid w:val="009A27F5"/>
    <w:rsid w:val="009B37CB"/>
    <w:rsid w:val="009B421D"/>
    <w:rsid w:val="009C28BE"/>
    <w:rsid w:val="009C51D2"/>
    <w:rsid w:val="009D3D5F"/>
    <w:rsid w:val="009D4842"/>
    <w:rsid w:val="009E3A8E"/>
    <w:rsid w:val="009E728E"/>
    <w:rsid w:val="009F7177"/>
    <w:rsid w:val="00A073F1"/>
    <w:rsid w:val="00A1555D"/>
    <w:rsid w:val="00A162CD"/>
    <w:rsid w:val="00A20CFA"/>
    <w:rsid w:val="00A2276D"/>
    <w:rsid w:val="00A32FF3"/>
    <w:rsid w:val="00A546B8"/>
    <w:rsid w:val="00A54993"/>
    <w:rsid w:val="00AA3F92"/>
    <w:rsid w:val="00AB0948"/>
    <w:rsid w:val="00AB3221"/>
    <w:rsid w:val="00AB5134"/>
    <w:rsid w:val="00AC4F24"/>
    <w:rsid w:val="00AC66A6"/>
    <w:rsid w:val="00AD4694"/>
    <w:rsid w:val="00AD4E54"/>
    <w:rsid w:val="00B05098"/>
    <w:rsid w:val="00B166C9"/>
    <w:rsid w:val="00B27B69"/>
    <w:rsid w:val="00B44AA0"/>
    <w:rsid w:val="00B54578"/>
    <w:rsid w:val="00B97A31"/>
    <w:rsid w:val="00BB4AF4"/>
    <w:rsid w:val="00BC2320"/>
    <w:rsid w:val="00BD2A44"/>
    <w:rsid w:val="00BD689E"/>
    <w:rsid w:val="00C0166B"/>
    <w:rsid w:val="00C04301"/>
    <w:rsid w:val="00C16AE1"/>
    <w:rsid w:val="00C20FD9"/>
    <w:rsid w:val="00C276A0"/>
    <w:rsid w:val="00C34571"/>
    <w:rsid w:val="00C35A28"/>
    <w:rsid w:val="00C4705B"/>
    <w:rsid w:val="00CD12FD"/>
    <w:rsid w:val="00CD3FE5"/>
    <w:rsid w:val="00CD5CDE"/>
    <w:rsid w:val="00CD7897"/>
    <w:rsid w:val="00CF193F"/>
    <w:rsid w:val="00D06859"/>
    <w:rsid w:val="00D1150A"/>
    <w:rsid w:val="00D164AA"/>
    <w:rsid w:val="00D27B7E"/>
    <w:rsid w:val="00D30B6A"/>
    <w:rsid w:val="00D3241F"/>
    <w:rsid w:val="00D7521F"/>
    <w:rsid w:val="00D7790F"/>
    <w:rsid w:val="00D857DD"/>
    <w:rsid w:val="00DB2E78"/>
    <w:rsid w:val="00DB6C3A"/>
    <w:rsid w:val="00DC41FD"/>
    <w:rsid w:val="00DD67B6"/>
    <w:rsid w:val="00DE1EA4"/>
    <w:rsid w:val="00DE54FD"/>
    <w:rsid w:val="00DF2265"/>
    <w:rsid w:val="00DF43A7"/>
    <w:rsid w:val="00E13E2F"/>
    <w:rsid w:val="00E42C88"/>
    <w:rsid w:val="00E54F79"/>
    <w:rsid w:val="00E63568"/>
    <w:rsid w:val="00E760F8"/>
    <w:rsid w:val="00E83C71"/>
    <w:rsid w:val="00EA1966"/>
    <w:rsid w:val="00EC3507"/>
    <w:rsid w:val="00EF37DC"/>
    <w:rsid w:val="00F04954"/>
    <w:rsid w:val="00F1502F"/>
    <w:rsid w:val="00F2337A"/>
    <w:rsid w:val="00F2557F"/>
    <w:rsid w:val="00F3353B"/>
    <w:rsid w:val="00F35C2E"/>
    <w:rsid w:val="00F65013"/>
    <w:rsid w:val="00F70E30"/>
    <w:rsid w:val="00F74547"/>
    <w:rsid w:val="00F8636C"/>
    <w:rsid w:val="00F9055C"/>
    <w:rsid w:val="00F91428"/>
    <w:rsid w:val="00FB7303"/>
    <w:rsid w:val="00FC108B"/>
    <w:rsid w:val="00FC6330"/>
    <w:rsid w:val="00FE7287"/>
    <w:rsid w:val="00FE75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50A96F6"/>
  <w15:chartTrackingRefBased/>
  <w15:docId w15:val="{4BC84E1D-9CDB-4F18-B9A1-7B42B7B3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3A8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9E3A8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9E3A8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E3A8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E3A8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E3A8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3A8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E3A8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E3A8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3A8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9E3A8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9E3A8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E3A8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E3A8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E3A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E3A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E3A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E3A8E"/>
    <w:rPr>
      <w:rFonts w:eastAsiaTheme="majorEastAsia" w:cstheme="majorBidi"/>
      <w:color w:val="272727" w:themeColor="text1" w:themeTint="D8"/>
    </w:rPr>
  </w:style>
  <w:style w:type="paragraph" w:styleId="Title">
    <w:name w:val="Title"/>
    <w:basedOn w:val="Normal"/>
    <w:next w:val="Normal"/>
    <w:link w:val="TitleChar"/>
    <w:uiPriority w:val="10"/>
    <w:qFormat/>
    <w:rsid w:val="009E3A8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E3A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E3A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E3A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E3A8E"/>
    <w:pPr>
      <w:spacing w:before="160"/>
      <w:jc w:val="center"/>
    </w:pPr>
    <w:rPr>
      <w:i/>
      <w:iCs/>
      <w:color w:val="404040" w:themeColor="text1" w:themeTint="BF"/>
    </w:rPr>
  </w:style>
  <w:style w:type="character" w:customStyle="1" w:styleId="QuoteChar">
    <w:name w:val="Quote Char"/>
    <w:basedOn w:val="DefaultParagraphFont"/>
    <w:link w:val="Quote"/>
    <w:uiPriority w:val="29"/>
    <w:rsid w:val="009E3A8E"/>
    <w:rPr>
      <w:i/>
      <w:iCs/>
      <w:color w:val="404040" w:themeColor="text1" w:themeTint="BF"/>
    </w:rPr>
  </w:style>
  <w:style w:type="paragraph" w:styleId="ListParagraph">
    <w:name w:val="List Paragraph"/>
    <w:basedOn w:val="Normal"/>
    <w:uiPriority w:val="34"/>
    <w:qFormat/>
    <w:rsid w:val="009E3A8E"/>
    <w:pPr>
      <w:ind w:left="720"/>
      <w:contextualSpacing/>
    </w:pPr>
  </w:style>
  <w:style w:type="character" w:styleId="IntenseEmphasis">
    <w:name w:val="Intense Emphasis"/>
    <w:basedOn w:val="DefaultParagraphFont"/>
    <w:uiPriority w:val="21"/>
    <w:qFormat/>
    <w:rsid w:val="009E3A8E"/>
    <w:rPr>
      <w:i/>
      <w:iCs/>
      <w:color w:val="2F5496" w:themeColor="accent1" w:themeShade="BF"/>
    </w:rPr>
  </w:style>
  <w:style w:type="paragraph" w:styleId="IntenseQuote">
    <w:name w:val="Intense Quote"/>
    <w:basedOn w:val="Normal"/>
    <w:next w:val="Normal"/>
    <w:link w:val="IntenseQuoteChar"/>
    <w:uiPriority w:val="30"/>
    <w:qFormat/>
    <w:rsid w:val="009E3A8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E3A8E"/>
    <w:rPr>
      <w:i/>
      <w:iCs/>
      <w:color w:val="2F5496" w:themeColor="accent1" w:themeShade="BF"/>
    </w:rPr>
  </w:style>
  <w:style w:type="character" w:styleId="IntenseReference">
    <w:name w:val="Intense Reference"/>
    <w:basedOn w:val="DefaultParagraphFont"/>
    <w:uiPriority w:val="32"/>
    <w:qFormat/>
    <w:rsid w:val="009E3A8E"/>
    <w:rPr>
      <w:b/>
      <w:bCs/>
      <w:smallCaps/>
      <w:color w:val="2F5496" w:themeColor="accent1" w:themeShade="BF"/>
      <w:spacing w:val="5"/>
    </w:rPr>
  </w:style>
  <w:style w:type="table" w:styleId="TableGrid">
    <w:name w:val="Table Grid"/>
    <w:basedOn w:val="TableNormal"/>
    <w:uiPriority w:val="39"/>
    <w:rsid w:val="00D06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E54FD"/>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CF193F"/>
    <w:rPr>
      <w:color w:val="666666"/>
    </w:rPr>
  </w:style>
  <w:style w:type="paragraph" w:styleId="NormalWeb">
    <w:name w:val="Normal (Web)"/>
    <w:basedOn w:val="Normal"/>
    <w:uiPriority w:val="99"/>
    <w:unhideWhenUsed/>
    <w:rsid w:val="007A21B4"/>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math-inline">
    <w:name w:val="math-inline"/>
    <w:basedOn w:val="DefaultParagraphFont"/>
    <w:rsid w:val="007A21B4"/>
  </w:style>
  <w:style w:type="character" w:styleId="Hyperlink">
    <w:name w:val="Hyperlink"/>
    <w:basedOn w:val="DefaultParagraphFont"/>
    <w:uiPriority w:val="99"/>
    <w:unhideWhenUsed/>
    <w:rsid w:val="00240FCB"/>
    <w:rPr>
      <w:color w:val="0563C1" w:themeColor="hyperlink"/>
      <w:u w:val="single"/>
    </w:rPr>
  </w:style>
  <w:style w:type="character" w:styleId="UnresolvedMention">
    <w:name w:val="Unresolved Mention"/>
    <w:basedOn w:val="DefaultParagraphFont"/>
    <w:uiPriority w:val="99"/>
    <w:semiHidden/>
    <w:unhideWhenUsed/>
    <w:rsid w:val="00240FCB"/>
    <w:rPr>
      <w:color w:val="605E5C"/>
      <w:shd w:val="clear" w:color="auto" w:fill="E1DFDD"/>
    </w:rPr>
  </w:style>
  <w:style w:type="paragraph" w:styleId="Header">
    <w:name w:val="header"/>
    <w:basedOn w:val="Normal"/>
    <w:link w:val="HeaderChar"/>
    <w:uiPriority w:val="99"/>
    <w:unhideWhenUsed/>
    <w:rsid w:val="007942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42CF"/>
  </w:style>
  <w:style w:type="paragraph" w:styleId="Footer">
    <w:name w:val="footer"/>
    <w:basedOn w:val="Normal"/>
    <w:link w:val="FooterChar"/>
    <w:uiPriority w:val="99"/>
    <w:unhideWhenUsed/>
    <w:rsid w:val="007942C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42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870895">
      <w:marLeft w:val="480"/>
      <w:marRight w:val="0"/>
      <w:marTop w:val="0"/>
      <w:marBottom w:val="0"/>
      <w:divBdr>
        <w:top w:val="none" w:sz="0" w:space="0" w:color="auto"/>
        <w:left w:val="none" w:sz="0" w:space="0" w:color="auto"/>
        <w:bottom w:val="none" w:sz="0" w:space="0" w:color="auto"/>
        <w:right w:val="none" w:sz="0" w:space="0" w:color="auto"/>
      </w:divBdr>
    </w:div>
    <w:div w:id="164050512">
      <w:marLeft w:val="480"/>
      <w:marRight w:val="0"/>
      <w:marTop w:val="0"/>
      <w:marBottom w:val="0"/>
      <w:divBdr>
        <w:top w:val="none" w:sz="0" w:space="0" w:color="auto"/>
        <w:left w:val="none" w:sz="0" w:space="0" w:color="auto"/>
        <w:bottom w:val="none" w:sz="0" w:space="0" w:color="auto"/>
        <w:right w:val="none" w:sz="0" w:space="0" w:color="auto"/>
      </w:divBdr>
    </w:div>
    <w:div w:id="348873676">
      <w:marLeft w:val="480"/>
      <w:marRight w:val="0"/>
      <w:marTop w:val="0"/>
      <w:marBottom w:val="0"/>
      <w:divBdr>
        <w:top w:val="none" w:sz="0" w:space="0" w:color="auto"/>
        <w:left w:val="none" w:sz="0" w:space="0" w:color="auto"/>
        <w:bottom w:val="none" w:sz="0" w:space="0" w:color="auto"/>
        <w:right w:val="none" w:sz="0" w:space="0" w:color="auto"/>
      </w:divBdr>
    </w:div>
    <w:div w:id="381246722">
      <w:marLeft w:val="480"/>
      <w:marRight w:val="0"/>
      <w:marTop w:val="0"/>
      <w:marBottom w:val="0"/>
      <w:divBdr>
        <w:top w:val="none" w:sz="0" w:space="0" w:color="auto"/>
        <w:left w:val="none" w:sz="0" w:space="0" w:color="auto"/>
        <w:bottom w:val="none" w:sz="0" w:space="0" w:color="auto"/>
        <w:right w:val="none" w:sz="0" w:space="0" w:color="auto"/>
      </w:divBdr>
    </w:div>
    <w:div w:id="381565250">
      <w:marLeft w:val="480"/>
      <w:marRight w:val="0"/>
      <w:marTop w:val="0"/>
      <w:marBottom w:val="0"/>
      <w:divBdr>
        <w:top w:val="none" w:sz="0" w:space="0" w:color="auto"/>
        <w:left w:val="none" w:sz="0" w:space="0" w:color="auto"/>
        <w:bottom w:val="none" w:sz="0" w:space="0" w:color="auto"/>
        <w:right w:val="none" w:sz="0" w:space="0" w:color="auto"/>
      </w:divBdr>
    </w:div>
    <w:div w:id="399401472">
      <w:marLeft w:val="480"/>
      <w:marRight w:val="0"/>
      <w:marTop w:val="0"/>
      <w:marBottom w:val="0"/>
      <w:divBdr>
        <w:top w:val="none" w:sz="0" w:space="0" w:color="auto"/>
        <w:left w:val="none" w:sz="0" w:space="0" w:color="auto"/>
        <w:bottom w:val="none" w:sz="0" w:space="0" w:color="auto"/>
        <w:right w:val="none" w:sz="0" w:space="0" w:color="auto"/>
      </w:divBdr>
    </w:div>
    <w:div w:id="500511278">
      <w:marLeft w:val="480"/>
      <w:marRight w:val="0"/>
      <w:marTop w:val="0"/>
      <w:marBottom w:val="0"/>
      <w:divBdr>
        <w:top w:val="none" w:sz="0" w:space="0" w:color="auto"/>
        <w:left w:val="none" w:sz="0" w:space="0" w:color="auto"/>
        <w:bottom w:val="none" w:sz="0" w:space="0" w:color="auto"/>
        <w:right w:val="none" w:sz="0" w:space="0" w:color="auto"/>
      </w:divBdr>
    </w:div>
    <w:div w:id="514538265">
      <w:marLeft w:val="480"/>
      <w:marRight w:val="0"/>
      <w:marTop w:val="0"/>
      <w:marBottom w:val="0"/>
      <w:divBdr>
        <w:top w:val="none" w:sz="0" w:space="0" w:color="auto"/>
        <w:left w:val="none" w:sz="0" w:space="0" w:color="auto"/>
        <w:bottom w:val="none" w:sz="0" w:space="0" w:color="auto"/>
        <w:right w:val="none" w:sz="0" w:space="0" w:color="auto"/>
      </w:divBdr>
    </w:div>
    <w:div w:id="698243901">
      <w:marLeft w:val="480"/>
      <w:marRight w:val="0"/>
      <w:marTop w:val="0"/>
      <w:marBottom w:val="0"/>
      <w:divBdr>
        <w:top w:val="none" w:sz="0" w:space="0" w:color="auto"/>
        <w:left w:val="none" w:sz="0" w:space="0" w:color="auto"/>
        <w:bottom w:val="none" w:sz="0" w:space="0" w:color="auto"/>
        <w:right w:val="none" w:sz="0" w:space="0" w:color="auto"/>
      </w:divBdr>
    </w:div>
    <w:div w:id="809904524">
      <w:marLeft w:val="480"/>
      <w:marRight w:val="0"/>
      <w:marTop w:val="0"/>
      <w:marBottom w:val="0"/>
      <w:divBdr>
        <w:top w:val="none" w:sz="0" w:space="0" w:color="auto"/>
        <w:left w:val="none" w:sz="0" w:space="0" w:color="auto"/>
        <w:bottom w:val="none" w:sz="0" w:space="0" w:color="auto"/>
        <w:right w:val="none" w:sz="0" w:space="0" w:color="auto"/>
      </w:divBdr>
    </w:div>
    <w:div w:id="820659143">
      <w:marLeft w:val="480"/>
      <w:marRight w:val="0"/>
      <w:marTop w:val="0"/>
      <w:marBottom w:val="0"/>
      <w:divBdr>
        <w:top w:val="none" w:sz="0" w:space="0" w:color="auto"/>
        <w:left w:val="none" w:sz="0" w:space="0" w:color="auto"/>
        <w:bottom w:val="none" w:sz="0" w:space="0" w:color="auto"/>
        <w:right w:val="none" w:sz="0" w:space="0" w:color="auto"/>
      </w:divBdr>
    </w:div>
    <w:div w:id="839387559">
      <w:marLeft w:val="480"/>
      <w:marRight w:val="0"/>
      <w:marTop w:val="0"/>
      <w:marBottom w:val="0"/>
      <w:divBdr>
        <w:top w:val="none" w:sz="0" w:space="0" w:color="auto"/>
        <w:left w:val="none" w:sz="0" w:space="0" w:color="auto"/>
        <w:bottom w:val="none" w:sz="0" w:space="0" w:color="auto"/>
        <w:right w:val="none" w:sz="0" w:space="0" w:color="auto"/>
      </w:divBdr>
    </w:div>
    <w:div w:id="841972530">
      <w:marLeft w:val="480"/>
      <w:marRight w:val="0"/>
      <w:marTop w:val="0"/>
      <w:marBottom w:val="0"/>
      <w:divBdr>
        <w:top w:val="none" w:sz="0" w:space="0" w:color="auto"/>
        <w:left w:val="none" w:sz="0" w:space="0" w:color="auto"/>
        <w:bottom w:val="none" w:sz="0" w:space="0" w:color="auto"/>
        <w:right w:val="none" w:sz="0" w:space="0" w:color="auto"/>
      </w:divBdr>
    </w:div>
    <w:div w:id="907229636">
      <w:marLeft w:val="480"/>
      <w:marRight w:val="0"/>
      <w:marTop w:val="0"/>
      <w:marBottom w:val="0"/>
      <w:divBdr>
        <w:top w:val="none" w:sz="0" w:space="0" w:color="auto"/>
        <w:left w:val="none" w:sz="0" w:space="0" w:color="auto"/>
        <w:bottom w:val="none" w:sz="0" w:space="0" w:color="auto"/>
        <w:right w:val="none" w:sz="0" w:space="0" w:color="auto"/>
      </w:divBdr>
    </w:div>
    <w:div w:id="988821090">
      <w:marLeft w:val="480"/>
      <w:marRight w:val="0"/>
      <w:marTop w:val="0"/>
      <w:marBottom w:val="0"/>
      <w:divBdr>
        <w:top w:val="none" w:sz="0" w:space="0" w:color="auto"/>
        <w:left w:val="none" w:sz="0" w:space="0" w:color="auto"/>
        <w:bottom w:val="none" w:sz="0" w:space="0" w:color="auto"/>
        <w:right w:val="none" w:sz="0" w:space="0" w:color="auto"/>
      </w:divBdr>
    </w:div>
    <w:div w:id="1001348659">
      <w:marLeft w:val="480"/>
      <w:marRight w:val="0"/>
      <w:marTop w:val="0"/>
      <w:marBottom w:val="0"/>
      <w:divBdr>
        <w:top w:val="none" w:sz="0" w:space="0" w:color="auto"/>
        <w:left w:val="none" w:sz="0" w:space="0" w:color="auto"/>
        <w:bottom w:val="none" w:sz="0" w:space="0" w:color="auto"/>
        <w:right w:val="none" w:sz="0" w:space="0" w:color="auto"/>
      </w:divBdr>
    </w:div>
    <w:div w:id="1063866582">
      <w:marLeft w:val="480"/>
      <w:marRight w:val="0"/>
      <w:marTop w:val="0"/>
      <w:marBottom w:val="0"/>
      <w:divBdr>
        <w:top w:val="none" w:sz="0" w:space="0" w:color="auto"/>
        <w:left w:val="none" w:sz="0" w:space="0" w:color="auto"/>
        <w:bottom w:val="none" w:sz="0" w:space="0" w:color="auto"/>
        <w:right w:val="none" w:sz="0" w:space="0" w:color="auto"/>
      </w:divBdr>
    </w:div>
    <w:div w:id="1073351997">
      <w:marLeft w:val="480"/>
      <w:marRight w:val="0"/>
      <w:marTop w:val="0"/>
      <w:marBottom w:val="0"/>
      <w:divBdr>
        <w:top w:val="none" w:sz="0" w:space="0" w:color="auto"/>
        <w:left w:val="none" w:sz="0" w:space="0" w:color="auto"/>
        <w:bottom w:val="none" w:sz="0" w:space="0" w:color="auto"/>
        <w:right w:val="none" w:sz="0" w:space="0" w:color="auto"/>
      </w:divBdr>
    </w:div>
    <w:div w:id="1111582580">
      <w:marLeft w:val="480"/>
      <w:marRight w:val="0"/>
      <w:marTop w:val="0"/>
      <w:marBottom w:val="0"/>
      <w:divBdr>
        <w:top w:val="none" w:sz="0" w:space="0" w:color="auto"/>
        <w:left w:val="none" w:sz="0" w:space="0" w:color="auto"/>
        <w:bottom w:val="none" w:sz="0" w:space="0" w:color="auto"/>
        <w:right w:val="none" w:sz="0" w:space="0" w:color="auto"/>
      </w:divBdr>
    </w:div>
    <w:div w:id="1202478359">
      <w:marLeft w:val="480"/>
      <w:marRight w:val="0"/>
      <w:marTop w:val="0"/>
      <w:marBottom w:val="0"/>
      <w:divBdr>
        <w:top w:val="none" w:sz="0" w:space="0" w:color="auto"/>
        <w:left w:val="none" w:sz="0" w:space="0" w:color="auto"/>
        <w:bottom w:val="none" w:sz="0" w:space="0" w:color="auto"/>
        <w:right w:val="none" w:sz="0" w:space="0" w:color="auto"/>
      </w:divBdr>
    </w:div>
    <w:div w:id="1217855965">
      <w:marLeft w:val="480"/>
      <w:marRight w:val="0"/>
      <w:marTop w:val="0"/>
      <w:marBottom w:val="0"/>
      <w:divBdr>
        <w:top w:val="none" w:sz="0" w:space="0" w:color="auto"/>
        <w:left w:val="none" w:sz="0" w:space="0" w:color="auto"/>
        <w:bottom w:val="none" w:sz="0" w:space="0" w:color="auto"/>
        <w:right w:val="none" w:sz="0" w:space="0" w:color="auto"/>
      </w:divBdr>
    </w:div>
    <w:div w:id="1382050492">
      <w:marLeft w:val="480"/>
      <w:marRight w:val="0"/>
      <w:marTop w:val="0"/>
      <w:marBottom w:val="0"/>
      <w:divBdr>
        <w:top w:val="none" w:sz="0" w:space="0" w:color="auto"/>
        <w:left w:val="none" w:sz="0" w:space="0" w:color="auto"/>
        <w:bottom w:val="none" w:sz="0" w:space="0" w:color="auto"/>
        <w:right w:val="none" w:sz="0" w:space="0" w:color="auto"/>
      </w:divBdr>
    </w:div>
    <w:div w:id="1435829314">
      <w:marLeft w:val="480"/>
      <w:marRight w:val="0"/>
      <w:marTop w:val="0"/>
      <w:marBottom w:val="0"/>
      <w:divBdr>
        <w:top w:val="none" w:sz="0" w:space="0" w:color="auto"/>
        <w:left w:val="none" w:sz="0" w:space="0" w:color="auto"/>
        <w:bottom w:val="none" w:sz="0" w:space="0" w:color="auto"/>
        <w:right w:val="none" w:sz="0" w:space="0" w:color="auto"/>
      </w:divBdr>
    </w:div>
    <w:div w:id="1468669823">
      <w:marLeft w:val="480"/>
      <w:marRight w:val="0"/>
      <w:marTop w:val="0"/>
      <w:marBottom w:val="0"/>
      <w:divBdr>
        <w:top w:val="none" w:sz="0" w:space="0" w:color="auto"/>
        <w:left w:val="none" w:sz="0" w:space="0" w:color="auto"/>
        <w:bottom w:val="none" w:sz="0" w:space="0" w:color="auto"/>
        <w:right w:val="none" w:sz="0" w:space="0" w:color="auto"/>
      </w:divBdr>
    </w:div>
    <w:div w:id="1481465180">
      <w:marLeft w:val="480"/>
      <w:marRight w:val="0"/>
      <w:marTop w:val="0"/>
      <w:marBottom w:val="0"/>
      <w:divBdr>
        <w:top w:val="none" w:sz="0" w:space="0" w:color="auto"/>
        <w:left w:val="none" w:sz="0" w:space="0" w:color="auto"/>
        <w:bottom w:val="none" w:sz="0" w:space="0" w:color="auto"/>
        <w:right w:val="none" w:sz="0" w:space="0" w:color="auto"/>
      </w:divBdr>
    </w:div>
    <w:div w:id="1714620385">
      <w:marLeft w:val="480"/>
      <w:marRight w:val="0"/>
      <w:marTop w:val="0"/>
      <w:marBottom w:val="0"/>
      <w:divBdr>
        <w:top w:val="none" w:sz="0" w:space="0" w:color="auto"/>
        <w:left w:val="none" w:sz="0" w:space="0" w:color="auto"/>
        <w:bottom w:val="none" w:sz="0" w:space="0" w:color="auto"/>
        <w:right w:val="none" w:sz="0" w:space="0" w:color="auto"/>
      </w:divBdr>
    </w:div>
    <w:div w:id="1900744388">
      <w:marLeft w:val="480"/>
      <w:marRight w:val="0"/>
      <w:marTop w:val="0"/>
      <w:marBottom w:val="0"/>
      <w:divBdr>
        <w:top w:val="none" w:sz="0" w:space="0" w:color="auto"/>
        <w:left w:val="none" w:sz="0" w:space="0" w:color="auto"/>
        <w:bottom w:val="none" w:sz="0" w:space="0" w:color="auto"/>
        <w:right w:val="none" w:sz="0" w:space="0" w:color="auto"/>
      </w:divBdr>
    </w:div>
    <w:div w:id="1972976099">
      <w:marLeft w:val="480"/>
      <w:marRight w:val="0"/>
      <w:marTop w:val="0"/>
      <w:marBottom w:val="0"/>
      <w:divBdr>
        <w:top w:val="none" w:sz="0" w:space="0" w:color="auto"/>
        <w:left w:val="none" w:sz="0" w:space="0" w:color="auto"/>
        <w:bottom w:val="none" w:sz="0" w:space="0" w:color="auto"/>
        <w:right w:val="none" w:sz="0" w:space="0" w:color="auto"/>
      </w:divBdr>
    </w:div>
    <w:div w:id="2057704084">
      <w:marLeft w:val="480"/>
      <w:marRight w:val="0"/>
      <w:marTop w:val="0"/>
      <w:marBottom w:val="0"/>
      <w:divBdr>
        <w:top w:val="none" w:sz="0" w:space="0" w:color="auto"/>
        <w:left w:val="none" w:sz="0" w:space="0" w:color="auto"/>
        <w:bottom w:val="none" w:sz="0" w:space="0" w:color="auto"/>
        <w:right w:val="none" w:sz="0" w:space="0" w:color="auto"/>
      </w:divBdr>
    </w:div>
    <w:div w:id="2059697931">
      <w:marLeft w:val="48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653F72E2-29DC-4401-850C-27688424EFF8}"/>
      </w:docPartPr>
      <w:docPartBody>
        <w:p w:rsidR="006420BE" w:rsidRDefault="00305C42">
          <w:r w:rsidRPr="006F239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C42"/>
    <w:rsid w:val="00305C42"/>
    <w:rsid w:val="003321FB"/>
    <w:rsid w:val="00595C1B"/>
    <w:rsid w:val="005B25D7"/>
    <w:rsid w:val="006420BE"/>
    <w:rsid w:val="00694C11"/>
    <w:rsid w:val="00770C81"/>
    <w:rsid w:val="007F33CA"/>
    <w:rsid w:val="009719C7"/>
    <w:rsid w:val="009732DD"/>
    <w:rsid w:val="00BC2320"/>
    <w:rsid w:val="00D01887"/>
    <w:rsid w:val="00DE6356"/>
    <w:rsid w:val="00E63568"/>
    <w:rsid w:val="00F466FA"/>
    <w:rsid w:val="00FE72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5C42"/>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 dockstate="right" visibility="0" width="525"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D206034-BC3B-46F9-B4C4-C86A1482BA36}">
  <we:reference id="wa200000368" version="1.0.0.0" store="en-US" storeType="OMEX"/>
  <we:alternateReferences>
    <we:reference id="wa200000368" version="1.0.0.0" store="en-US" storeType="OMEX"/>
  </we:alternateReferences>
  <we:properties>
    <we:property name="documentId" value="&quot;5e36a12746cbc743&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E0D339C0-801C-4BED-A5D7-12EE16A5D437}">
  <we:reference id="wa104382081" version="1.55.1.0" store="en-US" storeType="OMEX"/>
  <we:alternateReferences>
    <we:reference id="wa104382081" version="1.55.1.0" store="en-US" storeType="OMEX"/>
  </we:alternateReferences>
  <we:properties>
    <we:property name="MENDELEY_BIBLIOGRAPHY_IS_DIRTY" value="false"/>
    <we:property name="MENDELEY_BIBLIOGRAPHY_LAST_MODIFIED" value="1773516010890"/>
    <we:property name="MENDELEY_CITATIONS" value="[{&quot;citationID&quot;:&quot;MENDELEY_CITATION_a81a5641-a19b-44b7-aecc-04368e3f93e9&quot;,&quot;properties&quot;:{&quot;noteIndex&quot;:0},&quot;isEdited&quot;:false,&quot;manualOverride&quot;:{&quot;isManuallyOverridden&quot;:false,&quot;citeprocText&quot;:&quot;(Emam et al., 2025; Rodriguez‐Barreto et al., 2019)&quot;,&quot;manualOverrideText&quot;:&quot;&quot;},&quot;citationTag&quot;:&quot;MENDELEY_CITATION_v3_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&quot;,&quot;citationItems&quot;:[{&quot;id&quot;:&quot;5f238085-3b36-3182-92b4-33da3ac64b5e&quot;,&quot;itemData&quot;:{&quot;type&quot;:&quot;article-journal&quot;,&quot;id&quot;:&quot;5f238085-3b36-3182-92b4-33da3ac64b5e&quot;,&quot;title&quot;:&quot;Transcriptomic response to aquaculture intensification in Nile tilapia&quot;,&quot;author&quot;:[{&quot;family&quot;:&quot;Rodriguez‐Barreto&quot;,&quot;given&quot;:&quot;Deiene&quot;,&quot;parse-names&quot;:false,&quot;dropping-particle&quot;:&quot;&quot;,&quot;non-dropping-particle&quot;:&quot;&quot;},{&quot;family&quot;:&quot;Rey&quot;,&quot;given&quot;:&quot;Olivier&quot;,&quot;parse-names&quot;:false,&quot;dropping-particle&quot;:&quot;&quot;,&quot;non-dropping-particle&quot;:&quot;&quot;},{&quot;family&quot;:&quot;Uren‐Webster&quot;,&quot;given&quot;:&quot;Tamsyn M.&quot;,&quot;parse-names&quot;:false,&quot;dropping-particle&quot;:&quot;&quot;,&quot;non-dropping-particle&quot;:&quot;&quot;},{&quot;family&quot;:&quot;Castaldo&quot;,&quot;given&quot;:&quot;Giovanni&quot;,&quot;parse-names&quot;:false,&quot;dropping-particle&quot;:&quot;&quot;,&quot;non-dropping-particle&quot;:&quot;&quot;},{&quot;family&quot;:&quot;Consuegra&quot;,&quot;given&quot;:&quot;Sonia&quot;,&quot;parse-names&quot;:false,&quot;dropping-particle&quot;:&quot;&quot;,&quot;non-dropping-particle&quot;:&quot;&quot;},{&quot;family&quot;:&quot;Garcia de Leaniz&quot;,&quot;given&quot;:&quot;Carlos&quot;,&quot;parse-names&quot;:false,&quot;dropping-particle&quot;:&quot;&quot;,&quot;non-dropping-particle&quot;:&quot;&quot;}],&quot;container-title&quot;:&quot;Evolutionary Applications&quot;,&quot;container-title-short&quot;:&quot;Evol. Appl.&quot;,&quot;DOI&quot;:&quot;10.1111/eva.12830&quot;,&quot;ISSN&quot;:&quot;1752-4571&quot;,&quot;issued&quot;:{&quot;date-parts&quot;:[[2019,10,17]]},&quot;page&quot;:&quot;1757-1771&quot;,&quot;abstract&quot;:&quot;&lt;p&gt;To meet future global demand for fish protein, more fish will need to be farmed using fewer resources, and this will require the selection of nonaggressive individuals that perform well at high densities. Yet, the genetic changes underlying loss of aggression and adaptation to crowding during aquaculture intensification are largely unknown. We examined the transcriptomic response to aggression and crowding in Nile tilapia, one of the oldest and most widespread farmed fish, whose social structure shifts from social hierarchies to shoaling with increasing density. A mirror test was used to quantify aggression and skin darkening (a proxy for stress) of fish reared at low and high densities, and gene expression in the hypothalamus was analysed among the most and least aggressive fish at each density. Fish reared at high density were darker, had larger brains, were less active and less aggressive than those reared at low density and had differentially expressed genes consistent with a reactive stress‐coping style and activation of the hypothalamus–pituitary–interrenal (HPI) axis. Differences in gene expression among aggressive fish were accounted for by density and the interaction between density and aggression levels, whereas for nonaggressive fish differences in gene expression were associated with individual variation in skin brightness and social stress. Thus, the response to crowding in Nile tilapia is context dependent and involves different neuroendocrine pathways, depending on social status. Knowledge of genes associated with the response to crowding may pave the way for more efficient fish domestication, based on the selection of nonaggressive individuals with increasing tolerance to chronic stress necessary for aquaculture intensification.&lt;/p&gt;&quot;,&quot;issue&quot;:&quot;9&quot;,&quot;volume&quot;:&quot;12&quot;},&quot;isTemporary&quot;:false},{&quot;id&quot;:&quot;30d111b3-b3b9-3a82-9744-02fe2508ca95&quot;,&quot;itemData&quot;:{&quot;type&quot;:&quot;article-journal&quot;,&quot;id&quot;:&quot;30d111b3-b3b9-3a82-9744-02fe2508ca95&quot;,&quot;title&quot;:&quot;The welfare of farmed Nile tilapia: a review&quot;,&quot;author&quot;:[{&quot;family&quot;:&quot;Emam&quot;,&quot;given&quot;:&quot;Wasseem&quot;,&quot;parse-names&quot;:false,&quot;dropping-particle&quot;:&quot;&quot;,&quot;non-dropping-particle&quot;:&quot;&quot;},{&quot;family&quot;:&quot;Lambert&quot;,&quot;given&quot;:&quot;Helen&quot;,&quot;parse-names&quot;:false,&quot;dropping-particle&quot;:&quot;&quot;,&quot;non-dropping-particle&quot;:&quot;&quot;},{&quot;family&quot;:&quot;Brown&quot;,&quot;given&quot;:&quot;Culum&quot;,&quot;parse-names&quot;:false,&quot;dropping-particle&quot;:&quot;&quot;,&quot;non-dropping-particle&quot;:&quot;&quot;}],&quot;container-title&quot;:&quot;Frontiers in Veterinary Science&quot;,&quot;container-title-short&quot;:&quot;Front. Vet. Sci.&quot;,&quot;DOI&quot;:&quot;10.3389/fvets.2025.1567984&quot;,&quot;ISSN&quot;:&quot;2297-1769&quot;,&quot;issued&quot;:{&quot;date-parts&quot;:[[2025,5,6]]},&quot;abstract&quot;:&quot;&lt;p&gt;Nile tilapia are, by absolute number of individuals, the most farmed species of fish today, yet we know little about how common husbandry practices impact their welfare. Despite their global importance, there is a notable lack of detailed, species-specific welfare guidelines for tilapia farming. This gap reflects the scarcity of research-based recommendations on appropriate breeding conditions, environmental parameters, and handling methods that fully consider their biology and behavioural ecology. This review explores key dimensions of Nile tilapia biology and the implications of commercial aquaculture practices on their welfare. Topics covered include common grow-out housing systems, water quality, stocking density, environmental enrichment, feeding practices, handling, transportation, and slaughter. The paper underscores the importance of developing species-specific welfare parameters and management practices to meet the welfare needs of these animals. Specifically, it describes the most common grow-out housing systems and how parameters inherent to those systems, such as stocking density and environmental enrichment, impact Nile tilapia welfare. The review singles out capture and slaughter processes as particularly detrimental to tilapia welfare and offers insight into how evidence-based approaches can enhance welfare in commercial farming operations.&lt;/p&gt;&quot;,&quot;volume&quot;:&quot;12&quot;},&quot;isTemporary&quot;:false}]},{&quot;citationID&quot;:&quot;MENDELEY_CITATION_795f765f-15bf-47b5-aea4-4c343e94fb26&quot;,&quot;properties&quot;:{&quot;noteIndex&quot;:0},&quot;isEdited&quot;:false,&quot;manualOverride&quot;:{&quot;isManuallyOverridden&quot;:false,&quot;citeprocText&quot;:&quot;(Dompreh et al., 2024)&quot;,&quot;manualOverrideText&quot;:&quot;&quot;},&quot;citationTag&quot;:&quot;MENDELEY_CITATION_v3_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&quot;,&quot;citationItems&quot;:[{&quot;id&quot;:&quot;541a9fdb-86b8-3729-92c7-cdbba591477b&quot;,&quot;itemData&quot;:{&quot;type&quot;:&quot;article-journal&quot;,&quot;id&quot;:&quot;541a9fdb-86b8-3729-92c7-cdbba591477b&quot;,&quot;title&quot;:&quot;Exploring the potential of decentralized extension models on the sustainability of livelihoods: a food security lens on aquaculture farmers in Bangladesh&quot;,&quot;author&quot;:[{&quot;family&quot;:&quot;Dompreh&quot;,&quot;given&quot;:&quot;Eric Brako&quot;,&quot;parse-names&quot;:false,&quot;dropping-particle&quot;:&quot;&quot;,&quot;non-dropping-particle&quot;:&quot;&quot;},{&quot;family&quot;:&quot;Manyise&quot;,&quot;given&quot;:&quot;Timothy&quot;,&quot;parse-names&quot;:false,&quot;dropping-particle&quot;:&quot;&quot;,&quot;non-dropping-particle&quot;:&quot;&quot;},{&quot;family&quot;:&quot;Lozano Lazo&quot;,&quot;given&quot;:&quot;Denise&quot;,&quot;parse-names&quot;:false,&quot;dropping-particle&quot;:&quot;&quot;,&quot;non-dropping-particle&quot;:&quot;&quot;},{&quot;family&quot;:&quot;Khondker&quot;,&quot;given&quot;:&quot;Murshed-e-Jahan&quot;,&quot;parse-names&quot;:false,&quot;dropping-particle&quot;:&quot;&quot;,&quot;non-dropping-particle&quot;:&quot;&quot;},{&quot;family&quot;:&quot;Lam&quot;,&quot;given&quot;:&quot;Rodolfo Dam&quot;,&quot;parse-names&quot;:false,&quot;dropping-particle&quot;:&quot;&quot;,&quot;non-dropping-particle&quot;:&quot;&quot;},{&quot;family&quot;:&quot;Rossignoli&quot;,&quot;given&quot;:&quot;Cristiano M.&quot;,&quot;parse-names&quot;:false,&quot;dropping-particle&quot;:&quot;&quot;,&quot;non-dropping-particle&quot;:&quot;&quot;}],&quot;container-title&quot;:&quot;Frontiers in Sustainable Food Systems&quot;,&quot;container-title-short&quot;:&quot;Front. Sustain. Food Syst.&quot;,&quot;DOI&quot;:&quot;10.3389/fsufs.2024.1499081&quot;,&quot;ISSN&quot;:&quot;2571-581X&quot;,&quot;issued&quot;:{&quot;date-parts&quot;:[[2024,12,5]]},&quot;abstract&quot;:&quot;&lt;p&gt;Small-scale farmers in Bangladesh aquaculture face multiple challenges. Among these challenges are the inadequate supply of quality seed, limited credit access, poor availability of quality fish feed, land-use conflicts, the adverse effects of climate change, and the low adoption of best aquaculture management practices. These challenges spiral into low productivity, low incomes, and low food security of households. Extension has been seen as an important tool for technology and knowledge transfer, resulting in increased farm productivity and household food security. However, small-scale aquaculture farmers in Bangladesh lack access to critical extension service needed to improve productivity and their livelihoods. Using Propensity Score Matching, we test whether more decentralized extension systems yield similar food security outcomes as traditional extension models. Analysing data from 1,017 respondent, we find that decentralized extension models lead to improved food security of aquaculture households compared to non-beneficiaries. We recommend among others, the critical need to synergize extension systems, reduce costs and better target aquaculture farmers. Additionally, public-private partnerships can help leverage strengths from various extension approaches for more effective knowledge dissemination to aquaculture farmers, ultimately enhancing their livelihoods.&lt;/p&gt;&quot;,&quot;volume&quot;:&quot;8&quot;},&quot;isTemporary&quot;:false}]},{&quot;citationID&quot;:&quot;MENDELEY_CITATION_f7ec28f2-e82b-4c40-945f-bf65783eb520&quot;,&quot;properties&quot;:{&quot;noteIndex&quot;:0},&quot;isEdited&quot;:false,&quot;manualOverride&quot;:{&quot;isManuallyOverridden&quot;:false,&quot;citeprocText&quot;:&quot;(Tabrett et al., 2024)&quot;,&quot;manualOverrideText&quot;:&quot;&quot;},&quot;citationTag&quot;:&quot;MENDELEY_CITATION_v3_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&quot;,&quot;citationItems&quot;:[{&quot;id&quot;:&quot;5af56cf2-c3aa-3f10-8ff4-6fe5792719b8&quot;,&quot;itemData&quot;:{&quot;type&quot;:&quot;article-journal&quot;,&quot;id&quot;:&quot;5af56cf2-c3aa-3f10-8ff4-6fe5792719b8&quot;,&quot;title&quot;:&quot;A review of the benefits and limitations of waste nutrient treatment in aquaculture pond facilities&quot;,&quot;author&quot;:[{&quot;family&quot;:&quot;Tabrett&quot;,&quot;given&quot;:&quot;Simon&quot;,&quot;parse-names&quot;:false,&quot;dropping-particle&quot;:&quot;&quot;,&quot;non-dropping-particle&quot;:&quot;&quot;},{&quot;family&quot;:&quot;Ramsay&quot;,&quot;given&quot;:&quot;Ian&quot;,&quot;parse-names&quot;:false,&quot;dropping-particle&quot;:&quot;&quot;,&quot;non-dropping-particle&quot;:&quot;&quot;},{&quot;family&quot;:&quot;Paterson&quot;,&quot;given&quot;:&quot;Brian&quot;,&quot;parse-names&quot;:false,&quot;dropping-particle&quot;:&quot;&quot;,&quot;non-dropping-particle&quot;:&quot;&quot;},{&quot;family&quot;:&quot;Burford&quot;,&quot;given&quot;:&quot;Michele A.&quot;,&quot;parse-names&quot;:false,&quot;dropping-particle&quot;:&quot;&quot;,&quot;non-dropping-particle&quot;:&quot;&quot;}],&quot;container-title&quot;:&quot;Reviews in Aquaculture&quot;,&quot;container-title-short&quot;:&quot;Rev. Aquac.&quot;,&quot;DOI&quot;:&quot;10.1111/raq.12921&quot;,&quot;ISSN&quot;:&quot;1753-5123&quot;,&quot;issued&quot;:{&quot;date-parts&quot;:[[2024,9,2]]},&quot;page&quot;:&quot;1766-1786&quot;,&quot;abstract&quot;:&quot;&lt;p&gt;Managing waste nutrients from intensive freshwater and marine pond aquaculture is a global challenge. Nutrient‐enriched water released from farms can have detrimental effects on aquatic ecosystem health. There are a range of treatment options for discharge water from fish and crustacean ponds, and this review examines the benefits and limitations of these options. Much of the nutrient waste is derived from the addition of formulated feed. In recent years, reduction in waste from feeds and feeding has been largely incremental. In terms of treatment, there are low‐cost approaches, such as settlement ponds, but they are inefficient at reducing nutrients. Biological systems, using aquatic plants, microalgae and filter feeders to reduce nutrient release from farms have variable levels of effectiveness. Establishing wetlands requires considerable additional land area, and success to date has been highly variable. Overall, this review found no simple cost‐effective solution for managing nutrient enriched water from ponds. This is due, in many cases, to challenges with treating the large volumes of discharge water with relatively low nutrient concentrations. This means that more technologically advanced and reliable treatment options, for example, bioreactors, are prohibitively expensive. However, some systems, such as use of recirculation systems typically increase nutrient concentrations, and hence the efficiency and effectiveness of more expensive treatment methods. Biofloc systems can also provide a mechanism for in‐situ nutrient treatment as well as a supplementary food source for animals. Overall, there is scope to improve treatment of waste nutrients, but significant modifications to many production systems are needed to achieve this.&lt;/p&gt;&quot;,&quot;issue&quot;:&quot;4&quot;,&quot;volume&quot;:&quot;16&quot;},&quot;isTemporary&quot;:false}]},{&quot;citationID&quot;:&quot;MENDELEY_CITATION_90c3e436-2f3c-4f4c-9ddf-f4d5b8789a06&quot;,&quot;properties&quot;:{&quot;noteIndex&quot;:0},&quot;isEdited&quot;:false,&quot;manualOverride&quot;:{&quot;isManuallyOverridden&quot;:false,&quot;citeprocText&quot;:&quot;(Salger et al., 2020)&quot;,&quot;manualOverrideText&quot;:&quot;&quot;},&quot;citationTag&quot;:&quot;MENDELEY_CITATION_v3_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&quot;,&quot;citationItems&quot;:[{&quot;id&quot;:&quot;cd2df134-ef26-3d6c-b2b2-933b52bd6960&quot;,&quot;itemData&quot;:{&quot;type&quot;:&quot;article-journal&quot;,&quot;id&quot;:&quot;cd2df134-ef26-3d6c-b2b2-933b52bd6960&quot;,&quot;title&quot;:&quot;Enhanced biodiversity of gut flora and feed efficiency in pond cultured tilapia under reduced frequency feeding strategies&quot;,&quot;author&quot;:[{&quot;family&quot;:&quot;Salger&quot;,&quot;given&quot;:&quot;Scott A.&quot;,&quot;parse-names&quot;:false,&quot;dropping-particle&quot;:&quot;&quot;,&quot;non-dropping-particle&quot;:&quot;&quot;},{&quot;family&quot;:&quot;Reza&quot;,&quot;given&quot;:&quot;Jimi&quot;,&quot;parse-names&quot;:false,&quot;dropping-particle&quot;:&quot;&quot;,&quot;non-dropping-particle&quot;:&quot;&quot;},{&quot;family&quot;:&quot;Deck&quot;,&quot;given&quot;:&quot;Courtney A.&quot;,&quot;parse-names&quot;:false,&quot;dropping-particle&quot;:&quot;&quot;,&quot;non-dropping-particle&quot;:&quot;&quot;},{&quot;family&quot;:&quot;Wahab&quot;,&quot;given&quot;:&quot;Md. Abdul&quot;,&quot;parse-names&quot;:false,&quot;dropping-particle&quot;:&quot;&quot;,&quot;non-dropping-particle&quot;:&quot;&quot;},{&quot;family&quot;:&quot;Baltzegar&quot;,&quot;given&quot;:&quot;David A.&quot;,&quot;parse-names&quot;:false,&quot;dropping-particle&quot;:&quot;&quot;,&quot;non-dropping-particle&quot;:&quot;&quot;},{&quot;family&quot;:&quot;Murr&quot;,&quot;given&quot;:&quot;Alexander T.&quot;,&quot;parse-names&quot;:false,&quot;dropping-particle&quot;:&quot;&quot;,&quot;non-dropping-particle&quot;:&quot;&quot;},{&quot;family&quot;:&quot;Borski&quot;,&quot;given&quot;:&quot;Russell J.&quot;,&quot;parse-names&quot;:false,&quot;dropping-particle&quot;:&quot;&quot;,&quot;non-dropping-particle&quot;:&quot;&quot;}],&quot;container-title&quot;:&quot;PLOS ONE&quot;,&quot;container-title-short&quot;:&quot;PLoS One&quot;,&quot;DOI&quot;:&quot;10.1371/journal.pone.0236100&quot;,&quot;ISSN&quot;:&quot;1932-6203&quot;,&quot;issued&quot;:{&quot;date-parts&quot;:[[2020,7,23]]},&quot;page&quot;:&quot;e0236100&quot;,&quot;issue&quot;:&quot;7&quot;,&quot;volume&quot;:&quot;15&quot;},&quot;isTemporary&quot;:false}]},{&quot;citationID&quot;:&quot;MENDELEY_CITATION_aa81a002-ce82-4308-b32e-b68e891c997f&quot;,&quot;properties&quot;:{&quot;noteIndex&quot;:0},&quot;isEdited&quot;:false,&quot;manualOverride&quot;:{&quot;isManuallyOverridden&quot;:false,&quot;citeprocText&quot;:&quot;(Mramba &amp;#38; Kahindi, 2023)&quot;,&quot;manualOverrideText&quot;:&quot;&quot;},&quot;citationTag&quot;:&quot;MENDELEY_CITATION_v3_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&quot;,&quot;citationItems&quot;:[{&quot;id&quot;:&quot;a531dfba-cc80-323e-af03-bbc37e8f57f5&quot;,&quot;itemData&quot;:{&quot;type&quot;:&quot;article-journal&quot;,&quot;id&quot;:&quot;a531dfba-cc80-323e-af03-bbc37e8f57f5&quot;,&quot;title&quot;:&quot;Pond water quality and its relation to fish yield and disease occurrence in small-scale aquaculture in arid areas&quot;,&quot;author&quot;:[{&quot;family&quot;:&quot;Mramba&quot;,&quot;given&quot;:&quot;Rosemary Peter&quot;,&quot;parse-names&quot;:false,&quot;dropping-particle&quot;:&quot;&quot;,&quot;non-dropping-particle&quot;:&quot;&quot;},{&quot;family&quot;:&quot;Kahindi&quot;,&quot;given&quot;:&quot;Emmanuel Jacob&quot;,&quot;parse-names&quot;:false,&quot;dropping-particle&quot;:&quot;&quot;,&quot;non-dropping-particle&quot;:&quot;&quot;}],&quot;container-title&quot;:&quot;Heliyon&quot;,&quot;container-title-short&quot;:&quot;Heliyon&quot;,&quot;DOI&quot;:&quot;10.1016/j.heliyon.2023.e16753&quot;,&quot;ISSN&quot;:&quot;24058440&quot;,&quot;issued&quot;:{&quot;date-parts&quot;:[[2023,6]]},&quot;page&quot;:&quot;e16753&quot;,&quot;issue&quot;:&quot;6&quot;,&quot;volume&quot;:&quot;9&quot;},&quot;isTemporary&quot;:false}]},{&quot;citationID&quot;:&quot;MENDELEY_CITATION_dce6f36e-2aaf-4448-a050-d0d23866a911&quot;,&quot;properties&quot;:{&quot;noteIndex&quot;:0},&quot;isEdited&quot;:false,&quot;manualOverride&quot;:{&quot;isManuallyOverridden&quot;:false,&quot;citeprocText&quot;:&quot;(Sipaúba-Tavares et al., 2013)&quot;,&quot;manualOverrideText&quot;:&quot;&quot;},&quot;citationTag&quot;:&quot;MENDELEY_CITATION_v3_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&quot;,&quot;citationItems&quot;:[{&quot;id&quot;:&quot;e905ad6c-2c47-3f52-a5c8-2010b754ad45&quot;,&quot;itemData&quot;:{&quot;type&quot;:&quot;article-journal&quot;,&quot;id&quot;:&quot;e905ad6c-2c47-3f52-a5c8-2010b754ad45&quot;,&quot;title&quot;:&quot;Influence of Management on the Water Quality and Sediment in Tropical Fish Farm&quot;,&quot;author&quot;:[{&quot;family&quot;:&quot;Sipaúba-Tavares&quot;,&quot;given&quot;:&quot;Lúcia H.&quot;,&quot;parse-names&quot;:false,&quot;dropping-particle&quot;:&quot;&quot;,&quot;non-dropping-particle&quot;:&quot;&quot;},{&quot;family&quot;:&quot;Millan&quot;,&quot;given&quot;:&quot;Rodrigo N.&quot;,&quot;parse-names&quot;:false,&quot;dropping-particle&quot;:&quot;&quot;,&quot;non-dropping-particle&quot;:&quot;&quot;},{&quot;family&quot;:&quot;Amaral&quot;,&quot;given&quot;:&quot;Atanásio A.&quot;,&quot;parse-names&quot;:false,&quot;dropping-particle&quot;:&quot;do&quot;,&quot;non-dropping-particle&quot;:&quot;&quot;}],&quot;container-title&quot;:&quot;Journal of Water Resource and Protection&quot;,&quot;container-title-short&quot;:&quot;J. Water Resour. Prot.&quot;,&quot;DOI&quot;:&quot;10.4236/jwarp.2013.55049&quot;,&quot;ISSN&quot;:&quot;1945-3094&quot;,&quot;issued&quot;:{&quot;date-parts&quot;:[[2013]]},&quot;page&quot;:&quot;495-501&quot;,&quot;issue&quot;:&quot;05&quot;,&quot;volume&quot;:&quot;05&quot;},&quot;isTemporary&quot;:false}]},{&quot;citationID&quot;:&quot;MENDELEY_CITATION_50e3c19b-91ea-4f9c-a6fc-5260436313d8&quot;,&quot;properties&quot;:{&quot;noteIndex&quot;:0},&quot;isEdited&quot;:false,&quot;manualOverride&quot;:{&quot;isManuallyOverridden&quot;:false,&quot;citeprocText&quot;:&quot;(Islam et al., 2015)&quot;,&quot;manualOverrideText&quot;:&quot;&quot;},&quot;citationTag&quot;:&quot;MENDELEY_CITATION_v3_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&quot;,&quot;citationItems&quot;:[{&quot;id&quot;:&quot;456dbc39-f7d0-3784-870a-424d6115b839&quot;,&quot;itemData&quot;:{&quot;type&quot;:&quot;article-journal&quot;,&quot;id&quot;:&quot;456dbc39-f7d0-3784-870a-424d6115b839&quot;,&quot;title&quot;:&quot;Alteration of Water Pollution Level with the Seasonal Changes in Mean Daily Discharge in Three Main Rivers around Dhaka City, Bangladesh&quot;,&quot;author&quot;:[{&quot;family&quot;:&quot;Islam&quot;,&quot;given&quot;:&quot;Md.&quot;,&quot;parse-names&quot;:false,&quot;dropping-particle&quot;:&quot;&quot;,&quot;non-dropping-particle&quot;:&quot;&quot;},{&quot;family&quot;:&quot;Uddin&quot;,&quot;given&quot;:&quot;M.&quot;,&quot;parse-names&quot;:false,&quot;dropping-particle&quot;:&quot;&quot;,&quot;non-dropping-particle&quot;:&quot;&quot;},{&quot;family&quot;:&quot;Tareq&quot;,&quot;given&quot;:&quot;Shafi&quot;,&quot;parse-names&quot;:false,&quot;dropping-particle&quot;:&quot;&quot;,&quot;non-dropping-particle&quot;:&quot;&quot;},{&quot;family&quot;:&quot;Shammi&quot;,&quot;given&quot;:&quot;Mashura&quot;,&quot;parse-names&quot;:false,&quot;dropping-particle&quot;:&quot;&quot;,&quot;non-dropping-particle&quot;:&quot;&quot;},{&quot;family&quot;:&quot;Kamal&quot;,&quot;given&quot;:&quot;Abdul&quot;,&quot;parse-names&quot;:false,&quot;dropping-particle&quot;:&quot;&quot;,&quot;non-dropping-particle&quot;:&quot;&quot;},{&quot;family&quot;:&quot;Sugano&quot;,&quot;given&quot;:&quot;Tomohiro&quot;,&quot;parse-names&quot;:false,&quot;dropping-particle&quot;:&quot;&quot;,&quot;non-dropping-particle&quot;:&quot;&quot;},{&quot;family&quot;:&quot;Kurasaki&quot;,&quot;given&quot;:&quot;Masaaki&quot;,&quot;parse-names&quot;:false,&quot;dropping-particle&quot;:&quot;&quot;,&quot;non-dropping-particle&quot;:&quot;&quot;},{&quot;family&quot;:&quot;Saito&quot;,&quot;given&quot;:&quot;Takeshi&quot;,&quot;parse-names&quot;:false,&quot;dropping-particle&quot;:&quot;&quot;,&quot;non-dropping-particle&quot;:&quot;&quot;},{&quot;family&quot;:&quot;Tanaka&quot;,&quot;given&quot;:&quot;Shunitz&quot;,&quot;parse-names&quot;:false,&quot;dropping-particle&quot;:&quot;&quot;,&quot;non-dropping-particle&quot;:&quot;&quot;},{&quot;family&quot;:&quot;Kuramitz&quot;,&quot;given&quot;:&quot;Hideki&quot;,&quot;parse-names&quot;:false,&quot;dropping-particle&quot;:&quot;&quot;,&quot;non-dropping-particle&quot;:&quot;&quot;}],&quot;container-title&quot;:&quot;Environments&quot;,&quot;container-title-short&quot;:&quot;Environments&quot;,&quot;DOI&quot;:&quot;10.3390/environments2030280&quot;,&quot;ISSN&quot;:&quot;2076-3298&quot;,&quot;issued&quot;:{&quot;date-parts&quot;:[[2015,6,26]]},&quot;page&quot;:&quot;280-294&quot;,&quot;abstract&quot;:&quot;&lt;p&gt;A study based on the physicochemical parameters and dissolved metals levels from three main rivers around Dhaka City, Bangladesh, was conducted in order to determine the present pollution status and their alteration trends with the seasonal change of discharge amount. The water samples were collected from the rivers Buriganga, Turag, and Shitalakkhya during both dry and monsoon seasons. Physicochemical analyses revealed that most of the water quality parameters exceeded the recommended levels set by the Department of Environment (DoE), Bangladesh, during both the dry and monsoon seasons. A very strong positive correlation was found between biochemical oxygen demand (BOD) and chemical oxygen demand (COD) in all sampling points. Both BOD and COD values had a strong negative correlation with dissolved oxygen (DO) in the Shitalakkhya River. Most of the dissolved metals concentrations in the water samples were similar. However, the concentrations of different physicochemical properties varied with the seasons. The dry season had significantly higher contamination loads, which were decreased during the monsoon season. Anthropogenic activities, as well as the variation in river water flow during different seasons were the main reasons for this high degree of water pollution.&lt;/p&gt;&quot;,&quot;issue&quot;:&quot;3&quot;,&quot;volume&quot;:&quot;2&quot;},&quot;isTemporary&quot;:false}]},{&quot;citationID&quot;:&quot;MENDELEY_CITATION_4f89d925-7e06-4528-8a12-3a03564ba6cd&quot;,&quot;properties&quot;:{&quot;noteIndex&quot;:0},&quot;isEdited&quot;:false,&quot;manualOverride&quot;:{&quot;isManuallyOverridden&quot;:false,&quot;citeprocText&quot;:&quot;(Posit team, 2024)&quot;,&quot;manualOverrideText&quot;:&quot;&quot;},&quot;citationTag&quot;:&quot;MENDELEY_CITATION_v3_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&quot;,&quot;citationItems&quot;:[{&quot;id&quot;:&quot;e0ff092d-e7db-30f5-9fb9-464566af953c&quot;,&quot;itemData&quot;:{&quot;type&quot;:&quot;article&quot;,&quot;id&quot;:&quot;e0ff092d-e7db-30f5-9fb9-464566af953c&quot;,&quot;title&quot;:&quot;RStudio: Integrated Development Environment for R&quot;,&quot;author&quot;:[{&quot;family&quot;:&quot;Posit team&quot;,&quot;given&quot;:&quot;&quot;,&quot;parse-names&quot;:false,&quot;dropping-particle&quot;:&quot;&quot;,&quot;non-dropping-particle&quot;:&quot;&quot;}],&quot;URL&quot;:&quot;https://posit.co/products/open-source/rstudio/&quot;,&quot;issued&quot;:{&quot;date-parts&quot;:[[2024]]},&quot;publisher-place&quot;:&quot;Boston, MA&quot;,&quot;publisher&quot;:&quot;Posit Software, PBC&quot;,&quot;container-title-short&quot;:&quot;&quot;},&quot;isTemporary&quot;:false}]},{&quot;citationID&quot;:&quot;MENDELEY_CITATION_29dc4115-14ae-43de-b1b2-4e0babd1122f&quot;,&quot;properties&quot;:{&quot;noteIndex&quot;:0},&quot;isEdited&quot;:false,&quot;manualOverride&quot;:{&quot;isManuallyOverridden&quot;:false,&quot;citeprocText&quot;:&quot;(He et al., 2015)&quot;,&quot;manualOverrideText&quot;:&quot;&quot;},&quot;citationTag&quot;:&quot;MENDELEY_CITATION_v3_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&quot;,&quot;citationItems&quot;:[{&quot;id&quot;:&quot;e2c75a19-ec56-38bc-81c8-f9978d4a141e&quot;,&quot;itemData&quot;:{&quot;type&quot;:&quot;article-journal&quot;,&quot;id&quot;:&quot;e2c75a19-ec56-38bc-81c8-f9978d4a141e&quot;,&quot;title&quot;:&quot;Effects of feeding frequency on the post-feeding oxygen consumption and ammonia excretion of the juvenile snakehead&quot;,&quot;author&quot;:[{&quot;family&quot;:&quot;He&quot;,&quot;given&quot;:&quot;Dingcong&quot;,&quot;parse-names&quot;:false,&quot;dropping-particle&quot;:&quot;&quot;,&quot;non-dropping-particle&quot;:&quot;&quot;},{&quot;family&quot;:&quot;Li&quot;,&quot;given&quot;:&quot;Ge&quot;,&quot;parse-names&quot;:false,&quot;dropping-particle&quot;:&quot;&quot;,&quot;non-dropping-particle&quot;:&quot;&quot;},{&quot;family&quot;:&quot;Xie&quot;,&quot;given&quot;:&quot;Hang&quot;,&quot;parse-names&quot;:false,&quot;dropping-particle&quot;:&quot;&quot;,&quot;non-dropping-particle&quot;:&quot;&quot;},{&quot;family&quot;:&quot;Liu&quot;,&quot;given&quot;:&quot;Shuting&quot;,&quot;parse-names&quot;:false,&quot;dropping-particle&quot;:&quot;&quot;,&quot;non-dropping-particle&quot;:&quot;&quot;},{&quot;family&quot;:&quot;Luo&quot;,&quot;given&quot;:&quot;Yiping&quot;,&quot;parse-names&quot;:false,&quot;dropping-particle&quot;:&quot;&quot;,&quot;non-dropping-particle&quot;:&quot;&quot;}],&quot;container-title&quot;:&quot;Turkish Journal of Fisheries and Aquatic Sciences&quot;,&quot;container-title-short&quot;:&quot;Turk. J. Fish. Aquat. Sci.&quot;,&quot;ISSN&quot;:&quot;1303-2712&quot;,&quot;issued&quot;:{&quot;date-parts&quot;:[[2015]]},&quot;page&quot;:&quot;293-301&quot;,&quot;issue&quot;:&quot;2&quot;,&quot;volume&quot;:&quot;15&quot;},&quot;isTemporary&quot;:false}]},{&quot;citationID&quot;:&quot;MENDELEY_CITATION_9b9cc6c0-c643-4354-90d2-4bb384c6dd8b&quot;,&quot;properties&quot;:{&quot;noteIndex&quot;:0},&quot;isEdited&quot;:false,&quot;manualOverride&quot;:{&quot;isManuallyOverridden&quot;:false,&quot;citeprocText&quot;:&quot;(Wan et al., 2022)&quot;,&quot;manualOverrideText&quot;:&quot;&quot;},&quot;citationTag&quot;:&quot;MENDELEY_CITATION_v3_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&quot;,&quot;citationItems&quot;:[{&quot;id&quot;:&quot;e71440f7-0240-3c65-9faf-7ab78ce628b9&quot;,&quot;itemData&quot;:{&quot;type&quot;:&quot;article-journal&quot;,&quot;id&quot;:&quot;e71440f7-0240-3c65-9faf-7ab78ce628b9&quot;,&quot;title&quot;:&quot;Effects of thermal stratification and mixing on the vertical distribution of dissolved oxygen in aquaculture ponds&quot;,&quot;author&quot;:[{&quot;family&quot;:&quot;Wan&quot;,&quot;given&quot;:&quot;Xiao&quot;,&quot;parse-names&quot;:false,&quot;dropping-particle&quot;:&quot;&quot;,&quot;non-dropping-particle&quot;:&quot;&quot;},{&quot;family&quot;:&quot;Jiang&quot;,&quot;given&quot;:&quot;Shunyao&quot;,&quot;parse-names&quot;:false,&quot;dropping-particle&quot;:&quot;&quot;,&quot;non-dropping-particle&quot;:&quot;&quot;},{&quot;family&quot;:&quot;Xiong&quot;,&quot;given&quot;:&quot;Qinxue&quot;,&quot;parse-names&quot;:false,&quot;dropping-particle&quot;:&quot;&quot;,&quot;non-dropping-particle&quot;:&quot;&quot;},{&quot;family&quot;:&quot;Yang&quot;,&quot;given&quot;:&quot;Jun R.&quot;,&quot;parse-names&quot;:false,&quot;dropping-particle&quot;:&quot;&quot;,&quot;non-dropping-particle&quot;:&quot;&quot;},{&quot;family&quot;:&quot;Xia&quot;,&quot;given&quot;:&quot;Sujing&quot;,&quot;parse-names&quot;:false,&quot;dropping-particle&quot;:&quot;&quot;,&quot;non-dropping-particle&quot;:&quot;&quot;},{&quot;family&quot;:&quot;Chen&quot;,&quot;given&quot;:&quot;Qihang&quot;,&quot;parse-names&quot;:false,&quot;dropping-particle&quot;:&quot;&quot;,&quot;non-dropping-particle&quot;:&quot;&quot;}],&quot;container-title&quot;:&quot;Israeli Journal of Aquaculture - Bamidgeh&quot;,&quot;DOI&quot;:&quot;10.46989/001c.38406&quot;,&quot;ISSN&quot;:&quot;3067-0152&quot;,&quot;issued&quot;:{&quot;date-parts&quot;:[[2022,9,17]]},&quot;abstract&quot;:&quot;&lt;p&gt;Thermal stratification and mixing in aquaculture ponds can seriously affect the vertical distribution of dissolved oxygen (DO) and result in a lack of DO in ponds. Therefore, revealing the vertical distribution of DO in aquaculture ponds influenced by thermal stratification and mixing can provide a theoretical basis for aquaculture water management. Here, we explore the impacts of thermal stratification and mixing on the vertical distribution of DO in two aquaculture ponds under different weather conditions. The results showed that thermal stratification mainly occurs during the daytime, and mixing occurs at nighttime. Water thermal stratification appears 4 h after sunrise, while mixing occurs 1 h after nightfall. When the Richardson index is less than 0.25, the mixing direction is unstable. In the daytime, the vertical distribution of DO, chlorophyll a (Chl-a), and phytoplankton abundance varied with thermal stratification and mixing. The concentration of DO gradually dropped with increasing water depth during the nighttime. The concentration of DO was lowest in the early morning and peaked in the afternoon. Multiple regression analysis demonstrated that water temperature (WT), Chl-a, and phytoplankton abundance provided the best model for the vertical distribution of DO. Based on our results, DO regulation can provide important insights for aquaculture pond management.&lt;/p&gt;&quot;,&quot;volume&quot;:&quot;74&quot;,&quot;container-title-short&quot;:&quot;&quot;},&quot;isTemporary&quot;:false}]},{&quot;citationID&quot;:&quot;MENDELEY_CITATION_9214cfa0-dc17-449b-a70b-75c3b9a1f19c&quot;,&quot;properties&quot;:{&quot;noteIndex&quot;:0},&quot;isEdited&quot;:false,&quot;manualOverride&quot;:{&quot;isManuallyOverridden&quot;:false,&quot;citeprocText&quot;:&quot;(Giddings et al., 2021)&quot;,&quot;manualOverrideText&quot;:&quot;&quot;},&quot;citationTag&quot;:&quot;MENDELEY_CITATION_v3_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&quot;,&quot;citationItems&quot;:[{&quot;id&quot;:&quot;3474db96-8e68-3fe2-a3d0-2ca4c44c5366&quot;,&quot;itemData&quot;:{&quot;type&quot;:&quot;article-journal&quot;,&quot;id&quot;:&quot;3474db96-8e68-3fe2-a3d0-2ca4c44c5366&quot;,&quot;title&quot;:&quot;Spatial and temporal variability of solar penetration depths in the Bay of Bengal and its impact on sea surface temperature (SST) during the summer monsoon&quot;,&quot;author&quot;:[{&quot;family&quot;:&quot;Giddings&quot;,&quot;given&quot;:&quot;Jack&quot;,&quot;parse-names&quot;:false,&quot;dropping-particle&quot;:&quot;&quot;,&quot;non-dropping-particle&quot;:&quot;&quot;},{&quot;family&quot;:&quot;Heywood&quot;,&quot;given&quot;:&quot;Karen J.&quot;,&quot;parse-names&quot;:false,&quot;dropping-particle&quot;:&quot;&quot;,&quot;non-dropping-particle&quot;:&quot;&quot;},{&quot;family&quot;:&quot;Matthews&quot;,&quot;given&quot;:&quot;Adrian J.&quot;,&quot;parse-names&quot;:false,&quot;dropping-particle&quot;:&quot;&quot;,&quot;non-dropping-particle&quot;:&quot;&quot;},{&quot;family&quot;:&quot;Joshi&quot;,&quot;given&quot;:&quot;Manoj M.&quot;,&quot;parse-names&quot;:false,&quot;dropping-particle&quot;:&quot;&quot;,&quot;non-dropping-particle&quot;:&quot;&quot;},{&quot;family&quot;:&quot;Webber&quot;,&quot;given&quot;:&quot;Benjamin G. M.&quot;,&quot;parse-names&quot;:false,&quot;dropping-particle&quot;:&quot;&quot;,&quot;non-dropping-particle&quot;:&quot;&quot;},{&quot;family&quot;:&quot;Sanchez-Franks&quot;,&quot;given&quot;:&quot;Alejandra&quot;,&quot;parse-names&quot;:false,&quot;dropping-particle&quot;:&quot;&quot;,&quot;non-dropping-particle&quot;:&quot;&quot;},{&quot;family&quot;:&quot;King&quot;,&quot;given&quot;:&quot;Brian A.&quot;,&quot;parse-names&quot;:false,&quot;dropping-particle&quot;:&quot;&quot;,&quot;non-dropping-particle&quot;:&quot;&quot;},{&quot;family&quot;:&quot;Vinayachandran&quot;,&quot;given&quot;:&quot;Puthenveettil N.&quot;,&quot;parse-names&quot;:false,&quot;dropping-particle&quot;:&quot;&quot;,&quot;non-dropping-particle&quot;:&quot;&quot;}],&quot;container-title&quot;:&quot;Ocean Science&quot;,&quot;DOI&quot;:&quot;10.5194/os-17-871-2021&quot;,&quot;ISSN&quot;:&quot;1812-0792&quot;,&quot;issued&quot;:{&quot;date-parts&quot;:[[2021,7,6]]},&quot;page&quot;:&quot;871-890&quot;,&quot;abstract&quot;:&quot;&lt;p&gt;&lt;![CDATA[Abstract. Chlorophyll has long been known to influence air–sea gas exchange and CO2 drawdown. But chlorophyll also influences regional climate through its effect on solar radiation absorption and thus sea surface temperature (SST). In the Bay of Bengal, the effect of chlorophyll on SST has been demonstrated to have a significant impact on the Indian summer (southwest) monsoon. However, little is known about the drivers and impacts of chlorophyll variability in the Bay of Bengal during the southwest monsoon. Here we use observations of downwelling irradiance measured by an ocean glider and three profiling floats to determine the spatial and temporal variability of solar absorption across the southern Bay of Bengal during the 2016 summer monsoon. A two-band exponential solar absorption scheme is fitted to vertical profiles of photosynthetically active radiation to determine the effective scale depth of blue light. Scale depths of blue light are found to vary from 12 m during the highest (0.3–0.5 mg m−3) mixed-layer chlorophyll concentrations to over 25 m when the mixed-layer chlorophyll concentrations are below 0.1 mg m−3. The Southwest Monsoon Current and coastal regions of the Bay of Bengal are observed to have higher mixed-layer chlorophyll concentrations and shallower solar penetration depths than other regions of the southern Bay of Bengal. Substantial sub-daily variability in solar radiation absorption is observed, which highlights the importance of near-surface ocean processes in modulating mixed-layer chlorophyll. Simulations using a one-dimensional K-profile parameterization ocean mixed-layer model with observed surface forcing from July 2016 show that a 0.3 mg m−3 increase in chlorophyll concentration increases sea surface temperature by 0.35 ∘C in 1 month, with SST differences growing rapidly during calm and sunny conditions. This has the potential to influence monsoon rainfall around the Bay of Bengal and its intraseasonal variability.]]&gt;&lt;/p&gt;&quot;,&quot;issue&quot;:&quot;4&quot;,&quot;volume&quot;:&quot;17&quot;,&quot;container-title-short&quot;:&quot;&quot;},&quot;isTemporary&quot;:false}]},{&quot;citationID&quot;:&quot;MENDELEY_CITATION_46358e1d-f4e3-49d3-80c8-ca59c21d943f&quot;,&quot;properties&quot;:{&quot;noteIndex&quot;:0},&quot;isEdited&quot;:false,&quot;manualOverride&quot;:{&quot;isManuallyOverridden&quot;:false,&quot;citeprocText&quot;:&quot;(Song et al., 2026)&quot;,&quot;manualOverrideText&quot;:&quot;&quot;},&quot;citationTag&quot;:&quot;MENDELEY_CITATION_v3_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&quot;,&quot;citationItems&quot;:[{&quot;id&quot;:&quot;fcd9304d-6866-3e8a-9d36-7af3f34a39bd&quot;,&quot;itemData&quot;:{&quot;type&quot;:&quot;article-journal&quot;,&quot;id&quot;:&quot;fcd9304d-6866-3e8a-9d36-7af3f34a39bd&quot;,&quot;title&quot;:&quot;Species Composition and Biomass Dynamics of Filamentous Algae and Their Environmental Drivers in Eriocheir sinensis Aquaculture Ponds&quot;,&quot;author&quot;:[{&quot;family&quot;:&quot;Song&quot;,&quot;given&quot;:&quot;Yudi&quot;,&quot;parse-names&quot;:false,&quot;dropping-particle&quot;:&quot;&quot;,&quot;non-dropping-particle&quot;:&quot;&quot;},{&quot;family&quot;:&quot;Fei&quot;,&quot;given&quot;:&quot;Fei&quot;,&quot;parse-names&quot;:false,&quot;dropping-particle&quot;:&quot;&quot;,&quot;non-dropping-particle&quot;:&quot;&quot;},{&quot;family&quot;:&quot;Luo&quot;,&quot;given&quot;:&quot;Dijun&quot;,&quot;parse-names&quot;:false,&quot;dropping-particle&quot;:&quot;&quot;,&quot;non-dropping-particle&quot;:&quot;&quot;},{&quot;family&quot;:&quot;Yang&quot;,&quot;given&quot;:&quot;Jie&quot;,&quot;parse-names&quot;:false,&quot;dropping-particle&quot;:&quot;&quot;,&quot;non-dropping-particle&quot;:&quot;&quot;},{&quot;family&quot;:&quot;Ji&quot;,&quot;given&quot;:&quot;Gaohua&quot;,&quot;parse-names&quot;:false,&quot;dropping-particle&quot;:&quot;&quot;,&quot;non-dropping-particle&quot;:&quot;&quot;},{&quot;family&quot;:&quot;Wu&quot;,&quot;given&quot;:&quot;Xugan&quot;,&quot;parse-names&quot;:false,&quot;dropping-particle&quot;:&quot;&quot;,&quot;non-dropping-particle&quot;:&quot;&quot;}],&quot;container-title&quot;:&quot;Biology&quot;,&quot;container-title-short&quot;:&quot;Biology (Basel).&quot;,&quot;ISSN&quot;:&quot;2079-7737&quot;,&quot;issued&quot;:{&quot;date-parts&quot;:[[2026]]},&quot;page&quot;:&quot;286&quot;,&quot;publisher&quot;:&quot;Multidisciplinary Digital Publishing Institute&quot;,&quot;issue&quot;:&quot;3&quot;,&quot;volume&quot;:&quot;15&quot;},&quot;isTemporary&quot;:false}]},{&quot;citationID&quot;:&quot;MENDELEY_CITATION_7dd34ec7-92b8-4037-b5e4-4566332f1b2e&quot;,&quot;properties&quot;:{&quot;noteIndex&quot;:0},&quot;isEdited&quot;:false,&quot;manualOverride&quot;:{&quot;isManuallyOverridden&quot;:false,&quot;citeprocText&quot;:&quot;(Uddin et al., 2007)&quot;,&quot;manualOverrideText&quot;:&quot;&quot;},&quot;citationTag&quot;:&quot;MENDELEY_CITATION_v3_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&quot;,&quot;citationItems&quot;:[{&quot;id&quot;:&quot;e671f56b-261b-346d-863f-60af740a41e8&quot;,&quot;itemData&quot;:{&quot;type&quot;:&quot;article-journal&quot;,&quot;id&quot;:&quot;e671f56b-261b-346d-863f-60af740a41e8&quot;,&quot;title&quot;:&quot;Temporal and spatial variation of dissolved nutrients in the lower Meghna River estuary, Bangladesh&quot;,&quot;author&quot;:[{&quot;family&quot;:&quot;Uddin&quot;,&quot;given&quot;:&quot;M M&quot;,&quot;parse-names&quot;:false,&quot;dropping-particle&quot;:&quot;&quot;,&quot;non-dropping-particle&quot;:&quot;&quot;},{&quot;family&quot;:&quot;Chowdhury&quot;,&quot;given&quot;:&quot;S R&quot;,&quot;parse-names&quot;:false,&quot;dropping-particle&quot;:&quot;&quot;,&quot;non-dropping-particle&quot;:&quot;&quot;},{&quot;family&quot;:&quot;Zafar&quot;,&quot;given&quot;:&quot;M&quot;,&quot;parse-names&quot;:false,&quot;dropping-particle&quot;:&quot;&quot;,&quot;non-dropping-particle&quot;:&quot;&quot;},{&quot;family&quot;:&quot;Nessa&quot;,&quot;given&quot;:&quot;M U&quot;,&quot;parse-names&quot;:false,&quot;dropping-particle&quot;:&quot;&quot;,&quot;non-dropping-particle&quot;:&quot;&quot;}],&quot;container-title&quot;:&quot;Khulna University Studies&quot;,&quot;ISSN&quot;:&quot;2789-2697&quot;,&quot;issued&quot;:{&quot;date-parts&quot;:[[2007]]},&quot;page&quot;:&quot;117-124&quot;,&quot;container-title-short&quot;:&quot;&quot;},&quot;isTemporary&quot;:false}]},{&quot;citationID&quot;:&quot;MENDELEY_CITATION_94f164c8-66b3-495d-9341-481ff5aa1239&quot;,&quot;properties&quot;:{&quot;noteIndex&quot;:0},&quot;isEdited&quot;:false,&quot;manualOverride&quot;:{&quot;isManuallyOverridden&quot;:false,&quot;citeprocText&quot;:&quot;(Wurts &amp;#38; Durborow, 1992)&quot;,&quot;manualOverrideText&quot;:&quot;&quot;},&quot;citationTag&quot;:&quot;MENDELEY_CITATION_v3_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&quot;,&quot;citationItems&quot;:[{&quot;id&quot;:&quot;cbf3db9b-3511-3c3d-b0b0-6e33bc8735ca&quot;,&quot;itemData&quot;:{&quot;type&quot;:&quot;article-journal&quot;,&quot;id&quot;:&quot;cbf3db9b-3511-3c3d-b0b0-6e33bc8735ca&quot;,&quot;title&quot;:&quot;Interactions of pH, carbon dioxide, alkalinity and hardness in fish ponds&quot;,&quot;author&quot;:[{&quot;family&quot;:&quot;Wurts&quot;,&quot;given&quot;:&quot;William A&quot;,&quot;parse-names&quot;:false,&quot;dropping-particle&quot;:&quot;&quot;,&quot;non-dropping-particle&quot;:&quot;&quot;},{&quot;family&quot;:&quot;Durborow&quot;,&quot;given&quot;:&quot;Robert M&quot;,&quot;parse-names&quot;:false,&quot;dropping-particle&quot;:&quot;&quot;,&quot;non-dropping-particle&quot;:&quot;&quot;}],&quot;issued&quot;:{&quot;date-parts&quot;:[[1992]]},&quot;publisher&quot;:&quot;Southern Regional Aquaculture Center Stoneville, Mississippi&quot;,&quot;container-title-short&quot;:&quot;&quot;},&quot;isTemporary&quot;:false}]},{&quot;citationID&quot;:&quot;MENDELEY_CITATION_11a391e7-5b43-449b-baa7-dff8ae56cb72&quot;,&quot;properties&quot;:{&quot;noteIndex&quot;:0},&quot;isEdited&quot;:false,&quot;manualOverride&quot;:{&quot;isManuallyOverridden&quot;:false,&quot;citeprocText&quot;:&quot;(Boyd, 1990)&quot;,&quot;manualOverrideText&quot;:&quot;&quot;},&quot;citationTag&quot;:&quot;MENDELEY_CITATION_v3_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&quot;,&quot;citationItems&quot;:[{&quot;id&quot;:&quot;95128fc0-3768-32d7-88cd-2e9198bd142b&quot;,&quot;itemData&quot;:{&quot;type&quot;:&quot;article-journal&quot;,&quot;id&quot;:&quot;95128fc0-3768-32d7-88cd-2e9198bd142b&quot;,&quot;title&quot;:&quot;Water quality in ponds for aquaculture. Auburn University, Alabama agricultural experiment station&quot;,&quot;author&quot;:[{&quot;family&quot;:&quot;Boyd&quot;,&quot;given&quot;:&quot;C E&quot;,&quot;parse-names&quot;:false,&quot;dropping-particle&quot;:&quot;&quot;,&quot;non-dropping-particle&quot;:&quot;&quot;}],&quot;container-title&quot;:&quot;Science&quot;,&quot;container-title-short&quot;:&quot;Science (1979).&quot;,&quot;issued&quot;:{&quot;date-parts&quot;:[[1990]]},&quot;volume&quot;:&quot;482&quot;},&quot;isTemporary&quot;:false}]},{&quot;citationID&quot;:&quot;MENDELEY_CITATION_f60971b4-def0-4c09-9e6a-e04b2bb17cbd&quot;,&quot;properties&quot;:{&quot;noteIndex&quot;:0},&quot;isEdited&quot;:false,&quot;manualOverride&quot;:{&quot;isManuallyOverridden&quot;:false,&quot;citeprocText&quot;:&quot;(Tucker &amp;#38; D’Abramo, 2008)&quot;,&quot;manualOverrideText&quot;:&quot;&quot;},&quot;citationTag&quot;:&quot;MENDELEY_CITATION_v3_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&quot;,&quot;citationItems&quot;:[{&quot;id&quot;:&quot;07a23fa8-f4c2-3216-8ed4-f73d3fccfcc3&quot;,&quot;itemData&quot;:{&quot;type&quot;:&quot;book&quot;,&quot;id&quot;:&quot;07a23fa8-f4c2-3216-8ed4-f73d3fccfcc3&quot;,&quot;title&quot;:&quot;Managing high pH in freshwater ponds&quot;,&quot;author&quot;:[{&quot;family&quot;:&quot;Tucker&quot;,&quot;given&quot;:&quot;Craig S&quot;,&quot;parse-names&quot;:false,&quot;dropping-particle&quot;:&quot;&quot;,&quot;non-dropping-particle&quot;:&quot;&quot;},{&quot;family&quot;:&quot;D’Abramo&quot;,&quot;given&quot;:&quot;Louis R&quot;,&quot;parse-names&quot;:false,&quot;dropping-particle&quot;:&quot;&quot;,&quot;non-dropping-particle&quot;:&quot;&quot;}],&quot;issued&quot;:{&quot;date-parts&quot;:[[2008]]},&quot;publisher&quot;:&quot;Southern Regional Aquaculture Center Stoneville&quot;,&quot;container-title-short&quot;:&quot;&quot;},&quot;isTemporary&quot;:false}]},{&quot;citationID&quot;:&quot;MENDELEY_CITATION_2aaa9380-47d9-46f3-a942-4dee78ab21af&quot;,&quot;properties&quot;:{&quot;noteIndex&quot;:0},&quot;isEdited&quot;:false,&quot;manualOverride&quot;:{&quot;isManuallyOverridden&quot;:false,&quot;citeprocText&quot;:&quot;(Jin et al., 2025; Sun et al., 2024)&quot;,&quot;manualOverrideText&quot;:&quot;&quot;},&quot;citationTag&quot;:&quot;MENDELEY_CITATION_v3_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&quot;,&quot;citationItems&quot;:[{&quot;id&quot;:&quot;e2ffdb6c-fc4c-3919-a713-c6247776efd7&quot;,&quot;itemData&quot;:{&quot;type&quot;:&quot;article-journal&quot;,&quot;id&quot;:&quot;e2ffdb6c-fc4c-3919-a713-c6247776efd7&quot;,&quot;title&quot;:&quot;The impact of acute ammonia nitrogen stress on serum biochemical indicators and spleen gene expression in juvenile yellowfin tuna (Thunnus albacares)&quot;,&quot;author&quot;:[{&quot;family&quot;:&quot;Sun&quot;,&quot;given&quot;:&quot;Yongyue&quot;,&quot;parse-names&quot;:false,&quot;dropping-particle&quot;:&quot;&quot;,&quot;non-dropping-particle&quot;:&quot;&quot;},{&quot;family&quot;:&quot;Fu&quot;,&quot;given&quot;:&quot;Zhengyi&quot;,&quot;parse-names&quot;:false,&quot;dropping-particle&quot;:&quot;&quot;,&quot;non-dropping-particle&quot;:&quot;&quot;},{&quot;family&quot;:&quot;Ma&quot;,&quot;given&quot;:&quot;Zhenhua&quot;,&quot;parse-names&quot;:false,&quot;dropping-particle&quot;:&quot;&quot;,&quot;non-dropping-particle&quot;:&quot;&quot;}],&quot;container-title&quot;:&quot;Animals&quot;,&quot;ISSN&quot;:&quot;2076-2615&quot;,&quot;issued&quot;:{&quot;date-parts&quot;:[[2024]]},&quot;page&quot;:&quot;3090&quot;,&quot;publisher&quot;:&quot;MDPI&quot;,&quot;issue&quot;:&quot;21&quot;,&quot;volume&quot;:&quot;14&quot;,&quot;container-title-short&quot;:&quot;&quot;},&quot;isTemporary&quot;:false},{&quot;id&quot;:&quot;954161fc-06a6-38f0-bca3-284602496f9b&quot;,&quot;itemData&quot;:{&quot;type&quot;:&quot;article-journal&quot;,&quot;id&quot;:&quot;954161fc-06a6-38f0-bca3-284602496f9b&quot;,&quot;title&quot;:&quot;Effects of ammonia nitrogen stress on liver tissue structure and physiological indicators, and metabolomic analysis of juvenile four-finger threadfin (Eleutheronema tetradactylum)&quot;,&quot;author&quot;:[{&quot;family&quot;:&quot;Jin&quot;,&quot;given&quot;:&quot;Jing-Hui&quot;,&quot;parse-names&quot;:false,&quot;dropping-particle&quot;:&quot;&quot;,&quot;non-dropping-particle&quot;:&quot;&quot;},{&quot;family&quot;:&quot;Wang&quot;,&quot;given&quot;:&quot;Hao-Jie&quot;,&quot;parse-names&quot;:false,&quot;dropping-particle&quot;:&quot;&quot;,&quot;non-dropping-particle&quot;:&quot;&quot;},{&quot;family&quot;:&quot;Amenyogbe&quot;,&quot;given&quot;:&quot;Eric&quot;,&quot;parse-names&quot;:false,&quot;dropping-particle&quot;:&quot;&quot;,&quot;non-dropping-particle&quot;:&quot;&quot;},{&quot;family&quot;:&quot;Lu&quot;,&quot;given&quot;:&quot;Yi&quot;,&quot;parse-names&quot;:false,&quot;dropping-particle&quot;:&quot;&quot;,&quot;non-dropping-particle&quot;:&quot;&quot;},{&quot;family&quot;:&quot;Xie&quot;,&quot;given&quot;:&quot;Rui-Tao&quot;,&quot;parse-names&quot;:false,&quot;dropping-particle&quot;:&quot;&quot;,&quot;non-dropping-particle&quot;:&quot;&quot;},{&quot;family&quot;:&quot;Wang&quot;,&quot;given&quot;:&quot;Zhong-Liang&quot;,&quot;parse-names&quot;:false,&quot;dropping-particle&quot;:&quot;&quot;,&quot;non-dropping-particle&quot;:&quot;&quot;},{&quot;family&quot;:&quot;Huang&quot;,&quot;given&quot;:&quot;Jian-Sheng&quot;,&quot;parse-names&quot;:false,&quot;dropping-particle&quot;:&quot;&quot;,&quot;non-dropping-particle&quot;:&quot;&quot;}],&quot;container-title&quot;:&quot;Frontiers in Marine Science&quot;,&quot;container-title-short&quot;:&quot;Front. Mar. Sci.&quot;,&quot;ISSN&quot;:&quot;2296-7745&quot;,&quot;issued&quot;:{&quot;date-parts&quot;:[[2025]]},&quot;page&quot;:&quot;1549668&quot;,&quot;publisher&quot;:&quot;Frontiers Media SA&quot;,&quot;volume&quot;:&quot;12&quot;},&quot;isTemporary&quot;:false}]},{&quot;citationID&quot;:&quot;MENDELEY_CITATION_c2fa0d0c-d1e9-446a-8334-673500ac1ebe&quot;,&quot;properties&quot;:{&quot;noteIndex&quot;:0},&quot;isEdited&quot;:false,&quot;manualOverride&quot;:{&quot;isManuallyOverridden&quot;:false,&quot;citeprocText&quot;:&quot;(Lu et al., 2023)&quot;,&quot;manualOverrideText&quot;:&quot;&quot;},&quot;citationTag&quot;:&quot;MENDELEY_CITATION_v3_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&quot;,&quot;citationItems&quot;:[{&quot;id&quot;:&quot;c746f6e3-5250-3086-b5e1-1b04d2b55e3f&quot;,&quot;itemData&quot;:{&quot;type&quot;:&quot;article-journal&quot;,&quot;id&quot;:&quot;c746f6e3-5250-3086-b5e1-1b04d2b55e3f&quot;,&quot;title&quot;:&quot;The Requirement and Protective Effects of Dietary Protein against Chronic Ammonia Exposure in Juvenile Genetically Improved Farmed Tilapia (Oreochromis niloticus)&quot;,&quot;author&quot;:[{&quot;family&quot;:&quot;Lu&quot;,&quot;given&quot;:&quot;Xing&quot;,&quot;parse-names&quot;:false,&quot;dropping-particle&quot;:&quot;&quot;,&quot;non-dropping-particle&quot;:&quot;&quot;},{&quot;family&quot;:&quot;Ji&quot;,&quot;given&quot;:&quot;Zhe-Hui&quot;,&quot;parse-names&quot;:false,&quot;dropping-particle&quot;:&quot;&quot;,&quot;non-dropping-particle&quot;:&quot;&quot;},{&quot;family&quot;:&quot;Wang&quot;,&quot;given&quot;:&quot;Mei-Zi&quot;,&quot;parse-names&quot;:false,&quot;dropping-particle&quot;:&quot;&quot;,&quot;non-dropping-particle&quot;:&quot;&quot;},{&quot;family&quot;:&quot;Tian&quot;,&quot;given&quot;:&quot;Juan&quot;,&quot;parse-names&quot;:false,&quot;dropping-particle&quot;:&quot;&quot;,&quot;non-dropping-particle&quot;:&quot;&quot;},{&quot;family&quot;:&quot;Dong&quot;,&quot;given&quot;:&quot;Li-Xue&quot;,&quot;parse-names&quot;:false,&quot;dropping-particle&quot;:&quot;&quot;,&quot;non-dropping-particle&quot;:&quot;&quot;},{&quot;family&quot;:&quot;Guo&quot;,&quot;given&quot;:&quot;Zhong-Bao&quot;,&quot;parse-names&quot;:false,&quot;dropping-particle&quot;:&quot;&quot;,&quot;non-dropping-particle&quot;:&quot;&quot;},{&quot;family&quot;:&quot;Luo&quot;,&quot;given&quot;:&quot;Yong-Ju&quot;,&quot;parse-names&quot;:false,&quot;dropping-particle&quot;:&quot;&quot;,&quot;non-dropping-particle&quot;:&quot;&quot;},{&quot;family&quot;:&quot;Wen&quot;,&quot;given&quot;:&quot;Hua&quot;,&quot;parse-names&quot;:false,&quot;dropping-particle&quot;:&quot;&quot;,&quot;non-dropping-particle&quot;:&quot;&quot;},{&quot;family&quot;:&quot;Jiang&quot;,&quot;given&quot;:&quot;Ming&quot;,&quot;parse-names&quot;:false,&quot;dropping-particle&quot;:&quot;&quot;,&quot;non-dropping-particle&quot;:&quot;&quot;}],&quot;container-title&quot;:&quot;Aquaculture Nutrition&quot;,&quot;container-title-short&quot;:&quot;Aquac. Nutr.&quot;,&quot;DOI&quot;:&quot;10.1155/2023/6306517&quot;,&quot;ISSN&quot;:&quot;1365-2095&quot;,&quot;issued&quot;:{&quot;date-parts&quot;:[[2023,5,30]]},&quot;page&quot;:&quot;1-11&quot;,&quot;abstract&quot;:&quot;&lt;p&gt; Ammonia is a key risk factor in intensive aquaculture systems. This experiment is aimed at investigating the influence of dietary protein levels on genetically improved farmed tilapia (GIFT, Oreochromis niloticus) under chronic ammonia stress. GIFT juveniles of &lt;inline-formula&gt; &lt;math id=\&quot;M1\&quot;&gt; &lt;mn&gt;4.00&lt;/mn&gt; &lt;mo&gt;±&lt;/mo&gt; &lt;mn&gt;0.55&lt;/mn&gt; &lt;/math&gt; &lt;/inline-formula&gt;  g were exposed to high ammonia level at 0.88 mg/L and fed with six diets comprising graded protein levels at 22.64%, 27.26%, 31.04%, 35.63%, 38.47%, and 42.66% for 8 weeks. The fish in negative control was fed the diet with 31.04% protein in normal water (0.02 mg ammonia/L water). Our results showed that high ammonia exposure (0.88 mg/L) caused significant decrease in fish growth performance, hematological parameters, liver antioxidant enzymes (catalase and glutathione peroxidase), and gill Na+- and K+-dependent adenosine triphosphatase (Na+/K+-ATP) activity. When fish were under high ammonia exposure, the weight gain rate, special growth rate, feed efficiency, and survival rate elevated significantly with dietary protein supplementation increase to 35.63%, whereas protein efficiency ratio, hepatosomatic index, and viscerosomatic index showed a decreased tendency. Dietary protein administration significantly enhanced crude protein but reduced crude lipid contents in the whole fish. Fish fed diets with 35.63%-42.66% protein had higher red blood cell counts and hematocrit percentage than fish fed 22.64% protein diet. The values of serum biochemical indices (lactate dehydrogenase, aspartate aminotransferase, and alanine aminotransferase), hepatic antioxidant enzymes (superoxide dismutase, catalase, and glutathione peroxidase), and gill Na+/K+-ATP activity were all elevated with the increment of dietary protein. Moreover, histological analysis indicated that dietary protein administration could prevent the ammonia-induced damages in fish gill, kidney, and liver tissues. Based on weight gain rate as a response criterion, the optimal dietary protein requirement for GIFT juveniles under chronic ammonia stress was 37.9%. &lt;/p&gt;&quot;,&quot;volume&quot;:&quot;2023&quot;},&quot;isTemporary&quot;:false}]},{&quot;citationID&quot;:&quot;MENDELEY_CITATION_f004e66b-d181-4232-9cb0-2adb7d38d4e9&quot;,&quot;properties&quot;:{&quot;noteIndex&quot;:0},&quot;isEdited&quot;:false,&quot;manualOverride&quot;:{&quot;isManuallyOverridden&quot;:true,&quot;citeprocText&quot;:&quot;(Torres-Beristain et al., 2006)&quot;,&quot;manualOverrideText&quot;:&quot;(Torres-Beristain et al., 2006).&quot;},&quot;citationTag&quot;:&quot;MENDELEY_CITATION_v3_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&quot;,&quot;citationItems&quot;:[{&quot;id&quot;:&quot;3bac2b28-0829-34a8-95ce-c9ec4a5925c1&quot;,&quot;itemData&quot;:{&quot;type&quot;:&quot;article-journal&quot;,&quot;id&quot;:&quot;3bac2b28-0829-34a8-95ce-c9ec4a5925c1&quot;,&quot;title&quot;:&quot;Decomposition of high protein aquaculture feed under variable oxic conditions&quot;,&quot;author&quot;:[{&quot;family&quot;:&quot;Torres-Beristain&quot;,&quot;given&quot;:&quot;Beatriz&quot;,&quot;parse-names&quot;:false,&quot;dropping-particle&quot;:&quot;&quot;,&quot;non-dropping-particle&quot;:&quot;&quot;},{&quot;family&quot;:&quot;Verdegem&quot;,&quot;given&quot;:&quot;Marc&quot;,&quot;parse-names&quot;:false,&quot;dropping-particle&quot;:&quot;&quot;,&quot;non-dropping-particle&quot;:&quot;&quot;},{&quot;family&quot;:&quot;Kerepeczki&quot;,&quot;given&quot;:&quot;Eva&quot;,&quot;parse-names&quot;:false,&quot;dropping-particle&quot;:&quot;&quot;,&quot;non-dropping-particle&quot;:&quot;&quot;},{&quot;family&quot;:&quot;Verreth&quot;,&quot;given&quot;:&quot;Johan&quot;,&quot;parse-names&quot;:false,&quot;dropping-particle&quot;:&quot;&quot;,&quot;non-dropping-particle&quot;:&quot;&quot;}],&quot;container-title&quot;:&quot;Water research&quot;,&quot;container-title-short&quot;:&quot;Water Res.&quot;,&quot;ISSN&quot;:&quot;0043-1354&quot;,&quot;issued&quot;:{&quot;date-parts&quot;:[[2006]]},&quot;page&quot;:&quot;1341-1350&quot;,&quot;publisher&quot;:&quot;Elsevier&quot;,&quot;issue&quot;:&quot;7&quot;,&quot;volume&quot;:&quot;40&quot;},&quot;isTemporary&quot;:false}]},{&quot;citationID&quot;:&quot;MENDELEY_CITATION_8ffb3df6-eafc-4b91-b90a-50f5bfaecdc5&quot;,&quot;properties&quot;:{&quot;noteIndex&quot;:0},&quot;isEdited&quot;:false,&quot;manualOverride&quot;:{&quot;isManuallyOverridden&quot;:false,&quot;citeprocText&quot;:&quot;(Alkhadher et al., 2025)&quot;,&quot;manualOverrideText&quot;:&quot;&quot;},&quot;citationTag&quot;:&quot;MENDELEY_CITATION_v3_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&quot;,&quot;citationItems&quot;:[{&quot;id&quot;:&quot;827be96b-1e5f-3ed5-bd58-db965cc7433b&quot;,&quot;itemData&quot;:{&quot;type&quot;:&quot;article-journal&quot;,&quot;id&quot;:&quot;827be96b-1e5f-3ed5-bd58-db965cc7433b&quot;,&quot;title&quot;:&quot;Seasonal variations in water quality and hydrological dynamics in a tropical reservoir driven by rainfall, runoff, and anthropogenic activities&quot;,&quot;author&quot;:[{&quot;family&quot;:&quot;Alkhadher&quot;,&quot;given&quot;:&quot;Sadeq Abdullah Abdo&quot;,&quot;parse-names&quot;:false,&quot;dropping-particle&quot;:&quot;&quot;,&quot;non-dropping-particle&quot;:&quot;&quot;},{&quot;family&quot;:&quot;Sidek&quot;,&quot;given&quot;:&quot;Lariyah Mohd&quot;,&quot;parse-names&quot;:false,&quot;dropping-particle&quot;:&quot;&quot;,&quot;non-dropping-particle&quot;:&quot;&quot;},{&quot;family&quot;:&quot;Khan&quot;,&quot;given&quot;:&quot;Mohammad Sherjeel Javed&quot;,&quot;parse-names&quot;:false,&quot;dropping-particle&quot;:&quot;&quot;,&quot;non-dropping-particle&quot;:&quot;&quot;},{&quot;family&quot;:&quot;Al-Habshi&quot;,&quot;given&quot;:&quot;Mohammed Mustafa Abdulrahman&quot;,&quot;parse-names&quot;:false,&quot;dropping-particle&quot;:&quot;&quot;,&quot;non-dropping-particle&quot;:&quot;&quot;},{&quot;family&quot;:&quot;Kurniawan&quot;,&quot;given&quot;:&quot;Tonni Agustiono&quot;,&quot;parse-names&quot;:false,&quot;dropping-particle&quot;:&quot;&quot;,&quot;non-dropping-particle&quot;:&quot;&quot;}],&quot;container-title&quot;:&quot;Scientific Reports&quot;,&quot;container-title-short&quot;:&quot;Sci. Rep.&quot;,&quot;DOI&quot;:&quot;10.1038/s41598-025-09808-z&quot;,&quot;ISSN&quot;:&quot;2045-2322&quot;,&quot;issued&quot;:{&quot;date-parts&quot;:[[2025,10,13]]},&quot;page&quot;:&quot;35589&quot;,&quot;issue&quot;:&quot;1&quot;,&quot;volume&quot;:&quot;15&quot;},&quot;isTemporary&quot;:false}]},{&quot;citationID&quot;:&quot;MENDELEY_CITATION_4ce426c6-4adc-453e-8f48-49e239bba8fc&quot;,&quot;properties&quot;:{&quot;noteIndex&quot;:0},&quot;isEdited&quot;:false,&quot;manualOverride&quot;:{&quot;isManuallyOverridden&quot;:false,&quot;citeprocText&quot;:&quot;(Zhou et al., 2022)&quot;,&quot;manualOverrideText&quot;:&quot;&quot;},&quot;citationTag&quot;:&quot;MENDELEY_CITATION_v3_eyJjaXRhdGlvbklEIjoiTUVOREVMRVlfQ0lUQVRJT05fNGNlNDI2YzYtNGFkYy00NTNlLThmNDgtNDllMjM5YmJhOGZj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quot;,&quot;citationItems&quot;:[{&quot;id&quot;:&quot;59799dba-d81d-3f59-887e-b2110a360445&quot;,&quot;itemData&quot;:{&quot;type&quot;:&quot;article-journal&quot;,&quot;id&quot;:&quot;59799dba-d81d-3f59-887e-b2110a360445&quot;,&quot;title&quot;:&quot;Ecophysiological characterization of a nitrite-oxidizing bacterial culture from a freshwater aquaculture pond&quot;,&quot;author&quot;:[{&quot;family&quot;:&quot;Zhou&quot;,&quot;given&quot;:&quot;Runfeng&quot;,&quot;parse-names&quot;:false,&quot;dropping-particle&quot;:&quot;&quot;,&quot;non-dropping-particle&quot;:&quot;&quot;},{&quot;family&quot;:&quot;Li&quot;,&quot;given&quot;:&quot;Yayuan&quot;,&quot;parse-names&quot;:false,&quot;dropping-particle&quot;:&quot;&quot;,&quot;non-dropping-particle&quot;:&quot;&quot;},{&quot;family&quot;:&quot;Xiao&quot;,&quot;given&quot;:&quot;Shuwen&quot;,&quot;parse-names&quot;:false,&quot;dropping-particle&quot;:&quot;&quot;,&quot;non-dropping-particle&quot;:&quot;&quot;},{&quot;family&quot;:&quot;Liu&quot;,&quot;given&quot;:&quot;Xingguo&quot;,&quot;parse-names&quot;:false,&quot;dropping-particle&quot;:&quot;&quot;,&quot;non-dropping-particle&quot;:&quot;&quot;},{&quot;family&quot;:&quot;Liu&quot;,&quot;given&quot;:&quot;Chong&quot;,&quot;parse-names&quot;:false,&quot;dropping-particle&quot;:&quot;&quot;,&quot;non-dropping-particle&quot;:&quot;&quot;},{&quot;family&quot;:&quot;Cheng&quot;,&quot;given&quot;:&quot;Guofeng&quot;,&quot;parse-names&quot;:false,&quot;dropping-particle&quot;:&quot;&quot;,&quot;non-dropping-particle&quot;:&quot;&quot;},{&quot;family&quot;:&quot;Zhang&quot;,&quot;given&quot;:&quot;Wang&quot;,&quot;parse-names&quot;:false,&quot;dropping-particle&quot;:&quot;&quot;,&quot;non-dropping-particle&quot;:&quot;&quot;},{&quot;family&quot;:&quot;Lu&quot;,&quot;given&quot;:&quot;Shimin&quot;,&quot;parse-names&quot;:false,&quot;dropping-particle&quot;:&quot;&quot;,&quot;non-dropping-particle&quot;:&quot;&quot;}],&quot;container-title&quot;:&quot;Biotechnology &amp; Biotechnological Equipment&quot;,&quot;ISSN&quot;:&quot;1310-2818&quot;,&quot;issued&quot;:{&quot;date-parts&quot;:[[2022]]},&quot;page&quot;:&quot;891-901&quot;,&quot;publisher&quot;:&quot;Taylor &amp; Francis&quot;,&quot;issue&quot;:&quot;1&quot;,&quot;volume&quot;:&quot;36&quot;,&quot;container-title-short&quot;:&quot;&quot;},&quot;isTemporary&quot;:false}]},{&quot;citationID&quot;:&quot;MENDELEY_CITATION_be5f40d8-c922-44d4-83bd-4427a8c310ed&quot;,&quot;properties&quot;:{&quot;noteIndex&quot;:0},&quot;isEdited&quot;:false,&quot;manualOverride&quot;:{&quot;isManuallyOverridden&quot;:false,&quot;citeprocText&quot;:&quot;(Effendi et al., 2020)&quot;,&quot;manualOverrideText&quot;:&quot;&quot;},&quot;citationTag&quot;:&quot;MENDELEY_CITATION_v3_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&quot;,&quot;citationItems&quot;:[{&quot;id&quot;:&quot;9ff04d2c-8e3d-376e-b8fe-df3a786e1c06&quot;,&quot;itemData&quot;:{&quot;type&quot;:&quot;article-journal&quot;,&quot;id&quot;:&quot;9ff04d2c-8e3d-376e-b8fe-df3a786e1c06&quot;,&quot;title&quot;:&quot;Ammonia and orthophosphate removal of tilapia cultivation wastewater with Vetiveria zizanioides&quot;,&quot;author&quot;:[{&quot;family&quot;:&quot;Effendi&quot;,&quot;given&quot;:&quot;Hefni&quot;,&quot;parse-names&quot;:false,&quot;dropping-particle&quot;:&quot;&quot;,&quot;non-dropping-particle&quot;:&quot;&quot;},{&quot;family&quot;:&quot;Utomo&quot;,&quot;given&quot;:&quot;Bagus A&quot;,&quot;parse-names&quot;:false,&quot;dropping-particle&quot;:&quot;&quot;,&quot;non-dropping-particle&quot;:&quot;&quot;},{&quot;family&quot;:&quot;Pratiwi&quot;,&quot;given&quot;:&quot;Niken T M&quot;,&quot;parse-names&quot;:false,&quot;dropping-particle&quot;:&quot;&quot;,&quot;non-dropping-particle&quot;:&quot;&quot;}],&quot;container-title&quot;:&quot;Journal of King Saud University-Science&quot;,&quot;ISSN&quot;:&quot;1018-3647&quot;,&quot;issued&quot;:{&quot;date-parts&quot;:[[2020]]},&quot;page&quot;:&quot;207-212&quot;,&quot;publisher&quot;:&quot;Elsevier&quot;,&quot;issue&quot;:&quot;1&quot;,&quot;volume&quot;:&quot;32&quot;,&quot;container-title-short&quot;:&quot;&quot;},&quot;isTemporary&quot;:false}]},{&quot;citationID&quot;:&quot;MENDELEY_CITATION_c5bc6231-0d36-4ee0-81af-15804b16ecde&quot;,&quot;properties&quot;:{&quot;noteIndex&quot;:0},&quot;isEdited&quot;:false,&quot;manualOverride&quot;:{&quot;isManuallyOverridden&quot;:false,&quot;citeprocText&quot;:&quot;(Zhou et al., 2022)&quot;,&quot;manualOverrideText&quot;:&quot;&quot;},&quot;citationTag&quot;:&quot;MENDELEY_CITATION_v3_eyJjaXRhdGlvbklEIjoiTUVOREVMRVlfQ0lUQVRJT05fYzViYzYyMzEtMGQzNi00ZWUwLTgxYWYtMTU4MDRiMTZlY2Rl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quot;,&quot;citationItems&quot;:[{&quot;id&quot;:&quot;59799dba-d81d-3f59-887e-b2110a360445&quot;,&quot;itemData&quot;:{&quot;type&quot;:&quot;article-journal&quot;,&quot;id&quot;:&quot;59799dba-d81d-3f59-887e-b2110a360445&quot;,&quot;title&quot;:&quot;Ecophysiological characterization of a nitrite-oxidizing bacterial culture from a freshwater aquaculture pond&quot;,&quot;author&quot;:[{&quot;family&quot;:&quot;Zhou&quot;,&quot;given&quot;:&quot;Runfeng&quot;,&quot;parse-names&quot;:false,&quot;dropping-particle&quot;:&quot;&quot;,&quot;non-dropping-particle&quot;:&quot;&quot;},{&quot;family&quot;:&quot;Li&quot;,&quot;given&quot;:&quot;Yayuan&quot;,&quot;parse-names&quot;:false,&quot;dropping-particle&quot;:&quot;&quot;,&quot;non-dropping-particle&quot;:&quot;&quot;},{&quot;family&quot;:&quot;Xiao&quot;,&quot;given&quot;:&quot;Shuwen&quot;,&quot;parse-names&quot;:false,&quot;dropping-particle&quot;:&quot;&quot;,&quot;non-dropping-particle&quot;:&quot;&quot;},{&quot;family&quot;:&quot;Liu&quot;,&quot;given&quot;:&quot;Xingguo&quot;,&quot;parse-names&quot;:false,&quot;dropping-particle&quot;:&quot;&quot;,&quot;non-dropping-particle&quot;:&quot;&quot;},{&quot;family&quot;:&quot;Liu&quot;,&quot;given&quot;:&quot;Chong&quot;,&quot;parse-names&quot;:false,&quot;dropping-particle&quot;:&quot;&quot;,&quot;non-dropping-particle&quot;:&quot;&quot;},{&quot;family&quot;:&quot;Cheng&quot;,&quot;given&quot;:&quot;Guofeng&quot;,&quot;parse-names&quot;:false,&quot;dropping-particle&quot;:&quot;&quot;,&quot;non-dropping-particle&quot;:&quot;&quot;},{&quot;family&quot;:&quot;Zhang&quot;,&quot;given&quot;:&quot;Wang&quot;,&quot;parse-names&quot;:false,&quot;dropping-particle&quot;:&quot;&quot;,&quot;non-dropping-particle&quot;:&quot;&quot;},{&quot;family&quot;:&quot;Lu&quot;,&quot;given&quot;:&quot;Shimin&quot;,&quot;parse-names&quot;:false,&quot;dropping-particle&quot;:&quot;&quot;,&quot;non-dropping-particle&quot;:&quot;&quot;}],&quot;container-title&quot;:&quot;Biotechnology &amp; Biotechnological Equipment&quot;,&quot;ISSN&quot;:&quot;1310-2818&quot;,&quot;issued&quot;:{&quot;date-parts&quot;:[[2022]]},&quot;page&quot;:&quot;891-901&quot;,&quot;publisher&quot;:&quot;Taylor &amp; Francis&quot;,&quot;issue&quot;:&quot;1&quot;,&quot;volume&quot;:&quot;36&quot;,&quot;container-title-short&quot;:&quot;&quot;},&quot;isTemporary&quot;:false}]},{&quot;citationID&quot;:&quot;MENDELEY_CITATION_2efc68ef-320a-46bd-8133-cde375748388&quot;,&quot;properties&quot;:{&quot;noteIndex&quot;:0},&quot;isEdited&quot;:false,&quot;manualOverride&quot;:{&quot;isManuallyOverridden&quot;:false,&quot;citeprocText&quot;:&quot;(Jiang et al., 2021)&quot;,&quot;manualOverrideText&quot;:&quot;&quot;},&quot;citationTag&quot;:&quot;MENDELEY_CITATION_v3_eyJjaXRhdGlvbklEIjoiTUVOREVMRVlfQ0lUQVRJT05fMmVmYzY4ZWYtMzIwYS00NmJkLTgxMzMtY2RlMzc1NzQ4Mzg4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quot;,&quot;citationItems&quot;:[{&quot;id&quot;:&quot;6c631dbd-83b4-381a-a89c-fa23fa2d79ba&quot;,&quot;itemData&quot;:{&quot;type&quot;:&quot;article-journal&quot;,&quot;id&quot;:&quot;6c631dbd-83b4-381a-a89c-fa23fa2d79ba&quot;,&quot;title&quot;:&quot;Effects of temperature, dissolved oxygen, and their interaction on the growth performance and condition of rainbow trout (Oncorhynchus mykiss)&quot;,&quot;author&quot;:[{&quot;family&quot;:&quot;Jiang&quot;,&quot;given&quot;:&quot;Xuyang&quot;,&quot;parse-names&quot;:false,&quot;dropping-particle&quot;:&quot;&quot;,&quot;non-dropping-particle&quot;:&quot;&quot;},{&quot;family&quot;:&quot;Dong&quot;,&quot;given&quot;:&quot;Shuanglin&quot;,&quot;parse-names&quot;:false,&quot;dropping-particle&quot;:&quot;&quot;,&quot;non-dropping-particle&quot;:&quot;&quot;},{&quot;family&quot;:&quot;Liu&quot;,&quot;given&quot;:&quot;Rongxin&quot;,&quot;parse-names&quot;:false,&quot;dropping-particle&quot;:&quot;&quot;,&quot;non-dropping-particle&quot;:&quot;&quot;},{&quot;family&quot;:&quot;Huang&quot;,&quot;given&quot;:&quot;Ming&quot;,&quot;parse-names&quot;:false,&quot;dropping-particle&quot;:&quot;&quot;,&quot;non-dropping-particle&quot;:&quot;&quot;},{&quot;family&quot;:&quot;Dong&quot;,&quot;given&quot;:&quot;Kang&quot;,&quot;parse-names&quot;:false,&quot;dropping-particle&quot;:&quot;&quot;,&quot;non-dropping-particle&quot;:&quot;&quot;},{&quot;family&quot;:&quot;Ge&quot;,&quot;given&quot;:&quot;Jian&quot;,&quot;parse-names&quot;:false,&quot;dropping-particle&quot;:&quot;&quot;,&quot;non-dropping-particle&quot;:&quot;&quot;},{&quot;family&quot;:&quot;Gao&quot;,&quot;given&quot;:&quot;Qinfeng&quot;,&quot;parse-names&quot;:false,&quot;dropping-particle&quot;:&quot;&quot;,&quot;non-dropping-particle&quot;:&quot;&quot;},{&quot;family&quot;:&quot;Zhou&quot;,&quot;given&quot;:&quot;Yangen&quot;,&quot;parse-names&quot;:false,&quot;dropping-particle&quot;:&quot;&quot;,&quot;non-dropping-particle&quot;:&quot;&quot;}],&quot;container-title&quot;:&quot;Journal of Thermal Biology&quot;,&quot;container-title-short&quot;:&quot;J. Therm. Biol.&quot;,&quot;DOI&quot;:&quot;10.1016/j.jtherbio.2021.102928&quot;,&quot;ISSN&quot;:&quot;03064565&quot;,&quot;issued&quot;:{&quot;date-parts&quot;:[[2021,5]]},&quot;page&quot;:&quot;102928&quot;,&quot;volume&quot;:&quot;98&quot;},&quot;isTemporary&quot;:false}]},{&quot;citationID&quot;:&quot;MENDELEY_CITATION_03508fd6-2e1d-413d-871a-6551c5bc4cc4&quot;,&quot;properties&quot;:{&quot;noteIndex&quot;:0},&quot;isEdited&quot;:false,&quot;manualOverride&quot;:{&quot;isManuallyOverridden&quot;:false,&quot;citeprocText&quot;:&quot;(Maurya et al., 2025)&quot;,&quot;manualOverrideText&quot;:&quot;&quot;},&quot;citationTag&quot;:&quot;MENDELEY_CITATION_v3_eyJjaXRhdGlvbklEIjoiTUVOREVMRVlfQ0lUQVRJT05fMDM1MDhmZDYtMmUxZC00MTNkLTg3MWEtNjU1MWM1YmM0Y2M0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nJlcG9yd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&quot;,&quot;citationItems&quot;:[{&quot;id&quot;:&quot;1ecd97e3-5cf8-3fa0-8b6a-69a16357e494&quot;,&quot;itemData&quot;:{&quot;type&quot;:&quot;report&quot;,&quot;id&quot;:&quot;1ecd97e3-5cf8-3fa0-8b6a-69a16357e494&quot;,&quot;title&quot;:&quot;Seasonal Comparative Assessment of Water Quality Dynamics in Biofloc, Natural Pond and Cage Culture Systems for Culturing Pangasius pangasius&quot;,&quot;author&quot;:[{&quot;family&quot;:&quot;Maurya&quot;,&quot;given&quot;:&quot;Vijay Shankar&quot;,&quot;parse-names&quot;:false,&quot;dropping-particle&quot;:&quot;&quot;,&quot;non-dropping-particle&quot;:&quot;&quot;},{&quot;family&quot;:&quot;Dixit&quot;,&quot;given&quot;:&quot;Mukesh&quot;,&quot;parse-names&quot;:false,&quot;dropping-particle&quot;:&quot;&quot;,&quot;non-dropping-particle&quot;:&quot;&quot;},{&quot;family&quot;:&quot;Vyas&quot;,&quot;given&quot;:&quot;Vipin&quot;,&quot;parse-names&quot;:false,&quot;dropping-particle&quot;:&quot;&quot;,&quot;non-dropping-particle&quot;:&quot;&quot;}],&quot;URL&quot;:&quot;www.ijsdr.org&quot;,&quot;issued&quot;:{&quot;date-parts&quot;:[[2025]]},&quot;abstract&quot;:&quot;The present study was conducted to evaluate the seasonal variations in water quality parameters across three aquaculture systems Biofloc tank, Natural pond, and Cage culture for the cultivation of Pangasius pangasius. The year-long study (October 2023 to September 2024) was carried out at Samradhi Fish Farm, Bhopal, Madhya Pradesh, covering four distinct seasons: Post-Monsoon, Winter, Summer, and Monsoon. All systems were stocked uniformly with P. pangasius fingerlings (average initial weight: 6 g; length: 4 cm) and fed a common formulated diet (30-32% crude protein) twice daily. Water samples were collected monthly and analyzed following standard APHA (2017) protocols to measure key parameters including temperature, pH, dissolved oxygen (DO), ammonia, nitrate, and alkalinity. Results indicated significant seasonal and system-based differences. The Biofloc system showed stable pH and DO levels with moderate ammonia accumulation, and lower nitrate concentrations, suggesting efficient nitrogen cycling due to microbial activity. The natural pond exhibited high pH, DO, and nitrate levels, particularly in winter, reflecting good photosynthetic and nitrification processes. The cage system showed comparatively lower DO and slightly elevated ammonia during the monsoon, likely due to reduced water exchange and stratification. Overall, the Biofloc system demonstrated efficient nutrient recycling, while the natural pond had superior buffering and oxygenation. The findings provide valuable insights into the environmental suitability and management strategies for sustainable Pangasius culture under varying seasonal conditions.&quot;,&quot;container-title-short&quot;:&quot;&quot;},&quot;isTemporary&quot;:false}]},{&quot;citationID&quot;:&quot;MENDELEY_CITATION_9a1dd20d-b331-40e2-a921-90473f5cc4da&quot;,&quot;properties&quot;:{&quot;noteIndex&quot;:0},&quot;isEdited&quot;:false,&quot;manualOverride&quot;:{&quot;isManuallyOverridden&quot;:false,&quot;citeprocText&quot;:&quot;(Jiang et al., 2021)&quot;,&quot;manualOverrideText&quot;:&quot;&quot;},&quot;citationTag&quot;:&quot;MENDELEY_CITATION_v3_eyJjaXRhdGlvbklEIjoiTUVOREVMRVlfQ0lUQVRJT05fOWExZGQyMGQtYjMzMS00MGUyLWE5MjEtOTA0NzNmNWNjNGRh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quot;,&quot;citationItems&quot;:[{&quot;id&quot;:&quot;6c631dbd-83b4-381a-a89c-fa23fa2d79ba&quot;,&quot;itemData&quot;:{&quot;type&quot;:&quot;article-journal&quot;,&quot;id&quot;:&quot;6c631dbd-83b4-381a-a89c-fa23fa2d79ba&quot;,&quot;title&quot;:&quot;Effects of temperature, dissolved oxygen, and their interaction on the growth performance and condition of rainbow trout (Oncorhynchus mykiss)&quot;,&quot;author&quot;:[{&quot;family&quot;:&quot;Jiang&quot;,&quot;given&quot;:&quot;Xuyang&quot;,&quot;parse-names&quot;:false,&quot;dropping-particle&quot;:&quot;&quot;,&quot;non-dropping-particle&quot;:&quot;&quot;},{&quot;family&quot;:&quot;Dong&quot;,&quot;given&quot;:&quot;Shuanglin&quot;,&quot;parse-names&quot;:false,&quot;dropping-particle&quot;:&quot;&quot;,&quot;non-dropping-particle&quot;:&quot;&quot;},{&quot;family&quot;:&quot;Liu&quot;,&quot;given&quot;:&quot;Rongxin&quot;,&quot;parse-names&quot;:false,&quot;dropping-particle&quot;:&quot;&quot;,&quot;non-dropping-particle&quot;:&quot;&quot;},{&quot;family&quot;:&quot;Huang&quot;,&quot;given&quot;:&quot;Ming&quot;,&quot;parse-names&quot;:false,&quot;dropping-particle&quot;:&quot;&quot;,&quot;non-dropping-particle&quot;:&quot;&quot;},{&quot;family&quot;:&quot;Dong&quot;,&quot;given&quot;:&quot;Kang&quot;,&quot;parse-names&quot;:false,&quot;dropping-particle&quot;:&quot;&quot;,&quot;non-dropping-particle&quot;:&quot;&quot;},{&quot;family&quot;:&quot;Ge&quot;,&quot;given&quot;:&quot;Jian&quot;,&quot;parse-names&quot;:false,&quot;dropping-particle&quot;:&quot;&quot;,&quot;non-dropping-particle&quot;:&quot;&quot;},{&quot;family&quot;:&quot;Gao&quot;,&quot;given&quot;:&quot;Qinfeng&quot;,&quot;parse-names&quot;:false,&quot;dropping-particle&quot;:&quot;&quot;,&quot;non-dropping-particle&quot;:&quot;&quot;},{&quot;family&quot;:&quot;Zhou&quot;,&quot;given&quot;:&quot;Yangen&quot;,&quot;parse-names&quot;:false,&quot;dropping-particle&quot;:&quot;&quot;,&quot;non-dropping-particle&quot;:&quot;&quot;}],&quot;container-title&quot;:&quot;Journal of Thermal Biology&quot;,&quot;container-title-short&quot;:&quot;J. Therm. Biol.&quot;,&quot;DOI&quot;:&quot;10.1016/j.jtherbio.2021.102928&quot;,&quot;ISSN&quot;:&quot;03064565&quot;,&quot;issued&quot;:{&quot;date-parts&quot;:[[2021,5]]},&quot;page&quot;:&quot;102928&quot;,&quot;volume&quot;:&quot;98&quot;},&quot;isTemporary&quot;:false}]},{&quot;citationID&quot;:&quot;MENDELEY_CITATION_31c73e31-901e-41d6-a565-9696aa87a9fe&quot;,&quot;properties&quot;:{&quot;noteIndex&quot;:0},&quot;isEdited&quot;:false,&quot;manualOverride&quot;:{&quot;isManuallyOverridden&quot;:false,&quot;citeprocText&quot;:&quot;(Maurya et al., 2025)&quot;,&quot;manualOverrideText&quot;:&quot;&quot;},&quot;citationTag&quot;:&quot;MENDELEY_CITATION_v3_eyJjaXRhdGlvbklEIjoiTUVOREVMRVlfQ0lUQVRJT05fMzFjNzNlMzEtOTAxZS00MWQ2LWE1NjUtOTY5NmFhODdhOWZl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nJlcG9yd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&quot;,&quot;citationItems&quot;:[{&quot;id&quot;:&quot;1ecd97e3-5cf8-3fa0-8b6a-69a16357e494&quot;,&quot;itemData&quot;:{&quot;type&quot;:&quot;report&quot;,&quot;id&quot;:&quot;1ecd97e3-5cf8-3fa0-8b6a-69a16357e494&quot;,&quot;title&quot;:&quot;Seasonal Comparative Assessment of Water Quality Dynamics in Biofloc, Natural Pond and Cage Culture Systems for Culturing Pangasius pangasius&quot;,&quot;author&quot;:[{&quot;family&quot;:&quot;Maurya&quot;,&quot;given&quot;:&quot;Vijay Shankar&quot;,&quot;parse-names&quot;:false,&quot;dropping-particle&quot;:&quot;&quot;,&quot;non-dropping-particle&quot;:&quot;&quot;},{&quot;family&quot;:&quot;Dixit&quot;,&quot;given&quot;:&quot;Mukesh&quot;,&quot;parse-names&quot;:false,&quot;dropping-particle&quot;:&quot;&quot;,&quot;non-dropping-particle&quot;:&quot;&quot;},{&quot;family&quot;:&quot;Vyas&quot;,&quot;given&quot;:&quot;Vipin&quot;,&quot;parse-names&quot;:false,&quot;dropping-particle&quot;:&quot;&quot;,&quot;non-dropping-particle&quot;:&quot;&quot;}],&quot;URL&quot;:&quot;www.ijsdr.org&quot;,&quot;issued&quot;:{&quot;date-parts&quot;:[[2025]]},&quot;abstract&quot;:&quot;The present study was conducted to evaluate the seasonal variations in water quality parameters across three aquaculture systems Biofloc tank, Natural pond, and Cage culture for the cultivation of Pangasius pangasius. The year-long study (October 2023 to September 2024) was carried out at Samradhi Fish Farm, Bhopal, Madhya Pradesh, covering four distinct seasons: Post-Monsoon, Winter, Summer, and Monsoon. All systems were stocked uniformly with P. pangasius fingerlings (average initial weight: 6 g; length: 4 cm) and fed a common formulated diet (30-32% crude protein) twice daily. Water samples were collected monthly and analyzed following standard APHA (2017) protocols to measure key parameters including temperature, pH, dissolved oxygen (DO), ammonia, nitrate, and alkalinity. Results indicated significant seasonal and system-based differences. The Biofloc system showed stable pH and DO levels with moderate ammonia accumulation, and lower nitrate concentrations, suggesting efficient nitrogen cycling due to microbial activity. The natural pond exhibited high pH, DO, and nitrate levels, particularly in winter, reflecting good photosynthetic and nitrification processes. The cage system showed comparatively lower DO and slightly elevated ammonia during the monsoon, likely due to reduced water exchange and stratification. Overall, the Biofloc system demonstrated efficient nutrient recycling, while the natural pond had superior buffering and oxygenation. The findings provide valuable insights into the environmental suitability and management strategies for sustainable Pangasius culture under varying seasonal conditions.&quot;,&quot;container-title-short&quot;:&quot;&quot;},&quot;isTemporary&quot;:false}]},{&quot;citationID&quot;:&quot;MENDELEY_CITATION_69461f7f-46f9-4e86-83ba-c894625995fe&quot;,&quot;properties&quot;:{&quot;noteIndex&quot;:0},&quot;isEdited&quot;:false,&quot;manualOverride&quot;:{&quot;isManuallyOverridden&quot;:false,&quot;citeprocText&quot;:&quot;(Jiang et al., 2021)&quot;,&quot;manualOverrideText&quot;:&quot;&quot;},&quot;citationTag&quot;:&quot;MENDELEY_CITATION_v3_eyJjaXRhdGlvbklEIjoiTUVOREVMRVlfQ0lUQVRJT05fNjk0NjFmN2YtNDZmOS00ZTg2LTgzYmEtYzg5NDYyNTk5NWZl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quot;,&quot;citationItems&quot;:[{&quot;id&quot;:&quot;6c631dbd-83b4-381a-a89c-fa23fa2d79ba&quot;,&quot;itemData&quot;:{&quot;type&quot;:&quot;article-journal&quot;,&quot;id&quot;:&quot;6c631dbd-83b4-381a-a89c-fa23fa2d79ba&quot;,&quot;title&quot;:&quot;Effects of temperature, dissolved oxygen, and their interaction on the growth performance and condition of rainbow trout (Oncorhynchus mykiss)&quot;,&quot;author&quot;:[{&quot;family&quot;:&quot;Jiang&quot;,&quot;given&quot;:&quot;Xuyang&quot;,&quot;parse-names&quot;:false,&quot;dropping-particle&quot;:&quot;&quot;,&quot;non-dropping-particle&quot;:&quot;&quot;},{&quot;family&quot;:&quot;Dong&quot;,&quot;given&quot;:&quot;Shuanglin&quot;,&quot;parse-names&quot;:false,&quot;dropping-particle&quot;:&quot;&quot;,&quot;non-dropping-particle&quot;:&quot;&quot;},{&quot;family&quot;:&quot;Liu&quot;,&quot;given&quot;:&quot;Rongxin&quot;,&quot;parse-names&quot;:false,&quot;dropping-particle&quot;:&quot;&quot;,&quot;non-dropping-particle&quot;:&quot;&quot;},{&quot;family&quot;:&quot;Huang&quot;,&quot;given&quot;:&quot;Ming&quot;,&quot;parse-names&quot;:false,&quot;dropping-particle&quot;:&quot;&quot;,&quot;non-dropping-particle&quot;:&quot;&quot;},{&quot;family&quot;:&quot;Dong&quot;,&quot;given&quot;:&quot;Kang&quot;,&quot;parse-names&quot;:false,&quot;dropping-particle&quot;:&quot;&quot;,&quot;non-dropping-particle&quot;:&quot;&quot;},{&quot;family&quot;:&quot;Ge&quot;,&quot;given&quot;:&quot;Jian&quot;,&quot;parse-names&quot;:false,&quot;dropping-particle&quot;:&quot;&quot;,&quot;non-dropping-particle&quot;:&quot;&quot;},{&quot;family&quot;:&quot;Gao&quot;,&quot;given&quot;:&quot;Qinfeng&quot;,&quot;parse-names&quot;:false,&quot;dropping-particle&quot;:&quot;&quot;,&quot;non-dropping-particle&quot;:&quot;&quot;},{&quot;family&quot;:&quot;Zhou&quot;,&quot;given&quot;:&quot;Yangen&quot;,&quot;parse-names&quot;:false,&quot;dropping-particle&quot;:&quot;&quot;,&quot;non-dropping-particle&quot;:&quot;&quot;}],&quot;container-title&quot;:&quot;Journal of Thermal Biology&quot;,&quot;container-title-short&quot;:&quot;J. Therm. Biol.&quot;,&quot;DOI&quot;:&quot;10.1016/j.jtherbio.2021.102928&quot;,&quot;ISSN&quot;:&quot;03064565&quot;,&quot;issued&quot;:{&quot;date-parts&quot;:[[2021,5]]},&quot;page&quot;:&quot;102928&quot;,&quot;volume&quot;:&quot;98&quot;},&quot;isTemporary&quot;:false}]},{&quot;citationID&quot;:&quot;MENDELEY_CITATION_0db65d53-8f4d-416c-9951-b548196a7e0d&quot;,&quot;properties&quot;:{&quot;noteIndex&quot;:0},&quot;isEdited&quot;:false,&quot;manualOverride&quot;:{&quot;isManuallyOverridden&quot;:false,&quot;citeprocText&quot;:&quot;(Mabroke et al., 2021; Thongprajukaew et al., 2017)&quot;,&quot;manualOverrideText&quot;:&quot;&quot;},&quot;citationTag&quot;:&quot;MENDELEY_CITATION_v3_eyJjaXRhdGlvbklEIjoiTUVOREVMRVlfQ0lUQVRJT05fMGRiNjVkNTMtOGY0ZC00MTZjLTk5NTEtYjU0ODE5NmE3ZTBkIiwicHJvcGVydGllcyI6eyJub3RlSW5kZXgiOjB9LCJpc0VkaXRlZCI6ZmFsc2UsIm1hbnVhbE92ZXJyaWRlIjp7ImlzTWFudWFsbHlPdmVycmlkZGVuIjpmYWxzZSwiY2l0ZXByb2NUZXh0IjoiKE1hYnJva2UgZXQgYWwuLCAyMDIx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&quot;,&quot;citationItems&quot;:[{&quot;id&quot;:&quot;41860af6-b3b9-309d-a827-c0044e9938d8&quot;,&quot;itemData&quot;:{&quot;type&quot;:&quot;article-journal&quot;,&quot;id&quot;:&quot;41860af6-b3b9-309d-a827-c0044e9938d8&quot;,&quot;title&quot;:&quot;Effects of feeding frequency on growth performance and digestive enzyme activity of sex-reversed Nile tilapia, Oreochromis niloticus (Linnaeus, 1758)&quot;,&quot;author&quot;:[{&quot;family&quot;:&quot;Thongprajukaew&quot;,&quot;given&quot;:&quot;Karun&quot;,&quot;parse-names&quot;:false,&quot;dropping-particle&quot;:&quot;&quot;,&quot;non-dropping-particle&quot;:&quot;&quot;},{&quot;family&quot;:&quot;Kovitvadhi&quot;,&quot;given&quot;:&quot;Satit&quot;,&quot;parse-names&quot;:false,&quot;dropping-particle&quot;:&quot;&quot;,&quot;non-dropping-particle&quot;:&quot;&quot;},{&quot;family&quot;:&quot;Kovitvadhi&quot;,&quot;given&quot;:&quot;Uthaiwan&quot;,&quot;parse-names&quot;:false,&quot;dropping-particle&quot;:&quot;&quot;,&quot;non-dropping-particle&quot;:&quot;&quot;},{&quot;family&quot;:&quot;Preprame&quot;,&quot;given&quot;:&quot;Pichanpop&quot;,&quot;parse-names&quot;:false,&quot;dropping-particle&quot;:&quot;&quot;,&quot;non-dropping-particle&quot;:&quot;&quot;}],&quot;container-title&quot;:&quot;Agriculture and Natural Resources&quot;,&quot;ISSN&quot;:&quot;2452-316X&quot;,&quot;issued&quot;:{&quot;date-parts&quot;:[[2017]]},&quot;page&quot;:&quot;292-298&quot;,&quot;publisher&quot;:&quot;Elsevier&quot;,&quot;issue&quot;:&quot;4&quot;,&quot;volume&quot;:&quot;51&quot;,&quot;container-title-short&quot;:&quot;&quot;},&quot;isTemporary&quot;:false},{&quot;id&quot;:&quot;21361004-d4d3-3aa3-90ee-f89005f0d146&quot;,&quot;itemData&quot;:{&quot;type&quot;:&quot;article-journal&quot;,&quot;id&quot;:&quot;21361004-d4d3-3aa3-90ee-f89005f0d146&quot;,&quot;title&quot;:&quot;Feeding frequency affect feed utilization of tilapia under biofloc system condition during nursery phase&quot;,&quot;author&quot;:[{&quot;family&quot;:&quot;Mabroke&quot;,&quot;given&quot;:&quot;Rania S&quot;,&quot;parse-names&quot;:false,&quot;dropping-particle&quot;:&quot;&quot;,&quot;non-dropping-particle&quot;:&quot;&quot;},{&quot;family&quot;:&quot;Zidan&quot;,&quot;given&quot;:&quot;Abd El-Naem F A&quot;,&quot;parse-names&quot;:false,&quot;dropping-particle&quot;:&quot;&quot;,&quot;non-dropping-particle&quot;:&quot;&quot;},{&quot;family&quot;:&quot;Tahoun&quot;,&quot;given&quot;:&quot;Al-Azab&quot;,&quot;parse-names&quot;:false,&quot;dropping-particle&quot;:&quot;&quot;,&quot;non-dropping-particle&quot;:&quot;&quot;},{&quot;family&quot;:&quot;Mola&quot;,&quot;given&quot;:&quot;Hesham R A&quot;,&quot;parse-names&quot;:false,&quot;dropping-particle&quot;:&quot;&quot;,&quot;non-dropping-particle&quot;:&quot;&quot;},{&quot;family&quot;:&quot;Abo-State&quot;,&quot;given&quot;:&quot;Hanan&quot;,&quot;parse-names&quot;:false,&quot;dropping-particle&quot;:&quot;&quot;,&quot;non-dropping-particle&quot;:&quot;&quot;},{&quot;family&quot;:&quot;Suloma&quot;,&quot;given&quot;:&quot;Ashraf&quot;,&quot;parse-names&quot;:false,&quot;dropping-particle&quot;:&quot;&quot;,&quot;non-dropping-particle&quot;:&quot;&quot;}],&quot;container-title&quot;:&quot;Aquaculture Reports&quot;,&quot;container-title-short&quot;:&quot;Aquac. Rep.&quot;,&quot;ISSN&quot;:&quot;2352-5134&quot;,&quot;issued&quot;:{&quot;date-parts&quot;:[[2021]]},&quot;page&quot;:&quot;100625&quot;,&quot;publisher&quot;:&quot;Elsevier&quot;,&quot;volume&quot;:&quot;19&quot;},&quot;isTemporary&quot;:false}]},{&quot;citationID&quot;:&quot;MENDELEY_CITATION_d1e81494-2686-45c5-a17e-1846ec3a6cc4&quot;,&quot;properties&quot;:{&quot;noteIndex&quot;:0},&quot;isEdited&quot;:false,&quot;manualOverride&quot;:{&quot;isManuallyOverridden&quot;:false,&quot;citeprocText&quot;:&quot;(Cadorin et al., 2022; Mabroke et al., 2021)&quot;,&quot;manualOverrideText&quot;:&quot;&quot;},&quot;citationTag&quot;:&quot;MENDELEY_CITATION_v3_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&quot;,&quot;citationItems&quot;:[{&quot;id&quot;:&quot;21361004-d4d3-3aa3-90ee-f89005f0d146&quot;,&quot;itemData&quot;:{&quot;type&quot;:&quot;article-journal&quot;,&quot;id&quot;:&quot;21361004-d4d3-3aa3-90ee-f89005f0d146&quot;,&quot;title&quot;:&quot;Feeding frequency affect feed utilization of tilapia under biofloc system condition during nursery phase&quot;,&quot;author&quot;:[{&quot;family&quot;:&quot;Mabroke&quot;,&quot;given&quot;:&quot;Rania S&quot;,&quot;parse-names&quot;:false,&quot;dropping-particle&quot;:&quot;&quot;,&quot;non-dropping-particle&quot;:&quot;&quot;},{&quot;family&quot;:&quot;Zidan&quot;,&quot;given&quot;:&quot;Abd El-Naem F A&quot;,&quot;parse-names&quot;:false,&quot;dropping-particle&quot;:&quot;&quot;,&quot;non-dropping-particle&quot;:&quot;&quot;},{&quot;family&quot;:&quot;Tahoun&quot;,&quot;given&quot;:&quot;Al-Azab&quot;,&quot;parse-names&quot;:false,&quot;dropping-particle&quot;:&quot;&quot;,&quot;non-dropping-particle&quot;:&quot;&quot;},{&quot;family&quot;:&quot;Mola&quot;,&quot;given&quot;:&quot;Hesham R A&quot;,&quot;parse-names&quot;:false,&quot;dropping-particle&quot;:&quot;&quot;,&quot;non-dropping-particle&quot;:&quot;&quot;},{&quot;family&quot;:&quot;Abo-State&quot;,&quot;given&quot;:&quot;Hanan&quot;,&quot;parse-names&quot;:false,&quot;dropping-particle&quot;:&quot;&quot;,&quot;non-dropping-particle&quot;:&quot;&quot;},{&quot;family&quot;:&quot;Suloma&quot;,&quot;given&quot;:&quot;Ashraf&quot;,&quot;parse-names&quot;:false,&quot;dropping-particle&quot;:&quot;&quot;,&quot;non-dropping-particle&quot;:&quot;&quot;}],&quot;container-title&quot;:&quot;Aquaculture Reports&quot;,&quot;container-title-short&quot;:&quot;Aquac. Rep.&quot;,&quot;ISSN&quot;:&quot;2352-5134&quot;,&quot;issued&quot;:{&quot;date-parts&quot;:[[2021]]},&quot;page&quot;:&quot;100625&quot;,&quot;publisher&quot;:&quot;Elsevier&quot;,&quot;volume&quot;:&quot;19&quot;},&quot;isTemporary&quot;:false},{&quot;id&quot;:&quot;2a2bb762-3f75-3d1c-960c-f87e1c0fdded&quot;,&quot;itemData&quot;:{&quot;type&quot;:&quot;article-journal&quot;,&quot;id&quot;:&quot;2a2bb762-3f75-3d1c-960c-f87e1c0fdded&quot;,&quot;title&quot;:&quot;Interaction of feeding frequency and feeding rate on growth, nutrient utilization, and plasma metabolites of juvenile genetically improved farmed Nile tilapia, (Oreochromis niloticus)&quot;,&quot;author&quot;:[{&quot;family&quot;:&quot;Cadorin&quot;,&quot;given&quot;:&quot;Douglas I.&quot;,&quot;parse-names&quot;:false,&quot;dropping-particle&quot;:&quot;&quot;,&quot;non-dropping-particle&quot;:&quot;&quot;},{&quot;family&quot;:&quot;Silva&quot;,&quot;given&quot;:&quot;Maria F. O.&quot;,&quot;parse-names&quot;:false,&quot;dropping-particle&quot;:&quot;&quot;,&quot;non-dropping-particle&quot;:&quot;da&quot;},{&quot;family&quot;:&quot;Masagounder&quot;,&quot;given&quot;:&quot;Karthik&quot;,&quot;parse-names&quot;:false,&quot;dropping-particle&quot;:&quot;&quot;,&quot;non-dropping-particle&quot;:&quot;&quot;},{&quot;family&quot;:&quot;Fracalossi&quot;,&quot;given&quot;:&quot;Débora M.&quot;,&quot;parse-names&quot;:false,&quot;dropping-particle&quot;:&quot;&quot;,&quot;non-dropping-particle&quot;:&quot;&quot;}],&quot;container-title&quot;:&quot;Journal of the World Aquaculture Society&quot;,&quot;container-title-short&quot;:&quot;J. World Aquac. Soc.&quot;,&quot;DOI&quot;:&quot;10.1111/jwas.12833&quot;,&quot;ISSN&quot;:&quot;0893-8849&quot;,&quot;issued&quot;:{&quot;date-parts&quot;:[[2022,4,13]]},&quot;page&quot;:&quot;500-515&quot;,&quot;abstract&quot;:&quot;&lt;p&gt; We evaluated the possible interaction between feeding frequency (FF) and feeding rate (FR) on growth, nutrient utilization, body composition, and plasma metabolites of juvenile Nile tilapia, &lt;italic&gt;Oreochromis niloticus&lt;/italic&gt; (6.57 g). We tested three FFs: two, four, and six times a day, and two FRs: apparent satiation (AS) or restricted regime (RR), following a completely randomized design in a factorial arrangement, in quadruplicate. The daily weight gain and specific growth rate were 56 and 19% higher in fish fed to AS than in fish fed under the RR, respectively. However, feed efficiency was 14% higher in fish fed in the RR. Fish fed to AS presented the highest body lipid (8.92%), whereas the fish fed in the RR showed the lowest (6.64%). Glucose and triglycerides were also higher in fish fed to AS. The protein retention ratio was highest in the RR (49.17% vs. 42.51%, respectively). Fish fed to AS showed 34% more body protein but 62% more body fat than the fish fed in the RR. There was no difference in feed efficiency or weight gain regarding FF, regardless of the FR. Therefore, feeding Nile tilapia juveniles twice a day is enough to achieve optimum growth. &lt;/p&gt;&quot;,&quot;issue&quot;:&quot;2&quot;,&quot;volume&quot;:&quot;53&quot;},&quot;isTemporary&quot;:false}]},{&quot;citationID&quot;:&quot;MENDELEY_CITATION_47408e93-b3cb-4efc-bbb2-255f64ac02b3&quot;,&quot;properties&quot;:{&quot;noteIndex&quot;:0},&quot;isEdited&quot;:false,&quot;manualOverride&quot;:{&quot;isManuallyOverridden&quot;:false,&quot;citeprocText&quot;:&quot;(Abd El-Hack et al., 2022)&quot;,&quot;manualOverrideText&quot;:&quot;&quot;},&quot;citationTag&quot;:&quot;MENDELEY_CITATION_v3_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&quot;,&quot;citationItems&quot;:[{&quot;id&quot;:&quot;08cf000f-62ab-3572-a89d-7e5d72529260&quot;,&quot;itemData&quot;:{&quot;type&quot;:&quot;article-journal&quot;,&quot;id&quot;:&quot;08cf000f-62ab-3572-a89d-7e5d72529260&quot;,&quot;title&quot;:&quot;Effect of environmental factors on growth performance of Nile tilapia (Oreochromis niloticus)&quot;,&quot;author&quot;:[{&quot;family&quot;:&quot;Abd El-Hack&quot;,&quot;given&quot;:&quot;Mohamed E.&quot;,&quot;parse-names&quot;:false,&quot;dropping-particle&quot;:&quot;&quot;,&quot;non-dropping-particle&quot;:&quot;&quot;},{&quot;family&quot;:&quot;El-Saadony&quot;,&quot;given&quot;:&quot;Mohamed T.&quot;,&quot;parse-names&quot;:false,&quot;dropping-particle&quot;:&quot;&quot;,&quot;non-dropping-particle&quot;:&quot;&quot;},{&quot;family&quot;:&quot;Nader&quot;,&quot;given&quot;:&quot;Maha M.&quot;,&quot;parse-names&quot;:false,&quot;dropping-particle&quot;:&quot;&quot;,&quot;non-dropping-particle&quot;:&quot;&quot;},{&quot;family&quot;:&quot;Salem&quot;,&quot;given&quot;:&quot;Heba M.&quot;,&quot;parse-names&quot;:false,&quot;dropping-particle&quot;:&quot;&quot;,&quot;non-dropping-particle&quot;:&quot;&quot;},{&quot;family&quot;:&quot;El-Tahan&quot;,&quot;given&quot;:&quot;Amira M.&quot;,&quot;parse-names&quot;:false,&quot;dropping-particle&quot;:&quot;&quot;,&quot;non-dropping-particle&quot;:&quot;&quot;},{&quot;family&quot;:&quot;Soliman&quot;,&quot;given&quot;:&quot;Soliman M.&quot;,&quot;parse-names&quot;:false,&quot;dropping-particle&quot;:&quot;&quot;,&quot;non-dropping-particle&quot;:&quot;&quot;},{&quot;family&quot;:&quot;Khafaga&quot;,&quot;given&quot;:&quot;Asmaa F.&quot;,&quot;parse-names&quot;:false,&quot;dropping-particle&quot;:&quot;&quot;,&quot;non-dropping-particle&quot;:&quot;&quot;}],&quot;container-title&quot;:&quot;International Journal of Biometeorology&quot;,&quot;container-title-short&quot;:&quot;Int. J. Biometeorol.&quot;,&quot;DOI&quot;:&quot;10.1007/s00484-022-02347-6&quot;,&quot;ISSN&quot;:&quot;0020-7128&quot;,&quot;issued&quot;:{&quot;date-parts&quot;:[[2022,11,31]]},&quot;page&quot;:&quot;2183-2194&quot;,&quot;abstract&quot;:&quot;&lt;p&gt; Aquaculture is the practice of developing aquatic animals and plants under artificial environmental conditions, either in a controlled or semi-controlled environment. Due to high animal protein demand, it is one of the world’s growing food production industries. It plays a vital role in contributing to food security and lowering the unemployment rate of the world’s growing population. This review article aims to scope sight on the environmental factors that affect the growth and economic production process of Nile tilapia. Many of these factors are listed and analyzed in this review, such as stocking densities; various feed frequencies and feeding rates; water quality; water temperature; dissolved oxygen concentration; water pH degree; ammonia (NH &lt;sub&gt;3&lt;/sub&gt; ), nitrite (NO &lt;sub&gt;2&lt;/sub&gt; ), and nitrate (NO &lt;sub&gt;3&lt;/sub&gt; ) concentration; feeding regimes; feed cost; and tank culturing system of Nile tilapia. These factors can significantly alter body weight, composition, survival, behavior, feed intake, feed conversion ratio, feeding efficiency, and the health and reproduction of &lt;italic&gt;Oreochromis niloticus&lt;/italic&gt; . Furthermore, feeding, growth, disease risks, and survival rates are all affected by water quality parameters. In general, higher growth performance of &lt;italic&gt;O. niloticus&lt;/italic&gt; in aquaculture can be obtained by keeping the optimum quantity of feed with proper feeding rate and frequency, maintaining a good proportion of stocking density, and regularly evaluating water quality. This review article highlights—in details—the impact of various environmental factors on growth performance criteria of Nile tilapia ( &lt;italic&gt;Oreochromis niloticus&lt;/italic&gt; ). &lt;/p&gt;&quot;,&quot;issue&quot;:&quot;11&quot;,&quot;volume&quot;:&quot;66&quot;},&quot;isTemporary&quot;:false}]},{&quot;citationID&quot;:&quot;MENDELEY_CITATION_e8169520-5527-4067-bc51-365f7db2844f&quot;,&quot;properties&quot;:{&quot;noteIndex&quot;:0},&quot;isEdited&quot;:false,&quot;manualOverride&quot;:{&quot;isManuallyOverridden&quot;:false,&quot;citeprocText&quot;:&quot;(Cadorin et al., 2022; Thongprajukaew et al., 2017)&quot;,&quot;manualOverrideText&quot;:&quot;&quot;},&quot;citationTag&quot;:&quot;MENDELEY_CITATION_v3_eyJjaXRhdGlvbklEIjoiTUVOREVMRVlfQ0lUQVRJT05fZTgxNjk1MjAtNTUyNy00MDY3LWJjNTEtMzY1ZjdkYjI4NDRmIiwicHJvcGVydGllcyI6eyJub3RlSW5kZXgiOjB9LCJpc0VkaXRlZCI6ZmFsc2UsIm1hbnVhbE92ZXJyaWRlIjp7ImlzTWFudWFsbHlPdmVycmlkZGVuIjpmYWxzZSwiY2l0ZXByb2NUZXh0IjoiKENhZG9yaW4gZXQgYWwuLCAyMDIy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&quot;,&quot;citationItems&quot;:[{&quot;id&quot;:&quot;41860af6-b3b9-309d-a827-c0044e9938d8&quot;,&quot;itemData&quot;:{&quot;type&quot;:&quot;article-journal&quot;,&quot;id&quot;:&quot;41860af6-b3b9-309d-a827-c0044e9938d8&quot;,&quot;title&quot;:&quot;Effects of feeding frequency on growth performance and digestive enzyme activity of sex-reversed Nile tilapia, Oreochromis niloticus (Linnaeus, 1758)&quot;,&quot;author&quot;:[{&quot;family&quot;:&quot;Thongprajukaew&quot;,&quot;given&quot;:&quot;Karun&quot;,&quot;parse-names&quot;:false,&quot;dropping-particle&quot;:&quot;&quot;,&quot;non-dropping-particle&quot;:&quot;&quot;},{&quot;family&quot;:&quot;Kovitvadhi&quot;,&quot;given&quot;:&quot;Satit&quot;,&quot;parse-names&quot;:false,&quot;dropping-particle&quot;:&quot;&quot;,&quot;non-dropping-particle&quot;:&quot;&quot;},{&quot;family&quot;:&quot;Kovitvadhi&quot;,&quot;given&quot;:&quot;Uthaiwan&quot;,&quot;parse-names&quot;:false,&quot;dropping-particle&quot;:&quot;&quot;,&quot;non-dropping-particle&quot;:&quot;&quot;},{&quot;family&quot;:&quot;Preprame&quot;,&quot;given&quot;:&quot;Pichanpop&quot;,&quot;parse-names&quot;:false,&quot;dropping-particle&quot;:&quot;&quot;,&quot;non-dropping-particle&quot;:&quot;&quot;}],&quot;container-title&quot;:&quot;Agriculture and Natural Resources&quot;,&quot;ISSN&quot;:&quot;2452-316X&quot;,&quot;issued&quot;:{&quot;date-parts&quot;:[[2017]]},&quot;page&quot;:&quot;292-298&quot;,&quot;publisher&quot;:&quot;Elsevier&quot;,&quot;issue&quot;:&quot;4&quot;,&quot;volume&quot;:&quot;51&quot;,&quot;container-title-short&quot;:&quot;&quot;},&quot;isTemporary&quot;:false},{&quot;id&quot;:&quot;2a2bb762-3f75-3d1c-960c-f87e1c0fdded&quot;,&quot;itemData&quot;:{&quot;type&quot;:&quot;article-journal&quot;,&quot;id&quot;:&quot;2a2bb762-3f75-3d1c-960c-f87e1c0fdded&quot;,&quot;title&quot;:&quot;Interaction of feeding frequency and feeding rate on growth, nutrient utilization, and plasma metabolites of juvenile genetically improved farmed Nile tilapia, (Oreochromis niloticus)&quot;,&quot;author&quot;:[{&quot;family&quot;:&quot;Cadorin&quot;,&quot;given&quot;:&quot;Douglas I.&quot;,&quot;parse-names&quot;:false,&quot;dropping-particle&quot;:&quot;&quot;,&quot;non-dropping-particle&quot;:&quot;&quot;},{&quot;family&quot;:&quot;Silva&quot;,&quot;given&quot;:&quot;Maria F. O.&quot;,&quot;parse-names&quot;:false,&quot;dropping-particle&quot;:&quot;&quot;,&quot;non-dropping-particle&quot;:&quot;da&quot;},{&quot;family&quot;:&quot;Masagounder&quot;,&quot;given&quot;:&quot;Karthik&quot;,&quot;parse-names&quot;:false,&quot;dropping-particle&quot;:&quot;&quot;,&quot;non-dropping-particle&quot;:&quot;&quot;},{&quot;family&quot;:&quot;Fracalossi&quot;,&quot;given&quot;:&quot;Débora M.&quot;,&quot;parse-names&quot;:false,&quot;dropping-particle&quot;:&quot;&quot;,&quot;non-dropping-particle&quot;:&quot;&quot;}],&quot;container-title&quot;:&quot;Journal of the World Aquaculture Society&quot;,&quot;container-title-short&quot;:&quot;J. World Aquac. Soc.&quot;,&quot;DOI&quot;:&quot;10.1111/jwas.12833&quot;,&quot;ISSN&quot;:&quot;0893-8849&quot;,&quot;issued&quot;:{&quot;date-parts&quot;:[[2022,4,13]]},&quot;page&quot;:&quot;500-515&quot;,&quot;abstract&quot;:&quot;&lt;p&gt; We evaluated the possible interaction between feeding frequency (FF) and feeding rate (FR) on growth, nutrient utilization, body composition, and plasma metabolites of juvenile Nile tilapia, &lt;italic&gt;Oreochromis niloticus&lt;/italic&gt; (6.57 g). We tested three FFs: two, four, and six times a day, and two FRs: apparent satiation (AS) or restricted regime (RR), following a completely randomized design in a factorial arrangement, in quadruplicate. The daily weight gain and specific growth rate were 56 and 19% higher in fish fed to AS than in fish fed under the RR, respectively. However, feed efficiency was 14% higher in fish fed in the RR. Fish fed to AS presented the highest body lipid (8.92%), whereas the fish fed in the RR showed the lowest (6.64%). Glucose and triglycerides were also higher in fish fed to AS. The protein retention ratio was highest in the RR (49.17% vs. 42.51%, respectively). Fish fed to AS showed 34% more body protein but 62% more body fat than the fish fed in the RR. There was no difference in feed efficiency or weight gain regarding FF, regardless of the FR. Therefore, feeding Nile tilapia juveniles twice a day is enough to achieve optimum growth. &lt;/p&gt;&quot;,&quot;issue&quot;:&quot;2&quot;,&quot;volume&quot;:&quot;53&quot;},&quot;isTemporary&quot;:false}]}]"/>
    <we:property name="MENDELEY_CITATIONS_STYLE" value="{&quot;id&quot;:&quot;https://www.zotero.org/styles/apa&quot;,&quot;title&quot;:&quot;APA Style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009CAF-4D9B-4541-BC0B-3AA336929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17</Pages>
  <Words>4756</Words>
  <Characters>27113</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SDI 1166</cp:lastModifiedBy>
  <cp:revision>12</cp:revision>
  <cp:lastPrinted>2026-03-13T19:53:00Z</cp:lastPrinted>
  <dcterms:created xsi:type="dcterms:W3CDTF">2026-03-16T06:19:00Z</dcterms:created>
  <dcterms:modified xsi:type="dcterms:W3CDTF">2026-03-17T09:44:00Z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8ab260b1-ec53-4f76-87b8-eed9103bdbe1</vt:lpwstr>
  </property>
</Properties>
</file>