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92BAC3" w14:textId="77777777" w:rsidR="00C225C6" w:rsidRPr="008A187F" w:rsidRDefault="0081615B" w:rsidP="00AF795C">
      <w:pPr>
        <w:spacing w:line="360" w:lineRule="auto"/>
        <w:rPr>
          <w:rFonts w:ascii="Times New Roman" w:eastAsia="Times New Roman" w:hAnsi="Times New Roman" w:cs="Times New Roman"/>
          <w:b/>
          <w:bCs/>
          <w:sz w:val="36"/>
          <w:szCs w:val="36"/>
        </w:rPr>
      </w:pPr>
      <w:r w:rsidRPr="008A187F">
        <w:rPr>
          <w:rFonts w:ascii="Times New Roman" w:eastAsia="Times New Roman" w:hAnsi="Times New Roman" w:cs="Times New Roman"/>
          <w:b/>
          <w:bCs/>
          <w:sz w:val="36"/>
          <w:szCs w:val="36"/>
        </w:rPr>
        <w:t>A demographical analysis of scientific aptitude among Indian secondary school students</w:t>
      </w:r>
    </w:p>
    <w:p w14:paraId="7A607D73" w14:textId="77777777" w:rsidR="00AF795C" w:rsidRDefault="00AF795C" w:rsidP="00DB6DA8">
      <w:pPr>
        <w:spacing w:line="360" w:lineRule="auto"/>
        <w:jc w:val="right"/>
        <w:rPr>
          <w:rFonts w:ascii="Times New Roman" w:eastAsia="Times New Roman" w:hAnsi="Times New Roman" w:cs="Times New Roman"/>
          <w:sz w:val="24"/>
          <w:szCs w:val="24"/>
        </w:rPr>
      </w:pPr>
      <w:bookmarkStart w:id="0" w:name="_GoBack"/>
      <w:bookmarkEnd w:id="0"/>
    </w:p>
    <w:p w14:paraId="0F1BBAF8" w14:textId="53478906" w:rsidR="00DB6DA8" w:rsidRDefault="009733E7" w:rsidP="00DB6DA8">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1F8A1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2014CE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Scientific aptitude is a natural ability of a person to </w:t>
      </w:r>
      <w:r>
        <w:rPr>
          <w:rFonts w:ascii="Times New Roman" w:eastAsia="Times New Roman" w:hAnsi="Times New Roman" w:cs="Times New Roman"/>
          <w:color w:val="111111"/>
          <w:sz w:val="24"/>
          <w:szCs w:val="24"/>
        </w:rPr>
        <w:t>understand, apply, and reason over scientific concepts and procedures.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research compares scientific competence of secondary school students according to gender and type of students (public and private).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Its purpose was to determine how gender, </w:t>
      </w:r>
      <w:r>
        <w:rPr>
          <w:rFonts w:ascii="Times New Roman" w:eastAsia="Times New Roman" w:hAnsi="Times New Roman" w:cs="Times New Roman"/>
          <w:color w:val="111111"/>
          <w:sz w:val="24"/>
          <w:szCs w:val="24"/>
        </w:rPr>
        <w:t>educational institution, geographical location, family structure and paternal occupation affected scientific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survey involved 200 students in the government and private schools.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Independent samples t-tests and a one-way ANOVA were used to eval</w:t>
      </w:r>
      <w:r>
        <w:rPr>
          <w:rFonts w:ascii="Times New Roman" w:eastAsia="Times New Roman" w:hAnsi="Times New Roman" w:cs="Times New Roman"/>
          <w:color w:val="111111"/>
          <w:sz w:val="24"/>
          <w:szCs w:val="24"/>
        </w:rPr>
        <w:t>uate scientific aptitude tests.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There were no statistically significant differences of scientific aptitude on all variables.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girls had a slightly higher score than the boys, the rural students scored better than the urban students, and the pupils of nu</w:t>
      </w:r>
      <w:r>
        <w:rPr>
          <w:rFonts w:ascii="Times New Roman" w:eastAsia="Times New Roman" w:hAnsi="Times New Roman" w:cs="Times New Roman"/>
          <w:color w:val="111111"/>
          <w:sz w:val="24"/>
          <w:szCs w:val="24"/>
        </w:rPr>
        <w:t>clear families scored higher than the mixed families, but none of the differences was found to be 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statistics suggest that gender, institutional affiliation and the socio-demographic background might not have much impact on sc</w:t>
      </w:r>
      <w:r>
        <w:rPr>
          <w:rFonts w:ascii="Times New Roman" w:eastAsia="Times New Roman" w:hAnsi="Times New Roman" w:cs="Times New Roman"/>
          <w:color w:val="111111"/>
          <w:sz w:val="24"/>
          <w:szCs w:val="24"/>
        </w:rPr>
        <w:t>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findings show that justifiable educational methods are efficient and all the groups of students can achieve similar success in science when they have equal learning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study supports the egalitarian National Education Po</w:t>
      </w:r>
      <w:r>
        <w:rPr>
          <w:rFonts w:ascii="Times New Roman" w:eastAsia="Times New Roman" w:hAnsi="Times New Roman" w:cs="Times New Roman"/>
          <w:color w:val="111111"/>
          <w:sz w:val="24"/>
          <w:szCs w:val="24"/>
        </w:rPr>
        <w:t>licy (NEP) 2020 in the sense of showing that diverse peoples can develop scientific ability.</w:t>
      </w:r>
    </w:p>
    <w:p w14:paraId="36F0FF42" w14:textId="77777777" w:rsidR="00C225C6" w:rsidRDefault="00C225C6">
      <w:pPr>
        <w:spacing w:line="360" w:lineRule="auto"/>
        <w:jc w:val="both"/>
        <w:rPr>
          <w:rFonts w:ascii="Times New Roman" w:eastAsia="Times New Roman" w:hAnsi="Times New Roman" w:cs="Times New Roman"/>
          <w:color w:val="111111"/>
          <w:sz w:val="24"/>
          <w:szCs w:val="24"/>
        </w:rPr>
      </w:pPr>
    </w:p>
    <w:p w14:paraId="567D54D3" w14:textId="77777777" w:rsidR="00C225C6" w:rsidRDefault="0081615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i/>
          <w:iCs/>
          <w:sz w:val="24"/>
          <w:szCs w:val="24"/>
        </w:rPr>
        <w:t xml:space="preserve"> Scientific Aptitude; Demographic Variables; Gender Differences; Government and Private Schools; Urban and Rural Students; Family Structure; Father's Occ</w:t>
      </w:r>
      <w:r>
        <w:rPr>
          <w:rFonts w:ascii="Times New Roman" w:eastAsia="Times New Roman" w:hAnsi="Times New Roman" w:cs="Times New Roman"/>
          <w:i/>
          <w:iCs/>
          <w:sz w:val="24"/>
          <w:szCs w:val="24"/>
        </w:rPr>
        <w:t xml:space="preserve">upation; Educational Equity; Secondary Education; NEP 2020; Aptitude Assessment. </w:t>
      </w:r>
    </w:p>
    <w:p w14:paraId="212C184B"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Introduction</w:t>
      </w:r>
    </w:p>
    <w:p w14:paraId="33ACAF7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the modern world, where science and technology are put in the center stage of all aspects of societal growth, development of scientific skills among students </w:t>
      </w:r>
      <w:r>
        <w:rPr>
          <w:rFonts w:ascii="Times New Roman" w:eastAsia="Times New Roman" w:hAnsi="Times New Roman" w:cs="Times New Roman"/>
          <w:color w:val="111111"/>
          <w:sz w:val="24"/>
          <w:szCs w:val="24"/>
        </w:rPr>
        <w:t>is now more crucial than before. The systematic use of scientific knowledge and reasoning has been the force that has led to the evolution of human civilization encompassing the agrarian societies to technologically advanced nations. Scientific aptitude is</w:t>
      </w:r>
      <w:r>
        <w:rPr>
          <w:rFonts w:ascii="Times New Roman" w:eastAsia="Times New Roman" w:hAnsi="Times New Roman" w:cs="Times New Roman"/>
          <w:color w:val="111111"/>
          <w:sz w:val="24"/>
          <w:szCs w:val="24"/>
        </w:rPr>
        <w:t xml:space="preserve"> a group of interconnected elements: logical and analytical thinking, numerical and quantitative, solid understanding of scientific facts and concepts and knowledge of scientific terms. In this understanding, the National </w:t>
      </w:r>
      <w:r>
        <w:rPr>
          <w:rFonts w:ascii="Times New Roman" w:eastAsia="Times New Roman" w:hAnsi="Times New Roman" w:cs="Times New Roman"/>
          <w:color w:val="111111"/>
          <w:sz w:val="24"/>
          <w:szCs w:val="24"/>
        </w:rPr>
        <w:lastRenderedPageBreak/>
        <w:t>Education Policy 2020 (NEP 2020) o</w:t>
      </w:r>
      <w:r>
        <w:rPr>
          <w:rFonts w:ascii="Times New Roman" w:eastAsia="Times New Roman" w:hAnsi="Times New Roman" w:cs="Times New Roman"/>
          <w:color w:val="111111"/>
          <w:sz w:val="24"/>
          <w:szCs w:val="24"/>
        </w:rPr>
        <w:t>f India offers a vision of progress to transform science education to an inquiry-based, experiential, and competency-driven style of learning. The policy clearly changes the emphasis to a higher order of cognition that involve problem solving, conceptual c</w:t>
      </w:r>
      <w:r>
        <w:rPr>
          <w:rFonts w:ascii="Times New Roman" w:eastAsia="Times New Roman" w:hAnsi="Times New Roman" w:cs="Times New Roman"/>
          <w:color w:val="111111"/>
          <w:sz w:val="24"/>
          <w:szCs w:val="24"/>
        </w:rPr>
        <w:t xml:space="preserve">larity and reflective thought as opposed to rote memorization. It emphasizes the value of reasoning capacity by combining analytical aptitude of subjects, and it emphasizes the value of numerical aptitude by interdisciplinary associations with mathematics </w:t>
      </w:r>
      <w:r>
        <w:rPr>
          <w:rFonts w:ascii="Times New Roman" w:eastAsia="Times New Roman" w:hAnsi="Times New Roman" w:cs="Times New Roman"/>
          <w:color w:val="111111"/>
          <w:sz w:val="24"/>
          <w:szCs w:val="24"/>
        </w:rPr>
        <w:t>with its supportive position in scientific understanding and innovation. Also, NEP 2020 promotes sharing information related to science based on conceptual and contextual learning, and development of vocabulary associated with science based on instructiona</w:t>
      </w:r>
      <w:r>
        <w:rPr>
          <w:rFonts w:ascii="Times New Roman" w:eastAsia="Times New Roman" w:hAnsi="Times New Roman" w:cs="Times New Roman"/>
          <w:color w:val="111111"/>
          <w:sz w:val="24"/>
          <w:szCs w:val="24"/>
        </w:rPr>
        <w:t>l approaches that is multilingual and rich in comprehension. It concurs with the worldwide vision established in the National Curriculum Framework of science (England, 2013), which considers the quality education in science to be the key to knowing and bei</w:t>
      </w:r>
      <w:r>
        <w:rPr>
          <w:rFonts w:ascii="Times New Roman" w:eastAsia="Times New Roman" w:hAnsi="Times New Roman" w:cs="Times New Roman"/>
          <w:color w:val="111111"/>
          <w:sz w:val="24"/>
          <w:szCs w:val="24"/>
        </w:rPr>
        <w:t>ng active in the world. Similarly, the National Curriculum Framework (NCF) 2005 in India focuses on scientific inquiry, reasoning, and creativity as the most fundamental pedagogical goals, which requires an abandonment of didactic approaches to teaching. T</w:t>
      </w:r>
      <w:r>
        <w:rPr>
          <w:rFonts w:ascii="Times New Roman" w:eastAsia="Times New Roman" w:hAnsi="Times New Roman" w:cs="Times New Roman"/>
          <w:color w:val="111111"/>
          <w:sz w:val="24"/>
          <w:szCs w:val="24"/>
        </w:rPr>
        <w:t>he development of scientific attitudes and aptitudes were also found by historical commissions such as Kothari Commission report of 1964-66 and the Secondary Education Commission report of 1952-53 as key to individual and national progress. All these point</w:t>
      </w:r>
      <w:r>
        <w:rPr>
          <w:rFonts w:ascii="Times New Roman" w:eastAsia="Times New Roman" w:hAnsi="Times New Roman" w:cs="Times New Roman"/>
          <w:color w:val="111111"/>
          <w:sz w:val="24"/>
          <w:szCs w:val="24"/>
        </w:rPr>
        <w:t>s of view form scientific aptitude as not only an academic concept but a multidimensional and dynamic entity that enables profound learning and proper use of science. As a result, scientific aptitude needs to be considered an important variable in terms of</w:t>
      </w:r>
      <w:r>
        <w:rPr>
          <w:rFonts w:ascii="Times New Roman" w:eastAsia="Times New Roman" w:hAnsi="Times New Roman" w:cs="Times New Roman"/>
          <w:color w:val="111111"/>
          <w:sz w:val="24"/>
          <w:szCs w:val="24"/>
        </w:rPr>
        <w:t xml:space="preserve"> science achievement in policy and practice, as well as, scientific aptitude needs to be actively researched in order to streamline the educational strategies and outcomes.</w:t>
      </w:r>
    </w:p>
    <w:p w14:paraId="02D4473E" w14:textId="77777777" w:rsidR="00C225C6" w:rsidRDefault="00C225C6">
      <w:pPr>
        <w:spacing w:line="360" w:lineRule="auto"/>
        <w:jc w:val="both"/>
        <w:rPr>
          <w:rFonts w:ascii="Times New Roman" w:eastAsia="Times New Roman" w:hAnsi="Times New Roman" w:cs="Times New Roman"/>
          <w:color w:val="111111"/>
          <w:sz w:val="24"/>
          <w:szCs w:val="24"/>
        </w:rPr>
      </w:pPr>
    </w:p>
    <w:p w14:paraId="24BDD54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Need and significance of the study</w:t>
      </w:r>
    </w:p>
    <w:p w14:paraId="21AC41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Due to the fact that India is progressing </w:t>
      </w:r>
      <w:r>
        <w:rPr>
          <w:rFonts w:ascii="Times New Roman" w:eastAsia="Times New Roman" w:hAnsi="Times New Roman" w:cs="Times New Roman"/>
          <w:color w:val="111111"/>
          <w:sz w:val="24"/>
          <w:szCs w:val="24"/>
        </w:rPr>
        <w:t>towards a knowledge-driven economy, the importance of science education is increasingly being felt. Development of scientific capability among students is very important to equip the workforce in the country with technological competency.</w:t>
      </w:r>
    </w:p>
    <w:p w14:paraId="68584AF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Although there ar</w:t>
      </w:r>
      <w:r>
        <w:rPr>
          <w:rFonts w:ascii="Times New Roman" w:eastAsia="Times New Roman" w:hAnsi="Times New Roman" w:cs="Times New Roman"/>
          <w:color w:val="111111"/>
          <w:sz w:val="24"/>
          <w:szCs w:val="24"/>
        </w:rPr>
        <w:t>e general curricular changes, there is still a loophole in the cultivation of the scientific aptitude at the school level. The number of students who show less interest in science is very high, and this can be explained with the fact that the level of scie</w:t>
      </w:r>
      <w:r>
        <w:rPr>
          <w:rFonts w:ascii="Times New Roman" w:eastAsia="Times New Roman" w:hAnsi="Times New Roman" w:cs="Times New Roman"/>
          <w:color w:val="111111"/>
          <w:sz w:val="24"/>
          <w:szCs w:val="24"/>
        </w:rPr>
        <w:t>ntific aptitude is not high enough. This lack does not only impact on the academic performance in the sciences but also shapes the career choice of the students where they may avoid anything to do with sciences.</w:t>
      </w:r>
    </w:p>
    <w:p w14:paraId="1E40022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Scientific aptitude is the intellectual and </w:t>
      </w:r>
      <w:r>
        <w:rPr>
          <w:rFonts w:ascii="Times New Roman" w:eastAsia="Times New Roman" w:hAnsi="Times New Roman" w:cs="Times New Roman"/>
          <w:color w:val="111111"/>
          <w:sz w:val="24"/>
          <w:szCs w:val="24"/>
        </w:rPr>
        <w:t>emotional capacity to grasp the principles of science, and to be involved in solving a scientific problem. It encompasses such traits as logical thinking, analysis, visualizing, and understanding abstract scientific concepts. These skills are essential dur</w:t>
      </w:r>
      <w:r>
        <w:rPr>
          <w:rFonts w:ascii="Times New Roman" w:eastAsia="Times New Roman" w:hAnsi="Times New Roman" w:cs="Times New Roman"/>
          <w:color w:val="111111"/>
          <w:sz w:val="24"/>
          <w:szCs w:val="24"/>
        </w:rPr>
        <w:t>ing the learning process and they directly determine the achievement of a student in science.</w:t>
      </w:r>
    </w:p>
    <w:p w14:paraId="189F5CA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There is a mounting necessity to </w:t>
      </w:r>
      <w:proofErr w:type="spellStart"/>
      <w:r>
        <w:rPr>
          <w:rFonts w:ascii="Times New Roman" w:eastAsia="Times New Roman" w:hAnsi="Times New Roman" w:cs="Times New Roman"/>
          <w:color w:val="111111"/>
          <w:sz w:val="24"/>
          <w:szCs w:val="24"/>
        </w:rPr>
        <w:t>analyse</w:t>
      </w:r>
      <w:proofErr w:type="spellEnd"/>
      <w:r>
        <w:rPr>
          <w:rFonts w:ascii="Times New Roman" w:eastAsia="Times New Roman" w:hAnsi="Times New Roman" w:cs="Times New Roman"/>
          <w:color w:val="111111"/>
          <w:sz w:val="24"/>
          <w:szCs w:val="24"/>
        </w:rPr>
        <w:t xml:space="preserve"> the role of scientific aptitude in the scholarly field especially in the secondary school level where the attitude and pr</w:t>
      </w:r>
      <w:r>
        <w:rPr>
          <w:rFonts w:ascii="Times New Roman" w:eastAsia="Times New Roman" w:hAnsi="Times New Roman" w:cs="Times New Roman"/>
          <w:color w:val="111111"/>
          <w:sz w:val="24"/>
          <w:szCs w:val="24"/>
        </w:rPr>
        <w:t xml:space="preserve">oficiencies are acquired. The knowledge of the correlation between scientific aptitude and science achievement can assist teachers, curriculum developers as well as policy-makers to come up with improved science teaching methods that are congruent to </w:t>
      </w:r>
      <w:proofErr w:type="gramStart"/>
      <w:r>
        <w:rPr>
          <w:rFonts w:ascii="Times New Roman" w:eastAsia="Times New Roman" w:hAnsi="Times New Roman" w:cs="Times New Roman"/>
          <w:color w:val="111111"/>
          <w:sz w:val="24"/>
          <w:szCs w:val="24"/>
        </w:rPr>
        <w:t>stude</w:t>
      </w:r>
      <w:r>
        <w:rPr>
          <w:rFonts w:ascii="Times New Roman" w:eastAsia="Times New Roman" w:hAnsi="Times New Roman" w:cs="Times New Roman"/>
          <w:color w:val="111111"/>
          <w:sz w:val="24"/>
          <w:szCs w:val="24"/>
        </w:rPr>
        <w:t>nts</w:t>
      </w:r>
      <w:proofErr w:type="gramEnd"/>
      <w:r>
        <w:rPr>
          <w:rFonts w:ascii="Times New Roman" w:eastAsia="Times New Roman" w:hAnsi="Times New Roman" w:cs="Times New Roman"/>
          <w:color w:val="111111"/>
          <w:sz w:val="24"/>
          <w:szCs w:val="24"/>
        </w:rPr>
        <w:t xml:space="preserve"> aptitudes.</w:t>
      </w:r>
    </w:p>
    <w:p w14:paraId="34B214E9"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Hence, the current paper is intended to examine the scientific capability of the students of the secondary school, its distribution in relation to gender (male and female) and school type (government or private).</w:t>
      </w:r>
    </w:p>
    <w:p w14:paraId="2ED908DC" w14:textId="77777777" w:rsidR="00C225C6" w:rsidRDefault="00C225C6">
      <w:pPr>
        <w:spacing w:line="360" w:lineRule="auto"/>
        <w:jc w:val="both"/>
        <w:rPr>
          <w:rFonts w:ascii="Times New Roman" w:eastAsia="Times New Roman" w:hAnsi="Times New Roman" w:cs="Times New Roman"/>
          <w:color w:val="111111"/>
          <w:sz w:val="24"/>
          <w:szCs w:val="24"/>
        </w:rPr>
      </w:pPr>
    </w:p>
    <w:p w14:paraId="5735AE12"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 xml:space="preserve">Review of Related </w:t>
      </w:r>
      <w:r>
        <w:rPr>
          <w:rFonts w:ascii="Times New Roman" w:eastAsia="Times New Roman" w:hAnsi="Times New Roman" w:cs="Times New Roman"/>
          <w:b/>
          <w:bCs/>
          <w:color w:val="111111"/>
          <w:sz w:val="24"/>
          <w:szCs w:val="24"/>
        </w:rPr>
        <w:t>literature</w:t>
      </w:r>
    </w:p>
    <w:p w14:paraId="4163D3B0"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importance of the relationship that exists between scientific aptitude and science achievement among the students in secondary schools is emphasized in many Indian research. Research conducted by Ahmed and Shailaja (2007), </w:t>
      </w:r>
      <w:proofErr w:type="spellStart"/>
      <w:r>
        <w:rPr>
          <w:rFonts w:ascii="Times New Roman" w:eastAsia="Times New Roman" w:hAnsi="Times New Roman" w:cs="Times New Roman"/>
          <w:color w:val="111111"/>
          <w:sz w:val="24"/>
          <w:szCs w:val="24"/>
        </w:rPr>
        <w:t>Dafedar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Yeli</w:t>
      </w:r>
      <w:proofErr w:type="spell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2014), and Stanly (2016) all indicate that students who have a higher degree of scientific aptitude do better in science subjects. There have also been gender differences in which the results have been variable in different contexts; Ghosh showed the male </w:t>
      </w:r>
      <w:r>
        <w:rPr>
          <w:rFonts w:ascii="Times New Roman" w:eastAsia="Times New Roman" w:hAnsi="Times New Roman" w:cs="Times New Roman"/>
          <w:color w:val="111111"/>
          <w:sz w:val="24"/>
          <w:szCs w:val="24"/>
        </w:rPr>
        <w:t xml:space="preserve">students to be better in scientific aptitude compared to the female students; whereas other researchers like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identified that female students had better aptitude scores, particularly in urban and aided schools (2014). There are o</w:t>
      </w:r>
      <w:r>
        <w:rPr>
          <w:rFonts w:ascii="Times New Roman" w:eastAsia="Times New Roman" w:hAnsi="Times New Roman" w:cs="Times New Roman"/>
          <w:color w:val="111111"/>
          <w:sz w:val="24"/>
          <w:szCs w:val="24"/>
        </w:rPr>
        <w:t>ther researchers who have investigated the scientific aptitude in the context of other psychological variables. Ghosh (1998) entire correlations were partial with study habits, cognitive styles, and self-concept, whereas Manjula (2013) and Mukhopadhyay (20</w:t>
      </w:r>
      <w:r>
        <w:rPr>
          <w:rFonts w:ascii="Times New Roman" w:eastAsia="Times New Roman" w:hAnsi="Times New Roman" w:cs="Times New Roman"/>
          <w:color w:val="111111"/>
          <w:sz w:val="24"/>
          <w:szCs w:val="24"/>
        </w:rPr>
        <w:t xml:space="preserve">13) emphasized the relationships between scientific aptitude, mental health, and deep learning strategies. Curiosity and scientific curiosity </w:t>
      </w:r>
      <w:proofErr w:type="gramStart"/>
      <w:r>
        <w:rPr>
          <w:rFonts w:ascii="Times New Roman" w:eastAsia="Times New Roman" w:hAnsi="Times New Roman" w:cs="Times New Roman"/>
          <w:color w:val="111111"/>
          <w:sz w:val="24"/>
          <w:szCs w:val="24"/>
        </w:rPr>
        <w:t>has</w:t>
      </w:r>
      <w:proofErr w:type="gramEnd"/>
      <w:r>
        <w:rPr>
          <w:rFonts w:ascii="Times New Roman" w:eastAsia="Times New Roman" w:hAnsi="Times New Roman" w:cs="Times New Roman"/>
          <w:color w:val="111111"/>
          <w:sz w:val="24"/>
          <w:szCs w:val="24"/>
        </w:rPr>
        <w:t xml:space="preserve"> also become a factor of interest where Verma (1994) showed that there is a positive relationship between creat</w:t>
      </w:r>
      <w:r>
        <w:rPr>
          <w:rFonts w:ascii="Times New Roman" w:eastAsia="Times New Roman" w:hAnsi="Times New Roman" w:cs="Times New Roman"/>
          <w:color w:val="111111"/>
          <w:sz w:val="24"/>
          <w:szCs w:val="24"/>
        </w:rPr>
        <w:t xml:space="preserve">ivity, aptitude and career interest;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 showed that there was no such relationship. Aptitude levels have also been found to be affected by school type and medium of instruction, which is the case of </w:t>
      </w:r>
      <w:proofErr w:type="spellStart"/>
      <w:r>
        <w:rPr>
          <w:rFonts w:ascii="Times New Roman" w:eastAsia="Times New Roman" w:hAnsi="Times New Roman" w:cs="Times New Roman"/>
          <w:color w:val="111111"/>
          <w:sz w:val="24"/>
          <w:szCs w:val="24"/>
        </w:rPr>
        <w:t>Moshahid</w:t>
      </w:r>
      <w:proofErr w:type="spellEnd"/>
      <w:r>
        <w:rPr>
          <w:rFonts w:ascii="Times New Roman" w:eastAsia="Times New Roman" w:hAnsi="Times New Roman" w:cs="Times New Roman"/>
          <w:color w:val="111111"/>
          <w:sz w:val="24"/>
          <w:szCs w:val="24"/>
        </w:rPr>
        <w:t xml:space="preserve"> (2016) and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w:t>
      </w:r>
      <w:r>
        <w:rPr>
          <w:rFonts w:ascii="Times New Roman" w:eastAsia="Times New Roman" w:hAnsi="Times New Roman" w:cs="Times New Roman"/>
          <w:color w:val="111111"/>
          <w:sz w:val="24"/>
          <w:szCs w:val="24"/>
        </w:rPr>
        <w:t>hamani</w:t>
      </w:r>
      <w:proofErr w:type="spellEnd"/>
      <w:r>
        <w:rPr>
          <w:rFonts w:ascii="Times New Roman" w:eastAsia="Times New Roman" w:hAnsi="Times New Roman" w:cs="Times New Roman"/>
          <w:color w:val="111111"/>
          <w:sz w:val="24"/>
          <w:szCs w:val="24"/>
        </w:rPr>
        <w:t xml:space="preserve"> (2014), who found that students in English medium, aided, and urban schools had higher levels of scientific aptitude. Arora and Gautam (2013) and Banerjee (2016) have described in their subject-specific studies that </w:t>
      </w:r>
      <w:r>
        <w:rPr>
          <w:rFonts w:ascii="Times New Roman" w:eastAsia="Times New Roman" w:hAnsi="Times New Roman" w:cs="Times New Roman"/>
          <w:color w:val="111111"/>
          <w:sz w:val="24"/>
          <w:szCs w:val="24"/>
        </w:rPr>
        <w:lastRenderedPageBreak/>
        <w:t>scientific aptitude has strong co</w:t>
      </w:r>
      <w:r>
        <w:rPr>
          <w:rFonts w:ascii="Times New Roman" w:eastAsia="Times New Roman" w:hAnsi="Times New Roman" w:cs="Times New Roman"/>
          <w:color w:val="111111"/>
          <w:sz w:val="24"/>
          <w:szCs w:val="24"/>
        </w:rPr>
        <w:t>rrelations with performance in biology, chemistry, physics, and even in mathematics, which confirms the notion that scientific aptitude is a general cognitive phenomenon that affects different subjects. Also, the contribution of external pedagogical variab</w:t>
      </w:r>
      <w:r>
        <w:rPr>
          <w:rFonts w:ascii="Times New Roman" w:eastAsia="Times New Roman" w:hAnsi="Times New Roman" w:cs="Times New Roman"/>
          <w:color w:val="111111"/>
          <w:sz w:val="24"/>
          <w:szCs w:val="24"/>
        </w:rPr>
        <w:t>les, including the competence of teachers, evaluation culture, and instructional efficiency, which were emphasized in Banerjee (2017), indicates that the process of scientific competence formation is not a feature of isolated personal qualities but is also</w:t>
      </w:r>
      <w:r>
        <w:rPr>
          <w:rFonts w:ascii="Times New Roman" w:eastAsia="Times New Roman" w:hAnsi="Times New Roman" w:cs="Times New Roman"/>
          <w:color w:val="111111"/>
          <w:sz w:val="24"/>
          <w:szCs w:val="24"/>
        </w:rPr>
        <w:t xml:space="preserve"> firmly rooted in educational reality. Together, these studies are strong indications that the aptitude of scientific achievement is an important determinant of science achievement and it is that complex product of cognitive, affective and contextual facto</w:t>
      </w:r>
      <w:r>
        <w:rPr>
          <w:rFonts w:ascii="Times New Roman" w:eastAsia="Times New Roman" w:hAnsi="Times New Roman" w:cs="Times New Roman"/>
          <w:color w:val="111111"/>
          <w:sz w:val="24"/>
          <w:szCs w:val="24"/>
        </w:rPr>
        <w:t>rs.</w:t>
      </w:r>
    </w:p>
    <w:p w14:paraId="2DBCD70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Operational Definition of Scientific Aptitude</w:t>
      </w:r>
    </w:p>
    <w:p w14:paraId="409254C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the ability of a person to gain expertise in science.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 is regarded as an innate or acquired ability to reason, imagine scientific processes, and comprehend scientific principles</w:t>
      </w:r>
      <w:r>
        <w:rPr>
          <w:rFonts w:ascii="Times New Roman" w:eastAsia="Times New Roman" w:hAnsi="Times New Roman" w:cs="Times New Roman"/>
          <w:color w:val="111111"/>
          <w:sz w:val="24"/>
          <w:szCs w:val="24"/>
        </w:rPr>
        <w:t xml:space="preserve"> and laws.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Scientific aptitude hence is operationally defined as the mental aptitude or capability of a person to comprehend, examine and put scientific knowledge and reasoning to </w:t>
      </w:r>
      <w:proofErr w:type="spellStart"/>
      <w:r>
        <w:rPr>
          <w:rFonts w:ascii="Times New Roman" w:eastAsia="Times New Roman" w:hAnsi="Times New Roman" w:cs="Times New Roman"/>
          <w:color w:val="111111"/>
          <w:sz w:val="24"/>
          <w:szCs w:val="24"/>
        </w:rPr>
        <w:t>utilise</w:t>
      </w:r>
      <w:proofErr w:type="spellEnd"/>
      <w:r>
        <w:rPr>
          <w:rFonts w:ascii="Times New Roman" w:eastAsia="Times New Roman" w:hAnsi="Times New Roman" w:cs="Times New Roman"/>
          <w:color w:val="111111"/>
          <w:sz w:val="24"/>
          <w:szCs w:val="24"/>
        </w:rPr>
        <w:t xml:space="preserve"> which is useful in enhancing performance on tasks and learning conte</w:t>
      </w:r>
      <w:r>
        <w:rPr>
          <w:rFonts w:ascii="Times New Roman" w:eastAsia="Times New Roman" w:hAnsi="Times New Roman" w:cs="Times New Roman"/>
          <w:color w:val="111111"/>
          <w:sz w:val="24"/>
          <w:szCs w:val="24"/>
        </w:rPr>
        <w:t>xts of science.</w:t>
      </w:r>
    </w:p>
    <w:p w14:paraId="48CB2E55"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roofErr w:type="gramStart"/>
      <w:r>
        <w:rPr>
          <w:rFonts w:ascii="Times New Roman" w:eastAsia="Times New Roman" w:hAnsi="Times New Roman" w:cs="Times New Roman"/>
          <w:b/>
          <w:bCs/>
          <w:sz w:val="24"/>
          <w:szCs w:val="24"/>
        </w:rPr>
        <w:t>1.Research</w:t>
      </w:r>
      <w:proofErr w:type="gramEnd"/>
      <w:r>
        <w:rPr>
          <w:rFonts w:ascii="Times New Roman" w:eastAsia="Times New Roman" w:hAnsi="Times New Roman" w:cs="Times New Roman"/>
          <w:b/>
          <w:bCs/>
          <w:sz w:val="24"/>
          <w:szCs w:val="24"/>
        </w:rPr>
        <w:t xml:space="preserve"> objective and hypothesis</w:t>
      </w:r>
    </w:p>
    <w:p w14:paraId="35BD5D21" w14:textId="77777777" w:rsidR="00C225C6" w:rsidRDefault="0081615B">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find out the scientific aptitude of boys and girls of government and private secondary schools.</w:t>
      </w:r>
    </w:p>
    <w:p w14:paraId="3CAA8432" w14:textId="77777777" w:rsidR="00C225C6" w:rsidRDefault="0081615B">
      <w:pPr>
        <w:spacing w:line="360" w:lineRule="auto"/>
        <w:ind w:left="720"/>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Research Hypothesis</w:t>
      </w:r>
    </w:p>
    <w:p w14:paraId="749E376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H₀₁</w:t>
      </w:r>
      <w:r>
        <w:rPr>
          <w:rFonts w:ascii="Times New Roman" w:eastAsia="Times New Roman" w:hAnsi="Times New Roman" w:cs="Times New Roman"/>
          <w:color w:val="111111"/>
          <w:sz w:val="24"/>
          <w:szCs w:val="24"/>
        </w:rPr>
        <w:t xml:space="preserve">: There is no significant difference in scientific aptitude between students of </w:t>
      </w:r>
      <w:r>
        <w:rPr>
          <w:rFonts w:ascii="Times New Roman" w:eastAsia="Times New Roman" w:hAnsi="Times New Roman" w:cs="Times New Roman"/>
          <w:color w:val="111111"/>
          <w:sz w:val="24"/>
          <w:szCs w:val="24"/>
        </w:rPr>
        <w:t>government and private secondary schools.</w:t>
      </w:r>
    </w:p>
    <w:p w14:paraId="74C01799"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Methodology</w:t>
      </w:r>
    </w:p>
    <w:p w14:paraId="085636CE" w14:textId="221E6879"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According to nature of the problem, the Descriptive cum Survey method was adopted to achieve the solution of the problem.</w:t>
      </w:r>
    </w:p>
    <w:p w14:paraId="6E8137CD"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4.1 Population of the study and sampling technique</w:t>
      </w:r>
    </w:p>
    <w:p w14:paraId="6E46B1CD"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current study invo</w:t>
      </w:r>
      <w:r>
        <w:rPr>
          <w:rFonts w:ascii="Times New Roman" w:eastAsia="Times New Roman" w:hAnsi="Times New Roman" w:cs="Times New Roman"/>
          <w:color w:val="111111"/>
          <w:sz w:val="24"/>
          <w:szCs w:val="24"/>
        </w:rPr>
        <w:t xml:space="preserve">lved the entire population of Class X students who were studying in the given academic session in the secondary schools of the </w:t>
      </w:r>
      <w:proofErr w:type="spellStart"/>
      <w:r>
        <w:rPr>
          <w:rFonts w:ascii="Times New Roman" w:eastAsia="Times New Roman" w:hAnsi="Times New Roman" w:cs="Times New Roman"/>
          <w:color w:val="111111"/>
          <w:sz w:val="24"/>
          <w:szCs w:val="24"/>
        </w:rPr>
        <w:t>Mahendergarh</w:t>
      </w:r>
      <w:proofErr w:type="spellEnd"/>
      <w:r>
        <w:rPr>
          <w:rFonts w:ascii="Times New Roman" w:eastAsia="Times New Roman" w:hAnsi="Times New Roman" w:cs="Times New Roman"/>
          <w:color w:val="111111"/>
          <w:sz w:val="24"/>
          <w:szCs w:val="24"/>
        </w:rPr>
        <w:t xml:space="preserve"> district of Haryana. This specified group was the universe of the research. Out of this population, 200 students of </w:t>
      </w:r>
      <w:r>
        <w:rPr>
          <w:rFonts w:ascii="Times New Roman" w:eastAsia="Times New Roman" w:hAnsi="Times New Roman" w:cs="Times New Roman"/>
          <w:color w:val="111111"/>
          <w:sz w:val="24"/>
          <w:szCs w:val="24"/>
        </w:rPr>
        <w:t>the secondary school were chosen as sample through simple random sampling method which is a type of probability sampling method which gives each person an equal opportunity of being sampled. This was also known as chance sampling and was employed through l</w:t>
      </w:r>
      <w:r>
        <w:rPr>
          <w:rFonts w:ascii="Times New Roman" w:eastAsia="Times New Roman" w:hAnsi="Times New Roman" w:cs="Times New Roman"/>
          <w:color w:val="111111"/>
          <w:sz w:val="24"/>
          <w:szCs w:val="24"/>
        </w:rPr>
        <w:t>ottery method, which is appropriate considering the nature of the study and its aim. The sample identified was sampled in seven government and private secondary schools in the district and this was done in such a way that sampled schools are of both sex an</w:t>
      </w:r>
      <w:r>
        <w:rPr>
          <w:rFonts w:ascii="Times New Roman" w:eastAsia="Times New Roman" w:hAnsi="Times New Roman" w:cs="Times New Roman"/>
          <w:color w:val="111111"/>
          <w:sz w:val="24"/>
          <w:szCs w:val="24"/>
        </w:rPr>
        <w:t xml:space="preserve">d of different types. A representative </w:t>
      </w:r>
      <w:r>
        <w:rPr>
          <w:rFonts w:ascii="Times New Roman" w:eastAsia="Times New Roman" w:hAnsi="Times New Roman" w:cs="Times New Roman"/>
          <w:color w:val="111111"/>
          <w:sz w:val="24"/>
          <w:szCs w:val="24"/>
        </w:rPr>
        <w:lastRenderedPageBreak/>
        <w:t>sample of the target population was also used with 95 boys and 105 girls representing the final sample.</w:t>
      </w:r>
    </w:p>
    <w:p w14:paraId="291FE8E7" w14:textId="77777777" w:rsidR="00C225C6" w:rsidRPr="00CE0A00" w:rsidRDefault="0081615B">
      <w:pPr>
        <w:spacing w:line="360" w:lineRule="auto"/>
        <w:jc w:val="both"/>
        <w:rPr>
          <w:rFonts w:ascii="Times New Roman" w:eastAsia="Times New Roman" w:hAnsi="Times New Roman" w:cs="Times New Roman"/>
          <w:b/>
          <w:bCs/>
          <w:color w:val="111111"/>
          <w:sz w:val="24"/>
          <w:szCs w:val="24"/>
        </w:rPr>
      </w:pPr>
      <w:r w:rsidRPr="00CE0A00">
        <w:rPr>
          <w:rFonts w:ascii="Times New Roman" w:eastAsia="Times New Roman" w:hAnsi="Times New Roman" w:cs="Times New Roman"/>
          <w:b/>
          <w:bCs/>
          <w:color w:val="111111"/>
          <w:sz w:val="24"/>
          <w:szCs w:val="24"/>
        </w:rPr>
        <w:t>4.2. Tools Used</w:t>
      </w:r>
    </w:p>
    <w:p w14:paraId="4836C14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To ensure the ease of collecting data in a systematic manner in the current research, a </w:t>
      </w:r>
      <w:r>
        <w:rPr>
          <w:rFonts w:ascii="Times New Roman" w:eastAsia="Times New Roman" w:hAnsi="Times New Roman" w:cs="Times New Roman"/>
          <w:color w:val="111111"/>
          <w:sz w:val="24"/>
          <w:szCs w:val="24"/>
        </w:rPr>
        <w:t>standardized tool was used- the Scientific Aptitude Test Battery (SATB 2013) that was designed by Dr. K. K. Agarwal and Dr. Saroj Aurora (2013). It is a well-tested instrument that is particularly used to determine different levels of scientific ability am</w:t>
      </w:r>
      <w:r>
        <w:rPr>
          <w:rFonts w:ascii="Times New Roman" w:eastAsia="Times New Roman" w:hAnsi="Times New Roman" w:cs="Times New Roman"/>
          <w:color w:val="111111"/>
          <w:sz w:val="24"/>
          <w:szCs w:val="24"/>
        </w:rPr>
        <w:t>ong students in the high school level. This battery includes four major sub-parts: (1) Reasoning Ability, and (2) Numerical Ability, which assess the logical and analytical ability of a student respectively; (3) Science Information, and (4) Science Vocabul</w:t>
      </w:r>
      <w:r>
        <w:rPr>
          <w:rFonts w:ascii="Times New Roman" w:eastAsia="Times New Roman" w:hAnsi="Times New Roman" w:cs="Times New Roman"/>
          <w:color w:val="111111"/>
          <w:sz w:val="24"/>
          <w:szCs w:val="24"/>
        </w:rPr>
        <w:t>ary, which measures the knowledge of a student of basic scientific facts and principles and knowledge of scientific terms respectively. Use of this holistic and tested tool made the data collected to be reliable and relevant which is in line with the resea</w:t>
      </w:r>
      <w:r>
        <w:rPr>
          <w:rFonts w:ascii="Times New Roman" w:eastAsia="Times New Roman" w:hAnsi="Times New Roman" w:cs="Times New Roman"/>
          <w:color w:val="111111"/>
          <w:sz w:val="24"/>
          <w:szCs w:val="24"/>
        </w:rPr>
        <w:t>rch aim.</w:t>
      </w:r>
    </w:p>
    <w:p w14:paraId="77A0C48F"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ANALYSIS AND INTERPRETATION</w:t>
      </w:r>
    </w:p>
    <w:p w14:paraId="6DA19C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To examine the scientific aptitude of secondary </w:t>
      </w:r>
      <w:proofErr w:type="gramStart"/>
      <w:r>
        <w:rPr>
          <w:rFonts w:ascii="Times New Roman" w:eastAsia="Times New Roman" w:hAnsi="Times New Roman" w:cs="Times New Roman"/>
          <w:sz w:val="24"/>
          <w:szCs w:val="24"/>
        </w:rPr>
        <w:t>schools</w:t>
      </w:r>
      <w:proofErr w:type="gramEnd"/>
      <w:r>
        <w:rPr>
          <w:rFonts w:ascii="Times New Roman" w:eastAsia="Times New Roman" w:hAnsi="Times New Roman" w:cs="Times New Roman"/>
          <w:sz w:val="24"/>
          <w:szCs w:val="24"/>
        </w:rPr>
        <w:t xml:space="preserve"> students (boys and girls) studying in government and private schools.</w:t>
      </w:r>
    </w:p>
    <w:p w14:paraId="6BEACE8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Null Hypothesis (H₀₁): </w:t>
      </w:r>
      <w:r>
        <w:rPr>
          <w:rFonts w:ascii="Times New Roman" w:eastAsia="Times New Roman" w:hAnsi="Times New Roman" w:cs="Times New Roman"/>
          <w:sz w:val="24"/>
          <w:szCs w:val="24"/>
        </w:rPr>
        <w:t>There is no significant difference in the scientific a</w:t>
      </w:r>
      <w:r>
        <w:rPr>
          <w:rFonts w:ascii="Times New Roman" w:eastAsia="Times New Roman" w:hAnsi="Times New Roman" w:cs="Times New Roman"/>
          <w:sz w:val="24"/>
          <w:szCs w:val="24"/>
        </w:rPr>
        <w:t>ptitude of students studying in government and private secondary schools.</w:t>
      </w:r>
    </w:p>
    <w:p w14:paraId="2A019D6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this hypothesis, the following comparisons were undertaken:</w:t>
      </w:r>
    </w:p>
    <w:p w14:paraId="1B007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in government and private secondary schools.</w:t>
      </w:r>
    </w:p>
    <w:p w14:paraId="7BF7FF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girls in governmen</w:t>
      </w:r>
      <w:r>
        <w:rPr>
          <w:rFonts w:ascii="Times New Roman" w:eastAsia="Times New Roman" w:hAnsi="Times New Roman" w:cs="Times New Roman"/>
          <w:sz w:val="24"/>
          <w:szCs w:val="24"/>
        </w:rPr>
        <w:t>t and private secondary schools.</w:t>
      </w:r>
    </w:p>
    <w:p w14:paraId="7407DA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government schools.</w:t>
      </w:r>
    </w:p>
    <w:p w14:paraId="6C4C6BF0"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private schools.</w:t>
      </w:r>
    </w:p>
    <w:p w14:paraId="4AD5DA49"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in the overall sample.</w:t>
      </w:r>
    </w:p>
    <w:p w14:paraId="0924055B"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Scientific aptitude of students in </w:t>
      </w:r>
      <w:r>
        <w:rPr>
          <w:rFonts w:ascii="Times New Roman" w:eastAsia="Times New Roman" w:hAnsi="Times New Roman" w:cs="Times New Roman"/>
          <w:sz w:val="24"/>
          <w:szCs w:val="24"/>
        </w:rPr>
        <w:t>government versus private schools.</w:t>
      </w:r>
    </w:p>
    <w:p w14:paraId="45EE1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locality (urban vs. rural).</w:t>
      </w:r>
    </w:p>
    <w:p w14:paraId="5A0B3FFD"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family type (nuclear vs. joint).</w:t>
      </w:r>
    </w:p>
    <w:p w14:paraId="7CA2A1BA"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in relation to their father's occupation.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6234E1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w:t>
      </w:r>
      <w:r>
        <w:rPr>
          <w:rFonts w:ascii="Times New Roman" w:eastAsia="Times New Roman" w:hAnsi="Times New Roman" w:cs="Times New Roman"/>
          <w:b/>
          <w:bCs/>
          <w:sz w:val="24"/>
          <w:szCs w:val="24"/>
        </w:rPr>
        <w:t>alysis of Data Related to Hypothesis H₀₁</w:t>
      </w:r>
    </w:p>
    <w:p w14:paraId="1377830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Scientific Aptitude of Boys from Government and Private Secondary Schools</w:t>
      </w:r>
    </w:p>
    <w:tbl>
      <w:tblPr>
        <w:tblStyle w:val="a"/>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5"/>
        <w:gridCol w:w="675"/>
        <w:gridCol w:w="945"/>
        <w:gridCol w:w="945"/>
        <w:gridCol w:w="1080"/>
        <w:gridCol w:w="3495"/>
      </w:tblGrid>
      <w:tr w:rsidR="00C225C6" w14:paraId="05F8A0D1" w14:textId="77777777">
        <w:trPr>
          <w:trHeight w:val="375"/>
        </w:trPr>
        <w:tc>
          <w:tcPr>
            <w:tcW w:w="166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AEA5FA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6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C63BD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96E22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126BD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64F86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34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3D88F2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9D380DF"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E16A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Government</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1EF76B9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14E679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8C7B6A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08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B78D1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0.454</w:t>
            </w:r>
          </w:p>
        </w:tc>
        <w:tc>
          <w:tcPr>
            <w:tcW w:w="34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CACBCC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8F709C4"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03F6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2D015C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283746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B8C52C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080" w:type="dxa"/>
            <w:vMerge/>
            <w:tcBorders>
              <w:top w:val="nil"/>
              <w:left w:val="nil"/>
              <w:bottom w:val="single" w:sz="5" w:space="0" w:color="000000"/>
              <w:right w:val="single" w:sz="5" w:space="0" w:color="000000"/>
            </w:tcBorders>
            <w:tcMar>
              <w:top w:w="100" w:type="dxa"/>
              <w:left w:w="100" w:type="dxa"/>
              <w:bottom w:w="100" w:type="dxa"/>
              <w:right w:w="100" w:type="dxa"/>
            </w:tcMar>
          </w:tcPr>
          <w:p w14:paraId="014FECF1" w14:textId="77777777" w:rsidR="00C225C6" w:rsidRDefault="00C225C6">
            <w:pPr>
              <w:spacing w:line="360" w:lineRule="auto"/>
              <w:jc w:val="both"/>
              <w:rPr>
                <w:rFonts w:ascii="Times New Roman" w:eastAsia="Times New Roman" w:hAnsi="Times New Roman" w:cs="Times New Roman"/>
                <w:sz w:val="24"/>
                <w:szCs w:val="24"/>
              </w:rPr>
            </w:pPr>
          </w:p>
        </w:tc>
        <w:tc>
          <w:tcPr>
            <w:tcW w:w="3495" w:type="dxa"/>
            <w:vMerge/>
            <w:tcBorders>
              <w:top w:val="nil"/>
              <w:left w:val="nil"/>
              <w:bottom w:val="single" w:sz="5" w:space="0" w:color="000000"/>
              <w:right w:val="single" w:sz="5" w:space="0" w:color="000000"/>
            </w:tcBorders>
            <w:tcMar>
              <w:top w:w="100" w:type="dxa"/>
              <w:left w:w="100" w:type="dxa"/>
              <w:bottom w:w="100" w:type="dxa"/>
              <w:right w:w="100" w:type="dxa"/>
            </w:tcMar>
          </w:tcPr>
          <w:p w14:paraId="724194D1" w14:textId="77777777" w:rsidR="00C225C6" w:rsidRDefault="00C225C6">
            <w:pPr>
              <w:spacing w:line="360" w:lineRule="auto"/>
              <w:jc w:val="both"/>
              <w:rPr>
                <w:rFonts w:ascii="Times New Roman" w:eastAsia="Times New Roman" w:hAnsi="Times New Roman" w:cs="Times New Roman"/>
                <w:sz w:val="24"/>
                <w:szCs w:val="24"/>
              </w:rPr>
            </w:pPr>
          </w:p>
        </w:tc>
      </w:tr>
    </w:tbl>
    <w:p w14:paraId="183E828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Figure-1:</w:t>
      </w:r>
      <w:r>
        <w:rPr>
          <w:rFonts w:ascii="Times New Roman" w:eastAsia="Times New Roman" w:hAnsi="Times New Roman" w:cs="Times New Roman"/>
          <w:b/>
          <w:bCs/>
          <w:sz w:val="24"/>
          <w:szCs w:val="24"/>
        </w:rPr>
        <w:t xml:space="preserve"> Scientific Aptitude of Boys from Government and Private Secondary Schools</w:t>
      </w:r>
    </w:p>
    <w:p w14:paraId="3122B5E9" w14:textId="77777777" w:rsidR="00C225C6" w:rsidRDefault="00C225C6">
      <w:pPr>
        <w:spacing w:line="360" w:lineRule="auto"/>
        <w:jc w:val="both"/>
        <w:rPr>
          <w:rFonts w:ascii="Times New Roman" w:eastAsia="Times New Roman" w:hAnsi="Times New Roman" w:cs="Times New Roman"/>
          <w:sz w:val="24"/>
          <w:szCs w:val="24"/>
        </w:rPr>
      </w:pPr>
    </w:p>
    <w:p w14:paraId="1BA973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0BB913D8" wp14:editId="563B072E">
            <wp:extent cx="4400550" cy="28289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00550" cy="2828925"/>
                    </a:xfrm>
                    <a:prstGeom prst="rect">
                      <a:avLst/>
                    </a:prstGeom>
                    <a:ln/>
                  </pic:spPr>
                </pic:pic>
              </a:graphicData>
            </a:graphic>
          </wp:inline>
        </w:drawing>
      </w:r>
    </w:p>
    <w:p w14:paraId="4ED215F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1 represents the data concerning the scientific aptitude of the government and private school boys which shows 38.78 mean score of scientific aptitude of boys of govern</w:t>
      </w:r>
      <w:r>
        <w:rPr>
          <w:rFonts w:ascii="Times New Roman" w:eastAsia="Times New Roman" w:hAnsi="Times New Roman" w:cs="Times New Roman"/>
          <w:color w:val="111111"/>
          <w:sz w:val="24"/>
          <w:szCs w:val="24"/>
        </w:rPr>
        <w:t xml:space="preserve">ment school (M=38.78, N=49) is greater than 37.48 mean score of scientific aptitude of boys of private school (M=37.48, N=46) as in Figure-1. Reading through the analysis t-score indicates that there is no significant difference in the scientific aptitude </w:t>
      </w:r>
      <w:r>
        <w:rPr>
          <w:rFonts w:ascii="Times New Roman" w:eastAsia="Times New Roman" w:hAnsi="Times New Roman" w:cs="Times New Roman"/>
          <w:color w:val="111111"/>
          <w:sz w:val="24"/>
          <w:szCs w:val="24"/>
        </w:rPr>
        <w:t>between government and private school boys since calculated value of t (t=0.454) is low as compared to the tabular value at the degree of freedom of 93.</w:t>
      </w:r>
    </w:p>
    <w:p w14:paraId="6CA21CD1" w14:textId="77777777" w:rsidR="00C225C6" w:rsidRDefault="00C225C6">
      <w:pPr>
        <w:spacing w:line="360" w:lineRule="auto"/>
        <w:jc w:val="both"/>
        <w:rPr>
          <w:rFonts w:ascii="Times New Roman" w:eastAsia="Times New Roman" w:hAnsi="Times New Roman" w:cs="Times New Roman"/>
          <w:color w:val="111111"/>
          <w:sz w:val="24"/>
          <w:szCs w:val="24"/>
        </w:rPr>
      </w:pPr>
    </w:p>
    <w:p w14:paraId="2238679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Study of Scientific Aptitude of Girls of Government and Private Secondary School Students</w:t>
      </w:r>
    </w:p>
    <w:tbl>
      <w:tblPr>
        <w:tblStyle w:val="a0"/>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1020"/>
        <w:gridCol w:w="1155"/>
        <w:gridCol w:w="1215"/>
        <w:gridCol w:w="1215"/>
        <w:gridCol w:w="2385"/>
      </w:tblGrid>
      <w:tr w:rsidR="00C225C6" w14:paraId="5A8C2E72" w14:textId="77777777">
        <w:trPr>
          <w:trHeight w:val="375"/>
        </w:trPr>
        <w:tc>
          <w:tcPr>
            <w:tcW w:w="17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8EA50B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w:t>
            </w:r>
            <w:r>
              <w:rPr>
                <w:rFonts w:ascii="Times New Roman" w:eastAsia="Times New Roman" w:hAnsi="Times New Roman" w:cs="Times New Roman"/>
                <w:sz w:val="24"/>
                <w:szCs w:val="24"/>
              </w:rPr>
              <w:t>riable</w:t>
            </w:r>
          </w:p>
        </w:tc>
        <w:tc>
          <w:tcPr>
            <w:tcW w:w="10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0283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0D700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4DF4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BC07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885A80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5582B4"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DEA8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4EFABA5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03CB50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9EAA7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8.784</w:t>
            </w:r>
          </w:p>
        </w:tc>
        <w:tc>
          <w:tcPr>
            <w:tcW w:w="121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A1D12B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4B3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D2A2012"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83DD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16C9D50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57FD5B4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DA3C3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15" w:type="dxa"/>
            <w:vMerge/>
            <w:tcBorders>
              <w:top w:val="nil"/>
              <w:left w:val="nil"/>
              <w:bottom w:val="single" w:sz="5" w:space="0" w:color="000000"/>
              <w:right w:val="single" w:sz="5" w:space="0" w:color="000000"/>
            </w:tcBorders>
            <w:tcMar>
              <w:top w:w="100" w:type="dxa"/>
              <w:left w:w="100" w:type="dxa"/>
              <w:bottom w:w="100" w:type="dxa"/>
              <w:right w:w="100" w:type="dxa"/>
            </w:tcMar>
          </w:tcPr>
          <w:p w14:paraId="7E9A9556"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0B60019A"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41D5C6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Figure-2: Scientific Aptitude of Girls of Government and Private Secondary School</w:t>
      </w:r>
    </w:p>
    <w:p w14:paraId="056EE40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
    <w:p w14:paraId="0A2E25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318F5504" wp14:editId="62BD441B">
            <wp:extent cx="4114800" cy="2781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14800" cy="2781300"/>
                    </a:xfrm>
                    <a:prstGeom prst="rect">
                      <a:avLst/>
                    </a:prstGeom>
                    <a:ln/>
                  </pic:spPr>
                </pic:pic>
              </a:graphicData>
            </a:graphic>
          </wp:inline>
        </w:drawing>
      </w:r>
    </w:p>
    <w:p w14:paraId="2772B3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2 implies the data associated with </w:t>
      </w:r>
      <w:r>
        <w:rPr>
          <w:rFonts w:ascii="Times New Roman" w:eastAsia="Times New Roman" w:hAnsi="Times New Roman" w:cs="Times New Roman"/>
          <w:color w:val="111111"/>
          <w:sz w:val="24"/>
          <w:szCs w:val="24"/>
        </w:rPr>
        <w:t>scientific aptitude of girls of government and private school secondary school which implies the mean value of scientific aptitude of girls of government secondary school (M=40.49, N=53) is lower than mean value of scientific aptitude of girls of private s</w:t>
      </w:r>
      <w:r>
        <w:rPr>
          <w:rFonts w:ascii="Times New Roman" w:eastAsia="Times New Roman" w:hAnsi="Times New Roman" w:cs="Times New Roman"/>
          <w:color w:val="111111"/>
          <w:sz w:val="24"/>
          <w:szCs w:val="24"/>
        </w:rPr>
        <w:t>chool (M=40.88, N=52) as shown in figure-2. Upon reviewing the value of t, there is no significant difference in mean score of the scientific aptitude between the girls in government and private secondary school since the calculated value of t (t=0.809) is</w:t>
      </w:r>
      <w:r>
        <w:rPr>
          <w:rFonts w:ascii="Times New Roman" w:eastAsia="Times New Roman" w:hAnsi="Times New Roman" w:cs="Times New Roman"/>
          <w:color w:val="111111"/>
          <w:sz w:val="24"/>
          <w:szCs w:val="24"/>
        </w:rPr>
        <w:t xml:space="preserve"> less than the value in the tabular value at the degree of freedom of 103.</w:t>
      </w:r>
    </w:p>
    <w:p w14:paraId="765BD46A" w14:textId="77777777" w:rsidR="00C225C6" w:rsidRDefault="00C225C6">
      <w:pPr>
        <w:spacing w:line="360" w:lineRule="auto"/>
        <w:jc w:val="both"/>
        <w:rPr>
          <w:rFonts w:ascii="Times New Roman" w:eastAsia="Times New Roman" w:hAnsi="Times New Roman" w:cs="Times New Roman"/>
          <w:color w:val="111111"/>
          <w:sz w:val="24"/>
          <w:szCs w:val="24"/>
        </w:rPr>
      </w:pPr>
    </w:p>
    <w:p w14:paraId="3BF0CDD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Table-3: Study of Scientific Aptitude of Boys and Girls of Government Secondary School</w:t>
      </w:r>
    </w:p>
    <w:tbl>
      <w:tblPr>
        <w:tblStyle w:val="a1"/>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080"/>
        <w:gridCol w:w="1275"/>
        <w:gridCol w:w="1275"/>
        <w:gridCol w:w="1185"/>
        <w:gridCol w:w="2445"/>
      </w:tblGrid>
      <w:tr w:rsidR="00C225C6" w14:paraId="42F2124C"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201550C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C99BF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D7053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948E50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8825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E1EE9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DAB85F7"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B4CC2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20970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F261C4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417B5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C9F68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0.328</w:t>
            </w:r>
          </w:p>
        </w:tc>
        <w:tc>
          <w:tcPr>
            <w:tcW w:w="244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1A88658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B433A71"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3F4F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FC9F0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224B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BC7965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8.748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02DF803E"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45" w:type="dxa"/>
            <w:vMerge/>
            <w:tcBorders>
              <w:top w:val="nil"/>
              <w:left w:val="nil"/>
              <w:bottom w:val="single" w:sz="5" w:space="0" w:color="000000"/>
              <w:right w:val="single" w:sz="5" w:space="0" w:color="000000"/>
            </w:tcBorders>
            <w:tcMar>
              <w:top w:w="100" w:type="dxa"/>
              <w:left w:w="100" w:type="dxa"/>
              <w:bottom w:w="100" w:type="dxa"/>
              <w:right w:w="100" w:type="dxa"/>
            </w:tcMar>
          </w:tcPr>
          <w:p w14:paraId="53478EEF"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D260D2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Figure-3: Scientific Aptitude of Boys and Girls of Government Secondary School</w:t>
      </w:r>
    </w:p>
    <w:p w14:paraId="17D3F7E0"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11EAAEDB" wp14:editId="7342C260">
            <wp:extent cx="3876675" cy="283845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876675" cy="2838450"/>
                    </a:xfrm>
                    <a:prstGeom prst="rect">
                      <a:avLst/>
                    </a:prstGeom>
                    <a:ln/>
                  </pic:spPr>
                </pic:pic>
              </a:graphicData>
            </a:graphic>
          </wp:inline>
        </w:drawing>
      </w:r>
    </w:p>
    <w:p w14:paraId="39D90A4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3 denotes the information referring to the scientific aptitude of boys and girls of government secondary school that mean value of scientific aptitude of government school boys (M=38.78, N=49) is lower than that of the scientific aptitude of gove</w:t>
      </w:r>
      <w:r>
        <w:rPr>
          <w:rFonts w:ascii="Times New Roman" w:eastAsia="Times New Roman" w:hAnsi="Times New Roman" w:cs="Times New Roman"/>
          <w:color w:val="111111"/>
          <w:sz w:val="24"/>
          <w:szCs w:val="24"/>
        </w:rPr>
        <w:t xml:space="preserve">rnment school girls (M=40.49, N=53) as illustrated in the Figure-3. The value of t analysis indicates that there is no significant difference in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boys and girls of the government secondary school since the </w:t>
      </w:r>
      <w:r>
        <w:rPr>
          <w:rFonts w:ascii="Times New Roman" w:eastAsia="Times New Roman" w:hAnsi="Times New Roman" w:cs="Times New Roman"/>
          <w:color w:val="111111"/>
          <w:sz w:val="24"/>
          <w:szCs w:val="24"/>
        </w:rPr>
        <w:t>value of t calculated (t=0.328) does not exceed the table value at the degree of freedom 100.</w:t>
      </w:r>
    </w:p>
    <w:p w14:paraId="566BADE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Table-4: Study of Scientific Aptitude of Boys and Girls of Private Secondary School Students</w:t>
      </w:r>
    </w:p>
    <w:tbl>
      <w:tblPr>
        <w:tblStyle w:val="a2"/>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080"/>
        <w:gridCol w:w="1230"/>
        <w:gridCol w:w="1170"/>
        <w:gridCol w:w="1230"/>
        <w:gridCol w:w="2610"/>
      </w:tblGrid>
      <w:tr w:rsidR="00C225C6" w14:paraId="013F39CC" w14:textId="77777777">
        <w:trPr>
          <w:trHeight w:val="375"/>
        </w:trPr>
        <w:tc>
          <w:tcPr>
            <w:tcW w:w="145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BFADF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6A170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B02D60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7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6DA1D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B1E3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6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B80A4C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283F082C"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98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14E63D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5FC8FB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3C650DE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23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0BD3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26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1F67DA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r>
              <w:rPr>
                <w:rFonts w:ascii="Times New Roman" w:eastAsia="Times New Roman" w:hAnsi="Times New Roman" w:cs="Times New Roman"/>
                <w:sz w:val="24"/>
                <w:szCs w:val="24"/>
              </w:rPr>
              <w:t>significant at .05 level</w:t>
            </w:r>
          </w:p>
        </w:tc>
      </w:tr>
      <w:tr w:rsidR="00C225C6" w14:paraId="17E0A65E"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2942A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AEF8D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030C0A5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7FF5061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30" w:type="dxa"/>
            <w:vMerge/>
            <w:tcBorders>
              <w:top w:val="nil"/>
              <w:left w:val="nil"/>
              <w:bottom w:val="single" w:sz="5" w:space="0" w:color="000000"/>
              <w:right w:val="single" w:sz="5" w:space="0" w:color="000000"/>
            </w:tcBorders>
            <w:tcMar>
              <w:top w:w="100" w:type="dxa"/>
              <w:left w:w="100" w:type="dxa"/>
              <w:bottom w:w="100" w:type="dxa"/>
              <w:right w:w="100" w:type="dxa"/>
            </w:tcMar>
          </w:tcPr>
          <w:p w14:paraId="75F693F0"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F966656"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05B35AC"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Figure-4: Scientific Aptitude of Boys and Girls of Private Secondary School</w:t>
      </w:r>
    </w:p>
    <w:p w14:paraId="6626D2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6327CD44" wp14:editId="08FA953B">
            <wp:extent cx="3771900" cy="2743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71900" cy="2743200"/>
                    </a:xfrm>
                    <a:prstGeom prst="rect">
                      <a:avLst/>
                    </a:prstGeom>
                    <a:ln/>
                  </pic:spPr>
                </pic:pic>
              </a:graphicData>
            </a:graphic>
          </wp:inline>
        </w:drawing>
      </w:r>
    </w:p>
    <w:p w14:paraId="7A7717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number 4 reveals the data associated with the scientific aptitude of boys and girls of private secondary school indicates that mean value of scientific aptitude of private school boys (M=37.48, N=46) is less than the mean value of scientific apti</w:t>
      </w:r>
      <w:r>
        <w:rPr>
          <w:rFonts w:ascii="Times New Roman" w:eastAsia="Times New Roman" w:hAnsi="Times New Roman" w:cs="Times New Roman"/>
          <w:color w:val="111111"/>
          <w:sz w:val="24"/>
          <w:szCs w:val="24"/>
        </w:rPr>
        <w:t xml:space="preserve">tude of the private school </w:t>
      </w:r>
      <w:proofErr w:type="gramStart"/>
      <w:r>
        <w:rPr>
          <w:rFonts w:ascii="Times New Roman" w:eastAsia="Times New Roman" w:hAnsi="Times New Roman" w:cs="Times New Roman"/>
          <w:color w:val="111111"/>
          <w:sz w:val="24"/>
          <w:szCs w:val="24"/>
        </w:rPr>
        <w:t>girls</w:t>
      </w:r>
      <w:proofErr w:type="gramEnd"/>
      <w:r>
        <w:rPr>
          <w:rFonts w:ascii="Times New Roman" w:eastAsia="Times New Roman" w:hAnsi="Times New Roman" w:cs="Times New Roman"/>
          <w:color w:val="111111"/>
          <w:sz w:val="24"/>
          <w:szCs w:val="24"/>
        </w:rPr>
        <w:t xml:space="preserve"> students (M=40.88, N=52) as indicated by Figure- 4 after analysis of value of t.</w:t>
      </w:r>
    </w:p>
    <w:p w14:paraId="45D35309" w14:textId="77777777" w:rsidR="00C225C6" w:rsidRDefault="00C225C6">
      <w:pPr>
        <w:spacing w:line="360" w:lineRule="auto"/>
        <w:jc w:val="both"/>
        <w:rPr>
          <w:rFonts w:ascii="Times New Roman" w:eastAsia="Times New Roman" w:hAnsi="Times New Roman" w:cs="Times New Roman"/>
          <w:color w:val="111111"/>
          <w:sz w:val="24"/>
          <w:szCs w:val="24"/>
        </w:rPr>
      </w:pPr>
    </w:p>
    <w:p w14:paraId="572553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Study of Scientific Aptitude of Boys and Girls of Secondary School Students</w:t>
      </w: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125"/>
        <w:gridCol w:w="1230"/>
        <w:gridCol w:w="1275"/>
        <w:gridCol w:w="1185"/>
        <w:gridCol w:w="2475"/>
      </w:tblGrid>
      <w:tr w:rsidR="00C225C6" w14:paraId="2D4C6AA0"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4DFC01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12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7D1BE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8DAB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A086C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0316B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F0071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38CD23"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3463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7DCA118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C1089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38.15</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8216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8.383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6B612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1F9763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19385C8A"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2271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045CFE2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7E8DFA9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27D3AB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7E71D638"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703415E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242E11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Figure-5: Scientific Aptitude of Boys and Girls of Secondary School students</w:t>
      </w:r>
    </w:p>
    <w:p w14:paraId="7AC209B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03B9EA6" wp14:editId="5A421235">
            <wp:extent cx="3667125" cy="285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67125" cy="2857500"/>
                    </a:xfrm>
                    <a:prstGeom prst="rect">
                      <a:avLst/>
                    </a:prstGeom>
                    <a:ln/>
                  </pic:spPr>
                </pic:pic>
              </a:graphicData>
            </a:graphic>
          </wp:inline>
        </w:drawing>
      </w:r>
    </w:p>
    <w:p w14:paraId="00FBB3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Figure-5 shows that the mean value of scientific aptitude of boys (M=38.15, N=95) is low in comparison to the mean </w:t>
      </w:r>
      <w:r>
        <w:rPr>
          <w:rFonts w:ascii="Times New Roman" w:eastAsia="Times New Roman" w:hAnsi="Times New Roman" w:cs="Times New Roman"/>
          <w:color w:val="111111"/>
          <w:sz w:val="24"/>
          <w:szCs w:val="24"/>
        </w:rPr>
        <w:t xml:space="preserve">value of scientific aptitude school girls (M=40.69, N=105); Table 5 represents the data of scientific aptitude of boys and girls of secondary school. Upon examination of the value of t, it was found that there is no significant difference in mean value of </w:t>
      </w:r>
      <w:r>
        <w:rPr>
          <w:rFonts w:ascii="Times New Roman" w:eastAsia="Times New Roman" w:hAnsi="Times New Roman" w:cs="Times New Roman"/>
          <w:color w:val="111111"/>
          <w:sz w:val="24"/>
          <w:szCs w:val="24"/>
        </w:rPr>
        <w:t>score of scientific aptitude of boys and girls as the calculated value of t (t =0.033) is less than that of tabular value, which is 0.033.</w:t>
      </w:r>
    </w:p>
    <w:p w14:paraId="53329471" w14:textId="77777777" w:rsidR="00C225C6" w:rsidRDefault="00C225C6">
      <w:pPr>
        <w:spacing w:line="360" w:lineRule="auto"/>
        <w:jc w:val="both"/>
        <w:rPr>
          <w:rFonts w:ascii="Times New Roman" w:eastAsia="Times New Roman" w:hAnsi="Times New Roman" w:cs="Times New Roman"/>
          <w:color w:val="111111"/>
          <w:sz w:val="24"/>
          <w:szCs w:val="24"/>
        </w:rPr>
      </w:pPr>
    </w:p>
    <w:p w14:paraId="56758ADE"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Table-6: Study of Scientific Aptitude of Government and Private Secondary School Students</w:t>
      </w:r>
    </w:p>
    <w:tbl>
      <w:tblPr>
        <w:tblStyle w:val="a4"/>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1050"/>
        <w:gridCol w:w="1155"/>
        <w:gridCol w:w="1200"/>
        <w:gridCol w:w="1320"/>
        <w:gridCol w:w="2235"/>
      </w:tblGrid>
      <w:tr w:rsidR="00C225C6" w14:paraId="5CBBDA63" w14:textId="77777777">
        <w:trPr>
          <w:trHeight w:val="375"/>
        </w:trPr>
        <w:tc>
          <w:tcPr>
            <w:tcW w:w="18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65D477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5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8B210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B7FEF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0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62428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3FC6D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2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DBB7D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0C5A09D"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B5F6C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8C949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1D0DBF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39.67</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33654D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8.802</w:t>
            </w:r>
          </w:p>
        </w:tc>
        <w:tc>
          <w:tcPr>
            <w:tcW w:w="132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57193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0.749</w:t>
            </w:r>
          </w:p>
        </w:tc>
        <w:tc>
          <w:tcPr>
            <w:tcW w:w="223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E768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2808C1B5"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AF67C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C2CEE5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22C196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39.29</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77C498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8.008</w:t>
            </w:r>
          </w:p>
        </w:tc>
        <w:tc>
          <w:tcPr>
            <w:tcW w:w="1320" w:type="dxa"/>
            <w:vMerge/>
            <w:tcBorders>
              <w:top w:val="nil"/>
              <w:left w:val="nil"/>
              <w:bottom w:val="single" w:sz="5" w:space="0" w:color="000000"/>
              <w:right w:val="single" w:sz="5" w:space="0" w:color="000000"/>
            </w:tcBorders>
            <w:tcMar>
              <w:top w:w="100" w:type="dxa"/>
              <w:left w:w="100" w:type="dxa"/>
              <w:bottom w:w="100" w:type="dxa"/>
              <w:right w:w="100" w:type="dxa"/>
            </w:tcMar>
          </w:tcPr>
          <w:p w14:paraId="4C121A3B"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235" w:type="dxa"/>
            <w:vMerge/>
            <w:tcBorders>
              <w:top w:val="nil"/>
              <w:left w:val="nil"/>
              <w:bottom w:val="single" w:sz="5" w:space="0" w:color="000000"/>
              <w:right w:val="single" w:sz="5" w:space="0" w:color="000000"/>
            </w:tcBorders>
            <w:tcMar>
              <w:top w:w="100" w:type="dxa"/>
              <w:left w:w="100" w:type="dxa"/>
              <w:bottom w:w="100" w:type="dxa"/>
              <w:right w:w="100" w:type="dxa"/>
            </w:tcMar>
          </w:tcPr>
          <w:p w14:paraId="6D8525D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2FBFD1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Figure-6: Scientific Aptitude of Government and Private Secondary School Students</w:t>
      </w:r>
    </w:p>
    <w:p w14:paraId="482A42DC" w14:textId="77777777" w:rsidR="00C225C6" w:rsidRDefault="00C225C6">
      <w:pPr>
        <w:spacing w:line="360" w:lineRule="auto"/>
        <w:jc w:val="both"/>
        <w:rPr>
          <w:rFonts w:ascii="Times New Roman" w:eastAsia="Times New Roman" w:hAnsi="Times New Roman" w:cs="Times New Roman"/>
          <w:color w:val="111111"/>
          <w:sz w:val="24"/>
          <w:szCs w:val="24"/>
        </w:rPr>
      </w:pPr>
    </w:p>
    <w:p w14:paraId="1853DF8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33C1552B" wp14:editId="1AED2B44">
            <wp:extent cx="3819525" cy="2819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19525" cy="2819400"/>
                    </a:xfrm>
                    <a:prstGeom prst="rect">
                      <a:avLst/>
                    </a:prstGeom>
                    <a:ln/>
                  </pic:spPr>
                </pic:pic>
              </a:graphicData>
            </a:graphic>
          </wp:inline>
        </w:drawing>
      </w:r>
    </w:p>
    <w:p w14:paraId="64B3A75E"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6 shows the data on the scientific aptitude of the government and the private secondary school students which show that means value of scientific aptitude of government secondary school students (M=39.67, N=102) is greater than the means value of</w:t>
      </w:r>
      <w:r>
        <w:rPr>
          <w:rFonts w:ascii="Times New Roman" w:eastAsia="Times New Roman" w:hAnsi="Times New Roman" w:cs="Times New Roman"/>
          <w:color w:val="111111"/>
          <w:sz w:val="24"/>
          <w:szCs w:val="24"/>
        </w:rPr>
        <w:t xml:space="preserve"> scientific aptitude of the private school students (M=39.29, N=98) as illustrated on the Figure-6. On analysis of value of t, it is found that there is no significant difference in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girls in government and pri</w:t>
      </w:r>
      <w:r>
        <w:rPr>
          <w:rFonts w:ascii="Times New Roman" w:eastAsia="Times New Roman" w:hAnsi="Times New Roman" w:cs="Times New Roman"/>
          <w:color w:val="111111"/>
          <w:sz w:val="24"/>
          <w:szCs w:val="24"/>
        </w:rPr>
        <w:t>vate secondary school students since calculated value of t (t=0.749) is less than tabular value at degree of freedom equals 198.</w:t>
      </w:r>
    </w:p>
    <w:p w14:paraId="5B28B31D" w14:textId="77777777" w:rsidR="00C225C6" w:rsidRDefault="00C225C6">
      <w:pPr>
        <w:spacing w:line="360" w:lineRule="auto"/>
        <w:jc w:val="both"/>
        <w:rPr>
          <w:rFonts w:ascii="Times New Roman" w:eastAsia="Times New Roman" w:hAnsi="Times New Roman" w:cs="Times New Roman"/>
          <w:color w:val="111111"/>
          <w:sz w:val="24"/>
          <w:szCs w:val="24"/>
        </w:rPr>
      </w:pPr>
    </w:p>
    <w:p w14:paraId="436C43F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Analysis of data related to Scientific Aptitude and Locality</w:t>
      </w:r>
    </w:p>
    <w:p w14:paraId="2B77375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Study of Scientific Aptitude in accordance with their Lo</w:t>
      </w:r>
      <w:r>
        <w:rPr>
          <w:rFonts w:ascii="Times New Roman" w:eastAsia="Times New Roman" w:hAnsi="Times New Roman" w:cs="Times New Roman"/>
          <w:b/>
          <w:bCs/>
          <w:sz w:val="24"/>
          <w:szCs w:val="24"/>
        </w:rPr>
        <w:t>cality</w:t>
      </w:r>
    </w:p>
    <w:tbl>
      <w:tblPr>
        <w:tblStyle w:val="a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95"/>
        <w:gridCol w:w="1230"/>
        <w:gridCol w:w="1185"/>
        <w:gridCol w:w="1365"/>
        <w:gridCol w:w="2475"/>
      </w:tblGrid>
      <w:tr w:rsidR="00C225C6" w14:paraId="230E824C"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1791CB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F45871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95B65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2426C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95078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F27C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59D2A65"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A96F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535F58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21876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38.32</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3F7EA4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7.728</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86F8A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A15E9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0622A6D3"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70404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25DD6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24EB9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C2BE8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8.699</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B936D37"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21D1BBE9"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A66A39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Figure-7: Scientific Aptitude in accordance with their Locality</w:t>
      </w:r>
    </w:p>
    <w:p w14:paraId="4E9E1DB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7A17E9C" wp14:editId="2982F546">
            <wp:extent cx="3676650" cy="28194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76650" cy="2819400"/>
                    </a:xfrm>
                    <a:prstGeom prst="rect">
                      <a:avLst/>
                    </a:prstGeom>
                    <a:ln/>
                  </pic:spPr>
                </pic:pic>
              </a:graphicData>
            </a:graphic>
          </wp:inline>
        </w:drawing>
      </w:r>
    </w:p>
    <w:p w14:paraId="22E6AAC2" w14:textId="77777777" w:rsidR="00C225C6" w:rsidRDefault="00C225C6">
      <w:pPr>
        <w:spacing w:line="360" w:lineRule="auto"/>
        <w:jc w:val="both"/>
        <w:rPr>
          <w:rFonts w:ascii="Times New Roman" w:eastAsia="Times New Roman" w:hAnsi="Times New Roman" w:cs="Times New Roman"/>
          <w:color w:val="111111"/>
          <w:sz w:val="24"/>
          <w:szCs w:val="24"/>
        </w:rPr>
      </w:pPr>
    </w:p>
    <w:p w14:paraId="06318D9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data in Table 7 refer to the scientific aptitude of urban and rural secondary school students and is used to show that mean value of scientific aptitude of urban secondary school students (M=38.32, N= 68) is lower than mean value of scientific aptitude</w:t>
      </w:r>
      <w:r>
        <w:rPr>
          <w:rFonts w:ascii="Times New Roman" w:eastAsia="Times New Roman" w:hAnsi="Times New Roman" w:cs="Times New Roman"/>
          <w:color w:val="111111"/>
          <w:sz w:val="24"/>
          <w:szCs w:val="24"/>
        </w:rPr>
        <w:t xml:space="preserve"> of rural school students (M=40.08, N=132) as is represented in Figure- 7. Upon analysis of value of t, it is not observed that there is any significant difference between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students in urban and rural schoo</w:t>
      </w:r>
      <w:r>
        <w:rPr>
          <w:rFonts w:ascii="Times New Roman" w:eastAsia="Times New Roman" w:hAnsi="Times New Roman" w:cs="Times New Roman"/>
          <w:color w:val="111111"/>
          <w:sz w:val="24"/>
          <w:szCs w:val="24"/>
        </w:rPr>
        <w:t>ls since the calculated value of t (t=0.163) is less than the tabular value at degree of freedom 198.</w:t>
      </w:r>
    </w:p>
    <w:p w14:paraId="3611039D" w14:textId="77777777" w:rsidR="00C225C6" w:rsidRDefault="00C225C6">
      <w:pPr>
        <w:spacing w:line="360" w:lineRule="auto"/>
        <w:jc w:val="both"/>
        <w:rPr>
          <w:rFonts w:ascii="Times New Roman" w:eastAsia="Times New Roman" w:hAnsi="Times New Roman" w:cs="Times New Roman"/>
          <w:color w:val="111111"/>
          <w:sz w:val="24"/>
          <w:szCs w:val="24"/>
        </w:rPr>
      </w:pPr>
    </w:p>
    <w:p w14:paraId="45C4754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related to Scientific Aptitude with their Family Type</w:t>
      </w:r>
    </w:p>
    <w:p w14:paraId="1CD30293"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Scientific Aptitude in accordance with their Family Type</w:t>
      </w:r>
    </w:p>
    <w:tbl>
      <w:tblPr>
        <w:tblStyle w:val="a6"/>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80"/>
        <w:gridCol w:w="1275"/>
        <w:gridCol w:w="1230"/>
        <w:gridCol w:w="1365"/>
        <w:gridCol w:w="2385"/>
      </w:tblGrid>
      <w:tr w:rsidR="00C225C6" w14:paraId="0BEBBD61"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616919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ADB9B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5F7DAA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08C49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F277B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0E77E7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7BCBB49"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CE86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Nuclear</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8FCEA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9BCE8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6F3AB7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8.243</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A93972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B1B0C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17B66E2"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69BF5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Joint</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9DEC5B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255195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15BACA9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8.120</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9FBF454"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11D91EB3"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626CC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75F5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Figure-8: Scientific Aptitude in accordance with their Family Type</w:t>
      </w:r>
    </w:p>
    <w:p w14:paraId="5D52A2E9" w14:textId="77777777" w:rsidR="00C225C6" w:rsidRDefault="00C225C6">
      <w:pPr>
        <w:spacing w:line="360" w:lineRule="auto"/>
        <w:jc w:val="both"/>
        <w:rPr>
          <w:rFonts w:ascii="Times New Roman" w:eastAsia="Times New Roman" w:hAnsi="Times New Roman" w:cs="Times New Roman"/>
          <w:color w:val="111111"/>
          <w:sz w:val="24"/>
          <w:szCs w:val="24"/>
        </w:rPr>
      </w:pPr>
    </w:p>
    <w:p w14:paraId="4640B25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200846AA" wp14:editId="788B9F20">
            <wp:extent cx="3676650" cy="26479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676650" cy="2647950"/>
                    </a:xfrm>
                    <a:prstGeom prst="rect">
                      <a:avLst/>
                    </a:prstGeom>
                    <a:ln/>
                  </pic:spPr>
                </pic:pic>
              </a:graphicData>
            </a:graphic>
          </wp:inline>
        </w:drawing>
      </w:r>
    </w:p>
    <w:p w14:paraId="3B068A7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Table-8 represents the information associated with scientific aptitude of students in nuclear and joint family, which denotes that the mean value of scientific aptitude of students in nuclear family (M=41.18, N=114) is bigger than the mean value of scienti</w:t>
      </w:r>
      <w:r>
        <w:rPr>
          <w:rFonts w:ascii="Times New Roman" w:eastAsia="Times New Roman" w:hAnsi="Times New Roman" w:cs="Times New Roman"/>
          <w:color w:val="111111"/>
          <w:sz w:val="24"/>
          <w:szCs w:val="24"/>
        </w:rPr>
        <w:t xml:space="preserve">fic aptitude of students in joint family (M=37.22, N=86) as seen in Figure-8. The analysis of the value of t indicates that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secondary students of nuclear and joint family is not significantly different as </w:t>
      </w:r>
      <w:r>
        <w:rPr>
          <w:rFonts w:ascii="Times New Roman" w:eastAsia="Times New Roman" w:hAnsi="Times New Roman" w:cs="Times New Roman"/>
          <w:color w:val="111111"/>
          <w:sz w:val="24"/>
          <w:szCs w:val="24"/>
        </w:rPr>
        <w:t>calculated t value (t=0.001) is lower than the value shown in the table 8 at the level of degree of freedom 198.</w:t>
      </w:r>
    </w:p>
    <w:p w14:paraId="04FA2543" w14:textId="77777777" w:rsidR="00C225C6" w:rsidRDefault="00C225C6">
      <w:pPr>
        <w:spacing w:line="360" w:lineRule="auto"/>
        <w:jc w:val="both"/>
        <w:rPr>
          <w:rFonts w:ascii="Times New Roman" w:eastAsia="Times New Roman" w:hAnsi="Times New Roman" w:cs="Times New Roman"/>
          <w:color w:val="111111"/>
          <w:sz w:val="24"/>
          <w:szCs w:val="24"/>
        </w:rPr>
      </w:pPr>
    </w:p>
    <w:p w14:paraId="0B7439C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of Scientific Aptitude Test in accordance with their Fathers Occupation</w:t>
      </w:r>
    </w:p>
    <w:p w14:paraId="04D886B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-9 Scientific Aptitude Test in accordance with</w:t>
      </w:r>
      <w:r>
        <w:rPr>
          <w:rFonts w:ascii="Times New Roman" w:eastAsia="Times New Roman" w:hAnsi="Times New Roman" w:cs="Times New Roman"/>
          <w:b/>
          <w:bCs/>
          <w:sz w:val="24"/>
          <w:szCs w:val="24"/>
        </w:rPr>
        <w:t xml:space="preserve"> their Fathers Occupation</w:t>
      </w:r>
    </w:p>
    <w:tbl>
      <w:tblPr>
        <w:tblStyle w:val="a7"/>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1680"/>
        <w:gridCol w:w="2265"/>
        <w:gridCol w:w="2535"/>
      </w:tblGrid>
      <w:tr w:rsidR="00C225C6" w14:paraId="44127981" w14:textId="77777777">
        <w:trPr>
          <w:trHeight w:val="375"/>
        </w:trPr>
        <w:tc>
          <w:tcPr>
            <w:tcW w:w="232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01B5000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6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7CE2B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2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B5F72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25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7AD07D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r>
      <w:tr w:rsidR="00C225C6" w14:paraId="74A50908"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CC1EE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18CA8A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2D2A00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3F568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7.454</w:t>
            </w:r>
          </w:p>
        </w:tc>
      </w:tr>
      <w:tr w:rsidR="00C225C6" w14:paraId="6FA68F6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5878A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F18B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62CE2B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1A77593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6.520</w:t>
            </w:r>
          </w:p>
        </w:tc>
      </w:tr>
      <w:tr w:rsidR="00C225C6" w14:paraId="63A1AA31"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D98A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B98213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0640296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41.23</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668050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10.452</w:t>
            </w:r>
          </w:p>
        </w:tc>
      </w:tr>
      <w:tr w:rsidR="00C225C6" w14:paraId="1A8BE3C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0B101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5F75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4C2F1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38.92</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462F2AD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7.627</w:t>
            </w:r>
          </w:p>
        </w:tc>
      </w:tr>
    </w:tbl>
    <w:p w14:paraId="03AF4449"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Table -10 ANOVA of Scientific Aptitude Test in accordance with their Fathers Occupation</w:t>
      </w:r>
    </w:p>
    <w:tbl>
      <w:tblPr>
        <w:tblStyle w:val="a8"/>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2040"/>
        <w:gridCol w:w="1140"/>
        <w:gridCol w:w="2055"/>
        <w:gridCol w:w="1410"/>
      </w:tblGrid>
      <w:tr w:rsidR="00C225C6" w14:paraId="251D1482" w14:textId="77777777">
        <w:trPr>
          <w:trHeight w:val="375"/>
        </w:trPr>
        <w:tc>
          <w:tcPr>
            <w:tcW w:w="216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5DB4DF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94A74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of </w:t>
            </w:r>
            <w:r>
              <w:rPr>
                <w:rFonts w:ascii="Times New Roman" w:eastAsia="Times New Roman" w:hAnsi="Times New Roman" w:cs="Times New Roman"/>
                <w:sz w:val="24"/>
                <w:szCs w:val="24"/>
              </w:rPr>
              <w:t>square</w:t>
            </w:r>
          </w:p>
        </w:tc>
        <w:tc>
          <w:tcPr>
            <w:tcW w:w="11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86979B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0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17030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4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00E3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C225C6" w14:paraId="5FE75D7D"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88BA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480269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267.606</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FA9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3AB46C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89.202</w:t>
            </w:r>
          </w:p>
        </w:tc>
        <w:tc>
          <w:tcPr>
            <w:tcW w:w="14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6B885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r>
      <w:tr w:rsidR="00C225C6" w14:paraId="39898A2B"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FA6F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278B119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13784.314</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D2DB2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7D1E30E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70.328</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0A45F9B7" w14:textId="77777777" w:rsidR="00C225C6" w:rsidRDefault="00C225C6">
            <w:pPr>
              <w:spacing w:line="360" w:lineRule="auto"/>
              <w:jc w:val="both"/>
              <w:rPr>
                <w:rFonts w:ascii="Times New Roman" w:eastAsia="Times New Roman" w:hAnsi="Times New Roman" w:cs="Times New Roman"/>
                <w:color w:val="111111"/>
                <w:sz w:val="24"/>
                <w:szCs w:val="24"/>
              </w:rPr>
            </w:pPr>
          </w:p>
        </w:tc>
      </w:tr>
      <w:tr w:rsidR="00C225C6" w14:paraId="68794805"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65F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7A02D1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14051.920</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593E6F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4B3F38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53686F0E"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FCCE32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3301E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Above Table 9 and Table 10 indicates that ANOVA of scientific aptitude test in concurrence with their father occupation </w:t>
      </w:r>
      <w:r>
        <w:rPr>
          <w:rFonts w:ascii="Times New Roman" w:eastAsia="Times New Roman" w:hAnsi="Times New Roman" w:cs="Times New Roman"/>
          <w:color w:val="111111"/>
          <w:sz w:val="24"/>
          <w:szCs w:val="24"/>
        </w:rPr>
        <w:t>calculated F value 1.268 is lower than tabular value 3.88 at 5% level with degree of freedom being 3 and 196 respectively and indicated that the variance in score of scientific aptitude test in conformity with their father occupation is not different.</w:t>
      </w:r>
    </w:p>
    <w:p w14:paraId="39DC86E8" w14:textId="77777777" w:rsidR="00C225C6" w:rsidRDefault="00C225C6">
      <w:pPr>
        <w:spacing w:line="360" w:lineRule="auto"/>
        <w:jc w:val="both"/>
        <w:rPr>
          <w:rFonts w:ascii="Times New Roman" w:eastAsia="Times New Roman" w:hAnsi="Times New Roman" w:cs="Times New Roman"/>
          <w:color w:val="111111"/>
          <w:sz w:val="24"/>
          <w:szCs w:val="24"/>
        </w:rPr>
      </w:pPr>
    </w:p>
    <w:p w14:paraId="5C304E8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Discussions: </w:t>
      </w:r>
      <w:r>
        <w:rPr>
          <w:rFonts w:ascii="Times New Roman" w:eastAsia="Times New Roman" w:hAnsi="Times New Roman" w:cs="Times New Roman"/>
          <w:color w:val="111111"/>
          <w:sz w:val="24"/>
          <w:szCs w:val="24"/>
        </w:rPr>
        <w:t>The current study was aimed at trying to test scientific aptitude among school going students based on some major demographic variables, such as gender, type of school (government or private), locality (urban or rural), family type (nuclear or</w:t>
      </w:r>
      <w:r>
        <w:rPr>
          <w:rFonts w:ascii="Times New Roman" w:eastAsia="Times New Roman" w:hAnsi="Times New Roman" w:cs="Times New Roman"/>
          <w:color w:val="111111"/>
          <w:sz w:val="24"/>
          <w:szCs w:val="24"/>
        </w:rPr>
        <w:t xml:space="preserve"> joint), and father occupation. However, to the contrary of the widely made assumptions, the results showed that there are no statistically significant differences in scientific aptitude between these variables. These findings have significant implications</w:t>
      </w:r>
      <w:r>
        <w:rPr>
          <w:rFonts w:ascii="Times New Roman" w:eastAsia="Times New Roman" w:hAnsi="Times New Roman" w:cs="Times New Roman"/>
          <w:color w:val="111111"/>
          <w:sz w:val="24"/>
          <w:szCs w:val="24"/>
        </w:rPr>
        <w:t xml:space="preserve"> to the educational policy and also classroom practice.</w:t>
      </w:r>
    </w:p>
    <w:p w14:paraId="44410ECC" w14:textId="77777777" w:rsidR="00C225C6" w:rsidRDefault="00C225C6">
      <w:pPr>
        <w:spacing w:line="360" w:lineRule="auto"/>
        <w:jc w:val="both"/>
        <w:rPr>
          <w:rFonts w:ascii="Times New Roman" w:eastAsia="Times New Roman" w:hAnsi="Times New Roman" w:cs="Times New Roman"/>
          <w:sz w:val="24"/>
          <w:szCs w:val="24"/>
        </w:rPr>
      </w:pPr>
    </w:p>
    <w:p w14:paraId="0EE170B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lack of gender variations correlates with the wider intentions of the National Education Policy (NEP) 2020, which requires equal access and achievement of all learners irrespective of their </w:t>
      </w:r>
      <w:r>
        <w:rPr>
          <w:rFonts w:ascii="Times New Roman" w:eastAsia="Times New Roman" w:hAnsi="Times New Roman" w:cs="Times New Roman"/>
          <w:color w:val="111111"/>
          <w:sz w:val="24"/>
          <w:szCs w:val="24"/>
        </w:rPr>
        <w:t>gender. This helps to confirm that in equal learning conditions and chances, boys and girls demonstrate equal cognitive engagement in science. The observation also supports the concept that aptitude in science is not a gender-biased phenomenon, an observat</w:t>
      </w:r>
      <w:r>
        <w:rPr>
          <w:rFonts w:ascii="Times New Roman" w:eastAsia="Times New Roman" w:hAnsi="Times New Roman" w:cs="Times New Roman"/>
          <w:color w:val="111111"/>
          <w:sz w:val="24"/>
          <w:szCs w:val="24"/>
        </w:rPr>
        <w:t>ion that disputes long-thought societal stereotypes regarding gender-based performances in the STEM disciplines.</w:t>
      </w:r>
    </w:p>
    <w:p w14:paraId="79ADF6B1" w14:textId="77777777" w:rsidR="00C225C6" w:rsidRDefault="00C225C6">
      <w:pPr>
        <w:spacing w:line="360" w:lineRule="auto"/>
        <w:jc w:val="both"/>
        <w:rPr>
          <w:rFonts w:ascii="Times New Roman" w:eastAsia="Times New Roman" w:hAnsi="Times New Roman" w:cs="Times New Roman"/>
          <w:color w:val="111111"/>
          <w:sz w:val="24"/>
          <w:szCs w:val="24"/>
        </w:rPr>
      </w:pPr>
    </w:p>
    <w:p w14:paraId="21DDD8D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Likewise, the absence of an important distinction between the students of government and non-government schools provides an evidence that the </w:t>
      </w:r>
      <w:r>
        <w:rPr>
          <w:rFonts w:ascii="Times New Roman" w:eastAsia="Times New Roman" w:hAnsi="Times New Roman" w:cs="Times New Roman"/>
          <w:color w:val="111111"/>
          <w:sz w:val="24"/>
          <w:szCs w:val="24"/>
        </w:rPr>
        <w:t>students belonging to various institutional backgrounds have the similar potential as far as the scientific ability is concerned. This can be an indication of increased uniformity to the curriculum and the effectiveness of teachers regardless of the school</w:t>
      </w:r>
      <w:r>
        <w:rPr>
          <w:rFonts w:ascii="Times New Roman" w:eastAsia="Times New Roman" w:hAnsi="Times New Roman" w:cs="Times New Roman"/>
          <w:color w:val="111111"/>
          <w:sz w:val="24"/>
          <w:szCs w:val="24"/>
        </w:rPr>
        <w:t xml:space="preserve"> type, it can also mean that aptitude has more to do with intrinsic factors and early developmental experiences than the characteristics of institutions at the secondary level. It further implies that given proper support and resources, government schools </w:t>
      </w:r>
      <w:r>
        <w:rPr>
          <w:rFonts w:ascii="Times New Roman" w:eastAsia="Times New Roman" w:hAnsi="Times New Roman" w:cs="Times New Roman"/>
          <w:color w:val="111111"/>
          <w:sz w:val="24"/>
          <w:szCs w:val="24"/>
        </w:rPr>
        <w:t>are able to instill scientific thinking as much as the private institutions.</w:t>
      </w:r>
    </w:p>
    <w:p w14:paraId="56D38EC9" w14:textId="77777777" w:rsidR="00C225C6" w:rsidRDefault="00C225C6">
      <w:pPr>
        <w:spacing w:line="360" w:lineRule="auto"/>
        <w:jc w:val="both"/>
        <w:rPr>
          <w:rFonts w:ascii="Times New Roman" w:eastAsia="Times New Roman" w:hAnsi="Times New Roman" w:cs="Times New Roman"/>
          <w:color w:val="111111"/>
          <w:sz w:val="24"/>
          <w:szCs w:val="24"/>
        </w:rPr>
      </w:pPr>
    </w:p>
    <w:p w14:paraId="0D198C1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 terms of the locality, the moderately increased, yet statistically not significant scores of the rural students refer to the increased educational expectations and rural outre</w:t>
      </w:r>
      <w:r>
        <w:rPr>
          <w:rFonts w:ascii="Times New Roman" w:eastAsia="Times New Roman" w:hAnsi="Times New Roman" w:cs="Times New Roman"/>
          <w:color w:val="111111"/>
          <w:sz w:val="24"/>
          <w:szCs w:val="24"/>
        </w:rPr>
        <w:t xml:space="preserve">ach. This finding </w:t>
      </w:r>
      <w:r>
        <w:rPr>
          <w:rFonts w:ascii="Times New Roman" w:eastAsia="Times New Roman" w:hAnsi="Times New Roman" w:cs="Times New Roman"/>
          <w:color w:val="111111"/>
          <w:sz w:val="24"/>
          <w:szCs w:val="24"/>
        </w:rPr>
        <w:lastRenderedPageBreak/>
        <w:t>provides positive indications of the fact that geographical disadvantages are being alleviated by policy interventions in the form of digital learning programs, development of infrastructure in schools and teacher training programs in the</w:t>
      </w:r>
      <w:r>
        <w:rPr>
          <w:rFonts w:ascii="Times New Roman" w:eastAsia="Times New Roman" w:hAnsi="Times New Roman" w:cs="Times New Roman"/>
          <w:color w:val="111111"/>
          <w:sz w:val="24"/>
          <w:szCs w:val="24"/>
        </w:rPr>
        <w:t xml:space="preserve"> rural settings.</w:t>
      </w:r>
    </w:p>
    <w:p w14:paraId="2820046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family type comparison also established that students in nuclear families were marginally better off in scientific aptitude as compared to joint families but the difference was not significant. This could indicate the influence of fami</w:t>
      </w:r>
      <w:r>
        <w:rPr>
          <w:rFonts w:ascii="Times New Roman" w:eastAsia="Times New Roman" w:hAnsi="Times New Roman" w:cs="Times New Roman"/>
          <w:color w:val="111111"/>
          <w:sz w:val="24"/>
          <w:szCs w:val="24"/>
        </w:rPr>
        <w:t>ly structure on study habits, independence and support systems in academic system even though not to an extent that seriously changes scientific aptitude.</w:t>
      </w:r>
    </w:p>
    <w:p w14:paraId="6F54D5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Fathers occupation in most cases found socioeconomic status did not have any significant influence on</w:t>
      </w:r>
      <w:r>
        <w:rPr>
          <w:rFonts w:ascii="Times New Roman" w:eastAsia="Times New Roman" w:hAnsi="Times New Roman" w:cs="Times New Roman"/>
          <w:color w:val="111111"/>
          <w:sz w:val="24"/>
          <w:szCs w:val="24"/>
        </w:rPr>
        <w:t xml:space="preserve"> scientific aptitude. This supports the notion that the evolution of cognitive abilities in science might be more widespread and not contingent on income or social standing of the family especially when fundamental educational requirements are fulfilled.</w:t>
      </w:r>
    </w:p>
    <w:p w14:paraId="24954E6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w:t>
      </w:r>
      <w:r>
        <w:rPr>
          <w:rFonts w:ascii="Times New Roman" w:eastAsia="Times New Roman" w:hAnsi="Times New Roman" w:cs="Times New Roman"/>
          <w:color w:val="111111"/>
          <w:sz w:val="24"/>
          <w:szCs w:val="24"/>
        </w:rPr>
        <w:t>ogether, these results confirm one of the most important educational principles in NEP 2020 that all children can become outstanding in the field of science, provided the appropriate conditions. Another important point that the study makes is that when dev</w:t>
      </w:r>
      <w:r>
        <w:rPr>
          <w:rFonts w:ascii="Times New Roman" w:eastAsia="Times New Roman" w:hAnsi="Times New Roman" w:cs="Times New Roman"/>
          <w:color w:val="111111"/>
          <w:sz w:val="24"/>
          <w:szCs w:val="24"/>
        </w:rPr>
        <w:t>eloping interventions to enhance science learning, it is necessary to consider factors beyond demographic indicators. Instead, one should focus on the quality of instruction, student interaction, exposure to scientific experiences early and the development</w:t>
      </w:r>
      <w:r>
        <w:rPr>
          <w:rFonts w:ascii="Times New Roman" w:eastAsia="Times New Roman" w:hAnsi="Times New Roman" w:cs="Times New Roman"/>
          <w:color w:val="111111"/>
          <w:sz w:val="24"/>
          <w:szCs w:val="24"/>
        </w:rPr>
        <w:t xml:space="preserve"> of higher-order thinking.</w:t>
      </w:r>
    </w:p>
    <w:p w14:paraId="0EED53B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Besides, the results indicate that there is a necessity to revisit the methods of scientific aptitude development and measurement. Although aptitude is founded on cognitive capabilities like reasoning and problem solving, learnin</w:t>
      </w:r>
      <w:r>
        <w:rPr>
          <w:rFonts w:ascii="Times New Roman" w:eastAsia="Times New Roman" w:hAnsi="Times New Roman" w:cs="Times New Roman"/>
          <w:color w:val="111111"/>
          <w:sz w:val="24"/>
          <w:szCs w:val="24"/>
        </w:rPr>
        <w:t>g environments, teacher support and availability of experiential learning influence it as well. As such, to improve science achievement, it might be necessary to measure, as well as be able to determine the contextual and pedagogical factors that affect sc</w:t>
      </w:r>
      <w:r>
        <w:rPr>
          <w:rFonts w:ascii="Times New Roman" w:eastAsia="Times New Roman" w:hAnsi="Times New Roman" w:cs="Times New Roman"/>
          <w:color w:val="111111"/>
          <w:sz w:val="24"/>
          <w:szCs w:val="24"/>
        </w:rPr>
        <w:t>ience achievement.</w:t>
      </w:r>
    </w:p>
    <w:p w14:paraId="41B1FB0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Finally, the research confirms the universal ability of the students of all backgrounds to be good at science. It asks of the inclusion of high-quality education that fosters scientific ability in all learners and also research that will</w:t>
      </w:r>
      <w:r>
        <w:rPr>
          <w:rFonts w:ascii="Times New Roman" w:eastAsia="Times New Roman" w:hAnsi="Times New Roman" w:cs="Times New Roman"/>
          <w:color w:val="111111"/>
          <w:sz w:val="24"/>
          <w:szCs w:val="24"/>
        </w:rPr>
        <w:t xml:space="preserve"> examine the active intercourse among cognitive, emotional, and contextual aspects of developing scientific knowledge.</w:t>
      </w:r>
    </w:p>
    <w:p w14:paraId="63F75FE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It is also justified by the works of Manjula (2013), Lucas (2016), Ghosh (1998),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w:t>
      </w:r>
    </w:p>
    <w:p w14:paraId="24271B81" w14:textId="77777777" w:rsidR="00C225C6" w:rsidRDefault="00C225C6">
      <w:pPr>
        <w:spacing w:line="360" w:lineRule="auto"/>
        <w:jc w:val="both"/>
        <w:rPr>
          <w:rFonts w:ascii="Times New Roman" w:eastAsia="Times New Roman" w:hAnsi="Times New Roman" w:cs="Times New Roman"/>
          <w:color w:val="111111"/>
          <w:sz w:val="24"/>
          <w:szCs w:val="24"/>
        </w:rPr>
      </w:pPr>
    </w:p>
    <w:p w14:paraId="0B56DDA3"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 xml:space="preserve">5. Conclusion and Recommendations </w:t>
      </w:r>
    </w:p>
    <w:p w14:paraId="1E816B6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research </w:t>
      </w:r>
      <w:proofErr w:type="gramStart"/>
      <w:r>
        <w:rPr>
          <w:rFonts w:ascii="Times New Roman" w:eastAsia="Times New Roman" w:hAnsi="Times New Roman" w:cs="Times New Roman"/>
          <w:color w:val="111111"/>
          <w:sz w:val="24"/>
          <w:szCs w:val="24"/>
        </w:rPr>
        <w:t>examine</w:t>
      </w:r>
      <w:proofErr w:type="gramEnd"/>
      <w:r>
        <w:rPr>
          <w:rFonts w:ascii="Times New Roman" w:eastAsia="Times New Roman" w:hAnsi="Times New Roman" w:cs="Times New Roman"/>
          <w:color w:val="111111"/>
          <w:sz w:val="24"/>
          <w:szCs w:val="24"/>
        </w:rPr>
        <w:t xml:space="preserve"> the scientific ability of students in different demographic data, such as, gender, school (government and private), locality (urban and rural), family (nuclear and joint) </w:t>
      </w:r>
      <w:r>
        <w:rPr>
          <w:rFonts w:ascii="Times New Roman" w:eastAsia="Times New Roman" w:hAnsi="Times New Roman" w:cs="Times New Roman"/>
          <w:color w:val="111111"/>
          <w:sz w:val="24"/>
          <w:szCs w:val="24"/>
        </w:rPr>
        <w:lastRenderedPageBreak/>
        <w:t xml:space="preserve">and occupational status of their father. The entire statistical </w:t>
      </w:r>
      <w:r>
        <w:rPr>
          <w:rFonts w:ascii="Times New Roman" w:eastAsia="Times New Roman" w:hAnsi="Times New Roman" w:cs="Times New Roman"/>
          <w:color w:val="111111"/>
          <w:sz w:val="24"/>
          <w:szCs w:val="24"/>
        </w:rPr>
        <w:t>test, t-tests and ANOVA, showed that there was always no significant difference between scientific aptitude between all of these variables.</w:t>
      </w:r>
    </w:p>
    <w:p w14:paraId="660299F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results support the fact that scientific ability of secondary school pupils is not largely determined by the typ</w:t>
      </w:r>
      <w:r>
        <w:rPr>
          <w:rFonts w:ascii="Times New Roman" w:eastAsia="Times New Roman" w:hAnsi="Times New Roman" w:cs="Times New Roman"/>
          <w:color w:val="111111"/>
          <w:sz w:val="24"/>
          <w:szCs w:val="24"/>
        </w:rPr>
        <w:t xml:space="preserve">e of institution, gender, geographical area, family life, or the economic status, as reflected by the occupations of their fathers. Such findings reflect a more balanced representation of scientific ability among the various groups and the universality of </w:t>
      </w:r>
      <w:r>
        <w:rPr>
          <w:rFonts w:ascii="Times New Roman" w:eastAsia="Times New Roman" w:hAnsi="Times New Roman" w:cs="Times New Roman"/>
          <w:color w:val="111111"/>
          <w:sz w:val="24"/>
          <w:szCs w:val="24"/>
        </w:rPr>
        <w:t>scientific potential among the students irrespective of demographical factors.</w:t>
      </w:r>
    </w:p>
    <w:p w14:paraId="0CDAB95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Findings</w:t>
      </w:r>
    </w:p>
    <w:p w14:paraId="3E04C8B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and Type of School: There was no significant difference in scientific aptitude of boys and girls in both government and in private schools.</w:t>
      </w:r>
    </w:p>
    <w:p w14:paraId="589528B0"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Institutio</w:t>
      </w:r>
      <w:r>
        <w:rPr>
          <w:rFonts w:ascii="Times New Roman" w:eastAsia="Times New Roman" w:hAnsi="Times New Roman" w:cs="Times New Roman"/>
          <w:color w:val="111111"/>
          <w:sz w:val="24"/>
          <w:szCs w:val="24"/>
        </w:rPr>
        <w:t>nal Type: There was no significant difference between Government and textbook school students on the basis of their score in scientific aptitude.</w:t>
      </w:r>
    </w:p>
    <w:p w14:paraId="6D46CCB7"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Within School Type: There was no significant difference between boys and girls in both government schoo</w:t>
      </w:r>
      <w:r>
        <w:rPr>
          <w:rFonts w:ascii="Times New Roman" w:eastAsia="Times New Roman" w:hAnsi="Times New Roman" w:cs="Times New Roman"/>
          <w:color w:val="111111"/>
          <w:sz w:val="24"/>
          <w:szCs w:val="24"/>
        </w:rPr>
        <w:t>ls and the private schools separately.</w:t>
      </w:r>
    </w:p>
    <w:p w14:paraId="50286E15"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Comparison: In all schools, girls demonstrated a little higher average in scientific aptitude than boys but this could not be statistically significant.</w:t>
      </w:r>
    </w:p>
    <w:p w14:paraId="3A14012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Locality: There was a very slight difference in the mean </w:t>
      </w:r>
      <w:r>
        <w:rPr>
          <w:rFonts w:ascii="Times New Roman" w:eastAsia="Times New Roman" w:hAnsi="Times New Roman" w:cs="Times New Roman"/>
          <w:color w:val="111111"/>
          <w:sz w:val="24"/>
          <w:szCs w:val="24"/>
        </w:rPr>
        <w:t>of rural students as compared to urban students but this difference was not found to be significant.</w:t>
      </w:r>
    </w:p>
    <w:p w14:paraId="2C7D3A1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Family Type: Nuclear family students scored higher on scientific aptitude as compared to joint family students though the difference was not significant.</w:t>
      </w:r>
    </w:p>
    <w:p w14:paraId="5B2A670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w:t>
      </w:r>
      <w:r>
        <w:rPr>
          <w:rFonts w:ascii="Times New Roman" w:eastAsia="Times New Roman" w:hAnsi="Times New Roman" w:cs="Times New Roman"/>
          <w:color w:val="111111"/>
          <w:sz w:val="24"/>
          <w:szCs w:val="24"/>
        </w:rPr>
        <w:t>ather Occupation: ANOVA did not show any significant difference between students with fathers working as different occupations (government occupation, employment, agriculture, and otherwise).</w:t>
      </w:r>
    </w:p>
    <w:p w14:paraId="04BFA694" w14:textId="77777777" w:rsidR="00C225C6" w:rsidRDefault="00C225C6">
      <w:pPr>
        <w:spacing w:line="360" w:lineRule="auto"/>
        <w:jc w:val="both"/>
        <w:rPr>
          <w:rFonts w:ascii="Times New Roman" w:eastAsia="Times New Roman" w:hAnsi="Times New Roman" w:cs="Times New Roman"/>
          <w:color w:val="111111"/>
          <w:sz w:val="24"/>
          <w:szCs w:val="24"/>
        </w:rPr>
      </w:pPr>
    </w:p>
    <w:p w14:paraId="47663B3B"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Policy and Pedagogical Recommendations</w:t>
      </w:r>
    </w:p>
    <w:p w14:paraId="37FB1A81"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Equal Opportunities in </w:t>
      </w:r>
      <w:r>
        <w:rPr>
          <w:rFonts w:ascii="Times New Roman" w:eastAsia="Times New Roman" w:hAnsi="Times New Roman" w:cs="Times New Roman"/>
          <w:color w:val="111111"/>
          <w:sz w:val="24"/>
          <w:szCs w:val="24"/>
        </w:rPr>
        <w:t>Scientific Learning: As gender and socio-demographic factors have little influence on scientific aptitude, the policy frameworks ought to aim at an equal access to quality science education in all schools, whether they are of different types or different l</w:t>
      </w:r>
      <w:r>
        <w:rPr>
          <w:rFonts w:ascii="Times New Roman" w:eastAsia="Times New Roman" w:hAnsi="Times New Roman" w:cs="Times New Roman"/>
          <w:color w:val="111111"/>
          <w:sz w:val="24"/>
          <w:szCs w:val="24"/>
        </w:rPr>
        <w:t>ocations.</w:t>
      </w:r>
    </w:p>
    <w:p w14:paraId="3734990F"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Enhance Curriculum Equity: It is important to make sure that the curriculum used in both government and private schools equally encourages scientific thinking and problem-solving capabilities as aptitude scores do not seem to vary by type of scho</w:t>
      </w:r>
      <w:r>
        <w:rPr>
          <w:rFonts w:ascii="Times New Roman" w:eastAsia="Times New Roman" w:hAnsi="Times New Roman" w:cs="Times New Roman"/>
          <w:color w:val="111111"/>
          <w:sz w:val="24"/>
          <w:szCs w:val="24"/>
        </w:rPr>
        <w:t>ol.</w:t>
      </w:r>
    </w:p>
    <w:p w14:paraId="77E0B840"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Inclusive Teaching Practices: Teachers are supposed to be trained to understand that all students have potentials of having scientific aptitude and must not be subjected to prejudice based on gender, place or family backgrounds.</w:t>
      </w:r>
    </w:p>
    <w:p w14:paraId="03096D5C"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Promote Inquiry-Based L</w:t>
      </w:r>
      <w:r>
        <w:rPr>
          <w:rFonts w:ascii="Times New Roman" w:eastAsia="Times New Roman" w:hAnsi="Times New Roman" w:cs="Times New Roman"/>
          <w:color w:val="111111"/>
          <w:sz w:val="24"/>
          <w:szCs w:val="24"/>
        </w:rPr>
        <w:t>earning: Incorporation of a higher share of project-based and inquiry-driven tasks in the science curriculum can also facilitate the development of scientific ability that is underdeveloped in terms of the traditional evaluation strategies.</w:t>
      </w:r>
    </w:p>
    <w:p w14:paraId="1BB50A83"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Emphasis on Ear</w:t>
      </w:r>
      <w:r>
        <w:rPr>
          <w:rFonts w:ascii="Times New Roman" w:eastAsia="Times New Roman" w:hAnsi="Times New Roman" w:cs="Times New Roman"/>
          <w:color w:val="111111"/>
          <w:sz w:val="24"/>
          <w:szCs w:val="24"/>
        </w:rPr>
        <w:t>ly Intervention in Scientific Interests: Dynamism to activate scientific interests should begin at the early stages of education, even before high school, so that aptitude could be developed fairly in all groups of population.</w:t>
      </w:r>
    </w:p>
    <w:p w14:paraId="0B60FDE4" w14:textId="77777777" w:rsidR="00C225C6" w:rsidRDefault="00C225C6">
      <w:pPr>
        <w:spacing w:line="360" w:lineRule="auto"/>
        <w:jc w:val="both"/>
        <w:rPr>
          <w:rFonts w:ascii="Times New Roman" w:eastAsia="Times New Roman" w:hAnsi="Times New Roman" w:cs="Times New Roman"/>
          <w:color w:val="111111"/>
          <w:sz w:val="24"/>
          <w:szCs w:val="24"/>
        </w:rPr>
      </w:pPr>
    </w:p>
    <w:p w14:paraId="22F8C416"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Scope for Further Research</w:t>
      </w:r>
    </w:p>
    <w:p w14:paraId="3C87329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w:t>
      </w:r>
      <w:r>
        <w:rPr>
          <w:rFonts w:ascii="Times New Roman" w:eastAsia="Times New Roman" w:hAnsi="Times New Roman" w:cs="Times New Roman"/>
          <w:color w:val="111111"/>
          <w:sz w:val="24"/>
          <w:szCs w:val="24"/>
        </w:rPr>
        <w:t>ongitudinal Studies: Future studies can be done to trace the change in scientific aptitude with time to learn whether differences are produced as a result of continued environmental or educational factors.</w:t>
      </w:r>
    </w:p>
    <w:p w14:paraId="29ABD5D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Qualitative Implications: The mechanisms through w</w:t>
      </w:r>
      <w:r>
        <w:rPr>
          <w:rFonts w:ascii="Times New Roman" w:eastAsia="Times New Roman" w:hAnsi="Times New Roman" w:cs="Times New Roman"/>
          <w:color w:val="111111"/>
          <w:sz w:val="24"/>
          <w:szCs w:val="24"/>
        </w:rPr>
        <w:t>hich attitudes, motivation, and learning conditions enhance the development of scientific aptitude may be investigated with the help of studies based on interviews and case studies.</w:t>
      </w:r>
    </w:p>
    <w:p w14:paraId="40369768"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Intervention-Based Research: It is possible to assess the effectiveness of</w:t>
      </w:r>
      <w:r>
        <w:rPr>
          <w:rFonts w:ascii="Times New Roman" w:eastAsia="Times New Roman" w:hAnsi="Times New Roman" w:cs="Times New Roman"/>
          <w:color w:val="111111"/>
          <w:sz w:val="24"/>
          <w:szCs w:val="24"/>
        </w:rPr>
        <w:t xml:space="preserve"> certain instructional methods (e.g., STEM camps, inquiry-based learning, flipped classes) to improve scientific aptitude by using the experimental designs.</w:t>
      </w:r>
    </w:p>
    <w:p w14:paraId="095B3A84"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Tool Development and Refinement: More studies should be conducted to establish more sensitive tools</w:t>
      </w:r>
      <w:r>
        <w:rPr>
          <w:rFonts w:ascii="Times New Roman" w:eastAsia="Times New Roman" w:hAnsi="Times New Roman" w:cs="Times New Roman"/>
          <w:color w:val="111111"/>
          <w:sz w:val="24"/>
          <w:szCs w:val="24"/>
        </w:rPr>
        <w:t xml:space="preserve"> that could allow observing the minor variation in scientific aptitude that cannot be observed with the help of conventional testing.</w:t>
      </w:r>
    </w:p>
    <w:p w14:paraId="0BE0833E"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Cross-State/Regional Comparative Studies: To detect geographic variation, cross-state or cross-education-board comparative</w:t>
      </w:r>
      <w:r>
        <w:rPr>
          <w:rFonts w:ascii="Times New Roman" w:eastAsia="Times New Roman" w:hAnsi="Times New Roman" w:cs="Times New Roman"/>
          <w:color w:val="111111"/>
          <w:sz w:val="24"/>
          <w:szCs w:val="24"/>
        </w:rPr>
        <w:t xml:space="preserve"> studies of students might be more informative.</w:t>
      </w:r>
    </w:p>
    <w:p w14:paraId="3F179839"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Conflict of interests: The corresponding author, on behalf of all authors, writes that there is no conflict of interest.</w:t>
      </w:r>
    </w:p>
    <w:p w14:paraId="07378D1D" w14:textId="77777777" w:rsidR="00C225C6" w:rsidRDefault="00C225C6">
      <w:pPr>
        <w:spacing w:line="360" w:lineRule="auto"/>
        <w:jc w:val="both"/>
        <w:rPr>
          <w:rFonts w:ascii="Times New Roman" w:eastAsia="Times New Roman" w:hAnsi="Times New Roman" w:cs="Times New Roman"/>
          <w:b/>
          <w:bCs/>
          <w:color w:val="111111"/>
          <w:sz w:val="24"/>
          <w:szCs w:val="24"/>
        </w:rPr>
      </w:pPr>
    </w:p>
    <w:p w14:paraId="792D532B" w14:textId="77777777" w:rsidR="00C225C6" w:rsidRDefault="00C225C6">
      <w:pPr>
        <w:spacing w:line="360" w:lineRule="auto"/>
        <w:jc w:val="both"/>
        <w:rPr>
          <w:rFonts w:ascii="Times New Roman" w:eastAsia="Times New Roman" w:hAnsi="Times New Roman" w:cs="Times New Roman"/>
          <w:color w:val="111111"/>
          <w:sz w:val="24"/>
          <w:szCs w:val="24"/>
        </w:rPr>
      </w:pPr>
    </w:p>
    <w:p w14:paraId="4CAED9FF" w14:textId="77777777" w:rsidR="00F53C66" w:rsidRPr="00F53C66" w:rsidRDefault="00F53C66" w:rsidP="00F53C66">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COMPETING INTERESTS DISCLAIMER:</w:t>
      </w:r>
    </w:p>
    <w:p w14:paraId="5ADC9D51" w14:textId="6AEDDE35" w:rsidR="00C225C6" w:rsidRDefault="00F53C66" w:rsidP="00F53C66">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Authors have declared that they have no known competing financial interests OR non-financial interests OR personal relationships that could have appeared to influence the work reported in this paper.</w:t>
      </w:r>
    </w:p>
    <w:p w14:paraId="5C8C20A3" w14:textId="77777777" w:rsidR="00C225C6" w:rsidRDefault="00C225C6">
      <w:pPr>
        <w:spacing w:before="240" w:after="240" w:line="480" w:lineRule="auto"/>
        <w:jc w:val="both"/>
        <w:rPr>
          <w:rFonts w:ascii="Times New Roman" w:eastAsia="Times New Roman" w:hAnsi="Times New Roman" w:cs="Times New Roman"/>
          <w:b/>
          <w:bCs/>
          <w:color w:val="111111"/>
          <w:sz w:val="24"/>
          <w:szCs w:val="24"/>
        </w:rPr>
      </w:pPr>
    </w:p>
    <w:p w14:paraId="06CD02DB" w14:textId="77777777" w:rsidR="00C225C6" w:rsidRDefault="0081615B">
      <w:pPr>
        <w:spacing w:before="240" w:after="240" w:line="48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References</w:t>
      </w:r>
    </w:p>
    <w:p w14:paraId="01F345C8" w14:textId="4B439071" w:rsidR="00C225C6" w:rsidRDefault="0081615B" w:rsidP="0045454F">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i/>
          <w:iCs/>
          <w:color w:val="111111"/>
          <w:sz w:val="24"/>
          <w:szCs w:val="24"/>
        </w:rPr>
        <w:t>National Education Policy</w:t>
      </w:r>
      <w:r>
        <w:rPr>
          <w:rFonts w:ascii="Times New Roman" w:eastAsia="Times New Roman" w:hAnsi="Times New Roman" w:cs="Times New Roman"/>
          <w:color w:val="111111"/>
          <w:sz w:val="24"/>
          <w:szCs w:val="24"/>
        </w:rPr>
        <w:t>. (2020). Ministry of Human Resource Development, Government of India.</w:t>
      </w:r>
      <w:hyperlink r:id="rId15">
        <w:r w:rsidR="00C225C6">
          <w:rPr>
            <w:rFonts w:ascii="Times New Roman" w:eastAsia="Times New Roman" w:hAnsi="Times New Roman" w:cs="Times New Roman"/>
            <w:color w:val="111111"/>
            <w:sz w:val="24"/>
            <w:szCs w:val="24"/>
          </w:rPr>
          <w:t xml:space="preserve"> </w:t>
        </w:r>
      </w:hyperlink>
      <w:hyperlink r:id="rId16">
        <w:r w:rsidR="00C225C6">
          <w:rPr>
            <w:rFonts w:ascii="Times New Roman" w:eastAsia="Times New Roman" w:hAnsi="Times New Roman" w:cs="Times New Roman"/>
            <w:color w:val="1155CC"/>
            <w:sz w:val="24"/>
            <w:szCs w:val="24"/>
            <w:u w:val="single"/>
          </w:rPr>
          <w:t>https://www.education.gov.in/sites/upload_files/mhrd/files/NEP_Final_English_0.pdf</w:t>
        </w:r>
      </w:hyperlink>
      <w:r>
        <w:rPr>
          <w:rFonts w:ascii="Times New Roman" w:eastAsia="Times New Roman" w:hAnsi="Times New Roman" w:cs="Times New Roman"/>
          <w:color w:val="111111"/>
          <w:sz w:val="24"/>
          <w:szCs w:val="24"/>
        </w:rPr>
        <w:t xml:space="preserve"> </w:t>
      </w:r>
    </w:p>
    <w:p w14:paraId="6CC8C24D" w14:textId="0C875FA4"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S. (2017) Evaluation Strategies: examining the influence of teacher competence and teaching effectiveness. </w:t>
      </w:r>
      <w:r>
        <w:rPr>
          <w:rFonts w:ascii="Times New Roman" w:eastAsia="Times New Roman" w:hAnsi="Times New Roman" w:cs="Times New Roman"/>
          <w:i/>
          <w:iCs/>
          <w:color w:val="111111"/>
          <w:sz w:val="24"/>
          <w:szCs w:val="24"/>
        </w:rPr>
        <w:t>Indian Educational Review, 55(1)</w:t>
      </w:r>
      <w:r>
        <w:rPr>
          <w:rFonts w:ascii="Times New Roman" w:eastAsia="Times New Roman" w:hAnsi="Times New Roman" w:cs="Times New Roman"/>
          <w:color w:val="111111"/>
          <w:sz w:val="24"/>
          <w:szCs w:val="24"/>
        </w:rPr>
        <w:t>, 97-112. Retrieved from</w:t>
      </w:r>
      <w:hyperlink r:id="rId17">
        <w:r w:rsidR="00C225C6">
          <w:rPr>
            <w:rFonts w:ascii="Times New Roman" w:eastAsia="Times New Roman" w:hAnsi="Times New Roman" w:cs="Times New Roman"/>
            <w:color w:val="111111"/>
            <w:sz w:val="24"/>
            <w:szCs w:val="24"/>
          </w:rPr>
          <w:t xml:space="preserve"> </w:t>
        </w:r>
      </w:hyperlink>
      <w:hyperlink r:id="rId18">
        <w:r w:rsidR="00C225C6">
          <w:rPr>
            <w:rFonts w:ascii="Times New Roman" w:eastAsia="Times New Roman" w:hAnsi="Times New Roman" w:cs="Times New Roman"/>
            <w:color w:val="1155CC"/>
            <w:sz w:val="24"/>
            <w:szCs w:val="24"/>
            <w:u w:val="single"/>
          </w:rPr>
          <w:t>http://www.ncert.nic.in/publication/journals/pdf_files/IER_Jan_17.pdf</w:t>
        </w:r>
      </w:hyperlink>
    </w:p>
    <w:p w14:paraId="6CD2EA1A" w14:textId="34FD73CF"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R. (2016). Project on achievement in life science: it’s relationship with aptitude in life science &amp; scientific attitude -an investigation. </w:t>
      </w:r>
      <w:r>
        <w:rPr>
          <w:rFonts w:ascii="Times New Roman" w:eastAsia="Times New Roman" w:hAnsi="Times New Roman" w:cs="Times New Roman"/>
          <w:i/>
          <w:iCs/>
          <w:color w:val="111111"/>
          <w:sz w:val="24"/>
          <w:szCs w:val="24"/>
        </w:rPr>
        <w:t>International Journal of Humanities and Social Science Invention, 5(11)</w:t>
      </w:r>
      <w:r>
        <w:rPr>
          <w:rFonts w:ascii="Times New Roman" w:eastAsia="Times New Roman" w:hAnsi="Times New Roman" w:cs="Times New Roman"/>
          <w:color w:val="111111"/>
          <w:sz w:val="24"/>
          <w:szCs w:val="24"/>
        </w:rPr>
        <w:t>, 13-18. Retrieved from</w:t>
      </w:r>
      <w:hyperlink r:id="rId19">
        <w:r w:rsidR="00C225C6">
          <w:rPr>
            <w:rFonts w:ascii="Times New Roman" w:eastAsia="Times New Roman" w:hAnsi="Times New Roman" w:cs="Times New Roman"/>
            <w:color w:val="111111"/>
            <w:sz w:val="24"/>
            <w:szCs w:val="24"/>
          </w:rPr>
          <w:t xml:space="preserve"> </w:t>
        </w:r>
      </w:hyperlink>
      <w:hyperlink r:id="rId20">
        <w:r w:rsidR="00C225C6">
          <w:rPr>
            <w:rFonts w:ascii="Times New Roman" w:eastAsia="Times New Roman" w:hAnsi="Times New Roman" w:cs="Times New Roman"/>
            <w:color w:val="1155CC"/>
            <w:sz w:val="24"/>
            <w:szCs w:val="24"/>
            <w:u w:val="single"/>
          </w:rPr>
          <w:t>http://www.ijhssi.org/papers/v5(11)/version-2/C05011021318.pdf</w:t>
        </w:r>
      </w:hyperlink>
    </w:p>
    <w:p w14:paraId="726BC806" w14:textId="7880C019"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Moshahid. (2016). Scientific aptitude am</w:t>
      </w:r>
      <w:r>
        <w:rPr>
          <w:rFonts w:ascii="Times New Roman" w:eastAsia="Times New Roman" w:hAnsi="Times New Roman" w:cs="Times New Roman"/>
          <w:color w:val="111111"/>
          <w:sz w:val="24"/>
          <w:szCs w:val="24"/>
        </w:rPr>
        <w:t xml:space="preserve">ong English and Urdu medium secondary level students. Educational Quest: </w:t>
      </w:r>
      <w:r>
        <w:rPr>
          <w:rFonts w:ascii="Times New Roman" w:eastAsia="Times New Roman" w:hAnsi="Times New Roman" w:cs="Times New Roman"/>
          <w:i/>
          <w:iCs/>
          <w:color w:val="111111"/>
          <w:sz w:val="24"/>
          <w:szCs w:val="24"/>
        </w:rPr>
        <w:t>An Int. J. of Education and Applied Social Sciences, 7(3)</w:t>
      </w:r>
      <w:r>
        <w:rPr>
          <w:rFonts w:ascii="Times New Roman" w:eastAsia="Times New Roman" w:hAnsi="Times New Roman" w:cs="Times New Roman"/>
          <w:color w:val="111111"/>
          <w:sz w:val="24"/>
          <w:szCs w:val="24"/>
        </w:rPr>
        <w:t>, 299-304. Retrieved from</w:t>
      </w:r>
      <w:hyperlink r:id="rId21">
        <w:r w:rsidR="00C225C6">
          <w:rPr>
            <w:rFonts w:ascii="Times New Roman" w:eastAsia="Times New Roman" w:hAnsi="Times New Roman" w:cs="Times New Roman"/>
            <w:color w:val="111111"/>
            <w:sz w:val="24"/>
            <w:szCs w:val="24"/>
          </w:rPr>
          <w:t xml:space="preserve"> </w:t>
        </w:r>
      </w:hyperlink>
      <w:hyperlink r:id="rId22">
        <w:r w:rsidR="00C225C6">
          <w:rPr>
            <w:rFonts w:ascii="Times New Roman" w:eastAsia="Times New Roman" w:hAnsi="Times New Roman" w:cs="Times New Roman"/>
            <w:color w:val="1155CC"/>
            <w:sz w:val="24"/>
            <w:szCs w:val="24"/>
            <w:u w:val="single"/>
          </w:rPr>
          <w:t>http://ndpublisher.in/admin/issues/EQV7N3k.pdf</w:t>
        </w:r>
      </w:hyperlink>
    </w:p>
    <w:p w14:paraId="2BE593A1" w14:textId="13D07988"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Stanly, S. L. (2016). Influence of scientific aptitude on achievement in science of ix standard boys and girls. </w:t>
      </w:r>
      <w:r>
        <w:rPr>
          <w:rFonts w:ascii="Times New Roman" w:eastAsia="Times New Roman" w:hAnsi="Times New Roman" w:cs="Times New Roman"/>
          <w:i/>
          <w:iCs/>
          <w:color w:val="111111"/>
          <w:sz w:val="24"/>
          <w:szCs w:val="24"/>
        </w:rPr>
        <w:t>Indian journal of research, 5(9)</w:t>
      </w:r>
      <w:r>
        <w:rPr>
          <w:rFonts w:ascii="Times New Roman" w:eastAsia="Times New Roman" w:hAnsi="Times New Roman" w:cs="Times New Roman"/>
          <w:color w:val="111111"/>
          <w:sz w:val="24"/>
          <w:szCs w:val="24"/>
        </w:rPr>
        <w:t>, 359-360. Retrieved from</w:t>
      </w:r>
      <w:hyperlink r:id="rId23">
        <w:r w:rsidR="00C225C6">
          <w:rPr>
            <w:rFonts w:ascii="Times New Roman" w:eastAsia="Times New Roman" w:hAnsi="Times New Roman" w:cs="Times New Roman"/>
            <w:color w:val="111111"/>
            <w:sz w:val="24"/>
            <w:szCs w:val="24"/>
          </w:rPr>
          <w:t xml:space="preserve"> </w:t>
        </w:r>
      </w:hyperlink>
      <w:hyperlink r:id="rId24">
        <w:r w:rsidR="00C225C6">
          <w:rPr>
            <w:rFonts w:ascii="Times New Roman" w:eastAsia="Times New Roman" w:hAnsi="Times New Roman" w:cs="Times New Roman"/>
            <w:color w:val="1155CC"/>
            <w:sz w:val="24"/>
            <w:szCs w:val="24"/>
            <w:u w:val="single"/>
          </w:rPr>
          <w:t>https://www.worldwidejournals.com/paripex/recent_issues_pdf/2016/September/September_2016_1492080118__106.pdf</w:t>
        </w:r>
      </w:hyperlink>
    </w:p>
    <w:p w14:paraId="215D4E4C" w14:textId="38B864C2"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Dafedar, B. A., and Yeli, R. S. (2014). A study of learning achievement in science of secondary school students in relation to their </w:t>
      </w:r>
      <w:proofErr w:type="spellStart"/>
      <w:r>
        <w:rPr>
          <w:rFonts w:ascii="Times New Roman" w:eastAsia="Times New Roman" w:hAnsi="Times New Roman" w:cs="Times New Roman"/>
          <w:color w:val="111111"/>
          <w:sz w:val="24"/>
          <w:szCs w:val="24"/>
        </w:rPr>
        <w:t>metacongnitive</w:t>
      </w:r>
      <w:proofErr w:type="spellEnd"/>
      <w:r>
        <w:rPr>
          <w:rFonts w:ascii="Times New Roman" w:eastAsia="Times New Roman" w:hAnsi="Times New Roman" w:cs="Times New Roman"/>
          <w:color w:val="111111"/>
          <w:sz w:val="24"/>
          <w:szCs w:val="24"/>
        </w:rPr>
        <w:t xml:space="preserve"> ski</w:t>
      </w:r>
      <w:r>
        <w:rPr>
          <w:rFonts w:ascii="Times New Roman" w:eastAsia="Times New Roman" w:hAnsi="Times New Roman" w:cs="Times New Roman"/>
          <w:color w:val="111111"/>
          <w:sz w:val="24"/>
          <w:szCs w:val="24"/>
        </w:rPr>
        <w:t>lls and scientific aptitude. Retrieved from</w:t>
      </w:r>
      <w:hyperlink r:id="rId25">
        <w:r w:rsidR="00C225C6">
          <w:rPr>
            <w:rFonts w:ascii="Times New Roman" w:eastAsia="Times New Roman" w:hAnsi="Times New Roman" w:cs="Times New Roman"/>
            <w:color w:val="111111"/>
            <w:sz w:val="24"/>
            <w:szCs w:val="24"/>
          </w:rPr>
          <w:t xml:space="preserve"> </w:t>
        </w:r>
      </w:hyperlink>
      <w:hyperlink r:id="rId26">
        <w:r w:rsidR="00C225C6">
          <w:rPr>
            <w:rFonts w:ascii="Times New Roman" w:eastAsia="Times New Roman" w:hAnsi="Times New Roman" w:cs="Times New Roman"/>
            <w:color w:val="1155CC"/>
            <w:sz w:val="24"/>
            <w:szCs w:val="24"/>
            <w:u w:val="single"/>
          </w:rPr>
          <w:t>https://shodhganga.inflibnet.ac.in/handle/10603/64107?mode=simple</w:t>
        </w:r>
      </w:hyperlink>
    </w:p>
    <w:p w14:paraId="1391860A" w14:textId="514D1FF3"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T.,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M. (2014). Academic achievement and scientific aptitude in science among the students of standard-x. </w:t>
      </w:r>
      <w:r>
        <w:rPr>
          <w:rFonts w:ascii="Times New Roman" w:eastAsia="Times New Roman" w:hAnsi="Times New Roman" w:cs="Times New Roman"/>
          <w:i/>
          <w:iCs/>
          <w:color w:val="111111"/>
          <w:sz w:val="24"/>
          <w:szCs w:val="24"/>
        </w:rPr>
        <w:t>American research thoughts, 1(1),</w:t>
      </w:r>
      <w:r>
        <w:rPr>
          <w:rFonts w:ascii="Times New Roman" w:eastAsia="Times New Roman" w:hAnsi="Times New Roman" w:cs="Times New Roman"/>
          <w:color w:val="111111"/>
          <w:sz w:val="24"/>
          <w:szCs w:val="24"/>
        </w:rPr>
        <w:t xml:space="preserve"> 304-310. Retrieved from</w:t>
      </w:r>
      <w:hyperlink r:id="rId27">
        <w:r w:rsidR="00C225C6">
          <w:rPr>
            <w:rFonts w:ascii="Times New Roman" w:eastAsia="Times New Roman" w:hAnsi="Times New Roman" w:cs="Times New Roman"/>
            <w:color w:val="111111"/>
            <w:sz w:val="24"/>
            <w:szCs w:val="24"/>
          </w:rPr>
          <w:t xml:space="preserve"> </w:t>
        </w:r>
      </w:hyperlink>
      <w:hyperlink r:id="rId28">
        <w:r w:rsidR="00C225C6">
          <w:rPr>
            <w:rFonts w:ascii="Times New Roman" w:eastAsia="Times New Roman" w:hAnsi="Times New Roman" w:cs="Times New Roman"/>
            <w:color w:val="1155CC"/>
            <w:sz w:val="24"/>
            <w:szCs w:val="24"/>
            <w:u w:val="single"/>
          </w:rPr>
          <w:t>https://files.eric.ed.gov/fulltext/ED557153.pdf</w:t>
        </w:r>
      </w:hyperlink>
    </w:p>
    <w:p w14:paraId="50CFEB99" w14:textId="3D810092" w:rsidR="00C225C6" w:rsidRDefault="0081615B" w:rsidP="0045454F">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Agarwal, K. K., &amp; Aurora, S. (2013). Manual for scientific aptitude test battery. Agra: National Psychological co</w:t>
      </w:r>
      <w:r>
        <w:rPr>
          <w:rFonts w:ascii="Times New Roman" w:eastAsia="Times New Roman" w:hAnsi="Times New Roman" w:cs="Times New Roman"/>
          <w:color w:val="111111"/>
          <w:sz w:val="24"/>
          <w:szCs w:val="24"/>
        </w:rPr>
        <w:t>rporation.</w:t>
      </w:r>
    </w:p>
    <w:p w14:paraId="538E2EBD" w14:textId="5A69857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lastRenderedPageBreak/>
        <w:t>Arora, R. and Gautam, N. (2013</w:t>
      </w:r>
      <w:proofErr w:type="gramStart"/>
      <w:r>
        <w:rPr>
          <w:rFonts w:ascii="Times New Roman" w:eastAsia="Times New Roman" w:hAnsi="Times New Roman" w:cs="Times New Roman"/>
          <w:color w:val="111111"/>
          <w:sz w:val="24"/>
          <w:szCs w:val="24"/>
        </w:rPr>
        <w:t>).Study</w:t>
      </w:r>
      <w:proofErr w:type="gramEnd"/>
      <w:r>
        <w:rPr>
          <w:rFonts w:ascii="Times New Roman" w:eastAsia="Times New Roman" w:hAnsi="Times New Roman" w:cs="Times New Roman"/>
          <w:color w:val="111111"/>
          <w:sz w:val="24"/>
          <w:szCs w:val="24"/>
        </w:rPr>
        <w:t xml:space="preserve"> of achievement in biology in relation to scientific aptitude, study habits and socio economic status among secondary school students. Retrieved from</w:t>
      </w:r>
      <w:hyperlink r:id="rId29">
        <w:r w:rsidR="00C225C6">
          <w:rPr>
            <w:rFonts w:ascii="Times New Roman" w:eastAsia="Times New Roman" w:hAnsi="Times New Roman" w:cs="Times New Roman"/>
            <w:color w:val="111111"/>
            <w:sz w:val="24"/>
            <w:szCs w:val="24"/>
          </w:rPr>
          <w:t xml:space="preserve"> </w:t>
        </w:r>
      </w:hyperlink>
      <w:hyperlink r:id="rId30">
        <w:r w:rsidR="00C225C6">
          <w:rPr>
            <w:rFonts w:ascii="Times New Roman" w:eastAsia="Times New Roman" w:hAnsi="Times New Roman" w:cs="Times New Roman"/>
            <w:color w:val="1155CC"/>
            <w:sz w:val="24"/>
            <w:szCs w:val="24"/>
            <w:u w:val="single"/>
          </w:rPr>
          <w:t>http://shodhganga.inflibnet.ac.in/handle/10603/17683</w:t>
        </w:r>
      </w:hyperlink>
    </w:p>
    <w:p w14:paraId="10A3E08E" w14:textId="7DC9A64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Manjula, G., and Nataraj, P. N. (2013). A study on mental he</w:t>
      </w:r>
      <w:r>
        <w:rPr>
          <w:rFonts w:ascii="Times New Roman" w:eastAsia="Times New Roman" w:hAnsi="Times New Roman" w:cs="Times New Roman"/>
          <w:color w:val="111111"/>
          <w:sz w:val="24"/>
          <w:szCs w:val="24"/>
        </w:rPr>
        <w:t>alth and scientific aptitude of high school students in relation to their achievement in science. Retrieved from</w:t>
      </w:r>
      <w:hyperlink r:id="rId31">
        <w:r w:rsidR="00C225C6">
          <w:rPr>
            <w:rFonts w:ascii="Times New Roman" w:eastAsia="Times New Roman" w:hAnsi="Times New Roman" w:cs="Times New Roman"/>
            <w:color w:val="111111"/>
            <w:sz w:val="24"/>
            <w:szCs w:val="24"/>
          </w:rPr>
          <w:t xml:space="preserve"> </w:t>
        </w:r>
      </w:hyperlink>
      <w:hyperlink r:id="rId32">
        <w:r w:rsidR="00C225C6">
          <w:rPr>
            <w:rFonts w:ascii="Times New Roman" w:eastAsia="Times New Roman" w:hAnsi="Times New Roman" w:cs="Times New Roman"/>
            <w:color w:val="1155CC"/>
            <w:sz w:val="24"/>
            <w:szCs w:val="24"/>
            <w:u w:val="single"/>
          </w:rPr>
          <w:t>https://shodhganga.inflibnet.ac.in/handle/10603/67519</w:t>
        </w:r>
      </w:hyperlink>
    </w:p>
    <w:p w14:paraId="79EA5D88" w14:textId="2067E70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Mukhopadhyay, R. (2013). Whether aptitude in physics, scientific attitude, and deep approach to study explain achievement in physics significantly – an investigation. International journal of humanit</w:t>
      </w:r>
      <w:r>
        <w:rPr>
          <w:rFonts w:ascii="Times New Roman" w:eastAsia="Times New Roman" w:hAnsi="Times New Roman" w:cs="Times New Roman"/>
          <w:color w:val="111111"/>
          <w:sz w:val="24"/>
          <w:szCs w:val="24"/>
        </w:rPr>
        <w:t>ies and social science invention, 2(1), 57-63. Retrieved from</w:t>
      </w:r>
      <w:hyperlink r:id="rId33">
        <w:r w:rsidR="00C225C6">
          <w:rPr>
            <w:rFonts w:ascii="Times New Roman" w:eastAsia="Times New Roman" w:hAnsi="Times New Roman" w:cs="Times New Roman"/>
            <w:color w:val="111111"/>
            <w:sz w:val="24"/>
            <w:szCs w:val="24"/>
          </w:rPr>
          <w:t xml:space="preserve"> </w:t>
        </w:r>
      </w:hyperlink>
      <w:hyperlink r:id="rId34">
        <w:r w:rsidR="00C225C6">
          <w:rPr>
            <w:rFonts w:ascii="Times New Roman" w:eastAsia="Times New Roman" w:hAnsi="Times New Roman" w:cs="Times New Roman"/>
            <w:color w:val="1155CC"/>
            <w:sz w:val="24"/>
            <w:szCs w:val="24"/>
            <w:u w:val="single"/>
          </w:rPr>
          <w:t>http://www.ijhssi.org/papers/v2(1)/version-3/i215163.pdf</w:t>
        </w:r>
      </w:hyperlink>
    </w:p>
    <w:p w14:paraId="2F132238" w14:textId="670375E0"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Jayalekshmi, N. B., and Raja, B. W. D. (2011). Does Creativity Impact Scientific Aptitude </w:t>
      </w:r>
      <w:r w:rsidR="0010535D">
        <w:rPr>
          <w:rFonts w:ascii="Times New Roman" w:eastAsia="Times New Roman" w:hAnsi="Times New Roman" w:cs="Times New Roman"/>
          <w:color w:val="111111"/>
          <w:sz w:val="24"/>
          <w:szCs w:val="24"/>
        </w:rPr>
        <w:t>o</w:t>
      </w:r>
      <w:r>
        <w:rPr>
          <w:rFonts w:ascii="Times New Roman" w:eastAsia="Times New Roman" w:hAnsi="Times New Roman" w:cs="Times New Roman"/>
          <w:color w:val="111111"/>
          <w:sz w:val="24"/>
          <w:szCs w:val="24"/>
        </w:rPr>
        <w:t xml:space="preserve">f School Children? </w:t>
      </w:r>
      <w:r>
        <w:rPr>
          <w:rFonts w:ascii="Times New Roman" w:eastAsia="Times New Roman" w:hAnsi="Times New Roman" w:cs="Times New Roman"/>
          <w:i/>
          <w:iCs/>
          <w:color w:val="111111"/>
          <w:sz w:val="24"/>
          <w:szCs w:val="24"/>
        </w:rPr>
        <w:t>I-manager’s journal on educational psychology, 4(4)</w:t>
      </w:r>
      <w:r>
        <w:rPr>
          <w:rFonts w:ascii="Times New Roman" w:eastAsia="Times New Roman" w:hAnsi="Times New Roman" w:cs="Times New Roman"/>
          <w:color w:val="111111"/>
          <w:sz w:val="24"/>
          <w:szCs w:val="24"/>
        </w:rPr>
        <w:t>, 33-38. Retrieved from</w:t>
      </w:r>
      <w:hyperlink r:id="rId35">
        <w:r w:rsidR="00C225C6">
          <w:rPr>
            <w:rFonts w:ascii="Times New Roman" w:eastAsia="Times New Roman" w:hAnsi="Times New Roman" w:cs="Times New Roman"/>
            <w:color w:val="111111"/>
            <w:sz w:val="24"/>
            <w:szCs w:val="24"/>
          </w:rPr>
          <w:t xml:space="preserve"> </w:t>
        </w:r>
      </w:hyperlink>
      <w:hyperlink r:id="rId36">
        <w:r w:rsidR="00C225C6">
          <w:rPr>
            <w:rFonts w:ascii="Times New Roman" w:eastAsia="Times New Roman" w:hAnsi="Times New Roman" w:cs="Times New Roman"/>
            <w:color w:val="1155CC"/>
            <w:sz w:val="24"/>
            <w:szCs w:val="24"/>
            <w:u w:val="single"/>
          </w:rPr>
          <w:t>http://www.imanagerpublications.com/article/1417</w:t>
        </w:r>
      </w:hyperlink>
    </w:p>
    <w:p w14:paraId="0C1482E8" w14:textId="4E63D2F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Ahmed, S. M., and Shailaja, H.M. (2007). Effect of scientific aptitude and scientific attitude on academic achievement of secon</w:t>
      </w:r>
      <w:r>
        <w:rPr>
          <w:rFonts w:ascii="Times New Roman" w:eastAsia="Times New Roman" w:hAnsi="Times New Roman" w:cs="Times New Roman"/>
          <w:color w:val="111111"/>
          <w:sz w:val="24"/>
          <w:szCs w:val="24"/>
        </w:rPr>
        <w:t>dary school students in science. Retrieved from</w:t>
      </w:r>
      <w:hyperlink r:id="rId37">
        <w:r w:rsidR="00C225C6">
          <w:rPr>
            <w:rFonts w:ascii="Times New Roman" w:eastAsia="Times New Roman" w:hAnsi="Times New Roman" w:cs="Times New Roman"/>
            <w:color w:val="111111"/>
            <w:sz w:val="24"/>
            <w:szCs w:val="24"/>
          </w:rPr>
          <w:t xml:space="preserve"> </w:t>
        </w:r>
      </w:hyperlink>
      <w:hyperlink r:id="rId38">
        <w:r w:rsidR="00C225C6">
          <w:rPr>
            <w:rFonts w:ascii="Times New Roman" w:eastAsia="Times New Roman" w:hAnsi="Times New Roman" w:cs="Times New Roman"/>
            <w:color w:val="1155CC"/>
            <w:sz w:val="24"/>
            <w:szCs w:val="24"/>
            <w:u w:val="single"/>
          </w:rPr>
          <w:t>https://shodhganga.inflibnet.ac.in/handle/10603/95379</w:t>
        </w:r>
      </w:hyperlink>
    </w:p>
    <w:p w14:paraId="09EEB97A" w14:textId="5CE2DE06"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National</w:t>
      </w:r>
      <w:r>
        <w:rPr>
          <w:rFonts w:ascii="Times New Roman" w:eastAsia="Times New Roman" w:hAnsi="Times New Roman" w:cs="Times New Roman"/>
          <w:i/>
          <w:iCs/>
          <w:color w:val="111111"/>
          <w:sz w:val="24"/>
          <w:szCs w:val="24"/>
        </w:rPr>
        <w:t xml:space="preserve"> Curriculum Framework 2005</w:t>
      </w:r>
      <w:r>
        <w:rPr>
          <w:rFonts w:ascii="Times New Roman" w:eastAsia="Times New Roman" w:hAnsi="Times New Roman" w:cs="Times New Roman"/>
          <w:color w:val="111111"/>
          <w:sz w:val="24"/>
          <w:szCs w:val="24"/>
        </w:rPr>
        <w:t>. (2005). National Council of Educational Research and Training.</w:t>
      </w:r>
      <w:hyperlink r:id="rId39">
        <w:r w:rsidR="00C225C6">
          <w:rPr>
            <w:rFonts w:ascii="Times New Roman" w:eastAsia="Times New Roman" w:hAnsi="Times New Roman" w:cs="Times New Roman"/>
            <w:color w:val="111111"/>
            <w:sz w:val="24"/>
            <w:szCs w:val="24"/>
          </w:rPr>
          <w:t xml:space="preserve"> </w:t>
        </w:r>
      </w:hyperlink>
      <w:hyperlink r:id="rId40">
        <w:r w:rsidR="00C225C6">
          <w:rPr>
            <w:rFonts w:ascii="Times New Roman" w:eastAsia="Times New Roman" w:hAnsi="Times New Roman" w:cs="Times New Roman"/>
            <w:color w:val="1155CC"/>
            <w:sz w:val="24"/>
            <w:szCs w:val="24"/>
            <w:u w:val="single"/>
          </w:rPr>
          <w:t>https://ncert.nic.in/pdf/nc-framework/nf2005-english.pdf</w:t>
        </w:r>
      </w:hyperlink>
    </w:p>
    <w:p w14:paraId="264E43D4" w14:textId="6BB98059"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Ghosh, S. (1998). A critical study of scientific attitude and aptitude of the students and determination of some determinants of scientific aptitude. Retrieved from</w:t>
      </w:r>
      <w:hyperlink r:id="rId41">
        <w:r w:rsidR="00C225C6">
          <w:rPr>
            <w:rFonts w:ascii="Times New Roman" w:eastAsia="Times New Roman" w:hAnsi="Times New Roman" w:cs="Times New Roman"/>
            <w:color w:val="111111"/>
            <w:sz w:val="24"/>
            <w:szCs w:val="24"/>
          </w:rPr>
          <w:t xml:space="preserve"> </w:t>
        </w:r>
      </w:hyperlink>
      <w:hyperlink r:id="rId42">
        <w:r w:rsidR="00C225C6">
          <w:rPr>
            <w:rFonts w:ascii="Times New Roman" w:eastAsia="Times New Roman" w:hAnsi="Times New Roman" w:cs="Times New Roman"/>
            <w:color w:val="1155CC"/>
            <w:sz w:val="24"/>
            <w:szCs w:val="24"/>
            <w:u w:val="single"/>
          </w:rPr>
          <w:t>http://shodhganga.inflibnet.ac.in/handle/10603/240882</w:t>
        </w:r>
      </w:hyperlink>
    </w:p>
    <w:p w14:paraId="238CF2EF" w14:textId="7F82A2C1" w:rsidR="00C225C6" w:rsidRDefault="0081615B" w:rsidP="0010535D">
      <w:pPr>
        <w:spacing w:before="240" w:after="240"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Verma, S. R. (1994). A Cross-lagged Panel Analysis of Scientific Creativity, Scientific Ap</w:t>
      </w:r>
      <w:r>
        <w:rPr>
          <w:rFonts w:ascii="Times New Roman" w:eastAsia="Times New Roman" w:hAnsi="Times New Roman" w:cs="Times New Roman"/>
          <w:color w:val="111111"/>
          <w:sz w:val="24"/>
          <w:szCs w:val="24"/>
        </w:rPr>
        <w:t>titude and Career Interest. Doctoral Dissertation, Faizabad: University of Awadh, India.</w:t>
      </w:r>
    </w:p>
    <w:p w14:paraId="71508945" w14:textId="51AAD321"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Education and National Development</w:t>
      </w:r>
      <w:r>
        <w:rPr>
          <w:rFonts w:ascii="Times New Roman" w:eastAsia="Times New Roman" w:hAnsi="Times New Roman" w:cs="Times New Roman"/>
          <w:color w:val="111111"/>
          <w:sz w:val="24"/>
          <w:szCs w:val="24"/>
        </w:rPr>
        <w:t>. (1966). Government of India.</w:t>
      </w:r>
      <w:hyperlink r:id="rId43">
        <w:r w:rsidR="00C225C6">
          <w:rPr>
            <w:rFonts w:ascii="Times New Roman" w:eastAsia="Times New Roman" w:hAnsi="Times New Roman" w:cs="Times New Roman"/>
            <w:color w:val="111111"/>
            <w:sz w:val="24"/>
            <w:szCs w:val="24"/>
          </w:rPr>
          <w:t xml:space="preserve"> </w:t>
        </w:r>
      </w:hyperlink>
      <w:hyperlink r:id="rId44">
        <w:r w:rsidR="00C225C6">
          <w:rPr>
            <w:rFonts w:ascii="Times New Roman" w:eastAsia="Times New Roman" w:hAnsi="Times New Roman" w:cs="Times New Roman"/>
            <w:color w:val="1155CC"/>
            <w:sz w:val="24"/>
            <w:szCs w:val="24"/>
            <w:u w:val="single"/>
          </w:rPr>
          <w:t>https://ia801307.us.archive.org/16/items/ReportOfTheEducationCommission1964-66D.S.KothariReport/48.Jp-ReportOfTheEducationCommission1964-66d.s.kothari.pdf</w:t>
        </w:r>
      </w:hyperlink>
    </w:p>
    <w:p w14:paraId="39AF2317" w14:textId="21726D23"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lastRenderedPageBreak/>
        <w:t>Secondary Education Commission</w:t>
      </w:r>
      <w:r>
        <w:rPr>
          <w:rFonts w:ascii="Times New Roman" w:eastAsia="Times New Roman" w:hAnsi="Times New Roman" w:cs="Times New Roman"/>
          <w:color w:val="111111"/>
          <w:sz w:val="24"/>
          <w:szCs w:val="24"/>
        </w:rPr>
        <w:t>. (1953). Government of India.</w:t>
      </w:r>
      <w:hyperlink r:id="rId45">
        <w:r w:rsidR="00C225C6">
          <w:rPr>
            <w:rFonts w:ascii="Times New Roman" w:eastAsia="Times New Roman" w:hAnsi="Times New Roman" w:cs="Times New Roman"/>
            <w:color w:val="111111"/>
            <w:sz w:val="24"/>
            <w:szCs w:val="24"/>
          </w:rPr>
          <w:t xml:space="preserve"> </w:t>
        </w:r>
      </w:hyperlink>
      <w:hyperlink r:id="rId46">
        <w:r w:rsidR="00C225C6">
          <w:rPr>
            <w:rFonts w:ascii="Times New Roman" w:eastAsia="Times New Roman" w:hAnsi="Times New Roman" w:cs="Times New Roman"/>
            <w:color w:val="1155CC"/>
            <w:sz w:val="24"/>
            <w:szCs w:val="24"/>
            <w:u w:val="single"/>
          </w:rPr>
          <w:t>https://www.educationforallinindia.com/1953%20Secondary_Education_Commission_Report.pdf</w:t>
        </w:r>
      </w:hyperlink>
    </w:p>
    <w:p w14:paraId="0EE1E91F" w14:textId="77777777" w:rsidR="00C225C6" w:rsidRDefault="00C225C6">
      <w:pPr>
        <w:spacing w:line="360" w:lineRule="auto"/>
        <w:jc w:val="both"/>
        <w:rPr>
          <w:rFonts w:ascii="Times New Roman" w:eastAsia="Times New Roman" w:hAnsi="Times New Roman" w:cs="Times New Roman"/>
          <w:color w:val="111111"/>
          <w:sz w:val="24"/>
          <w:szCs w:val="24"/>
        </w:rPr>
      </w:pPr>
    </w:p>
    <w:sectPr w:rsidR="00C225C6">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4A55" w14:textId="77777777" w:rsidR="0081615B" w:rsidRDefault="0081615B" w:rsidP="00CE0A00">
      <w:pPr>
        <w:spacing w:line="240" w:lineRule="auto"/>
      </w:pPr>
      <w:r>
        <w:separator/>
      </w:r>
    </w:p>
  </w:endnote>
  <w:endnote w:type="continuationSeparator" w:id="0">
    <w:p w14:paraId="6EC8DFC0" w14:textId="77777777" w:rsidR="0081615B" w:rsidRDefault="0081615B" w:rsidP="00CE0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928DB48E-09F1-4A42-ADE6-68DCC488CD37}"/>
    <w:embedBold r:id="rId2" w:fontKey="{7D540FFA-05FB-4B74-82B9-DA4F4BA93FAA}"/>
  </w:font>
  <w:font w:name="Calibri">
    <w:panose1 w:val="020F0502020204030204"/>
    <w:charset w:val="00"/>
    <w:family w:val="swiss"/>
    <w:pitch w:val="variable"/>
    <w:sig w:usb0="E4002EFF" w:usb1="C000247B" w:usb2="00000009" w:usb3="00000000" w:csb0="000001FF" w:csb1="00000000"/>
    <w:embedRegular r:id="rId3" w:fontKey="{4414ED77-1AE5-47EC-975B-A136E6A1319A}"/>
  </w:font>
  <w:font w:name="Cambria">
    <w:panose1 w:val="02040503050406030204"/>
    <w:charset w:val="00"/>
    <w:family w:val="roman"/>
    <w:pitch w:val="variable"/>
    <w:sig w:usb0="E00006FF" w:usb1="420024FF" w:usb2="02000000" w:usb3="00000000" w:csb0="0000019F" w:csb1="00000000"/>
    <w:embedRegular r:id="rId4" w:fontKey="{D067C92C-2D2D-4CDD-89B2-57761D52C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10F2" w14:textId="77777777" w:rsidR="00E6185C" w:rsidRDefault="00E61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798758"/>
      <w:docPartObj>
        <w:docPartGallery w:val="Page Numbers (Bottom of Page)"/>
        <w:docPartUnique/>
      </w:docPartObj>
    </w:sdtPr>
    <w:sdtEndPr>
      <w:rPr>
        <w:color w:val="7F7F7F" w:themeColor="background1" w:themeShade="7F"/>
        <w:spacing w:val="60"/>
      </w:rPr>
    </w:sdtEndPr>
    <w:sdtContent>
      <w:p w14:paraId="45F0D1B4" w14:textId="1E30F7B0" w:rsidR="00CE0A00" w:rsidRDefault="00CE0A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8CDDC6" w14:textId="77777777" w:rsidR="00CE0A00" w:rsidRDefault="00CE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AA67" w14:textId="77777777" w:rsidR="00E6185C" w:rsidRDefault="00E61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EAC09" w14:textId="77777777" w:rsidR="0081615B" w:rsidRDefault="0081615B" w:rsidP="00CE0A00">
      <w:pPr>
        <w:spacing w:line="240" w:lineRule="auto"/>
      </w:pPr>
      <w:r>
        <w:separator/>
      </w:r>
    </w:p>
  </w:footnote>
  <w:footnote w:type="continuationSeparator" w:id="0">
    <w:p w14:paraId="19A1536D" w14:textId="77777777" w:rsidR="0081615B" w:rsidRDefault="0081615B" w:rsidP="00CE0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0B4F" w14:textId="208B33EC" w:rsidR="00E6185C" w:rsidRDefault="00E6185C">
    <w:pPr>
      <w:pStyle w:val="Header"/>
    </w:pPr>
    <w:r>
      <w:rPr>
        <w:noProof/>
      </w:rPr>
      <w:pict w14:anchorId="4CE5A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6E04" w14:textId="6FBC50DD" w:rsidR="00E6185C" w:rsidRDefault="00E6185C">
    <w:pPr>
      <w:pStyle w:val="Header"/>
    </w:pPr>
    <w:r>
      <w:rPr>
        <w:noProof/>
      </w:rPr>
      <w:pict w14:anchorId="6C2C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4F3C" w14:textId="157E69A9" w:rsidR="00E6185C" w:rsidRDefault="00E6185C">
    <w:pPr>
      <w:pStyle w:val="Header"/>
    </w:pPr>
    <w:r>
      <w:rPr>
        <w:noProof/>
      </w:rPr>
      <w:pict w14:anchorId="3DE85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138A9"/>
    <w:multiLevelType w:val="multilevel"/>
    <w:tmpl w:val="C7942ABC"/>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A67FBA"/>
    <w:multiLevelType w:val="multilevel"/>
    <w:tmpl w:val="B608C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486A28"/>
    <w:multiLevelType w:val="multilevel"/>
    <w:tmpl w:val="AED00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8621AE"/>
    <w:multiLevelType w:val="multilevel"/>
    <w:tmpl w:val="ACF0E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E3B7DB9"/>
    <w:multiLevelType w:val="multilevel"/>
    <w:tmpl w:val="02EEA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3E4341"/>
    <w:multiLevelType w:val="multilevel"/>
    <w:tmpl w:val="CB784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5C6"/>
    <w:rsid w:val="00062BB4"/>
    <w:rsid w:val="000673DC"/>
    <w:rsid w:val="000F1B61"/>
    <w:rsid w:val="00103FEB"/>
    <w:rsid w:val="0010535D"/>
    <w:rsid w:val="0045454F"/>
    <w:rsid w:val="00472711"/>
    <w:rsid w:val="00653450"/>
    <w:rsid w:val="00666724"/>
    <w:rsid w:val="00731021"/>
    <w:rsid w:val="00787DF5"/>
    <w:rsid w:val="0081615B"/>
    <w:rsid w:val="008A187F"/>
    <w:rsid w:val="009733E7"/>
    <w:rsid w:val="00AF795C"/>
    <w:rsid w:val="00C225C6"/>
    <w:rsid w:val="00CE0A00"/>
    <w:rsid w:val="00DB6DA8"/>
    <w:rsid w:val="00E6185C"/>
    <w:rsid w:val="00E64934"/>
    <w:rsid w:val="00F53C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BC1CE"/>
  <w15:docId w15:val="{E3AC3365-6E3C-4E19-BACC-D31A5BBA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ListParagraph">
    <w:name w:val="List Paragraph"/>
    <w:basedOn w:val="Normal"/>
    <w:uiPriority w:val="34"/>
    <w:qFormat/>
    <w:rsid w:val="0010535D"/>
    <w:pPr>
      <w:ind w:left="720"/>
      <w:contextualSpacing/>
    </w:pPr>
    <w:rPr>
      <w:rFonts w:cs="Mangal"/>
      <w:szCs w:val="20"/>
    </w:rPr>
  </w:style>
  <w:style w:type="character" w:styleId="Hyperlink">
    <w:name w:val="Hyperlink"/>
    <w:basedOn w:val="DefaultParagraphFont"/>
    <w:uiPriority w:val="99"/>
    <w:unhideWhenUsed/>
    <w:rsid w:val="009733E7"/>
    <w:rPr>
      <w:color w:val="0000FF" w:themeColor="hyperlink"/>
      <w:u w:val="single"/>
    </w:rPr>
  </w:style>
  <w:style w:type="character" w:styleId="UnresolvedMention">
    <w:name w:val="Unresolved Mention"/>
    <w:basedOn w:val="DefaultParagraphFont"/>
    <w:uiPriority w:val="99"/>
    <w:semiHidden/>
    <w:unhideWhenUsed/>
    <w:rsid w:val="009733E7"/>
    <w:rPr>
      <w:color w:val="605E5C"/>
      <w:shd w:val="clear" w:color="auto" w:fill="E1DFDD"/>
    </w:rPr>
  </w:style>
  <w:style w:type="paragraph" w:styleId="Header">
    <w:name w:val="header"/>
    <w:basedOn w:val="Normal"/>
    <w:link w:val="HeaderChar"/>
    <w:uiPriority w:val="99"/>
    <w:unhideWhenUsed/>
    <w:rsid w:val="00CE0A00"/>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CE0A00"/>
    <w:rPr>
      <w:rFonts w:cs="Mangal"/>
      <w:szCs w:val="20"/>
    </w:rPr>
  </w:style>
  <w:style w:type="paragraph" w:styleId="Footer">
    <w:name w:val="footer"/>
    <w:basedOn w:val="Normal"/>
    <w:link w:val="FooterChar"/>
    <w:uiPriority w:val="99"/>
    <w:unhideWhenUsed/>
    <w:rsid w:val="00CE0A00"/>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CE0A00"/>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ncert.nic.in/publication/journals/pdf_files/IER_Jan_17.pdf" TargetMode="External"/><Relationship Id="rId26" Type="http://schemas.openxmlformats.org/officeDocument/2006/relationships/hyperlink" Target="https://shodhganga.inflibnet.ac.in/handle/10603/64107?mode=simple" TargetMode="External"/><Relationship Id="rId39" Type="http://schemas.openxmlformats.org/officeDocument/2006/relationships/hyperlink" Target="https://ncert.nic.in/pdf/nc-framework/nf2005-english.pdf" TargetMode="External"/><Relationship Id="rId21" Type="http://schemas.openxmlformats.org/officeDocument/2006/relationships/hyperlink" Target="http://ndpublisher.in/admin/issues/EQV7N3k.pdf" TargetMode="External"/><Relationship Id="rId34" Type="http://schemas.openxmlformats.org/officeDocument/2006/relationships/hyperlink" Target="http://www.ijhssi.org/papers/v2(1)/version-3/i215163.pdf" TargetMode="External"/><Relationship Id="rId42" Type="http://schemas.openxmlformats.org/officeDocument/2006/relationships/hyperlink" Target="http://shodhganga.inflibnet.ac.in/handle/10603/24088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ducation.gov.in/sites/upload_files/mhrd/files/NEP_Final_English_0.pdf" TargetMode="External"/><Relationship Id="rId29" Type="http://schemas.openxmlformats.org/officeDocument/2006/relationships/hyperlink" Target="http://shodhganga.inflibnet.ac.in/handle/10603/17683" TargetMode="External"/><Relationship Id="rId11" Type="http://schemas.openxmlformats.org/officeDocument/2006/relationships/image" Target="media/image5.png"/><Relationship Id="rId24" Type="http://schemas.openxmlformats.org/officeDocument/2006/relationships/hyperlink" Target="https://www.worldwidejournals.com/paripex/recent_issues_pdf/2016/September/September_2016_1492080118__106.pdf" TargetMode="External"/><Relationship Id="rId32" Type="http://schemas.openxmlformats.org/officeDocument/2006/relationships/hyperlink" Target="https://shodhganga.inflibnet.ac.in/handle/10603/67519" TargetMode="External"/><Relationship Id="rId37" Type="http://schemas.openxmlformats.org/officeDocument/2006/relationships/hyperlink" Target="https://shodhganga.inflibnet.ac.in/handle/10603/95379" TargetMode="External"/><Relationship Id="rId40" Type="http://schemas.openxmlformats.org/officeDocument/2006/relationships/hyperlink" Target="https://ncert.nic.in/pdf/nc-framework/nf2005-english.pdf" TargetMode="External"/><Relationship Id="rId45" Type="http://schemas.openxmlformats.org/officeDocument/2006/relationships/hyperlink" Target="https://www.educationforallinindia.com/1953%20Secondary_Education_Commission_Report.pdf"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ijhssi.org/papers/v5(11)/version-2/C05011021318.pdf" TargetMode="External"/><Relationship Id="rId31" Type="http://schemas.openxmlformats.org/officeDocument/2006/relationships/hyperlink" Target="https://shodhganga.inflibnet.ac.in/handle/10603/67519" TargetMode="External"/><Relationship Id="rId44" Type="http://schemas.openxmlformats.org/officeDocument/2006/relationships/hyperlink" Target="https://ia801307.us.archive.org/16/items/ReportOfTheEducationCommission1964-66D.S.KothariReport/48.Jp-ReportOfTheEducationCommission1964-66d.s.kothari.pdf"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ndpublisher.in/admin/issues/EQV7N3k.pdf" TargetMode="External"/><Relationship Id="rId27" Type="http://schemas.openxmlformats.org/officeDocument/2006/relationships/hyperlink" Target="https://files.eric.ed.gov/fulltext/ED557153.pdf" TargetMode="External"/><Relationship Id="rId30" Type="http://schemas.openxmlformats.org/officeDocument/2006/relationships/hyperlink" Target="http://shodhganga.inflibnet.ac.in/handle/10603/17683" TargetMode="External"/><Relationship Id="rId35" Type="http://schemas.openxmlformats.org/officeDocument/2006/relationships/hyperlink" Target="http://www.imanagerpublications.com/article/1417" TargetMode="External"/><Relationship Id="rId43" Type="http://schemas.openxmlformats.org/officeDocument/2006/relationships/hyperlink" Target="https://ia801307.us.archive.org/16/items/ReportOfTheEducationCommission1964-66D.S.KothariReport/48.Jp-ReportOfTheEducationCommission1964-66d.s.kothari.pdf"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ncert.nic.in/publication/journals/pdf_files/IER_Jan_17.pdf" TargetMode="External"/><Relationship Id="rId25" Type="http://schemas.openxmlformats.org/officeDocument/2006/relationships/hyperlink" Target="https://shodhganga.inflibnet.ac.in/handle/10603/64107?mode=simple" TargetMode="External"/><Relationship Id="rId33" Type="http://schemas.openxmlformats.org/officeDocument/2006/relationships/hyperlink" Target="http://www.ijhssi.org/papers/v2(1)/version-3/i215163.pdf" TargetMode="External"/><Relationship Id="rId38" Type="http://schemas.openxmlformats.org/officeDocument/2006/relationships/hyperlink" Target="https://shodhganga.inflibnet.ac.in/handle/10603/95379" TargetMode="External"/><Relationship Id="rId46" Type="http://schemas.openxmlformats.org/officeDocument/2006/relationships/hyperlink" Target="https://www.educationforallinindia.com/1953%20Secondary_Education_Commission_Report.pdf" TargetMode="External"/><Relationship Id="rId20" Type="http://schemas.openxmlformats.org/officeDocument/2006/relationships/hyperlink" Target="http://www.ijhssi.org/papers/v5(11)/version-2/C05011021318.pdf" TargetMode="External"/><Relationship Id="rId41" Type="http://schemas.openxmlformats.org/officeDocument/2006/relationships/hyperlink" Target="http://shodhganga.inflibnet.ac.in/handle/10603/24088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gov.in/sites/upload_files/mhrd/files/NEP_Final_English_0.pdf" TargetMode="External"/><Relationship Id="rId23" Type="http://schemas.openxmlformats.org/officeDocument/2006/relationships/hyperlink" Target="https://www.worldwidejournals.com/paripex/recent_issues_pdf/2016/September/September_2016_1492080118__106.pdf" TargetMode="External"/><Relationship Id="rId28" Type="http://schemas.openxmlformats.org/officeDocument/2006/relationships/hyperlink" Target="https://files.eric.ed.gov/fulltext/ED557153.pdf" TargetMode="External"/><Relationship Id="rId36" Type="http://schemas.openxmlformats.org/officeDocument/2006/relationships/hyperlink" Target="http://www.imanagerpublications.com/article/1417"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19</Pages>
  <Words>5499</Words>
  <Characters>31348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2026-03-19T08:25:00Z</dcterms:created>
  <dcterms:modified xsi:type="dcterms:W3CDTF">2026-03-20T07:29:00Z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d02bc841-6353-46b7-ab78-532ebfcb8804</vt:lpwstr>
  </property>
</Properties>
</file>