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CA30" w14:textId="77777777" w:rsidR="00754C9A" w:rsidRDefault="00754C9A" w:rsidP="00441B6F">
      <w:pPr>
        <w:pStyle w:val="Title"/>
        <w:spacing w:after="0"/>
        <w:jc w:val="both"/>
        <w:rPr>
          <w:rFonts w:ascii="Arial" w:hAnsi="Arial" w:cs="Arial"/>
        </w:rPr>
      </w:pPr>
    </w:p>
    <w:p w14:paraId="0D91901F" w14:textId="194C3DC5" w:rsidR="00163BC4" w:rsidRPr="00163BC4" w:rsidRDefault="00CD34F3" w:rsidP="00441B6F">
      <w:pPr>
        <w:pStyle w:val="Author"/>
        <w:spacing w:line="240" w:lineRule="auto"/>
        <w:rPr>
          <w:rFonts w:ascii="Arial" w:hAnsi="Arial" w:cs="Arial"/>
          <w:bCs/>
          <w:iCs/>
          <w:kern w:val="28"/>
          <w:sz w:val="36"/>
        </w:rPr>
      </w:pPr>
      <w:r>
        <w:rPr>
          <w:rFonts w:ascii="Arial" w:hAnsi="Arial" w:cs="Arial"/>
          <w:bCs/>
          <w:iCs/>
          <w:kern w:val="28"/>
          <w:sz w:val="36"/>
        </w:rPr>
        <w:t>Impact of Students’ Participation in Community Extension Program</w:t>
      </w:r>
    </w:p>
    <w:p w14:paraId="597D82AF" w14:textId="77777777" w:rsidR="00613393" w:rsidRDefault="00613393" w:rsidP="00926D04">
      <w:pPr>
        <w:pStyle w:val="Affiliation"/>
        <w:spacing w:after="0" w:line="240" w:lineRule="auto"/>
        <w:rPr>
          <w:rFonts w:ascii="Arial" w:hAnsi="Arial" w:cs="Arial"/>
        </w:rPr>
      </w:pPr>
    </w:p>
    <w:p w14:paraId="2FD3AB1D" w14:textId="77777777" w:rsidR="00613393" w:rsidRDefault="00613393" w:rsidP="00926D04">
      <w:pPr>
        <w:pStyle w:val="Affiliation"/>
        <w:spacing w:after="0" w:line="240" w:lineRule="auto"/>
        <w:rPr>
          <w:rFonts w:ascii="Arial" w:hAnsi="Arial" w:cs="Arial"/>
        </w:rPr>
      </w:pPr>
    </w:p>
    <w:p w14:paraId="610391EA" w14:textId="77777777" w:rsidR="00613393" w:rsidRDefault="00613393" w:rsidP="00926D04">
      <w:pPr>
        <w:pStyle w:val="Affiliation"/>
        <w:spacing w:after="0" w:line="240" w:lineRule="auto"/>
        <w:rPr>
          <w:rFonts w:ascii="Arial" w:hAnsi="Arial" w:cs="Arial"/>
        </w:rPr>
      </w:pPr>
    </w:p>
    <w:p w14:paraId="59193B44" w14:textId="77777777" w:rsidR="00F427FD" w:rsidRDefault="00F427FD" w:rsidP="00926D04">
      <w:pPr>
        <w:pStyle w:val="Affiliation"/>
        <w:spacing w:after="0" w:line="240" w:lineRule="auto"/>
        <w:rPr>
          <w:rFonts w:ascii="Arial" w:hAnsi="Arial" w:cs="Arial"/>
        </w:rPr>
      </w:pPr>
    </w:p>
    <w:p w14:paraId="14E450B8" w14:textId="77777777" w:rsidR="00F470D1" w:rsidRDefault="00F470D1" w:rsidP="00926D04">
      <w:pPr>
        <w:pStyle w:val="Affiliation"/>
        <w:spacing w:after="0" w:line="240" w:lineRule="auto"/>
        <w:rPr>
          <w:rFonts w:ascii="Arial" w:hAnsi="Arial" w:cs="Arial"/>
        </w:rPr>
      </w:pPr>
    </w:p>
    <w:p w14:paraId="430F629A" w14:textId="77777777" w:rsidR="00706DD7" w:rsidRDefault="00706DD7" w:rsidP="00926D04">
      <w:pPr>
        <w:pStyle w:val="Affiliation"/>
        <w:spacing w:after="0" w:line="240" w:lineRule="auto"/>
        <w:rPr>
          <w:rFonts w:ascii="Arial" w:hAnsi="Arial" w:cs="Arial"/>
        </w:rPr>
      </w:pPr>
    </w:p>
    <w:p w14:paraId="6E11BFB4" w14:textId="2BF076EE" w:rsidR="00CD789E" w:rsidRDefault="00CD789E" w:rsidP="00926D04">
      <w:pPr>
        <w:pStyle w:val="Affiliation"/>
        <w:spacing w:after="0" w:line="240" w:lineRule="auto"/>
        <w:rPr>
          <w:rFonts w:ascii="Arial" w:hAnsi="Arial" w:cs="Arial"/>
        </w:rPr>
      </w:pPr>
      <w:r>
        <w:rPr>
          <w:rFonts w:ascii="Arial" w:hAnsi="Arial" w:cs="Arial"/>
        </w:rPr>
        <w:t xml:space="preserve"> </w:t>
      </w:r>
    </w:p>
    <w:p w14:paraId="0220CE12" w14:textId="77777777" w:rsidR="002C57D2" w:rsidRPr="00FB3A86" w:rsidRDefault="002C57D2" w:rsidP="00441B6F">
      <w:pPr>
        <w:pStyle w:val="Affiliation"/>
        <w:spacing w:after="0" w:line="240" w:lineRule="auto"/>
        <w:jc w:val="both"/>
        <w:rPr>
          <w:rFonts w:ascii="Arial" w:hAnsi="Arial" w:cs="Arial"/>
        </w:rPr>
      </w:pPr>
    </w:p>
    <w:p w14:paraId="3F8E4169" w14:textId="209F8A52" w:rsidR="00B01FCD" w:rsidRPr="00FB3A86" w:rsidRDefault="00737005" w:rsidP="00441B6F">
      <w:pPr>
        <w:pStyle w:val="Copyright"/>
        <w:spacing w:after="0" w:line="240" w:lineRule="auto"/>
        <w:jc w:val="both"/>
        <w:rPr>
          <w:rFonts w:ascii="Arial" w:hAnsi="Arial" w:cs="Arial"/>
        </w:rPr>
        <w:sectPr w:rsidR="00B01FCD" w:rsidRPr="00FB3A86" w:rsidSect="006133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5015259" wp14:editId="0B719CF8">
                <wp:extent cx="5303520" cy="635"/>
                <wp:effectExtent l="13335" t="13335" r="17145" b="15240"/>
                <wp:docPr id="15490139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D158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9A7F26" w14:textId="53C98683"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BE73FC" w14:textId="77777777" w:rsidR="00313901" w:rsidRPr="00FB3A86" w:rsidRDefault="0031390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93D79B" w14:textId="77777777" w:rsidTr="001E44FE">
        <w:tc>
          <w:tcPr>
            <w:tcW w:w="9576" w:type="dxa"/>
            <w:shd w:val="clear" w:color="auto" w:fill="F2F2F2"/>
          </w:tcPr>
          <w:p w14:paraId="3688F3CE" w14:textId="0E16551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75290">
              <w:rPr>
                <w:rFonts w:ascii="Arial" w:eastAsia="Calibri" w:hAnsi="Arial" w:cs="Arial"/>
                <w:szCs w:val="22"/>
              </w:rPr>
              <w:t>Low student participation impedes holistic development</w:t>
            </w:r>
            <w:r w:rsidRPr="00BA1B01">
              <w:rPr>
                <w:rFonts w:ascii="Arial" w:eastAsia="Calibri" w:hAnsi="Arial" w:cs="Arial"/>
                <w:szCs w:val="22"/>
              </w:rPr>
              <w:t>.</w:t>
            </w:r>
            <w:r w:rsidR="00C75290">
              <w:rPr>
                <w:rFonts w:ascii="Arial" w:eastAsia="Calibri" w:hAnsi="Arial" w:cs="Arial"/>
                <w:szCs w:val="22"/>
              </w:rPr>
              <w:t xml:space="preserve"> Hence, students' involvement in the school’s extension activities is greatly affected and contributed </w:t>
            </w:r>
            <w:r w:rsidR="00993FB6">
              <w:rPr>
                <w:rFonts w:ascii="Arial" w:eastAsia="Calibri" w:hAnsi="Arial" w:cs="Arial"/>
                <w:szCs w:val="22"/>
              </w:rPr>
              <w:t xml:space="preserve">to </w:t>
            </w:r>
            <w:r w:rsidR="00C75290">
              <w:rPr>
                <w:rFonts w:ascii="Arial" w:eastAsia="Calibri" w:hAnsi="Arial" w:cs="Arial"/>
                <w:szCs w:val="22"/>
              </w:rPr>
              <w:t>by several factors</w:t>
            </w:r>
            <w:r w:rsidR="00993FB6">
              <w:rPr>
                <w:rFonts w:ascii="Arial" w:eastAsia="Calibri" w:hAnsi="Arial" w:cs="Arial"/>
                <w:szCs w:val="22"/>
              </w:rPr>
              <w:t>,</w:t>
            </w:r>
            <w:r w:rsidR="00C75290">
              <w:rPr>
                <w:rFonts w:ascii="Arial" w:eastAsia="Calibri" w:hAnsi="Arial" w:cs="Arial"/>
                <w:szCs w:val="22"/>
              </w:rPr>
              <w:t xml:space="preserve"> including their perception </w:t>
            </w:r>
            <w:r w:rsidR="00993FB6">
              <w:rPr>
                <w:rFonts w:ascii="Arial" w:eastAsia="Calibri" w:hAnsi="Arial" w:cs="Arial"/>
                <w:szCs w:val="22"/>
              </w:rPr>
              <w:t>of</w:t>
            </w:r>
            <w:r w:rsidR="00C75290">
              <w:rPr>
                <w:rFonts w:ascii="Arial" w:eastAsia="Calibri" w:hAnsi="Arial" w:cs="Arial"/>
                <w:szCs w:val="22"/>
              </w:rPr>
              <w:t xml:space="preserve"> its </w:t>
            </w:r>
            <w:r w:rsidR="00993FB6">
              <w:rPr>
                <w:rFonts w:ascii="Arial" w:eastAsia="Calibri" w:hAnsi="Arial" w:cs="Arial"/>
                <w:szCs w:val="22"/>
              </w:rPr>
              <w:t>effectiveness</w:t>
            </w:r>
            <w:r w:rsidR="00C75290">
              <w:rPr>
                <w:rFonts w:ascii="Arial" w:eastAsia="Calibri" w:hAnsi="Arial" w:cs="Arial"/>
                <w:szCs w:val="22"/>
              </w:rPr>
              <w:t xml:space="preserve"> and purpose.</w:t>
            </w:r>
          </w:p>
          <w:p w14:paraId="3EFDE44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Mention the design of the study here</w:t>
            </w:r>
            <w:r w:rsidRPr="00BA1B01">
              <w:rPr>
                <w:rFonts w:ascii="Arial" w:eastAsia="Calibri" w:hAnsi="Arial" w:cs="Arial"/>
                <w:szCs w:val="22"/>
              </w:rPr>
              <w:t>.</w:t>
            </w:r>
          </w:p>
          <w:p w14:paraId="2D2A50DB" w14:textId="371799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2455">
              <w:rPr>
                <w:rFonts w:ascii="Arial" w:eastAsia="Calibri" w:hAnsi="Arial" w:cs="Arial"/>
                <w:szCs w:val="22"/>
              </w:rPr>
              <w:t>This study was conducted in a higher education institution in Davao City for the academic year 202</w:t>
            </w:r>
            <w:r w:rsidR="00D16450">
              <w:rPr>
                <w:rFonts w:ascii="Arial" w:eastAsia="Calibri" w:hAnsi="Arial" w:cs="Arial"/>
                <w:szCs w:val="22"/>
              </w:rPr>
              <w:t>1</w:t>
            </w:r>
            <w:r w:rsidR="00DE2455">
              <w:rPr>
                <w:rFonts w:ascii="Arial" w:eastAsia="Calibri" w:hAnsi="Arial" w:cs="Arial"/>
                <w:szCs w:val="22"/>
              </w:rPr>
              <w:t>-202</w:t>
            </w:r>
            <w:r w:rsidR="00D16450">
              <w:rPr>
                <w:rFonts w:ascii="Arial" w:eastAsia="Calibri" w:hAnsi="Arial" w:cs="Arial"/>
                <w:szCs w:val="22"/>
              </w:rPr>
              <w:t>2</w:t>
            </w:r>
            <w:r w:rsidR="00DE2455">
              <w:rPr>
                <w:rFonts w:ascii="Arial" w:eastAsia="Calibri" w:hAnsi="Arial" w:cs="Arial"/>
                <w:szCs w:val="22"/>
              </w:rPr>
              <w:t>.</w:t>
            </w:r>
          </w:p>
          <w:p w14:paraId="29E0C8A3" w14:textId="2633AD7C" w:rsidR="002338B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338B2" w:rsidRPr="002338B2">
              <w:rPr>
                <w:rFonts w:ascii="Arial" w:eastAsia="Calibri" w:hAnsi="Arial" w:cs="Arial"/>
                <w:szCs w:val="22"/>
              </w:rPr>
              <w:t>This study employed the quantitative-descriptive research</w:t>
            </w:r>
            <w:r w:rsidR="008562F7">
              <w:rPr>
                <w:rFonts w:ascii="Arial" w:eastAsia="Calibri" w:hAnsi="Arial" w:cs="Arial"/>
                <w:szCs w:val="22"/>
              </w:rPr>
              <w:t xml:space="preserve"> design and used stratified random sampling with 268 basic education students and 317 college students, accounting for 585 respondents.</w:t>
            </w:r>
            <w:r w:rsidR="00555086">
              <w:rPr>
                <w:rFonts w:ascii="Arial" w:eastAsia="Calibri" w:hAnsi="Arial" w:cs="Arial"/>
                <w:szCs w:val="22"/>
              </w:rPr>
              <w:t xml:space="preserve"> In addition, this utilized and adapted survey questionnaire from Boru (2017) and Diaz-Gallego</w:t>
            </w:r>
            <w:r w:rsidR="003601E2">
              <w:rPr>
                <w:rFonts w:ascii="Arial" w:eastAsia="Calibri" w:hAnsi="Arial" w:cs="Arial"/>
                <w:szCs w:val="22"/>
              </w:rPr>
              <w:t>s</w:t>
            </w:r>
            <w:r w:rsidR="00555086">
              <w:rPr>
                <w:rFonts w:ascii="Arial" w:eastAsia="Calibri" w:hAnsi="Arial" w:cs="Arial"/>
                <w:szCs w:val="22"/>
              </w:rPr>
              <w:t xml:space="preserve"> (1999). This followed strict adherence to </w:t>
            </w:r>
            <w:r w:rsidR="00973802">
              <w:rPr>
                <w:rFonts w:ascii="Arial" w:eastAsia="Calibri" w:hAnsi="Arial" w:cs="Arial"/>
                <w:szCs w:val="22"/>
              </w:rPr>
              <w:t xml:space="preserve">the </w:t>
            </w:r>
            <w:r w:rsidR="00555086">
              <w:rPr>
                <w:rFonts w:ascii="Arial" w:eastAsia="Calibri" w:hAnsi="Arial" w:cs="Arial"/>
                <w:szCs w:val="22"/>
              </w:rPr>
              <w:t xml:space="preserve">highest ethical </w:t>
            </w:r>
            <w:r w:rsidR="00973802">
              <w:rPr>
                <w:rFonts w:ascii="Arial" w:eastAsia="Calibri" w:hAnsi="Arial" w:cs="Arial"/>
                <w:szCs w:val="22"/>
              </w:rPr>
              <w:t>standards</w:t>
            </w:r>
            <w:r w:rsidR="00555086">
              <w:rPr>
                <w:rFonts w:ascii="Arial" w:eastAsia="Calibri" w:hAnsi="Arial" w:cs="Arial"/>
                <w:szCs w:val="22"/>
              </w:rPr>
              <w:t xml:space="preserve"> and applied descriptive statistics to analyze the data.</w:t>
            </w:r>
          </w:p>
          <w:p w14:paraId="08BBA60B" w14:textId="50A38BD4" w:rsidR="0097380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73802">
              <w:rPr>
                <w:rFonts w:ascii="Arial" w:eastAsia="Calibri" w:hAnsi="Arial" w:cs="Arial"/>
                <w:szCs w:val="22"/>
              </w:rPr>
              <w:t>The results showed that the college department had more respondents than the basic education. This also revealed that</w:t>
            </w:r>
            <w:r w:rsidR="002603AF">
              <w:rPr>
                <w:rFonts w:ascii="Arial" w:eastAsia="Calibri" w:hAnsi="Arial" w:cs="Arial"/>
                <w:szCs w:val="22"/>
              </w:rPr>
              <w:t xml:space="preserve"> the combined overall mean (2.98) of the students to the extent of their involvement was moderate, which was interpreted as ‘involved’. Likewise, in terms of their assessment on the implementation of the CEP activities, a combined mean of 4.21 was interpreted as very high.</w:t>
            </w:r>
            <w:r w:rsidR="001F22F6">
              <w:rPr>
                <w:rFonts w:ascii="Arial" w:eastAsia="Calibri" w:hAnsi="Arial" w:cs="Arial"/>
                <w:szCs w:val="22"/>
              </w:rPr>
              <w:t xml:space="preserve"> Moreover, the students perceived the effectiveness of the CEP activities as effective</w:t>
            </w:r>
            <w:r w:rsidR="0042363D">
              <w:rPr>
                <w:rFonts w:ascii="Arial" w:eastAsia="Calibri" w:hAnsi="Arial" w:cs="Arial"/>
                <w:szCs w:val="22"/>
              </w:rPr>
              <w:t>,</w:t>
            </w:r>
            <w:r w:rsidR="001F22F6">
              <w:rPr>
                <w:rFonts w:ascii="Arial" w:eastAsia="Calibri" w:hAnsi="Arial" w:cs="Arial"/>
                <w:szCs w:val="22"/>
              </w:rPr>
              <w:t xml:space="preserve"> with a combined mean of 4.13. </w:t>
            </w:r>
            <w:r w:rsidR="00045F83">
              <w:rPr>
                <w:rFonts w:ascii="Arial" w:eastAsia="Calibri" w:hAnsi="Arial" w:cs="Arial"/>
                <w:szCs w:val="22"/>
              </w:rPr>
              <w:t xml:space="preserve">Lastly, the perceived effect of the CEP activities on students’ development obtained a combined mean </w:t>
            </w:r>
            <w:r w:rsidR="0042363D">
              <w:rPr>
                <w:rFonts w:ascii="Arial" w:eastAsia="Calibri" w:hAnsi="Arial" w:cs="Arial"/>
                <w:szCs w:val="22"/>
              </w:rPr>
              <w:t xml:space="preserve">of </w:t>
            </w:r>
            <w:r w:rsidR="00045F83">
              <w:rPr>
                <w:rFonts w:ascii="Arial" w:eastAsia="Calibri" w:hAnsi="Arial" w:cs="Arial"/>
                <w:szCs w:val="22"/>
              </w:rPr>
              <w:t>4.19</w:t>
            </w:r>
            <w:r w:rsidR="0042363D">
              <w:rPr>
                <w:rFonts w:ascii="Arial" w:eastAsia="Calibri" w:hAnsi="Arial" w:cs="Arial"/>
                <w:szCs w:val="22"/>
              </w:rPr>
              <w:t>,</w:t>
            </w:r>
            <w:r w:rsidR="00045F83">
              <w:rPr>
                <w:rFonts w:ascii="Arial" w:eastAsia="Calibri" w:hAnsi="Arial" w:cs="Arial"/>
                <w:szCs w:val="22"/>
              </w:rPr>
              <w:t xml:space="preserve"> which was interpreted as high.</w:t>
            </w:r>
          </w:p>
          <w:p w14:paraId="49BCBCE2" w14:textId="5CC0A18E"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564E8">
              <w:rPr>
                <w:rFonts w:ascii="Arial" w:eastAsia="Calibri" w:hAnsi="Arial" w:cs="Arial"/>
                <w:szCs w:val="22"/>
              </w:rPr>
              <w:t xml:space="preserve">The data showed that the CEP activities </w:t>
            </w:r>
            <w:r w:rsidR="00AE17F9">
              <w:rPr>
                <w:rFonts w:ascii="Arial" w:eastAsia="Calibri" w:hAnsi="Arial" w:cs="Arial"/>
                <w:szCs w:val="22"/>
              </w:rPr>
              <w:t>were</w:t>
            </w:r>
            <w:r w:rsidR="008564E8">
              <w:rPr>
                <w:rFonts w:ascii="Arial" w:eastAsia="Calibri" w:hAnsi="Arial" w:cs="Arial"/>
                <w:szCs w:val="22"/>
              </w:rPr>
              <w:t xml:space="preserve"> </w:t>
            </w:r>
            <w:r w:rsidR="00AE17F9">
              <w:rPr>
                <w:rFonts w:ascii="Arial" w:eastAsia="Calibri" w:hAnsi="Arial" w:cs="Arial"/>
                <w:szCs w:val="22"/>
              </w:rPr>
              <w:t>generally perceived</w:t>
            </w:r>
            <w:r w:rsidR="008564E8">
              <w:rPr>
                <w:rFonts w:ascii="Arial" w:eastAsia="Calibri" w:hAnsi="Arial" w:cs="Arial"/>
                <w:szCs w:val="22"/>
              </w:rPr>
              <w:t xml:space="preserve"> by the students</w:t>
            </w:r>
            <w:r w:rsidR="00AE17F9">
              <w:rPr>
                <w:rFonts w:ascii="Arial" w:eastAsia="Calibri" w:hAnsi="Arial" w:cs="Arial"/>
                <w:szCs w:val="22"/>
              </w:rPr>
              <w:t xml:space="preserve"> as effective. It was manifested through their </w:t>
            </w:r>
            <w:r w:rsidR="00AC5EAB">
              <w:rPr>
                <w:rFonts w:ascii="Arial" w:eastAsia="Calibri" w:hAnsi="Arial" w:cs="Arial"/>
                <w:szCs w:val="22"/>
              </w:rPr>
              <w:t>involvement, assessment of the implementation, perceived effectiveness, and perceived effect.</w:t>
            </w:r>
          </w:p>
          <w:p w14:paraId="3EC8FE25" w14:textId="622A2B44" w:rsidR="00AC5EAB" w:rsidRPr="00AC5EAB" w:rsidRDefault="00AC5EAB" w:rsidP="00441B6F">
            <w:pPr>
              <w:pStyle w:val="Body"/>
              <w:spacing w:after="0"/>
              <w:rPr>
                <w:rFonts w:ascii="Arial" w:eastAsia="Calibri" w:hAnsi="Arial" w:cs="Arial"/>
                <w:b/>
                <w:bCs/>
                <w:szCs w:val="22"/>
              </w:rPr>
            </w:pPr>
            <w:r w:rsidRPr="00AC5EAB">
              <w:rPr>
                <w:rFonts w:ascii="Arial" w:eastAsia="Calibri" w:hAnsi="Arial" w:cs="Arial"/>
                <w:b/>
                <w:bCs/>
                <w:szCs w:val="22"/>
              </w:rPr>
              <w:t>Recommendation:</w:t>
            </w:r>
            <w:r>
              <w:rPr>
                <w:rFonts w:ascii="Arial" w:eastAsia="Calibri" w:hAnsi="Arial" w:cs="Arial"/>
                <w:b/>
                <w:bCs/>
                <w:szCs w:val="22"/>
              </w:rPr>
              <w:t xml:space="preserve"> </w:t>
            </w:r>
            <w:r>
              <w:rPr>
                <w:rFonts w:ascii="Arial" w:eastAsia="Calibri" w:hAnsi="Arial" w:cs="Arial"/>
                <w:szCs w:val="22"/>
              </w:rPr>
              <w:t>It is recommended that the Commission on Higher Education extend the monitoring of community extension as one of the three-fold functions of a college to ensure its holistic contribution to the students’ development. The school administration is also encouraged to create programs to further solidify the CEP activities to improve students’ participation. Future qualitative studies may be conducted to address the areas of the CEP programs that obtained relatively low scores.</w:t>
            </w:r>
          </w:p>
          <w:p w14:paraId="68A70C68"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Note: Review paper may have different types of subsections.</w:t>
            </w:r>
          </w:p>
        </w:tc>
      </w:tr>
    </w:tbl>
    <w:p w14:paraId="21C34FBE" w14:textId="77777777" w:rsidR="00636EB2" w:rsidRDefault="00636EB2" w:rsidP="00441B6F">
      <w:pPr>
        <w:pStyle w:val="Body"/>
        <w:spacing w:after="0"/>
        <w:rPr>
          <w:rFonts w:ascii="Arial" w:hAnsi="Arial" w:cs="Arial"/>
          <w:i/>
        </w:rPr>
      </w:pPr>
    </w:p>
    <w:p w14:paraId="09FE8BF6" w14:textId="01C7584D" w:rsidR="0024282C" w:rsidRPr="009F4725" w:rsidRDefault="00A24E7E" w:rsidP="00441B6F">
      <w:pPr>
        <w:pStyle w:val="Body"/>
        <w:spacing w:after="0"/>
        <w:rPr>
          <w:rFonts w:ascii="Arial" w:hAnsi="Arial" w:cs="Arial"/>
          <w:i/>
        </w:rPr>
      </w:pPr>
      <w:r>
        <w:rPr>
          <w:rFonts w:ascii="Arial" w:hAnsi="Arial" w:cs="Arial"/>
          <w:i/>
        </w:rPr>
        <w:t xml:space="preserve">Keywords: </w:t>
      </w:r>
      <w:r w:rsidR="006945B7" w:rsidRPr="006945B7">
        <w:rPr>
          <w:rFonts w:ascii="Arial" w:hAnsi="Arial" w:cs="Arial"/>
          <w:i/>
        </w:rPr>
        <w:t>community extension, extent of involvement, level of implementation, perceived effectiveness, perceived effect</w:t>
      </w:r>
    </w:p>
    <w:p w14:paraId="054C1B63" w14:textId="77777777" w:rsidR="00505F06" w:rsidRPr="00A24E7E" w:rsidRDefault="00505F06" w:rsidP="00441B6F">
      <w:pPr>
        <w:pStyle w:val="Body"/>
        <w:spacing w:after="0"/>
        <w:rPr>
          <w:rFonts w:ascii="Arial" w:hAnsi="Arial" w:cs="Arial"/>
          <w:i/>
        </w:rPr>
      </w:pPr>
    </w:p>
    <w:p w14:paraId="53C34F39" w14:textId="46DAB4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06C328A2" w14:textId="77777777" w:rsidR="00790ADA" w:rsidRPr="00FB3A86" w:rsidRDefault="00790ADA" w:rsidP="00441B6F">
      <w:pPr>
        <w:pStyle w:val="AbstHead"/>
        <w:spacing w:after="0"/>
        <w:jc w:val="both"/>
        <w:rPr>
          <w:rFonts w:ascii="Arial" w:hAnsi="Arial" w:cs="Arial"/>
        </w:rPr>
      </w:pPr>
    </w:p>
    <w:p w14:paraId="459AE3DE" w14:textId="77777777" w:rsidR="000C6C71" w:rsidRPr="00E02061" w:rsidRDefault="000C6C71" w:rsidP="00E02061">
      <w:pPr>
        <w:jc w:val="both"/>
      </w:pPr>
      <w:r w:rsidRPr="00E02061">
        <w:t xml:space="preserve">Community extension programs are recognized as an essential function of higher education institutions because they promote civic engagement, social responsibility, and experiential learning among students. Through these initiatives, students are expected to apply academic knowledge to community concerns and contribute to social development. However, despite the increasing emphasis on community engagement in universities worldwide, concerns regarding students’ participation in extension programs persist. Studies indicate that although universities promote service-learning and community outreach activities, student involvement often remains inconsistent and limited relative to institutional expectations (Bringle et al., 2021). Moreover, the presence of extension programs does not necessarily guarantee sustained student participation in community-based initiatives (Resch &amp; </w:t>
      </w:r>
      <w:proofErr w:type="spellStart"/>
      <w:r w:rsidRPr="00E02061">
        <w:t>Schrittesser</w:t>
      </w:r>
      <w:proofErr w:type="spellEnd"/>
      <w:r w:rsidRPr="00E02061">
        <w:t>, 2021).</w:t>
      </w:r>
    </w:p>
    <w:p w14:paraId="64E68DBA" w14:textId="77777777" w:rsidR="000C6C71" w:rsidRPr="00E02061" w:rsidRDefault="000C6C71" w:rsidP="00E02061">
      <w:pPr>
        <w:jc w:val="both"/>
      </w:pPr>
    </w:p>
    <w:p w14:paraId="6224847A" w14:textId="4A9EE308" w:rsidR="000C6C71" w:rsidRPr="00E02061" w:rsidRDefault="000C6C71" w:rsidP="00E02061">
      <w:pPr>
        <w:jc w:val="both"/>
      </w:pPr>
      <w:r w:rsidRPr="00E02061">
        <w:t>The issue of student participation in community extension programs is also evident in several countries</w:t>
      </w:r>
      <w:r w:rsidR="003C5798" w:rsidRPr="00E02061">
        <w:t>,</w:t>
      </w:r>
      <w:r w:rsidRPr="00E02061">
        <w:t xml:space="preserve"> such as the United States, India, and Thailand. In the United States, service-learning initiatives are widely implemented in universities, yet student participation in community outreach programs varies across institutions and academic programs (Jacoby, 2022). Similarly, in India and Thailand, universities implement extension and community-based learning initiatives aimed at strengthening civic engagement among students; however, studies report varying levels of student involvement in these activities across institutions (Singh &amp; Mishra, 2023; </w:t>
      </w:r>
      <w:proofErr w:type="spellStart"/>
      <w:r w:rsidRPr="00E02061">
        <w:t>Sutthirat</w:t>
      </w:r>
      <w:proofErr w:type="spellEnd"/>
      <w:r w:rsidRPr="00E02061">
        <w:t xml:space="preserve"> &amp; </w:t>
      </w:r>
      <w:proofErr w:type="spellStart"/>
      <w:r w:rsidRPr="00E02061">
        <w:t>Srisuk</w:t>
      </w:r>
      <w:proofErr w:type="spellEnd"/>
      <w:r w:rsidRPr="00E02061">
        <w:t>, 2022).</w:t>
      </w:r>
    </w:p>
    <w:p w14:paraId="06D50EDA" w14:textId="77777777" w:rsidR="000C6C71" w:rsidRPr="00E02061" w:rsidRDefault="000C6C71" w:rsidP="00E02061">
      <w:pPr>
        <w:jc w:val="both"/>
      </w:pPr>
    </w:p>
    <w:p w14:paraId="3CFF173C" w14:textId="4A753A8C" w:rsidR="001443ED" w:rsidRDefault="000C6C71" w:rsidP="000C6C71">
      <w:pPr>
        <w:jc w:val="both"/>
      </w:pPr>
      <w:r w:rsidRPr="00E02061">
        <w:t>In the Philippine context, community extension is a core mandate of higher education institutions alongside instruction and research. Universities conduct various outreach initiatives intended to support communities and enhance students’ civic awareness. However, research shows that student participation in extension activities remains uneven across institutions despite the implementation of these programs (Asio et al., 2021</w:t>
      </w:r>
      <w:r w:rsidR="004D0245">
        <w:t xml:space="preserve">). </w:t>
      </w:r>
      <w:r w:rsidRPr="00E02061">
        <w:t>Limited participation may reduce students’ opportunities to develop civic responsibility and leadership through real-world engagement and may also affect the effectiveness of extension initiatives in serving partner communities</w:t>
      </w:r>
      <w:r w:rsidR="00B210E0">
        <w:t>.</w:t>
      </w:r>
    </w:p>
    <w:p w14:paraId="1B9F06D8" w14:textId="77777777" w:rsidR="00B210E0" w:rsidRDefault="00B210E0" w:rsidP="000C6C71">
      <w:pPr>
        <w:jc w:val="both"/>
        <w:rPr>
          <w:lang w:val="en-PH"/>
        </w:rPr>
      </w:pPr>
    </w:p>
    <w:p w14:paraId="403185A5" w14:textId="2ACFA0C1" w:rsidR="001443ED" w:rsidRPr="001443ED" w:rsidRDefault="001443ED" w:rsidP="000C6C71">
      <w:pPr>
        <w:jc w:val="both"/>
        <w:rPr>
          <w:rFonts w:ascii="Arial" w:hAnsi="Arial" w:cs="Arial"/>
          <w:b/>
          <w:bCs/>
          <w:lang w:val="en-PH"/>
        </w:rPr>
      </w:pPr>
      <w:r w:rsidRPr="001443ED">
        <w:rPr>
          <w:rFonts w:ascii="Arial" w:hAnsi="Arial" w:cs="Arial"/>
          <w:b/>
          <w:bCs/>
          <w:lang w:val="en-PH"/>
        </w:rPr>
        <w:t>1.1 Statement of the Problem</w:t>
      </w:r>
    </w:p>
    <w:p w14:paraId="5116C1DA"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What is the demographic profile of the respondents in terms of:</w:t>
      </w:r>
    </w:p>
    <w:p w14:paraId="7117A853" w14:textId="77777777" w:rsidR="001443ED" w:rsidRPr="001443ED" w:rsidRDefault="001443ED" w:rsidP="001443ED">
      <w:pPr>
        <w:pStyle w:val="ListParagraph"/>
        <w:numPr>
          <w:ilvl w:val="1"/>
          <w:numId w:val="32"/>
        </w:numPr>
        <w:rPr>
          <w:rFonts w:ascii="Arial" w:hAnsi="Arial" w:cs="Arial"/>
        </w:rPr>
      </w:pPr>
      <w:r w:rsidRPr="001443ED">
        <w:rPr>
          <w:rFonts w:ascii="Arial" w:hAnsi="Arial" w:cs="Arial"/>
        </w:rPr>
        <w:t>gender;</w:t>
      </w:r>
    </w:p>
    <w:p w14:paraId="33A17A14" w14:textId="77777777" w:rsidR="001443ED" w:rsidRPr="001443ED" w:rsidRDefault="001443ED" w:rsidP="001443ED">
      <w:pPr>
        <w:pStyle w:val="ListParagraph"/>
        <w:numPr>
          <w:ilvl w:val="1"/>
          <w:numId w:val="32"/>
        </w:numPr>
        <w:rPr>
          <w:rFonts w:ascii="Arial" w:hAnsi="Arial" w:cs="Arial"/>
        </w:rPr>
      </w:pPr>
      <w:r w:rsidRPr="001443ED">
        <w:rPr>
          <w:rFonts w:ascii="Arial" w:hAnsi="Arial" w:cs="Arial"/>
        </w:rPr>
        <w:t>program; and</w:t>
      </w:r>
    </w:p>
    <w:p w14:paraId="54D529E8" w14:textId="77777777" w:rsidR="001443ED" w:rsidRPr="001443ED" w:rsidRDefault="001443ED" w:rsidP="001443ED">
      <w:pPr>
        <w:pStyle w:val="ListParagraph"/>
        <w:numPr>
          <w:ilvl w:val="1"/>
          <w:numId w:val="32"/>
        </w:numPr>
        <w:rPr>
          <w:rFonts w:ascii="Arial" w:hAnsi="Arial" w:cs="Arial"/>
        </w:rPr>
      </w:pPr>
      <w:r w:rsidRPr="001443ED">
        <w:rPr>
          <w:rFonts w:ascii="Arial" w:hAnsi="Arial" w:cs="Arial"/>
        </w:rPr>
        <w:t>year level?</w:t>
      </w:r>
    </w:p>
    <w:p w14:paraId="10B57E8E"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What is the extent of participation of the respondents in the community extension programs of the school?</w:t>
      </w:r>
    </w:p>
    <w:p w14:paraId="1DC4B5D3"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What is the assessment of the respondents on the community extension program activities?</w:t>
      </w:r>
    </w:p>
    <w:p w14:paraId="1E8027E3"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 xml:space="preserve">What is the perceived effect of the community extension program activities on the respondents in terms of the following: </w:t>
      </w:r>
    </w:p>
    <w:p w14:paraId="3586E6D6" w14:textId="77777777" w:rsidR="001443ED" w:rsidRPr="001443ED" w:rsidRDefault="001443ED" w:rsidP="001443ED">
      <w:pPr>
        <w:pStyle w:val="ListParagraph"/>
        <w:numPr>
          <w:ilvl w:val="1"/>
          <w:numId w:val="31"/>
        </w:numPr>
        <w:rPr>
          <w:rFonts w:ascii="Arial" w:hAnsi="Arial" w:cs="Arial"/>
        </w:rPr>
      </w:pPr>
      <w:r w:rsidRPr="001443ED">
        <w:rPr>
          <w:rFonts w:ascii="Arial" w:hAnsi="Arial" w:cs="Arial"/>
        </w:rPr>
        <w:t>personal characteristic;</w:t>
      </w:r>
    </w:p>
    <w:p w14:paraId="13528280" w14:textId="77777777" w:rsidR="001443ED" w:rsidRPr="001443ED" w:rsidRDefault="001443ED" w:rsidP="001443ED">
      <w:pPr>
        <w:pStyle w:val="ListParagraph"/>
        <w:numPr>
          <w:ilvl w:val="1"/>
          <w:numId w:val="31"/>
        </w:numPr>
        <w:rPr>
          <w:rFonts w:ascii="Arial" w:hAnsi="Arial" w:cs="Arial"/>
        </w:rPr>
      </w:pPr>
      <w:r w:rsidRPr="001443ED">
        <w:rPr>
          <w:rFonts w:ascii="Arial" w:hAnsi="Arial" w:cs="Arial"/>
        </w:rPr>
        <w:t xml:space="preserve">social skills; and </w:t>
      </w:r>
    </w:p>
    <w:p w14:paraId="62D3AC20" w14:textId="75F11A2D" w:rsidR="00790ADA" w:rsidRPr="001443ED" w:rsidRDefault="001443ED" w:rsidP="000C6C71">
      <w:pPr>
        <w:pStyle w:val="ListParagraph"/>
        <w:numPr>
          <w:ilvl w:val="1"/>
          <w:numId w:val="31"/>
        </w:numPr>
        <w:rPr>
          <w:rFonts w:ascii="Arial" w:hAnsi="Arial" w:cs="Arial"/>
        </w:rPr>
      </w:pPr>
      <w:r w:rsidRPr="001443ED">
        <w:rPr>
          <w:rFonts w:ascii="Arial" w:hAnsi="Arial" w:cs="Arial"/>
        </w:rPr>
        <w:t>civic responsibility?</w:t>
      </w:r>
    </w:p>
    <w:p w14:paraId="6D7F2848" w14:textId="70EBAD27" w:rsidR="007F7B32" w:rsidRDefault="001443ED"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2393822" w14:textId="77777777" w:rsidR="00790ADA" w:rsidRPr="00FB3A86" w:rsidRDefault="00790ADA" w:rsidP="00441B6F">
      <w:pPr>
        <w:pStyle w:val="AbstHead"/>
        <w:spacing w:after="0"/>
        <w:jc w:val="both"/>
        <w:rPr>
          <w:rFonts w:ascii="Arial" w:hAnsi="Arial" w:cs="Arial"/>
        </w:rPr>
      </w:pPr>
    </w:p>
    <w:p w14:paraId="453AF177" w14:textId="4128CFA5" w:rsidR="001443ED" w:rsidRPr="00CF6651" w:rsidRDefault="001443ED" w:rsidP="00441B6F">
      <w:pPr>
        <w:pStyle w:val="Body"/>
        <w:spacing w:after="0"/>
        <w:rPr>
          <w:rFonts w:ascii="Arial" w:hAnsi="Arial" w:cs="Arial"/>
          <w:b/>
          <w:bCs/>
        </w:rPr>
      </w:pPr>
      <w:r w:rsidRPr="00CF6651">
        <w:rPr>
          <w:rFonts w:ascii="Arial" w:hAnsi="Arial" w:cs="Arial"/>
          <w:b/>
          <w:bCs/>
        </w:rPr>
        <w:t>2.1 Research Design</w:t>
      </w:r>
    </w:p>
    <w:p w14:paraId="02F7AE6B" w14:textId="77777777" w:rsidR="001443ED" w:rsidRDefault="001443ED" w:rsidP="00441B6F">
      <w:pPr>
        <w:pStyle w:val="Body"/>
        <w:spacing w:after="0"/>
        <w:rPr>
          <w:rFonts w:ascii="Arial" w:hAnsi="Arial" w:cs="Arial"/>
        </w:rPr>
      </w:pPr>
    </w:p>
    <w:p w14:paraId="0D8672D5" w14:textId="05B482C6" w:rsidR="00CF6651" w:rsidRPr="00C52F16" w:rsidRDefault="00CF6651" w:rsidP="00C52F16">
      <w:pPr>
        <w:jc w:val="both"/>
      </w:pPr>
      <w:r w:rsidRPr="00C52F16">
        <w:t xml:space="preserve">This study employed the quantitative-descriptive research method to investigate the impact of participating </w:t>
      </w:r>
      <w:r w:rsidR="00C52F16">
        <w:t xml:space="preserve">in </w:t>
      </w:r>
      <w:r w:rsidRPr="00C52F16">
        <w:t xml:space="preserve">community engagement activities.  A descriptive research design helps provide answers to questions concerning the current status of the </w:t>
      </w:r>
      <w:r w:rsidR="00C52F16">
        <w:t>phenomenon</w:t>
      </w:r>
      <w:r w:rsidRPr="00C52F16">
        <w:t xml:space="preserve"> and to describe what exists with respect to the condition in a situation.  Using the descriptive method, researchers </w:t>
      </w:r>
      <w:r w:rsidRPr="00C52F16">
        <w:lastRenderedPageBreak/>
        <w:t xml:space="preserve">can observe a large group within the target population and systematically describe the characteristics of the variables under investigation, allowing them to draw meaningful conclusions based on the collected data (Creswell &amp; Creswell, 2022).  Therefore, this research design enabled the researchers to gather data from a wide range of respondents on the impact of participating </w:t>
      </w:r>
      <w:r w:rsidR="00C52F16">
        <w:t xml:space="preserve">in </w:t>
      </w:r>
      <w:r w:rsidRPr="00C52F16">
        <w:t>community extension activities in terms of their personal characteristics, social skills</w:t>
      </w:r>
      <w:r w:rsidR="00C52F16">
        <w:t>,</w:t>
      </w:r>
      <w:r w:rsidRPr="00C52F16">
        <w:t xml:space="preserve"> and civic responsibility.</w:t>
      </w:r>
    </w:p>
    <w:p w14:paraId="6115B8C0" w14:textId="77777777" w:rsidR="001443ED" w:rsidRPr="00CF6651" w:rsidRDefault="001443ED" w:rsidP="00441B6F">
      <w:pPr>
        <w:pStyle w:val="Body"/>
        <w:spacing w:after="0"/>
        <w:rPr>
          <w:rFonts w:ascii="Arial" w:hAnsi="Arial" w:cs="Arial"/>
          <w:b/>
          <w:bCs/>
          <w:sz w:val="22"/>
          <w:szCs w:val="22"/>
        </w:rPr>
      </w:pPr>
    </w:p>
    <w:p w14:paraId="4DBF7236" w14:textId="4DCF29A0" w:rsidR="00790ADA" w:rsidRPr="00CF6651" w:rsidRDefault="00CF6651" w:rsidP="00441B6F">
      <w:pPr>
        <w:pStyle w:val="Body"/>
        <w:spacing w:after="0"/>
        <w:rPr>
          <w:rFonts w:ascii="Arial" w:hAnsi="Arial" w:cs="Arial"/>
          <w:b/>
          <w:bCs/>
        </w:rPr>
      </w:pPr>
      <w:r w:rsidRPr="00CF6651">
        <w:rPr>
          <w:rFonts w:ascii="Arial" w:hAnsi="Arial" w:cs="Arial"/>
          <w:b/>
          <w:bCs/>
        </w:rPr>
        <w:t>2.2 Research Respondents</w:t>
      </w:r>
    </w:p>
    <w:p w14:paraId="44DA6F74" w14:textId="77777777" w:rsidR="00CF6651" w:rsidRDefault="00CF6651" w:rsidP="00441B6F">
      <w:pPr>
        <w:pStyle w:val="Body"/>
        <w:spacing w:after="0"/>
        <w:rPr>
          <w:rFonts w:ascii="Arial" w:hAnsi="Arial" w:cs="Arial"/>
        </w:rPr>
      </w:pPr>
    </w:p>
    <w:p w14:paraId="0A4A676C" w14:textId="383939CE" w:rsidR="00CF6651" w:rsidRPr="00065676" w:rsidRDefault="00735251" w:rsidP="00065676">
      <w:pPr>
        <w:jc w:val="both"/>
      </w:pPr>
      <w:r w:rsidRPr="00065676">
        <w:t xml:space="preserve">The respondents were the students enrolled in the academic year 2022-2023 in a higher education institution </w:t>
      </w:r>
      <w:r w:rsidR="0057450D" w:rsidRPr="00065676">
        <w:t xml:space="preserve">in </w:t>
      </w:r>
      <w:r w:rsidRPr="00065676">
        <w:t xml:space="preserve">Davao City. </w:t>
      </w:r>
      <w:r w:rsidR="00CF6651" w:rsidRPr="00065676">
        <w:t xml:space="preserve">In determining the respondents, the researchers used stratified random sampling. This technique will divide the population’s elements into small subgroups(strata) based on the similarity in such a way that the elements within the group are homogenous and heterogeneous among the other subgroups formed (Singh, 2018).  In this study, the respondents were the students from the junior high school, senior high school, and college departments. Specifically, through the use of </w:t>
      </w:r>
      <w:proofErr w:type="spellStart"/>
      <w:r w:rsidR="00CF6651" w:rsidRPr="00065676">
        <w:t>Raosoft</w:t>
      </w:r>
      <w:proofErr w:type="spellEnd"/>
      <w:r w:rsidR="00CF6651" w:rsidRPr="00065676">
        <w:t xml:space="preserve">, </w:t>
      </w:r>
      <w:r w:rsidR="0009192D" w:rsidRPr="00065676">
        <w:t>268 students composed the sample size of the basic education</w:t>
      </w:r>
      <w:r w:rsidRPr="00065676">
        <w:t>,</w:t>
      </w:r>
      <w:r w:rsidR="0009192D" w:rsidRPr="00065676">
        <w:t xml:space="preserve"> with a total population of 900, while 317 composed the sample from the 800 college students.</w:t>
      </w:r>
    </w:p>
    <w:p w14:paraId="4190C413" w14:textId="77777777" w:rsidR="00043105" w:rsidRDefault="00043105" w:rsidP="00CF6651">
      <w:pPr>
        <w:pStyle w:val="Body"/>
        <w:spacing w:after="0"/>
        <w:rPr>
          <w:rFonts w:ascii="Arial" w:hAnsi="Arial" w:cs="Arial"/>
        </w:rPr>
      </w:pPr>
    </w:p>
    <w:p w14:paraId="280BEEEC" w14:textId="15A6F9BF" w:rsidR="00043105" w:rsidRPr="00043105" w:rsidRDefault="00043105" w:rsidP="00CF6651">
      <w:pPr>
        <w:pStyle w:val="Body"/>
        <w:spacing w:after="0"/>
        <w:rPr>
          <w:rFonts w:ascii="Arial" w:hAnsi="Arial" w:cs="Arial"/>
          <w:b/>
          <w:bCs/>
        </w:rPr>
      </w:pPr>
      <w:r w:rsidRPr="00043105">
        <w:rPr>
          <w:rFonts w:ascii="Arial" w:hAnsi="Arial" w:cs="Arial"/>
          <w:b/>
          <w:bCs/>
        </w:rPr>
        <w:t>2.3 Data Gathering Technique</w:t>
      </w:r>
    </w:p>
    <w:p w14:paraId="42C9873B" w14:textId="77777777" w:rsidR="00043105" w:rsidRDefault="00043105" w:rsidP="00CF6651">
      <w:pPr>
        <w:pStyle w:val="Body"/>
        <w:spacing w:after="0"/>
        <w:rPr>
          <w:rFonts w:ascii="Arial" w:hAnsi="Arial" w:cs="Arial"/>
        </w:rPr>
      </w:pPr>
    </w:p>
    <w:p w14:paraId="08D93A8B" w14:textId="545CF165" w:rsidR="00043105" w:rsidRPr="00065676" w:rsidRDefault="00043105" w:rsidP="00065676">
      <w:pPr>
        <w:jc w:val="both"/>
      </w:pPr>
      <w:r w:rsidRPr="00065676">
        <w:t>There were adapted and modified questionnaires used in this research. The survey questionnaire plays a crucial role in gathering data and insights across various fields of study as it provides a structured and efficient way to collect information from individuals, enabling researchers to draw meaningful conclusions and recommendations (Neuman, 2014). These were adapted from Buro (2017</w:t>
      </w:r>
      <w:r w:rsidR="003277CF">
        <w:t>)</w:t>
      </w:r>
      <w:r w:rsidRPr="00065676">
        <w:t xml:space="preserve"> and Diaz-Gallegos (1999).</w:t>
      </w:r>
    </w:p>
    <w:p w14:paraId="0C5D1D8E" w14:textId="77777777" w:rsidR="00043105" w:rsidRPr="00065676" w:rsidRDefault="00043105" w:rsidP="00065676">
      <w:pPr>
        <w:jc w:val="both"/>
      </w:pPr>
    </w:p>
    <w:p w14:paraId="6919CE06" w14:textId="04684E99" w:rsidR="00043105" w:rsidRPr="00065676" w:rsidRDefault="00043105" w:rsidP="00065676">
      <w:pPr>
        <w:jc w:val="both"/>
      </w:pPr>
      <w:r w:rsidRPr="00065676">
        <w:t>Finally, these items were consolidated into one survey questionnaire and validated to suit the background of the respondents and the objective of the study. All of them observed a 5-point Likert scale with specific indicators on the current conditions of the respondents.</w:t>
      </w:r>
    </w:p>
    <w:p w14:paraId="2A3E00DE" w14:textId="77777777" w:rsidR="00B85666" w:rsidRDefault="00B85666" w:rsidP="00CF6651">
      <w:pPr>
        <w:pStyle w:val="Body"/>
        <w:spacing w:after="0"/>
        <w:rPr>
          <w:rFonts w:ascii="Arial" w:hAnsi="Arial" w:cs="Arial"/>
          <w:bCs/>
        </w:rPr>
      </w:pPr>
    </w:p>
    <w:p w14:paraId="04CE23D7" w14:textId="5305050A" w:rsidR="00B85666" w:rsidRDefault="00B85666" w:rsidP="00CF6651">
      <w:pPr>
        <w:pStyle w:val="Body"/>
        <w:spacing w:after="0"/>
        <w:rPr>
          <w:rFonts w:ascii="Arial" w:hAnsi="Arial" w:cs="Arial"/>
          <w:b/>
        </w:rPr>
      </w:pPr>
      <w:r w:rsidRPr="00B85666">
        <w:rPr>
          <w:rFonts w:ascii="Arial" w:hAnsi="Arial" w:cs="Arial"/>
          <w:b/>
        </w:rPr>
        <w:t>2.4 Data Analysis</w:t>
      </w:r>
    </w:p>
    <w:p w14:paraId="1CEFB08B" w14:textId="77777777" w:rsidR="003C5798" w:rsidRDefault="003C5798" w:rsidP="00CF6651">
      <w:pPr>
        <w:pStyle w:val="Body"/>
        <w:spacing w:after="0"/>
        <w:rPr>
          <w:rFonts w:ascii="Arial" w:hAnsi="Arial" w:cs="Arial"/>
          <w:b/>
        </w:rPr>
      </w:pPr>
    </w:p>
    <w:p w14:paraId="74AC3E89" w14:textId="77777777" w:rsidR="003C5798" w:rsidRPr="00065676" w:rsidRDefault="003C5798" w:rsidP="00065676">
      <w:pPr>
        <w:jc w:val="both"/>
      </w:pPr>
      <w:r w:rsidRPr="00065676">
        <w:t>Presented below is the matrix containing the statistical tool corresponding to each of the statement of the problem intended for this study. The matrix also contains the purpose for the use of such statistical tools.</w:t>
      </w:r>
    </w:p>
    <w:p w14:paraId="247BEB84" w14:textId="77777777" w:rsidR="003C5798" w:rsidRDefault="003C5798" w:rsidP="00CF6651">
      <w:pPr>
        <w:pStyle w:val="Body"/>
        <w:spacing w:after="0"/>
        <w:rPr>
          <w:rFonts w:ascii="Arial" w:hAnsi="Arial" w:cs="Arial"/>
          <w:b/>
        </w:rPr>
      </w:pPr>
    </w:p>
    <w:tbl>
      <w:tblPr>
        <w:tblStyle w:val="TableGrid"/>
        <w:tblW w:w="0" w:type="auto"/>
        <w:tblLook w:val="04A0" w:firstRow="1" w:lastRow="0" w:firstColumn="1" w:lastColumn="0" w:noHBand="0" w:noVBand="1"/>
      </w:tblPr>
      <w:tblGrid>
        <w:gridCol w:w="2761"/>
        <w:gridCol w:w="2677"/>
        <w:gridCol w:w="2760"/>
      </w:tblGrid>
      <w:tr w:rsidR="003C5798" w:rsidRPr="003C5798" w14:paraId="3383B02B" w14:textId="77777777" w:rsidTr="009B2BA4">
        <w:tc>
          <w:tcPr>
            <w:tcW w:w="3116" w:type="dxa"/>
          </w:tcPr>
          <w:p w14:paraId="271EF5AC" w14:textId="77777777" w:rsidR="003C5798" w:rsidRPr="003C5798" w:rsidRDefault="003C5798" w:rsidP="009B2BA4">
            <w:pPr>
              <w:jc w:val="center"/>
              <w:rPr>
                <w:rFonts w:ascii="Arial" w:hAnsi="Arial" w:cs="Arial"/>
                <w:b/>
                <w:sz w:val="20"/>
                <w:szCs w:val="20"/>
              </w:rPr>
            </w:pPr>
            <w:r w:rsidRPr="003C5798">
              <w:rPr>
                <w:rFonts w:ascii="Arial" w:hAnsi="Arial" w:cs="Arial"/>
                <w:b/>
                <w:sz w:val="20"/>
                <w:szCs w:val="20"/>
              </w:rPr>
              <w:t>Statement of the Problem</w:t>
            </w:r>
          </w:p>
        </w:tc>
        <w:tc>
          <w:tcPr>
            <w:tcW w:w="3117" w:type="dxa"/>
          </w:tcPr>
          <w:p w14:paraId="69C385D3" w14:textId="77777777" w:rsidR="003C5798" w:rsidRPr="003C5798" w:rsidRDefault="003C5798" w:rsidP="009B2BA4">
            <w:pPr>
              <w:jc w:val="center"/>
              <w:rPr>
                <w:rFonts w:ascii="Arial" w:hAnsi="Arial" w:cs="Arial"/>
                <w:b/>
                <w:sz w:val="20"/>
                <w:szCs w:val="20"/>
              </w:rPr>
            </w:pPr>
            <w:r w:rsidRPr="003C5798">
              <w:rPr>
                <w:rFonts w:ascii="Arial" w:hAnsi="Arial" w:cs="Arial"/>
                <w:b/>
                <w:sz w:val="20"/>
                <w:szCs w:val="20"/>
              </w:rPr>
              <w:t>Statistical Tool</w:t>
            </w:r>
          </w:p>
        </w:tc>
        <w:tc>
          <w:tcPr>
            <w:tcW w:w="3117" w:type="dxa"/>
          </w:tcPr>
          <w:p w14:paraId="0CF1CE4A" w14:textId="77777777" w:rsidR="003C5798" w:rsidRPr="003C5798" w:rsidRDefault="003C5798" w:rsidP="009B2BA4">
            <w:pPr>
              <w:jc w:val="center"/>
              <w:rPr>
                <w:rFonts w:ascii="Arial" w:hAnsi="Arial" w:cs="Arial"/>
                <w:b/>
                <w:sz w:val="20"/>
                <w:szCs w:val="20"/>
              </w:rPr>
            </w:pPr>
            <w:r w:rsidRPr="003C5798">
              <w:rPr>
                <w:rFonts w:ascii="Arial" w:hAnsi="Arial" w:cs="Arial"/>
                <w:b/>
                <w:sz w:val="20"/>
                <w:szCs w:val="20"/>
              </w:rPr>
              <w:t>Purpose/Use</w:t>
            </w:r>
          </w:p>
        </w:tc>
      </w:tr>
      <w:tr w:rsidR="003C5798" w:rsidRPr="003C5798" w14:paraId="7460C0AA" w14:textId="77777777" w:rsidTr="009B2BA4">
        <w:tc>
          <w:tcPr>
            <w:tcW w:w="3116" w:type="dxa"/>
          </w:tcPr>
          <w:p w14:paraId="5E0A3FCE"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Demographic profile of the respondents</w:t>
            </w:r>
          </w:p>
        </w:tc>
        <w:tc>
          <w:tcPr>
            <w:tcW w:w="3117" w:type="dxa"/>
          </w:tcPr>
          <w:p w14:paraId="4A3EA80A"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Frequency and percentage</w:t>
            </w:r>
          </w:p>
        </w:tc>
        <w:tc>
          <w:tcPr>
            <w:tcW w:w="3117" w:type="dxa"/>
          </w:tcPr>
          <w:p w14:paraId="60C1582E"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Determine the distribution of the respondents in terms of gender, grade level, and year level</w:t>
            </w:r>
          </w:p>
        </w:tc>
      </w:tr>
      <w:tr w:rsidR="003C5798" w:rsidRPr="003C5798" w14:paraId="49F40F84" w14:textId="77777777" w:rsidTr="009B2BA4">
        <w:tc>
          <w:tcPr>
            <w:tcW w:w="3116" w:type="dxa"/>
          </w:tcPr>
          <w:p w14:paraId="3ECC1F70"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 xml:space="preserve">Extent of Involvement </w:t>
            </w:r>
          </w:p>
        </w:tc>
        <w:tc>
          <w:tcPr>
            <w:tcW w:w="3117" w:type="dxa"/>
          </w:tcPr>
          <w:p w14:paraId="37DED1E5"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Mean</w:t>
            </w:r>
          </w:p>
        </w:tc>
        <w:tc>
          <w:tcPr>
            <w:tcW w:w="3117" w:type="dxa"/>
          </w:tcPr>
          <w:p w14:paraId="7A271F98"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Determine the extent of involvement of the students in the community extension Programs</w:t>
            </w:r>
          </w:p>
        </w:tc>
      </w:tr>
      <w:tr w:rsidR="003C5798" w:rsidRPr="003C5798" w14:paraId="1A47CA2B" w14:textId="77777777" w:rsidTr="009B2BA4">
        <w:tc>
          <w:tcPr>
            <w:tcW w:w="3116" w:type="dxa"/>
          </w:tcPr>
          <w:p w14:paraId="33041A30"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Assessment of the Implementation</w:t>
            </w:r>
          </w:p>
        </w:tc>
        <w:tc>
          <w:tcPr>
            <w:tcW w:w="3117" w:type="dxa"/>
          </w:tcPr>
          <w:p w14:paraId="3F6D781B"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Mean</w:t>
            </w:r>
          </w:p>
        </w:tc>
        <w:tc>
          <w:tcPr>
            <w:tcW w:w="3117" w:type="dxa"/>
          </w:tcPr>
          <w:p w14:paraId="65A58763"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Assess the implementation of the community extension programs</w:t>
            </w:r>
          </w:p>
        </w:tc>
      </w:tr>
      <w:tr w:rsidR="003C5798" w:rsidRPr="003C5798" w14:paraId="50992985" w14:textId="77777777" w:rsidTr="009B2BA4">
        <w:tc>
          <w:tcPr>
            <w:tcW w:w="3116" w:type="dxa"/>
          </w:tcPr>
          <w:p w14:paraId="4F2387FF"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Perceived Effectiveness</w:t>
            </w:r>
          </w:p>
        </w:tc>
        <w:tc>
          <w:tcPr>
            <w:tcW w:w="3117" w:type="dxa"/>
          </w:tcPr>
          <w:p w14:paraId="21251A34"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Mean</w:t>
            </w:r>
          </w:p>
        </w:tc>
        <w:tc>
          <w:tcPr>
            <w:tcW w:w="3117" w:type="dxa"/>
          </w:tcPr>
          <w:p w14:paraId="276B0B31"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Determine the level of the perceived effect of the community extension programs</w:t>
            </w:r>
          </w:p>
        </w:tc>
      </w:tr>
    </w:tbl>
    <w:p w14:paraId="6C7B5473" w14:textId="77777777" w:rsidR="003C5798" w:rsidRPr="00B85666" w:rsidRDefault="003C5798" w:rsidP="00CF6651">
      <w:pPr>
        <w:pStyle w:val="Body"/>
        <w:spacing w:after="0"/>
        <w:rPr>
          <w:rFonts w:ascii="Arial" w:hAnsi="Arial" w:cs="Arial"/>
          <w:b/>
        </w:rPr>
      </w:pPr>
    </w:p>
    <w:p w14:paraId="40F19CA4" w14:textId="429043EA" w:rsidR="00CF6651" w:rsidRPr="00065676" w:rsidRDefault="003C5798" w:rsidP="00065676">
      <w:pPr>
        <w:jc w:val="both"/>
      </w:pPr>
      <w:r w:rsidRPr="00065676">
        <w:t>The matrix containing the scale, descriptive level, and corresponding interpretation, assigned to each variable involved in this study, is presented.</w:t>
      </w:r>
    </w:p>
    <w:p w14:paraId="46BA7341" w14:textId="77777777" w:rsidR="00C65175" w:rsidRDefault="00C65175" w:rsidP="003C5798">
      <w:pPr>
        <w:jc w:val="both"/>
        <w:rPr>
          <w:rFonts w:ascii="Arial" w:hAnsi="Arial" w:cs="Arial"/>
          <w:bCs/>
        </w:rPr>
      </w:pPr>
    </w:p>
    <w:tbl>
      <w:tblPr>
        <w:tblStyle w:val="TableGrid"/>
        <w:tblW w:w="0" w:type="auto"/>
        <w:tblLayout w:type="fixed"/>
        <w:tblLook w:val="04A0" w:firstRow="1" w:lastRow="0" w:firstColumn="1" w:lastColumn="0" w:noHBand="0" w:noVBand="1"/>
      </w:tblPr>
      <w:tblGrid>
        <w:gridCol w:w="1435"/>
        <w:gridCol w:w="1080"/>
        <w:gridCol w:w="1620"/>
        <w:gridCol w:w="1800"/>
        <w:gridCol w:w="1620"/>
        <w:gridCol w:w="1620"/>
      </w:tblGrid>
      <w:tr w:rsidR="00C65175" w:rsidRPr="00C65175" w14:paraId="51215A0C" w14:textId="77777777" w:rsidTr="009B2BA4">
        <w:tc>
          <w:tcPr>
            <w:tcW w:w="1435" w:type="dxa"/>
          </w:tcPr>
          <w:p w14:paraId="7ED4F81D"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Scale</w:t>
            </w:r>
          </w:p>
        </w:tc>
        <w:tc>
          <w:tcPr>
            <w:tcW w:w="1080" w:type="dxa"/>
          </w:tcPr>
          <w:p w14:paraId="4B3F7695"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Level</w:t>
            </w:r>
          </w:p>
        </w:tc>
        <w:tc>
          <w:tcPr>
            <w:tcW w:w="1620" w:type="dxa"/>
          </w:tcPr>
          <w:p w14:paraId="5CB50A51"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 xml:space="preserve">Interpretation for the Extent of Involvement </w:t>
            </w:r>
          </w:p>
        </w:tc>
        <w:tc>
          <w:tcPr>
            <w:tcW w:w="1800" w:type="dxa"/>
          </w:tcPr>
          <w:p w14:paraId="2859BD9D"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 xml:space="preserve">Interpretation for </w:t>
            </w:r>
            <w:proofErr w:type="gramStart"/>
            <w:r w:rsidRPr="00C65175">
              <w:rPr>
                <w:rFonts w:ascii="Arial" w:hAnsi="Arial" w:cs="Arial"/>
                <w:b/>
                <w:i/>
                <w:iCs/>
                <w:sz w:val="20"/>
                <w:szCs w:val="20"/>
              </w:rPr>
              <w:t>the  Assessment</w:t>
            </w:r>
            <w:proofErr w:type="gramEnd"/>
            <w:r w:rsidRPr="00C65175">
              <w:rPr>
                <w:rFonts w:ascii="Arial" w:hAnsi="Arial" w:cs="Arial"/>
                <w:b/>
                <w:i/>
                <w:iCs/>
                <w:sz w:val="20"/>
                <w:szCs w:val="20"/>
              </w:rPr>
              <w:t xml:space="preserve"> on the Implementation</w:t>
            </w:r>
          </w:p>
        </w:tc>
        <w:tc>
          <w:tcPr>
            <w:tcW w:w="1620" w:type="dxa"/>
          </w:tcPr>
          <w:p w14:paraId="15CBF100"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Interpretation for the Perceived Effectiveness</w:t>
            </w:r>
          </w:p>
        </w:tc>
        <w:tc>
          <w:tcPr>
            <w:tcW w:w="1620" w:type="dxa"/>
          </w:tcPr>
          <w:p w14:paraId="4BE952FC"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 xml:space="preserve">Interpretation for the Perceived Effect </w:t>
            </w:r>
          </w:p>
        </w:tc>
      </w:tr>
      <w:tr w:rsidR="00C65175" w:rsidRPr="00C65175" w14:paraId="2C2EF937" w14:textId="77777777" w:rsidTr="009B2BA4">
        <w:tc>
          <w:tcPr>
            <w:tcW w:w="1435" w:type="dxa"/>
          </w:tcPr>
          <w:p w14:paraId="078869A9" w14:textId="77777777" w:rsidR="00C65175" w:rsidRPr="00C65175" w:rsidRDefault="00C65175" w:rsidP="009B2BA4">
            <w:pPr>
              <w:rPr>
                <w:rFonts w:ascii="Arial" w:hAnsi="Arial" w:cs="Arial"/>
                <w:bCs/>
                <w:sz w:val="20"/>
                <w:szCs w:val="20"/>
              </w:rPr>
            </w:pPr>
            <w:r w:rsidRPr="00C65175">
              <w:rPr>
                <w:sz w:val="20"/>
                <w:szCs w:val="20"/>
              </w:rPr>
              <w:t>4.20 – 5.00</w:t>
            </w:r>
          </w:p>
        </w:tc>
        <w:tc>
          <w:tcPr>
            <w:tcW w:w="1080" w:type="dxa"/>
          </w:tcPr>
          <w:p w14:paraId="174A3012" w14:textId="77777777" w:rsidR="00C65175" w:rsidRPr="00C65175" w:rsidRDefault="00C65175" w:rsidP="009B2BA4">
            <w:pPr>
              <w:rPr>
                <w:rFonts w:ascii="Arial" w:hAnsi="Arial" w:cs="Arial"/>
                <w:bCs/>
                <w:sz w:val="20"/>
                <w:szCs w:val="20"/>
              </w:rPr>
            </w:pPr>
            <w:r w:rsidRPr="00C65175">
              <w:rPr>
                <w:sz w:val="20"/>
                <w:szCs w:val="20"/>
              </w:rPr>
              <w:t>Very High</w:t>
            </w:r>
          </w:p>
        </w:tc>
        <w:tc>
          <w:tcPr>
            <w:tcW w:w="1620" w:type="dxa"/>
          </w:tcPr>
          <w:p w14:paraId="1422D472" w14:textId="77777777" w:rsidR="00C65175" w:rsidRPr="00C65175" w:rsidRDefault="00C65175" w:rsidP="009B2BA4">
            <w:pPr>
              <w:rPr>
                <w:rFonts w:ascii="Arial" w:hAnsi="Arial" w:cs="Arial"/>
                <w:bCs/>
                <w:sz w:val="20"/>
                <w:szCs w:val="20"/>
              </w:rPr>
            </w:pPr>
            <w:r w:rsidRPr="00C65175">
              <w:rPr>
                <w:sz w:val="20"/>
                <w:szCs w:val="20"/>
              </w:rPr>
              <w:t xml:space="preserve">Very well involved </w:t>
            </w:r>
          </w:p>
        </w:tc>
        <w:tc>
          <w:tcPr>
            <w:tcW w:w="1800" w:type="dxa"/>
          </w:tcPr>
          <w:p w14:paraId="173CCBD8" w14:textId="77777777" w:rsidR="00C65175" w:rsidRPr="00C65175" w:rsidRDefault="00C65175" w:rsidP="009B2BA4">
            <w:pPr>
              <w:rPr>
                <w:rFonts w:ascii="Arial" w:hAnsi="Arial" w:cs="Arial"/>
                <w:bCs/>
                <w:sz w:val="20"/>
                <w:szCs w:val="20"/>
              </w:rPr>
            </w:pPr>
            <w:r w:rsidRPr="00C65175">
              <w:rPr>
                <w:sz w:val="20"/>
                <w:szCs w:val="20"/>
              </w:rPr>
              <w:t>Very well implemented</w:t>
            </w:r>
          </w:p>
        </w:tc>
        <w:tc>
          <w:tcPr>
            <w:tcW w:w="1620" w:type="dxa"/>
          </w:tcPr>
          <w:p w14:paraId="1264DA50" w14:textId="77777777" w:rsidR="00C65175" w:rsidRPr="00C65175" w:rsidRDefault="00C65175" w:rsidP="009B2BA4">
            <w:pPr>
              <w:rPr>
                <w:rFonts w:ascii="Arial" w:hAnsi="Arial" w:cs="Arial"/>
                <w:bCs/>
                <w:sz w:val="20"/>
                <w:szCs w:val="20"/>
              </w:rPr>
            </w:pPr>
            <w:r w:rsidRPr="00C65175">
              <w:rPr>
                <w:sz w:val="20"/>
                <w:szCs w:val="20"/>
              </w:rPr>
              <w:t xml:space="preserve">Extremely effective </w:t>
            </w:r>
          </w:p>
        </w:tc>
        <w:tc>
          <w:tcPr>
            <w:tcW w:w="1620" w:type="dxa"/>
          </w:tcPr>
          <w:p w14:paraId="4217F56C" w14:textId="77777777" w:rsidR="00C65175" w:rsidRPr="00C65175" w:rsidRDefault="00C65175" w:rsidP="009B2BA4">
            <w:pPr>
              <w:rPr>
                <w:rFonts w:ascii="Arial" w:hAnsi="Arial" w:cs="Arial"/>
                <w:bCs/>
                <w:sz w:val="20"/>
                <w:szCs w:val="20"/>
              </w:rPr>
            </w:pPr>
            <w:r w:rsidRPr="00C65175">
              <w:rPr>
                <w:sz w:val="20"/>
                <w:szCs w:val="20"/>
              </w:rPr>
              <w:t xml:space="preserve">Very high effect </w:t>
            </w:r>
          </w:p>
        </w:tc>
      </w:tr>
      <w:tr w:rsidR="00C65175" w:rsidRPr="00C65175" w14:paraId="19A0E245" w14:textId="77777777" w:rsidTr="009B2BA4">
        <w:tc>
          <w:tcPr>
            <w:tcW w:w="1435" w:type="dxa"/>
          </w:tcPr>
          <w:p w14:paraId="211B89AD" w14:textId="77777777" w:rsidR="00C65175" w:rsidRPr="00C65175" w:rsidRDefault="00C65175" w:rsidP="009B2BA4">
            <w:pPr>
              <w:rPr>
                <w:rFonts w:ascii="Arial" w:hAnsi="Arial" w:cs="Arial"/>
                <w:bCs/>
                <w:sz w:val="20"/>
                <w:szCs w:val="20"/>
              </w:rPr>
            </w:pPr>
            <w:r w:rsidRPr="00C65175">
              <w:rPr>
                <w:sz w:val="20"/>
                <w:szCs w:val="20"/>
              </w:rPr>
              <w:t>3.40 – 4.19</w:t>
            </w:r>
          </w:p>
        </w:tc>
        <w:tc>
          <w:tcPr>
            <w:tcW w:w="1080" w:type="dxa"/>
          </w:tcPr>
          <w:p w14:paraId="387D6B65" w14:textId="77777777" w:rsidR="00C65175" w:rsidRPr="00C65175" w:rsidRDefault="00C65175" w:rsidP="009B2BA4">
            <w:pPr>
              <w:rPr>
                <w:rFonts w:ascii="Arial" w:hAnsi="Arial" w:cs="Arial"/>
                <w:bCs/>
                <w:sz w:val="20"/>
                <w:szCs w:val="20"/>
              </w:rPr>
            </w:pPr>
            <w:r w:rsidRPr="00C65175">
              <w:rPr>
                <w:sz w:val="20"/>
                <w:szCs w:val="20"/>
              </w:rPr>
              <w:t>High</w:t>
            </w:r>
          </w:p>
        </w:tc>
        <w:tc>
          <w:tcPr>
            <w:tcW w:w="1620" w:type="dxa"/>
          </w:tcPr>
          <w:p w14:paraId="3E8DC859" w14:textId="77777777" w:rsidR="00C65175" w:rsidRPr="00C65175" w:rsidRDefault="00C65175" w:rsidP="009B2BA4">
            <w:pPr>
              <w:rPr>
                <w:rFonts w:ascii="Arial" w:hAnsi="Arial" w:cs="Arial"/>
                <w:bCs/>
                <w:sz w:val="20"/>
                <w:szCs w:val="20"/>
              </w:rPr>
            </w:pPr>
            <w:r w:rsidRPr="00C65175">
              <w:rPr>
                <w:sz w:val="20"/>
                <w:szCs w:val="20"/>
              </w:rPr>
              <w:t>Well involved</w:t>
            </w:r>
          </w:p>
        </w:tc>
        <w:tc>
          <w:tcPr>
            <w:tcW w:w="1800" w:type="dxa"/>
          </w:tcPr>
          <w:p w14:paraId="604BE32F" w14:textId="77777777" w:rsidR="00C65175" w:rsidRPr="00C65175" w:rsidRDefault="00C65175" w:rsidP="009B2BA4">
            <w:pPr>
              <w:rPr>
                <w:rFonts w:ascii="Arial" w:hAnsi="Arial" w:cs="Arial"/>
                <w:bCs/>
                <w:sz w:val="20"/>
                <w:szCs w:val="20"/>
              </w:rPr>
            </w:pPr>
            <w:r w:rsidRPr="00C65175">
              <w:rPr>
                <w:sz w:val="20"/>
                <w:szCs w:val="20"/>
              </w:rPr>
              <w:t>Well implemented</w:t>
            </w:r>
          </w:p>
        </w:tc>
        <w:tc>
          <w:tcPr>
            <w:tcW w:w="1620" w:type="dxa"/>
          </w:tcPr>
          <w:p w14:paraId="5A576EA5" w14:textId="77777777" w:rsidR="00C65175" w:rsidRPr="00C65175" w:rsidRDefault="00C65175" w:rsidP="009B2BA4">
            <w:pPr>
              <w:rPr>
                <w:rFonts w:ascii="Arial" w:hAnsi="Arial" w:cs="Arial"/>
                <w:bCs/>
                <w:sz w:val="20"/>
                <w:szCs w:val="20"/>
              </w:rPr>
            </w:pPr>
            <w:r w:rsidRPr="00C65175">
              <w:rPr>
                <w:sz w:val="20"/>
                <w:szCs w:val="20"/>
              </w:rPr>
              <w:t>Very effective</w:t>
            </w:r>
          </w:p>
        </w:tc>
        <w:tc>
          <w:tcPr>
            <w:tcW w:w="1620" w:type="dxa"/>
          </w:tcPr>
          <w:p w14:paraId="673C9159" w14:textId="77777777" w:rsidR="00C65175" w:rsidRPr="00C65175" w:rsidRDefault="00C65175" w:rsidP="009B2BA4">
            <w:pPr>
              <w:rPr>
                <w:rFonts w:ascii="Arial" w:hAnsi="Arial" w:cs="Arial"/>
                <w:bCs/>
                <w:sz w:val="20"/>
                <w:szCs w:val="20"/>
              </w:rPr>
            </w:pPr>
            <w:r w:rsidRPr="00C65175">
              <w:rPr>
                <w:sz w:val="20"/>
                <w:szCs w:val="20"/>
              </w:rPr>
              <w:t>High effect</w:t>
            </w:r>
          </w:p>
        </w:tc>
      </w:tr>
      <w:tr w:rsidR="00C65175" w:rsidRPr="00C65175" w14:paraId="2A8CD4DD" w14:textId="77777777" w:rsidTr="009B2BA4">
        <w:tc>
          <w:tcPr>
            <w:tcW w:w="1435" w:type="dxa"/>
          </w:tcPr>
          <w:p w14:paraId="4C1529DD" w14:textId="77777777" w:rsidR="00C65175" w:rsidRPr="00C65175" w:rsidRDefault="00C65175" w:rsidP="009B2BA4">
            <w:pPr>
              <w:rPr>
                <w:rFonts w:ascii="Arial" w:hAnsi="Arial" w:cs="Arial"/>
                <w:bCs/>
                <w:sz w:val="20"/>
                <w:szCs w:val="20"/>
              </w:rPr>
            </w:pPr>
            <w:r w:rsidRPr="00C65175">
              <w:rPr>
                <w:sz w:val="20"/>
                <w:szCs w:val="20"/>
              </w:rPr>
              <w:t>2.60 – 3.39</w:t>
            </w:r>
          </w:p>
        </w:tc>
        <w:tc>
          <w:tcPr>
            <w:tcW w:w="1080" w:type="dxa"/>
          </w:tcPr>
          <w:p w14:paraId="62F3D0FC" w14:textId="77777777" w:rsidR="00C65175" w:rsidRPr="00C65175" w:rsidRDefault="00C65175" w:rsidP="009B2BA4">
            <w:pPr>
              <w:rPr>
                <w:rFonts w:ascii="Arial" w:hAnsi="Arial" w:cs="Arial"/>
                <w:bCs/>
                <w:sz w:val="20"/>
                <w:szCs w:val="20"/>
              </w:rPr>
            </w:pPr>
            <w:r w:rsidRPr="00C65175">
              <w:rPr>
                <w:sz w:val="20"/>
                <w:szCs w:val="20"/>
              </w:rPr>
              <w:t>Moderate</w:t>
            </w:r>
          </w:p>
        </w:tc>
        <w:tc>
          <w:tcPr>
            <w:tcW w:w="1620" w:type="dxa"/>
          </w:tcPr>
          <w:p w14:paraId="3EA53B3F" w14:textId="77777777" w:rsidR="00C65175" w:rsidRPr="00C65175" w:rsidRDefault="00C65175" w:rsidP="009B2BA4">
            <w:pPr>
              <w:rPr>
                <w:rFonts w:ascii="Arial" w:hAnsi="Arial" w:cs="Arial"/>
                <w:bCs/>
                <w:sz w:val="20"/>
                <w:szCs w:val="20"/>
              </w:rPr>
            </w:pPr>
            <w:r w:rsidRPr="00C65175">
              <w:rPr>
                <w:sz w:val="20"/>
                <w:szCs w:val="20"/>
              </w:rPr>
              <w:t>Involved</w:t>
            </w:r>
          </w:p>
        </w:tc>
        <w:tc>
          <w:tcPr>
            <w:tcW w:w="1800" w:type="dxa"/>
          </w:tcPr>
          <w:p w14:paraId="63DEC8B6" w14:textId="77777777" w:rsidR="00C65175" w:rsidRPr="00C65175" w:rsidRDefault="00C65175" w:rsidP="009B2BA4">
            <w:pPr>
              <w:rPr>
                <w:rFonts w:ascii="Arial" w:hAnsi="Arial" w:cs="Arial"/>
                <w:bCs/>
                <w:sz w:val="20"/>
                <w:szCs w:val="20"/>
              </w:rPr>
            </w:pPr>
            <w:r w:rsidRPr="00C65175">
              <w:rPr>
                <w:sz w:val="20"/>
                <w:szCs w:val="20"/>
              </w:rPr>
              <w:t>Implemented</w:t>
            </w:r>
          </w:p>
        </w:tc>
        <w:tc>
          <w:tcPr>
            <w:tcW w:w="1620" w:type="dxa"/>
          </w:tcPr>
          <w:p w14:paraId="74C6CC60" w14:textId="77777777" w:rsidR="00C65175" w:rsidRPr="00C65175" w:rsidRDefault="00C65175" w:rsidP="009B2BA4">
            <w:pPr>
              <w:rPr>
                <w:rFonts w:ascii="Arial" w:hAnsi="Arial" w:cs="Arial"/>
                <w:bCs/>
                <w:sz w:val="20"/>
                <w:szCs w:val="20"/>
              </w:rPr>
            </w:pPr>
            <w:r w:rsidRPr="00C65175">
              <w:rPr>
                <w:sz w:val="20"/>
                <w:szCs w:val="20"/>
              </w:rPr>
              <w:t>Effective</w:t>
            </w:r>
          </w:p>
        </w:tc>
        <w:tc>
          <w:tcPr>
            <w:tcW w:w="1620" w:type="dxa"/>
          </w:tcPr>
          <w:p w14:paraId="099B6C0D" w14:textId="77777777" w:rsidR="00C65175" w:rsidRPr="00C65175" w:rsidRDefault="00C65175" w:rsidP="009B2BA4">
            <w:pPr>
              <w:rPr>
                <w:rFonts w:ascii="Arial" w:hAnsi="Arial" w:cs="Arial"/>
                <w:bCs/>
                <w:sz w:val="20"/>
                <w:szCs w:val="20"/>
              </w:rPr>
            </w:pPr>
            <w:r w:rsidRPr="00C65175">
              <w:rPr>
                <w:sz w:val="20"/>
                <w:szCs w:val="20"/>
              </w:rPr>
              <w:t>Moderate effect</w:t>
            </w:r>
          </w:p>
        </w:tc>
      </w:tr>
      <w:tr w:rsidR="00C65175" w:rsidRPr="00C65175" w14:paraId="6B8713A5" w14:textId="77777777" w:rsidTr="009B2BA4">
        <w:tc>
          <w:tcPr>
            <w:tcW w:w="1435" w:type="dxa"/>
          </w:tcPr>
          <w:p w14:paraId="77CEE737" w14:textId="77777777" w:rsidR="00C65175" w:rsidRPr="00C65175" w:rsidRDefault="00C65175" w:rsidP="009B2BA4">
            <w:pPr>
              <w:rPr>
                <w:rFonts w:ascii="Arial" w:hAnsi="Arial" w:cs="Arial"/>
                <w:bCs/>
                <w:sz w:val="20"/>
                <w:szCs w:val="20"/>
              </w:rPr>
            </w:pPr>
            <w:r w:rsidRPr="00C65175">
              <w:rPr>
                <w:sz w:val="20"/>
                <w:szCs w:val="20"/>
              </w:rPr>
              <w:t>1.80 – 2.59</w:t>
            </w:r>
          </w:p>
        </w:tc>
        <w:tc>
          <w:tcPr>
            <w:tcW w:w="1080" w:type="dxa"/>
          </w:tcPr>
          <w:p w14:paraId="57892D61" w14:textId="77777777" w:rsidR="00C65175" w:rsidRPr="00C65175" w:rsidRDefault="00C65175" w:rsidP="009B2BA4">
            <w:pPr>
              <w:rPr>
                <w:rFonts w:ascii="Arial" w:hAnsi="Arial" w:cs="Arial"/>
                <w:bCs/>
                <w:sz w:val="20"/>
                <w:szCs w:val="20"/>
              </w:rPr>
            </w:pPr>
            <w:r w:rsidRPr="00C65175">
              <w:rPr>
                <w:sz w:val="20"/>
                <w:szCs w:val="20"/>
              </w:rPr>
              <w:t>Low</w:t>
            </w:r>
          </w:p>
        </w:tc>
        <w:tc>
          <w:tcPr>
            <w:tcW w:w="1620" w:type="dxa"/>
          </w:tcPr>
          <w:p w14:paraId="449EBA94" w14:textId="77777777" w:rsidR="00C65175" w:rsidRPr="00C65175" w:rsidRDefault="00C65175" w:rsidP="009B2BA4">
            <w:pPr>
              <w:rPr>
                <w:rFonts w:ascii="Arial" w:hAnsi="Arial" w:cs="Arial"/>
                <w:bCs/>
                <w:sz w:val="20"/>
                <w:szCs w:val="20"/>
              </w:rPr>
            </w:pPr>
            <w:r w:rsidRPr="00C65175">
              <w:rPr>
                <w:sz w:val="20"/>
                <w:szCs w:val="20"/>
              </w:rPr>
              <w:t xml:space="preserve">Less involved </w:t>
            </w:r>
          </w:p>
        </w:tc>
        <w:tc>
          <w:tcPr>
            <w:tcW w:w="1800" w:type="dxa"/>
          </w:tcPr>
          <w:p w14:paraId="18689F87" w14:textId="77777777" w:rsidR="00C65175" w:rsidRPr="00C65175" w:rsidRDefault="00C65175" w:rsidP="009B2BA4">
            <w:pPr>
              <w:rPr>
                <w:rFonts w:ascii="Arial" w:hAnsi="Arial" w:cs="Arial"/>
                <w:bCs/>
                <w:sz w:val="20"/>
                <w:szCs w:val="20"/>
              </w:rPr>
            </w:pPr>
            <w:r w:rsidRPr="00C65175">
              <w:rPr>
                <w:sz w:val="20"/>
                <w:szCs w:val="20"/>
              </w:rPr>
              <w:t>Less implemented</w:t>
            </w:r>
          </w:p>
        </w:tc>
        <w:tc>
          <w:tcPr>
            <w:tcW w:w="1620" w:type="dxa"/>
          </w:tcPr>
          <w:p w14:paraId="00BCB6C5" w14:textId="77777777" w:rsidR="00C65175" w:rsidRPr="00C65175" w:rsidRDefault="00C65175" w:rsidP="009B2BA4">
            <w:pPr>
              <w:rPr>
                <w:rFonts w:ascii="Arial" w:hAnsi="Arial" w:cs="Arial"/>
                <w:bCs/>
                <w:sz w:val="20"/>
                <w:szCs w:val="20"/>
              </w:rPr>
            </w:pPr>
            <w:r w:rsidRPr="00C65175">
              <w:rPr>
                <w:sz w:val="20"/>
                <w:szCs w:val="20"/>
              </w:rPr>
              <w:t>Slightly effective</w:t>
            </w:r>
          </w:p>
        </w:tc>
        <w:tc>
          <w:tcPr>
            <w:tcW w:w="1620" w:type="dxa"/>
          </w:tcPr>
          <w:p w14:paraId="62BC43EF" w14:textId="77777777" w:rsidR="00C65175" w:rsidRPr="00C65175" w:rsidRDefault="00C65175" w:rsidP="009B2BA4">
            <w:pPr>
              <w:rPr>
                <w:rFonts w:ascii="Arial" w:hAnsi="Arial" w:cs="Arial"/>
                <w:bCs/>
                <w:sz w:val="20"/>
                <w:szCs w:val="20"/>
              </w:rPr>
            </w:pPr>
            <w:r w:rsidRPr="00C65175">
              <w:rPr>
                <w:sz w:val="20"/>
                <w:szCs w:val="20"/>
              </w:rPr>
              <w:t>Low effect</w:t>
            </w:r>
          </w:p>
        </w:tc>
      </w:tr>
      <w:tr w:rsidR="00C65175" w:rsidRPr="00C65175" w14:paraId="1B05FE70" w14:textId="77777777" w:rsidTr="009B2BA4">
        <w:tc>
          <w:tcPr>
            <w:tcW w:w="1435" w:type="dxa"/>
          </w:tcPr>
          <w:p w14:paraId="380994DB" w14:textId="77777777" w:rsidR="00C65175" w:rsidRPr="00C65175" w:rsidRDefault="00C65175" w:rsidP="009B2BA4">
            <w:pPr>
              <w:rPr>
                <w:rFonts w:ascii="Arial" w:hAnsi="Arial" w:cs="Arial"/>
                <w:sz w:val="20"/>
                <w:szCs w:val="20"/>
              </w:rPr>
            </w:pPr>
            <w:r w:rsidRPr="00C65175">
              <w:rPr>
                <w:sz w:val="20"/>
                <w:szCs w:val="20"/>
              </w:rPr>
              <w:t>1.00 – 1.79</w:t>
            </w:r>
          </w:p>
        </w:tc>
        <w:tc>
          <w:tcPr>
            <w:tcW w:w="1080" w:type="dxa"/>
          </w:tcPr>
          <w:p w14:paraId="62A06F65" w14:textId="77777777" w:rsidR="00C65175" w:rsidRPr="00C65175" w:rsidRDefault="00C65175" w:rsidP="009B2BA4">
            <w:pPr>
              <w:rPr>
                <w:rFonts w:ascii="Arial" w:hAnsi="Arial" w:cs="Arial"/>
                <w:sz w:val="20"/>
                <w:szCs w:val="20"/>
              </w:rPr>
            </w:pPr>
            <w:r w:rsidRPr="00C65175">
              <w:rPr>
                <w:sz w:val="20"/>
                <w:szCs w:val="20"/>
              </w:rPr>
              <w:t>Very Low</w:t>
            </w:r>
          </w:p>
        </w:tc>
        <w:tc>
          <w:tcPr>
            <w:tcW w:w="1620" w:type="dxa"/>
          </w:tcPr>
          <w:p w14:paraId="3FDE6DBA" w14:textId="77777777" w:rsidR="00C65175" w:rsidRPr="00C65175" w:rsidRDefault="00C65175" w:rsidP="009B2BA4">
            <w:pPr>
              <w:rPr>
                <w:rFonts w:ascii="Arial" w:hAnsi="Arial" w:cs="Arial"/>
                <w:sz w:val="20"/>
                <w:szCs w:val="20"/>
              </w:rPr>
            </w:pPr>
            <w:r w:rsidRPr="00C65175">
              <w:rPr>
                <w:rFonts w:ascii="Arial" w:hAnsi="Arial" w:cs="Arial"/>
                <w:sz w:val="20"/>
                <w:szCs w:val="20"/>
              </w:rPr>
              <w:t>Not involved</w:t>
            </w:r>
          </w:p>
        </w:tc>
        <w:tc>
          <w:tcPr>
            <w:tcW w:w="1800" w:type="dxa"/>
          </w:tcPr>
          <w:p w14:paraId="532451F5" w14:textId="77777777" w:rsidR="00C65175" w:rsidRPr="00C65175" w:rsidRDefault="00C65175" w:rsidP="009B2BA4">
            <w:pPr>
              <w:rPr>
                <w:rFonts w:ascii="Arial" w:hAnsi="Arial" w:cs="Arial"/>
                <w:sz w:val="20"/>
                <w:szCs w:val="20"/>
              </w:rPr>
            </w:pPr>
            <w:r w:rsidRPr="00C65175">
              <w:rPr>
                <w:rFonts w:ascii="Arial" w:hAnsi="Arial" w:cs="Arial"/>
                <w:sz w:val="20"/>
                <w:szCs w:val="20"/>
              </w:rPr>
              <w:t>Not implemented</w:t>
            </w:r>
          </w:p>
        </w:tc>
        <w:tc>
          <w:tcPr>
            <w:tcW w:w="1620" w:type="dxa"/>
          </w:tcPr>
          <w:p w14:paraId="33691898" w14:textId="77777777" w:rsidR="00C65175" w:rsidRPr="00C65175" w:rsidRDefault="00C65175" w:rsidP="009B2BA4">
            <w:pPr>
              <w:rPr>
                <w:rFonts w:ascii="Arial" w:hAnsi="Arial" w:cs="Arial"/>
                <w:sz w:val="20"/>
                <w:szCs w:val="20"/>
              </w:rPr>
            </w:pPr>
            <w:r w:rsidRPr="00C65175">
              <w:rPr>
                <w:sz w:val="20"/>
                <w:szCs w:val="20"/>
              </w:rPr>
              <w:t>Not effective</w:t>
            </w:r>
          </w:p>
        </w:tc>
        <w:tc>
          <w:tcPr>
            <w:tcW w:w="1620" w:type="dxa"/>
          </w:tcPr>
          <w:p w14:paraId="61E14AF8" w14:textId="77777777" w:rsidR="00C65175" w:rsidRPr="00C65175" w:rsidRDefault="00C65175" w:rsidP="009B2BA4">
            <w:pPr>
              <w:rPr>
                <w:rFonts w:ascii="Arial" w:hAnsi="Arial" w:cs="Arial"/>
                <w:sz w:val="20"/>
                <w:szCs w:val="20"/>
              </w:rPr>
            </w:pPr>
            <w:r w:rsidRPr="00C65175">
              <w:rPr>
                <w:sz w:val="20"/>
                <w:szCs w:val="20"/>
              </w:rPr>
              <w:t>Very low effect</w:t>
            </w:r>
          </w:p>
        </w:tc>
      </w:tr>
    </w:tbl>
    <w:p w14:paraId="2F5EAE1E" w14:textId="77777777" w:rsidR="003C5798" w:rsidRPr="00FB3A86" w:rsidRDefault="003C5798" w:rsidP="00441B6F">
      <w:pPr>
        <w:pStyle w:val="Body"/>
        <w:spacing w:after="0"/>
        <w:rPr>
          <w:rFonts w:ascii="Arial" w:hAnsi="Arial" w:cs="Arial"/>
        </w:rPr>
      </w:pPr>
    </w:p>
    <w:p w14:paraId="448D72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A7AF77" w14:textId="77777777" w:rsidR="002F7564" w:rsidRDefault="002F7564" w:rsidP="00441B6F">
      <w:pPr>
        <w:pStyle w:val="Body"/>
        <w:spacing w:after="0"/>
        <w:rPr>
          <w:rFonts w:ascii="Arial" w:hAnsi="Arial" w:cs="Arial"/>
        </w:rPr>
      </w:pPr>
    </w:p>
    <w:p w14:paraId="07B37486" w14:textId="77777777" w:rsidR="002F7564" w:rsidRPr="002F7564" w:rsidRDefault="002F7564" w:rsidP="00441B6F">
      <w:pPr>
        <w:pStyle w:val="Body"/>
        <w:spacing w:after="0"/>
        <w:rPr>
          <w:rFonts w:ascii="Arial" w:hAnsi="Arial" w:cs="Arial"/>
          <w:b/>
          <w:bCs/>
        </w:rPr>
      </w:pPr>
      <w:r w:rsidRPr="002F7564">
        <w:rPr>
          <w:rFonts w:ascii="Arial" w:hAnsi="Arial" w:cs="Arial"/>
          <w:b/>
          <w:bCs/>
        </w:rPr>
        <w:t>3.1 Demographic Profile</w:t>
      </w:r>
    </w:p>
    <w:p w14:paraId="61CE5117" w14:textId="77777777" w:rsidR="002F7564" w:rsidRDefault="002F7564" w:rsidP="00441B6F">
      <w:pPr>
        <w:pStyle w:val="Body"/>
        <w:spacing w:after="0"/>
        <w:rPr>
          <w:rFonts w:ascii="Arial" w:hAnsi="Arial" w:cs="Arial"/>
        </w:rPr>
      </w:pPr>
    </w:p>
    <w:p w14:paraId="7F106195" w14:textId="2EA43395" w:rsidR="002F7564" w:rsidRPr="00065676" w:rsidRDefault="002F7564" w:rsidP="00065676">
      <w:pPr>
        <w:jc w:val="both"/>
      </w:pPr>
      <w:r w:rsidRPr="00065676">
        <w:t xml:space="preserve">The data present the demographic profile of the respondents in terms of gender, grade level, program, and year level. Female students comprised the majority of respondents in both basic education (59.7%) and college (72.9%) departments. Among basic education students, Grade 12 recorded the highest participation in community extension program (CEP) activities (43.7%), while lower grade levels showed smaller participation. In the college department, BSBA students had the highest participation (35%), followed by </w:t>
      </w:r>
      <w:proofErr w:type="spellStart"/>
      <w:r w:rsidRPr="00065676">
        <w:t>BSEd</w:t>
      </w:r>
      <w:proofErr w:type="spellEnd"/>
      <w:r w:rsidRPr="00065676">
        <w:t xml:space="preserve"> and AB programs, while </w:t>
      </w:r>
      <w:proofErr w:type="spellStart"/>
      <w:r w:rsidRPr="00065676">
        <w:t>BPEd</w:t>
      </w:r>
      <w:proofErr w:type="spellEnd"/>
      <w:r w:rsidRPr="00065676">
        <w:t xml:space="preserve"> had the lowest representation. In terms of year level, third-year (37.8%) and fourth-year (36.4%) students demonstrated the highest participation, indicating that students in higher grade and year levels tend to be more involved in CEP activities.</w:t>
      </w:r>
    </w:p>
    <w:p w14:paraId="1F8089B8" w14:textId="77777777" w:rsidR="002F7564" w:rsidRPr="00065676" w:rsidRDefault="002F7564" w:rsidP="00065676">
      <w:pPr>
        <w:jc w:val="both"/>
      </w:pPr>
    </w:p>
    <w:p w14:paraId="6055276E" w14:textId="7D0F11B1" w:rsidR="004E22E0" w:rsidRPr="00065676" w:rsidRDefault="004E22E0" w:rsidP="00065676">
      <w:pPr>
        <w:jc w:val="both"/>
      </w:pPr>
      <w:r w:rsidRPr="00065676">
        <w:t xml:space="preserve">This current finding supports the assertion of </w:t>
      </w:r>
      <w:proofErr w:type="spellStart"/>
      <w:r w:rsidRPr="00065676">
        <w:t>Macías</w:t>
      </w:r>
      <w:proofErr w:type="spellEnd"/>
      <w:r w:rsidRPr="00065676">
        <w:t>-Gómez-</w:t>
      </w:r>
      <w:proofErr w:type="spellStart"/>
      <w:r w:rsidRPr="00065676">
        <w:t>Estern</w:t>
      </w:r>
      <w:proofErr w:type="spellEnd"/>
      <w:r w:rsidRPr="00065676">
        <w:t xml:space="preserve"> et al. (2022), which shows that involvement in service-learning programs enhances students’ engagement with community issues and encourages them to apply academic knowledge in real-world community contexts. Furthermore, this also aligns with a study that indicates that participation in service-learning and community engagement initiatives strengthens students’ civic responsibility, collaboration, and life skills, highlighting the value of student involvement in community-based programs within higher education institutions (Snyder &amp; Majewski-Schrage, 2023).</w:t>
      </w:r>
    </w:p>
    <w:p w14:paraId="240518C4" w14:textId="77777777" w:rsidR="004E22E0" w:rsidRPr="00065676" w:rsidRDefault="004E22E0" w:rsidP="00065676">
      <w:pPr>
        <w:jc w:val="both"/>
      </w:pPr>
    </w:p>
    <w:p w14:paraId="5BF6E811" w14:textId="1363798E" w:rsidR="004E22E0" w:rsidRPr="00065676" w:rsidRDefault="004E22E0" w:rsidP="00065676">
      <w:pPr>
        <w:jc w:val="both"/>
      </w:pPr>
      <w:r w:rsidRPr="00065676">
        <w:t xml:space="preserve">On the other hand, some research on student engagement and participation indicates that gender does not significantly influence participation levels, meaning both male and female students can be equally engaged in academic and related activities </w:t>
      </w:r>
      <w:r w:rsidR="008038DC" w:rsidRPr="008038DC">
        <w:t xml:space="preserve">(Leraas et al., 2018). </w:t>
      </w:r>
    </w:p>
    <w:p w14:paraId="0F812472" w14:textId="50535444" w:rsidR="004E22E0" w:rsidRPr="00C65F89" w:rsidRDefault="00347B96" w:rsidP="004E22E0">
      <w:pPr>
        <w:pStyle w:val="Body"/>
        <w:spacing w:after="0"/>
        <w:rPr>
          <w:rFonts w:ascii="Arial" w:hAnsi="Arial" w:cs="Arial"/>
          <w:b/>
          <w:bCs/>
          <w:lang w:val="en-PH"/>
        </w:rPr>
      </w:pPr>
      <w:r w:rsidRPr="00C65F89">
        <w:rPr>
          <w:rFonts w:ascii="Arial" w:hAnsi="Arial" w:cs="Arial"/>
          <w:b/>
          <w:bCs/>
          <w:lang w:val="en-PH"/>
        </w:rPr>
        <w:t>3.2 Extent of Participation</w:t>
      </w:r>
    </w:p>
    <w:p w14:paraId="66BE983D" w14:textId="77777777" w:rsidR="00347B96" w:rsidRDefault="00347B96" w:rsidP="004E22E0">
      <w:pPr>
        <w:pStyle w:val="Body"/>
        <w:spacing w:after="0"/>
        <w:rPr>
          <w:rFonts w:ascii="Arial" w:hAnsi="Arial" w:cs="Arial"/>
          <w:lang w:val="en-PH"/>
        </w:rPr>
      </w:pPr>
    </w:p>
    <w:p w14:paraId="3A3DEEA0" w14:textId="076C88B5" w:rsidR="00347B96" w:rsidRPr="001D6E4E" w:rsidRDefault="00347B96" w:rsidP="001D6E4E">
      <w:pPr>
        <w:jc w:val="both"/>
      </w:pPr>
      <w:r w:rsidRPr="001D6E4E">
        <w:t xml:space="preserve">The data presents the extent of student involvement in the community extension programs (CEP). Overall, both basic education and college students are generally involved in the activities, with an overall mean of 2.93 for </w:t>
      </w:r>
      <w:proofErr w:type="spellStart"/>
      <w:r w:rsidRPr="001D6E4E">
        <w:t>BEd</w:t>
      </w:r>
      <w:proofErr w:type="spellEnd"/>
      <w:r w:rsidRPr="001D6E4E">
        <w:t xml:space="preserve">, 3.03 for college, and a combined mean of 2.98, indicating satisfactory participation. Basic education students were well involved in activities such as relief operations (3.55) and tree planting (3.95) but less involved in bloodletting (1.96). College students showed higher engagement in capacity building (3.53), clean-up drives (3.66), and tree planting (3.92), but lower participation in bloodletting (2.29), </w:t>
      </w:r>
      <w:r w:rsidRPr="001D6E4E">
        <w:lastRenderedPageBreak/>
        <w:t xml:space="preserve">gift giving (2.47), and visits to the home for the elderly (2.11). These results suggest that while participation varies by activity, the school’s community engagement and services office effectively </w:t>
      </w:r>
      <w:proofErr w:type="gramStart"/>
      <w:r w:rsidRPr="001D6E4E">
        <w:t>encourages</w:t>
      </w:r>
      <w:proofErr w:type="gramEnd"/>
      <w:r w:rsidRPr="001D6E4E">
        <w:t xml:space="preserve"> student involvement across most CEP programs.</w:t>
      </w:r>
    </w:p>
    <w:p w14:paraId="3E5F3421" w14:textId="77777777" w:rsidR="00347B96" w:rsidRPr="001D6E4E" w:rsidRDefault="00347B96" w:rsidP="001D6E4E">
      <w:pPr>
        <w:jc w:val="both"/>
      </w:pPr>
    </w:p>
    <w:p w14:paraId="5361D10C" w14:textId="2CE6FA77" w:rsidR="00347B96" w:rsidRPr="001D6E4E" w:rsidRDefault="00347B96" w:rsidP="001D6E4E">
      <w:pPr>
        <w:jc w:val="both"/>
      </w:pPr>
      <w:r w:rsidRPr="001D6E4E">
        <w:t>This current result affirms the study that demonstrates service</w:t>
      </w:r>
      <w:r w:rsidRPr="001D6E4E">
        <w:noBreakHyphen/>
        <w:t>learning and community engagement are associated with students’ awareness of social issues and development of practical skills, indicating that students actively engage in community</w:t>
      </w:r>
      <w:r w:rsidRPr="001D6E4E">
        <w:noBreakHyphen/>
        <w:t>based activities as part of their learning process (Cattaneo et al., 2021)</w:t>
      </w:r>
      <w:r w:rsidR="00693DB3" w:rsidRPr="001D6E4E">
        <w:t>. In contrast, this negates the assertion that students’ active engagement in community</w:t>
      </w:r>
      <w:r w:rsidR="00693DB3" w:rsidRPr="001D6E4E">
        <w:noBreakHyphen/>
        <w:t>related activities may vary widely, with some showing low levels of participation and reluctance to engage visibly in community forums or group activities (</w:t>
      </w:r>
      <w:proofErr w:type="spellStart"/>
      <w:r w:rsidR="00693DB3" w:rsidRPr="001D6E4E">
        <w:t>Sibia</w:t>
      </w:r>
      <w:proofErr w:type="spellEnd"/>
      <w:r w:rsidR="00693DB3" w:rsidRPr="001D6E4E">
        <w:t xml:space="preserve"> et al., 2023).</w:t>
      </w:r>
    </w:p>
    <w:p w14:paraId="10FF6880" w14:textId="77777777" w:rsidR="004E22E0" w:rsidRPr="001D6E4E" w:rsidRDefault="004E22E0" w:rsidP="001D6E4E">
      <w:pPr>
        <w:jc w:val="both"/>
      </w:pPr>
    </w:p>
    <w:p w14:paraId="1DF2E96D" w14:textId="1557F9D0" w:rsidR="002F7564" w:rsidRPr="001D6E4E" w:rsidRDefault="009056CB" w:rsidP="001D6E4E">
      <w:pPr>
        <w:jc w:val="both"/>
        <w:rPr>
          <w:b/>
          <w:bCs/>
        </w:rPr>
      </w:pPr>
      <w:r w:rsidRPr="001D6E4E">
        <w:rPr>
          <w:b/>
          <w:bCs/>
        </w:rPr>
        <w:t>3.3</w:t>
      </w:r>
      <w:r w:rsidR="00C65F89" w:rsidRPr="001D6E4E">
        <w:rPr>
          <w:b/>
          <w:bCs/>
        </w:rPr>
        <w:t xml:space="preserve"> Assessment on the Implementation</w:t>
      </w:r>
    </w:p>
    <w:p w14:paraId="36030360" w14:textId="77777777" w:rsidR="00C65F89" w:rsidRPr="001D6E4E" w:rsidRDefault="00C65F89" w:rsidP="001D6E4E">
      <w:pPr>
        <w:jc w:val="both"/>
      </w:pPr>
    </w:p>
    <w:p w14:paraId="3D264B65" w14:textId="0B1559FB" w:rsidR="00C65F89" w:rsidRPr="001D6E4E" w:rsidRDefault="00C65F89" w:rsidP="001D6E4E">
      <w:pPr>
        <w:jc w:val="both"/>
      </w:pPr>
      <w:r w:rsidRPr="00C65F89">
        <w:rPr>
          <w:lang w:val="en-PH"/>
        </w:rPr>
        <w:t>The table shows students’ assessment of the CEP activities. Basic education students gave an overall mean of 4.09 (High), with individual indicators also rated High: methodology (4.07), location (4.18), logistics (4.09), and schedule (4.03). This indicates that the office is performing well in implementing its programs.</w:t>
      </w:r>
      <w:r w:rsidRPr="001D6E4E">
        <w:t xml:space="preserve"> </w:t>
      </w:r>
      <w:r w:rsidRPr="00C65F89">
        <w:rPr>
          <w:lang w:val="en-PH"/>
        </w:rPr>
        <w:t>College students rated the implementation even higher, with an overall mean of 4.32 (Very High) and all indicators rated Very High: methodology (4.27), location (4.35), logistics (4.33), and schedule (4.31). The combined overall mean of 4.21 reflects strong student agreement that the CEP activities are effectively implemented and well-managed.</w:t>
      </w:r>
    </w:p>
    <w:p w14:paraId="6A4D15B9" w14:textId="77777777" w:rsidR="00C65F89" w:rsidRPr="001D6E4E" w:rsidRDefault="00C65F89" w:rsidP="001D6E4E">
      <w:pPr>
        <w:jc w:val="both"/>
      </w:pPr>
    </w:p>
    <w:p w14:paraId="43DC47F5" w14:textId="52377DE3" w:rsidR="00C65F89" w:rsidRPr="001D6E4E" w:rsidRDefault="00C65F89" w:rsidP="001D6E4E">
      <w:pPr>
        <w:jc w:val="both"/>
      </w:pPr>
      <w:r w:rsidRPr="001D6E4E">
        <w:t xml:space="preserve">This current result affirms the assertion of Asio et al. (2021) who </w:t>
      </w:r>
      <w:r w:rsidRPr="001D6E4E">
        <w:rPr>
          <w:lang w:val="en-PH"/>
        </w:rPr>
        <w:t>found that most students “highly consider” reasons for participating in community service activities, indicating a high level of positive engagement and perception of extension programs, which aligns with your results showing high and very high student assessment scores.</w:t>
      </w:r>
      <w:r w:rsidRPr="001D6E4E">
        <w:t xml:space="preserve"> On the other hand, it contradicts the study of </w:t>
      </w:r>
      <w:proofErr w:type="spellStart"/>
      <w:r w:rsidRPr="001D6E4E">
        <w:t>Shaka</w:t>
      </w:r>
      <w:proofErr w:type="spellEnd"/>
      <w:r w:rsidRPr="001D6E4E">
        <w:t xml:space="preserve"> and </w:t>
      </w:r>
      <w:proofErr w:type="spellStart"/>
      <w:r w:rsidRPr="001D6E4E">
        <w:t>Senbeto</w:t>
      </w:r>
      <w:proofErr w:type="spellEnd"/>
      <w:r w:rsidRPr="001D6E4E">
        <w:t xml:space="preserve"> (2018), which found that although many students report satisfactory involvement in community</w:t>
      </w:r>
      <w:r w:rsidRPr="001D6E4E">
        <w:noBreakHyphen/>
        <w:t>based education, only a minority perceived high competence gains from the experience</w:t>
      </w:r>
      <w:r w:rsidR="00D40413" w:rsidRPr="001D6E4E">
        <w:t>.</w:t>
      </w:r>
    </w:p>
    <w:p w14:paraId="6929BEFE" w14:textId="77777777" w:rsidR="00D40413" w:rsidRPr="001D6E4E" w:rsidRDefault="00D40413" w:rsidP="001D6E4E">
      <w:pPr>
        <w:jc w:val="both"/>
      </w:pPr>
    </w:p>
    <w:p w14:paraId="266D1F79" w14:textId="1BF43734" w:rsidR="00D40413" w:rsidRPr="001D6E4E" w:rsidRDefault="00D40413" w:rsidP="001D6E4E">
      <w:pPr>
        <w:jc w:val="both"/>
        <w:rPr>
          <w:b/>
          <w:bCs/>
        </w:rPr>
      </w:pPr>
      <w:r w:rsidRPr="001D6E4E">
        <w:rPr>
          <w:b/>
          <w:bCs/>
        </w:rPr>
        <w:t>3.4 Perceived Effectiveness</w:t>
      </w:r>
    </w:p>
    <w:p w14:paraId="720D3A17" w14:textId="77777777" w:rsidR="00D40413" w:rsidRPr="001D6E4E" w:rsidRDefault="00D40413" w:rsidP="001D6E4E">
      <w:pPr>
        <w:jc w:val="both"/>
      </w:pPr>
    </w:p>
    <w:p w14:paraId="715E1121" w14:textId="6FA8B7D6" w:rsidR="00D40413" w:rsidRPr="00D40413" w:rsidRDefault="00D40413" w:rsidP="001D6E4E">
      <w:pPr>
        <w:jc w:val="both"/>
        <w:rPr>
          <w:lang w:val="en-PH"/>
        </w:rPr>
      </w:pPr>
      <w:r w:rsidRPr="00D40413">
        <w:rPr>
          <w:lang w:val="en-PH"/>
        </w:rPr>
        <w:t xml:space="preserve">The </w:t>
      </w:r>
      <w:r w:rsidRPr="001D6E4E">
        <w:t xml:space="preserve">result </w:t>
      </w:r>
      <w:r w:rsidRPr="00D40413">
        <w:rPr>
          <w:lang w:val="en-PH"/>
        </w:rPr>
        <w:t>presents students’ perception of the effectiveness of CEP activities. Both basic education and college students generally rated the programs as effective, with an overall mean of 4.13 for each group.</w:t>
      </w:r>
      <w:r w:rsidRPr="001D6E4E">
        <w:t xml:space="preserve"> </w:t>
      </w:r>
      <w:r w:rsidRPr="00D40413">
        <w:rPr>
          <w:lang w:val="en-PH"/>
        </w:rPr>
        <w:t>For basic education students, relief operation (4.91), clean-up drive (4.37), and tree planting (4.75) were rated very effective, while other activities—including feeding program, capacity building, literacy, catechism, orphanage, community pantry, garage sale, bloodletting, gift giving, and visits to the elderly—were rated effective.</w:t>
      </w:r>
    </w:p>
    <w:p w14:paraId="296B6310" w14:textId="77777777" w:rsidR="00D40413" w:rsidRPr="001D6E4E" w:rsidRDefault="00D40413" w:rsidP="001D6E4E">
      <w:pPr>
        <w:jc w:val="both"/>
      </w:pPr>
    </w:p>
    <w:p w14:paraId="3CF3834F" w14:textId="63C220A6" w:rsidR="00D40413" w:rsidRPr="001D6E4E" w:rsidRDefault="00D40413" w:rsidP="001D6E4E">
      <w:pPr>
        <w:jc w:val="both"/>
      </w:pPr>
      <w:r w:rsidRPr="00D40413">
        <w:rPr>
          <w:lang w:val="en-PH"/>
        </w:rPr>
        <w:t>College students also perceived most activities as effective, with feeding program (4.36), capacity building (4.47), relief operation (4.54), clean-up drive (4.68), and tree planting (4.94) rated very effective. The visit to the home for the elderly received the lowest score (3.38), rated moderately effective.</w:t>
      </w:r>
      <w:r w:rsidRPr="001D6E4E">
        <w:t xml:space="preserve"> </w:t>
      </w:r>
      <w:r w:rsidRPr="00D40413">
        <w:rPr>
          <w:lang w:val="en-PH"/>
        </w:rPr>
        <w:t>The combined overall mean of 4.13 highlights that students generally perceive CEP activities as effectively addressing community needs.</w:t>
      </w:r>
    </w:p>
    <w:p w14:paraId="29D3DACD" w14:textId="77777777" w:rsidR="00537D20" w:rsidRPr="001D6E4E" w:rsidRDefault="00537D20" w:rsidP="001D6E4E">
      <w:pPr>
        <w:jc w:val="both"/>
      </w:pPr>
    </w:p>
    <w:p w14:paraId="77A3E8AC" w14:textId="40EC03AA" w:rsidR="00537D20" w:rsidRPr="001D6E4E" w:rsidRDefault="00537D20" w:rsidP="001D6E4E">
      <w:pPr>
        <w:jc w:val="both"/>
      </w:pPr>
      <w:r w:rsidRPr="001D6E4E">
        <w:t>This current finding supports the assertion of Salazar (2020), which showed that beneficiaries rated extension program outputs and impacts as satisfactory, supporting the effectiveness of community extension initiatives.</w:t>
      </w:r>
    </w:p>
    <w:p w14:paraId="17FC1717" w14:textId="77777777" w:rsidR="00522981" w:rsidRPr="001D6E4E" w:rsidRDefault="00522981" w:rsidP="001D6E4E">
      <w:pPr>
        <w:jc w:val="both"/>
      </w:pPr>
    </w:p>
    <w:p w14:paraId="7C682830" w14:textId="5B120E1C" w:rsidR="00522981" w:rsidRPr="001D6E4E" w:rsidRDefault="00522981" w:rsidP="001D6E4E">
      <w:pPr>
        <w:jc w:val="both"/>
      </w:pPr>
      <w:r w:rsidRPr="001D6E4E">
        <w:t>On the other hand, this contradicts the study, which shows that some extension activities were seen as effective, other programs (e.g., environmental clean</w:t>
      </w:r>
      <w:r w:rsidRPr="001D6E4E">
        <w:noBreakHyphen/>
        <w:t xml:space="preserve">up, computer literacy, health </w:t>
      </w:r>
      <w:r w:rsidRPr="001D6E4E">
        <w:lastRenderedPageBreak/>
        <w:t>services) were rated as less effective by beneficiaries, indicating mixed perceptions of program impact (Magnaye &amp; Ylagan, 2021).</w:t>
      </w:r>
    </w:p>
    <w:p w14:paraId="39916332" w14:textId="77777777" w:rsidR="001D6E4E" w:rsidRPr="001D6E4E" w:rsidRDefault="001D6E4E" w:rsidP="001D6E4E">
      <w:pPr>
        <w:jc w:val="both"/>
      </w:pPr>
    </w:p>
    <w:p w14:paraId="7AF45BE5" w14:textId="34C667E6" w:rsidR="001D6E4E" w:rsidRPr="001D6E4E" w:rsidRDefault="001D6E4E" w:rsidP="001D6E4E">
      <w:pPr>
        <w:jc w:val="both"/>
        <w:rPr>
          <w:b/>
          <w:bCs/>
        </w:rPr>
      </w:pPr>
      <w:r w:rsidRPr="001D6E4E">
        <w:rPr>
          <w:b/>
          <w:bCs/>
        </w:rPr>
        <w:t>3.5 Perceived Effect</w:t>
      </w:r>
    </w:p>
    <w:p w14:paraId="259FAAD7" w14:textId="77777777" w:rsidR="001D6E4E" w:rsidRPr="001D6E4E" w:rsidRDefault="001D6E4E" w:rsidP="001D6E4E">
      <w:pPr>
        <w:jc w:val="both"/>
      </w:pPr>
    </w:p>
    <w:p w14:paraId="1A286D96" w14:textId="77777777" w:rsidR="001D6E4E" w:rsidRPr="001D6E4E" w:rsidRDefault="001D6E4E" w:rsidP="001D6E4E">
      <w:pPr>
        <w:jc w:val="both"/>
      </w:pPr>
      <w:r w:rsidRPr="001D6E4E">
        <w:rPr>
          <w:lang w:val="en-PH"/>
        </w:rPr>
        <w:t>The table shows students’ perceived effects of CEP activities. Basic education students rated the programs as high in all areas: personal skills (3.99), social skills (4.06), and civic responsibility (4.07), with an overall mean of 4.04. This indicates that the activities contributed to their growth in community involvement and social responsibility.</w:t>
      </w:r>
    </w:p>
    <w:p w14:paraId="07111F79" w14:textId="77777777" w:rsidR="001D6E4E" w:rsidRPr="001D6E4E" w:rsidRDefault="001D6E4E" w:rsidP="001D6E4E">
      <w:pPr>
        <w:jc w:val="both"/>
        <w:rPr>
          <w:lang w:val="en-PH"/>
        </w:rPr>
      </w:pPr>
    </w:p>
    <w:p w14:paraId="1C00CF10" w14:textId="77777777" w:rsidR="001D6E4E" w:rsidRPr="001D6E4E" w:rsidRDefault="001D6E4E" w:rsidP="001D6E4E">
      <w:pPr>
        <w:jc w:val="both"/>
      </w:pPr>
      <w:r w:rsidRPr="001D6E4E">
        <w:rPr>
          <w:lang w:val="en-PH"/>
        </w:rPr>
        <w:t>College students reported an even stronger impact, rating all indicators very high: personal skills (4.30), social skills (4.35), and civic responsibility (4.37), with an overall mean of 4.34. The combined overall mean of 4.19 reflects that students from both departments perceive CEP activities as positively affecting their personal, social, and civic development.</w:t>
      </w:r>
    </w:p>
    <w:p w14:paraId="5C04E0FD" w14:textId="77777777" w:rsidR="001D6E4E" w:rsidRPr="001D6E4E" w:rsidRDefault="001D6E4E" w:rsidP="001D6E4E">
      <w:pPr>
        <w:jc w:val="both"/>
        <w:rPr>
          <w:lang w:val="en-PH"/>
        </w:rPr>
      </w:pPr>
    </w:p>
    <w:p w14:paraId="66145BCC" w14:textId="56157A7D" w:rsidR="001D6E4E" w:rsidRPr="001D6E4E" w:rsidRDefault="001D6E4E" w:rsidP="001D6E4E">
      <w:pPr>
        <w:jc w:val="both"/>
        <w:rPr>
          <w:lang w:val="en-PH"/>
        </w:rPr>
      </w:pPr>
      <w:r w:rsidRPr="001D6E4E">
        <w:rPr>
          <w:lang w:val="en-PH"/>
        </w:rPr>
        <w:t>Th</w:t>
      </w:r>
      <w:r w:rsidRPr="001D6E4E">
        <w:t>is</w:t>
      </w:r>
      <w:r w:rsidRPr="001D6E4E">
        <w:rPr>
          <w:lang w:val="en-PH"/>
        </w:rPr>
        <w:t xml:space="preserve"> result align</w:t>
      </w:r>
      <w:r w:rsidRPr="001D6E4E">
        <w:t>s</w:t>
      </w:r>
      <w:r w:rsidRPr="001D6E4E">
        <w:rPr>
          <w:lang w:val="en-PH"/>
        </w:rPr>
        <w:t xml:space="preserve"> with previous research showing that CEP activities enhance students’ social responsibility and community engagement (Montalbo et al., 2021).</w:t>
      </w:r>
    </w:p>
    <w:p w14:paraId="167C23D3" w14:textId="77777777" w:rsidR="001D6E4E" w:rsidRPr="001D6E4E" w:rsidRDefault="001D6E4E" w:rsidP="00D40413">
      <w:pPr>
        <w:jc w:val="both"/>
        <w:rPr>
          <w:b/>
          <w:bCs/>
        </w:rPr>
      </w:pPr>
    </w:p>
    <w:p w14:paraId="1EE89F62" w14:textId="1703090E" w:rsidR="00C0415C" w:rsidRPr="00C0415C" w:rsidRDefault="00C0415C" w:rsidP="00C0415C">
      <w:pPr>
        <w:ind w:left="720" w:hanging="720"/>
        <w:jc w:val="both"/>
        <w:rPr>
          <w:rFonts w:ascii="Arial" w:hAnsi="Arial" w:cs="Arial"/>
          <w:b/>
          <w:bCs/>
        </w:rPr>
      </w:pPr>
      <w:r w:rsidRPr="00C0415C">
        <w:rPr>
          <w:rFonts w:ascii="Arial" w:hAnsi="Arial" w:cs="Arial"/>
          <w:b/>
          <w:bCs/>
        </w:rPr>
        <w:t>Table 1. Demographic Profile of the Students in terms of Gender</w:t>
      </w:r>
    </w:p>
    <w:tbl>
      <w:tblPr>
        <w:tblW w:w="8640" w:type="dxa"/>
        <w:tblInd w:w="85" w:type="dxa"/>
        <w:tblLook w:val="04A0" w:firstRow="1" w:lastRow="0" w:firstColumn="1" w:lastColumn="0" w:noHBand="0" w:noVBand="1"/>
      </w:tblPr>
      <w:tblGrid>
        <w:gridCol w:w="2160"/>
        <w:gridCol w:w="1980"/>
        <w:gridCol w:w="2250"/>
        <w:gridCol w:w="2250"/>
      </w:tblGrid>
      <w:tr w:rsidR="00C0415C" w:rsidRPr="00C0415C" w14:paraId="693758D8" w14:textId="77777777" w:rsidTr="00FD64E6">
        <w:trPr>
          <w:trHeight w:val="310"/>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5D3729E6"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Department</w:t>
            </w:r>
          </w:p>
        </w:tc>
        <w:tc>
          <w:tcPr>
            <w:tcW w:w="1980" w:type="dxa"/>
            <w:tcBorders>
              <w:top w:val="single" w:sz="4" w:space="0" w:color="auto"/>
              <w:left w:val="nil"/>
              <w:bottom w:val="single" w:sz="4" w:space="0" w:color="auto"/>
              <w:right w:val="single" w:sz="4" w:space="0" w:color="auto"/>
            </w:tcBorders>
            <w:noWrap/>
            <w:vAlign w:val="bottom"/>
            <w:hideMark/>
          </w:tcPr>
          <w:p w14:paraId="284F3858"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Gender</w:t>
            </w:r>
          </w:p>
        </w:tc>
        <w:tc>
          <w:tcPr>
            <w:tcW w:w="2250" w:type="dxa"/>
            <w:tcBorders>
              <w:top w:val="single" w:sz="4" w:space="0" w:color="auto"/>
              <w:left w:val="nil"/>
              <w:bottom w:val="single" w:sz="4" w:space="0" w:color="auto"/>
              <w:right w:val="single" w:sz="4" w:space="0" w:color="auto"/>
            </w:tcBorders>
            <w:noWrap/>
            <w:vAlign w:val="bottom"/>
            <w:hideMark/>
          </w:tcPr>
          <w:p w14:paraId="02314F01"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250" w:type="dxa"/>
            <w:tcBorders>
              <w:top w:val="single" w:sz="4" w:space="0" w:color="auto"/>
              <w:left w:val="nil"/>
              <w:bottom w:val="single" w:sz="4" w:space="0" w:color="auto"/>
              <w:right w:val="single" w:sz="4" w:space="0" w:color="auto"/>
            </w:tcBorders>
            <w:noWrap/>
            <w:vAlign w:val="bottom"/>
            <w:hideMark/>
          </w:tcPr>
          <w:p w14:paraId="38B09455"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2E2FCF0C" w14:textId="77777777" w:rsidTr="00FD64E6">
        <w:trPr>
          <w:trHeight w:val="310"/>
        </w:trPr>
        <w:tc>
          <w:tcPr>
            <w:tcW w:w="2160" w:type="dxa"/>
            <w:vMerge w:val="restart"/>
            <w:tcBorders>
              <w:top w:val="nil"/>
              <w:left w:val="single" w:sz="4" w:space="0" w:color="auto"/>
              <w:bottom w:val="single" w:sz="4" w:space="0" w:color="auto"/>
              <w:right w:val="single" w:sz="4" w:space="0" w:color="auto"/>
            </w:tcBorders>
            <w:noWrap/>
            <w:vAlign w:val="center"/>
            <w:hideMark/>
          </w:tcPr>
          <w:p w14:paraId="0B5850C1"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Basic Education</w:t>
            </w:r>
          </w:p>
        </w:tc>
        <w:tc>
          <w:tcPr>
            <w:tcW w:w="1980" w:type="dxa"/>
            <w:tcBorders>
              <w:top w:val="nil"/>
              <w:left w:val="nil"/>
              <w:bottom w:val="single" w:sz="4" w:space="0" w:color="auto"/>
              <w:right w:val="single" w:sz="4" w:space="0" w:color="auto"/>
            </w:tcBorders>
            <w:noWrap/>
            <w:vAlign w:val="bottom"/>
            <w:hideMark/>
          </w:tcPr>
          <w:p w14:paraId="561EC05F"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Male</w:t>
            </w:r>
          </w:p>
        </w:tc>
        <w:tc>
          <w:tcPr>
            <w:tcW w:w="2250" w:type="dxa"/>
            <w:tcBorders>
              <w:top w:val="nil"/>
              <w:left w:val="nil"/>
              <w:bottom w:val="single" w:sz="4" w:space="0" w:color="auto"/>
              <w:right w:val="single" w:sz="4" w:space="0" w:color="auto"/>
            </w:tcBorders>
            <w:noWrap/>
            <w:vAlign w:val="bottom"/>
            <w:hideMark/>
          </w:tcPr>
          <w:p w14:paraId="74C6E88E"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108</w:t>
            </w:r>
          </w:p>
        </w:tc>
        <w:tc>
          <w:tcPr>
            <w:tcW w:w="2250" w:type="dxa"/>
            <w:tcBorders>
              <w:top w:val="nil"/>
              <w:left w:val="nil"/>
              <w:bottom w:val="single" w:sz="4" w:space="0" w:color="auto"/>
              <w:right w:val="single" w:sz="4" w:space="0" w:color="auto"/>
            </w:tcBorders>
            <w:noWrap/>
            <w:vAlign w:val="bottom"/>
            <w:hideMark/>
          </w:tcPr>
          <w:p w14:paraId="0DD48CF2"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40.30%</w:t>
            </w:r>
          </w:p>
        </w:tc>
      </w:tr>
      <w:tr w:rsidR="00C0415C" w:rsidRPr="00C0415C" w14:paraId="57F359E6"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7B26BC7F"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181A5CBC"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Female</w:t>
            </w:r>
          </w:p>
        </w:tc>
        <w:tc>
          <w:tcPr>
            <w:tcW w:w="2250" w:type="dxa"/>
            <w:tcBorders>
              <w:top w:val="nil"/>
              <w:left w:val="nil"/>
              <w:bottom w:val="single" w:sz="4" w:space="0" w:color="auto"/>
              <w:right w:val="single" w:sz="4" w:space="0" w:color="auto"/>
            </w:tcBorders>
            <w:noWrap/>
            <w:vAlign w:val="bottom"/>
            <w:hideMark/>
          </w:tcPr>
          <w:p w14:paraId="466450DE"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160</w:t>
            </w:r>
          </w:p>
        </w:tc>
        <w:tc>
          <w:tcPr>
            <w:tcW w:w="2250" w:type="dxa"/>
            <w:tcBorders>
              <w:top w:val="nil"/>
              <w:left w:val="nil"/>
              <w:bottom w:val="single" w:sz="4" w:space="0" w:color="auto"/>
              <w:right w:val="single" w:sz="4" w:space="0" w:color="auto"/>
            </w:tcBorders>
            <w:noWrap/>
            <w:vAlign w:val="bottom"/>
            <w:hideMark/>
          </w:tcPr>
          <w:p w14:paraId="117F33CF"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59.70%</w:t>
            </w:r>
          </w:p>
        </w:tc>
      </w:tr>
      <w:tr w:rsidR="00C0415C" w:rsidRPr="00C0415C" w14:paraId="1CB66D6C"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2DCCB442"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212C0A71"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250" w:type="dxa"/>
            <w:tcBorders>
              <w:top w:val="nil"/>
              <w:left w:val="nil"/>
              <w:bottom w:val="single" w:sz="4" w:space="0" w:color="auto"/>
              <w:right w:val="single" w:sz="4" w:space="0" w:color="auto"/>
            </w:tcBorders>
            <w:noWrap/>
            <w:vAlign w:val="bottom"/>
            <w:hideMark/>
          </w:tcPr>
          <w:p w14:paraId="319948F3"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268</w:t>
            </w:r>
          </w:p>
        </w:tc>
        <w:tc>
          <w:tcPr>
            <w:tcW w:w="2250" w:type="dxa"/>
            <w:tcBorders>
              <w:top w:val="nil"/>
              <w:left w:val="nil"/>
              <w:bottom w:val="single" w:sz="4" w:space="0" w:color="auto"/>
              <w:right w:val="single" w:sz="4" w:space="0" w:color="auto"/>
            </w:tcBorders>
            <w:noWrap/>
            <w:vAlign w:val="bottom"/>
            <w:hideMark/>
          </w:tcPr>
          <w:p w14:paraId="60905915"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r w:rsidR="00C0415C" w:rsidRPr="00C0415C" w14:paraId="66C54FF1" w14:textId="77777777" w:rsidTr="00FD64E6">
        <w:trPr>
          <w:trHeight w:val="310"/>
        </w:trPr>
        <w:tc>
          <w:tcPr>
            <w:tcW w:w="2160" w:type="dxa"/>
            <w:vMerge w:val="restart"/>
            <w:tcBorders>
              <w:top w:val="nil"/>
              <w:left w:val="single" w:sz="4" w:space="0" w:color="auto"/>
              <w:bottom w:val="single" w:sz="4" w:space="0" w:color="auto"/>
              <w:right w:val="single" w:sz="4" w:space="0" w:color="auto"/>
            </w:tcBorders>
            <w:noWrap/>
            <w:vAlign w:val="center"/>
            <w:hideMark/>
          </w:tcPr>
          <w:p w14:paraId="1D908634"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College</w:t>
            </w:r>
          </w:p>
        </w:tc>
        <w:tc>
          <w:tcPr>
            <w:tcW w:w="1980" w:type="dxa"/>
            <w:tcBorders>
              <w:top w:val="nil"/>
              <w:left w:val="nil"/>
              <w:bottom w:val="single" w:sz="4" w:space="0" w:color="auto"/>
              <w:right w:val="single" w:sz="4" w:space="0" w:color="auto"/>
            </w:tcBorders>
            <w:noWrap/>
            <w:vAlign w:val="bottom"/>
            <w:hideMark/>
          </w:tcPr>
          <w:p w14:paraId="4C7934AF"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 xml:space="preserve">Male </w:t>
            </w:r>
          </w:p>
        </w:tc>
        <w:tc>
          <w:tcPr>
            <w:tcW w:w="2250" w:type="dxa"/>
            <w:tcBorders>
              <w:top w:val="nil"/>
              <w:left w:val="nil"/>
              <w:bottom w:val="single" w:sz="4" w:space="0" w:color="auto"/>
              <w:right w:val="single" w:sz="4" w:space="0" w:color="auto"/>
            </w:tcBorders>
            <w:noWrap/>
            <w:vAlign w:val="bottom"/>
            <w:hideMark/>
          </w:tcPr>
          <w:p w14:paraId="60E6F577"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86</w:t>
            </w:r>
          </w:p>
        </w:tc>
        <w:tc>
          <w:tcPr>
            <w:tcW w:w="2250" w:type="dxa"/>
            <w:tcBorders>
              <w:top w:val="nil"/>
              <w:left w:val="nil"/>
              <w:bottom w:val="single" w:sz="4" w:space="0" w:color="auto"/>
              <w:right w:val="single" w:sz="4" w:space="0" w:color="auto"/>
            </w:tcBorders>
            <w:noWrap/>
            <w:vAlign w:val="bottom"/>
            <w:hideMark/>
          </w:tcPr>
          <w:p w14:paraId="1763B28C"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27.10%</w:t>
            </w:r>
          </w:p>
        </w:tc>
      </w:tr>
      <w:tr w:rsidR="00C0415C" w:rsidRPr="00C0415C" w14:paraId="22A49F1A"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3A98BB66"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105A12A5"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Female</w:t>
            </w:r>
          </w:p>
        </w:tc>
        <w:tc>
          <w:tcPr>
            <w:tcW w:w="2250" w:type="dxa"/>
            <w:tcBorders>
              <w:top w:val="nil"/>
              <w:left w:val="nil"/>
              <w:bottom w:val="single" w:sz="4" w:space="0" w:color="auto"/>
              <w:right w:val="single" w:sz="4" w:space="0" w:color="auto"/>
            </w:tcBorders>
            <w:noWrap/>
            <w:vAlign w:val="bottom"/>
            <w:hideMark/>
          </w:tcPr>
          <w:p w14:paraId="6A8A0E91"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231</w:t>
            </w:r>
          </w:p>
        </w:tc>
        <w:tc>
          <w:tcPr>
            <w:tcW w:w="2250" w:type="dxa"/>
            <w:tcBorders>
              <w:top w:val="nil"/>
              <w:left w:val="nil"/>
              <w:bottom w:val="single" w:sz="4" w:space="0" w:color="auto"/>
              <w:right w:val="single" w:sz="4" w:space="0" w:color="auto"/>
            </w:tcBorders>
            <w:noWrap/>
            <w:vAlign w:val="bottom"/>
            <w:hideMark/>
          </w:tcPr>
          <w:p w14:paraId="4D5DCD95"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72.90%</w:t>
            </w:r>
          </w:p>
        </w:tc>
      </w:tr>
      <w:tr w:rsidR="00C0415C" w:rsidRPr="00C0415C" w14:paraId="1D07376D"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20787759"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48874F13"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250" w:type="dxa"/>
            <w:tcBorders>
              <w:top w:val="nil"/>
              <w:left w:val="nil"/>
              <w:bottom w:val="single" w:sz="4" w:space="0" w:color="auto"/>
              <w:right w:val="single" w:sz="4" w:space="0" w:color="auto"/>
            </w:tcBorders>
            <w:noWrap/>
            <w:vAlign w:val="bottom"/>
            <w:hideMark/>
          </w:tcPr>
          <w:p w14:paraId="09F15928"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317</w:t>
            </w:r>
          </w:p>
        </w:tc>
        <w:tc>
          <w:tcPr>
            <w:tcW w:w="2250" w:type="dxa"/>
            <w:tcBorders>
              <w:top w:val="nil"/>
              <w:left w:val="nil"/>
              <w:bottom w:val="single" w:sz="4" w:space="0" w:color="auto"/>
              <w:right w:val="single" w:sz="4" w:space="0" w:color="auto"/>
            </w:tcBorders>
            <w:noWrap/>
            <w:vAlign w:val="bottom"/>
            <w:hideMark/>
          </w:tcPr>
          <w:p w14:paraId="0AF6116D"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57A907E5" w14:textId="77777777" w:rsidR="001D6E4E" w:rsidRPr="00C0415C" w:rsidRDefault="001D6E4E" w:rsidP="00C0415C">
      <w:pPr>
        <w:jc w:val="both"/>
        <w:rPr>
          <w:rFonts w:ascii="Arial" w:hAnsi="Arial" w:cs="Arial"/>
        </w:rPr>
      </w:pPr>
    </w:p>
    <w:p w14:paraId="47F92D15" w14:textId="5915D91D" w:rsidR="00C0415C" w:rsidRPr="00C0415C" w:rsidRDefault="00C0415C" w:rsidP="00C0415C">
      <w:pPr>
        <w:ind w:left="720" w:hanging="720"/>
        <w:jc w:val="both"/>
        <w:rPr>
          <w:rFonts w:ascii="Arial" w:hAnsi="Arial" w:cs="Arial"/>
          <w:b/>
          <w:bCs/>
        </w:rPr>
      </w:pPr>
      <w:r w:rsidRPr="00C0415C">
        <w:rPr>
          <w:rFonts w:ascii="Arial" w:hAnsi="Arial" w:cs="Arial"/>
          <w:b/>
          <w:bCs/>
        </w:rPr>
        <w:t>Table 2. Demographic Profile of Basic Education Students in terms of Grade Level</w:t>
      </w:r>
    </w:p>
    <w:tbl>
      <w:tblPr>
        <w:tblW w:w="8730" w:type="dxa"/>
        <w:tblInd w:w="-5" w:type="dxa"/>
        <w:tblLook w:val="04A0" w:firstRow="1" w:lastRow="0" w:firstColumn="1" w:lastColumn="0" w:noHBand="0" w:noVBand="1"/>
      </w:tblPr>
      <w:tblGrid>
        <w:gridCol w:w="2970"/>
        <w:gridCol w:w="2790"/>
        <w:gridCol w:w="2970"/>
      </w:tblGrid>
      <w:tr w:rsidR="00C0415C" w:rsidRPr="00C0415C" w14:paraId="27DF3527" w14:textId="77777777" w:rsidTr="00FD64E6">
        <w:trPr>
          <w:trHeight w:val="31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D435E17"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Grade Level</w:t>
            </w:r>
          </w:p>
        </w:tc>
        <w:tc>
          <w:tcPr>
            <w:tcW w:w="2790" w:type="dxa"/>
            <w:tcBorders>
              <w:top w:val="single" w:sz="4" w:space="0" w:color="auto"/>
              <w:left w:val="nil"/>
              <w:bottom w:val="single" w:sz="4" w:space="0" w:color="auto"/>
              <w:right w:val="single" w:sz="4" w:space="0" w:color="auto"/>
            </w:tcBorders>
            <w:noWrap/>
            <w:vAlign w:val="bottom"/>
            <w:hideMark/>
          </w:tcPr>
          <w:p w14:paraId="5C7D5B91"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970" w:type="dxa"/>
            <w:tcBorders>
              <w:top w:val="single" w:sz="4" w:space="0" w:color="auto"/>
              <w:left w:val="nil"/>
              <w:bottom w:val="single" w:sz="4" w:space="0" w:color="auto"/>
              <w:right w:val="single" w:sz="4" w:space="0" w:color="auto"/>
            </w:tcBorders>
            <w:noWrap/>
            <w:vAlign w:val="bottom"/>
            <w:hideMark/>
          </w:tcPr>
          <w:p w14:paraId="502EA0E4"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1A5B207C" w14:textId="77777777" w:rsidTr="00FD64E6">
        <w:trPr>
          <w:trHeight w:val="250"/>
        </w:trPr>
        <w:tc>
          <w:tcPr>
            <w:tcW w:w="2970" w:type="dxa"/>
            <w:tcBorders>
              <w:top w:val="nil"/>
              <w:left w:val="single" w:sz="4" w:space="0" w:color="auto"/>
              <w:bottom w:val="single" w:sz="4" w:space="0" w:color="auto"/>
              <w:right w:val="single" w:sz="4" w:space="0" w:color="auto"/>
            </w:tcBorders>
            <w:noWrap/>
            <w:vAlign w:val="bottom"/>
            <w:hideMark/>
          </w:tcPr>
          <w:p w14:paraId="3906E95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7</w:t>
            </w:r>
          </w:p>
        </w:tc>
        <w:tc>
          <w:tcPr>
            <w:tcW w:w="2790" w:type="dxa"/>
            <w:tcBorders>
              <w:top w:val="nil"/>
              <w:left w:val="nil"/>
              <w:bottom w:val="single" w:sz="4" w:space="0" w:color="auto"/>
              <w:right w:val="single" w:sz="4" w:space="0" w:color="auto"/>
            </w:tcBorders>
            <w:noWrap/>
            <w:vAlign w:val="bottom"/>
            <w:hideMark/>
          </w:tcPr>
          <w:p w14:paraId="59329615"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7</w:t>
            </w:r>
          </w:p>
        </w:tc>
        <w:tc>
          <w:tcPr>
            <w:tcW w:w="2970" w:type="dxa"/>
            <w:tcBorders>
              <w:top w:val="nil"/>
              <w:left w:val="nil"/>
              <w:bottom w:val="single" w:sz="4" w:space="0" w:color="auto"/>
              <w:right w:val="single" w:sz="4" w:space="0" w:color="auto"/>
            </w:tcBorders>
            <w:noWrap/>
            <w:vAlign w:val="bottom"/>
            <w:hideMark/>
          </w:tcPr>
          <w:p w14:paraId="04B4778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2.60%</w:t>
            </w:r>
          </w:p>
        </w:tc>
      </w:tr>
      <w:tr w:rsidR="00C0415C" w:rsidRPr="00C0415C" w14:paraId="2C99977E" w14:textId="77777777" w:rsidTr="00FD64E6">
        <w:trPr>
          <w:trHeight w:val="250"/>
        </w:trPr>
        <w:tc>
          <w:tcPr>
            <w:tcW w:w="2970" w:type="dxa"/>
            <w:tcBorders>
              <w:top w:val="nil"/>
              <w:left w:val="single" w:sz="4" w:space="0" w:color="auto"/>
              <w:bottom w:val="single" w:sz="4" w:space="0" w:color="auto"/>
              <w:right w:val="single" w:sz="4" w:space="0" w:color="auto"/>
            </w:tcBorders>
            <w:noWrap/>
            <w:vAlign w:val="bottom"/>
            <w:hideMark/>
          </w:tcPr>
          <w:p w14:paraId="34F9FAB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8</w:t>
            </w:r>
          </w:p>
        </w:tc>
        <w:tc>
          <w:tcPr>
            <w:tcW w:w="2790" w:type="dxa"/>
            <w:tcBorders>
              <w:top w:val="nil"/>
              <w:left w:val="nil"/>
              <w:bottom w:val="single" w:sz="4" w:space="0" w:color="auto"/>
              <w:right w:val="single" w:sz="4" w:space="0" w:color="auto"/>
            </w:tcBorders>
            <w:noWrap/>
            <w:vAlign w:val="bottom"/>
            <w:hideMark/>
          </w:tcPr>
          <w:p w14:paraId="7514AEEC"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9</w:t>
            </w:r>
          </w:p>
        </w:tc>
        <w:tc>
          <w:tcPr>
            <w:tcW w:w="2970" w:type="dxa"/>
            <w:tcBorders>
              <w:top w:val="nil"/>
              <w:left w:val="nil"/>
              <w:bottom w:val="single" w:sz="4" w:space="0" w:color="auto"/>
              <w:right w:val="single" w:sz="4" w:space="0" w:color="auto"/>
            </w:tcBorders>
            <w:noWrap/>
            <w:vAlign w:val="bottom"/>
            <w:hideMark/>
          </w:tcPr>
          <w:p w14:paraId="35878F84"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3.40%</w:t>
            </w:r>
          </w:p>
        </w:tc>
      </w:tr>
      <w:tr w:rsidR="00C0415C" w:rsidRPr="00C0415C" w14:paraId="4A12BEB6"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1B557CC4"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9</w:t>
            </w:r>
          </w:p>
        </w:tc>
        <w:tc>
          <w:tcPr>
            <w:tcW w:w="2790" w:type="dxa"/>
            <w:tcBorders>
              <w:top w:val="nil"/>
              <w:left w:val="nil"/>
              <w:bottom w:val="single" w:sz="4" w:space="0" w:color="auto"/>
              <w:right w:val="single" w:sz="4" w:space="0" w:color="auto"/>
            </w:tcBorders>
            <w:noWrap/>
            <w:vAlign w:val="bottom"/>
            <w:hideMark/>
          </w:tcPr>
          <w:p w14:paraId="39A0235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44</w:t>
            </w:r>
          </w:p>
        </w:tc>
        <w:tc>
          <w:tcPr>
            <w:tcW w:w="2970" w:type="dxa"/>
            <w:tcBorders>
              <w:top w:val="nil"/>
              <w:left w:val="nil"/>
              <w:bottom w:val="single" w:sz="4" w:space="0" w:color="auto"/>
              <w:right w:val="single" w:sz="4" w:space="0" w:color="auto"/>
            </w:tcBorders>
            <w:noWrap/>
            <w:vAlign w:val="bottom"/>
            <w:hideMark/>
          </w:tcPr>
          <w:p w14:paraId="4F7802D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16.40%</w:t>
            </w:r>
          </w:p>
        </w:tc>
      </w:tr>
      <w:tr w:rsidR="00C0415C" w:rsidRPr="00C0415C" w14:paraId="4CCFF0D0"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C2B319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10</w:t>
            </w:r>
          </w:p>
        </w:tc>
        <w:tc>
          <w:tcPr>
            <w:tcW w:w="2790" w:type="dxa"/>
            <w:tcBorders>
              <w:top w:val="nil"/>
              <w:left w:val="nil"/>
              <w:bottom w:val="single" w:sz="4" w:space="0" w:color="auto"/>
              <w:right w:val="single" w:sz="4" w:space="0" w:color="auto"/>
            </w:tcBorders>
            <w:noWrap/>
            <w:vAlign w:val="bottom"/>
            <w:hideMark/>
          </w:tcPr>
          <w:p w14:paraId="301985A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72</w:t>
            </w:r>
          </w:p>
        </w:tc>
        <w:tc>
          <w:tcPr>
            <w:tcW w:w="2970" w:type="dxa"/>
            <w:tcBorders>
              <w:top w:val="nil"/>
              <w:left w:val="nil"/>
              <w:bottom w:val="single" w:sz="4" w:space="0" w:color="auto"/>
              <w:right w:val="single" w:sz="4" w:space="0" w:color="auto"/>
            </w:tcBorders>
            <w:noWrap/>
            <w:vAlign w:val="bottom"/>
            <w:hideMark/>
          </w:tcPr>
          <w:p w14:paraId="5E28584A"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26.90%</w:t>
            </w:r>
          </w:p>
        </w:tc>
      </w:tr>
      <w:tr w:rsidR="00C0415C" w:rsidRPr="00C0415C" w14:paraId="142E9896"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605644E9"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11</w:t>
            </w:r>
          </w:p>
        </w:tc>
        <w:tc>
          <w:tcPr>
            <w:tcW w:w="2790" w:type="dxa"/>
            <w:tcBorders>
              <w:top w:val="nil"/>
              <w:left w:val="nil"/>
              <w:bottom w:val="single" w:sz="4" w:space="0" w:color="auto"/>
              <w:right w:val="single" w:sz="4" w:space="0" w:color="auto"/>
            </w:tcBorders>
            <w:noWrap/>
            <w:vAlign w:val="bottom"/>
            <w:hideMark/>
          </w:tcPr>
          <w:p w14:paraId="689E8751"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19</w:t>
            </w:r>
          </w:p>
        </w:tc>
        <w:tc>
          <w:tcPr>
            <w:tcW w:w="2970" w:type="dxa"/>
            <w:tcBorders>
              <w:top w:val="nil"/>
              <w:left w:val="nil"/>
              <w:bottom w:val="single" w:sz="4" w:space="0" w:color="auto"/>
              <w:right w:val="single" w:sz="4" w:space="0" w:color="auto"/>
            </w:tcBorders>
            <w:noWrap/>
            <w:vAlign w:val="bottom"/>
            <w:hideMark/>
          </w:tcPr>
          <w:p w14:paraId="24BA251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7.10%</w:t>
            </w:r>
          </w:p>
        </w:tc>
      </w:tr>
      <w:tr w:rsidR="00C0415C" w:rsidRPr="00C0415C" w14:paraId="3FAA2AF0"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5AA07E2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12</w:t>
            </w:r>
          </w:p>
        </w:tc>
        <w:tc>
          <w:tcPr>
            <w:tcW w:w="2790" w:type="dxa"/>
            <w:tcBorders>
              <w:top w:val="nil"/>
              <w:left w:val="nil"/>
              <w:bottom w:val="single" w:sz="4" w:space="0" w:color="auto"/>
              <w:right w:val="single" w:sz="4" w:space="0" w:color="auto"/>
            </w:tcBorders>
            <w:noWrap/>
            <w:vAlign w:val="bottom"/>
            <w:hideMark/>
          </w:tcPr>
          <w:p w14:paraId="5A1522FE"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117</w:t>
            </w:r>
          </w:p>
        </w:tc>
        <w:tc>
          <w:tcPr>
            <w:tcW w:w="2970" w:type="dxa"/>
            <w:tcBorders>
              <w:top w:val="nil"/>
              <w:left w:val="nil"/>
              <w:bottom w:val="single" w:sz="4" w:space="0" w:color="auto"/>
              <w:right w:val="single" w:sz="4" w:space="0" w:color="auto"/>
            </w:tcBorders>
            <w:noWrap/>
            <w:vAlign w:val="bottom"/>
            <w:hideMark/>
          </w:tcPr>
          <w:p w14:paraId="77EC4F46"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43.70%</w:t>
            </w:r>
          </w:p>
        </w:tc>
      </w:tr>
      <w:tr w:rsidR="00C0415C" w:rsidRPr="00C0415C" w14:paraId="34A950DB"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7E3E126C"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790" w:type="dxa"/>
            <w:tcBorders>
              <w:top w:val="nil"/>
              <w:left w:val="nil"/>
              <w:bottom w:val="single" w:sz="4" w:space="0" w:color="auto"/>
              <w:right w:val="single" w:sz="4" w:space="0" w:color="auto"/>
            </w:tcBorders>
            <w:noWrap/>
            <w:vAlign w:val="bottom"/>
            <w:hideMark/>
          </w:tcPr>
          <w:p w14:paraId="2E55C640"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268</w:t>
            </w:r>
          </w:p>
        </w:tc>
        <w:tc>
          <w:tcPr>
            <w:tcW w:w="2970" w:type="dxa"/>
            <w:tcBorders>
              <w:top w:val="nil"/>
              <w:left w:val="nil"/>
              <w:bottom w:val="single" w:sz="4" w:space="0" w:color="auto"/>
              <w:right w:val="single" w:sz="4" w:space="0" w:color="auto"/>
            </w:tcBorders>
            <w:noWrap/>
            <w:vAlign w:val="bottom"/>
            <w:hideMark/>
          </w:tcPr>
          <w:p w14:paraId="2BA35965"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411E1B05" w14:textId="77777777" w:rsidR="001D6E4E" w:rsidRPr="00D40413" w:rsidRDefault="001D6E4E" w:rsidP="00D40413">
      <w:pPr>
        <w:jc w:val="both"/>
        <w:rPr>
          <w:lang w:val="en-PH"/>
        </w:rPr>
      </w:pPr>
    </w:p>
    <w:p w14:paraId="760E2E88" w14:textId="0C2EEB58" w:rsidR="00C0415C" w:rsidRPr="00C0415C" w:rsidRDefault="00C0415C" w:rsidP="00C0415C">
      <w:pPr>
        <w:ind w:left="720" w:hanging="720"/>
        <w:jc w:val="both"/>
        <w:rPr>
          <w:rFonts w:ascii="Arial" w:hAnsi="Arial" w:cs="Arial"/>
          <w:b/>
          <w:bCs/>
        </w:rPr>
      </w:pPr>
      <w:r w:rsidRPr="00C0415C">
        <w:rPr>
          <w:rFonts w:ascii="Arial" w:hAnsi="Arial" w:cs="Arial"/>
          <w:b/>
          <w:bCs/>
        </w:rPr>
        <w:t xml:space="preserve">Table </w:t>
      </w:r>
      <w:r>
        <w:rPr>
          <w:rFonts w:ascii="Arial" w:hAnsi="Arial" w:cs="Arial"/>
          <w:b/>
          <w:bCs/>
        </w:rPr>
        <w:t>3</w:t>
      </w:r>
      <w:r w:rsidRPr="00C0415C">
        <w:rPr>
          <w:rFonts w:ascii="Arial" w:hAnsi="Arial" w:cs="Arial"/>
          <w:b/>
          <w:bCs/>
        </w:rPr>
        <w:t>. Demographic Profile of College Students in terms of Program</w:t>
      </w:r>
    </w:p>
    <w:tbl>
      <w:tblPr>
        <w:tblW w:w="8730" w:type="dxa"/>
        <w:tblInd w:w="-5" w:type="dxa"/>
        <w:tblLook w:val="04A0" w:firstRow="1" w:lastRow="0" w:firstColumn="1" w:lastColumn="0" w:noHBand="0" w:noVBand="1"/>
      </w:tblPr>
      <w:tblGrid>
        <w:gridCol w:w="2970"/>
        <w:gridCol w:w="2790"/>
        <w:gridCol w:w="2970"/>
      </w:tblGrid>
      <w:tr w:rsidR="00C0415C" w:rsidRPr="00C0415C" w14:paraId="5BE22A78" w14:textId="77777777" w:rsidTr="00FD64E6">
        <w:trPr>
          <w:trHeight w:val="31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191C057B"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Program</w:t>
            </w:r>
          </w:p>
        </w:tc>
        <w:tc>
          <w:tcPr>
            <w:tcW w:w="2790" w:type="dxa"/>
            <w:tcBorders>
              <w:top w:val="single" w:sz="4" w:space="0" w:color="auto"/>
              <w:left w:val="nil"/>
              <w:bottom w:val="single" w:sz="4" w:space="0" w:color="auto"/>
              <w:right w:val="single" w:sz="4" w:space="0" w:color="auto"/>
            </w:tcBorders>
            <w:noWrap/>
            <w:vAlign w:val="bottom"/>
            <w:hideMark/>
          </w:tcPr>
          <w:p w14:paraId="630AECB7"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970" w:type="dxa"/>
            <w:tcBorders>
              <w:top w:val="single" w:sz="4" w:space="0" w:color="auto"/>
              <w:left w:val="nil"/>
              <w:bottom w:val="single" w:sz="4" w:space="0" w:color="auto"/>
              <w:right w:val="single" w:sz="4" w:space="0" w:color="auto"/>
            </w:tcBorders>
            <w:noWrap/>
            <w:vAlign w:val="bottom"/>
            <w:hideMark/>
          </w:tcPr>
          <w:p w14:paraId="352808B0"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64CA89F7"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0E8411F7" w14:textId="77777777" w:rsidR="00C0415C" w:rsidRPr="00C0415C" w:rsidRDefault="00C0415C" w:rsidP="00FD64E6">
            <w:pPr>
              <w:ind w:left="720" w:hanging="720"/>
              <w:jc w:val="both"/>
              <w:rPr>
                <w:rFonts w:ascii="Arial" w:hAnsi="Arial" w:cs="Arial"/>
                <w:color w:val="000000"/>
                <w:lang w:eastAsia="en-PH"/>
              </w:rPr>
            </w:pPr>
            <w:proofErr w:type="spellStart"/>
            <w:r w:rsidRPr="00C0415C">
              <w:rPr>
                <w:rFonts w:ascii="Arial" w:hAnsi="Arial" w:cs="Arial"/>
                <w:color w:val="000000"/>
                <w:lang w:eastAsia="en-PH"/>
              </w:rPr>
              <w:t>BEEd</w:t>
            </w:r>
            <w:proofErr w:type="spellEnd"/>
          </w:p>
        </w:tc>
        <w:tc>
          <w:tcPr>
            <w:tcW w:w="2790" w:type="dxa"/>
            <w:tcBorders>
              <w:top w:val="nil"/>
              <w:left w:val="nil"/>
              <w:bottom w:val="single" w:sz="4" w:space="0" w:color="auto"/>
              <w:right w:val="single" w:sz="4" w:space="0" w:color="auto"/>
            </w:tcBorders>
            <w:noWrap/>
            <w:vAlign w:val="bottom"/>
            <w:hideMark/>
          </w:tcPr>
          <w:p w14:paraId="7BB1F86F"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12</w:t>
            </w:r>
          </w:p>
        </w:tc>
        <w:tc>
          <w:tcPr>
            <w:tcW w:w="2970" w:type="dxa"/>
            <w:tcBorders>
              <w:top w:val="nil"/>
              <w:left w:val="nil"/>
              <w:bottom w:val="single" w:sz="4" w:space="0" w:color="auto"/>
              <w:right w:val="single" w:sz="4" w:space="0" w:color="auto"/>
            </w:tcBorders>
            <w:noWrap/>
            <w:vAlign w:val="bottom"/>
            <w:hideMark/>
          </w:tcPr>
          <w:p w14:paraId="7594B401"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3.8%</w:t>
            </w:r>
          </w:p>
        </w:tc>
      </w:tr>
      <w:tr w:rsidR="00C0415C" w:rsidRPr="00C0415C" w14:paraId="68555B53"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91BAF75" w14:textId="77777777" w:rsidR="00C0415C" w:rsidRPr="00C0415C" w:rsidRDefault="00C0415C" w:rsidP="00FD64E6">
            <w:pPr>
              <w:ind w:left="720" w:hanging="720"/>
              <w:jc w:val="both"/>
              <w:rPr>
                <w:rFonts w:ascii="Arial" w:hAnsi="Arial" w:cs="Arial"/>
                <w:color w:val="000000"/>
                <w:lang w:eastAsia="en-PH"/>
              </w:rPr>
            </w:pPr>
            <w:proofErr w:type="spellStart"/>
            <w:r w:rsidRPr="00C0415C">
              <w:rPr>
                <w:rFonts w:ascii="Arial" w:hAnsi="Arial" w:cs="Arial"/>
                <w:color w:val="000000"/>
                <w:lang w:eastAsia="en-PH"/>
              </w:rPr>
              <w:t>BSEd</w:t>
            </w:r>
            <w:proofErr w:type="spellEnd"/>
          </w:p>
        </w:tc>
        <w:tc>
          <w:tcPr>
            <w:tcW w:w="2790" w:type="dxa"/>
            <w:tcBorders>
              <w:top w:val="nil"/>
              <w:left w:val="nil"/>
              <w:bottom w:val="single" w:sz="4" w:space="0" w:color="auto"/>
              <w:right w:val="single" w:sz="4" w:space="0" w:color="auto"/>
            </w:tcBorders>
            <w:noWrap/>
            <w:vAlign w:val="bottom"/>
            <w:hideMark/>
          </w:tcPr>
          <w:p w14:paraId="4626F67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97</w:t>
            </w:r>
          </w:p>
        </w:tc>
        <w:tc>
          <w:tcPr>
            <w:tcW w:w="2970" w:type="dxa"/>
            <w:tcBorders>
              <w:top w:val="nil"/>
              <w:left w:val="nil"/>
              <w:bottom w:val="single" w:sz="4" w:space="0" w:color="auto"/>
              <w:right w:val="single" w:sz="4" w:space="0" w:color="auto"/>
            </w:tcBorders>
            <w:noWrap/>
            <w:vAlign w:val="bottom"/>
            <w:hideMark/>
          </w:tcPr>
          <w:p w14:paraId="5FCA20B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30.6%</w:t>
            </w:r>
          </w:p>
        </w:tc>
      </w:tr>
      <w:tr w:rsidR="00C0415C" w:rsidRPr="00C0415C" w14:paraId="79E7C027"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2D9D795D" w14:textId="77777777" w:rsidR="00C0415C" w:rsidRPr="00C0415C" w:rsidRDefault="00C0415C" w:rsidP="00FD64E6">
            <w:pPr>
              <w:ind w:left="720" w:hanging="720"/>
              <w:jc w:val="both"/>
              <w:rPr>
                <w:rFonts w:ascii="Arial" w:hAnsi="Arial" w:cs="Arial"/>
                <w:color w:val="000000"/>
                <w:lang w:eastAsia="en-PH"/>
              </w:rPr>
            </w:pPr>
            <w:proofErr w:type="spellStart"/>
            <w:r w:rsidRPr="00C0415C">
              <w:rPr>
                <w:rFonts w:ascii="Arial" w:hAnsi="Arial" w:cs="Arial"/>
                <w:color w:val="000000"/>
                <w:lang w:eastAsia="en-PH"/>
              </w:rPr>
              <w:t>BPEd</w:t>
            </w:r>
            <w:proofErr w:type="spellEnd"/>
          </w:p>
        </w:tc>
        <w:tc>
          <w:tcPr>
            <w:tcW w:w="2790" w:type="dxa"/>
            <w:tcBorders>
              <w:top w:val="nil"/>
              <w:left w:val="nil"/>
              <w:bottom w:val="single" w:sz="4" w:space="0" w:color="auto"/>
              <w:right w:val="single" w:sz="4" w:space="0" w:color="auto"/>
            </w:tcBorders>
            <w:noWrap/>
            <w:vAlign w:val="bottom"/>
            <w:hideMark/>
          </w:tcPr>
          <w:p w14:paraId="0D45A214"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w:t>
            </w:r>
          </w:p>
        </w:tc>
        <w:tc>
          <w:tcPr>
            <w:tcW w:w="2970" w:type="dxa"/>
            <w:tcBorders>
              <w:top w:val="nil"/>
              <w:left w:val="nil"/>
              <w:bottom w:val="single" w:sz="4" w:space="0" w:color="auto"/>
              <w:right w:val="single" w:sz="4" w:space="0" w:color="auto"/>
            </w:tcBorders>
            <w:noWrap/>
            <w:vAlign w:val="bottom"/>
            <w:hideMark/>
          </w:tcPr>
          <w:p w14:paraId="4367A31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1.3%</w:t>
            </w:r>
          </w:p>
        </w:tc>
      </w:tr>
      <w:tr w:rsidR="00C0415C" w:rsidRPr="00C0415C" w14:paraId="6C0914E9"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AC39779"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AB</w:t>
            </w:r>
          </w:p>
        </w:tc>
        <w:tc>
          <w:tcPr>
            <w:tcW w:w="2790" w:type="dxa"/>
            <w:tcBorders>
              <w:top w:val="nil"/>
              <w:left w:val="nil"/>
              <w:bottom w:val="single" w:sz="4" w:space="0" w:color="auto"/>
              <w:right w:val="single" w:sz="4" w:space="0" w:color="auto"/>
            </w:tcBorders>
            <w:noWrap/>
            <w:vAlign w:val="bottom"/>
            <w:hideMark/>
          </w:tcPr>
          <w:p w14:paraId="4C96C7CF"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93</w:t>
            </w:r>
          </w:p>
        </w:tc>
        <w:tc>
          <w:tcPr>
            <w:tcW w:w="2970" w:type="dxa"/>
            <w:tcBorders>
              <w:top w:val="nil"/>
              <w:left w:val="nil"/>
              <w:bottom w:val="single" w:sz="4" w:space="0" w:color="auto"/>
              <w:right w:val="single" w:sz="4" w:space="0" w:color="auto"/>
            </w:tcBorders>
            <w:noWrap/>
            <w:vAlign w:val="bottom"/>
            <w:hideMark/>
          </w:tcPr>
          <w:p w14:paraId="4F7C3BA5"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29.3%</w:t>
            </w:r>
          </w:p>
        </w:tc>
      </w:tr>
      <w:tr w:rsidR="00C0415C" w:rsidRPr="00C0415C" w14:paraId="34D9A347"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3374250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BSBA</w:t>
            </w:r>
          </w:p>
        </w:tc>
        <w:tc>
          <w:tcPr>
            <w:tcW w:w="2790" w:type="dxa"/>
            <w:tcBorders>
              <w:top w:val="nil"/>
              <w:left w:val="nil"/>
              <w:bottom w:val="single" w:sz="4" w:space="0" w:color="auto"/>
              <w:right w:val="single" w:sz="4" w:space="0" w:color="auto"/>
            </w:tcBorders>
            <w:noWrap/>
            <w:vAlign w:val="bottom"/>
            <w:hideMark/>
          </w:tcPr>
          <w:p w14:paraId="09BD7D7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111</w:t>
            </w:r>
          </w:p>
        </w:tc>
        <w:tc>
          <w:tcPr>
            <w:tcW w:w="2970" w:type="dxa"/>
            <w:tcBorders>
              <w:top w:val="nil"/>
              <w:left w:val="nil"/>
              <w:bottom w:val="single" w:sz="4" w:space="0" w:color="auto"/>
              <w:right w:val="single" w:sz="4" w:space="0" w:color="auto"/>
            </w:tcBorders>
            <w:noWrap/>
            <w:vAlign w:val="bottom"/>
            <w:hideMark/>
          </w:tcPr>
          <w:p w14:paraId="45825A9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35%</w:t>
            </w:r>
          </w:p>
        </w:tc>
      </w:tr>
      <w:tr w:rsidR="00C0415C" w:rsidRPr="00C0415C" w14:paraId="31677F48"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1C59A786"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790" w:type="dxa"/>
            <w:tcBorders>
              <w:top w:val="nil"/>
              <w:left w:val="nil"/>
              <w:bottom w:val="single" w:sz="4" w:space="0" w:color="auto"/>
              <w:right w:val="single" w:sz="4" w:space="0" w:color="auto"/>
            </w:tcBorders>
            <w:noWrap/>
            <w:vAlign w:val="bottom"/>
            <w:hideMark/>
          </w:tcPr>
          <w:p w14:paraId="367C7328"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317</w:t>
            </w:r>
          </w:p>
        </w:tc>
        <w:tc>
          <w:tcPr>
            <w:tcW w:w="2970" w:type="dxa"/>
            <w:tcBorders>
              <w:top w:val="nil"/>
              <w:left w:val="nil"/>
              <w:bottom w:val="single" w:sz="4" w:space="0" w:color="auto"/>
              <w:right w:val="single" w:sz="4" w:space="0" w:color="auto"/>
            </w:tcBorders>
            <w:noWrap/>
            <w:vAlign w:val="bottom"/>
            <w:hideMark/>
          </w:tcPr>
          <w:p w14:paraId="5F5A9734"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2D8327BB" w14:textId="77777777" w:rsidR="00D40413" w:rsidRDefault="00D40413" w:rsidP="00C65F89">
      <w:pPr>
        <w:jc w:val="both"/>
      </w:pPr>
    </w:p>
    <w:p w14:paraId="1300DBD3" w14:textId="2093F298" w:rsidR="00C0415C" w:rsidRPr="00C0415C" w:rsidRDefault="00C0415C" w:rsidP="00C0415C">
      <w:pPr>
        <w:ind w:left="720" w:hanging="720"/>
        <w:jc w:val="both"/>
        <w:rPr>
          <w:rFonts w:ascii="Arial" w:hAnsi="Arial" w:cs="Arial"/>
          <w:b/>
          <w:bCs/>
        </w:rPr>
      </w:pPr>
      <w:r w:rsidRPr="00C0415C">
        <w:rPr>
          <w:rFonts w:ascii="Arial" w:hAnsi="Arial" w:cs="Arial"/>
          <w:b/>
          <w:bCs/>
        </w:rPr>
        <w:t xml:space="preserve">Table </w:t>
      </w:r>
      <w:r w:rsidR="0032066F">
        <w:rPr>
          <w:rFonts w:ascii="Arial" w:hAnsi="Arial" w:cs="Arial"/>
          <w:b/>
          <w:bCs/>
        </w:rPr>
        <w:t>4</w:t>
      </w:r>
      <w:r w:rsidRPr="00C0415C">
        <w:rPr>
          <w:rFonts w:ascii="Arial" w:hAnsi="Arial" w:cs="Arial"/>
          <w:b/>
          <w:bCs/>
        </w:rPr>
        <w:t>. Demographic Profile of College Students in terms of Year Level</w:t>
      </w:r>
    </w:p>
    <w:tbl>
      <w:tblPr>
        <w:tblW w:w="8730" w:type="dxa"/>
        <w:tblInd w:w="-5" w:type="dxa"/>
        <w:tblLook w:val="04A0" w:firstRow="1" w:lastRow="0" w:firstColumn="1" w:lastColumn="0" w:noHBand="0" w:noVBand="1"/>
      </w:tblPr>
      <w:tblGrid>
        <w:gridCol w:w="2970"/>
        <w:gridCol w:w="2880"/>
        <w:gridCol w:w="2880"/>
      </w:tblGrid>
      <w:tr w:rsidR="00C0415C" w:rsidRPr="00C0415C" w14:paraId="0191591A" w14:textId="77777777" w:rsidTr="00FD64E6">
        <w:trPr>
          <w:trHeight w:val="31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2FDF2D0"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Year Level</w:t>
            </w:r>
          </w:p>
        </w:tc>
        <w:tc>
          <w:tcPr>
            <w:tcW w:w="2880" w:type="dxa"/>
            <w:tcBorders>
              <w:top w:val="single" w:sz="4" w:space="0" w:color="auto"/>
              <w:left w:val="nil"/>
              <w:bottom w:val="single" w:sz="4" w:space="0" w:color="auto"/>
              <w:right w:val="single" w:sz="4" w:space="0" w:color="auto"/>
            </w:tcBorders>
            <w:noWrap/>
            <w:vAlign w:val="bottom"/>
            <w:hideMark/>
          </w:tcPr>
          <w:p w14:paraId="0358E225"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880" w:type="dxa"/>
            <w:tcBorders>
              <w:top w:val="single" w:sz="4" w:space="0" w:color="auto"/>
              <w:left w:val="nil"/>
              <w:bottom w:val="single" w:sz="4" w:space="0" w:color="auto"/>
              <w:right w:val="single" w:sz="4" w:space="0" w:color="auto"/>
            </w:tcBorders>
            <w:noWrap/>
            <w:vAlign w:val="bottom"/>
            <w:hideMark/>
          </w:tcPr>
          <w:p w14:paraId="03E84AFC"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1EE80A2E"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013ECB9"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First Year</w:t>
            </w:r>
          </w:p>
        </w:tc>
        <w:tc>
          <w:tcPr>
            <w:tcW w:w="2880" w:type="dxa"/>
            <w:tcBorders>
              <w:top w:val="nil"/>
              <w:left w:val="nil"/>
              <w:bottom w:val="single" w:sz="4" w:space="0" w:color="auto"/>
              <w:right w:val="single" w:sz="4" w:space="0" w:color="auto"/>
            </w:tcBorders>
            <w:noWrap/>
            <w:vAlign w:val="bottom"/>
            <w:hideMark/>
          </w:tcPr>
          <w:p w14:paraId="576D4A7A"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47</w:t>
            </w:r>
          </w:p>
        </w:tc>
        <w:tc>
          <w:tcPr>
            <w:tcW w:w="2880" w:type="dxa"/>
            <w:tcBorders>
              <w:top w:val="nil"/>
              <w:left w:val="nil"/>
              <w:bottom w:val="single" w:sz="4" w:space="0" w:color="auto"/>
              <w:right w:val="single" w:sz="4" w:space="0" w:color="auto"/>
            </w:tcBorders>
            <w:noWrap/>
            <w:vAlign w:val="bottom"/>
            <w:hideMark/>
          </w:tcPr>
          <w:p w14:paraId="16CF046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14.90%</w:t>
            </w:r>
          </w:p>
        </w:tc>
      </w:tr>
      <w:tr w:rsidR="00C0415C" w:rsidRPr="00C0415C" w14:paraId="1821B3AF"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6DB53B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Second Year</w:t>
            </w:r>
          </w:p>
        </w:tc>
        <w:tc>
          <w:tcPr>
            <w:tcW w:w="2880" w:type="dxa"/>
            <w:tcBorders>
              <w:top w:val="nil"/>
              <w:left w:val="nil"/>
              <w:bottom w:val="single" w:sz="4" w:space="0" w:color="auto"/>
              <w:right w:val="single" w:sz="4" w:space="0" w:color="auto"/>
            </w:tcBorders>
            <w:noWrap/>
            <w:vAlign w:val="bottom"/>
            <w:hideMark/>
          </w:tcPr>
          <w:p w14:paraId="6728490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37</w:t>
            </w:r>
          </w:p>
        </w:tc>
        <w:tc>
          <w:tcPr>
            <w:tcW w:w="2880" w:type="dxa"/>
            <w:tcBorders>
              <w:top w:val="nil"/>
              <w:left w:val="nil"/>
              <w:bottom w:val="single" w:sz="4" w:space="0" w:color="auto"/>
              <w:right w:val="single" w:sz="4" w:space="0" w:color="auto"/>
            </w:tcBorders>
            <w:noWrap/>
            <w:vAlign w:val="bottom"/>
            <w:hideMark/>
          </w:tcPr>
          <w:p w14:paraId="0F85B94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11.40%</w:t>
            </w:r>
          </w:p>
        </w:tc>
      </w:tr>
      <w:tr w:rsidR="00C0415C" w:rsidRPr="00C0415C" w14:paraId="14C21A20"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5FF700B6"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Third Year</w:t>
            </w:r>
          </w:p>
        </w:tc>
        <w:tc>
          <w:tcPr>
            <w:tcW w:w="2880" w:type="dxa"/>
            <w:tcBorders>
              <w:top w:val="nil"/>
              <w:left w:val="nil"/>
              <w:bottom w:val="single" w:sz="4" w:space="0" w:color="auto"/>
              <w:right w:val="single" w:sz="4" w:space="0" w:color="auto"/>
            </w:tcBorders>
            <w:noWrap/>
            <w:vAlign w:val="bottom"/>
            <w:hideMark/>
          </w:tcPr>
          <w:p w14:paraId="21E3328A"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118</w:t>
            </w:r>
          </w:p>
        </w:tc>
        <w:tc>
          <w:tcPr>
            <w:tcW w:w="2880" w:type="dxa"/>
            <w:tcBorders>
              <w:top w:val="nil"/>
              <w:left w:val="nil"/>
              <w:bottom w:val="single" w:sz="4" w:space="0" w:color="auto"/>
              <w:right w:val="single" w:sz="4" w:space="0" w:color="auto"/>
            </w:tcBorders>
            <w:noWrap/>
            <w:vAlign w:val="bottom"/>
            <w:hideMark/>
          </w:tcPr>
          <w:p w14:paraId="2416AB9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37.80%</w:t>
            </w:r>
          </w:p>
        </w:tc>
      </w:tr>
      <w:tr w:rsidR="00C0415C" w:rsidRPr="00C0415C" w14:paraId="175E3D5A"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7570F5A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Fourth Year</w:t>
            </w:r>
          </w:p>
        </w:tc>
        <w:tc>
          <w:tcPr>
            <w:tcW w:w="2880" w:type="dxa"/>
            <w:tcBorders>
              <w:top w:val="nil"/>
              <w:left w:val="nil"/>
              <w:bottom w:val="single" w:sz="4" w:space="0" w:color="auto"/>
              <w:right w:val="single" w:sz="4" w:space="0" w:color="auto"/>
            </w:tcBorders>
            <w:noWrap/>
            <w:vAlign w:val="bottom"/>
            <w:hideMark/>
          </w:tcPr>
          <w:p w14:paraId="098D9C3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115</w:t>
            </w:r>
          </w:p>
        </w:tc>
        <w:tc>
          <w:tcPr>
            <w:tcW w:w="2880" w:type="dxa"/>
            <w:tcBorders>
              <w:top w:val="nil"/>
              <w:left w:val="nil"/>
              <w:bottom w:val="single" w:sz="4" w:space="0" w:color="auto"/>
              <w:right w:val="single" w:sz="4" w:space="0" w:color="auto"/>
            </w:tcBorders>
            <w:noWrap/>
            <w:vAlign w:val="bottom"/>
            <w:hideMark/>
          </w:tcPr>
          <w:p w14:paraId="18AF47B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36.40%</w:t>
            </w:r>
          </w:p>
        </w:tc>
      </w:tr>
      <w:tr w:rsidR="00C0415C" w:rsidRPr="00C0415C" w14:paraId="38BD71C1"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15645654"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880" w:type="dxa"/>
            <w:tcBorders>
              <w:top w:val="nil"/>
              <w:left w:val="nil"/>
              <w:bottom w:val="single" w:sz="4" w:space="0" w:color="auto"/>
              <w:right w:val="single" w:sz="4" w:space="0" w:color="auto"/>
            </w:tcBorders>
            <w:noWrap/>
            <w:vAlign w:val="bottom"/>
            <w:hideMark/>
          </w:tcPr>
          <w:p w14:paraId="45508392"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317</w:t>
            </w:r>
          </w:p>
        </w:tc>
        <w:tc>
          <w:tcPr>
            <w:tcW w:w="2880" w:type="dxa"/>
            <w:tcBorders>
              <w:top w:val="nil"/>
              <w:left w:val="nil"/>
              <w:bottom w:val="single" w:sz="4" w:space="0" w:color="auto"/>
              <w:right w:val="single" w:sz="4" w:space="0" w:color="auto"/>
            </w:tcBorders>
            <w:noWrap/>
            <w:vAlign w:val="bottom"/>
            <w:hideMark/>
          </w:tcPr>
          <w:p w14:paraId="3CD45493"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498EF23B" w14:textId="77777777" w:rsidR="00D40413" w:rsidRDefault="00D40413" w:rsidP="00C65F89">
      <w:pPr>
        <w:jc w:val="both"/>
        <w:rPr>
          <w:lang w:val="en-PH"/>
        </w:rPr>
      </w:pPr>
    </w:p>
    <w:p w14:paraId="217FCEDE" w14:textId="1A054A7B" w:rsidR="0032066F" w:rsidRPr="0032066F" w:rsidRDefault="0032066F" w:rsidP="0032066F">
      <w:pPr>
        <w:ind w:left="720" w:hanging="720"/>
        <w:jc w:val="both"/>
        <w:rPr>
          <w:rFonts w:ascii="Arial" w:hAnsi="Arial" w:cs="Arial"/>
          <w:b/>
          <w:bCs/>
        </w:rPr>
      </w:pPr>
      <w:r w:rsidRPr="0032066F">
        <w:rPr>
          <w:rFonts w:ascii="Arial" w:hAnsi="Arial" w:cs="Arial"/>
          <w:b/>
          <w:bCs/>
        </w:rPr>
        <w:t>Table 5. Extent of Involvement of the Students in the Community Extension Programs</w:t>
      </w:r>
    </w:p>
    <w:tbl>
      <w:tblPr>
        <w:tblW w:w="9000" w:type="dxa"/>
        <w:tblLook w:val="04A0" w:firstRow="1" w:lastRow="0" w:firstColumn="1" w:lastColumn="0" w:noHBand="0" w:noVBand="1"/>
      </w:tblPr>
      <w:tblGrid>
        <w:gridCol w:w="2700"/>
        <w:gridCol w:w="1990"/>
        <w:gridCol w:w="1790"/>
        <w:gridCol w:w="990"/>
        <w:gridCol w:w="1681"/>
      </w:tblGrid>
      <w:tr w:rsidR="0032066F" w:rsidRPr="0032066F" w14:paraId="3FFD6ACF" w14:textId="77777777" w:rsidTr="00FD64E6">
        <w:trPr>
          <w:trHeight w:val="320"/>
        </w:trPr>
        <w:tc>
          <w:tcPr>
            <w:tcW w:w="2700" w:type="dxa"/>
            <w:tcBorders>
              <w:top w:val="nil"/>
              <w:left w:val="nil"/>
              <w:bottom w:val="nil"/>
              <w:right w:val="nil"/>
            </w:tcBorders>
            <w:noWrap/>
            <w:vAlign w:val="bottom"/>
            <w:hideMark/>
          </w:tcPr>
          <w:p w14:paraId="3F2FE2CE" w14:textId="77777777" w:rsidR="0032066F" w:rsidRPr="0032066F" w:rsidRDefault="0032066F" w:rsidP="00FD64E6">
            <w:pPr>
              <w:jc w:val="center"/>
              <w:rPr>
                <w:rFonts w:ascii="Arial" w:hAnsi="Arial" w:cs="Arial"/>
                <w:b/>
                <w:bCs/>
                <w:color w:val="000000"/>
                <w:lang w:eastAsia="en-PH"/>
              </w:rPr>
            </w:pPr>
            <w:r w:rsidRPr="0032066F">
              <w:rPr>
                <w:rFonts w:ascii="Arial" w:hAnsi="Arial" w:cs="Arial"/>
                <w:b/>
                <w:bCs/>
                <w:color w:val="000000"/>
                <w:lang w:eastAsia="en-PH"/>
              </w:rPr>
              <w:t>Community Extension Programs</w:t>
            </w:r>
          </w:p>
        </w:tc>
        <w:tc>
          <w:tcPr>
            <w:tcW w:w="1990" w:type="dxa"/>
            <w:tcBorders>
              <w:top w:val="nil"/>
              <w:left w:val="nil"/>
              <w:bottom w:val="nil"/>
              <w:right w:val="nil"/>
            </w:tcBorders>
            <w:noWrap/>
            <w:vAlign w:val="bottom"/>
            <w:hideMark/>
          </w:tcPr>
          <w:p w14:paraId="2B1CCF9B" w14:textId="77777777" w:rsidR="0032066F" w:rsidRPr="0032066F" w:rsidRDefault="0032066F" w:rsidP="00FD64E6">
            <w:pPr>
              <w:ind w:left="720" w:hanging="720"/>
              <w:rPr>
                <w:rFonts w:ascii="Arial" w:hAnsi="Arial" w:cs="Arial"/>
                <w:b/>
                <w:bCs/>
                <w:color w:val="000000"/>
                <w:lang w:eastAsia="en-PH"/>
              </w:rPr>
            </w:pPr>
            <w:r w:rsidRPr="0032066F">
              <w:rPr>
                <w:rFonts w:ascii="Arial" w:hAnsi="Arial" w:cs="Arial"/>
                <w:b/>
                <w:bCs/>
                <w:color w:val="000000"/>
                <w:lang w:eastAsia="en-PH"/>
              </w:rPr>
              <w:t>Basic Education</w:t>
            </w:r>
          </w:p>
        </w:tc>
        <w:tc>
          <w:tcPr>
            <w:tcW w:w="1790" w:type="dxa"/>
            <w:tcBorders>
              <w:top w:val="nil"/>
              <w:left w:val="nil"/>
              <w:bottom w:val="nil"/>
              <w:right w:val="nil"/>
            </w:tcBorders>
            <w:noWrap/>
            <w:vAlign w:val="bottom"/>
            <w:hideMark/>
          </w:tcPr>
          <w:p w14:paraId="0B552DD3"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c>
          <w:tcPr>
            <w:tcW w:w="990" w:type="dxa"/>
            <w:tcBorders>
              <w:top w:val="nil"/>
              <w:left w:val="nil"/>
              <w:bottom w:val="nil"/>
              <w:right w:val="nil"/>
            </w:tcBorders>
            <w:noWrap/>
            <w:vAlign w:val="bottom"/>
            <w:hideMark/>
          </w:tcPr>
          <w:p w14:paraId="5DCBBA30"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College</w:t>
            </w:r>
          </w:p>
        </w:tc>
        <w:tc>
          <w:tcPr>
            <w:tcW w:w="1530" w:type="dxa"/>
            <w:tcBorders>
              <w:top w:val="nil"/>
              <w:left w:val="nil"/>
              <w:bottom w:val="nil"/>
              <w:right w:val="nil"/>
            </w:tcBorders>
            <w:noWrap/>
            <w:vAlign w:val="bottom"/>
            <w:hideMark/>
          </w:tcPr>
          <w:p w14:paraId="6BB2A8AA"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r>
      <w:tr w:rsidR="0032066F" w:rsidRPr="0032066F" w14:paraId="7953CFC2" w14:textId="77777777" w:rsidTr="00FD64E6">
        <w:trPr>
          <w:trHeight w:val="310"/>
        </w:trPr>
        <w:tc>
          <w:tcPr>
            <w:tcW w:w="2700" w:type="dxa"/>
            <w:tcBorders>
              <w:top w:val="single" w:sz="8" w:space="0" w:color="auto"/>
              <w:left w:val="single" w:sz="8" w:space="0" w:color="auto"/>
              <w:bottom w:val="nil"/>
              <w:right w:val="nil"/>
            </w:tcBorders>
            <w:noWrap/>
            <w:vAlign w:val="bottom"/>
            <w:hideMark/>
          </w:tcPr>
          <w:p w14:paraId="77F7542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Feeding Program</w:t>
            </w:r>
          </w:p>
        </w:tc>
        <w:tc>
          <w:tcPr>
            <w:tcW w:w="1990" w:type="dxa"/>
            <w:tcBorders>
              <w:top w:val="single" w:sz="8" w:space="0" w:color="auto"/>
              <w:left w:val="nil"/>
              <w:bottom w:val="nil"/>
              <w:right w:val="nil"/>
            </w:tcBorders>
            <w:noWrap/>
            <w:vAlign w:val="bottom"/>
            <w:hideMark/>
          </w:tcPr>
          <w:p w14:paraId="6664248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2.75</w:t>
            </w:r>
          </w:p>
        </w:tc>
        <w:tc>
          <w:tcPr>
            <w:tcW w:w="1790" w:type="dxa"/>
            <w:tcBorders>
              <w:top w:val="single" w:sz="8" w:space="0" w:color="auto"/>
              <w:left w:val="nil"/>
              <w:bottom w:val="nil"/>
              <w:right w:val="nil"/>
            </w:tcBorders>
            <w:noWrap/>
            <w:vAlign w:val="bottom"/>
            <w:hideMark/>
          </w:tcPr>
          <w:p w14:paraId="2ADAFAA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single" w:sz="8" w:space="0" w:color="auto"/>
              <w:left w:val="nil"/>
              <w:bottom w:val="nil"/>
              <w:right w:val="nil"/>
            </w:tcBorders>
            <w:noWrap/>
            <w:vAlign w:val="bottom"/>
            <w:hideMark/>
          </w:tcPr>
          <w:p w14:paraId="2DCFCDA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3.17</w:t>
            </w:r>
          </w:p>
        </w:tc>
        <w:tc>
          <w:tcPr>
            <w:tcW w:w="1530" w:type="dxa"/>
            <w:tcBorders>
              <w:top w:val="single" w:sz="8" w:space="0" w:color="auto"/>
              <w:left w:val="nil"/>
              <w:bottom w:val="nil"/>
              <w:right w:val="single" w:sz="8" w:space="0" w:color="auto"/>
            </w:tcBorders>
            <w:noWrap/>
            <w:vAlign w:val="bottom"/>
            <w:hideMark/>
          </w:tcPr>
          <w:p w14:paraId="1811AE2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1ACDC58C" w14:textId="77777777" w:rsidTr="00FD64E6">
        <w:trPr>
          <w:trHeight w:val="310"/>
        </w:trPr>
        <w:tc>
          <w:tcPr>
            <w:tcW w:w="2700" w:type="dxa"/>
            <w:tcBorders>
              <w:top w:val="nil"/>
              <w:left w:val="single" w:sz="8" w:space="0" w:color="auto"/>
              <w:bottom w:val="nil"/>
              <w:right w:val="nil"/>
            </w:tcBorders>
            <w:noWrap/>
            <w:vAlign w:val="bottom"/>
            <w:hideMark/>
          </w:tcPr>
          <w:p w14:paraId="1F56366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 xml:space="preserve">Capacity Building </w:t>
            </w:r>
          </w:p>
        </w:tc>
        <w:tc>
          <w:tcPr>
            <w:tcW w:w="1990" w:type="dxa"/>
            <w:tcBorders>
              <w:top w:val="nil"/>
              <w:left w:val="nil"/>
              <w:bottom w:val="nil"/>
              <w:right w:val="nil"/>
            </w:tcBorders>
            <w:noWrap/>
            <w:vAlign w:val="bottom"/>
            <w:hideMark/>
          </w:tcPr>
          <w:p w14:paraId="49719057"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3.11</w:t>
            </w:r>
          </w:p>
        </w:tc>
        <w:tc>
          <w:tcPr>
            <w:tcW w:w="1790" w:type="dxa"/>
            <w:tcBorders>
              <w:top w:val="nil"/>
              <w:left w:val="nil"/>
              <w:bottom w:val="nil"/>
              <w:right w:val="nil"/>
            </w:tcBorders>
            <w:noWrap/>
            <w:vAlign w:val="bottom"/>
            <w:hideMark/>
          </w:tcPr>
          <w:p w14:paraId="24BB36A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3D2D088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3.53</w:t>
            </w:r>
          </w:p>
        </w:tc>
        <w:tc>
          <w:tcPr>
            <w:tcW w:w="1530" w:type="dxa"/>
            <w:tcBorders>
              <w:top w:val="nil"/>
              <w:left w:val="nil"/>
              <w:bottom w:val="nil"/>
              <w:right w:val="single" w:sz="8" w:space="0" w:color="auto"/>
            </w:tcBorders>
            <w:noWrap/>
            <w:vAlign w:val="bottom"/>
            <w:hideMark/>
          </w:tcPr>
          <w:p w14:paraId="03ACE4A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77637BC8" w14:textId="77777777" w:rsidTr="00FD64E6">
        <w:trPr>
          <w:trHeight w:val="310"/>
        </w:trPr>
        <w:tc>
          <w:tcPr>
            <w:tcW w:w="2700" w:type="dxa"/>
            <w:tcBorders>
              <w:top w:val="nil"/>
              <w:left w:val="single" w:sz="8" w:space="0" w:color="auto"/>
              <w:bottom w:val="nil"/>
              <w:right w:val="nil"/>
            </w:tcBorders>
            <w:noWrap/>
            <w:vAlign w:val="bottom"/>
            <w:hideMark/>
          </w:tcPr>
          <w:p w14:paraId="632059A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Literacy Program</w:t>
            </w:r>
          </w:p>
        </w:tc>
        <w:tc>
          <w:tcPr>
            <w:tcW w:w="1990" w:type="dxa"/>
            <w:tcBorders>
              <w:top w:val="nil"/>
              <w:left w:val="nil"/>
              <w:bottom w:val="nil"/>
              <w:right w:val="nil"/>
            </w:tcBorders>
            <w:noWrap/>
            <w:vAlign w:val="bottom"/>
            <w:hideMark/>
          </w:tcPr>
          <w:p w14:paraId="6B1B8A8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2.68</w:t>
            </w:r>
          </w:p>
        </w:tc>
        <w:tc>
          <w:tcPr>
            <w:tcW w:w="1790" w:type="dxa"/>
            <w:tcBorders>
              <w:top w:val="nil"/>
              <w:left w:val="nil"/>
              <w:bottom w:val="nil"/>
              <w:right w:val="nil"/>
            </w:tcBorders>
            <w:noWrap/>
            <w:vAlign w:val="bottom"/>
            <w:hideMark/>
          </w:tcPr>
          <w:p w14:paraId="1A9DF50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38CD9F7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3.10</w:t>
            </w:r>
          </w:p>
        </w:tc>
        <w:tc>
          <w:tcPr>
            <w:tcW w:w="1530" w:type="dxa"/>
            <w:tcBorders>
              <w:top w:val="nil"/>
              <w:left w:val="nil"/>
              <w:bottom w:val="nil"/>
              <w:right w:val="single" w:sz="8" w:space="0" w:color="auto"/>
            </w:tcBorders>
            <w:noWrap/>
            <w:vAlign w:val="bottom"/>
            <w:hideMark/>
          </w:tcPr>
          <w:p w14:paraId="436AE86D"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55783B24" w14:textId="77777777" w:rsidTr="00FD64E6">
        <w:trPr>
          <w:trHeight w:val="310"/>
        </w:trPr>
        <w:tc>
          <w:tcPr>
            <w:tcW w:w="2700" w:type="dxa"/>
            <w:tcBorders>
              <w:top w:val="nil"/>
              <w:left w:val="single" w:sz="8" w:space="0" w:color="auto"/>
              <w:bottom w:val="nil"/>
              <w:right w:val="nil"/>
            </w:tcBorders>
            <w:noWrap/>
            <w:vAlign w:val="bottom"/>
            <w:hideMark/>
          </w:tcPr>
          <w:p w14:paraId="3E908DD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Catechism (MRYE)</w:t>
            </w:r>
          </w:p>
        </w:tc>
        <w:tc>
          <w:tcPr>
            <w:tcW w:w="1990" w:type="dxa"/>
            <w:tcBorders>
              <w:top w:val="nil"/>
              <w:left w:val="nil"/>
              <w:bottom w:val="nil"/>
              <w:right w:val="nil"/>
            </w:tcBorders>
            <w:noWrap/>
            <w:vAlign w:val="bottom"/>
            <w:hideMark/>
          </w:tcPr>
          <w:p w14:paraId="4A9F0178"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2.78</w:t>
            </w:r>
          </w:p>
        </w:tc>
        <w:tc>
          <w:tcPr>
            <w:tcW w:w="1790" w:type="dxa"/>
            <w:tcBorders>
              <w:top w:val="nil"/>
              <w:left w:val="nil"/>
              <w:bottom w:val="nil"/>
              <w:right w:val="nil"/>
            </w:tcBorders>
            <w:noWrap/>
            <w:vAlign w:val="bottom"/>
            <w:hideMark/>
          </w:tcPr>
          <w:p w14:paraId="51083C8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4407AC8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3.28</w:t>
            </w:r>
          </w:p>
        </w:tc>
        <w:tc>
          <w:tcPr>
            <w:tcW w:w="1530" w:type="dxa"/>
            <w:tcBorders>
              <w:top w:val="nil"/>
              <w:left w:val="nil"/>
              <w:bottom w:val="nil"/>
              <w:right w:val="single" w:sz="8" w:space="0" w:color="auto"/>
            </w:tcBorders>
            <w:noWrap/>
            <w:vAlign w:val="bottom"/>
            <w:hideMark/>
          </w:tcPr>
          <w:p w14:paraId="7572F04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229C023F" w14:textId="77777777" w:rsidTr="00FD64E6">
        <w:trPr>
          <w:trHeight w:val="310"/>
        </w:trPr>
        <w:tc>
          <w:tcPr>
            <w:tcW w:w="2700" w:type="dxa"/>
            <w:tcBorders>
              <w:top w:val="nil"/>
              <w:left w:val="single" w:sz="8" w:space="0" w:color="auto"/>
              <w:bottom w:val="nil"/>
              <w:right w:val="nil"/>
            </w:tcBorders>
            <w:noWrap/>
            <w:vAlign w:val="bottom"/>
            <w:hideMark/>
          </w:tcPr>
          <w:p w14:paraId="0081B73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Relief Operation</w:t>
            </w:r>
          </w:p>
        </w:tc>
        <w:tc>
          <w:tcPr>
            <w:tcW w:w="1990" w:type="dxa"/>
            <w:tcBorders>
              <w:top w:val="nil"/>
              <w:left w:val="nil"/>
              <w:bottom w:val="nil"/>
              <w:right w:val="nil"/>
            </w:tcBorders>
            <w:noWrap/>
            <w:vAlign w:val="bottom"/>
            <w:hideMark/>
          </w:tcPr>
          <w:p w14:paraId="0B5E520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3.55</w:t>
            </w:r>
          </w:p>
        </w:tc>
        <w:tc>
          <w:tcPr>
            <w:tcW w:w="1790" w:type="dxa"/>
            <w:tcBorders>
              <w:top w:val="nil"/>
              <w:left w:val="nil"/>
              <w:bottom w:val="nil"/>
              <w:right w:val="nil"/>
            </w:tcBorders>
            <w:noWrap/>
            <w:vAlign w:val="bottom"/>
            <w:hideMark/>
          </w:tcPr>
          <w:p w14:paraId="3C7CE3D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c>
          <w:tcPr>
            <w:tcW w:w="990" w:type="dxa"/>
            <w:tcBorders>
              <w:top w:val="nil"/>
              <w:left w:val="nil"/>
              <w:bottom w:val="nil"/>
              <w:right w:val="nil"/>
            </w:tcBorders>
            <w:noWrap/>
            <w:vAlign w:val="bottom"/>
            <w:hideMark/>
          </w:tcPr>
          <w:p w14:paraId="1E3D1DD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3.41</w:t>
            </w:r>
          </w:p>
        </w:tc>
        <w:tc>
          <w:tcPr>
            <w:tcW w:w="1530" w:type="dxa"/>
            <w:tcBorders>
              <w:top w:val="nil"/>
              <w:left w:val="nil"/>
              <w:bottom w:val="nil"/>
              <w:right w:val="single" w:sz="8" w:space="0" w:color="auto"/>
            </w:tcBorders>
            <w:noWrap/>
            <w:vAlign w:val="bottom"/>
            <w:hideMark/>
          </w:tcPr>
          <w:p w14:paraId="29AE666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58270E29" w14:textId="77777777" w:rsidTr="00FD64E6">
        <w:trPr>
          <w:trHeight w:val="310"/>
        </w:trPr>
        <w:tc>
          <w:tcPr>
            <w:tcW w:w="2700" w:type="dxa"/>
            <w:tcBorders>
              <w:top w:val="nil"/>
              <w:left w:val="single" w:sz="8" w:space="0" w:color="auto"/>
              <w:bottom w:val="nil"/>
              <w:right w:val="nil"/>
            </w:tcBorders>
            <w:noWrap/>
            <w:vAlign w:val="bottom"/>
            <w:hideMark/>
          </w:tcPr>
          <w:p w14:paraId="560EE987"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Orphanage</w:t>
            </w:r>
          </w:p>
        </w:tc>
        <w:tc>
          <w:tcPr>
            <w:tcW w:w="1990" w:type="dxa"/>
            <w:tcBorders>
              <w:top w:val="nil"/>
              <w:left w:val="nil"/>
              <w:bottom w:val="nil"/>
              <w:right w:val="nil"/>
            </w:tcBorders>
            <w:noWrap/>
            <w:vAlign w:val="bottom"/>
            <w:hideMark/>
          </w:tcPr>
          <w:p w14:paraId="1521B43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2.52</w:t>
            </w:r>
          </w:p>
        </w:tc>
        <w:tc>
          <w:tcPr>
            <w:tcW w:w="1790" w:type="dxa"/>
            <w:tcBorders>
              <w:top w:val="nil"/>
              <w:left w:val="nil"/>
              <w:bottom w:val="nil"/>
              <w:right w:val="nil"/>
            </w:tcBorders>
            <w:noWrap/>
            <w:vAlign w:val="bottom"/>
            <w:hideMark/>
          </w:tcPr>
          <w:p w14:paraId="490A6E9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c>
          <w:tcPr>
            <w:tcW w:w="990" w:type="dxa"/>
            <w:tcBorders>
              <w:top w:val="nil"/>
              <w:left w:val="nil"/>
              <w:bottom w:val="nil"/>
              <w:right w:val="nil"/>
            </w:tcBorders>
            <w:noWrap/>
            <w:vAlign w:val="bottom"/>
            <w:hideMark/>
          </w:tcPr>
          <w:p w14:paraId="3041E9A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2.47</w:t>
            </w:r>
          </w:p>
        </w:tc>
        <w:tc>
          <w:tcPr>
            <w:tcW w:w="1530" w:type="dxa"/>
            <w:tcBorders>
              <w:top w:val="nil"/>
              <w:left w:val="nil"/>
              <w:bottom w:val="nil"/>
              <w:right w:val="single" w:sz="8" w:space="0" w:color="auto"/>
            </w:tcBorders>
            <w:noWrap/>
            <w:vAlign w:val="bottom"/>
            <w:hideMark/>
          </w:tcPr>
          <w:p w14:paraId="6BAC9D9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22DA8574" w14:textId="77777777" w:rsidTr="00FD64E6">
        <w:trPr>
          <w:trHeight w:val="310"/>
        </w:trPr>
        <w:tc>
          <w:tcPr>
            <w:tcW w:w="2700" w:type="dxa"/>
            <w:tcBorders>
              <w:top w:val="nil"/>
              <w:left w:val="single" w:sz="8" w:space="0" w:color="auto"/>
              <w:bottom w:val="nil"/>
              <w:right w:val="nil"/>
            </w:tcBorders>
            <w:noWrap/>
            <w:vAlign w:val="bottom"/>
            <w:hideMark/>
          </w:tcPr>
          <w:p w14:paraId="6D57266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Community Pantry</w:t>
            </w:r>
          </w:p>
        </w:tc>
        <w:tc>
          <w:tcPr>
            <w:tcW w:w="1990" w:type="dxa"/>
            <w:tcBorders>
              <w:top w:val="nil"/>
              <w:left w:val="nil"/>
              <w:bottom w:val="nil"/>
              <w:right w:val="nil"/>
            </w:tcBorders>
            <w:noWrap/>
            <w:vAlign w:val="bottom"/>
            <w:hideMark/>
          </w:tcPr>
          <w:p w14:paraId="4369A37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2.78</w:t>
            </w:r>
          </w:p>
        </w:tc>
        <w:tc>
          <w:tcPr>
            <w:tcW w:w="1790" w:type="dxa"/>
            <w:tcBorders>
              <w:top w:val="nil"/>
              <w:left w:val="nil"/>
              <w:bottom w:val="nil"/>
              <w:right w:val="nil"/>
            </w:tcBorders>
            <w:noWrap/>
            <w:vAlign w:val="bottom"/>
            <w:hideMark/>
          </w:tcPr>
          <w:p w14:paraId="46B03ED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726732DD"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2.93</w:t>
            </w:r>
          </w:p>
        </w:tc>
        <w:tc>
          <w:tcPr>
            <w:tcW w:w="1530" w:type="dxa"/>
            <w:tcBorders>
              <w:top w:val="nil"/>
              <w:left w:val="nil"/>
              <w:bottom w:val="nil"/>
              <w:right w:val="single" w:sz="8" w:space="0" w:color="auto"/>
            </w:tcBorders>
            <w:noWrap/>
            <w:vAlign w:val="bottom"/>
            <w:hideMark/>
          </w:tcPr>
          <w:p w14:paraId="7C173F0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4C7BB06A" w14:textId="77777777" w:rsidTr="00FD64E6">
        <w:trPr>
          <w:trHeight w:val="310"/>
        </w:trPr>
        <w:tc>
          <w:tcPr>
            <w:tcW w:w="2700" w:type="dxa"/>
            <w:tcBorders>
              <w:top w:val="nil"/>
              <w:left w:val="single" w:sz="8" w:space="0" w:color="auto"/>
              <w:bottom w:val="nil"/>
              <w:right w:val="nil"/>
            </w:tcBorders>
            <w:noWrap/>
            <w:vAlign w:val="bottom"/>
            <w:hideMark/>
          </w:tcPr>
          <w:p w14:paraId="343E81B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Clean Up Drive</w:t>
            </w:r>
          </w:p>
        </w:tc>
        <w:tc>
          <w:tcPr>
            <w:tcW w:w="1990" w:type="dxa"/>
            <w:tcBorders>
              <w:top w:val="nil"/>
              <w:left w:val="nil"/>
              <w:bottom w:val="nil"/>
              <w:right w:val="nil"/>
            </w:tcBorders>
            <w:noWrap/>
            <w:vAlign w:val="bottom"/>
            <w:hideMark/>
          </w:tcPr>
          <w:p w14:paraId="5D041E4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3.16</w:t>
            </w:r>
          </w:p>
        </w:tc>
        <w:tc>
          <w:tcPr>
            <w:tcW w:w="1790" w:type="dxa"/>
            <w:tcBorders>
              <w:top w:val="nil"/>
              <w:left w:val="nil"/>
              <w:bottom w:val="nil"/>
              <w:right w:val="nil"/>
            </w:tcBorders>
            <w:noWrap/>
            <w:vAlign w:val="bottom"/>
            <w:hideMark/>
          </w:tcPr>
          <w:p w14:paraId="0209815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41B4161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3.66</w:t>
            </w:r>
          </w:p>
        </w:tc>
        <w:tc>
          <w:tcPr>
            <w:tcW w:w="1530" w:type="dxa"/>
            <w:tcBorders>
              <w:top w:val="nil"/>
              <w:left w:val="nil"/>
              <w:bottom w:val="nil"/>
              <w:right w:val="single" w:sz="8" w:space="0" w:color="auto"/>
            </w:tcBorders>
            <w:noWrap/>
            <w:vAlign w:val="bottom"/>
            <w:hideMark/>
          </w:tcPr>
          <w:p w14:paraId="34C0334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00C16E9C" w14:textId="77777777" w:rsidTr="00FD64E6">
        <w:trPr>
          <w:trHeight w:val="310"/>
        </w:trPr>
        <w:tc>
          <w:tcPr>
            <w:tcW w:w="2700" w:type="dxa"/>
            <w:tcBorders>
              <w:top w:val="nil"/>
              <w:left w:val="single" w:sz="8" w:space="0" w:color="auto"/>
              <w:bottom w:val="nil"/>
              <w:right w:val="nil"/>
            </w:tcBorders>
            <w:noWrap/>
            <w:vAlign w:val="bottom"/>
            <w:hideMark/>
          </w:tcPr>
          <w:p w14:paraId="402B9DE3" w14:textId="77777777" w:rsidR="0032066F" w:rsidRPr="0032066F" w:rsidRDefault="0032066F" w:rsidP="00FD64E6">
            <w:pPr>
              <w:rPr>
                <w:rFonts w:ascii="Arial" w:hAnsi="Arial" w:cs="Arial"/>
                <w:color w:val="000000"/>
                <w:lang w:eastAsia="en-PH"/>
              </w:rPr>
            </w:pPr>
            <w:r w:rsidRPr="0032066F">
              <w:rPr>
                <w:rFonts w:ascii="Arial" w:hAnsi="Arial" w:cs="Arial"/>
                <w:color w:val="000000"/>
                <w:lang w:eastAsia="en-PH"/>
              </w:rPr>
              <w:t>Garage Sale/Fund Raising</w:t>
            </w:r>
          </w:p>
        </w:tc>
        <w:tc>
          <w:tcPr>
            <w:tcW w:w="1990" w:type="dxa"/>
            <w:tcBorders>
              <w:top w:val="nil"/>
              <w:left w:val="nil"/>
              <w:bottom w:val="nil"/>
              <w:right w:val="nil"/>
            </w:tcBorders>
            <w:noWrap/>
            <w:vAlign w:val="bottom"/>
            <w:hideMark/>
          </w:tcPr>
          <w:p w14:paraId="6454DCF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3.18</w:t>
            </w:r>
          </w:p>
        </w:tc>
        <w:tc>
          <w:tcPr>
            <w:tcW w:w="1790" w:type="dxa"/>
            <w:tcBorders>
              <w:top w:val="nil"/>
              <w:left w:val="nil"/>
              <w:bottom w:val="nil"/>
              <w:right w:val="nil"/>
            </w:tcBorders>
            <w:noWrap/>
            <w:vAlign w:val="bottom"/>
            <w:hideMark/>
          </w:tcPr>
          <w:p w14:paraId="26ADBED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727FAA3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3.11</w:t>
            </w:r>
          </w:p>
        </w:tc>
        <w:tc>
          <w:tcPr>
            <w:tcW w:w="1530" w:type="dxa"/>
            <w:tcBorders>
              <w:top w:val="nil"/>
              <w:left w:val="nil"/>
              <w:bottom w:val="nil"/>
              <w:right w:val="single" w:sz="8" w:space="0" w:color="auto"/>
            </w:tcBorders>
            <w:noWrap/>
            <w:vAlign w:val="bottom"/>
            <w:hideMark/>
          </w:tcPr>
          <w:p w14:paraId="26B1742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0AF55B4A" w14:textId="77777777" w:rsidTr="00FD64E6">
        <w:trPr>
          <w:trHeight w:val="310"/>
        </w:trPr>
        <w:tc>
          <w:tcPr>
            <w:tcW w:w="2700" w:type="dxa"/>
            <w:tcBorders>
              <w:top w:val="nil"/>
              <w:left w:val="single" w:sz="8" w:space="0" w:color="auto"/>
              <w:bottom w:val="nil"/>
              <w:right w:val="nil"/>
            </w:tcBorders>
            <w:noWrap/>
            <w:vAlign w:val="bottom"/>
            <w:hideMark/>
          </w:tcPr>
          <w:p w14:paraId="17BD0ED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Tree Planting</w:t>
            </w:r>
          </w:p>
        </w:tc>
        <w:tc>
          <w:tcPr>
            <w:tcW w:w="1990" w:type="dxa"/>
            <w:tcBorders>
              <w:top w:val="nil"/>
              <w:left w:val="nil"/>
              <w:bottom w:val="nil"/>
              <w:right w:val="nil"/>
            </w:tcBorders>
            <w:noWrap/>
            <w:vAlign w:val="bottom"/>
            <w:hideMark/>
          </w:tcPr>
          <w:p w14:paraId="4AF03D5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3.95</w:t>
            </w:r>
          </w:p>
        </w:tc>
        <w:tc>
          <w:tcPr>
            <w:tcW w:w="1790" w:type="dxa"/>
            <w:tcBorders>
              <w:top w:val="nil"/>
              <w:left w:val="nil"/>
              <w:bottom w:val="nil"/>
              <w:right w:val="nil"/>
            </w:tcBorders>
            <w:noWrap/>
            <w:vAlign w:val="bottom"/>
            <w:hideMark/>
          </w:tcPr>
          <w:p w14:paraId="7D6DAD5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c>
          <w:tcPr>
            <w:tcW w:w="990" w:type="dxa"/>
            <w:tcBorders>
              <w:top w:val="nil"/>
              <w:left w:val="nil"/>
              <w:bottom w:val="nil"/>
              <w:right w:val="nil"/>
            </w:tcBorders>
            <w:noWrap/>
            <w:vAlign w:val="bottom"/>
            <w:hideMark/>
          </w:tcPr>
          <w:p w14:paraId="739F173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3.92</w:t>
            </w:r>
          </w:p>
        </w:tc>
        <w:tc>
          <w:tcPr>
            <w:tcW w:w="1530" w:type="dxa"/>
            <w:tcBorders>
              <w:top w:val="nil"/>
              <w:left w:val="nil"/>
              <w:bottom w:val="nil"/>
              <w:right w:val="single" w:sz="8" w:space="0" w:color="auto"/>
            </w:tcBorders>
            <w:noWrap/>
            <w:vAlign w:val="bottom"/>
            <w:hideMark/>
          </w:tcPr>
          <w:p w14:paraId="394AF06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35A03E6B" w14:textId="77777777" w:rsidTr="00FD64E6">
        <w:trPr>
          <w:trHeight w:val="310"/>
        </w:trPr>
        <w:tc>
          <w:tcPr>
            <w:tcW w:w="2700" w:type="dxa"/>
            <w:tcBorders>
              <w:top w:val="nil"/>
              <w:left w:val="single" w:sz="8" w:space="0" w:color="auto"/>
              <w:bottom w:val="nil"/>
              <w:right w:val="nil"/>
            </w:tcBorders>
            <w:noWrap/>
            <w:vAlign w:val="bottom"/>
            <w:hideMark/>
          </w:tcPr>
          <w:p w14:paraId="01BBDE6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Blood Letting</w:t>
            </w:r>
          </w:p>
        </w:tc>
        <w:tc>
          <w:tcPr>
            <w:tcW w:w="1990" w:type="dxa"/>
            <w:tcBorders>
              <w:top w:val="nil"/>
              <w:left w:val="nil"/>
              <w:bottom w:val="nil"/>
              <w:right w:val="nil"/>
            </w:tcBorders>
            <w:noWrap/>
            <w:vAlign w:val="bottom"/>
            <w:hideMark/>
          </w:tcPr>
          <w:p w14:paraId="1F4F076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1.96</w:t>
            </w:r>
          </w:p>
        </w:tc>
        <w:tc>
          <w:tcPr>
            <w:tcW w:w="1790" w:type="dxa"/>
            <w:tcBorders>
              <w:top w:val="nil"/>
              <w:left w:val="nil"/>
              <w:bottom w:val="nil"/>
              <w:right w:val="nil"/>
            </w:tcBorders>
            <w:noWrap/>
            <w:vAlign w:val="bottom"/>
            <w:hideMark/>
          </w:tcPr>
          <w:p w14:paraId="35DCD8C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c>
          <w:tcPr>
            <w:tcW w:w="990" w:type="dxa"/>
            <w:tcBorders>
              <w:top w:val="nil"/>
              <w:left w:val="nil"/>
              <w:bottom w:val="nil"/>
              <w:right w:val="nil"/>
            </w:tcBorders>
            <w:noWrap/>
            <w:vAlign w:val="bottom"/>
            <w:hideMark/>
          </w:tcPr>
          <w:p w14:paraId="74756EF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2.29</w:t>
            </w:r>
          </w:p>
        </w:tc>
        <w:tc>
          <w:tcPr>
            <w:tcW w:w="1530" w:type="dxa"/>
            <w:tcBorders>
              <w:top w:val="nil"/>
              <w:left w:val="nil"/>
              <w:bottom w:val="nil"/>
              <w:right w:val="single" w:sz="8" w:space="0" w:color="auto"/>
            </w:tcBorders>
            <w:noWrap/>
            <w:vAlign w:val="bottom"/>
            <w:hideMark/>
          </w:tcPr>
          <w:p w14:paraId="582F9CD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3DA18DF0" w14:textId="77777777" w:rsidTr="00FD64E6">
        <w:trPr>
          <w:trHeight w:val="310"/>
        </w:trPr>
        <w:tc>
          <w:tcPr>
            <w:tcW w:w="2700" w:type="dxa"/>
            <w:tcBorders>
              <w:top w:val="nil"/>
              <w:left w:val="single" w:sz="8" w:space="0" w:color="auto"/>
              <w:bottom w:val="nil"/>
              <w:right w:val="nil"/>
            </w:tcBorders>
            <w:noWrap/>
            <w:vAlign w:val="bottom"/>
            <w:hideMark/>
          </w:tcPr>
          <w:p w14:paraId="5F875AB2" w14:textId="77777777" w:rsidR="0032066F" w:rsidRPr="0032066F" w:rsidRDefault="0032066F" w:rsidP="00FD64E6">
            <w:pPr>
              <w:ind w:left="-20" w:firstLine="20"/>
              <w:rPr>
                <w:rFonts w:ascii="Arial" w:hAnsi="Arial" w:cs="Arial"/>
                <w:color w:val="000000"/>
                <w:lang w:eastAsia="en-PH"/>
              </w:rPr>
            </w:pPr>
            <w:r w:rsidRPr="0032066F">
              <w:rPr>
                <w:rFonts w:ascii="Arial" w:hAnsi="Arial" w:cs="Arial"/>
                <w:color w:val="000000"/>
                <w:lang w:eastAsia="en-PH"/>
              </w:rPr>
              <w:t>Gift Giving to Public Schools</w:t>
            </w:r>
          </w:p>
        </w:tc>
        <w:tc>
          <w:tcPr>
            <w:tcW w:w="1990" w:type="dxa"/>
            <w:tcBorders>
              <w:top w:val="nil"/>
              <w:left w:val="nil"/>
              <w:bottom w:val="nil"/>
              <w:right w:val="nil"/>
            </w:tcBorders>
            <w:noWrap/>
            <w:vAlign w:val="bottom"/>
            <w:hideMark/>
          </w:tcPr>
          <w:p w14:paraId="66AF57F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2.94</w:t>
            </w:r>
          </w:p>
        </w:tc>
        <w:tc>
          <w:tcPr>
            <w:tcW w:w="1790" w:type="dxa"/>
            <w:tcBorders>
              <w:top w:val="nil"/>
              <w:left w:val="nil"/>
              <w:bottom w:val="nil"/>
              <w:right w:val="nil"/>
            </w:tcBorders>
            <w:noWrap/>
            <w:vAlign w:val="bottom"/>
            <w:hideMark/>
          </w:tcPr>
          <w:p w14:paraId="6FCEC837"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6AE3E13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2.47</w:t>
            </w:r>
          </w:p>
        </w:tc>
        <w:tc>
          <w:tcPr>
            <w:tcW w:w="1530" w:type="dxa"/>
            <w:tcBorders>
              <w:top w:val="nil"/>
              <w:left w:val="nil"/>
              <w:bottom w:val="nil"/>
              <w:right w:val="single" w:sz="8" w:space="0" w:color="auto"/>
            </w:tcBorders>
            <w:noWrap/>
            <w:vAlign w:val="bottom"/>
            <w:hideMark/>
          </w:tcPr>
          <w:p w14:paraId="4344B35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2A706E59" w14:textId="77777777" w:rsidTr="00FD64E6">
        <w:trPr>
          <w:trHeight w:val="320"/>
        </w:trPr>
        <w:tc>
          <w:tcPr>
            <w:tcW w:w="2700" w:type="dxa"/>
            <w:tcBorders>
              <w:top w:val="nil"/>
              <w:left w:val="single" w:sz="8" w:space="0" w:color="auto"/>
              <w:bottom w:val="single" w:sz="8" w:space="0" w:color="auto"/>
              <w:right w:val="nil"/>
            </w:tcBorders>
            <w:noWrap/>
            <w:vAlign w:val="bottom"/>
            <w:hideMark/>
          </w:tcPr>
          <w:p w14:paraId="79CF0EE5" w14:textId="77777777" w:rsidR="0032066F" w:rsidRPr="0032066F" w:rsidRDefault="0032066F" w:rsidP="00FD64E6">
            <w:pPr>
              <w:rPr>
                <w:rFonts w:ascii="Arial" w:hAnsi="Arial" w:cs="Arial"/>
                <w:color w:val="000000"/>
                <w:lang w:eastAsia="en-PH"/>
              </w:rPr>
            </w:pPr>
            <w:r w:rsidRPr="0032066F">
              <w:rPr>
                <w:rFonts w:ascii="Arial" w:hAnsi="Arial" w:cs="Arial"/>
                <w:color w:val="000000"/>
                <w:lang w:eastAsia="en-PH"/>
              </w:rPr>
              <w:t>Visit to the Home for Elderly</w:t>
            </w:r>
          </w:p>
        </w:tc>
        <w:tc>
          <w:tcPr>
            <w:tcW w:w="1990" w:type="dxa"/>
            <w:tcBorders>
              <w:top w:val="nil"/>
              <w:left w:val="nil"/>
              <w:bottom w:val="single" w:sz="8" w:space="0" w:color="auto"/>
              <w:right w:val="nil"/>
            </w:tcBorders>
            <w:noWrap/>
            <w:vAlign w:val="bottom"/>
            <w:hideMark/>
          </w:tcPr>
          <w:p w14:paraId="177B57D0"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2.77</w:t>
            </w:r>
          </w:p>
        </w:tc>
        <w:tc>
          <w:tcPr>
            <w:tcW w:w="1790" w:type="dxa"/>
            <w:tcBorders>
              <w:top w:val="nil"/>
              <w:left w:val="nil"/>
              <w:bottom w:val="single" w:sz="8" w:space="0" w:color="auto"/>
              <w:right w:val="nil"/>
            </w:tcBorders>
            <w:noWrap/>
            <w:vAlign w:val="bottom"/>
            <w:hideMark/>
          </w:tcPr>
          <w:p w14:paraId="71E47A5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single" w:sz="8" w:space="0" w:color="auto"/>
              <w:right w:val="nil"/>
            </w:tcBorders>
            <w:noWrap/>
            <w:vAlign w:val="bottom"/>
            <w:hideMark/>
          </w:tcPr>
          <w:p w14:paraId="653622C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2.11</w:t>
            </w:r>
          </w:p>
        </w:tc>
        <w:tc>
          <w:tcPr>
            <w:tcW w:w="1530" w:type="dxa"/>
            <w:tcBorders>
              <w:top w:val="nil"/>
              <w:left w:val="nil"/>
              <w:bottom w:val="single" w:sz="8" w:space="0" w:color="auto"/>
              <w:right w:val="single" w:sz="8" w:space="0" w:color="auto"/>
            </w:tcBorders>
            <w:noWrap/>
            <w:vAlign w:val="bottom"/>
            <w:hideMark/>
          </w:tcPr>
          <w:p w14:paraId="68E16870"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18A0674F" w14:textId="77777777" w:rsidTr="00FD64E6">
        <w:trPr>
          <w:trHeight w:val="310"/>
        </w:trPr>
        <w:tc>
          <w:tcPr>
            <w:tcW w:w="2700" w:type="dxa"/>
            <w:tcBorders>
              <w:top w:val="nil"/>
              <w:left w:val="nil"/>
              <w:bottom w:val="nil"/>
              <w:right w:val="nil"/>
            </w:tcBorders>
            <w:noWrap/>
            <w:vAlign w:val="bottom"/>
            <w:hideMark/>
          </w:tcPr>
          <w:p w14:paraId="3646281F"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Overall Mean</w:t>
            </w:r>
          </w:p>
        </w:tc>
        <w:tc>
          <w:tcPr>
            <w:tcW w:w="1990" w:type="dxa"/>
            <w:tcBorders>
              <w:top w:val="nil"/>
              <w:left w:val="nil"/>
              <w:bottom w:val="nil"/>
              <w:right w:val="nil"/>
            </w:tcBorders>
            <w:noWrap/>
            <w:vAlign w:val="bottom"/>
            <w:hideMark/>
          </w:tcPr>
          <w:p w14:paraId="3C7DF44B"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2.93</w:t>
            </w:r>
          </w:p>
        </w:tc>
        <w:tc>
          <w:tcPr>
            <w:tcW w:w="1790" w:type="dxa"/>
            <w:tcBorders>
              <w:top w:val="nil"/>
              <w:left w:val="nil"/>
              <w:bottom w:val="nil"/>
              <w:right w:val="nil"/>
            </w:tcBorders>
            <w:noWrap/>
            <w:vAlign w:val="bottom"/>
            <w:hideMark/>
          </w:tcPr>
          <w:p w14:paraId="4711C294"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Involved</w:t>
            </w:r>
          </w:p>
        </w:tc>
        <w:tc>
          <w:tcPr>
            <w:tcW w:w="990" w:type="dxa"/>
            <w:tcBorders>
              <w:top w:val="nil"/>
              <w:left w:val="nil"/>
              <w:bottom w:val="nil"/>
              <w:right w:val="nil"/>
            </w:tcBorders>
            <w:noWrap/>
            <w:vAlign w:val="bottom"/>
            <w:hideMark/>
          </w:tcPr>
          <w:p w14:paraId="0F627FBC"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3.03</w:t>
            </w:r>
          </w:p>
        </w:tc>
        <w:tc>
          <w:tcPr>
            <w:tcW w:w="1530" w:type="dxa"/>
            <w:tcBorders>
              <w:top w:val="nil"/>
              <w:left w:val="nil"/>
              <w:bottom w:val="nil"/>
              <w:right w:val="nil"/>
            </w:tcBorders>
            <w:noWrap/>
            <w:vAlign w:val="bottom"/>
            <w:hideMark/>
          </w:tcPr>
          <w:p w14:paraId="50CB0C36"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Involved</w:t>
            </w:r>
          </w:p>
        </w:tc>
      </w:tr>
      <w:tr w:rsidR="0032066F" w:rsidRPr="0032066F" w14:paraId="2B299DF6" w14:textId="77777777" w:rsidTr="00FD64E6">
        <w:trPr>
          <w:trHeight w:val="310"/>
        </w:trPr>
        <w:tc>
          <w:tcPr>
            <w:tcW w:w="2700" w:type="dxa"/>
            <w:tcBorders>
              <w:top w:val="nil"/>
              <w:left w:val="nil"/>
              <w:bottom w:val="nil"/>
              <w:right w:val="nil"/>
            </w:tcBorders>
            <w:noWrap/>
            <w:vAlign w:val="bottom"/>
          </w:tcPr>
          <w:p w14:paraId="5CA8068F" w14:textId="77777777" w:rsidR="0032066F" w:rsidRPr="0032066F" w:rsidRDefault="0032066F" w:rsidP="00FD64E6">
            <w:pPr>
              <w:rPr>
                <w:rFonts w:ascii="Arial" w:hAnsi="Arial" w:cs="Arial"/>
                <w:b/>
                <w:bCs/>
                <w:color w:val="000000"/>
                <w:lang w:eastAsia="en-PH"/>
              </w:rPr>
            </w:pPr>
            <w:r w:rsidRPr="0032066F">
              <w:rPr>
                <w:rFonts w:ascii="Arial" w:hAnsi="Arial" w:cs="Arial"/>
                <w:b/>
                <w:bCs/>
                <w:color w:val="000000"/>
                <w:lang w:eastAsia="en-PH"/>
              </w:rPr>
              <w:t>Combined Overall Mean</w:t>
            </w:r>
          </w:p>
        </w:tc>
        <w:tc>
          <w:tcPr>
            <w:tcW w:w="1990" w:type="dxa"/>
            <w:tcBorders>
              <w:top w:val="nil"/>
              <w:left w:val="nil"/>
              <w:bottom w:val="nil"/>
              <w:right w:val="nil"/>
            </w:tcBorders>
            <w:noWrap/>
            <w:vAlign w:val="bottom"/>
          </w:tcPr>
          <w:p w14:paraId="35107304"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2.98</w:t>
            </w:r>
          </w:p>
        </w:tc>
        <w:tc>
          <w:tcPr>
            <w:tcW w:w="1790" w:type="dxa"/>
            <w:tcBorders>
              <w:top w:val="nil"/>
              <w:left w:val="nil"/>
              <w:bottom w:val="nil"/>
              <w:right w:val="nil"/>
            </w:tcBorders>
            <w:noWrap/>
            <w:vAlign w:val="bottom"/>
          </w:tcPr>
          <w:p w14:paraId="53193CD7"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Involved</w:t>
            </w:r>
          </w:p>
        </w:tc>
        <w:tc>
          <w:tcPr>
            <w:tcW w:w="990" w:type="dxa"/>
            <w:tcBorders>
              <w:top w:val="nil"/>
              <w:left w:val="nil"/>
              <w:bottom w:val="nil"/>
              <w:right w:val="nil"/>
            </w:tcBorders>
            <w:noWrap/>
            <w:vAlign w:val="bottom"/>
          </w:tcPr>
          <w:p w14:paraId="0A3FDC86" w14:textId="77777777" w:rsidR="0032066F" w:rsidRPr="0032066F" w:rsidRDefault="0032066F" w:rsidP="00FD64E6">
            <w:pPr>
              <w:ind w:left="720" w:hanging="720"/>
              <w:jc w:val="both"/>
              <w:rPr>
                <w:rFonts w:ascii="Arial" w:hAnsi="Arial" w:cs="Arial"/>
                <w:b/>
                <w:bCs/>
                <w:color w:val="000000"/>
                <w:lang w:eastAsia="en-PH"/>
              </w:rPr>
            </w:pPr>
          </w:p>
        </w:tc>
        <w:tc>
          <w:tcPr>
            <w:tcW w:w="1530" w:type="dxa"/>
            <w:tcBorders>
              <w:top w:val="nil"/>
              <w:left w:val="nil"/>
              <w:bottom w:val="nil"/>
              <w:right w:val="nil"/>
            </w:tcBorders>
            <w:noWrap/>
            <w:vAlign w:val="bottom"/>
          </w:tcPr>
          <w:p w14:paraId="4EFBC10B" w14:textId="77777777" w:rsidR="0032066F" w:rsidRPr="0032066F" w:rsidRDefault="0032066F" w:rsidP="00FD64E6">
            <w:pPr>
              <w:ind w:left="720" w:hanging="720"/>
              <w:jc w:val="both"/>
              <w:rPr>
                <w:rFonts w:ascii="Arial" w:hAnsi="Arial" w:cs="Arial"/>
                <w:b/>
                <w:bCs/>
                <w:color w:val="000000"/>
                <w:lang w:eastAsia="en-PH"/>
              </w:rPr>
            </w:pPr>
          </w:p>
        </w:tc>
      </w:tr>
    </w:tbl>
    <w:p w14:paraId="2C284C3C" w14:textId="77777777" w:rsidR="0032066F" w:rsidRPr="0032066F" w:rsidRDefault="0032066F" w:rsidP="00C65F89">
      <w:pPr>
        <w:jc w:val="both"/>
        <w:rPr>
          <w:b/>
          <w:bCs/>
          <w:lang w:val="en-PH"/>
        </w:rPr>
      </w:pPr>
    </w:p>
    <w:p w14:paraId="5508B805" w14:textId="504303CD" w:rsidR="0032066F" w:rsidRPr="0032066F" w:rsidRDefault="0032066F" w:rsidP="0032066F">
      <w:pPr>
        <w:ind w:left="720" w:hanging="720"/>
        <w:jc w:val="both"/>
        <w:rPr>
          <w:rFonts w:ascii="Arial" w:hAnsi="Arial" w:cs="Arial"/>
          <w:b/>
          <w:bCs/>
        </w:rPr>
      </w:pPr>
      <w:r w:rsidRPr="0032066F">
        <w:rPr>
          <w:rFonts w:ascii="Arial" w:hAnsi="Arial" w:cs="Arial"/>
          <w:b/>
          <w:bCs/>
        </w:rPr>
        <w:t xml:space="preserve">Table </w:t>
      </w:r>
      <w:r>
        <w:rPr>
          <w:rFonts w:ascii="Arial" w:hAnsi="Arial" w:cs="Arial"/>
          <w:b/>
          <w:bCs/>
        </w:rPr>
        <w:t>6</w:t>
      </w:r>
      <w:r w:rsidRPr="0032066F">
        <w:rPr>
          <w:rFonts w:ascii="Arial" w:hAnsi="Arial" w:cs="Arial"/>
          <w:b/>
          <w:bCs/>
        </w:rPr>
        <w:t>. Assessment on the Implementation of the Community Extension Programs</w:t>
      </w:r>
    </w:p>
    <w:tbl>
      <w:tblPr>
        <w:tblW w:w="8740" w:type="dxa"/>
        <w:tblLook w:val="04A0" w:firstRow="1" w:lastRow="0" w:firstColumn="1" w:lastColumn="0" w:noHBand="0" w:noVBand="1"/>
      </w:tblPr>
      <w:tblGrid>
        <w:gridCol w:w="1800"/>
        <w:gridCol w:w="1990"/>
        <w:gridCol w:w="1710"/>
        <w:gridCol w:w="990"/>
        <w:gridCol w:w="2250"/>
      </w:tblGrid>
      <w:tr w:rsidR="0032066F" w:rsidRPr="0032066F" w14:paraId="631DDE95" w14:textId="77777777" w:rsidTr="00FD64E6">
        <w:trPr>
          <w:trHeight w:val="320"/>
        </w:trPr>
        <w:tc>
          <w:tcPr>
            <w:tcW w:w="1800" w:type="dxa"/>
            <w:tcBorders>
              <w:top w:val="nil"/>
              <w:left w:val="nil"/>
              <w:bottom w:val="nil"/>
              <w:right w:val="nil"/>
            </w:tcBorders>
            <w:noWrap/>
            <w:vAlign w:val="bottom"/>
            <w:hideMark/>
          </w:tcPr>
          <w:p w14:paraId="4A886CA3"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Indicator</w:t>
            </w:r>
          </w:p>
        </w:tc>
        <w:tc>
          <w:tcPr>
            <w:tcW w:w="1990" w:type="dxa"/>
            <w:tcBorders>
              <w:top w:val="nil"/>
              <w:left w:val="nil"/>
              <w:bottom w:val="nil"/>
              <w:right w:val="nil"/>
            </w:tcBorders>
            <w:noWrap/>
            <w:vAlign w:val="bottom"/>
            <w:hideMark/>
          </w:tcPr>
          <w:p w14:paraId="6EBC745E"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Basic Education</w:t>
            </w:r>
          </w:p>
        </w:tc>
        <w:tc>
          <w:tcPr>
            <w:tcW w:w="1710" w:type="dxa"/>
            <w:tcBorders>
              <w:top w:val="nil"/>
              <w:left w:val="nil"/>
              <w:bottom w:val="nil"/>
              <w:right w:val="nil"/>
            </w:tcBorders>
            <w:noWrap/>
            <w:vAlign w:val="bottom"/>
            <w:hideMark/>
          </w:tcPr>
          <w:p w14:paraId="4EC91B1B"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c>
          <w:tcPr>
            <w:tcW w:w="990" w:type="dxa"/>
            <w:tcBorders>
              <w:top w:val="nil"/>
              <w:left w:val="nil"/>
              <w:bottom w:val="nil"/>
              <w:right w:val="nil"/>
            </w:tcBorders>
            <w:noWrap/>
            <w:vAlign w:val="bottom"/>
            <w:hideMark/>
          </w:tcPr>
          <w:p w14:paraId="1421B673"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College</w:t>
            </w:r>
          </w:p>
        </w:tc>
        <w:tc>
          <w:tcPr>
            <w:tcW w:w="2250" w:type="dxa"/>
            <w:tcBorders>
              <w:top w:val="nil"/>
              <w:left w:val="nil"/>
              <w:bottom w:val="nil"/>
              <w:right w:val="nil"/>
            </w:tcBorders>
            <w:noWrap/>
            <w:vAlign w:val="bottom"/>
            <w:hideMark/>
          </w:tcPr>
          <w:p w14:paraId="6C6112DF"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r>
      <w:tr w:rsidR="0032066F" w:rsidRPr="0032066F" w14:paraId="007B3EE2" w14:textId="77777777" w:rsidTr="00FD64E6">
        <w:trPr>
          <w:trHeight w:val="310"/>
        </w:trPr>
        <w:tc>
          <w:tcPr>
            <w:tcW w:w="1800" w:type="dxa"/>
            <w:tcBorders>
              <w:top w:val="single" w:sz="8" w:space="0" w:color="auto"/>
              <w:left w:val="single" w:sz="8" w:space="0" w:color="auto"/>
              <w:bottom w:val="single" w:sz="4" w:space="0" w:color="auto"/>
              <w:right w:val="single" w:sz="4" w:space="0" w:color="auto"/>
            </w:tcBorders>
            <w:noWrap/>
            <w:vAlign w:val="bottom"/>
            <w:hideMark/>
          </w:tcPr>
          <w:p w14:paraId="0BF0F7C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Methodology</w:t>
            </w:r>
          </w:p>
        </w:tc>
        <w:tc>
          <w:tcPr>
            <w:tcW w:w="1990" w:type="dxa"/>
            <w:tcBorders>
              <w:top w:val="single" w:sz="8" w:space="0" w:color="auto"/>
              <w:left w:val="nil"/>
              <w:bottom w:val="single" w:sz="4" w:space="0" w:color="auto"/>
              <w:right w:val="single" w:sz="4" w:space="0" w:color="auto"/>
            </w:tcBorders>
            <w:noWrap/>
            <w:vAlign w:val="bottom"/>
            <w:hideMark/>
          </w:tcPr>
          <w:p w14:paraId="365EA4F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4.07</w:t>
            </w:r>
          </w:p>
        </w:tc>
        <w:tc>
          <w:tcPr>
            <w:tcW w:w="1710" w:type="dxa"/>
            <w:tcBorders>
              <w:top w:val="single" w:sz="8" w:space="0" w:color="auto"/>
              <w:left w:val="nil"/>
              <w:bottom w:val="single" w:sz="4" w:space="0" w:color="auto"/>
              <w:right w:val="single" w:sz="4" w:space="0" w:color="auto"/>
            </w:tcBorders>
            <w:noWrap/>
            <w:vAlign w:val="bottom"/>
            <w:hideMark/>
          </w:tcPr>
          <w:p w14:paraId="67EACA5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single" w:sz="8" w:space="0" w:color="auto"/>
              <w:left w:val="nil"/>
              <w:bottom w:val="single" w:sz="4" w:space="0" w:color="auto"/>
              <w:right w:val="single" w:sz="4" w:space="0" w:color="auto"/>
            </w:tcBorders>
            <w:noWrap/>
            <w:vAlign w:val="bottom"/>
            <w:hideMark/>
          </w:tcPr>
          <w:p w14:paraId="3560E05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4.27</w:t>
            </w:r>
          </w:p>
        </w:tc>
        <w:tc>
          <w:tcPr>
            <w:tcW w:w="2250" w:type="dxa"/>
            <w:tcBorders>
              <w:top w:val="single" w:sz="8" w:space="0" w:color="auto"/>
              <w:left w:val="nil"/>
              <w:bottom w:val="single" w:sz="4" w:space="0" w:color="auto"/>
              <w:right w:val="single" w:sz="8" w:space="0" w:color="auto"/>
            </w:tcBorders>
            <w:noWrap/>
            <w:vAlign w:val="bottom"/>
            <w:hideMark/>
          </w:tcPr>
          <w:p w14:paraId="608C468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5FE6071F" w14:textId="77777777" w:rsidTr="00FD64E6">
        <w:trPr>
          <w:trHeight w:val="310"/>
        </w:trPr>
        <w:tc>
          <w:tcPr>
            <w:tcW w:w="1800" w:type="dxa"/>
            <w:tcBorders>
              <w:top w:val="nil"/>
              <w:left w:val="single" w:sz="8" w:space="0" w:color="auto"/>
              <w:bottom w:val="single" w:sz="4" w:space="0" w:color="auto"/>
              <w:right w:val="single" w:sz="4" w:space="0" w:color="auto"/>
            </w:tcBorders>
            <w:noWrap/>
            <w:vAlign w:val="bottom"/>
            <w:hideMark/>
          </w:tcPr>
          <w:p w14:paraId="1328054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Location</w:t>
            </w:r>
          </w:p>
        </w:tc>
        <w:tc>
          <w:tcPr>
            <w:tcW w:w="1990" w:type="dxa"/>
            <w:tcBorders>
              <w:top w:val="nil"/>
              <w:left w:val="nil"/>
              <w:bottom w:val="single" w:sz="4" w:space="0" w:color="auto"/>
              <w:right w:val="single" w:sz="4" w:space="0" w:color="auto"/>
            </w:tcBorders>
            <w:noWrap/>
            <w:vAlign w:val="bottom"/>
            <w:hideMark/>
          </w:tcPr>
          <w:p w14:paraId="015FFA00"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4.18</w:t>
            </w:r>
          </w:p>
        </w:tc>
        <w:tc>
          <w:tcPr>
            <w:tcW w:w="1710" w:type="dxa"/>
            <w:tcBorders>
              <w:top w:val="nil"/>
              <w:left w:val="nil"/>
              <w:bottom w:val="single" w:sz="4" w:space="0" w:color="auto"/>
              <w:right w:val="single" w:sz="4" w:space="0" w:color="auto"/>
            </w:tcBorders>
            <w:noWrap/>
            <w:vAlign w:val="bottom"/>
            <w:hideMark/>
          </w:tcPr>
          <w:p w14:paraId="5A06724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nil"/>
              <w:left w:val="nil"/>
              <w:bottom w:val="single" w:sz="4" w:space="0" w:color="auto"/>
              <w:right w:val="single" w:sz="4" w:space="0" w:color="auto"/>
            </w:tcBorders>
            <w:noWrap/>
            <w:vAlign w:val="bottom"/>
            <w:hideMark/>
          </w:tcPr>
          <w:p w14:paraId="445A1C2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4.35</w:t>
            </w:r>
          </w:p>
        </w:tc>
        <w:tc>
          <w:tcPr>
            <w:tcW w:w="2250" w:type="dxa"/>
            <w:tcBorders>
              <w:top w:val="nil"/>
              <w:left w:val="nil"/>
              <w:bottom w:val="single" w:sz="4" w:space="0" w:color="auto"/>
              <w:right w:val="single" w:sz="8" w:space="0" w:color="auto"/>
            </w:tcBorders>
            <w:noWrap/>
            <w:vAlign w:val="bottom"/>
            <w:hideMark/>
          </w:tcPr>
          <w:p w14:paraId="4FF75E3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187AA0F3" w14:textId="77777777" w:rsidTr="00FD64E6">
        <w:trPr>
          <w:trHeight w:val="310"/>
        </w:trPr>
        <w:tc>
          <w:tcPr>
            <w:tcW w:w="1800" w:type="dxa"/>
            <w:tcBorders>
              <w:top w:val="nil"/>
              <w:left w:val="single" w:sz="8" w:space="0" w:color="auto"/>
              <w:bottom w:val="single" w:sz="4" w:space="0" w:color="auto"/>
              <w:right w:val="single" w:sz="4" w:space="0" w:color="auto"/>
            </w:tcBorders>
            <w:noWrap/>
            <w:vAlign w:val="bottom"/>
            <w:hideMark/>
          </w:tcPr>
          <w:p w14:paraId="16AC115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Logistics</w:t>
            </w:r>
          </w:p>
        </w:tc>
        <w:tc>
          <w:tcPr>
            <w:tcW w:w="1990" w:type="dxa"/>
            <w:tcBorders>
              <w:top w:val="nil"/>
              <w:left w:val="nil"/>
              <w:bottom w:val="single" w:sz="4" w:space="0" w:color="auto"/>
              <w:right w:val="single" w:sz="4" w:space="0" w:color="auto"/>
            </w:tcBorders>
            <w:noWrap/>
            <w:vAlign w:val="bottom"/>
            <w:hideMark/>
          </w:tcPr>
          <w:p w14:paraId="62232C9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4.09</w:t>
            </w:r>
          </w:p>
        </w:tc>
        <w:tc>
          <w:tcPr>
            <w:tcW w:w="1710" w:type="dxa"/>
            <w:tcBorders>
              <w:top w:val="nil"/>
              <w:left w:val="nil"/>
              <w:bottom w:val="single" w:sz="4" w:space="0" w:color="auto"/>
              <w:right w:val="single" w:sz="4" w:space="0" w:color="auto"/>
            </w:tcBorders>
            <w:noWrap/>
            <w:vAlign w:val="bottom"/>
            <w:hideMark/>
          </w:tcPr>
          <w:p w14:paraId="7A71CCA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nil"/>
              <w:left w:val="nil"/>
              <w:bottom w:val="single" w:sz="4" w:space="0" w:color="auto"/>
              <w:right w:val="single" w:sz="4" w:space="0" w:color="auto"/>
            </w:tcBorders>
            <w:noWrap/>
            <w:vAlign w:val="bottom"/>
            <w:hideMark/>
          </w:tcPr>
          <w:p w14:paraId="7AC621C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4.33</w:t>
            </w:r>
          </w:p>
        </w:tc>
        <w:tc>
          <w:tcPr>
            <w:tcW w:w="2250" w:type="dxa"/>
            <w:tcBorders>
              <w:top w:val="nil"/>
              <w:left w:val="nil"/>
              <w:bottom w:val="single" w:sz="4" w:space="0" w:color="auto"/>
              <w:right w:val="single" w:sz="8" w:space="0" w:color="auto"/>
            </w:tcBorders>
            <w:noWrap/>
            <w:vAlign w:val="bottom"/>
            <w:hideMark/>
          </w:tcPr>
          <w:p w14:paraId="1E0A9EC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22A313F7" w14:textId="77777777" w:rsidTr="00FD64E6">
        <w:trPr>
          <w:trHeight w:val="320"/>
        </w:trPr>
        <w:tc>
          <w:tcPr>
            <w:tcW w:w="1800" w:type="dxa"/>
            <w:tcBorders>
              <w:top w:val="nil"/>
              <w:left w:val="single" w:sz="8" w:space="0" w:color="auto"/>
              <w:bottom w:val="single" w:sz="8" w:space="0" w:color="auto"/>
              <w:right w:val="single" w:sz="4" w:space="0" w:color="auto"/>
            </w:tcBorders>
            <w:noWrap/>
            <w:vAlign w:val="bottom"/>
            <w:hideMark/>
          </w:tcPr>
          <w:p w14:paraId="337D3D88"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Schedule</w:t>
            </w:r>
          </w:p>
        </w:tc>
        <w:tc>
          <w:tcPr>
            <w:tcW w:w="1990" w:type="dxa"/>
            <w:tcBorders>
              <w:top w:val="nil"/>
              <w:left w:val="nil"/>
              <w:bottom w:val="single" w:sz="8" w:space="0" w:color="auto"/>
              <w:right w:val="single" w:sz="4" w:space="0" w:color="auto"/>
            </w:tcBorders>
            <w:noWrap/>
            <w:vAlign w:val="bottom"/>
            <w:hideMark/>
          </w:tcPr>
          <w:p w14:paraId="66AE472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4.03</w:t>
            </w:r>
          </w:p>
        </w:tc>
        <w:tc>
          <w:tcPr>
            <w:tcW w:w="1710" w:type="dxa"/>
            <w:tcBorders>
              <w:top w:val="nil"/>
              <w:left w:val="nil"/>
              <w:bottom w:val="single" w:sz="8" w:space="0" w:color="auto"/>
              <w:right w:val="single" w:sz="4" w:space="0" w:color="auto"/>
            </w:tcBorders>
            <w:noWrap/>
            <w:vAlign w:val="bottom"/>
            <w:hideMark/>
          </w:tcPr>
          <w:p w14:paraId="46ED48BD"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nil"/>
              <w:left w:val="nil"/>
              <w:bottom w:val="single" w:sz="8" w:space="0" w:color="auto"/>
              <w:right w:val="single" w:sz="4" w:space="0" w:color="auto"/>
            </w:tcBorders>
            <w:noWrap/>
            <w:vAlign w:val="bottom"/>
            <w:hideMark/>
          </w:tcPr>
          <w:p w14:paraId="180C47C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4.31</w:t>
            </w:r>
          </w:p>
        </w:tc>
        <w:tc>
          <w:tcPr>
            <w:tcW w:w="2250" w:type="dxa"/>
            <w:tcBorders>
              <w:top w:val="nil"/>
              <w:left w:val="nil"/>
              <w:bottom w:val="single" w:sz="8" w:space="0" w:color="auto"/>
              <w:right w:val="single" w:sz="8" w:space="0" w:color="auto"/>
            </w:tcBorders>
            <w:noWrap/>
            <w:vAlign w:val="bottom"/>
            <w:hideMark/>
          </w:tcPr>
          <w:p w14:paraId="2A29DA2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27E74F4C" w14:textId="77777777" w:rsidTr="00FD64E6">
        <w:trPr>
          <w:trHeight w:val="310"/>
        </w:trPr>
        <w:tc>
          <w:tcPr>
            <w:tcW w:w="1800" w:type="dxa"/>
            <w:tcBorders>
              <w:top w:val="nil"/>
              <w:left w:val="single" w:sz="4" w:space="0" w:color="auto"/>
              <w:bottom w:val="nil"/>
              <w:right w:val="single" w:sz="4" w:space="0" w:color="auto"/>
            </w:tcBorders>
            <w:noWrap/>
            <w:vAlign w:val="bottom"/>
            <w:hideMark/>
          </w:tcPr>
          <w:p w14:paraId="65419FA1"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Overall Mean</w:t>
            </w:r>
          </w:p>
        </w:tc>
        <w:tc>
          <w:tcPr>
            <w:tcW w:w="1990" w:type="dxa"/>
            <w:tcBorders>
              <w:top w:val="nil"/>
              <w:left w:val="nil"/>
              <w:bottom w:val="nil"/>
              <w:right w:val="single" w:sz="4" w:space="0" w:color="auto"/>
            </w:tcBorders>
            <w:noWrap/>
            <w:vAlign w:val="bottom"/>
            <w:hideMark/>
          </w:tcPr>
          <w:p w14:paraId="2195C679"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4.09</w:t>
            </w:r>
          </w:p>
        </w:tc>
        <w:tc>
          <w:tcPr>
            <w:tcW w:w="1710" w:type="dxa"/>
            <w:tcBorders>
              <w:top w:val="nil"/>
              <w:left w:val="nil"/>
              <w:bottom w:val="nil"/>
              <w:right w:val="single" w:sz="4" w:space="0" w:color="auto"/>
            </w:tcBorders>
            <w:noWrap/>
            <w:vAlign w:val="bottom"/>
            <w:hideMark/>
          </w:tcPr>
          <w:p w14:paraId="09EBC16A"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High</w:t>
            </w:r>
          </w:p>
        </w:tc>
        <w:tc>
          <w:tcPr>
            <w:tcW w:w="990" w:type="dxa"/>
            <w:tcBorders>
              <w:top w:val="nil"/>
              <w:left w:val="nil"/>
              <w:bottom w:val="nil"/>
              <w:right w:val="single" w:sz="4" w:space="0" w:color="auto"/>
            </w:tcBorders>
            <w:noWrap/>
            <w:vAlign w:val="bottom"/>
            <w:hideMark/>
          </w:tcPr>
          <w:p w14:paraId="3467AE7D"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4.32</w:t>
            </w:r>
          </w:p>
        </w:tc>
        <w:tc>
          <w:tcPr>
            <w:tcW w:w="2250" w:type="dxa"/>
            <w:tcBorders>
              <w:top w:val="nil"/>
              <w:left w:val="nil"/>
              <w:bottom w:val="nil"/>
              <w:right w:val="single" w:sz="4" w:space="0" w:color="auto"/>
            </w:tcBorders>
            <w:noWrap/>
            <w:vAlign w:val="bottom"/>
            <w:hideMark/>
          </w:tcPr>
          <w:p w14:paraId="089DC6FB"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Very High</w:t>
            </w:r>
          </w:p>
        </w:tc>
      </w:tr>
      <w:tr w:rsidR="0032066F" w:rsidRPr="0032066F" w14:paraId="6D696950" w14:textId="77777777" w:rsidTr="00FD64E6">
        <w:trPr>
          <w:trHeight w:val="310"/>
        </w:trPr>
        <w:tc>
          <w:tcPr>
            <w:tcW w:w="1800" w:type="dxa"/>
            <w:tcBorders>
              <w:top w:val="nil"/>
              <w:left w:val="single" w:sz="4" w:space="0" w:color="auto"/>
              <w:bottom w:val="single" w:sz="4" w:space="0" w:color="auto"/>
              <w:right w:val="single" w:sz="4" w:space="0" w:color="auto"/>
            </w:tcBorders>
            <w:noWrap/>
            <w:vAlign w:val="bottom"/>
          </w:tcPr>
          <w:p w14:paraId="6FD9CE5A" w14:textId="77777777" w:rsidR="0032066F" w:rsidRPr="0032066F" w:rsidRDefault="0032066F" w:rsidP="00FD64E6">
            <w:pPr>
              <w:rPr>
                <w:rFonts w:ascii="Arial" w:hAnsi="Arial" w:cs="Arial"/>
                <w:b/>
                <w:bCs/>
                <w:color w:val="000000"/>
                <w:lang w:eastAsia="en-PH"/>
              </w:rPr>
            </w:pPr>
            <w:r w:rsidRPr="0032066F">
              <w:rPr>
                <w:rFonts w:ascii="Arial" w:hAnsi="Arial" w:cs="Arial"/>
                <w:b/>
                <w:bCs/>
                <w:color w:val="000000"/>
                <w:lang w:eastAsia="en-PH"/>
              </w:rPr>
              <w:t>Combined Overall Mean</w:t>
            </w:r>
          </w:p>
        </w:tc>
        <w:tc>
          <w:tcPr>
            <w:tcW w:w="1990" w:type="dxa"/>
            <w:tcBorders>
              <w:top w:val="nil"/>
              <w:left w:val="nil"/>
              <w:bottom w:val="single" w:sz="4" w:space="0" w:color="auto"/>
              <w:right w:val="single" w:sz="4" w:space="0" w:color="auto"/>
            </w:tcBorders>
            <w:noWrap/>
            <w:vAlign w:val="bottom"/>
          </w:tcPr>
          <w:p w14:paraId="11CE584C"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4.21</w:t>
            </w:r>
          </w:p>
        </w:tc>
        <w:tc>
          <w:tcPr>
            <w:tcW w:w="1710" w:type="dxa"/>
            <w:tcBorders>
              <w:top w:val="nil"/>
              <w:left w:val="nil"/>
              <w:bottom w:val="single" w:sz="4" w:space="0" w:color="auto"/>
              <w:right w:val="single" w:sz="4" w:space="0" w:color="auto"/>
            </w:tcBorders>
            <w:noWrap/>
            <w:vAlign w:val="bottom"/>
          </w:tcPr>
          <w:p w14:paraId="341E09FE"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 xml:space="preserve">Very High </w:t>
            </w:r>
          </w:p>
        </w:tc>
        <w:tc>
          <w:tcPr>
            <w:tcW w:w="990" w:type="dxa"/>
            <w:tcBorders>
              <w:top w:val="nil"/>
              <w:left w:val="nil"/>
              <w:bottom w:val="single" w:sz="4" w:space="0" w:color="auto"/>
              <w:right w:val="single" w:sz="4" w:space="0" w:color="auto"/>
            </w:tcBorders>
            <w:noWrap/>
            <w:vAlign w:val="bottom"/>
          </w:tcPr>
          <w:p w14:paraId="7F721974" w14:textId="77777777" w:rsidR="0032066F" w:rsidRPr="0032066F" w:rsidRDefault="0032066F" w:rsidP="00FD64E6">
            <w:pPr>
              <w:ind w:left="720" w:hanging="720"/>
              <w:jc w:val="both"/>
              <w:rPr>
                <w:rFonts w:ascii="Arial" w:hAnsi="Arial" w:cs="Arial"/>
                <w:b/>
                <w:bCs/>
                <w:color w:val="000000"/>
                <w:lang w:eastAsia="en-PH"/>
              </w:rPr>
            </w:pPr>
          </w:p>
        </w:tc>
        <w:tc>
          <w:tcPr>
            <w:tcW w:w="2250" w:type="dxa"/>
            <w:tcBorders>
              <w:top w:val="nil"/>
              <w:left w:val="nil"/>
              <w:bottom w:val="single" w:sz="4" w:space="0" w:color="auto"/>
              <w:right w:val="single" w:sz="4" w:space="0" w:color="auto"/>
            </w:tcBorders>
            <w:noWrap/>
            <w:vAlign w:val="bottom"/>
          </w:tcPr>
          <w:p w14:paraId="57478295" w14:textId="77777777" w:rsidR="0032066F" w:rsidRPr="0032066F" w:rsidRDefault="0032066F" w:rsidP="00FD64E6">
            <w:pPr>
              <w:ind w:left="720" w:hanging="720"/>
              <w:jc w:val="both"/>
              <w:rPr>
                <w:rFonts w:ascii="Arial" w:hAnsi="Arial" w:cs="Arial"/>
                <w:b/>
                <w:bCs/>
                <w:color w:val="000000"/>
                <w:lang w:eastAsia="en-PH"/>
              </w:rPr>
            </w:pPr>
          </w:p>
        </w:tc>
      </w:tr>
    </w:tbl>
    <w:p w14:paraId="08707A9D" w14:textId="77777777" w:rsidR="00790ADA" w:rsidRPr="001301D8" w:rsidRDefault="00790ADA" w:rsidP="00441B6F">
      <w:pPr>
        <w:pStyle w:val="Body"/>
        <w:spacing w:after="0"/>
        <w:rPr>
          <w:rFonts w:ascii="Arial" w:hAnsi="Arial" w:cs="Arial"/>
        </w:rPr>
      </w:pPr>
    </w:p>
    <w:p w14:paraId="19922C8E" w14:textId="42461F4B" w:rsidR="001301D8" w:rsidRPr="001301D8" w:rsidRDefault="001301D8" w:rsidP="001301D8">
      <w:pPr>
        <w:ind w:left="720" w:hanging="720"/>
        <w:jc w:val="both"/>
        <w:rPr>
          <w:rFonts w:ascii="Arial" w:hAnsi="Arial" w:cs="Arial"/>
          <w:b/>
          <w:bCs/>
        </w:rPr>
      </w:pPr>
      <w:r w:rsidRPr="001301D8">
        <w:rPr>
          <w:rFonts w:ascii="Arial" w:hAnsi="Arial" w:cs="Arial"/>
          <w:b/>
          <w:bCs/>
        </w:rPr>
        <w:t>Table 7. Perceived Effectiveness of the Community Extension Programs</w:t>
      </w:r>
    </w:p>
    <w:tbl>
      <w:tblPr>
        <w:tblW w:w="8839" w:type="dxa"/>
        <w:tblInd w:w="90" w:type="dxa"/>
        <w:tblLook w:val="04A0" w:firstRow="1" w:lastRow="0" w:firstColumn="1" w:lastColumn="0" w:noHBand="0" w:noVBand="1"/>
      </w:tblPr>
      <w:tblGrid>
        <w:gridCol w:w="2418"/>
        <w:gridCol w:w="1327"/>
        <w:gridCol w:w="2015"/>
        <w:gridCol w:w="1280"/>
        <w:gridCol w:w="1799"/>
      </w:tblGrid>
      <w:tr w:rsidR="001301D8" w:rsidRPr="001301D8" w14:paraId="559FD737" w14:textId="77777777" w:rsidTr="00FD64E6">
        <w:trPr>
          <w:trHeight w:val="316"/>
        </w:trPr>
        <w:tc>
          <w:tcPr>
            <w:tcW w:w="2418" w:type="dxa"/>
            <w:tcBorders>
              <w:top w:val="nil"/>
              <w:left w:val="nil"/>
              <w:bottom w:val="nil"/>
              <w:right w:val="nil"/>
            </w:tcBorders>
            <w:noWrap/>
            <w:vAlign w:val="bottom"/>
            <w:hideMark/>
          </w:tcPr>
          <w:p w14:paraId="17C4005B" w14:textId="77777777" w:rsidR="001301D8" w:rsidRPr="001301D8" w:rsidRDefault="001301D8" w:rsidP="00FD64E6">
            <w:pPr>
              <w:jc w:val="center"/>
              <w:rPr>
                <w:rFonts w:ascii="Arial" w:hAnsi="Arial" w:cs="Arial"/>
                <w:b/>
                <w:bCs/>
                <w:color w:val="000000"/>
                <w:lang w:eastAsia="en-PH"/>
              </w:rPr>
            </w:pPr>
            <w:r w:rsidRPr="001301D8">
              <w:rPr>
                <w:rFonts w:ascii="Arial" w:hAnsi="Arial" w:cs="Arial"/>
                <w:b/>
                <w:bCs/>
                <w:color w:val="000000"/>
                <w:lang w:eastAsia="en-PH"/>
              </w:rPr>
              <w:t>Community Extension Programs</w:t>
            </w:r>
          </w:p>
        </w:tc>
        <w:tc>
          <w:tcPr>
            <w:tcW w:w="1327" w:type="dxa"/>
            <w:tcBorders>
              <w:top w:val="nil"/>
              <w:left w:val="nil"/>
              <w:bottom w:val="nil"/>
              <w:right w:val="nil"/>
            </w:tcBorders>
            <w:noWrap/>
            <w:vAlign w:val="bottom"/>
            <w:hideMark/>
          </w:tcPr>
          <w:p w14:paraId="554E6272" w14:textId="77777777" w:rsidR="001301D8" w:rsidRPr="001301D8" w:rsidRDefault="001301D8" w:rsidP="00FD64E6">
            <w:pPr>
              <w:jc w:val="center"/>
              <w:rPr>
                <w:rFonts w:ascii="Arial" w:hAnsi="Arial" w:cs="Arial"/>
                <w:b/>
                <w:bCs/>
                <w:color w:val="000000"/>
                <w:lang w:eastAsia="en-PH"/>
              </w:rPr>
            </w:pPr>
            <w:r w:rsidRPr="001301D8">
              <w:rPr>
                <w:rFonts w:ascii="Arial" w:hAnsi="Arial" w:cs="Arial"/>
                <w:b/>
                <w:bCs/>
                <w:color w:val="000000"/>
                <w:lang w:eastAsia="en-PH"/>
              </w:rPr>
              <w:t>Basic Education</w:t>
            </w:r>
          </w:p>
        </w:tc>
        <w:tc>
          <w:tcPr>
            <w:tcW w:w="2015" w:type="dxa"/>
            <w:tcBorders>
              <w:top w:val="nil"/>
              <w:left w:val="nil"/>
              <w:bottom w:val="nil"/>
              <w:right w:val="nil"/>
            </w:tcBorders>
            <w:noWrap/>
            <w:vAlign w:val="bottom"/>
            <w:hideMark/>
          </w:tcPr>
          <w:p w14:paraId="3B23A2E1" w14:textId="77777777" w:rsidR="001301D8" w:rsidRPr="001301D8" w:rsidRDefault="001301D8" w:rsidP="00FD64E6">
            <w:pPr>
              <w:ind w:left="720" w:hanging="720"/>
              <w:jc w:val="center"/>
              <w:rPr>
                <w:rFonts w:ascii="Arial" w:hAnsi="Arial" w:cs="Arial"/>
                <w:b/>
                <w:bCs/>
                <w:color w:val="000000"/>
                <w:lang w:eastAsia="en-PH"/>
              </w:rPr>
            </w:pPr>
            <w:r w:rsidRPr="001301D8">
              <w:rPr>
                <w:rFonts w:ascii="Arial" w:hAnsi="Arial" w:cs="Arial"/>
                <w:b/>
                <w:bCs/>
                <w:color w:val="000000"/>
                <w:lang w:eastAsia="en-PH"/>
              </w:rPr>
              <w:t>Interpretation</w:t>
            </w:r>
          </w:p>
        </w:tc>
        <w:tc>
          <w:tcPr>
            <w:tcW w:w="1280" w:type="dxa"/>
            <w:tcBorders>
              <w:top w:val="nil"/>
              <w:left w:val="nil"/>
              <w:bottom w:val="nil"/>
              <w:right w:val="nil"/>
            </w:tcBorders>
            <w:noWrap/>
            <w:vAlign w:val="bottom"/>
            <w:hideMark/>
          </w:tcPr>
          <w:p w14:paraId="612C680E" w14:textId="77777777" w:rsidR="001301D8" w:rsidRPr="001301D8" w:rsidRDefault="001301D8" w:rsidP="00FD64E6">
            <w:pPr>
              <w:rPr>
                <w:rFonts w:ascii="Arial" w:hAnsi="Arial" w:cs="Arial"/>
                <w:b/>
                <w:bCs/>
                <w:color w:val="000000"/>
                <w:lang w:eastAsia="en-PH"/>
              </w:rPr>
            </w:pPr>
            <w:r w:rsidRPr="001301D8">
              <w:rPr>
                <w:rFonts w:ascii="Arial" w:hAnsi="Arial" w:cs="Arial"/>
                <w:b/>
                <w:bCs/>
                <w:color w:val="000000"/>
                <w:lang w:eastAsia="en-PH"/>
              </w:rPr>
              <w:t>College</w:t>
            </w:r>
          </w:p>
        </w:tc>
        <w:tc>
          <w:tcPr>
            <w:tcW w:w="1799" w:type="dxa"/>
            <w:tcBorders>
              <w:top w:val="nil"/>
              <w:left w:val="nil"/>
              <w:bottom w:val="nil"/>
              <w:right w:val="nil"/>
            </w:tcBorders>
            <w:noWrap/>
            <w:vAlign w:val="bottom"/>
            <w:hideMark/>
          </w:tcPr>
          <w:p w14:paraId="7FA0C483" w14:textId="77777777" w:rsidR="001301D8" w:rsidRPr="001301D8" w:rsidRDefault="001301D8" w:rsidP="00FD64E6">
            <w:pPr>
              <w:ind w:left="720" w:hanging="720"/>
              <w:jc w:val="center"/>
              <w:rPr>
                <w:rFonts w:ascii="Arial" w:hAnsi="Arial" w:cs="Arial"/>
                <w:b/>
                <w:bCs/>
                <w:color w:val="000000"/>
                <w:lang w:eastAsia="en-PH"/>
              </w:rPr>
            </w:pPr>
            <w:r w:rsidRPr="001301D8">
              <w:rPr>
                <w:rFonts w:ascii="Arial" w:hAnsi="Arial" w:cs="Arial"/>
                <w:b/>
                <w:bCs/>
                <w:color w:val="000000"/>
                <w:lang w:eastAsia="en-PH"/>
              </w:rPr>
              <w:t>Interpretation</w:t>
            </w:r>
          </w:p>
        </w:tc>
      </w:tr>
      <w:tr w:rsidR="001301D8" w:rsidRPr="001301D8" w14:paraId="768A4239" w14:textId="77777777" w:rsidTr="00FD64E6">
        <w:trPr>
          <w:trHeight w:val="306"/>
        </w:trPr>
        <w:tc>
          <w:tcPr>
            <w:tcW w:w="2418" w:type="dxa"/>
            <w:tcBorders>
              <w:top w:val="single" w:sz="8" w:space="0" w:color="auto"/>
              <w:left w:val="single" w:sz="8" w:space="0" w:color="auto"/>
              <w:bottom w:val="nil"/>
              <w:right w:val="nil"/>
            </w:tcBorders>
            <w:noWrap/>
            <w:vAlign w:val="bottom"/>
            <w:hideMark/>
          </w:tcPr>
          <w:p w14:paraId="70103C1C"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Feeding Program</w:t>
            </w:r>
          </w:p>
        </w:tc>
        <w:tc>
          <w:tcPr>
            <w:tcW w:w="1327" w:type="dxa"/>
            <w:tcBorders>
              <w:top w:val="single" w:sz="8" w:space="0" w:color="auto"/>
              <w:left w:val="nil"/>
              <w:bottom w:val="nil"/>
              <w:right w:val="nil"/>
            </w:tcBorders>
            <w:noWrap/>
            <w:vAlign w:val="bottom"/>
            <w:hideMark/>
          </w:tcPr>
          <w:p w14:paraId="39DEE3ED"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4.23</w:t>
            </w:r>
          </w:p>
        </w:tc>
        <w:tc>
          <w:tcPr>
            <w:tcW w:w="2015" w:type="dxa"/>
            <w:tcBorders>
              <w:top w:val="single" w:sz="8" w:space="0" w:color="auto"/>
              <w:left w:val="nil"/>
              <w:bottom w:val="nil"/>
              <w:right w:val="nil"/>
            </w:tcBorders>
            <w:noWrap/>
            <w:vAlign w:val="bottom"/>
            <w:hideMark/>
          </w:tcPr>
          <w:p w14:paraId="36DAC85A"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single" w:sz="8" w:space="0" w:color="auto"/>
              <w:left w:val="nil"/>
              <w:bottom w:val="nil"/>
              <w:right w:val="nil"/>
            </w:tcBorders>
            <w:noWrap/>
            <w:vAlign w:val="bottom"/>
            <w:hideMark/>
          </w:tcPr>
          <w:p w14:paraId="0244E29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4.36</w:t>
            </w:r>
          </w:p>
        </w:tc>
        <w:tc>
          <w:tcPr>
            <w:tcW w:w="1799" w:type="dxa"/>
            <w:tcBorders>
              <w:top w:val="single" w:sz="8" w:space="0" w:color="auto"/>
              <w:left w:val="nil"/>
              <w:bottom w:val="nil"/>
              <w:right w:val="single" w:sz="8" w:space="0" w:color="auto"/>
            </w:tcBorders>
            <w:noWrap/>
            <w:vAlign w:val="bottom"/>
            <w:hideMark/>
          </w:tcPr>
          <w:p w14:paraId="27B56FA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075C8903" w14:textId="77777777" w:rsidTr="00FD64E6">
        <w:trPr>
          <w:trHeight w:val="306"/>
        </w:trPr>
        <w:tc>
          <w:tcPr>
            <w:tcW w:w="2418" w:type="dxa"/>
            <w:tcBorders>
              <w:top w:val="nil"/>
              <w:left w:val="single" w:sz="8" w:space="0" w:color="auto"/>
              <w:bottom w:val="nil"/>
              <w:right w:val="nil"/>
            </w:tcBorders>
            <w:noWrap/>
            <w:vAlign w:val="bottom"/>
            <w:hideMark/>
          </w:tcPr>
          <w:p w14:paraId="311B77A6"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lastRenderedPageBreak/>
              <w:t xml:space="preserve">Capacity Building </w:t>
            </w:r>
          </w:p>
        </w:tc>
        <w:tc>
          <w:tcPr>
            <w:tcW w:w="1327" w:type="dxa"/>
            <w:tcBorders>
              <w:top w:val="nil"/>
              <w:left w:val="nil"/>
              <w:bottom w:val="nil"/>
              <w:right w:val="nil"/>
            </w:tcBorders>
            <w:noWrap/>
            <w:vAlign w:val="bottom"/>
            <w:hideMark/>
          </w:tcPr>
          <w:p w14:paraId="05C9E75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4.23</w:t>
            </w:r>
          </w:p>
        </w:tc>
        <w:tc>
          <w:tcPr>
            <w:tcW w:w="2015" w:type="dxa"/>
            <w:tcBorders>
              <w:top w:val="nil"/>
              <w:left w:val="nil"/>
              <w:bottom w:val="nil"/>
              <w:right w:val="nil"/>
            </w:tcBorders>
            <w:noWrap/>
            <w:vAlign w:val="bottom"/>
            <w:hideMark/>
          </w:tcPr>
          <w:p w14:paraId="2DBD75E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58613C0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4.47</w:t>
            </w:r>
          </w:p>
        </w:tc>
        <w:tc>
          <w:tcPr>
            <w:tcW w:w="1799" w:type="dxa"/>
            <w:tcBorders>
              <w:top w:val="nil"/>
              <w:left w:val="nil"/>
              <w:bottom w:val="nil"/>
              <w:right w:val="single" w:sz="8" w:space="0" w:color="auto"/>
            </w:tcBorders>
            <w:noWrap/>
            <w:vAlign w:val="bottom"/>
            <w:hideMark/>
          </w:tcPr>
          <w:p w14:paraId="2549480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443AFCE2" w14:textId="77777777" w:rsidTr="00FD64E6">
        <w:trPr>
          <w:trHeight w:val="306"/>
        </w:trPr>
        <w:tc>
          <w:tcPr>
            <w:tcW w:w="2418" w:type="dxa"/>
            <w:tcBorders>
              <w:top w:val="nil"/>
              <w:left w:val="single" w:sz="8" w:space="0" w:color="auto"/>
              <w:bottom w:val="nil"/>
              <w:right w:val="nil"/>
            </w:tcBorders>
            <w:noWrap/>
            <w:vAlign w:val="bottom"/>
            <w:hideMark/>
          </w:tcPr>
          <w:p w14:paraId="0400FD7A"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Literacy Program</w:t>
            </w:r>
          </w:p>
        </w:tc>
        <w:tc>
          <w:tcPr>
            <w:tcW w:w="1327" w:type="dxa"/>
            <w:tcBorders>
              <w:top w:val="nil"/>
              <w:left w:val="nil"/>
              <w:bottom w:val="nil"/>
              <w:right w:val="nil"/>
            </w:tcBorders>
            <w:noWrap/>
            <w:vAlign w:val="bottom"/>
            <w:hideMark/>
          </w:tcPr>
          <w:p w14:paraId="3508EC71"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3.92</w:t>
            </w:r>
          </w:p>
        </w:tc>
        <w:tc>
          <w:tcPr>
            <w:tcW w:w="2015" w:type="dxa"/>
            <w:tcBorders>
              <w:top w:val="nil"/>
              <w:left w:val="nil"/>
              <w:bottom w:val="nil"/>
              <w:right w:val="nil"/>
            </w:tcBorders>
            <w:noWrap/>
            <w:vAlign w:val="bottom"/>
            <w:hideMark/>
          </w:tcPr>
          <w:p w14:paraId="32636A9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2AFCFDE5"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4.07</w:t>
            </w:r>
          </w:p>
        </w:tc>
        <w:tc>
          <w:tcPr>
            <w:tcW w:w="1799" w:type="dxa"/>
            <w:tcBorders>
              <w:top w:val="nil"/>
              <w:left w:val="nil"/>
              <w:bottom w:val="nil"/>
              <w:right w:val="single" w:sz="8" w:space="0" w:color="auto"/>
            </w:tcBorders>
            <w:noWrap/>
            <w:vAlign w:val="bottom"/>
            <w:hideMark/>
          </w:tcPr>
          <w:p w14:paraId="46A5084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5A0F1D01" w14:textId="77777777" w:rsidTr="00FD64E6">
        <w:trPr>
          <w:trHeight w:val="306"/>
        </w:trPr>
        <w:tc>
          <w:tcPr>
            <w:tcW w:w="2418" w:type="dxa"/>
            <w:tcBorders>
              <w:top w:val="nil"/>
              <w:left w:val="single" w:sz="8" w:space="0" w:color="auto"/>
              <w:bottom w:val="nil"/>
              <w:right w:val="nil"/>
            </w:tcBorders>
            <w:noWrap/>
            <w:vAlign w:val="bottom"/>
            <w:hideMark/>
          </w:tcPr>
          <w:p w14:paraId="26043E53"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Catechism (MRYE)</w:t>
            </w:r>
          </w:p>
        </w:tc>
        <w:tc>
          <w:tcPr>
            <w:tcW w:w="1327" w:type="dxa"/>
            <w:tcBorders>
              <w:top w:val="nil"/>
              <w:left w:val="nil"/>
              <w:bottom w:val="nil"/>
              <w:right w:val="nil"/>
            </w:tcBorders>
            <w:noWrap/>
            <w:vAlign w:val="bottom"/>
            <w:hideMark/>
          </w:tcPr>
          <w:p w14:paraId="0BD7AFED"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4.03</w:t>
            </w:r>
          </w:p>
        </w:tc>
        <w:tc>
          <w:tcPr>
            <w:tcW w:w="2015" w:type="dxa"/>
            <w:tcBorders>
              <w:top w:val="nil"/>
              <w:left w:val="nil"/>
              <w:bottom w:val="nil"/>
              <w:right w:val="nil"/>
            </w:tcBorders>
            <w:noWrap/>
            <w:vAlign w:val="bottom"/>
            <w:hideMark/>
          </w:tcPr>
          <w:p w14:paraId="6C84CC4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3D9E581A"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4.18</w:t>
            </w:r>
          </w:p>
        </w:tc>
        <w:tc>
          <w:tcPr>
            <w:tcW w:w="1799" w:type="dxa"/>
            <w:tcBorders>
              <w:top w:val="nil"/>
              <w:left w:val="nil"/>
              <w:bottom w:val="nil"/>
              <w:right w:val="single" w:sz="8" w:space="0" w:color="auto"/>
            </w:tcBorders>
            <w:noWrap/>
            <w:vAlign w:val="bottom"/>
            <w:hideMark/>
          </w:tcPr>
          <w:p w14:paraId="7EA6A4D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649C924F" w14:textId="77777777" w:rsidTr="00FD64E6">
        <w:trPr>
          <w:trHeight w:val="306"/>
        </w:trPr>
        <w:tc>
          <w:tcPr>
            <w:tcW w:w="2418" w:type="dxa"/>
            <w:tcBorders>
              <w:top w:val="nil"/>
              <w:left w:val="single" w:sz="8" w:space="0" w:color="auto"/>
              <w:bottom w:val="nil"/>
              <w:right w:val="nil"/>
            </w:tcBorders>
            <w:noWrap/>
            <w:vAlign w:val="bottom"/>
            <w:hideMark/>
          </w:tcPr>
          <w:p w14:paraId="10D89917"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Relief Operation</w:t>
            </w:r>
          </w:p>
        </w:tc>
        <w:tc>
          <w:tcPr>
            <w:tcW w:w="1327" w:type="dxa"/>
            <w:tcBorders>
              <w:top w:val="nil"/>
              <w:left w:val="nil"/>
              <w:bottom w:val="nil"/>
              <w:right w:val="nil"/>
            </w:tcBorders>
            <w:noWrap/>
            <w:vAlign w:val="bottom"/>
            <w:hideMark/>
          </w:tcPr>
          <w:p w14:paraId="6075C625"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4.91</w:t>
            </w:r>
          </w:p>
        </w:tc>
        <w:tc>
          <w:tcPr>
            <w:tcW w:w="2015" w:type="dxa"/>
            <w:tcBorders>
              <w:top w:val="nil"/>
              <w:left w:val="nil"/>
              <w:bottom w:val="nil"/>
              <w:right w:val="nil"/>
            </w:tcBorders>
            <w:noWrap/>
            <w:vAlign w:val="bottom"/>
            <w:hideMark/>
          </w:tcPr>
          <w:p w14:paraId="213F5B8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c>
          <w:tcPr>
            <w:tcW w:w="1280" w:type="dxa"/>
            <w:tcBorders>
              <w:top w:val="nil"/>
              <w:left w:val="nil"/>
              <w:bottom w:val="nil"/>
              <w:right w:val="nil"/>
            </w:tcBorders>
            <w:noWrap/>
            <w:vAlign w:val="bottom"/>
            <w:hideMark/>
          </w:tcPr>
          <w:p w14:paraId="16A6F49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4.54</w:t>
            </w:r>
          </w:p>
        </w:tc>
        <w:tc>
          <w:tcPr>
            <w:tcW w:w="1799" w:type="dxa"/>
            <w:tcBorders>
              <w:top w:val="nil"/>
              <w:left w:val="nil"/>
              <w:bottom w:val="nil"/>
              <w:right w:val="single" w:sz="8" w:space="0" w:color="auto"/>
            </w:tcBorders>
            <w:noWrap/>
            <w:vAlign w:val="bottom"/>
            <w:hideMark/>
          </w:tcPr>
          <w:p w14:paraId="1E029861"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7E069B20" w14:textId="77777777" w:rsidTr="00FD64E6">
        <w:trPr>
          <w:trHeight w:val="306"/>
        </w:trPr>
        <w:tc>
          <w:tcPr>
            <w:tcW w:w="2418" w:type="dxa"/>
            <w:tcBorders>
              <w:top w:val="nil"/>
              <w:left w:val="single" w:sz="8" w:space="0" w:color="auto"/>
              <w:bottom w:val="nil"/>
              <w:right w:val="nil"/>
            </w:tcBorders>
            <w:noWrap/>
            <w:vAlign w:val="bottom"/>
            <w:hideMark/>
          </w:tcPr>
          <w:p w14:paraId="65A5CF11"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Orphanage</w:t>
            </w:r>
          </w:p>
        </w:tc>
        <w:tc>
          <w:tcPr>
            <w:tcW w:w="1327" w:type="dxa"/>
            <w:tcBorders>
              <w:top w:val="nil"/>
              <w:left w:val="nil"/>
              <w:bottom w:val="nil"/>
              <w:right w:val="nil"/>
            </w:tcBorders>
            <w:noWrap/>
            <w:vAlign w:val="bottom"/>
            <w:hideMark/>
          </w:tcPr>
          <w:p w14:paraId="2505AE5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3.84</w:t>
            </w:r>
          </w:p>
        </w:tc>
        <w:tc>
          <w:tcPr>
            <w:tcW w:w="2015" w:type="dxa"/>
            <w:tcBorders>
              <w:top w:val="nil"/>
              <w:left w:val="nil"/>
              <w:bottom w:val="nil"/>
              <w:right w:val="nil"/>
            </w:tcBorders>
            <w:noWrap/>
            <w:vAlign w:val="bottom"/>
            <w:hideMark/>
          </w:tcPr>
          <w:p w14:paraId="65FF3B4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0B9187D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3.65</w:t>
            </w:r>
          </w:p>
        </w:tc>
        <w:tc>
          <w:tcPr>
            <w:tcW w:w="1799" w:type="dxa"/>
            <w:tcBorders>
              <w:top w:val="nil"/>
              <w:left w:val="nil"/>
              <w:bottom w:val="nil"/>
              <w:right w:val="single" w:sz="8" w:space="0" w:color="auto"/>
            </w:tcBorders>
            <w:noWrap/>
            <w:vAlign w:val="bottom"/>
            <w:hideMark/>
          </w:tcPr>
          <w:p w14:paraId="6915A27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3D58C799" w14:textId="77777777" w:rsidTr="00FD64E6">
        <w:trPr>
          <w:trHeight w:val="306"/>
        </w:trPr>
        <w:tc>
          <w:tcPr>
            <w:tcW w:w="2418" w:type="dxa"/>
            <w:tcBorders>
              <w:top w:val="nil"/>
              <w:left w:val="single" w:sz="8" w:space="0" w:color="auto"/>
              <w:bottom w:val="nil"/>
              <w:right w:val="nil"/>
            </w:tcBorders>
            <w:noWrap/>
            <w:vAlign w:val="bottom"/>
            <w:hideMark/>
          </w:tcPr>
          <w:p w14:paraId="5E7A0A0B"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Community Pantry</w:t>
            </w:r>
          </w:p>
        </w:tc>
        <w:tc>
          <w:tcPr>
            <w:tcW w:w="1327" w:type="dxa"/>
            <w:tcBorders>
              <w:top w:val="nil"/>
              <w:left w:val="nil"/>
              <w:bottom w:val="nil"/>
              <w:right w:val="nil"/>
            </w:tcBorders>
            <w:noWrap/>
            <w:vAlign w:val="bottom"/>
            <w:hideMark/>
          </w:tcPr>
          <w:p w14:paraId="0AE025B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4.10</w:t>
            </w:r>
          </w:p>
        </w:tc>
        <w:tc>
          <w:tcPr>
            <w:tcW w:w="2015" w:type="dxa"/>
            <w:tcBorders>
              <w:top w:val="nil"/>
              <w:left w:val="nil"/>
              <w:bottom w:val="nil"/>
              <w:right w:val="nil"/>
            </w:tcBorders>
            <w:noWrap/>
            <w:vAlign w:val="bottom"/>
            <w:hideMark/>
          </w:tcPr>
          <w:p w14:paraId="541459B0"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2BC19E3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4.01</w:t>
            </w:r>
          </w:p>
        </w:tc>
        <w:tc>
          <w:tcPr>
            <w:tcW w:w="1799" w:type="dxa"/>
            <w:tcBorders>
              <w:top w:val="nil"/>
              <w:left w:val="nil"/>
              <w:bottom w:val="nil"/>
              <w:right w:val="single" w:sz="8" w:space="0" w:color="auto"/>
            </w:tcBorders>
            <w:noWrap/>
            <w:vAlign w:val="bottom"/>
            <w:hideMark/>
          </w:tcPr>
          <w:p w14:paraId="3DDF5F5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1A2D61EF" w14:textId="77777777" w:rsidTr="00FD64E6">
        <w:trPr>
          <w:trHeight w:val="306"/>
        </w:trPr>
        <w:tc>
          <w:tcPr>
            <w:tcW w:w="2418" w:type="dxa"/>
            <w:tcBorders>
              <w:top w:val="nil"/>
              <w:left w:val="single" w:sz="8" w:space="0" w:color="auto"/>
              <w:bottom w:val="nil"/>
              <w:right w:val="nil"/>
            </w:tcBorders>
            <w:noWrap/>
            <w:vAlign w:val="bottom"/>
            <w:hideMark/>
          </w:tcPr>
          <w:p w14:paraId="11EE0743"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Clean Up Drive</w:t>
            </w:r>
          </w:p>
        </w:tc>
        <w:tc>
          <w:tcPr>
            <w:tcW w:w="1327" w:type="dxa"/>
            <w:tcBorders>
              <w:top w:val="nil"/>
              <w:left w:val="nil"/>
              <w:bottom w:val="nil"/>
              <w:right w:val="nil"/>
            </w:tcBorders>
            <w:noWrap/>
            <w:vAlign w:val="bottom"/>
            <w:hideMark/>
          </w:tcPr>
          <w:p w14:paraId="73993E2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4.37</w:t>
            </w:r>
          </w:p>
        </w:tc>
        <w:tc>
          <w:tcPr>
            <w:tcW w:w="2015" w:type="dxa"/>
            <w:tcBorders>
              <w:top w:val="nil"/>
              <w:left w:val="nil"/>
              <w:bottom w:val="nil"/>
              <w:right w:val="nil"/>
            </w:tcBorders>
            <w:noWrap/>
            <w:vAlign w:val="bottom"/>
            <w:hideMark/>
          </w:tcPr>
          <w:p w14:paraId="58F31DF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c>
          <w:tcPr>
            <w:tcW w:w="1280" w:type="dxa"/>
            <w:tcBorders>
              <w:top w:val="nil"/>
              <w:left w:val="nil"/>
              <w:bottom w:val="nil"/>
              <w:right w:val="nil"/>
            </w:tcBorders>
            <w:noWrap/>
            <w:vAlign w:val="bottom"/>
            <w:hideMark/>
          </w:tcPr>
          <w:p w14:paraId="01D14980"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4.68</w:t>
            </w:r>
          </w:p>
        </w:tc>
        <w:tc>
          <w:tcPr>
            <w:tcW w:w="1799" w:type="dxa"/>
            <w:tcBorders>
              <w:top w:val="nil"/>
              <w:left w:val="nil"/>
              <w:bottom w:val="nil"/>
              <w:right w:val="single" w:sz="8" w:space="0" w:color="auto"/>
            </w:tcBorders>
            <w:noWrap/>
            <w:vAlign w:val="bottom"/>
            <w:hideMark/>
          </w:tcPr>
          <w:p w14:paraId="54FD72E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7DDF68F6" w14:textId="77777777" w:rsidTr="00FD64E6">
        <w:trPr>
          <w:trHeight w:val="306"/>
        </w:trPr>
        <w:tc>
          <w:tcPr>
            <w:tcW w:w="2418" w:type="dxa"/>
            <w:tcBorders>
              <w:top w:val="nil"/>
              <w:left w:val="single" w:sz="8" w:space="0" w:color="auto"/>
              <w:bottom w:val="nil"/>
              <w:right w:val="nil"/>
            </w:tcBorders>
            <w:noWrap/>
            <w:vAlign w:val="bottom"/>
            <w:hideMark/>
          </w:tcPr>
          <w:p w14:paraId="5A12D4C8" w14:textId="77777777" w:rsidR="001301D8" w:rsidRPr="001301D8" w:rsidRDefault="001301D8" w:rsidP="00FD64E6">
            <w:pPr>
              <w:ind w:left="-20" w:firstLine="20"/>
              <w:rPr>
                <w:rFonts w:ascii="Arial" w:hAnsi="Arial" w:cs="Arial"/>
                <w:color w:val="000000"/>
                <w:lang w:eastAsia="en-PH"/>
              </w:rPr>
            </w:pPr>
            <w:r w:rsidRPr="001301D8">
              <w:rPr>
                <w:rFonts w:ascii="Arial" w:hAnsi="Arial" w:cs="Arial"/>
                <w:color w:val="000000"/>
                <w:lang w:eastAsia="en-PH"/>
              </w:rPr>
              <w:t>Garage Sale/Fund Raising</w:t>
            </w:r>
          </w:p>
        </w:tc>
        <w:tc>
          <w:tcPr>
            <w:tcW w:w="1327" w:type="dxa"/>
            <w:tcBorders>
              <w:top w:val="nil"/>
              <w:left w:val="nil"/>
              <w:bottom w:val="nil"/>
              <w:right w:val="nil"/>
            </w:tcBorders>
            <w:noWrap/>
            <w:vAlign w:val="bottom"/>
            <w:hideMark/>
          </w:tcPr>
          <w:p w14:paraId="1F79D70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4.06</w:t>
            </w:r>
          </w:p>
        </w:tc>
        <w:tc>
          <w:tcPr>
            <w:tcW w:w="2015" w:type="dxa"/>
            <w:tcBorders>
              <w:top w:val="nil"/>
              <w:left w:val="nil"/>
              <w:bottom w:val="nil"/>
              <w:right w:val="nil"/>
            </w:tcBorders>
            <w:noWrap/>
            <w:vAlign w:val="bottom"/>
            <w:hideMark/>
          </w:tcPr>
          <w:p w14:paraId="203AB6E8"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07879ED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4.06</w:t>
            </w:r>
          </w:p>
        </w:tc>
        <w:tc>
          <w:tcPr>
            <w:tcW w:w="1799" w:type="dxa"/>
            <w:tcBorders>
              <w:top w:val="nil"/>
              <w:left w:val="nil"/>
              <w:bottom w:val="nil"/>
              <w:right w:val="single" w:sz="8" w:space="0" w:color="auto"/>
            </w:tcBorders>
            <w:noWrap/>
            <w:vAlign w:val="bottom"/>
            <w:hideMark/>
          </w:tcPr>
          <w:p w14:paraId="78E4D57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3DBFEE5B" w14:textId="77777777" w:rsidTr="00FD64E6">
        <w:trPr>
          <w:trHeight w:val="306"/>
        </w:trPr>
        <w:tc>
          <w:tcPr>
            <w:tcW w:w="2418" w:type="dxa"/>
            <w:tcBorders>
              <w:top w:val="nil"/>
              <w:left w:val="single" w:sz="8" w:space="0" w:color="auto"/>
              <w:bottom w:val="nil"/>
              <w:right w:val="nil"/>
            </w:tcBorders>
            <w:noWrap/>
            <w:vAlign w:val="bottom"/>
            <w:hideMark/>
          </w:tcPr>
          <w:p w14:paraId="7ECAA112"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Tree Planting</w:t>
            </w:r>
          </w:p>
        </w:tc>
        <w:tc>
          <w:tcPr>
            <w:tcW w:w="1327" w:type="dxa"/>
            <w:tcBorders>
              <w:top w:val="nil"/>
              <w:left w:val="nil"/>
              <w:bottom w:val="nil"/>
              <w:right w:val="nil"/>
            </w:tcBorders>
            <w:noWrap/>
            <w:vAlign w:val="bottom"/>
            <w:hideMark/>
          </w:tcPr>
          <w:p w14:paraId="3E922B8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4.75</w:t>
            </w:r>
          </w:p>
        </w:tc>
        <w:tc>
          <w:tcPr>
            <w:tcW w:w="2015" w:type="dxa"/>
            <w:tcBorders>
              <w:top w:val="nil"/>
              <w:left w:val="nil"/>
              <w:bottom w:val="nil"/>
              <w:right w:val="nil"/>
            </w:tcBorders>
            <w:noWrap/>
            <w:vAlign w:val="bottom"/>
            <w:hideMark/>
          </w:tcPr>
          <w:p w14:paraId="089D650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c>
          <w:tcPr>
            <w:tcW w:w="1280" w:type="dxa"/>
            <w:tcBorders>
              <w:top w:val="nil"/>
              <w:left w:val="nil"/>
              <w:bottom w:val="nil"/>
              <w:right w:val="nil"/>
            </w:tcBorders>
            <w:noWrap/>
            <w:vAlign w:val="bottom"/>
            <w:hideMark/>
          </w:tcPr>
          <w:p w14:paraId="1939050D"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4.94</w:t>
            </w:r>
          </w:p>
        </w:tc>
        <w:tc>
          <w:tcPr>
            <w:tcW w:w="1799" w:type="dxa"/>
            <w:tcBorders>
              <w:top w:val="nil"/>
              <w:left w:val="nil"/>
              <w:bottom w:val="nil"/>
              <w:right w:val="single" w:sz="8" w:space="0" w:color="auto"/>
            </w:tcBorders>
            <w:noWrap/>
            <w:vAlign w:val="bottom"/>
            <w:hideMark/>
          </w:tcPr>
          <w:p w14:paraId="3B8378D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055A8DE7" w14:textId="77777777" w:rsidTr="00FD64E6">
        <w:trPr>
          <w:trHeight w:val="306"/>
        </w:trPr>
        <w:tc>
          <w:tcPr>
            <w:tcW w:w="2418" w:type="dxa"/>
            <w:tcBorders>
              <w:top w:val="nil"/>
              <w:left w:val="single" w:sz="8" w:space="0" w:color="auto"/>
              <w:bottom w:val="nil"/>
              <w:right w:val="nil"/>
            </w:tcBorders>
            <w:noWrap/>
            <w:vAlign w:val="bottom"/>
            <w:hideMark/>
          </w:tcPr>
          <w:p w14:paraId="0727E484"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Blood Letting</w:t>
            </w:r>
          </w:p>
        </w:tc>
        <w:tc>
          <w:tcPr>
            <w:tcW w:w="1327" w:type="dxa"/>
            <w:tcBorders>
              <w:top w:val="nil"/>
              <w:left w:val="nil"/>
              <w:bottom w:val="nil"/>
              <w:right w:val="nil"/>
            </w:tcBorders>
            <w:noWrap/>
            <w:vAlign w:val="bottom"/>
            <w:hideMark/>
          </w:tcPr>
          <w:p w14:paraId="20764C0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3.49</w:t>
            </w:r>
          </w:p>
        </w:tc>
        <w:tc>
          <w:tcPr>
            <w:tcW w:w="2015" w:type="dxa"/>
            <w:tcBorders>
              <w:top w:val="nil"/>
              <w:left w:val="nil"/>
              <w:bottom w:val="nil"/>
              <w:right w:val="nil"/>
            </w:tcBorders>
            <w:noWrap/>
            <w:vAlign w:val="bottom"/>
            <w:hideMark/>
          </w:tcPr>
          <w:p w14:paraId="7550A67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320E832A"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3.68</w:t>
            </w:r>
          </w:p>
        </w:tc>
        <w:tc>
          <w:tcPr>
            <w:tcW w:w="1799" w:type="dxa"/>
            <w:tcBorders>
              <w:top w:val="nil"/>
              <w:left w:val="nil"/>
              <w:bottom w:val="nil"/>
              <w:right w:val="single" w:sz="8" w:space="0" w:color="auto"/>
            </w:tcBorders>
            <w:noWrap/>
            <w:vAlign w:val="bottom"/>
            <w:hideMark/>
          </w:tcPr>
          <w:p w14:paraId="71CA9F9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793DC9E5" w14:textId="77777777" w:rsidTr="00FD64E6">
        <w:trPr>
          <w:trHeight w:val="306"/>
        </w:trPr>
        <w:tc>
          <w:tcPr>
            <w:tcW w:w="2418" w:type="dxa"/>
            <w:tcBorders>
              <w:top w:val="nil"/>
              <w:left w:val="single" w:sz="8" w:space="0" w:color="auto"/>
              <w:bottom w:val="nil"/>
              <w:right w:val="nil"/>
            </w:tcBorders>
            <w:noWrap/>
            <w:vAlign w:val="bottom"/>
            <w:hideMark/>
          </w:tcPr>
          <w:p w14:paraId="7E028332" w14:textId="77777777" w:rsidR="001301D8" w:rsidRPr="001301D8" w:rsidRDefault="001301D8" w:rsidP="00FD64E6">
            <w:pPr>
              <w:rPr>
                <w:rFonts w:ascii="Arial" w:hAnsi="Arial" w:cs="Arial"/>
                <w:color w:val="000000"/>
                <w:lang w:eastAsia="en-PH"/>
              </w:rPr>
            </w:pPr>
            <w:r w:rsidRPr="001301D8">
              <w:rPr>
                <w:rFonts w:ascii="Arial" w:hAnsi="Arial" w:cs="Arial"/>
                <w:color w:val="000000"/>
                <w:lang w:eastAsia="en-PH"/>
              </w:rPr>
              <w:t>Gift Giving to Public Schools</w:t>
            </w:r>
          </w:p>
        </w:tc>
        <w:tc>
          <w:tcPr>
            <w:tcW w:w="1327" w:type="dxa"/>
            <w:tcBorders>
              <w:top w:val="nil"/>
              <w:left w:val="nil"/>
              <w:bottom w:val="nil"/>
              <w:right w:val="nil"/>
            </w:tcBorders>
            <w:noWrap/>
            <w:vAlign w:val="bottom"/>
            <w:hideMark/>
          </w:tcPr>
          <w:p w14:paraId="417022C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3.95</w:t>
            </w:r>
          </w:p>
        </w:tc>
        <w:tc>
          <w:tcPr>
            <w:tcW w:w="2015" w:type="dxa"/>
            <w:tcBorders>
              <w:top w:val="nil"/>
              <w:left w:val="nil"/>
              <w:bottom w:val="nil"/>
              <w:right w:val="nil"/>
            </w:tcBorders>
            <w:noWrap/>
            <w:vAlign w:val="bottom"/>
            <w:hideMark/>
          </w:tcPr>
          <w:p w14:paraId="05F311D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58FF83D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3.72</w:t>
            </w:r>
          </w:p>
        </w:tc>
        <w:tc>
          <w:tcPr>
            <w:tcW w:w="1799" w:type="dxa"/>
            <w:tcBorders>
              <w:top w:val="nil"/>
              <w:left w:val="nil"/>
              <w:bottom w:val="nil"/>
              <w:right w:val="single" w:sz="8" w:space="0" w:color="auto"/>
            </w:tcBorders>
            <w:noWrap/>
            <w:vAlign w:val="bottom"/>
            <w:hideMark/>
          </w:tcPr>
          <w:p w14:paraId="5D71FE8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30F6D4AF" w14:textId="77777777" w:rsidTr="00FD64E6">
        <w:trPr>
          <w:trHeight w:val="316"/>
        </w:trPr>
        <w:tc>
          <w:tcPr>
            <w:tcW w:w="2418" w:type="dxa"/>
            <w:tcBorders>
              <w:top w:val="nil"/>
              <w:left w:val="single" w:sz="8" w:space="0" w:color="auto"/>
              <w:bottom w:val="single" w:sz="8" w:space="0" w:color="auto"/>
              <w:right w:val="nil"/>
            </w:tcBorders>
            <w:noWrap/>
            <w:vAlign w:val="bottom"/>
            <w:hideMark/>
          </w:tcPr>
          <w:p w14:paraId="52773C05" w14:textId="77777777" w:rsidR="001301D8" w:rsidRPr="001301D8" w:rsidRDefault="001301D8" w:rsidP="00FD64E6">
            <w:pPr>
              <w:rPr>
                <w:rFonts w:ascii="Arial" w:hAnsi="Arial" w:cs="Arial"/>
                <w:color w:val="000000"/>
                <w:lang w:eastAsia="en-PH"/>
              </w:rPr>
            </w:pPr>
            <w:r w:rsidRPr="001301D8">
              <w:rPr>
                <w:rFonts w:ascii="Arial" w:hAnsi="Arial" w:cs="Arial"/>
                <w:color w:val="000000"/>
                <w:lang w:eastAsia="en-PH"/>
              </w:rPr>
              <w:t>Visit to the Home for Elderly</w:t>
            </w:r>
          </w:p>
        </w:tc>
        <w:tc>
          <w:tcPr>
            <w:tcW w:w="1327" w:type="dxa"/>
            <w:tcBorders>
              <w:top w:val="nil"/>
              <w:left w:val="nil"/>
              <w:bottom w:val="single" w:sz="8" w:space="0" w:color="auto"/>
              <w:right w:val="nil"/>
            </w:tcBorders>
            <w:noWrap/>
            <w:vAlign w:val="bottom"/>
            <w:hideMark/>
          </w:tcPr>
          <w:p w14:paraId="43465FF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3.78</w:t>
            </w:r>
          </w:p>
        </w:tc>
        <w:tc>
          <w:tcPr>
            <w:tcW w:w="2015" w:type="dxa"/>
            <w:tcBorders>
              <w:top w:val="nil"/>
              <w:left w:val="nil"/>
              <w:bottom w:val="single" w:sz="8" w:space="0" w:color="auto"/>
              <w:right w:val="nil"/>
            </w:tcBorders>
            <w:noWrap/>
            <w:vAlign w:val="bottom"/>
            <w:hideMark/>
          </w:tcPr>
          <w:p w14:paraId="7DDC398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single" w:sz="8" w:space="0" w:color="auto"/>
              <w:right w:val="nil"/>
            </w:tcBorders>
            <w:noWrap/>
            <w:vAlign w:val="bottom"/>
            <w:hideMark/>
          </w:tcPr>
          <w:p w14:paraId="0497F618"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3.38</w:t>
            </w:r>
          </w:p>
        </w:tc>
        <w:tc>
          <w:tcPr>
            <w:tcW w:w="1799" w:type="dxa"/>
            <w:tcBorders>
              <w:top w:val="nil"/>
              <w:left w:val="nil"/>
              <w:bottom w:val="single" w:sz="8" w:space="0" w:color="auto"/>
              <w:right w:val="single" w:sz="8" w:space="0" w:color="auto"/>
            </w:tcBorders>
            <w:noWrap/>
            <w:vAlign w:val="bottom"/>
            <w:hideMark/>
          </w:tcPr>
          <w:p w14:paraId="54C8A88C" w14:textId="77777777" w:rsidR="001301D8" w:rsidRPr="001301D8" w:rsidRDefault="001301D8" w:rsidP="00FD64E6">
            <w:pPr>
              <w:jc w:val="both"/>
              <w:rPr>
                <w:rFonts w:ascii="Arial" w:hAnsi="Arial" w:cs="Arial"/>
                <w:color w:val="000000"/>
                <w:lang w:eastAsia="en-PH"/>
              </w:rPr>
            </w:pPr>
            <w:r w:rsidRPr="001301D8">
              <w:rPr>
                <w:rFonts w:ascii="Arial" w:hAnsi="Arial" w:cs="Arial"/>
                <w:color w:val="000000"/>
                <w:lang w:eastAsia="en-PH"/>
              </w:rPr>
              <w:t>Moderately Effective</w:t>
            </w:r>
          </w:p>
        </w:tc>
      </w:tr>
      <w:tr w:rsidR="001301D8" w:rsidRPr="001301D8" w14:paraId="6292B533" w14:textId="77777777" w:rsidTr="00FD64E6">
        <w:trPr>
          <w:trHeight w:val="306"/>
        </w:trPr>
        <w:tc>
          <w:tcPr>
            <w:tcW w:w="2418" w:type="dxa"/>
            <w:tcBorders>
              <w:top w:val="nil"/>
              <w:left w:val="nil"/>
              <w:bottom w:val="nil"/>
              <w:right w:val="nil"/>
            </w:tcBorders>
            <w:noWrap/>
            <w:vAlign w:val="bottom"/>
            <w:hideMark/>
          </w:tcPr>
          <w:p w14:paraId="0849FE8A"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Overall Mean</w:t>
            </w:r>
          </w:p>
        </w:tc>
        <w:tc>
          <w:tcPr>
            <w:tcW w:w="1327" w:type="dxa"/>
            <w:tcBorders>
              <w:top w:val="nil"/>
              <w:left w:val="nil"/>
              <w:bottom w:val="nil"/>
              <w:right w:val="nil"/>
            </w:tcBorders>
            <w:noWrap/>
            <w:vAlign w:val="bottom"/>
            <w:hideMark/>
          </w:tcPr>
          <w:p w14:paraId="19B6BA1E"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4.13</w:t>
            </w:r>
          </w:p>
        </w:tc>
        <w:tc>
          <w:tcPr>
            <w:tcW w:w="2015" w:type="dxa"/>
            <w:tcBorders>
              <w:top w:val="nil"/>
              <w:left w:val="nil"/>
              <w:bottom w:val="nil"/>
              <w:right w:val="nil"/>
            </w:tcBorders>
            <w:noWrap/>
            <w:vAlign w:val="bottom"/>
            <w:hideMark/>
          </w:tcPr>
          <w:p w14:paraId="120EDD67"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Effective</w:t>
            </w:r>
          </w:p>
        </w:tc>
        <w:tc>
          <w:tcPr>
            <w:tcW w:w="1280" w:type="dxa"/>
            <w:tcBorders>
              <w:top w:val="nil"/>
              <w:left w:val="nil"/>
              <w:bottom w:val="nil"/>
              <w:right w:val="nil"/>
            </w:tcBorders>
            <w:noWrap/>
            <w:vAlign w:val="bottom"/>
            <w:hideMark/>
          </w:tcPr>
          <w:p w14:paraId="5F507D5A"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4.13</w:t>
            </w:r>
          </w:p>
        </w:tc>
        <w:tc>
          <w:tcPr>
            <w:tcW w:w="1799" w:type="dxa"/>
            <w:tcBorders>
              <w:top w:val="nil"/>
              <w:left w:val="nil"/>
              <w:bottom w:val="nil"/>
              <w:right w:val="nil"/>
            </w:tcBorders>
            <w:noWrap/>
            <w:vAlign w:val="bottom"/>
            <w:hideMark/>
          </w:tcPr>
          <w:p w14:paraId="2DE5C3BB"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Effective</w:t>
            </w:r>
          </w:p>
        </w:tc>
      </w:tr>
      <w:tr w:rsidR="001301D8" w:rsidRPr="001301D8" w14:paraId="24D1FE57" w14:textId="77777777" w:rsidTr="00FD64E6">
        <w:trPr>
          <w:trHeight w:val="306"/>
        </w:trPr>
        <w:tc>
          <w:tcPr>
            <w:tcW w:w="2418" w:type="dxa"/>
            <w:tcBorders>
              <w:top w:val="nil"/>
              <w:left w:val="nil"/>
              <w:bottom w:val="nil"/>
              <w:right w:val="nil"/>
            </w:tcBorders>
            <w:noWrap/>
            <w:vAlign w:val="bottom"/>
          </w:tcPr>
          <w:p w14:paraId="313E3E52" w14:textId="77777777" w:rsidR="001301D8" w:rsidRPr="001301D8" w:rsidRDefault="001301D8" w:rsidP="00FD64E6">
            <w:pPr>
              <w:rPr>
                <w:rFonts w:ascii="Arial" w:hAnsi="Arial" w:cs="Arial"/>
                <w:b/>
                <w:bCs/>
                <w:color w:val="000000"/>
                <w:lang w:eastAsia="en-PH"/>
              </w:rPr>
            </w:pPr>
            <w:r w:rsidRPr="001301D8">
              <w:rPr>
                <w:rFonts w:ascii="Arial" w:hAnsi="Arial" w:cs="Arial"/>
                <w:b/>
                <w:bCs/>
                <w:color w:val="000000"/>
                <w:lang w:eastAsia="en-PH"/>
              </w:rPr>
              <w:t>Combined Overall Mean</w:t>
            </w:r>
          </w:p>
        </w:tc>
        <w:tc>
          <w:tcPr>
            <w:tcW w:w="1327" w:type="dxa"/>
            <w:tcBorders>
              <w:top w:val="nil"/>
              <w:left w:val="nil"/>
              <w:bottom w:val="nil"/>
              <w:right w:val="nil"/>
            </w:tcBorders>
            <w:noWrap/>
            <w:vAlign w:val="bottom"/>
          </w:tcPr>
          <w:p w14:paraId="3BE98CA2"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4.13</w:t>
            </w:r>
          </w:p>
        </w:tc>
        <w:tc>
          <w:tcPr>
            <w:tcW w:w="2015" w:type="dxa"/>
            <w:tcBorders>
              <w:top w:val="nil"/>
              <w:left w:val="nil"/>
              <w:bottom w:val="nil"/>
              <w:right w:val="nil"/>
            </w:tcBorders>
            <w:noWrap/>
            <w:vAlign w:val="bottom"/>
          </w:tcPr>
          <w:p w14:paraId="09C4E936"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Effective</w:t>
            </w:r>
          </w:p>
        </w:tc>
        <w:tc>
          <w:tcPr>
            <w:tcW w:w="1280" w:type="dxa"/>
            <w:tcBorders>
              <w:top w:val="nil"/>
              <w:left w:val="nil"/>
              <w:bottom w:val="nil"/>
              <w:right w:val="nil"/>
            </w:tcBorders>
            <w:noWrap/>
            <w:vAlign w:val="bottom"/>
          </w:tcPr>
          <w:p w14:paraId="62338598" w14:textId="77777777" w:rsidR="001301D8" w:rsidRPr="001301D8" w:rsidRDefault="001301D8" w:rsidP="00FD64E6">
            <w:pPr>
              <w:ind w:left="720" w:hanging="720"/>
              <w:jc w:val="both"/>
              <w:rPr>
                <w:rFonts w:ascii="Arial" w:hAnsi="Arial" w:cs="Arial"/>
                <w:b/>
                <w:bCs/>
                <w:color w:val="000000"/>
                <w:lang w:eastAsia="en-PH"/>
              </w:rPr>
            </w:pPr>
          </w:p>
        </w:tc>
        <w:tc>
          <w:tcPr>
            <w:tcW w:w="1799" w:type="dxa"/>
            <w:tcBorders>
              <w:top w:val="nil"/>
              <w:left w:val="nil"/>
              <w:bottom w:val="nil"/>
              <w:right w:val="nil"/>
            </w:tcBorders>
            <w:noWrap/>
            <w:vAlign w:val="bottom"/>
          </w:tcPr>
          <w:p w14:paraId="6D991546" w14:textId="77777777" w:rsidR="001301D8" w:rsidRPr="001301D8" w:rsidRDefault="001301D8" w:rsidP="00FD64E6">
            <w:pPr>
              <w:ind w:left="720" w:hanging="720"/>
              <w:jc w:val="both"/>
              <w:rPr>
                <w:rFonts w:ascii="Arial" w:hAnsi="Arial" w:cs="Arial"/>
                <w:b/>
                <w:bCs/>
                <w:color w:val="000000"/>
                <w:lang w:eastAsia="en-PH"/>
              </w:rPr>
            </w:pPr>
          </w:p>
        </w:tc>
      </w:tr>
    </w:tbl>
    <w:p w14:paraId="7B57A7E5" w14:textId="77777777" w:rsidR="001301D8" w:rsidRDefault="001301D8" w:rsidP="00441B6F">
      <w:pPr>
        <w:pStyle w:val="Body"/>
        <w:spacing w:after="0"/>
        <w:rPr>
          <w:rFonts w:ascii="Arial" w:hAnsi="Arial" w:cs="Arial"/>
        </w:rPr>
      </w:pPr>
    </w:p>
    <w:p w14:paraId="6E8D1C20" w14:textId="166FB3C1" w:rsidR="005D56AB" w:rsidRPr="005D56AB" w:rsidRDefault="005D56AB" w:rsidP="005D56AB">
      <w:pPr>
        <w:rPr>
          <w:rFonts w:ascii="Arial" w:hAnsi="Arial" w:cs="Arial"/>
          <w:b/>
          <w:bCs/>
        </w:rPr>
      </w:pPr>
      <w:r w:rsidRPr="005D56AB">
        <w:rPr>
          <w:rFonts w:ascii="Arial" w:hAnsi="Arial" w:cs="Arial"/>
          <w:b/>
          <w:bCs/>
        </w:rPr>
        <w:t>Table 8. Level of the Perceived Effect of the Community Extension Programs</w:t>
      </w:r>
    </w:p>
    <w:tbl>
      <w:tblPr>
        <w:tblW w:w="8929" w:type="dxa"/>
        <w:tblLook w:val="04A0" w:firstRow="1" w:lastRow="0" w:firstColumn="1" w:lastColumn="0" w:noHBand="0" w:noVBand="1"/>
      </w:tblPr>
      <w:tblGrid>
        <w:gridCol w:w="2855"/>
        <w:gridCol w:w="1903"/>
        <w:gridCol w:w="1553"/>
        <w:gridCol w:w="939"/>
        <w:gridCol w:w="1779"/>
      </w:tblGrid>
      <w:tr w:rsidR="005D56AB" w:rsidRPr="005D56AB" w14:paraId="1FCD627E" w14:textId="77777777" w:rsidTr="00FD64E6">
        <w:trPr>
          <w:trHeight w:val="320"/>
        </w:trPr>
        <w:tc>
          <w:tcPr>
            <w:tcW w:w="2855" w:type="dxa"/>
            <w:tcBorders>
              <w:top w:val="nil"/>
              <w:left w:val="nil"/>
              <w:bottom w:val="nil"/>
              <w:right w:val="nil"/>
            </w:tcBorders>
            <w:noWrap/>
            <w:vAlign w:val="bottom"/>
            <w:hideMark/>
          </w:tcPr>
          <w:p w14:paraId="367CF25C"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Indicator</w:t>
            </w:r>
          </w:p>
        </w:tc>
        <w:tc>
          <w:tcPr>
            <w:tcW w:w="1833" w:type="dxa"/>
            <w:tcBorders>
              <w:top w:val="nil"/>
              <w:left w:val="nil"/>
              <w:bottom w:val="nil"/>
              <w:right w:val="nil"/>
            </w:tcBorders>
            <w:noWrap/>
            <w:vAlign w:val="bottom"/>
            <w:hideMark/>
          </w:tcPr>
          <w:p w14:paraId="726A7B46"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Basic Education</w:t>
            </w:r>
          </w:p>
        </w:tc>
        <w:tc>
          <w:tcPr>
            <w:tcW w:w="1553" w:type="dxa"/>
            <w:tcBorders>
              <w:top w:val="nil"/>
              <w:left w:val="nil"/>
              <w:bottom w:val="nil"/>
              <w:right w:val="nil"/>
            </w:tcBorders>
            <w:noWrap/>
            <w:vAlign w:val="bottom"/>
            <w:hideMark/>
          </w:tcPr>
          <w:p w14:paraId="7A08340C"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Interpretation</w:t>
            </w:r>
          </w:p>
        </w:tc>
        <w:tc>
          <w:tcPr>
            <w:tcW w:w="909" w:type="dxa"/>
            <w:tcBorders>
              <w:top w:val="nil"/>
              <w:left w:val="nil"/>
              <w:bottom w:val="nil"/>
              <w:right w:val="nil"/>
            </w:tcBorders>
            <w:noWrap/>
            <w:vAlign w:val="bottom"/>
            <w:hideMark/>
          </w:tcPr>
          <w:p w14:paraId="27C1A7DF"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College</w:t>
            </w:r>
          </w:p>
        </w:tc>
        <w:tc>
          <w:tcPr>
            <w:tcW w:w="1779" w:type="dxa"/>
            <w:tcBorders>
              <w:top w:val="nil"/>
              <w:left w:val="nil"/>
              <w:bottom w:val="nil"/>
              <w:right w:val="nil"/>
            </w:tcBorders>
            <w:noWrap/>
            <w:vAlign w:val="bottom"/>
            <w:hideMark/>
          </w:tcPr>
          <w:p w14:paraId="4B51E510"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Interpretation</w:t>
            </w:r>
          </w:p>
        </w:tc>
      </w:tr>
      <w:tr w:rsidR="005D56AB" w:rsidRPr="005D56AB" w14:paraId="6EDBDB6F" w14:textId="77777777" w:rsidTr="00FD64E6">
        <w:trPr>
          <w:trHeight w:val="310"/>
        </w:trPr>
        <w:tc>
          <w:tcPr>
            <w:tcW w:w="2855" w:type="dxa"/>
            <w:tcBorders>
              <w:top w:val="single" w:sz="8" w:space="0" w:color="auto"/>
              <w:left w:val="single" w:sz="8" w:space="0" w:color="auto"/>
              <w:bottom w:val="nil"/>
              <w:right w:val="nil"/>
            </w:tcBorders>
            <w:noWrap/>
            <w:vAlign w:val="bottom"/>
            <w:hideMark/>
          </w:tcPr>
          <w:p w14:paraId="254840C9"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Personal Skill</w:t>
            </w:r>
          </w:p>
        </w:tc>
        <w:tc>
          <w:tcPr>
            <w:tcW w:w="1833" w:type="dxa"/>
            <w:tcBorders>
              <w:top w:val="single" w:sz="8" w:space="0" w:color="auto"/>
              <w:left w:val="nil"/>
              <w:bottom w:val="nil"/>
              <w:right w:val="nil"/>
            </w:tcBorders>
            <w:noWrap/>
            <w:vAlign w:val="bottom"/>
            <w:hideMark/>
          </w:tcPr>
          <w:p w14:paraId="5FEA1DA8"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3.99</w:t>
            </w:r>
          </w:p>
        </w:tc>
        <w:tc>
          <w:tcPr>
            <w:tcW w:w="1553" w:type="dxa"/>
            <w:tcBorders>
              <w:top w:val="single" w:sz="8" w:space="0" w:color="auto"/>
              <w:left w:val="nil"/>
              <w:bottom w:val="nil"/>
              <w:right w:val="nil"/>
            </w:tcBorders>
            <w:noWrap/>
            <w:vAlign w:val="bottom"/>
            <w:hideMark/>
          </w:tcPr>
          <w:p w14:paraId="3380B08A"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High</w:t>
            </w:r>
          </w:p>
        </w:tc>
        <w:tc>
          <w:tcPr>
            <w:tcW w:w="909" w:type="dxa"/>
            <w:tcBorders>
              <w:top w:val="single" w:sz="8" w:space="0" w:color="auto"/>
              <w:left w:val="nil"/>
              <w:bottom w:val="nil"/>
              <w:right w:val="nil"/>
            </w:tcBorders>
            <w:noWrap/>
            <w:vAlign w:val="bottom"/>
            <w:hideMark/>
          </w:tcPr>
          <w:p w14:paraId="6B01774C"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4.30</w:t>
            </w:r>
          </w:p>
        </w:tc>
        <w:tc>
          <w:tcPr>
            <w:tcW w:w="1779" w:type="dxa"/>
            <w:tcBorders>
              <w:top w:val="single" w:sz="8" w:space="0" w:color="auto"/>
              <w:left w:val="nil"/>
              <w:bottom w:val="nil"/>
              <w:right w:val="single" w:sz="8" w:space="0" w:color="auto"/>
            </w:tcBorders>
            <w:noWrap/>
            <w:vAlign w:val="bottom"/>
            <w:hideMark/>
          </w:tcPr>
          <w:p w14:paraId="324A7E4B"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Very High</w:t>
            </w:r>
          </w:p>
        </w:tc>
      </w:tr>
      <w:tr w:rsidR="005D56AB" w:rsidRPr="005D56AB" w14:paraId="7392FBFE" w14:textId="77777777" w:rsidTr="00FD64E6">
        <w:trPr>
          <w:trHeight w:val="310"/>
        </w:trPr>
        <w:tc>
          <w:tcPr>
            <w:tcW w:w="2855" w:type="dxa"/>
            <w:tcBorders>
              <w:top w:val="nil"/>
              <w:left w:val="single" w:sz="8" w:space="0" w:color="auto"/>
              <w:bottom w:val="nil"/>
              <w:right w:val="nil"/>
            </w:tcBorders>
            <w:noWrap/>
            <w:vAlign w:val="bottom"/>
            <w:hideMark/>
          </w:tcPr>
          <w:p w14:paraId="037E2983"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Social Skills</w:t>
            </w:r>
          </w:p>
        </w:tc>
        <w:tc>
          <w:tcPr>
            <w:tcW w:w="1833" w:type="dxa"/>
            <w:tcBorders>
              <w:top w:val="nil"/>
              <w:left w:val="nil"/>
              <w:bottom w:val="nil"/>
              <w:right w:val="nil"/>
            </w:tcBorders>
            <w:noWrap/>
            <w:vAlign w:val="bottom"/>
            <w:hideMark/>
          </w:tcPr>
          <w:p w14:paraId="1A0B478E"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4.06</w:t>
            </w:r>
          </w:p>
        </w:tc>
        <w:tc>
          <w:tcPr>
            <w:tcW w:w="1553" w:type="dxa"/>
            <w:tcBorders>
              <w:top w:val="nil"/>
              <w:left w:val="nil"/>
              <w:bottom w:val="nil"/>
              <w:right w:val="nil"/>
            </w:tcBorders>
            <w:noWrap/>
            <w:vAlign w:val="bottom"/>
            <w:hideMark/>
          </w:tcPr>
          <w:p w14:paraId="3DC4D892"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High</w:t>
            </w:r>
          </w:p>
        </w:tc>
        <w:tc>
          <w:tcPr>
            <w:tcW w:w="909" w:type="dxa"/>
            <w:tcBorders>
              <w:top w:val="nil"/>
              <w:left w:val="nil"/>
              <w:bottom w:val="nil"/>
              <w:right w:val="nil"/>
            </w:tcBorders>
            <w:noWrap/>
            <w:vAlign w:val="bottom"/>
            <w:hideMark/>
          </w:tcPr>
          <w:p w14:paraId="43B5258A"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4.35</w:t>
            </w:r>
          </w:p>
        </w:tc>
        <w:tc>
          <w:tcPr>
            <w:tcW w:w="1779" w:type="dxa"/>
            <w:tcBorders>
              <w:top w:val="nil"/>
              <w:left w:val="nil"/>
              <w:bottom w:val="nil"/>
              <w:right w:val="single" w:sz="8" w:space="0" w:color="auto"/>
            </w:tcBorders>
            <w:noWrap/>
            <w:vAlign w:val="bottom"/>
            <w:hideMark/>
          </w:tcPr>
          <w:p w14:paraId="176E0A6F"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Very High</w:t>
            </w:r>
          </w:p>
        </w:tc>
      </w:tr>
      <w:tr w:rsidR="005D56AB" w:rsidRPr="005D56AB" w14:paraId="71D36285" w14:textId="77777777" w:rsidTr="00FD64E6">
        <w:trPr>
          <w:trHeight w:val="320"/>
        </w:trPr>
        <w:tc>
          <w:tcPr>
            <w:tcW w:w="2855" w:type="dxa"/>
            <w:tcBorders>
              <w:top w:val="nil"/>
              <w:left w:val="single" w:sz="8" w:space="0" w:color="auto"/>
              <w:bottom w:val="single" w:sz="8" w:space="0" w:color="auto"/>
              <w:right w:val="nil"/>
            </w:tcBorders>
            <w:noWrap/>
            <w:vAlign w:val="bottom"/>
            <w:hideMark/>
          </w:tcPr>
          <w:p w14:paraId="68DA3DE6"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Civic Responsibility</w:t>
            </w:r>
          </w:p>
        </w:tc>
        <w:tc>
          <w:tcPr>
            <w:tcW w:w="1833" w:type="dxa"/>
            <w:tcBorders>
              <w:top w:val="nil"/>
              <w:left w:val="nil"/>
              <w:bottom w:val="single" w:sz="8" w:space="0" w:color="auto"/>
              <w:right w:val="nil"/>
            </w:tcBorders>
            <w:noWrap/>
            <w:vAlign w:val="bottom"/>
            <w:hideMark/>
          </w:tcPr>
          <w:p w14:paraId="17859FDC"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4.07</w:t>
            </w:r>
          </w:p>
        </w:tc>
        <w:tc>
          <w:tcPr>
            <w:tcW w:w="1553" w:type="dxa"/>
            <w:tcBorders>
              <w:top w:val="nil"/>
              <w:left w:val="nil"/>
              <w:bottom w:val="single" w:sz="8" w:space="0" w:color="auto"/>
              <w:right w:val="nil"/>
            </w:tcBorders>
            <w:noWrap/>
            <w:vAlign w:val="bottom"/>
            <w:hideMark/>
          </w:tcPr>
          <w:p w14:paraId="7C5285B2"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High</w:t>
            </w:r>
          </w:p>
        </w:tc>
        <w:tc>
          <w:tcPr>
            <w:tcW w:w="909" w:type="dxa"/>
            <w:tcBorders>
              <w:top w:val="nil"/>
              <w:left w:val="nil"/>
              <w:bottom w:val="single" w:sz="8" w:space="0" w:color="auto"/>
              <w:right w:val="nil"/>
            </w:tcBorders>
            <w:noWrap/>
            <w:vAlign w:val="bottom"/>
            <w:hideMark/>
          </w:tcPr>
          <w:p w14:paraId="04E00883"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4.37</w:t>
            </w:r>
          </w:p>
        </w:tc>
        <w:tc>
          <w:tcPr>
            <w:tcW w:w="1779" w:type="dxa"/>
            <w:tcBorders>
              <w:top w:val="nil"/>
              <w:left w:val="nil"/>
              <w:bottom w:val="single" w:sz="8" w:space="0" w:color="auto"/>
              <w:right w:val="single" w:sz="8" w:space="0" w:color="auto"/>
            </w:tcBorders>
            <w:noWrap/>
            <w:vAlign w:val="bottom"/>
            <w:hideMark/>
          </w:tcPr>
          <w:p w14:paraId="21B32D08"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Very High</w:t>
            </w:r>
          </w:p>
        </w:tc>
      </w:tr>
      <w:tr w:rsidR="005D56AB" w:rsidRPr="005D56AB" w14:paraId="76859891" w14:textId="77777777" w:rsidTr="00FD64E6">
        <w:trPr>
          <w:trHeight w:val="310"/>
        </w:trPr>
        <w:tc>
          <w:tcPr>
            <w:tcW w:w="2855" w:type="dxa"/>
            <w:tcBorders>
              <w:top w:val="nil"/>
              <w:left w:val="nil"/>
              <w:bottom w:val="nil"/>
              <w:right w:val="nil"/>
            </w:tcBorders>
            <w:noWrap/>
            <w:vAlign w:val="bottom"/>
            <w:hideMark/>
          </w:tcPr>
          <w:p w14:paraId="5577879E" w14:textId="77777777" w:rsidR="005D56AB" w:rsidRPr="005D56AB" w:rsidRDefault="005D56AB" w:rsidP="00FD64E6">
            <w:pPr>
              <w:rPr>
                <w:rFonts w:ascii="Arial" w:hAnsi="Arial" w:cs="Arial"/>
                <w:b/>
                <w:bCs/>
                <w:color w:val="000000"/>
                <w:lang w:eastAsia="en-PH"/>
              </w:rPr>
            </w:pPr>
            <w:r w:rsidRPr="005D56AB">
              <w:rPr>
                <w:rFonts w:ascii="Arial" w:hAnsi="Arial" w:cs="Arial"/>
                <w:b/>
                <w:bCs/>
                <w:color w:val="000000"/>
                <w:lang w:eastAsia="en-PH"/>
              </w:rPr>
              <w:t>Overall Mean</w:t>
            </w:r>
          </w:p>
        </w:tc>
        <w:tc>
          <w:tcPr>
            <w:tcW w:w="1833" w:type="dxa"/>
            <w:tcBorders>
              <w:top w:val="nil"/>
              <w:left w:val="nil"/>
              <w:bottom w:val="nil"/>
              <w:right w:val="nil"/>
            </w:tcBorders>
            <w:noWrap/>
            <w:vAlign w:val="bottom"/>
            <w:hideMark/>
          </w:tcPr>
          <w:p w14:paraId="659AA99D"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4.04</w:t>
            </w:r>
          </w:p>
        </w:tc>
        <w:tc>
          <w:tcPr>
            <w:tcW w:w="1553" w:type="dxa"/>
            <w:tcBorders>
              <w:top w:val="nil"/>
              <w:left w:val="nil"/>
              <w:bottom w:val="nil"/>
              <w:right w:val="nil"/>
            </w:tcBorders>
            <w:noWrap/>
            <w:vAlign w:val="bottom"/>
            <w:hideMark/>
          </w:tcPr>
          <w:p w14:paraId="7969D77B" w14:textId="77777777" w:rsidR="005D56AB" w:rsidRPr="005D56AB" w:rsidRDefault="005D56AB" w:rsidP="00FD64E6">
            <w:pPr>
              <w:ind w:left="720" w:hanging="720"/>
              <w:rPr>
                <w:rFonts w:ascii="Arial" w:hAnsi="Arial" w:cs="Arial"/>
                <w:b/>
                <w:bCs/>
                <w:color w:val="000000"/>
                <w:lang w:eastAsia="en-PH"/>
              </w:rPr>
            </w:pPr>
            <w:r w:rsidRPr="005D56AB">
              <w:rPr>
                <w:rFonts w:ascii="Arial" w:hAnsi="Arial" w:cs="Arial"/>
                <w:b/>
                <w:bCs/>
                <w:color w:val="000000"/>
                <w:lang w:eastAsia="en-PH"/>
              </w:rPr>
              <w:t xml:space="preserve">High </w:t>
            </w:r>
          </w:p>
        </w:tc>
        <w:tc>
          <w:tcPr>
            <w:tcW w:w="909" w:type="dxa"/>
            <w:tcBorders>
              <w:top w:val="nil"/>
              <w:left w:val="nil"/>
              <w:bottom w:val="nil"/>
              <w:right w:val="nil"/>
            </w:tcBorders>
            <w:noWrap/>
            <w:vAlign w:val="bottom"/>
            <w:hideMark/>
          </w:tcPr>
          <w:p w14:paraId="6C7C75A7"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4.34</w:t>
            </w:r>
          </w:p>
        </w:tc>
        <w:tc>
          <w:tcPr>
            <w:tcW w:w="1779" w:type="dxa"/>
            <w:tcBorders>
              <w:top w:val="nil"/>
              <w:left w:val="nil"/>
              <w:bottom w:val="nil"/>
              <w:right w:val="nil"/>
            </w:tcBorders>
            <w:noWrap/>
            <w:vAlign w:val="bottom"/>
            <w:hideMark/>
          </w:tcPr>
          <w:p w14:paraId="7DBA7E20" w14:textId="77777777" w:rsidR="005D56AB" w:rsidRPr="005D56AB" w:rsidRDefault="005D56AB" w:rsidP="00FD64E6">
            <w:pPr>
              <w:ind w:left="720" w:hanging="720"/>
              <w:rPr>
                <w:rFonts w:ascii="Arial" w:hAnsi="Arial" w:cs="Arial"/>
                <w:b/>
                <w:bCs/>
                <w:color w:val="000000"/>
                <w:lang w:eastAsia="en-PH"/>
              </w:rPr>
            </w:pPr>
            <w:r w:rsidRPr="005D56AB">
              <w:rPr>
                <w:rFonts w:ascii="Arial" w:hAnsi="Arial" w:cs="Arial"/>
                <w:b/>
                <w:bCs/>
                <w:color w:val="000000"/>
                <w:lang w:eastAsia="en-PH"/>
              </w:rPr>
              <w:t>Very High</w:t>
            </w:r>
          </w:p>
        </w:tc>
      </w:tr>
      <w:tr w:rsidR="005D56AB" w:rsidRPr="005D56AB" w14:paraId="101D7E68" w14:textId="77777777" w:rsidTr="00FD64E6">
        <w:trPr>
          <w:trHeight w:val="310"/>
        </w:trPr>
        <w:tc>
          <w:tcPr>
            <w:tcW w:w="2855" w:type="dxa"/>
            <w:tcBorders>
              <w:top w:val="nil"/>
              <w:left w:val="nil"/>
              <w:bottom w:val="nil"/>
              <w:right w:val="nil"/>
            </w:tcBorders>
            <w:noWrap/>
            <w:vAlign w:val="bottom"/>
          </w:tcPr>
          <w:p w14:paraId="7E3AF81F" w14:textId="77777777" w:rsidR="005D56AB" w:rsidRPr="005D56AB" w:rsidRDefault="005D56AB" w:rsidP="00FD64E6">
            <w:pPr>
              <w:rPr>
                <w:rFonts w:ascii="Arial" w:hAnsi="Arial" w:cs="Arial"/>
                <w:b/>
                <w:bCs/>
                <w:color w:val="000000"/>
                <w:lang w:eastAsia="en-PH"/>
              </w:rPr>
            </w:pPr>
            <w:r w:rsidRPr="005D56AB">
              <w:rPr>
                <w:rFonts w:ascii="Arial" w:hAnsi="Arial" w:cs="Arial"/>
                <w:b/>
                <w:bCs/>
                <w:color w:val="000000"/>
                <w:lang w:eastAsia="en-PH"/>
              </w:rPr>
              <w:t>Combined Overall Mean</w:t>
            </w:r>
          </w:p>
        </w:tc>
        <w:tc>
          <w:tcPr>
            <w:tcW w:w="1833" w:type="dxa"/>
            <w:tcBorders>
              <w:top w:val="nil"/>
              <w:left w:val="nil"/>
              <w:bottom w:val="nil"/>
              <w:right w:val="nil"/>
            </w:tcBorders>
            <w:noWrap/>
            <w:vAlign w:val="bottom"/>
          </w:tcPr>
          <w:p w14:paraId="374DAA6F" w14:textId="77777777" w:rsidR="005D56AB" w:rsidRPr="005D56AB" w:rsidRDefault="005D56AB" w:rsidP="00FD64E6">
            <w:pPr>
              <w:jc w:val="center"/>
              <w:rPr>
                <w:rFonts w:ascii="Arial" w:hAnsi="Arial" w:cs="Arial"/>
                <w:b/>
                <w:bCs/>
                <w:color w:val="000000"/>
                <w:lang w:eastAsia="en-PH"/>
              </w:rPr>
            </w:pPr>
            <w:r w:rsidRPr="005D56AB">
              <w:rPr>
                <w:rFonts w:ascii="Arial" w:hAnsi="Arial" w:cs="Arial"/>
                <w:b/>
                <w:bCs/>
                <w:color w:val="000000"/>
                <w:lang w:eastAsia="en-PH"/>
              </w:rPr>
              <w:t>4.19</w:t>
            </w:r>
          </w:p>
        </w:tc>
        <w:tc>
          <w:tcPr>
            <w:tcW w:w="1553" w:type="dxa"/>
            <w:tcBorders>
              <w:top w:val="nil"/>
              <w:left w:val="nil"/>
              <w:bottom w:val="nil"/>
              <w:right w:val="nil"/>
            </w:tcBorders>
            <w:noWrap/>
            <w:vAlign w:val="bottom"/>
          </w:tcPr>
          <w:p w14:paraId="399030D4" w14:textId="77777777" w:rsidR="005D56AB" w:rsidRPr="005D56AB" w:rsidRDefault="005D56AB" w:rsidP="00FD64E6">
            <w:pPr>
              <w:rPr>
                <w:rFonts w:ascii="Arial" w:hAnsi="Arial" w:cs="Arial"/>
                <w:b/>
                <w:bCs/>
                <w:color w:val="000000"/>
                <w:lang w:eastAsia="en-PH"/>
              </w:rPr>
            </w:pPr>
            <w:r w:rsidRPr="005D56AB">
              <w:rPr>
                <w:rFonts w:ascii="Arial" w:hAnsi="Arial" w:cs="Arial"/>
                <w:b/>
                <w:bCs/>
                <w:color w:val="000000"/>
                <w:lang w:eastAsia="en-PH"/>
              </w:rPr>
              <w:t>High</w:t>
            </w:r>
          </w:p>
        </w:tc>
        <w:tc>
          <w:tcPr>
            <w:tcW w:w="909" w:type="dxa"/>
            <w:tcBorders>
              <w:top w:val="nil"/>
              <w:left w:val="nil"/>
              <w:bottom w:val="nil"/>
              <w:right w:val="nil"/>
            </w:tcBorders>
            <w:noWrap/>
            <w:vAlign w:val="bottom"/>
          </w:tcPr>
          <w:p w14:paraId="6BADF9F3" w14:textId="77777777" w:rsidR="005D56AB" w:rsidRPr="005D56AB" w:rsidRDefault="005D56AB" w:rsidP="00FD64E6">
            <w:pPr>
              <w:rPr>
                <w:rFonts w:ascii="Arial" w:hAnsi="Arial" w:cs="Arial"/>
                <w:b/>
                <w:bCs/>
                <w:color w:val="000000"/>
                <w:lang w:eastAsia="en-PH"/>
              </w:rPr>
            </w:pPr>
          </w:p>
        </w:tc>
        <w:tc>
          <w:tcPr>
            <w:tcW w:w="1779" w:type="dxa"/>
            <w:tcBorders>
              <w:top w:val="nil"/>
              <w:left w:val="nil"/>
              <w:bottom w:val="nil"/>
              <w:right w:val="nil"/>
            </w:tcBorders>
            <w:noWrap/>
            <w:vAlign w:val="bottom"/>
          </w:tcPr>
          <w:p w14:paraId="0C5ABD51" w14:textId="77777777" w:rsidR="005D56AB" w:rsidRPr="005D56AB" w:rsidRDefault="005D56AB" w:rsidP="00FD64E6">
            <w:pPr>
              <w:rPr>
                <w:rFonts w:ascii="Arial" w:hAnsi="Arial" w:cs="Arial"/>
                <w:b/>
                <w:bCs/>
                <w:color w:val="000000"/>
                <w:lang w:eastAsia="en-PH"/>
              </w:rPr>
            </w:pPr>
          </w:p>
        </w:tc>
      </w:tr>
    </w:tbl>
    <w:p w14:paraId="5BD78336" w14:textId="77777777" w:rsidR="001301D8" w:rsidRPr="00FB3A86" w:rsidRDefault="001301D8" w:rsidP="00441B6F">
      <w:pPr>
        <w:pStyle w:val="Body"/>
        <w:spacing w:after="0"/>
        <w:rPr>
          <w:rFonts w:ascii="Arial" w:hAnsi="Arial" w:cs="Arial"/>
        </w:rPr>
      </w:pPr>
    </w:p>
    <w:p w14:paraId="5E1C868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61599D" w14:textId="77777777" w:rsidR="00790ADA" w:rsidRPr="00FB3A86" w:rsidRDefault="00790ADA" w:rsidP="00441B6F">
      <w:pPr>
        <w:pStyle w:val="ConcHead"/>
        <w:spacing w:after="0"/>
        <w:jc w:val="both"/>
        <w:rPr>
          <w:rFonts w:ascii="Arial" w:hAnsi="Arial" w:cs="Arial"/>
        </w:rPr>
      </w:pPr>
    </w:p>
    <w:p w14:paraId="66A241EF" w14:textId="6EA3D73F" w:rsidR="00790ADA" w:rsidRPr="008433DF" w:rsidRDefault="008433DF" w:rsidP="008433DF">
      <w:pPr>
        <w:jc w:val="both"/>
      </w:pPr>
      <w:r w:rsidRPr="008433DF">
        <w:rPr>
          <w:rFonts w:ascii="Arial" w:hAnsi="Arial" w:cs="Arial"/>
        </w:rPr>
        <w:t>The Community Extension and Services Office (CESO) has effectively implemented its programs, engaging students across departments, with highest participation from senior college and high school students. Most activities, especially tree planting and clean-up drives, received strong involvement, while a few, like orphanage visits and bloodletting, saw lower participation. Students rated the programs as effective, noting positive impacts on personal skills, social skills, and civic responsibility. Overall, CESO has successfully addressed community needs through well-organized initiatives in skills training, health education, and environmental programs.</w:t>
      </w:r>
    </w:p>
    <w:p w14:paraId="70B8829E" w14:textId="77777777" w:rsidR="00FB7C6E" w:rsidRDefault="00FB7C6E" w:rsidP="00441B6F">
      <w:pPr>
        <w:pStyle w:val="ReferHead"/>
        <w:spacing w:after="0"/>
        <w:jc w:val="both"/>
        <w:rPr>
          <w:rFonts w:ascii="Arial" w:hAnsi="Arial" w:cs="Arial"/>
        </w:rPr>
      </w:pPr>
    </w:p>
    <w:p w14:paraId="645972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7D0D52" w14:textId="77777777" w:rsidR="00790ADA" w:rsidRPr="00FB3A86" w:rsidRDefault="00790ADA" w:rsidP="00441B6F">
      <w:pPr>
        <w:pStyle w:val="ReferHead"/>
        <w:spacing w:after="0"/>
        <w:jc w:val="both"/>
        <w:rPr>
          <w:rFonts w:ascii="Arial" w:hAnsi="Arial" w:cs="Arial"/>
        </w:rPr>
      </w:pPr>
    </w:p>
    <w:p w14:paraId="6D0E4457"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Asio, J. M. R., Sardina, D. P., &amp; </w:t>
      </w:r>
      <w:proofErr w:type="spellStart"/>
      <w:r w:rsidRPr="006C76ED">
        <w:rPr>
          <w:rFonts w:ascii="Arial" w:hAnsi="Arial" w:cs="Arial"/>
          <w:color w:val="000000" w:themeColor="text1"/>
        </w:rPr>
        <w:t>Olaguir</w:t>
      </w:r>
      <w:proofErr w:type="spellEnd"/>
      <w:r w:rsidRPr="006C76ED">
        <w:rPr>
          <w:rFonts w:ascii="Arial" w:hAnsi="Arial" w:cs="Arial"/>
          <w:color w:val="000000" w:themeColor="text1"/>
        </w:rPr>
        <w:t xml:space="preserve">, J. A. O. (2021). Students’ community service involvement and its implications for community extension programs. </w:t>
      </w:r>
      <w:r w:rsidRPr="006C76ED">
        <w:rPr>
          <w:rFonts w:ascii="Arial" w:hAnsi="Arial" w:cs="Arial"/>
          <w:i/>
          <w:iCs/>
          <w:color w:val="000000" w:themeColor="text1"/>
        </w:rPr>
        <w:t>International Journal of Research in Education and Science</w:t>
      </w:r>
      <w:r w:rsidRPr="006C76ED">
        <w:rPr>
          <w:rFonts w:ascii="Arial" w:hAnsi="Arial" w:cs="Arial"/>
          <w:color w:val="000000" w:themeColor="text1"/>
        </w:rPr>
        <w:t>, 7(4), 1123–1136.</w:t>
      </w:r>
    </w:p>
    <w:p w14:paraId="5760BE1B" w14:textId="77777777" w:rsidR="00F53217" w:rsidRPr="006C76ED" w:rsidRDefault="00F53217" w:rsidP="00F53217">
      <w:pPr>
        <w:pStyle w:val="NoSpacing"/>
        <w:ind w:left="630" w:hanging="630"/>
        <w:rPr>
          <w:rFonts w:ascii="Arial" w:hAnsi="Arial" w:cs="Arial"/>
          <w:color w:val="000000" w:themeColor="text1"/>
          <w:sz w:val="20"/>
          <w:szCs w:val="20"/>
        </w:rPr>
      </w:pPr>
    </w:p>
    <w:p w14:paraId="3569FF6E" w14:textId="77777777" w:rsidR="00F53217" w:rsidRPr="006C76ED" w:rsidRDefault="00F53217" w:rsidP="00F53217">
      <w:pPr>
        <w:pStyle w:val="NoSpacing"/>
        <w:ind w:left="630" w:hanging="630"/>
        <w:rPr>
          <w:rFonts w:ascii="Arial" w:hAnsi="Arial" w:cs="Arial"/>
          <w:color w:val="000000" w:themeColor="text1"/>
          <w:sz w:val="20"/>
          <w:szCs w:val="20"/>
        </w:rPr>
      </w:pPr>
      <w:r w:rsidRPr="006C76ED">
        <w:rPr>
          <w:rFonts w:ascii="Arial" w:hAnsi="Arial" w:cs="Arial"/>
          <w:color w:val="000000" w:themeColor="text1"/>
          <w:sz w:val="20"/>
          <w:szCs w:val="20"/>
        </w:rPr>
        <w:t xml:space="preserve">Boru, N. (2017).  The effects of service learning and volunteerism activities on university students in Turkey. </w:t>
      </w:r>
      <w:r w:rsidRPr="006C76ED">
        <w:rPr>
          <w:rFonts w:ascii="Arial" w:hAnsi="Arial" w:cs="Arial"/>
          <w:i/>
          <w:color w:val="000000" w:themeColor="text1"/>
          <w:sz w:val="20"/>
          <w:szCs w:val="20"/>
        </w:rPr>
        <w:t xml:space="preserve">Journal of Education and Training Studies, </w:t>
      </w:r>
      <w:r w:rsidRPr="006C76ED">
        <w:rPr>
          <w:rFonts w:ascii="Arial" w:hAnsi="Arial" w:cs="Arial"/>
          <w:color w:val="000000" w:themeColor="text1"/>
          <w:sz w:val="20"/>
          <w:szCs w:val="20"/>
        </w:rPr>
        <w:t xml:space="preserve">5(6). </w:t>
      </w:r>
      <w:hyperlink r:id="rId14" w:history="1">
        <w:r w:rsidRPr="006C76ED">
          <w:rPr>
            <w:rStyle w:val="Hyperlink"/>
            <w:rFonts w:ascii="Arial" w:hAnsi="Arial" w:cs="Arial"/>
            <w:color w:val="000000" w:themeColor="text1"/>
            <w:sz w:val="20"/>
            <w:szCs w:val="20"/>
            <w:u w:val="none"/>
          </w:rPr>
          <w:t>https://doi.org/</w:t>
        </w:r>
      </w:hyperlink>
      <w:r w:rsidRPr="006C76ED">
        <w:rPr>
          <w:rFonts w:ascii="Arial" w:hAnsi="Arial" w:cs="Arial"/>
          <w:color w:val="000000" w:themeColor="text1"/>
          <w:sz w:val="20"/>
          <w:szCs w:val="20"/>
        </w:rPr>
        <w:t xml:space="preserve"> 10.11114/</w:t>
      </w:r>
      <w:proofErr w:type="gramStart"/>
      <w:r w:rsidRPr="006C76ED">
        <w:rPr>
          <w:rFonts w:ascii="Arial" w:hAnsi="Arial" w:cs="Arial"/>
          <w:color w:val="000000" w:themeColor="text1"/>
          <w:sz w:val="20"/>
          <w:szCs w:val="20"/>
        </w:rPr>
        <w:t>jests.v</w:t>
      </w:r>
      <w:proofErr w:type="gramEnd"/>
      <w:r w:rsidRPr="006C76ED">
        <w:rPr>
          <w:rFonts w:ascii="Arial" w:hAnsi="Arial" w:cs="Arial"/>
          <w:color w:val="000000" w:themeColor="text1"/>
          <w:sz w:val="20"/>
          <w:szCs w:val="20"/>
        </w:rPr>
        <w:t>5i6.2405</w:t>
      </w:r>
    </w:p>
    <w:p w14:paraId="3E78EED6" w14:textId="77777777" w:rsidR="00F53217" w:rsidRPr="006C76ED" w:rsidRDefault="00F53217" w:rsidP="00F53217">
      <w:pPr>
        <w:ind w:left="630" w:hanging="630"/>
        <w:rPr>
          <w:rFonts w:ascii="Arial" w:hAnsi="Arial" w:cs="Arial"/>
          <w:color w:val="000000" w:themeColor="text1"/>
        </w:rPr>
      </w:pPr>
    </w:p>
    <w:p w14:paraId="406F5358"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Bringle, R. G., Hatcher, J. A., &amp; Hahn, T. W. (2021). Research on service learning and student civic engagement: Conceptual frameworks and outcomes. </w:t>
      </w:r>
      <w:r w:rsidRPr="006C76ED">
        <w:rPr>
          <w:rFonts w:ascii="Arial" w:hAnsi="Arial" w:cs="Arial"/>
          <w:i/>
          <w:iCs/>
          <w:color w:val="000000" w:themeColor="text1"/>
        </w:rPr>
        <w:t>Journal of Higher Education Outreach and Engagement</w:t>
      </w:r>
      <w:r w:rsidRPr="006C76ED">
        <w:rPr>
          <w:rFonts w:ascii="Arial" w:hAnsi="Arial" w:cs="Arial"/>
          <w:color w:val="000000" w:themeColor="text1"/>
        </w:rPr>
        <w:t>, 25(2), 7–24.</w:t>
      </w:r>
    </w:p>
    <w:p w14:paraId="09DD3B60" w14:textId="77777777" w:rsidR="00F53217" w:rsidRPr="006C76ED" w:rsidRDefault="00F53217" w:rsidP="00F53217">
      <w:pPr>
        <w:ind w:left="630" w:hanging="630"/>
        <w:rPr>
          <w:rFonts w:ascii="Arial" w:hAnsi="Arial" w:cs="Arial"/>
          <w:color w:val="000000" w:themeColor="text1"/>
        </w:rPr>
      </w:pPr>
    </w:p>
    <w:p w14:paraId="073B94A4"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Cattaneo, M. A., Ryan, K., &amp; Hall, J. (2021). Community engaged learning and educational outcomes in higher education. </w:t>
      </w:r>
      <w:r w:rsidRPr="006C76ED">
        <w:rPr>
          <w:rFonts w:ascii="Arial" w:hAnsi="Arial" w:cs="Arial"/>
          <w:i/>
          <w:iCs/>
          <w:color w:val="000000" w:themeColor="text1"/>
        </w:rPr>
        <w:t>Frontiers in Education.</w:t>
      </w:r>
      <w:r w:rsidRPr="006C76ED">
        <w:rPr>
          <w:rFonts w:ascii="Arial" w:hAnsi="Arial" w:cs="Arial"/>
          <w:color w:val="000000" w:themeColor="text1"/>
        </w:rPr>
        <w:t xml:space="preserve"> </w:t>
      </w:r>
    </w:p>
    <w:p w14:paraId="13C204FD" w14:textId="77777777" w:rsidR="00F53217" w:rsidRPr="006C76ED" w:rsidRDefault="00F53217" w:rsidP="00F53217">
      <w:pPr>
        <w:pStyle w:val="NoSpacing"/>
        <w:ind w:left="630" w:hanging="630"/>
        <w:rPr>
          <w:rFonts w:ascii="Arial" w:hAnsi="Arial" w:cs="Arial"/>
          <w:color w:val="000000" w:themeColor="text1"/>
          <w:sz w:val="20"/>
          <w:szCs w:val="20"/>
        </w:rPr>
      </w:pPr>
    </w:p>
    <w:p w14:paraId="1546143C" w14:textId="77777777" w:rsidR="00F53217" w:rsidRPr="006C76ED" w:rsidRDefault="00F53217" w:rsidP="00F53217">
      <w:pPr>
        <w:pStyle w:val="NoSpacing"/>
        <w:ind w:left="630" w:hanging="630"/>
        <w:rPr>
          <w:rFonts w:ascii="Arial" w:hAnsi="Arial" w:cs="Arial"/>
          <w:color w:val="000000" w:themeColor="text1"/>
          <w:sz w:val="20"/>
          <w:szCs w:val="20"/>
        </w:rPr>
      </w:pPr>
      <w:r w:rsidRPr="006C76ED">
        <w:rPr>
          <w:rFonts w:ascii="Arial" w:hAnsi="Arial" w:cs="Arial"/>
          <w:color w:val="000000" w:themeColor="text1"/>
          <w:sz w:val="20"/>
          <w:szCs w:val="20"/>
        </w:rPr>
        <w:t xml:space="preserve">Creswell, J. W., &amp; Creswell, J. D. (2022). </w:t>
      </w:r>
      <w:r w:rsidRPr="006C76ED">
        <w:rPr>
          <w:rFonts w:ascii="Arial" w:hAnsi="Arial" w:cs="Arial"/>
          <w:i/>
          <w:iCs/>
          <w:color w:val="000000" w:themeColor="text1"/>
          <w:sz w:val="20"/>
          <w:szCs w:val="20"/>
        </w:rPr>
        <w:t>Research design: Qualitative, quantitative, and mixed methods approaches</w:t>
      </w:r>
      <w:r w:rsidRPr="006C76ED">
        <w:rPr>
          <w:rFonts w:ascii="Arial" w:hAnsi="Arial" w:cs="Arial"/>
          <w:color w:val="000000" w:themeColor="text1"/>
          <w:sz w:val="20"/>
          <w:szCs w:val="20"/>
        </w:rPr>
        <w:t xml:space="preserve"> (6th ed.). SAGE Publications.</w:t>
      </w:r>
    </w:p>
    <w:p w14:paraId="3C830FB9" w14:textId="77777777" w:rsidR="00F53217" w:rsidRPr="006C76ED" w:rsidRDefault="00F53217" w:rsidP="00F53217">
      <w:pPr>
        <w:pStyle w:val="NoSpacing"/>
        <w:rPr>
          <w:rFonts w:ascii="Arial" w:hAnsi="Arial" w:cs="Arial"/>
          <w:color w:val="000000" w:themeColor="text1"/>
          <w:sz w:val="20"/>
          <w:szCs w:val="20"/>
        </w:rPr>
      </w:pPr>
    </w:p>
    <w:p w14:paraId="0AFF0274" w14:textId="77777777" w:rsidR="00F53217" w:rsidRPr="006C76ED" w:rsidRDefault="00F53217" w:rsidP="00F53217">
      <w:pPr>
        <w:pStyle w:val="NoSpacing"/>
        <w:ind w:left="630" w:hanging="630"/>
        <w:rPr>
          <w:rFonts w:ascii="Arial" w:hAnsi="Arial" w:cs="Arial"/>
          <w:color w:val="000000" w:themeColor="text1"/>
          <w:sz w:val="20"/>
          <w:szCs w:val="20"/>
        </w:rPr>
      </w:pPr>
      <w:r w:rsidRPr="006C76ED">
        <w:rPr>
          <w:rFonts w:ascii="Arial" w:hAnsi="Arial" w:cs="Arial"/>
          <w:color w:val="000000" w:themeColor="text1"/>
          <w:sz w:val="20"/>
          <w:szCs w:val="20"/>
        </w:rPr>
        <w:t xml:space="preserve">Diaz-Gallegos, D. (1999). </w:t>
      </w:r>
      <w:r w:rsidRPr="006C76ED">
        <w:rPr>
          <w:rFonts w:ascii="Arial" w:hAnsi="Arial" w:cs="Arial"/>
          <w:i/>
          <w:iCs/>
          <w:color w:val="000000" w:themeColor="text1"/>
          <w:sz w:val="20"/>
          <w:szCs w:val="20"/>
        </w:rPr>
        <w:t>The higher education service-learning surveys. Learning from each other, serving together.</w:t>
      </w:r>
      <w:r w:rsidRPr="006C76ED">
        <w:rPr>
          <w:rFonts w:ascii="Arial" w:hAnsi="Arial" w:cs="Arial"/>
          <w:color w:val="000000" w:themeColor="text1"/>
          <w:sz w:val="20"/>
          <w:szCs w:val="20"/>
        </w:rPr>
        <w:t xml:space="preserve"> </w:t>
      </w:r>
      <w:hyperlink r:id="rId15" w:history="1">
        <w:r w:rsidRPr="006C76ED">
          <w:rPr>
            <w:rStyle w:val="Hyperlink"/>
            <w:rFonts w:ascii="Arial" w:hAnsi="Arial" w:cs="Arial"/>
            <w:color w:val="000000" w:themeColor="text1"/>
            <w:sz w:val="20"/>
            <w:szCs w:val="20"/>
            <w:u w:val="none"/>
          </w:rPr>
          <w:t>http://gse.berkeley.edu/research/slc/</w:t>
        </w:r>
      </w:hyperlink>
      <w:r w:rsidRPr="006C76ED">
        <w:rPr>
          <w:rFonts w:ascii="Arial" w:hAnsi="Arial" w:cs="Arial"/>
          <w:color w:val="000000" w:themeColor="text1"/>
          <w:sz w:val="20"/>
          <w:szCs w:val="20"/>
        </w:rPr>
        <w:t xml:space="preserve"> evaluation.html</w:t>
      </w:r>
    </w:p>
    <w:p w14:paraId="740DD23C" w14:textId="77777777" w:rsidR="00F53217" w:rsidRPr="006C76ED" w:rsidRDefault="00F53217" w:rsidP="00F53217">
      <w:pPr>
        <w:ind w:left="630" w:hanging="630"/>
        <w:rPr>
          <w:rFonts w:ascii="Arial" w:hAnsi="Arial" w:cs="Arial"/>
          <w:color w:val="000000" w:themeColor="text1"/>
        </w:rPr>
      </w:pPr>
    </w:p>
    <w:p w14:paraId="51474D8B"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Jacoby, B. (2022). </w:t>
      </w:r>
      <w:r w:rsidRPr="006C76ED">
        <w:rPr>
          <w:rFonts w:ascii="Arial" w:hAnsi="Arial" w:cs="Arial"/>
          <w:i/>
          <w:iCs/>
          <w:color w:val="000000" w:themeColor="text1"/>
        </w:rPr>
        <w:t>Service-learning essentials: Questions, answers, and lessons learned</w:t>
      </w:r>
      <w:r w:rsidRPr="006C76ED">
        <w:rPr>
          <w:rFonts w:ascii="Arial" w:hAnsi="Arial" w:cs="Arial"/>
          <w:color w:val="000000" w:themeColor="text1"/>
        </w:rPr>
        <w:t xml:space="preserve"> (2nd ed.). Jossey-Bass.</w:t>
      </w:r>
    </w:p>
    <w:p w14:paraId="3776B02D" w14:textId="77777777" w:rsidR="00F53217" w:rsidRPr="006C76ED" w:rsidRDefault="00F53217" w:rsidP="00F53217">
      <w:pPr>
        <w:ind w:left="630" w:hanging="630"/>
        <w:rPr>
          <w:rFonts w:ascii="Arial" w:hAnsi="Arial" w:cs="Arial"/>
          <w:color w:val="000000" w:themeColor="text1"/>
        </w:rPr>
      </w:pPr>
    </w:p>
    <w:p w14:paraId="5F5190A7"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Leraas, B. C., Kippen, N. R., &amp; Larson, S. J. (2018). Gender and student participation</w:t>
      </w:r>
      <w:r w:rsidRPr="006C76ED">
        <w:rPr>
          <w:rFonts w:ascii="Arial" w:hAnsi="Arial" w:cs="Arial"/>
          <w:i/>
          <w:iCs/>
          <w:color w:val="000000" w:themeColor="text1"/>
        </w:rPr>
        <w:t>.</w:t>
      </w:r>
      <w:r w:rsidRPr="006C76ED">
        <w:rPr>
          <w:rFonts w:ascii="Arial" w:hAnsi="Arial" w:cs="Arial"/>
          <w:color w:val="000000" w:themeColor="text1"/>
        </w:rPr>
        <w:t xml:space="preserve"> </w:t>
      </w:r>
      <w:r w:rsidRPr="006C76ED">
        <w:rPr>
          <w:rFonts w:ascii="Arial" w:hAnsi="Arial" w:cs="Arial"/>
          <w:i/>
          <w:iCs/>
          <w:color w:val="000000" w:themeColor="text1"/>
        </w:rPr>
        <w:t>Journal of the Scholarship of Teaching and Learning, 18</w:t>
      </w:r>
      <w:r w:rsidRPr="006C76ED">
        <w:rPr>
          <w:rFonts w:ascii="Arial" w:hAnsi="Arial" w:cs="Arial"/>
          <w:color w:val="000000" w:themeColor="text1"/>
        </w:rPr>
        <w:t xml:space="preserve">(4). </w:t>
      </w:r>
      <w:hyperlink r:id="rId16" w:tgtFrame="_new" w:history="1">
        <w:r w:rsidRPr="006C76ED">
          <w:rPr>
            <w:rStyle w:val="Hyperlink"/>
            <w:rFonts w:ascii="Arial" w:hAnsi="Arial" w:cs="Arial"/>
            <w:color w:val="000000" w:themeColor="text1"/>
            <w:u w:val="none"/>
          </w:rPr>
          <w:t>https://doi.org/10.14434/josotl.v18i4.22849</w:t>
        </w:r>
      </w:hyperlink>
    </w:p>
    <w:p w14:paraId="57273C7F" w14:textId="77777777" w:rsidR="00F53217" w:rsidRPr="006C76ED" w:rsidRDefault="00F53217" w:rsidP="00F53217">
      <w:pPr>
        <w:ind w:left="630" w:hanging="630"/>
        <w:rPr>
          <w:rFonts w:ascii="Arial" w:hAnsi="Arial" w:cs="Arial"/>
          <w:color w:val="000000" w:themeColor="text1"/>
        </w:rPr>
      </w:pPr>
    </w:p>
    <w:p w14:paraId="1748A836" w14:textId="77777777" w:rsidR="00F53217" w:rsidRPr="006C76ED" w:rsidRDefault="00F53217" w:rsidP="00F53217">
      <w:pPr>
        <w:ind w:left="630" w:hanging="630"/>
        <w:rPr>
          <w:rFonts w:ascii="Arial" w:hAnsi="Arial" w:cs="Arial"/>
          <w:color w:val="000000" w:themeColor="text1"/>
        </w:rPr>
      </w:pPr>
      <w:proofErr w:type="spellStart"/>
      <w:r w:rsidRPr="006C76ED">
        <w:rPr>
          <w:rFonts w:ascii="Arial" w:hAnsi="Arial" w:cs="Arial"/>
          <w:color w:val="000000" w:themeColor="text1"/>
        </w:rPr>
        <w:t>Macías</w:t>
      </w:r>
      <w:proofErr w:type="spellEnd"/>
      <w:r w:rsidRPr="006C76ED">
        <w:rPr>
          <w:rFonts w:ascii="Arial" w:hAnsi="Arial" w:cs="Arial"/>
          <w:color w:val="000000" w:themeColor="text1"/>
        </w:rPr>
        <w:t>-Gómez-</w:t>
      </w:r>
      <w:proofErr w:type="spellStart"/>
      <w:r w:rsidRPr="006C76ED">
        <w:rPr>
          <w:rFonts w:ascii="Arial" w:hAnsi="Arial" w:cs="Arial"/>
          <w:color w:val="000000" w:themeColor="text1"/>
        </w:rPr>
        <w:t>Estern</w:t>
      </w:r>
      <w:proofErr w:type="spellEnd"/>
      <w:r w:rsidRPr="006C76ED">
        <w:rPr>
          <w:rFonts w:ascii="Arial" w:hAnsi="Arial" w:cs="Arial"/>
          <w:color w:val="000000" w:themeColor="text1"/>
        </w:rPr>
        <w:t xml:space="preserve">, B., et al. (2022). “I can succeed at this”: Engagement in service learning in schools enhances university students’ self-efficacy. </w:t>
      </w:r>
      <w:r w:rsidRPr="006C76ED">
        <w:rPr>
          <w:rFonts w:ascii="Arial" w:hAnsi="Arial" w:cs="Arial"/>
          <w:i/>
          <w:iCs/>
          <w:color w:val="000000" w:themeColor="text1"/>
        </w:rPr>
        <w:t>Studies in Higher Education, 48</w:t>
      </w:r>
      <w:r w:rsidRPr="006C76ED">
        <w:rPr>
          <w:rFonts w:ascii="Arial" w:hAnsi="Arial" w:cs="Arial"/>
          <w:color w:val="000000" w:themeColor="text1"/>
        </w:rPr>
        <w:t>(2), 1–14. https://doi.org/10.1080/03075079.2022.2091126</w:t>
      </w:r>
    </w:p>
    <w:p w14:paraId="5969CB73" w14:textId="77777777" w:rsidR="00F53217" w:rsidRPr="006C76ED" w:rsidRDefault="00F53217" w:rsidP="00F53217">
      <w:pPr>
        <w:ind w:left="630" w:hanging="630"/>
        <w:rPr>
          <w:rFonts w:ascii="Arial" w:hAnsi="Arial" w:cs="Arial"/>
          <w:color w:val="000000" w:themeColor="text1"/>
        </w:rPr>
      </w:pPr>
    </w:p>
    <w:p w14:paraId="4AAEDE95"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Magnaye, R. P., &amp; Ylagan, A. P. (2021). Effectiveness and impact of the community extension program of one Philippine higher education institution as basis for sustainability. </w:t>
      </w:r>
      <w:r w:rsidRPr="006C76ED">
        <w:rPr>
          <w:rFonts w:ascii="Arial" w:hAnsi="Arial" w:cs="Arial"/>
          <w:i/>
          <w:iCs/>
          <w:color w:val="000000" w:themeColor="text1"/>
        </w:rPr>
        <w:t>Asia Pacific Journal of Academic Research in Business Administration, 7</w:t>
      </w:r>
      <w:r w:rsidRPr="006C76ED">
        <w:rPr>
          <w:rFonts w:ascii="Arial" w:hAnsi="Arial" w:cs="Arial"/>
          <w:color w:val="000000" w:themeColor="text1"/>
        </w:rPr>
        <w:t>(1).</w:t>
      </w:r>
    </w:p>
    <w:p w14:paraId="319DD1DF" w14:textId="77777777" w:rsidR="00F53217" w:rsidRPr="006C76ED" w:rsidRDefault="00F53217" w:rsidP="00F53217">
      <w:pPr>
        <w:ind w:left="630" w:hanging="630"/>
        <w:jc w:val="both"/>
        <w:rPr>
          <w:rFonts w:ascii="Arial" w:hAnsi="Arial" w:cs="Arial"/>
          <w:color w:val="000000" w:themeColor="text1"/>
        </w:rPr>
      </w:pPr>
    </w:p>
    <w:p w14:paraId="0E892664" w14:textId="77777777" w:rsidR="00F53217" w:rsidRPr="006C76ED" w:rsidRDefault="00F53217" w:rsidP="00F53217">
      <w:pPr>
        <w:ind w:left="630" w:hanging="630"/>
        <w:jc w:val="both"/>
        <w:rPr>
          <w:rFonts w:ascii="Arial" w:hAnsi="Arial" w:cs="Arial"/>
          <w:color w:val="000000" w:themeColor="text1"/>
        </w:rPr>
      </w:pPr>
      <w:r w:rsidRPr="006C76ED">
        <w:rPr>
          <w:rFonts w:ascii="Arial" w:hAnsi="Arial" w:cs="Arial"/>
          <w:color w:val="000000" w:themeColor="text1"/>
        </w:rPr>
        <w:t xml:space="preserve">Montalbo, I., Alejandro, B., Baylan, S., Lacea, R., Pepito, G. &amp; </w:t>
      </w:r>
      <w:proofErr w:type="spellStart"/>
      <w:r w:rsidRPr="006C76ED">
        <w:rPr>
          <w:rFonts w:ascii="Arial" w:hAnsi="Arial" w:cs="Arial"/>
          <w:color w:val="000000" w:themeColor="text1"/>
        </w:rPr>
        <w:t>Villarante</w:t>
      </w:r>
      <w:proofErr w:type="spellEnd"/>
      <w:r w:rsidRPr="006C76ED">
        <w:rPr>
          <w:rFonts w:ascii="Arial" w:hAnsi="Arial" w:cs="Arial"/>
          <w:color w:val="000000" w:themeColor="text1"/>
        </w:rPr>
        <w:t xml:space="preserve">, G. (2021). Sustaining women empowerment community extension project: A tri-focal partnership model. </w:t>
      </w:r>
      <w:r w:rsidRPr="006C76ED">
        <w:rPr>
          <w:rFonts w:ascii="Arial" w:hAnsi="Arial" w:cs="Arial"/>
          <w:i/>
          <w:iCs/>
          <w:color w:val="000000" w:themeColor="text1"/>
        </w:rPr>
        <w:t>Asian Journal of University Education, 17</w:t>
      </w:r>
      <w:r w:rsidRPr="006C76ED">
        <w:rPr>
          <w:rFonts w:ascii="Arial" w:hAnsi="Arial" w:cs="Arial"/>
          <w:color w:val="000000" w:themeColor="text1"/>
        </w:rPr>
        <w:t>(3). https:/doi.org/10.24191/ajue.v17i3.14565</w:t>
      </w:r>
    </w:p>
    <w:p w14:paraId="3E927DA8" w14:textId="77777777" w:rsidR="00F53217" w:rsidRPr="006C76ED" w:rsidRDefault="00F53217" w:rsidP="00F53217">
      <w:pPr>
        <w:pStyle w:val="NoSpacing"/>
        <w:ind w:left="630" w:hanging="630"/>
        <w:rPr>
          <w:rFonts w:ascii="Arial" w:hAnsi="Arial" w:cs="Arial"/>
          <w:color w:val="000000" w:themeColor="text1"/>
          <w:sz w:val="20"/>
          <w:szCs w:val="20"/>
        </w:rPr>
      </w:pPr>
    </w:p>
    <w:p w14:paraId="14EB59C5" w14:textId="77777777" w:rsidR="00F53217" w:rsidRPr="006C76ED" w:rsidRDefault="00F53217" w:rsidP="00F53217">
      <w:pPr>
        <w:pStyle w:val="NoSpacing"/>
        <w:ind w:left="630" w:hanging="630"/>
        <w:rPr>
          <w:rFonts w:ascii="Arial" w:hAnsi="Arial" w:cs="Arial"/>
          <w:color w:val="000000" w:themeColor="text1"/>
          <w:sz w:val="20"/>
          <w:szCs w:val="20"/>
        </w:rPr>
      </w:pPr>
      <w:r w:rsidRPr="006C76ED">
        <w:rPr>
          <w:rFonts w:ascii="Arial" w:hAnsi="Arial" w:cs="Arial"/>
          <w:color w:val="000000" w:themeColor="text1"/>
          <w:sz w:val="20"/>
          <w:szCs w:val="20"/>
        </w:rPr>
        <w:t xml:space="preserve">Neuman, W. L. (2014). </w:t>
      </w:r>
      <w:r w:rsidRPr="006C76ED">
        <w:rPr>
          <w:rFonts w:ascii="Arial" w:hAnsi="Arial" w:cs="Arial"/>
          <w:i/>
          <w:iCs/>
          <w:color w:val="000000" w:themeColor="text1"/>
          <w:sz w:val="20"/>
          <w:szCs w:val="20"/>
        </w:rPr>
        <w:t>Social research methods: Qualitative and quantitative approaches</w:t>
      </w:r>
      <w:r w:rsidRPr="006C76ED">
        <w:rPr>
          <w:rFonts w:ascii="Arial" w:hAnsi="Arial" w:cs="Arial"/>
          <w:color w:val="000000" w:themeColor="text1"/>
          <w:sz w:val="20"/>
          <w:szCs w:val="20"/>
        </w:rPr>
        <w:t xml:space="preserve"> (7th ed.). Pearson Education Limited. </w:t>
      </w:r>
    </w:p>
    <w:p w14:paraId="23DF95D6" w14:textId="77777777" w:rsidR="00F53217" w:rsidRPr="006C76ED" w:rsidRDefault="00F53217" w:rsidP="00F53217">
      <w:pPr>
        <w:ind w:left="630" w:hanging="630"/>
        <w:rPr>
          <w:rFonts w:ascii="Arial" w:hAnsi="Arial" w:cs="Arial"/>
          <w:color w:val="000000" w:themeColor="text1"/>
        </w:rPr>
      </w:pPr>
    </w:p>
    <w:p w14:paraId="53840038"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Resch, K., &amp; </w:t>
      </w:r>
      <w:proofErr w:type="spellStart"/>
      <w:r w:rsidRPr="006C76ED">
        <w:rPr>
          <w:rFonts w:ascii="Arial" w:hAnsi="Arial" w:cs="Arial"/>
          <w:color w:val="000000" w:themeColor="text1"/>
        </w:rPr>
        <w:t>Schrittesser</w:t>
      </w:r>
      <w:proofErr w:type="spellEnd"/>
      <w:r w:rsidRPr="006C76ED">
        <w:rPr>
          <w:rFonts w:ascii="Arial" w:hAnsi="Arial" w:cs="Arial"/>
          <w:color w:val="000000" w:themeColor="text1"/>
        </w:rPr>
        <w:t xml:space="preserve">, I. (2021). Using the service-learning approach to bridge the gap between theory and practice in higher education. </w:t>
      </w:r>
      <w:r w:rsidRPr="006C76ED">
        <w:rPr>
          <w:rFonts w:ascii="Arial" w:hAnsi="Arial" w:cs="Arial"/>
          <w:i/>
          <w:iCs/>
          <w:color w:val="000000" w:themeColor="text1"/>
        </w:rPr>
        <w:t>Frontiers in Education</w:t>
      </w:r>
      <w:r w:rsidRPr="006C76ED">
        <w:rPr>
          <w:rFonts w:ascii="Arial" w:hAnsi="Arial" w:cs="Arial"/>
          <w:color w:val="000000" w:themeColor="text1"/>
        </w:rPr>
        <w:t xml:space="preserve">, </w:t>
      </w:r>
      <w:r w:rsidRPr="006C76ED">
        <w:rPr>
          <w:rFonts w:ascii="Arial" w:hAnsi="Arial" w:cs="Arial"/>
          <w:i/>
          <w:iCs/>
          <w:color w:val="000000" w:themeColor="text1"/>
        </w:rPr>
        <w:t>6</w:t>
      </w:r>
      <w:r w:rsidRPr="006C76ED">
        <w:rPr>
          <w:rFonts w:ascii="Arial" w:hAnsi="Arial" w:cs="Arial"/>
          <w:color w:val="000000" w:themeColor="text1"/>
        </w:rPr>
        <w:t>, 1–12. https://doi.org/10.3389/feduc.2021.680451</w:t>
      </w:r>
    </w:p>
    <w:p w14:paraId="0A093725" w14:textId="77777777" w:rsidR="00F53217" w:rsidRPr="006C76ED" w:rsidRDefault="00F53217" w:rsidP="00F53217">
      <w:pPr>
        <w:ind w:left="630" w:hanging="630"/>
        <w:jc w:val="both"/>
        <w:rPr>
          <w:rFonts w:ascii="Arial" w:hAnsi="Arial" w:cs="Arial"/>
          <w:color w:val="000000" w:themeColor="text1"/>
        </w:rPr>
      </w:pPr>
    </w:p>
    <w:p w14:paraId="1E952EE8" w14:textId="77777777" w:rsidR="00F53217" w:rsidRPr="006C76ED" w:rsidRDefault="00F53217" w:rsidP="00F53217">
      <w:pPr>
        <w:ind w:left="630" w:hanging="630"/>
        <w:jc w:val="both"/>
        <w:rPr>
          <w:rFonts w:ascii="Arial" w:hAnsi="Arial" w:cs="Arial"/>
          <w:color w:val="000000" w:themeColor="text1"/>
        </w:rPr>
      </w:pPr>
      <w:r w:rsidRPr="006C76ED">
        <w:rPr>
          <w:rFonts w:ascii="Arial" w:hAnsi="Arial" w:cs="Arial"/>
          <w:color w:val="000000" w:themeColor="text1"/>
        </w:rPr>
        <w:t xml:space="preserve">Salazar, T. (2020). An impact of the community extension programs in a state college in the Philippines. </w:t>
      </w:r>
      <w:r w:rsidRPr="006C76ED">
        <w:rPr>
          <w:rFonts w:ascii="Arial" w:hAnsi="Arial" w:cs="Arial"/>
          <w:i/>
          <w:iCs/>
          <w:color w:val="000000" w:themeColor="text1"/>
        </w:rPr>
        <w:t>International Journal of Education and Sciences, 29</w:t>
      </w:r>
      <w:r w:rsidRPr="006C76ED">
        <w:rPr>
          <w:rFonts w:ascii="Arial" w:hAnsi="Arial" w:cs="Arial"/>
          <w:color w:val="000000" w:themeColor="text1"/>
        </w:rPr>
        <w:t>(1-3), 16-23. Doi: 10.31901/235666322.2020/29.1-3,1129</w:t>
      </w:r>
    </w:p>
    <w:p w14:paraId="5C35310D" w14:textId="77777777" w:rsidR="00F53217" w:rsidRPr="006C76ED" w:rsidRDefault="00F53217" w:rsidP="00F53217">
      <w:pPr>
        <w:ind w:left="630" w:hanging="630"/>
        <w:rPr>
          <w:rFonts w:ascii="Arial" w:hAnsi="Arial" w:cs="Arial"/>
          <w:color w:val="000000" w:themeColor="text1"/>
        </w:rPr>
      </w:pPr>
    </w:p>
    <w:p w14:paraId="7FA7B774"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 xml:space="preserve">Shaka, M. F., &amp; </w:t>
      </w:r>
      <w:proofErr w:type="spellStart"/>
      <w:r w:rsidRPr="006C76ED">
        <w:rPr>
          <w:rFonts w:ascii="Arial" w:hAnsi="Arial" w:cs="Arial"/>
          <w:color w:val="000000" w:themeColor="text1"/>
        </w:rPr>
        <w:t>Senbeto</w:t>
      </w:r>
      <w:proofErr w:type="spellEnd"/>
      <w:r w:rsidRPr="006C76ED">
        <w:rPr>
          <w:rFonts w:ascii="Arial" w:hAnsi="Arial" w:cs="Arial"/>
          <w:color w:val="000000" w:themeColor="text1"/>
        </w:rPr>
        <w:t>, G. A. (2018). Assessment of students’ attitude and level of community involvement in community</w:t>
      </w:r>
      <w:r w:rsidRPr="006C76ED">
        <w:rPr>
          <w:rFonts w:ascii="Arial" w:hAnsi="Arial" w:cs="Arial"/>
          <w:color w:val="000000" w:themeColor="text1"/>
        </w:rPr>
        <w:noBreakHyphen/>
        <w:t xml:space="preserve">based education at training sites in Gedeo zone, South Ethiopia. </w:t>
      </w:r>
      <w:r w:rsidRPr="006C76ED">
        <w:rPr>
          <w:rFonts w:ascii="Arial" w:hAnsi="Arial" w:cs="Arial"/>
          <w:i/>
          <w:iCs/>
          <w:color w:val="000000" w:themeColor="text1"/>
        </w:rPr>
        <w:t>BMC Research Notes</w:t>
      </w:r>
      <w:r w:rsidRPr="006C76ED">
        <w:rPr>
          <w:rFonts w:ascii="Arial" w:hAnsi="Arial" w:cs="Arial"/>
          <w:color w:val="000000" w:themeColor="text1"/>
        </w:rPr>
        <w:t xml:space="preserve">. </w:t>
      </w:r>
      <w:hyperlink r:id="rId17" w:history="1">
        <w:r w:rsidRPr="006C76ED">
          <w:rPr>
            <w:rStyle w:val="Hyperlink"/>
            <w:rFonts w:ascii="Arial" w:hAnsi="Arial" w:cs="Arial"/>
            <w:color w:val="000000" w:themeColor="text1"/>
            <w:u w:val="none"/>
          </w:rPr>
          <w:t>https://doi.org/10.1186/s13104</w:t>
        </w:r>
        <w:r w:rsidRPr="006C76ED">
          <w:rPr>
            <w:rStyle w:val="Hyperlink"/>
            <w:rFonts w:ascii="Arial" w:hAnsi="Arial" w:cs="Arial"/>
            <w:color w:val="000000" w:themeColor="text1"/>
            <w:u w:val="none"/>
          </w:rPr>
          <w:noBreakHyphen/>
          <w:t>018</w:t>
        </w:r>
        <w:r w:rsidRPr="006C76ED">
          <w:rPr>
            <w:rStyle w:val="Hyperlink"/>
            <w:rFonts w:ascii="Arial" w:hAnsi="Arial" w:cs="Arial"/>
            <w:color w:val="000000" w:themeColor="text1"/>
            <w:u w:val="none"/>
          </w:rPr>
          <w:noBreakHyphen/>
          <w:t>3940</w:t>
        </w:r>
        <w:r w:rsidRPr="006C76ED">
          <w:rPr>
            <w:rStyle w:val="Hyperlink"/>
            <w:rFonts w:ascii="Arial" w:hAnsi="Arial" w:cs="Arial"/>
            <w:color w:val="000000" w:themeColor="text1"/>
            <w:u w:val="none"/>
          </w:rPr>
          <w:noBreakHyphen/>
          <w:t>2</w:t>
        </w:r>
      </w:hyperlink>
    </w:p>
    <w:p w14:paraId="6035E762" w14:textId="77777777" w:rsidR="00F53217" w:rsidRPr="006C76ED" w:rsidRDefault="00F53217" w:rsidP="00F53217">
      <w:pPr>
        <w:ind w:left="630" w:hanging="630"/>
        <w:rPr>
          <w:rFonts w:ascii="Arial" w:hAnsi="Arial" w:cs="Arial"/>
          <w:color w:val="000000" w:themeColor="text1"/>
        </w:rPr>
      </w:pPr>
    </w:p>
    <w:p w14:paraId="0EFA7964" w14:textId="77777777" w:rsidR="00F53217" w:rsidRPr="006C76ED" w:rsidRDefault="00F53217" w:rsidP="00F53217">
      <w:pPr>
        <w:ind w:left="630" w:hanging="630"/>
        <w:rPr>
          <w:rFonts w:ascii="Arial" w:hAnsi="Arial" w:cs="Arial"/>
          <w:color w:val="000000" w:themeColor="text1"/>
        </w:rPr>
      </w:pPr>
      <w:proofErr w:type="spellStart"/>
      <w:r w:rsidRPr="006C76ED">
        <w:rPr>
          <w:rFonts w:ascii="Arial" w:hAnsi="Arial" w:cs="Arial"/>
          <w:color w:val="000000" w:themeColor="text1"/>
        </w:rPr>
        <w:t>Sibia</w:t>
      </w:r>
      <w:proofErr w:type="spellEnd"/>
      <w:r w:rsidRPr="006C76ED">
        <w:rPr>
          <w:rFonts w:ascii="Arial" w:hAnsi="Arial" w:cs="Arial"/>
          <w:color w:val="000000" w:themeColor="text1"/>
        </w:rPr>
        <w:t xml:space="preserve">, N., Zavaleta Bernuy, A., Williams, J. J., </w:t>
      </w:r>
      <w:proofErr w:type="spellStart"/>
      <w:r w:rsidRPr="006C76ED">
        <w:rPr>
          <w:rFonts w:ascii="Arial" w:hAnsi="Arial" w:cs="Arial"/>
          <w:color w:val="000000" w:themeColor="text1"/>
        </w:rPr>
        <w:t>Liut</w:t>
      </w:r>
      <w:proofErr w:type="spellEnd"/>
      <w:r w:rsidRPr="006C76ED">
        <w:rPr>
          <w:rFonts w:ascii="Arial" w:hAnsi="Arial" w:cs="Arial"/>
          <w:color w:val="000000" w:themeColor="text1"/>
        </w:rPr>
        <w:t xml:space="preserve">, M., &amp; Petersen, A. (2023). </w:t>
      </w:r>
      <w:r w:rsidRPr="006C76ED">
        <w:rPr>
          <w:rFonts w:ascii="Arial" w:hAnsi="Arial" w:cs="Arial"/>
          <w:i/>
          <w:iCs/>
          <w:color w:val="000000" w:themeColor="text1"/>
        </w:rPr>
        <w:t>Student usage of Q&amp;A forums: Signs of discomfort?</w:t>
      </w:r>
      <w:r w:rsidRPr="006C76ED">
        <w:rPr>
          <w:rFonts w:ascii="Arial" w:hAnsi="Arial" w:cs="Arial"/>
          <w:color w:val="000000" w:themeColor="text1"/>
        </w:rPr>
        <w:t xml:space="preserve"> </w:t>
      </w:r>
      <w:proofErr w:type="spellStart"/>
      <w:r w:rsidRPr="006C76ED">
        <w:rPr>
          <w:rFonts w:ascii="Arial" w:hAnsi="Arial" w:cs="Arial"/>
          <w:color w:val="000000" w:themeColor="text1"/>
        </w:rPr>
        <w:t>arXiv</w:t>
      </w:r>
      <w:proofErr w:type="spellEnd"/>
      <w:r w:rsidRPr="006C76ED">
        <w:rPr>
          <w:rFonts w:ascii="Arial" w:hAnsi="Arial" w:cs="Arial"/>
          <w:color w:val="000000" w:themeColor="text1"/>
        </w:rPr>
        <w:t xml:space="preserve">. </w:t>
      </w:r>
      <w:hyperlink r:id="rId18" w:tgtFrame="_new" w:history="1">
        <w:r w:rsidRPr="006C76ED">
          <w:rPr>
            <w:rStyle w:val="Hyperlink"/>
            <w:rFonts w:ascii="Arial" w:hAnsi="Arial" w:cs="Arial"/>
            <w:color w:val="000000" w:themeColor="text1"/>
            <w:u w:val="none"/>
          </w:rPr>
          <w:t>https://arxiv.org/abs/2305.18717</w:t>
        </w:r>
      </w:hyperlink>
      <w:r w:rsidRPr="006C76ED">
        <w:rPr>
          <w:rFonts w:ascii="Arial" w:hAnsi="Arial" w:cs="Arial"/>
          <w:color w:val="000000" w:themeColor="text1"/>
        </w:rPr>
        <w:t xml:space="preserve"> </w:t>
      </w:r>
    </w:p>
    <w:p w14:paraId="3A0F9C30" w14:textId="77777777" w:rsidR="00F53217" w:rsidRPr="006C76ED" w:rsidRDefault="00F53217" w:rsidP="00F53217">
      <w:pPr>
        <w:ind w:left="630" w:hanging="630"/>
        <w:rPr>
          <w:rFonts w:ascii="Arial" w:hAnsi="Arial" w:cs="Arial"/>
          <w:color w:val="000000" w:themeColor="text1"/>
        </w:rPr>
      </w:pPr>
    </w:p>
    <w:p w14:paraId="03E7B362"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lastRenderedPageBreak/>
        <w:t xml:space="preserve">Singh, A., &amp; Mishra, P. (2023). Community engagement and extension education in Indian higher education institutions. </w:t>
      </w:r>
      <w:r w:rsidRPr="006C76ED">
        <w:rPr>
          <w:rFonts w:ascii="Arial" w:hAnsi="Arial" w:cs="Arial"/>
          <w:i/>
          <w:iCs/>
          <w:color w:val="000000" w:themeColor="text1"/>
        </w:rPr>
        <w:t>Journal of Education and Social Development</w:t>
      </w:r>
      <w:r w:rsidRPr="006C76ED">
        <w:rPr>
          <w:rFonts w:ascii="Arial" w:hAnsi="Arial" w:cs="Arial"/>
          <w:color w:val="000000" w:themeColor="text1"/>
        </w:rPr>
        <w:t xml:space="preserve">, </w:t>
      </w:r>
      <w:r w:rsidRPr="006C76ED">
        <w:rPr>
          <w:rFonts w:ascii="Arial" w:hAnsi="Arial" w:cs="Arial"/>
          <w:i/>
          <w:iCs/>
          <w:color w:val="000000" w:themeColor="text1"/>
        </w:rPr>
        <w:t>7</w:t>
      </w:r>
      <w:r w:rsidRPr="006C76ED">
        <w:rPr>
          <w:rFonts w:ascii="Arial" w:hAnsi="Arial" w:cs="Arial"/>
          <w:color w:val="000000" w:themeColor="text1"/>
        </w:rPr>
        <w:t>(1), 45–55.</w:t>
      </w:r>
    </w:p>
    <w:p w14:paraId="6AD97730" w14:textId="77777777" w:rsidR="00F53217" w:rsidRPr="006C76ED" w:rsidRDefault="00F53217" w:rsidP="00F53217">
      <w:pPr>
        <w:pStyle w:val="NoSpacing"/>
        <w:ind w:left="630" w:hanging="630"/>
        <w:rPr>
          <w:rFonts w:ascii="Arial" w:hAnsi="Arial" w:cs="Arial"/>
          <w:color w:val="000000" w:themeColor="text1"/>
          <w:sz w:val="20"/>
          <w:szCs w:val="20"/>
        </w:rPr>
      </w:pPr>
    </w:p>
    <w:p w14:paraId="33BE5C4E" w14:textId="77777777" w:rsidR="00F53217" w:rsidRPr="006C76ED" w:rsidRDefault="00F53217" w:rsidP="00F53217">
      <w:pPr>
        <w:pStyle w:val="NoSpacing"/>
        <w:ind w:left="630" w:hanging="630"/>
        <w:rPr>
          <w:rFonts w:ascii="Arial" w:hAnsi="Arial" w:cs="Arial"/>
          <w:color w:val="000000" w:themeColor="text1"/>
          <w:sz w:val="20"/>
          <w:szCs w:val="20"/>
        </w:rPr>
      </w:pPr>
      <w:r w:rsidRPr="006C76ED">
        <w:rPr>
          <w:rFonts w:ascii="Arial" w:hAnsi="Arial" w:cs="Arial"/>
          <w:color w:val="000000" w:themeColor="text1"/>
          <w:sz w:val="20"/>
          <w:szCs w:val="20"/>
        </w:rPr>
        <w:t xml:space="preserve">Singh, S. (2018). </w:t>
      </w:r>
      <w:r w:rsidRPr="006C76ED">
        <w:rPr>
          <w:rFonts w:ascii="Arial" w:hAnsi="Arial" w:cs="Arial"/>
          <w:i/>
          <w:iCs/>
          <w:color w:val="000000" w:themeColor="text1"/>
          <w:sz w:val="20"/>
          <w:szCs w:val="20"/>
        </w:rPr>
        <w:t>Sampling techniques.</w:t>
      </w:r>
      <w:r w:rsidRPr="006C76ED">
        <w:rPr>
          <w:rFonts w:ascii="Arial" w:hAnsi="Arial" w:cs="Arial"/>
          <w:color w:val="000000" w:themeColor="text1"/>
          <w:sz w:val="20"/>
          <w:szCs w:val="20"/>
        </w:rPr>
        <w:t xml:space="preserve"> </w:t>
      </w:r>
      <w:hyperlink r:id="rId19" w:history="1">
        <w:r w:rsidRPr="006C76ED">
          <w:rPr>
            <w:rStyle w:val="Hyperlink"/>
            <w:rFonts w:ascii="Arial" w:hAnsi="Arial" w:cs="Arial"/>
            <w:color w:val="000000" w:themeColor="text1"/>
            <w:sz w:val="20"/>
            <w:szCs w:val="20"/>
            <w:u w:val="none"/>
          </w:rPr>
          <w:t>https://towardsdatascience.com/ samplingtechniques_a4e34111d808towardsdatascience</w:t>
        </w:r>
      </w:hyperlink>
    </w:p>
    <w:p w14:paraId="28E7FD85" w14:textId="77777777" w:rsidR="00F53217" w:rsidRPr="006C76ED" w:rsidRDefault="00F53217" w:rsidP="00F53217">
      <w:pPr>
        <w:ind w:left="630" w:hanging="630"/>
        <w:rPr>
          <w:rFonts w:ascii="Arial" w:hAnsi="Arial" w:cs="Arial"/>
          <w:color w:val="000000" w:themeColor="text1"/>
        </w:rPr>
      </w:pPr>
    </w:p>
    <w:p w14:paraId="66F5A158" w14:textId="77777777" w:rsidR="00F53217" w:rsidRPr="006C76ED" w:rsidRDefault="00F53217" w:rsidP="00F53217">
      <w:pPr>
        <w:ind w:left="630" w:hanging="630"/>
        <w:rPr>
          <w:rFonts w:ascii="Arial" w:hAnsi="Arial" w:cs="Arial"/>
          <w:color w:val="000000" w:themeColor="text1"/>
        </w:rPr>
      </w:pPr>
      <w:r w:rsidRPr="006C76ED">
        <w:rPr>
          <w:rFonts w:ascii="Arial" w:hAnsi="Arial" w:cs="Arial"/>
          <w:color w:val="000000" w:themeColor="text1"/>
        </w:rPr>
        <w:t>Snyder, M., &amp; Majewski-Schrage, A. (2023). Service-learning and civic engagement outcomes among university students</w:t>
      </w:r>
      <w:r w:rsidRPr="006C76ED">
        <w:rPr>
          <w:rFonts w:ascii="Arial" w:hAnsi="Arial" w:cs="Arial"/>
          <w:i/>
          <w:iCs/>
          <w:color w:val="000000" w:themeColor="text1"/>
        </w:rPr>
        <w:t>. Journal of Community Engagement and Higher Education, 15</w:t>
      </w:r>
      <w:r w:rsidRPr="006C76ED">
        <w:rPr>
          <w:rFonts w:ascii="Arial" w:hAnsi="Arial" w:cs="Arial"/>
          <w:color w:val="000000" w:themeColor="text1"/>
        </w:rPr>
        <w:t>(1), 45–58.</w:t>
      </w:r>
    </w:p>
    <w:p w14:paraId="783B987D" w14:textId="77777777" w:rsidR="00F53217" w:rsidRPr="006C76ED" w:rsidRDefault="00F53217" w:rsidP="00F53217">
      <w:pPr>
        <w:ind w:left="630" w:hanging="630"/>
        <w:rPr>
          <w:rFonts w:ascii="Arial" w:hAnsi="Arial" w:cs="Arial"/>
          <w:color w:val="000000" w:themeColor="text1"/>
        </w:rPr>
      </w:pPr>
    </w:p>
    <w:p w14:paraId="3EF27E32" w14:textId="7735DB4C" w:rsidR="00B01FCD" w:rsidRPr="00F53217" w:rsidRDefault="00F53217" w:rsidP="00F53217">
      <w:pPr>
        <w:ind w:left="630" w:hanging="630"/>
        <w:rPr>
          <w:rFonts w:ascii="Arial" w:hAnsi="Arial" w:cs="Arial"/>
          <w:color w:val="000000" w:themeColor="text1"/>
        </w:rPr>
      </w:pPr>
      <w:proofErr w:type="spellStart"/>
      <w:r w:rsidRPr="006C76ED">
        <w:rPr>
          <w:rFonts w:ascii="Arial" w:hAnsi="Arial" w:cs="Arial"/>
          <w:color w:val="000000" w:themeColor="text1"/>
        </w:rPr>
        <w:t>Sutthirat</w:t>
      </w:r>
      <w:proofErr w:type="spellEnd"/>
      <w:r w:rsidRPr="006C76ED">
        <w:rPr>
          <w:rFonts w:ascii="Arial" w:hAnsi="Arial" w:cs="Arial"/>
          <w:color w:val="000000" w:themeColor="text1"/>
        </w:rPr>
        <w:t xml:space="preserve">, C., &amp; </w:t>
      </w:r>
      <w:proofErr w:type="spellStart"/>
      <w:r w:rsidRPr="006C76ED">
        <w:rPr>
          <w:rFonts w:ascii="Arial" w:hAnsi="Arial" w:cs="Arial"/>
          <w:color w:val="000000" w:themeColor="text1"/>
        </w:rPr>
        <w:t>Srisuk</w:t>
      </w:r>
      <w:proofErr w:type="spellEnd"/>
      <w:r w:rsidRPr="006C76ED">
        <w:rPr>
          <w:rFonts w:ascii="Arial" w:hAnsi="Arial" w:cs="Arial"/>
          <w:color w:val="000000" w:themeColor="text1"/>
        </w:rPr>
        <w:t xml:space="preserve">, P. (2022). Community-based learning and civic engagement among university students in Thailand. </w:t>
      </w:r>
      <w:r w:rsidRPr="006C76ED">
        <w:rPr>
          <w:rFonts w:ascii="Arial" w:hAnsi="Arial" w:cs="Arial"/>
          <w:i/>
          <w:iCs/>
          <w:color w:val="000000" w:themeColor="text1"/>
        </w:rPr>
        <w:t>Asian Education and Development Studies</w:t>
      </w:r>
      <w:r w:rsidRPr="006C76ED">
        <w:rPr>
          <w:rFonts w:ascii="Arial" w:hAnsi="Arial" w:cs="Arial"/>
          <w:color w:val="000000" w:themeColor="text1"/>
        </w:rPr>
        <w:t xml:space="preserve">, </w:t>
      </w:r>
      <w:r w:rsidRPr="006C76ED">
        <w:rPr>
          <w:rFonts w:ascii="Arial" w:hAnsi="Arial" w:cs="Arial"/>
          <w:i/>
          <w:iCs/>
          <w:color w:val="000000" w:themeColor="text1"/>
        </w:rPr>
        <w:t>11</w:t>
      </w:r>
      <w:r w:rsidRPr="006C76ED">
        <w:rPr>
          <w:rFonts w:ascii="Arial" w:hAnsi="Arial" w:cs="Arial"/>
          <w:color w:val="000000" w:themeColor="text1"/>
        </w:rPr>
        <w:t>(4), 563–575.</w:t>
      </w:r>
    </w:p>
    <w:p w14:paraId="6D72CC72" w14:textId="77777777" w:rsidR="00790ADA" w:rsidRPr="00FB3A86" w:rsidRDefault="00790ADA" w:rsidP="00441B6F">
      <w:pPr>
        <w:pStyle w:val="Body"/>
        <w:spacing w:after="0"/>
        <w:rPr>
          <w:rFonts w:ascii="Arial" w:hAnsi="Arial" w:cs="Arial"/>
        </w:rPr>
      </w:pPr>
    </w:p>
    <w:p w14:paraId="681A19F0" w14:textId="0D5D4756" w:rsidR="004D4277" w:rsidRPr="00FB3A86" w:rsidRDefault="004D4277" w:rsidP="00441B6F">
      <w:pPr>
        <w:pStyle w:val="Appendix"/>
        <w:spacing w:after="0"/>
        <w:jc w:val="both"/>
        <w:rPr>
          <w:rFonts w:ascii="Arial" w:hAnsi="Arial" w:cs="Arial"/>
          <w:b w:val="0"/>
        </w:rPr>
        <w:sectPr w:rsidR="004D4277" w:rsidRPr="00FB3A86" w:rsidSect="00613393">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C61F503" w14:textId="77777777" w:rsidR="00B01FCD" w:rsidRPr="00FB3A86" w:rsidRDefault="00B01FCD" w:rsidP="00FB7C6E">
      <w:pPr>
        <w:pStyle w:val="Appendix"/>
        <w:spacing w:after="0"/>
        <w:jc w:val="both"/>
        <w:rPr>
          <w:rFonts w:ascii="Arial" w:hAnsi="Arial" w:cs="Arial"/>
          <w:b w:val="0"/>
        </w:rPr>
      </w:pPr>
      <w:bookmarkStart w:id="0" w:name="_GoBack"/>
      <w:bookmarkEnd w:id="0"/>
    </w:p>
    <w:sectPr w:rsidR="00B01FCD" w:rsidRPr="00FB3A86" w:rsidSect="006133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3D78D" w14:textId="77777777" w:rsidR="00BA3F6B" w:rsidRDefault="00BA3F6B" w:rsidP="00C37E61">
      <w:r>
        <w:separator/>
      </w:r>
    </w:p>
  </w:endnote>
  <w:endnote w:type="continuationSeparator" w:id="0">
    <w:p w14:paraId="47F706D0" w14:textId="77777777" w:rsidR="00BA3F6B" w:rsidRDefault="00BA3F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B655" w14:textId="77777777" w:rsidR="004D3415" w:rsidRDefault="004D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C357" w14:textId="77777777" w:rsidR="004D3415" w:rsidRDefault="004D3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4116" w14:textId="77777777" w:rsidR="009E048A" w:rsidRDefault="009E048A">
    <w:pPr>
      <w:pStyle w:val="Footer"/>
      <w:rPr>
        <w:rFonts w:ascii="Arial" w:hAnsi="Arial" w:cs="Arial"/>
        <w:sz w:val="16"/>
      </w:rPr>
    </w:pPr>
  </w:p>
  <w:p w14:paraId="3E4BBCD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984165" w14:textId="77777777" w:rsidR="009E048A" w:rsidRDefault="009E048A">
    <w:pPr>
      <w:pStyle w:val="Footer"/>
      <w:rPr>
        <w:rFonts w:ascii="Arial" w:hAnsi="Arial" w:cs="Arial"/>
        <w:sz w:val="16"/>
      </w:rPr>
    </w:pPr>
  </w:p>
  <w:p w14:paraId="3E11AFDC" w14:textId="309DF51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A3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E0051" w14:textId="77777777" w:rsidR="00BA3F6B" w:rsidRDefault="00BA3F6B" w:rsidP="00C37E61">
      <w:r>
        <w:separator/>
      </w:r>
    </w:p>
  </w:footnote>
  <w:footnote w:type="continuationSeparator" w:id="0">
    <w:p w14:paraId="52FE6278" w14:textId="77777777" w:rsidR="00BA3F6B" w:rsidRDefault="00BA3F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0D2F" w14:textId="66F8926D" w:rsidR="004D3415" w:rsidRDefault="004D3415">
    <w:pPr>
      <w:pStyle w:val="Header"/>
    </w:pPr>
    <w:r>
      <w:rPr>
        <w:noProof/>
      </w:rPr>
      <w:pict w14:anchorId="05960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355D" w14:textId="3195245A" w:rsidR="004D3415" w:rsidRDefault="004D3415">
    <w:pPr>
      <w:pStyle w:val="Header"/>
    </w:pPr>
    <w:r>
      <w:rPr>
        <w:noProof/>
      </w:rPr>
      <w:pict w14:anchorId="36212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10A3" w14:textId="4CDFC2E9" w:rsidR="00296529" w:rsidRPr="00296529" w:rsidRDefault="004D3415" w:rsidP="00296529">
    <w:pPr>
      <w:ind w:left="2160"/>
      <w:jc w:val="center"/>
      <w:rPr>
        <w:rFonts w:ascii="Times New Roman" w:eastAsia="Calibri" w:hAnsi="Times New Roman"/>
        <w:i/>
        <w:sz w:val="18"/>
        <w:szCs w:val="22"/>
      </w:rPr>
    </w:pPr>
    <w:r>
      <w:rPr>
        <w:noProof/>
      </w:rPr>
      <w:pict w14:anchorId="734F8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FC021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E869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362B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2EE6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3E33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5667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E33D" w14:textId="0BD6C881" w:rsidR="004D3415" w:rsidRDefault="004D3415">
    <w:pPr>
      <w:pStyle w:val="Header"/>
    </w:pPr>
    <w:r>
      <w:rPr>
        <w:noProof/>
      </w:rPr>
      <w:pict w14:anchorId="2BAC4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2363" w14:textId="7402D027" w:rsidR="004D3415" w:rsidRDefault="004D3415">
    <w:pPr>
      <w:pStyle w:val="Header"/>
    </w:pPr>
    <w:r>
      <w:rPr>
        <w:noProof/>
      </w:rPr>
      <w:pict w14:anchorId="283AD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E2AC" w14:textId="2141F08F" w:rsidR="004D3415" w:rsidRDefault="004D3415">
    <w:pPr>
      <w:pStyle w:val="Header"/>
    </w:pPr>
    <w:r>
      <w:rPr>
        <w:noProof/>
      </w:rPr>
      <w:pict w14:anchorId="0B784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263A24"/>
    <w:multiLevelType w:val="multilevel"/>
    <w:tmpl w:val="74789F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C5FBC"/>
    <w:multiLevelType w:val="multilevel"/>
    <w:tmpl w:val="00ECDCDC"/>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105"/>
    <w:rsid w:val="0004579C"/>
    <w:rsid w:val="00045F83"/>
    <w:rsid w:val="00065676"/>
    <w:rsid w:val="0009192D"/>
    <w:rsid w:val="000A47FA"/>
    <w:rsid w:val="000A65D3"/>
    <w:rsid w:val="000B1E33"/>
    <w:rsid w:val="000C6C71"/>
    <w:rsid w:val="000D689F"/>
    <w:rsid w:val="000E7B7B"/>
    <w:rsid w:val="000E7D62"/>
    <w:rsid w:val="00103357"/>
    <w:rsid w:val="00123C9F"/>
    <w:rsid w:val="00126190"/>
    <w:rsid w:val="001301D8"/>
    <w:rsid w:val="00130F17"/>
    <w:rsid w:val="001320BF"/>
    <w:rsid w:val="001443ED"/>
    <w:rsid w:val="00163BC4"/>
    <w:rsid w:val="00191062"/>
    <w:rsid w:val="00192B72"/>
    <w:rsid w:val="001A29D8"/>
    <w:rsid w:val="001A5CAA"/>
    <w:rsid w:val="001B0427"/>
    <w:rsid w:val="001D3A51"/>
    <w:rsid w:val="001D6E4E"/>
    <w:rsid w:val="001E10D2"/>
    <w:rsid w:val="001E25B4"/>
    <w:rsid w:val="001E44FE"/>
    <w:rsid w:val="001F22F6"/>
    <w:rsid w:val="00200595"/>
    <w:rsid w:val="00204835"/>
    <w:rsid w:val="00231920"/>
    <w:rsid w:val="0023195C"/>
    <w:rsid w:val="002338B2"/>
    <w:rsid w:val="00236972"/>
    <w:rsid w:val="0024282C"/>
    <w:rsid w:val="002460DC"/>
    <w:rsid w:val="00250985"/>
    <w:rsid w:val="002556F6"/>
    <w:rsid w:val="002603AF"/>
    <w:rsid w:val="002678F9"/>
    <w:rsid w:val="00283105"/>
    <w:rsid w:val="00284C4C"/>
    <w:rsid w:val="00287E68"/>
    <w:rsid w:val="00296529"/>
    <w:rsid w:val="002B27FB"/>
    <w:rsid w:val="002B685A"/>
    <w:rsid w:val="002C57D2"/>
    <w:rsid w:val="002E0D56"/>
    <w:rsid w:val="002F7564"/>
    <w:rsid w:val="00313901"/>
    <w:rsid w:val="00315186"/>
    <w:rsid w:val="0032066F"/>
    <w:rsid w:val="003277CF"/>
    <w:rsid w:val="0033343E"/>
    <w:rsid w:val="00347B96"/>
    <w:rsid w:val="003512C2"/>
    <w:rsid w:val="003601E2"/>
    <w:rsid w:val="00371FB6"/>
    <w:rsid w:val="003763C1"/>
    <w:rsid w:val="00376BBE"/>
    <w:rsid w:val="0039224F"/>
    <w:rsid w:val="003A43A4"/>
    <w:rsid w:val="003A7E18"/>
    <w:rsid w:val="003C4C86"/>
    <w:rsid w:val="003C5798"/>
    <w:rsid w:val="003C6258"/>
    <w:rsid w:val="003E2904"/>
    <w:rsid w:val="00401927"/>
    <w:rsid w:val="0041027F"/>
    <w:rsid w:val="00412475"/>
    <w:rsid w:val="0042363D"/>
    <w:rsid w:val="00423789"/>
    <w:rsid w:val="00431530"/>
    <w:rsid w:val="00440F43"/>
    <w:rsid w:val="00441B6F"/>
    <w:rsid w:val="00446221"/>
    <w:rsid w:val="00450E62"/>
    <w:rsid w:val="004539DB"/>
    <w:rsid w:val="00471A80"/>
    <w:rsid w:val="004B60EF"/>
    <w:rsid w:val="004D0245"/>
    <w:rsid w:val="004D305E"/>
    <w:rsid w:val="004D3415"/>
    <w:rsid w:val="004D4277"/>
    <w:rsid w:val="004E22E0"/>
    <w:rsid w:val="00502516"/>
    <w:rsid w:val="00505F06"/>
    <w:rsid w:val="00506828"/>
    <w:rsid w:val="005209C0"/>
    <w:rsid w:val="00522981"/>
    <w:rsid w:val="0053056E"/>
    <w:rsid w:val="00537D20"/>
    <w:rsid w:val="00554FDA"/>
    <w:rsid w:val="00555086"/>
    <w:rsid w:val="0057450D"/>
    <w:rsid w:val="005C784C"/>
    <w:rsid w:val="005D17F6"/>
    <w:rsid w:val="005D56AB"/>
    <w:rsid w:val="005E5539"/>
    <w:rsid w:val="00602BF5"/>
    <w:rsid w:val="00613393"/>
    <w:rsid w:val="00617FDD"/>
    <w:rsid w:val="006238C1"/>
    <w:rsid w:val="00633614"/>
    <w:rsid w:val="00633F68"/>
    <w:rsid w:val="00636EB2"/>
    <w:rsid w:val="006375B8"/>
    <w:rsid w:val="0066510A"/>
    <w:rsid w:val="00673F9F"/>
    <w:rsid w:val="00686953"/>
    <w:rsid w:val="00687DEA"/>
    <w:rsid w:val="00687E67"/>
    <w:rsid w:val="00693DB3"/>
    <w:rsid w:val="006945B7"/>
    <w:rsid w:val="006967F7"/>
    <w:rsid w:val="006A250C"/>
    <w:rsid w:val="006B21D3"/>
    <w:rsid w:val="006B57D0"/>
    <w:rsid w:val="006D30FF"/>
    <w:rsid w:val="006D6940"/>
    <w:rsid w:val="006F11EC"/>
    <w:rsid w:val="0070082C"/>
    <w:rsid w:val="00706DD7"/>
    <w:rsid w:val="00735251"/>
    <w:rsid w:val="007369E6"/>
    <w:rsid w:val="00737005"/>
    <w:rsid w:val="00746E59"/>
    <w:rsid w:val="00754C9A"/>
    <w:rsid w:val="0075599A"/>
    <w:rsid w:val="00761D52"/>
    <w:rsid w:val="0077749E"/>
    <w:rsid w:val="00790ADA"/>
    <w:rsid w:val="007D2288"/>
    <w:rsid w:val="007E088F"/>
    <w:rsid w:val="007F26A8"/>
    <w:rsid w:val="007F7B32"/>
    <w:rsid w:val="008038DC"/>
    <w:rsid w:val="00804BC2"/>
    <w:rsid w:val="0081431A"/>
    <w:rsid w:val="0083216F"/>
    <w:rsid w:val="008433DF"/>
    <w:rsid w:val="008562F7"/>
    <w:rsid w:val="008564E8"/>
    <w:rsid w:val="00860000"/>
    <w:rsid w:val="00863BD3"/>
    <w:rsid w:val="008641ED"/>
    <w:rsid w:val="00866D66"/>
    <w:rsid w:val="008671C6"/>
    <w:rsid w:val="00875803"/>
    <w:rsid w:val="008B459E"/>
    <w:rsid w:val="008E13AE"/>
    <w:rsid w:val="008E1506"/>
    <w:rsid w:val="008E710C"/>
    <w:rsid w:val="008F69D6"/>
    <w:rsid w:val="00902823"/>
    <w:rsid w:val="009056CB"/>
    <w:rsid w:val="00915CA6"/>
    <w:rsid w:val="00926D04"/>
    <w:rsid w:val="00927834"/>
    <w:rsid w:val="009500A6"/>
    <w:rsid w:val="00957C18"/>
    <w:rsid w:val="009659BA"/>
    <w:rsid w:val="00973802"/>
    <w:rsid w:val="00983040"/>
    <w:rsid w:val="00993FB6"/>
    <w:rsid w:val="009B3FB9"/>
    <w:rsid w:val="009C2465"/>
    <w:rsid w:val="009D35A0"/>
    <w:rsid w:val="009D7EB7"/>
    <w:rsid w:val="009E048A"/>
    <w:rsid w:val="009E08E9"/>
    <w:rsid w:val="009E3DB9"/>
    <w:rsid w:val="009E6E35"/>
    <w:rsid w:val="009F0EDA"/>
    <w:rsid w:val="009F4725"/>
    <w:rsid w:val="00A03B96"/>
    <w:rsid w:val="00A05B19"/>
    <w:rsid w:val="00A1134E"/>
    <w:rsid w:val="00A24E7E"/>
    <w:rsid w:val="00A258C3"/>
    <w:rsid w:val="00A347C0"/>
    <w:rsid w:val="00A51431"/>
    <w:rsid w:val="00A539AD"/>
    <w:rsid w:val="00A94063"/>
    <w:rsid w:val="00AA6219"/>
    <w:rsid w:val="00AA74E0"/>
    <w:rsid w:val="00AB703F"/>
    <w:rsid w:val="00AC5EAB"/>
    <w:rsid w:val="00AC6BB8"/>
    <w:rsid w:val="00AE008F"/>
    <w:rsid w:val="00AE17F9"/>
    <w:rsid w:val="00B01FCD"/>
    <w:rsid w:val="00B1776C"/>
    <w:rsid w:val="00B210E0"/>
    <w:rsid w:val="00B52583"/>
    <w:rsid w:val="00B52896"/>
    <w:rsid w:val="00B85666"/>
    <w:rsid w:val="00B95236"/>
    <w:rsid w:val="00B96BD9"/>
    <w:rsid w:val="00BA1B01"/>
    <w:rsid w:val="00BA2641"/>
    <w:rsid w:val="00BA3F6B"/>
    <w:rsid w:val="00BB37AA"/>
    <w:rsid w:val="00BC53A0"/>
    <w:rsid w:val="00BE3823"/>
    <w:rsid w:val="00BE62AD"/>
    <w:rsid w:val="00BF121F"/>
    <w:rsid w:val="00BF1F80"/>
    <w:rsid w:val="00C0415C"/>
    <w:rsid w:val="00C166EF"/>
    <w:rsid w:val="00C17EB0"/>
    <w:rsid w:val="00C27F5F"/>
    <w:rsid w:val="00C30A0F"/>
    <w:rsid w:val="00C37E61"/>
    <w:rsid w:val="00C52F16"/>
    <w:rsid w:val="00C65175"/>
    <w:rsid w:val="00C65F89"/>
    <w:rsid w:val="00C70F1B"/>
    <w:rsid w:val="00C71A47"/>
    <w:rsid w:val="00C7464C"/>
    <w:rsid w:val="00C75290"/>
    <w:rsid w:val="00C822A0"/>
    <w:rsid w:val="00C85588"/>
    <w:rsid w:val="00CD34F3"/>
    <w:rsid w:val="00CD6755"/>
    <w:rsid w:val="00CD6856"/>
    <w:rsid w:val="00CD789E"/>
    <w:rsid w:val="00CE0089"/>
    <w:rsid w:val="00CE793C"/>
    <w:rsid w:val="00CF193C"/>
    <w:rsid w:val="00CF6651"/>
    <w:rsid w:val="00D16450"/>
    <w:rsid w:val="00D173F1"/>
    <w:rsid w:val="00D40413"/>
    <w:rsid w:val="00D74CB0"/>
    <w:rsid w:val="00D8295D"/>
    <w:rsid w:val="00DB6E93"/>
    <w:rsid w:val="00DC2A65"/>
    <w:rsid w:val="00DE15F0"/>
    <w:rsid w:val="00DE2455"/>
    <w:rsid w:val="00DE5663"/>
    <w:rsid w:val="00DE78AA"/>
    <w:rsid w:val="00E02061"/>
    <w:rsid w:val="00E053D0"/>
    <w:rsid w:val="00E15994"/>
    <w:rsid w:val="00E3114E"/>
    <w:rsid w:val="00E31A70"/>
    <w:rsid w:val="00E35B02"/>
    <w:rsid w:val="00E66496"/>
    <w:rsid w:val="00E66B35"/>
    <w:rsid w:val="00E66E10"/>
    <w:rsid w:val="00E769F6"/>
    <w:rsid w:val="00E779B7"/>
    <w:rsid w:val="00E8407C"/>
    <w:rsid w:val="00E84F3C"/>
    <w:rsid w:val="00E95BD0"/>
    <w:rsid w:val="00EA012C"/>
    <w:rsid w:val="00EB40B6"/>
    <w:rsid w:val="00EC6A55"/>
    <w:rsid w:val="00ED0288"/>
    <w:rsid w:val="00EE52CB"/>
    <w:rsid w:val="00EF581D"/>
    <w:rsid w:val="00EF7FD8"/>
    <w:rsid w:val="00F06F59"/>
    <w:rsid w:val="00F17988"/>
    <w:rsid w:val="00F427FD"/>
    <w:rsid w:val="00F469F0"/>
    <w:rsid w:val="00F470D1"/>
    <w:rsid w:val="00F53217"/>
    <w:rsid w:val="00F53273"/>
    <w:rsid w:val="00F61975"/>
    <w:rsid w:val="00F755E4"/>
    <w:rsid w:val="00F77D02"/>
    <w:rsid w:val="00FB3A86"/>
    <w:rsid w:val="00FB7C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8537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443ED"/>
    <w:pPr>
      <w:ind w:left="720"/>
      <w:contextualSpacing/>
    </w:pPr>
  </w:style>
  <w:style w:type="paragraph" w:styleId="NormalWeb">
    <w:name w:val="Normal (Web)"/>
    <w:basedOn w:val="Normal"/>
    <w:semiHidden/>
    <w:unhideWhenUsed/>
    <w:rsid w:val="004E22E0"/>
    <w:rPr>
      <w:rFonts w:ascii="Times New Roman" w:hAnsi="Times New Roman"/>
      <w:sz w:val="24"/>
      <w:szCs w:val="24"/>
    </w:rPr>
  </w:style>
  <w:style w:type="paragraph" w:styleId="NoSpacing">
    <w:name w:val="No Spacing"/>
    <w:uiPriority w:val="1"/>
    <w:qFormat/>
    <w:rsid w:val="00FB7C6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rxiv.org/abs/2305.18717?utm_source=chatgpt.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3104018394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4434/josotl.v18i4.2284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se.berkeley.edu/research/slc/"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towardsdatascience.com/%20samplingtechniques_a4e34111d808towardsdatascienc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BADD-4622-4FDD-A0B9-8888275B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10</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65</cp:revision>
  <cp:lastPrinted>1999-07-06T11:00:00Z</cp:lastPrinted>
  <dcterms:created xsi:type="dcterms:W3CDTF">2026-03-12T05:37:00Z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f843b4e7-8ffb-4ab2-8f9e-93f8d041f854</vt:lpwstr>
  </property>
</Properties>
</file>