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FD815" w14:textId="38DDC348" w:rsidR="00B252C0" w:rsidRDefault="000E069D" w:rsidP="001722C7">
      <w:pPr>
        <w:jc w:val="center"/>
        <w:rPr>
          <w:rFonts w:cs="Times New Roman"/>
          <w:b/>
          <w:bCs/>
          <w:szCs w:val="24"/>
        </w:rPr>
      </w:pPr>
      <w:r w:rsidRPr="001722C7">
        <w:rPr>
          <w:rFonts w:cs="Times New Roman"/>
          <w:b/>
          <w:bCs/>
          <w:szCs w:val="24"/>
        </w:rPr>
        <w:t>Investigating the Effects of Urban Sprawl on Sustainable Development in Ghanaian Cities</w:t>
      </w:r>
    </w:p>
    <w:p w14:paraId="41F8B379" w14:textId="77777777" w:rsidR="00AF7AFD" w:rsidRPr="008A25C4" w:rsidRDefault="00AF7AFD" w:rsidP="008A25C4">
      <w:pPr>
        <w:rPr>
          <w:rFonts w:cs="Times New Roman"/>
          <w:b/>
          <w:bCs/>
          <w:szCs w:val="24"/>
        </w:rPr>
      </w:pPr>
    </w:p>
    <w:p w14:paraId="365F9208" w14:textId="4FEAA938" w:rsidR="00EC2C0B" w:rsidRPr="001722C7" w:rsidRDefault="001E2AE1" w:rsidP="001722C7">
      <w:pPr>
        <w:jc w:val="left"/>
        <w:rPr>
          <w:rFonts w:cs="Times New Roman"/>
          <w:szCs w:val="24"/>
          <w:lang w:val="en-US"/>
        </w:rPr>
      </w:pPr>
      <w:r w:rsidRPr="001722C7">
        <w:rPr>
          <w:rFonts w:cs="Times New Roman"/>
          <w:b/>
          <w:bCs/>
          <w:szCs w:val="24"/>
          <w:lang w:val="en-US"/>
        </w:rPr>
        <w:t>ABSTRACT</w:t>
      </w:r>
    </w:p>
    <w:p w14:paraId="025A8173" w14:textId="2C8BA877" w:rsidR="001E2AE1" w:rsidRPr="001722C7" w:rsidRDefault="001E2AE1" w:rsidP="001722C7">
      <w:pPr>
        <w:rPr>
          <w:rFonts w:cs="Times New Roman"/>
          <w:szCs w:val="24"/>
          <w:lang w:val="en-US"/>
        </w:rPr>
      </w:pPr>
      <w:r w:rsidRPr="001722C7">
        <w:rPr>
          <w:rFonts w:cs="Times New Roman"/>
          <w:szCs w:val="24"/>
          <w:lang w:val="en-US"/>
        </w:rPr>
        <w:t xml:space="preserve">Rapid, low-density development on the outskirts of Ghana's largest cities is reshaping land use, service provision, and social organization in ways that compromise the country's progress towards the Sustainable Development Goals. In a systematic review of 2000-2025 research on Accra, Kumasi, Tamale, Sekondi-Takoradi, and </w:t>
      </w:r>
      <w:proofErr w:type="spellStart"/>
      <w:r w:rsidRPr="001722C7">
        <w:rPr>
          <w:rFonts w:cs="Times New Roman"/>
          <w:szCs w:val="24"/>
          <w:lang w:val="en-US"/>
        </w:rPr>
        <w:t>Wa</w:t>
      </w:r>
      <w:proofErr w:type="spellEnd"/>
      <w:r w:rsidRPr="001722C7">
        <w:rPr>
          <w:rFonts w:cs="Times New Roman"/>
          <w:szCs w:val="24"/>
          <w:lang w:val="en-US"/>
        </w:rPr>
        <w:t xml:space="preserve">, this paper explored how urban sprawl intersects the three pillars of sustainable development. A PRISMA-guided systematic Scopus, Web of Science, ScienceDirect, and Google Scholar search yielded 57 qualifying sources, which were coded and thematically </w:t>
      </w:r>
      <w:proofErr w:type="spellStart"/>
      <w:r w:rsidRPr="001722C7">
        <w:rPr>
          <w:rFonts w:cs="Times New Roman"/>
          <w:szCs w:val="24"/>
          <w:lang w:val="en-US"/>
        </w:rPr>
        <w:t>synthesised</w:t>
      </w:r>
      <w:proofErr w:type="spellEnd"/>
      <w:r w:rsidRPr="001722C7">
        <w:rPr>
          <w:rFonts w:cs="Times New Roman"/>
          <w:szCs w:val="24"/>
          <w:lang w:val="en-US"/>
        </w:rPr>
        <w:t xml:space="preserve">. The findings demonstrate that: (1) rampant peri-urban expansion hastens wetland, forest, and agricultural land destruction, expands urban heat island impacts, and increases flood risk; (2) urban sprawl entrenches spatial inequity as it renders essential services inaccessible, displaces indigenous persons, and increases daily travel distances; and (3) the low-density urban form model has drastic fiscal implications for municipal governments as it distorts land values and degrades peri-urban livelihoods and ultimately food security. They are exacerbated by inefficient land-use management, speculative land markets, and fragmented infrastructure planning. The paper proposes a multi-level conceptual framework linking demographic pressures, tenure regimes, and infrastructure corridors to the social, economic, and environmental implications that have been identified. Policy recommendations include the establishment of growth boundaries, integrating customary authorities in statutory planning, investment in transit-oriented and mixed-use development, and the rehabilitation of critical green infrastructure. Cumulatively, these actions have the potential to guide Ghana's urban trajectory towards a denser, more equitable, and climate-resilient future. </w:t>
      </w:r>
    </w:p>
    <w:p w14:paraId="6F0C2BFC" w14:textId="22B7DB08" w:rsidR="00EC2C0B" w:rsidRPr="001722C7" w:rsidRDefault="00EC2C0B" w:rsidP="001722C7">
      <w:pPr>
        <w:jc w:val="left"/>
        <w:rPr>
          <w:rFonts w:cs="Times New Roman"/>
          <w:szCs w:val="24"/>
        </w:rPr>
      </w:pPr>
      <w:r w:rsidRPr="001722C7">
        <w:rPr>
          <w:rFonts w:cs="Times New Roman"/>
          <w:b/>
          <w:bCs/>
          <w:szCs w:val="24"/>
        </w:rPr>
        <w:t>KEYWORDS:</w:t>
      </w:r>
      <w:r w:rsidRPr="001722C7">
        <w:rPr>
          <w:rFonts w:cs="Times New Roman"/>
          <w:szCs w:val="24"/>
        </w:rPr>
        <w:t xml:space="preserve"> Urban Sprawl, </w:t>
      </w:r>
      <w:r w:rsidR="001E2AE1" w:rsidRPr="001722C7">
        <w:rPr>
          <w:rFonts w:cs="Times New Roman"/>
          <w:szCs w:val="24"/>
        </w:rPr>
        <w:t>Effects, Sustainable Development, Ghanaian Cities</w:t>
      </w:r>
    </w:p>
    <w:p w14:paraId="7A072296" w14:textId="77777777" w:rsidR="00EC2C0B" w:rsidRPr="001722C7" w:rsidRDefault="00EC2C0B" w:rsidP="001722C7">
      <w:pPr>
        <w:jc w:val="left"/>
        <w:rPr>
          <w:rFonts w:cs="Times New Roman"/>
          <w:szCs w:val="24"/>
        </w:rPr>
      </w:pPr>
    </w:p>
    <w:p w14:paraId="7C6F6C1C" w14:textId="77777777" w:rsidR="001E2AE1" w:rsidRPr="001722C7" w:rsidRDefault="001E2AE1" w:rsidP="001722C7">
      <w:pPr>
        <w:jc w:val="left"/>
        <w:rPr>
          <w:rFonts w:cs="Times New Roman"/>
          <w:szCs w:val="24"/>
        </w:rPr>
      </w:pPr>
    </w:p>
    <w:p w14:paraId="49315B4B" w14:textId="75931BDC" w:rsidR="00B252C0" w:rsidRPr="001722C7" w:rsidRDefault="00B252C0" w:rsidP="001722C7">
      <w:pPr>
        <w:pStyle w:val="ListParagraph"/>
        <w:numPr>
          <w:ilvl w:val="0"/>
          <w:numId w:val="18"/>
        </w:numPr>
        <w:rPr>
          <w:rFonts w:cs="Times New Roman"/>
          <w:b/>
          <w:bCs/>
          <w:szCs w:val="24"/>
          <w:lang w:val="en-US"/>
        </w:rPr>
      </w:pPr>
      <w:r w:rsidRPr="001722C7">
        <w:rPr>
          <w:rFonts w:cs="Times New Roman"/>
          <w:b/>
          <w:bCs/>
          <w:szCs w:val="24"/>
          <w:lang w:val="en-US"/>
        </w:rPr>
        <w:t>Introduction</w:t>
      </w:r>
    </w:p>
    <w:p w14:paraId="68DFE39B" w14:textId="4B60122A" w:rsidR="00194532" w:rsidRPr="001722C7" w:rsidRDefault="00194532" w:rsidP="001722C7">
      <w:pPr>
        <w:rPr>
          <w:rFonts w:cs="Times New Roman"/>
          <w:szCs w:val="24"/>
          <w:lang w:val="en-US"/>
        </w:rPr>
      </w:pPr>
      <w:r w:rsidRPr="001722C7">
        <w:rPr>
          <w:rFonts w:cs="Times New Roman"/>
          <w:szCs w:val="24"/>
          <w:lang w:val="en-US"/>
        </w:rPr>
        <w:t xml:space="preserve">Urban sprawl, or the unplanned expansion of cities onto surrounding rural peripheries, has emerged as a defining characteristic of urbanization globally in the contemporary period (Angel, </w:t>
      </w:r>
      <w:r w:rsidRPr="001722C7">
        <w:rPr>
          <w:rFonts w:cs="Times New Roman"/>
          <w:szCs w:val="24"/>
          <w:lang w:val="en-US"/>
        </w:rPr>
        <w:lastRenderedPageBreak/>
        <w:t xml:space="preserve">2023). The phenomenon has far-reaching consequences for land use, environmental cleanliness, infrastructure provision, and social equity, all of which constitute the foundation of sustainable development discourse. At the international level, urban sprawl represents a serious obstacle to the attainment of the United Nations Sustainable Development Goals (SDGs), especially those focusing on sustainable cities and communities (SDG 11), climate action (SDG 13), and sustainable consumption and production (SDG 12) (United Nations, 2023). Urban sprawl, in its uncontrolled growth, </w:t>
      </w:r>
      <w:r w:rsidR="00CB3E1E" w:rsidRPr="001722C7">
        <w:rPr>
          <w:rFonts w:cs="Times New Roman"/>
          <w:szCs w:val="24"/>
          <w:lang w:val="en-US"/>
        </w:rPr>
        <w:t>often results in inefficient land use, biodiversity loss, and increased greenhouse gas emissions, driven</w:t>
      </w:r>
      <w:r w:rsidRPr="001722C7">
        <w:rPr>
          <w:rFonts w:cs="Times New Roman"/>
          <w:szCs w:val="24"/>
          <w:lang w:val="en-US"/>
        </w:rPr>
        <w:t xml:space="preserve"> by car dependency and longer travel distances (Seto et al., 20</w:t>
      </w:r>
      <w:r w:rsidR="005514F2" w:rsidRPr="001722C7">
        <w:rPr>
          <w:rFonts w:cs="Times New Roman"/>
          <w:szCs w:val="24"/>
          <w:lang w:val="en-US"/>
        </w:rPr>
        <w:t>12</w:t>
      </w:r>
      <w:r w:rsidRPr="001722C7">
        <w:rPr>
          <w:rFonts w:cs="Times New Roman"/>
          <w:szCs w:val="24"/>
          <w:lang w:val="en-US"/>
        </w:rPr>
        <w:t>).</w:t>
      </w:r>
    </w:p>
    <w:p w14:paraId="702B9AE1" w14:textId="43AC8EBB" w:rsidR="00194532" w:rsidRPr="001722C7" w:rsidRDefault="00194532" w:rsidP="001722C7">
      <w:pPr>
        <w:rPr>
          <w:rFonts w:cs="Times New Roman"/>
          <w:szCs w:val="24"/>
          <w:lang w:val="en-US"/>
        </w:rPr>
      </w:pPr>
      <w:r w:rsidRPr="001722C7">
        <w:rPr>
          <w:rFonts w:cs="Times New Roman"/>
          <w:szCs w:val="24"/>
          <w:lang w:val="en-US"/>
        </w:rPr>
        <w:t>The effects of urban sprawl are being rendered more severe because of rapid urban population expansion, ineffective spatial planning institutions, and poor enforcement of land use control in Sub-Saharan Africa (Yiran et al., 2020). This is the quickest developing region in terms of urbanization anywhere on the planet; however, this development is to a great extent informal and uncoordinated (UN-Habitat, 2020). Evidence indicates that cities, like Lagos, Nairobi, and Addis Ababa, are developing outward instead of upward, resulting in fragmented urban forms, increasing pressure over peri-urban land, and inadequate supply of major services (</w:t>
      </w:r>
      <w:proofErr w:type="spellStart"/>
      <w:r w:rsidR="009F30D8" w:rsidRPr="001722C7">
        <w:rPr>
          <w:rFonts w:cs="Times New Roman"/>
          <w:szCs w:val="24"/>
        </w:rPr>
        <w:t>Mitlin</w:t>
      </w:r>
      <w:proofErr w:type="spellEnd"/>
      <w:r w:rsidRPr="001722C7">
        <w:rPr>
          <w:rFonts w:cs="Times New Roman"/>
          <w:szCs w:val="24"/>
          <w:lang w:val="en-US"/>
        </w:rPr>
        <w:t>, 202</w:t>
      </w:r>
      <w:r w:rsidR="009F30D8" w:rsidRPr="001722C7">
        <w:rPr>
          <w:rFonts w:cs="Times New Roman"/>
          <w:szCs w:val="24"/>
          <w:lang w:val="en-US"/>
        </w:rPr>
        <w:t>1</w:t>
      </w:r>
      <w:r w:rsidRPr="001722C7">
        <w:rPr>
          <w:rFonts w:cs="Times New Roman"/>
          <w:szCs w:val="24"/>
          <w:lang w:val="en-US"/>
        </w:rPr>
        <w:t xml:space="preserve">; </w:t>
      </w:r>
      <w:r w:rsidR="00F32294" w:rsidRPr="001722C7">
        <w:rPr>
          <w:rFonts w:cs="Times New Roman"/>
          <w:szCs w:val="24"/>
        </w:rPr>
        <w:t>Shao et al.</w:t>
      </w:r>
      <w:r w:rsidRPr="001722C7">
        <w:rPr>
          <w:rFonts w:cs="Times New Roman"/>
          <w:szCs w:val="24"/>
          <w:lang w:val="en-US"/>
        </w:rPr>
        <w:t>, 2021). The trend significantly hinders the quest for inclusive and sustainable urbanization in the region.</w:t>
      </w:r>
    </w:p>
    <w:p w14:paraId="3DC59887" w14:textId="3E059C62" w:rsidR="00B252C0" w:rsidRDefault="00194532" w:rsidP="001722C7">
      <w:pPr>
        <w:rPr>
          <w:rFonts w:cs="Times New Roman"/>
          <w:szCs w:val="24"/>
          <w:lang w:val="en-US"/>
        </w:rPr>
      </w:pPr>
      <w:r w:rsidRPr="001722C7">
        <w:rPr>
          <w:rFonts w:cs="Times New Roman"/>
          <w:szCs w:val="24"/>
          <w:lang w:val="en-US"/>
        </w:rPr>
        <w:t>Urban sprawl in Ghana is most pronounced in large cities such as Accra, Kumasi, and Tamale. Inadequate urban growth policies, coupled with the prevalence of customary land tenure systems, have encouraged horizontal urban expansion at the expense of agricultural lands and bioclimatic zones (</w:t>
      </w:r>
      <w:r w:rsidR="005514F2" w:rsidRPr="001722C7">
        <w:rPr>
          <w:rFonts w:cs="Times New Roman"/>
          <w:szCs w:val="24"/>
        </w:rPr>
        <w:t>Acheampong</w:t>
      </w:r>
      <w:r w:rsidRPr="001722C7">
        <w:rPr>
          <w:rFonts w:cs="Times New Roman"/>
          <w:szCs w:val="24"/>
          <w:lang w:val="en-US"/>
        </w:rPr>
        <w:t>, 20</w:t>
      </w:r>
      <w:r w:rsidR="005514F2" w:rsidRPr="001722C7">
        <w:rPr>
          <w:rFonts w:cs="Times New Roman"/>
          <w:szCs w:val="24"/>
          <w:lang w:val="en-US"/>
        </w:rPr>
        <w:t>19</w:t>
      </w:r>
      <w:r w:rsidRPr="001722C7">
        <w:rPr>
          <w:rFonts w:cs="Times New Roman"/>
          <w:szCs w:val="24"/>
          <w:lang w:val="en-US"/>
        </w:rPr>
        <w:t>). Ghanaian urban sprawl is caused by socio-economic segregation, traffic congestion, inefficient waste management, and heightened vulnerability to climate-related hazards, including floods (</w:t>
      </w:r>
      <w:r w:rsidR="008D6ED0" w:rsidRPr="001722C7">
        <w:rPr>
          <w:rFonts w:cs="Times New Roman"/>
          <w:szCs w:val="24"/>
        </w:rPr>
        <w:t xml:space="preserve">Agyeman, </w:t>
      </w:r>
      <w:r w:rsidRPr="001722C7">
        <w:rPr>
          <w:rFonts w:cs="Times New Roman"/>
          <w:szCs w:val="24"/>
          <w:lang w:val="en-US"/>
        </w:rPr>
        <w:t>20</w:t>
      </w:r>
      <w:r w:rsidR="008D6ED0" w:rsidRPr="001722C7">
        <w:rPr>
          <w:rFonts w:cs="Times New Roman"/>
          <w:szCs w:val="24"/>
          <w:lang w:val="en-US"/>
        </w:rPr>
        <w:t>17</w:t>
      </w:r>
      <w:r w:rsidRPr="001722C7">
        <w:rPr>
          <w:rFonts w:cs="Times New Roman"/>
          <w:szCs w:val="24"/>
          <w:lang w:val="en-US"/>
        </w:rPr>
        <w:t xml:space="preserve">). </w:t>
      </w:r>
      <w:r w:rsidR="00EB4F88" w:rsidRPr="001722C7">
        <w:rPr>
          <w:rFonts w:cs="Times New Roman"/>
          <w:szCs w:val="24"/>
          <w:lang w:val="en-US"/>
        </w:rPr>
        <w:t>Although spatial development frameworks are lacking, enforcement remains absent, and land use planning is often</w:t>
      </w:r>
      <w:r w:rsidRPr="001722C7">
        <w:rPr>
          <w:rFonts w:cs="Times New Roman"/>
          <w:szCs w:val="24"/>
          <w:lang w:val="en-US"/>
        </w:rPr>
        <w:t xml:space="preserve"> referred to as reactive rather than proactive (Gough &amp; Yankson, 20</w:t>
      </w:r>
      <w:r w:rsidR="002E4919" w:rsidRPr="001722C7">
        <w:rPr>
          <w:rFonts w:cs="Times New Roman"/>
          <w:szCs w:val="24"/>
          <w:lang w:val="en-US"/>
        </w:rPr>
        <w:t>00</w:t>
      </w:r>
      <w:r w:rsidRPr="001722C7">
        <w:rPr>
          <w:rFonts w:cs="Times New Roman"/>
          <w:szCs w:val="24"/>
          <w:lang w:val="en-US"/>
        </w:rPr>
        <w:t>). With these issues at hand, there is a need to study the effects of urban sprawl on sustainable development in Ghanaian cities.</w:t>
      </w:r>
      <w:r w:rsidR="00EB4F88" w:rsidRPr="001722C7">
        <w:rPr>
          <w:rFonts w:cs="Times New Roman"/>
          <w:szCs w:val="24"/>
          <w:lang w:val="en-US"/>
        </w:rPr>
        <w:t xml:space="preserve"> </w:t>
      </w:r>
      <w:r w:rsidRPr="001722C7">
        <w:rPr>
          <w:rFonts w:cs="Times New Roman"/>
          <w:szCs w:val="24"/>
          <w:lang w:val="en-US"/>
        </w:rPr>
        <w:t xml:space="preserve">This </w:t>
      </w:r>
      <w:r w:rsidR="00EB4F88" w:rsidRPr="001722C7">
        <w:rPr>
          <w:rFonts w:cs="Times New Roman"/>
          <w:szCs w:val="24"/>
          <w:lang w:val="en-US"/>
        </w:rPr>
        <w:t>paper</w:t>
      </w:r>
      <w:r w:rsidRPr="001722C7">
        <w:rPr>
          <w:rFonts w:cs="Times New Roman"/>
          <w:szCs w:val="24"/>
          <w:lang w:val="en-US"/>
        </w:rPr>
        <w:t xml:space="preserve"> </w:t>
      </w:r>
      <w:r w:rsidR="001E2AE1" w:rsidRPr="001722C7">
        <w:rPr>
          <w:rFonts w:cs="Times New Roman"/>
          <w:szCs w:val="24"/>
          <w:lang w:val="en-US"/>
        </w:rPr>
        <w:t>investigated</w:t>
      </w:r>
      <w:r w:rsidRPr="001722C7">
        <w:rPr>
          <w:rFonts w:cs="Times New Roman"/>
          <w:szCs w:val="24"/>
          <w:lang w:val="en-US"/>
        </w:rPr>
        <w:t xml:space="preserve"> the effects of urban </w:t>
      </w:r>
      <w:r w:rsidR="00EB4F88" w:rsidRPr="001722C7">
        <w:rPr>
          <w:rFonts w:cs="Times New Roman"/>
          <w:szCs w:val="24"/>
          <w:lang w:val="en-US"/>
        </w:rPr>
        <w:t>sprawl</w:t>
      </w:r>
      <w:r w:rsidRPr="001722C7">
        <w:rPr>
          <w:rFonts w:cs="Times New Roman"/>
          <w:szCs w:val="24"/>
          <w:lang w:val="en-US"/>
        </w:rPr>
        <w:t xml:space="preserve"> on </w:t>
      </w:r>
      <w:r w:rsidR="00EB4F88" w:rsidRPr="001722C7">
        <w:rPr>
          <w:rFonts w:cs="Times New Roman"/>
          <w:szCs w:val="24"/>
          <w:lang w:val="en-US"/>
        </w:rPr>
        <w:t>sustainability</w:t>
      </w:r>
      <w:r w:rsidRPr="001722C7">
        <w:rPr>
          <w:rFonts w:cs="Times New Roman"/>
          <w:szCs w:val="24"/>
          <w:lang w:val="en-US"/>
        </w:rPr>
        <w:t xml:space="preserve"> in Ghana</w:t>
      </w:r>
      <w:r w:rsidR="00EB4F88" w:rsidRPr="001722C7">
        <w:rPr>
          <w:rFonts w:cs="Times New Roman"/>
          <w:szCs w:val="24"/>
          <w:lang w:val="en-US"/>
        </w:rPr>
        <w:t>ian Cities</w:t>
      </w:r>
      <w:r w:rsidRPr="001722C7">
        <w:rPr>
          <w:rFonts w:cs="Times New Roman"/>
          <w:szCs w:val="24"/>
          <w:lang w:val="en-US"/>
        </w:rPr>
        <w:t>.</w:t>
      </w:r>
    </w:p>
    <w:p w14:paraId="6B0D04CF" w14:textId="77777777" w:rsidR="001722C7" w:rsidRPr="001722C7" w:rsidRDefault="001722C7" w:rsidP="001722C7">
      <w:pPr>
        <w:rPr>
          <w:rFonts w:cs="Times New Roman"/>
          <w:szCs w:val="24"/>
          <w:lang w:val="en-US"/>
        </w:rPr>
      </w:pPr>
    </w:p>
    <w:p w14:paraId="2659B558" w14:textId="366D5A8A" w:rsidR="00984F22" w:rsidRPr="001722C7" w:rsidRDefault="00984F22" w:rsidP="001722C7">
      <w:pPr>
        <w:rPr>
          <w:rFonts w:cs="Times New Roman"/>
          <w:b/>
          <w:bCs/>
          <w:szCs w:val="24"/>
          <w:lang w:val="en-US"/>
        </w:rPr>
      </w:pPr>
      <w:r w:rsidRPr="001722C7">
        <w:rPr>
          <w:rFonts w:cs="Times New Roman"/>
          <w:b/>
          <w:bCs/>
          <w:szCs w:val="24"/>
          <w:lang w:val="en-US"/>
        </w:rPr>
        <w:t>2. Literature Review</w:t>
      </w:r>
    </w:p>
    <w:p w14:paraId="679C0C8C" w14:textId="6A0A267C" w:rsidR="006B3B29" w:rsidRPr="001722C7" w:rsidRDefault="006B3B29" w:rsidP="001722C7">
      <w:pPr>
        <w:rPr>
          <w:rFonts w:cs="Times New Roman"/>
          <w:b/>
          <w:bCs/>
          <w:szCs w:val="24"/>
          <w:lang w:val="en-US"/>
        </w:rPr>
      </w:pPr>
      <w:r w:rsidRPr="001722C7">
        <w:rPr>
          <w:rFonts w:cs="Times New Roman"/>
          <w:b/>
          <w:bCs/>
          <w:szCs w:val="24"/>
          <w:lang w:val="en-US"/>
        </w:rPr>
        <w:t>2.1 Theoretical Framework</w:t>
      </w:r>
    </w:p>
    <w:p w14:paraId="306AAC49" w14:textId="3B23C017" w:rsidR="0018753F" w:rsidRPr="001722C7" w:rsidRDefault="0018753F" w:rsidP="001722C7">
      <w:pPr>
        <w:rPr>
          <w:rFonts w:cs="Times New Roman"/>
          <w:szCs w:val="24"/>
          <w:lang w:val="en-US"/>
        </w:rPr>
      </w:pPr>
      <w:r w:rsidRPr="001722C7">
        <w:rPr>
          <w:rFonts w:cs="Times New Roman"/>
          <w:szCs w:val="24"/>
          <w:lang w:val="en-US"/>
        </w:rPr>
        <w:lastRenderedPageBreak/>
        <w:t>Urban sprawl and sustainable development are complex phenomena that intersect on numerous spatial, economic, environmental, and social dimensions</w:t>
      </w:r>
      <w:r w:rsidR="004E1F04" w:rsidRPr="001722C7">
        <w:rPr>
          <w:rFonts w:cs="Times New Roman"/>
          <w:szCs w:val="24"/>
          <w:lang w:val="en-US"/>
        </w:rPr>
        <w:t xml:space="preserve"> (Panda, 2024)</w:t>
      </w:r>
      <w:r w:rsidRPr="001722C7">
        <w:rPr>
          <w:rFonts w:cs="Times New Roman"/>
          <w:szCs w:val="24"/>
          <w:lang w:val="en-US"/>
        </w:rPr>
        <w:t xml:space="preserve">. This study is theoretically guided by the urban ecology theory, </w:t>
      </w:r>
      <w:r w:rsidR="00E714DA" w:rsidRPr="001722C7">
        <w:rPr>
          <w:rFonts w:cs="Times New Roman"/>
          <w:szCs w:val="24"/>
          <w:lang w:val="en-US"/>
        </w:rPr>
        <w:t xml:space="preserve">the </w:t>
      </w:r>
      <w:r w:rsidRPr="001722C7">
        <w:rPr>
          <w:rFonts w:cs="Times New Roman"/>
          <w:szCs w:val="24"/>
          <w:lang w:val="en-US"/>
        </w:rPr>
        <w:t xml:space="preserve">political economy of urbanization theory, spatial planning theory, and sustainability theory in an attempt to explore the intricate relationship between </w:t>
      </w:r>
      <w:proofErr w:type="spellStart"/>
      <w:r w:rsidRPr="001722C7">
        <w:rPr>
          <w:rFonts w:cs="Times New Roman"/>
          <w:szCs w:val="24"/>
          <w:lang w:val="en-US"/>
        </w:rPr>
        <w:t>unsustained</w:t>
      </w:r>
      <w:proofErr w:type="spellEnd"/>
      <w:r w:rsidRPr="001722C7">
        <w:rPr>
          <w:rFonts w:cs="Times New Roman"/>
          <w:szCs w:val="24"/>
          <w:lang w:val="en-US"/>
        </w:rPr>
        <w:t xml:space="preserve"> urban expansion and sustainable urban futures in Ghanaian cities.</w:t>
      </w:r>
    </w:p>
    <w:p w14:paraId="07602698" w14:textId="55A0ED85" w:rsidR="0018753F" w:rsidRPr="001722C7" w:rsidRDefault="0018753F" w:rsidP="001722C7">
      <w:pPr>
        <w:rPr>
          <w:rFonts w:cs="Times New Roman"/>
          <w:szCs w:val="24"/>
          <w:lang w:val="en-US"/>
        </w:rPr>
      </w:pPr>
      <w:r w:rsidRPr="001722C7">
        <w:rPr>
          <w:rFonts w:cs="Times New Roman"/>
          <w:szCs w:val="24"/>
          <w:lang w:val="en-US"/>
        </w:rPr>
        <w:t xml:space="preserve">Urban Ecology Theory provides a framework for explaining urban sprawl as an ecological process that is influenced by human-environment relationships. According to </w:t>
      </w:r>
      <w:proofErr w:type="spellStart"/>
      <w:r w:rsidRPr="001722C7">
        <w:rPr>
          <w:rFonts w:cs="Times New Roman"/>
          <w:szCs w:val="24"/>
          <w:lang w:val="en-US"/>
        </w:rPr>
        <w:t>Cobbinah</w:t>
      </w:r>
      <w:proofErr w:type="spellEnd"/>
      <w:r w:rsidRPr="001722C7">
        <w:rPr>
          <w:rFonts w:cs="Times New Roman"/>
          <w:szCs w:val="24"/>
          <w:lang w:val="en-US"/>
        </w:rPr>
        <w:t xml:space="preserve"> et al. (202</w:t>
      </w:r>
      <w:r w:rsidR="0066015C" w:rsidRPr="001722C7">
        <w:rPr>
          <w:rFonts w:cs="Times New Roman"/>
          <w:szCs w:val="24"/>
          <w:lang w:val="en-US"/>
        </w:rPr>
        <w:t>2</w:t>
      </w:r>
      <w:r w:rsidRPr="001722C7">
        <w:rPr>
          <w:rFonts w:cs="Times New Roman"/>
          <w:szCs w:val="24"/>
          <w:lang w:val="en-US"/>
        </w:rPr>
        <w:t>), the theory is interested in the interdependence that defines the relationship between urban form and nature. In Ghana, urban sprawl has been attributed to ecosystem degradation, loss of green areas, and flood exposure, especially in fast-growing cities such as Kumasi and Accra (</w:t>
      </w:r>
      <w:r w:rsidR="008D6ED0" w:rsidRPr="001722C7">
        <w:rPr>
          <w:rFonts w:cs="Times New Roman"/>
          <w:szCs w:val="24"/>
        </w:rPr>
        <w:t xml:space="preserve">Agyeman, </w:t>
      </w:r>
      <w:r w:rsidR="008D6ED0" w:rsidRPr="001722C7">
        <w:rPr>
          <w:rFonts w:cs="Times New Roman"/>
          <w:szCs w:val="24"/>
          <w:lang w:val="en-US"/>
        </w:rPr>
        <w:t>2017</w:t>
      </w:r>
      <w:r w:rsidRPr="001722C7">
        <w:rPr>
          <w:rFonts w:cs="Times New Roman"/>
          <w:szCs w:val="24"/>
          <w:lang w:val="en-US"/>
        </w:rPr>
        <w:t xml:space="preserve">; </w:t>
      </w:r>
      <w:proofErr w:type="spellStart"/>
      <w:r w:rsidRPr="001722C7">
        <w:rPr>
          <w:rFonts w:cs="Times New Roman"/>
          <w:szCs w:val="24"/>
          <w:lang w:val="en-US"/>
        </w:rPr>
        <w:t>Puplampu</w:t>
      </w:r>
      <w:proofErr w:type="spellEnd"/>
      <w:r w:rsidRPr="001722C7">
        <w:rPr>
          <w:rFonts w:cs="Times New Roman"/>
          <w:szCs w:val="24"/>
          <w:lang w:val="en-US"/>
        </w:rPr>
        <w:t xml:space="preserve"> &amp; </w:t>
      </w:r>
      <w:proofErr w:type="spellStart"/>
      <w:r w:rsidRPr="001722C7">
        <w:rPr>
          <w:rFonts w:cs="Times New Roman"/>
          <w:szCs w:val="24"/>
          <w:lang w:val="en-US"/>
        </w:rPr>
        <w:t>Puplampu</w:t>
      </w:r>
      <w:proofErr w:type="spellEnd"/>
      <w:r w:rsidRPr="001722C7">
        <w:rPr>
          <w:rFonts w:cs="Times New Roman"/>
          <w:szCs w:val="24"/>
          <w:lang w:val="en-US"/>
        </w:rPr>
        <w:t>, 2021). The urban ecological perspective</w:t>
      </w:r>
      <w:r w:rsidR="008A2572" w:rsidRPr="001722C7">
        <w:rPr>
          <w:rFonts w:cs="Times New Roman"/>
          <w:szCs w:val="24"/>
          <w:lang w:val="en-US"/>
        </w:rPr>
        <w:t>,</w:t>
      </w:r>
      <w:r w:rsidRPr="001722C7">
        <w:rPr>
          <w:rFonts w:cs="Times New Roman"/>
          <w:szCs w:val="24"/>
          <w:lang w:val="en-US"/>
        </w:rPr>
        <w:t xml:space="preserve"> therefore</w:t>
      </w:r>
      <w:r w:rsidR="008A2572" w:rsidRPr="001722C7">
        <w:rPr>
          <w:rFonts w:cs="Times New Roman"/>
          <w:szCs w:val="24"/>
          <w:lang w:val="en-US"/>
        </w:rPr>
        <w:t>,</w:t>
      </w:r>
      <w:r w:rsidRPr="001722C7">
        <w:rPr>
          <w:rFonts w:cs="Times New Roman"/>
          <w:szCs w:val="24"/>
          <w:lang w:val="en-US"/>
        </w:rPr>
        <w:t xml:space="preserve"> stresses the value of ecological integrity and green infrastructure in managing sustainable urban expansion.</w:t>
      </w:r>
    </w:p>
    <w:p w14:paraId="0EB53FEE" w14:textId="7CBC5370" w:rsidR="0018753F" w:rsidRPr="001722C7" w:rsidRDefault="0018753F" w:rsidP="001722C7">
      <w:pPr>
        <w:rPr>
          <w:rFonts w:cs="Times New Roman"/>
          <w:szCs w:val="24"/>
          <w:lang w:val="en-US"/>
        </w:rPr>
      </w:pPr>
      <w:r w:rsidRPr="001722C7">
        <w:rPr>
          <w:rFonts w:cs="Times New Roman"/>
          <w:szCs w:val="24"/>
          <w:lang w:val="en-US"/>
        </w:rPr>
        <w:t>The Political Economy of Urbanization explains urban sprawl as a product of structural forces, including neoliberal economic reforms, globalization, and weak land governance. Yeboah (200</w:t>
      </w:r>
      <w:r w:rsidR="00F76ABD" w:rsidRPr="001722C7">
        <w:rPr>
          <w:rFonts w:cs="Times New Roman"/>
          <w:szCs w:val="24"/>
          <w:lang w:val="en-US"/>
        </w:rPr>
        <w:t>1</w:t>
      </w:r>
      <w:r w:rsidRPr="001722C7">
        <w:rPr>
          <w:rFonts w:cs="Times New Roman"/>
          <w:szCs w:val="24"/>
          <w:lang w:val="en-US"/>
        </w:rPr>
        <w:t>) and Obeng-Odoom (2014) maintain that the urban morphology of Ghana has been influenced by economic liberalization and private land market forces, which promote low-density growth and speculative development. They are also reinforced by institutional weaknesses as well as the prevalence of customary land ownership, which tends to leave out formal spatial planning (Owusu, 2013; Amponsah et al., 2022).</w:t>
      </w:r>
    </w:p>
    <w:p w14:paraId="5A625577" w14:textId="7398B462" w:rsidR="0018753F" w:rsidRPr="001722C7" w:rsidRDefault="0018753F" w:rsidP="001722C7">
      <w:pPr>
        <w:rPr>
          <w:rFonts w:cs="Times New Roman"/>
          <w:szCs w:val="24"/>
          <w:lang w:val="en-US"/>
        </w:rPr>
      </w:pPr>
      <w:r w:rsidRPr="001722C7">
        <w:rPr>
          <w:rFonts w:cs="Times New Roman"/>
          <w:szCs w:val="24"/>
          <w:lang w:val="en-US"/>
        </w:rPr>
        <w:t>Spatial Planning and Polycentric Development Theory are a few of the fundamental concepts adopted in Ghana's urban sprawl analysis. Urban sprawl is likely to be caused by disjunctive spatial planning, a feature in Kumasi and Greater Accra, where there has been a lack of coordination among planning institutions that has contributed to uncontrolled physical expansion and peri-urban sprawl (Acheampong &amp; Anokye, 2013; Korah et al., 2022). The move towards polycentric urbanization, which is an emerging pattern in the cities of Kumasi and Tamale, echoes transformations within socio-spatial structures that are instigated by urban growth and decentralization processes (</w:t>
      </w:r>
      <w:r w:rsidR="005514F2" w:rsidRPr="001722C7">
        <w:rPr>
          <w:rFonts w:cs="Times New Roman"/>
          <w:szCs w:val="24"/>
        </w:rPr>
        <w:t>Adam</w:t>
      </w:r>
      <w:r w:rsidRPr="001722C7">
        <w:rPr>
          <w:rFonts w:cs="Times New Roman"/>
          <w:szCs w:val="24"/>
          <w:lang w:val="en-US"/>
        </w:rPr>
        <w:t xml:space="preserve"> et al., 2023; Ankrah et al., 2024).</w:t>
      </w:r>
    </w:p>
    <w:p w14:paraId="0975A56D" w14:textId="3DEADE54" w:rsidR="0018753F" w:rsidRPr="001722C7" w:rsidRDefault="0018753F" w:rsidP="001722C7">
      <w:pPr>
        <w:rPr>
          <w:rFonts w:cs="Times New Roman"/>
          <w:szCs w:val="24"/>
          <w:lang w:val="en-US"/>
        </w:rPr>
      </w:pPr>
      <w:r w:rsidRPr="001722C7">
        <w:rPr>
          <w:rFonts w:cs="Times New Roman"/>
          <w:szCs w:val="24"/>
          <w:lang w:val="en-US"/>
        </w:rPr>
        <w:t xml:space="preserve">Sustainability Theory, as framed in the Brundtland Report, offers a normative theory to inform this work. It prescribes development that satisfies present needs without undermining future generations' capability to satisfy their own needs. Ghanaian scholarly practice emphasizes that </w:t>
      </w:r>
      <w:r w:rsidRPr="001722C7">
        <w:rPr>
          <w:rFonts w:cs="Times New Roman"/>
          <w:szCs w:val="24"/>
          <w:lang w:val="en-US"/>
        </w:rPr>
        <w:lastRenderedPageBreak/>
        <w:t xml:space="preserve">unconstrained urban expansion contravenes this precept by causing land degradation, socio-economic marginalization, and decreased urban resilience (Mensah, 2014; Adjei Mensah et al., 2019; </w:t>
      </w:r>
      <w:proofErr w:type="spellStart"/>
      <w:r w:rsidRPr="001722C7">
        <w:rPr>
          <w:rFonts w:cs="Times New Roman"/>
          <w:szCs w:val="24"/>
          <w:lang w:val="en-US"/>
        </w:rPr>
        <w:t>Kpienbaareh</w:t>
      </w:r>
      <w:proofErr w:type="spellEnd"/>
      <w:r w:rsidRPr="001722C7">
        <w:rPr>
          <w:rFonts w:cs="Times New Roman"/>
          <w:szCs w:val="24"/>
          <w:lang w:val="en-US"/>
        </w:rPr>
        <w:t xml:space="preserve"> &amp; </w:t>
      </w:r>
      <w:proofErr w:type="spellStart"/>
      <w:r w:rsidRPr="001722C7">
        <w:rPr>
          <w:rFonts w:cs="Times New Roman"/>
          <w:szCs w:val="24"/>
          <w:lang w:val="en-US"/>
        </w:rPr>
        <w:t>Baffoe</w:t>
      </w:r>
      <w:proofErr w:type="spellEnd"/>
      <w:r w:rsidRPr="001722C7">
        <w:rPr>
          <w:rFonts w:cs="Times New Roman"/>
          <w:szCs w:val="24"/>
          <w:lang w:val="en-US"/>
        </w:rPr>
        <w:t>, 2020). Loss of agricultural land and ecosystem services due to sprawl is especially alarming for the sustainability of urban food systems and ecological balance (Afriyie et al., 2019; Abdulai et al., 2023).</w:t>
      </w:r>
    </w:p>
    <w:p w14:paraId="20D265BE" w14:textId="77777777" w:rsidR="0018753F" w:rsidRPr="001722C7" w:rsidRDefault="0018753F" w:rsidP="001722C7">
      <w:pPr>
        <w:rPr>
          <w:rFonts w:cs="Times New Roman"/>
          <w:szCs w:val="24"/>
          <w:lang w:val="en-US"/>
        </w:rPr>
      </w:pPr>
      <w:r w:rsidRPr="001722C7">
        <w:rPr>
          <w:rFonts w:cs="Times New Roman"/>
          <w:szCs w:val="24"/>
          <w:lang w:val="en-US"/>
        </w:rPr>
        <w:t>To these underlying theories, policy transfer theory offers an understanding of the on-the-ground implementation of urban containment measures under the Ghanaian situation. Amponsah et al. (2022) illustrate how Ghanaian cities can learn from global best practices, transferring strategies for densification and policies for the preservation of farmlands to mitigate the spread of urban sprawl.</w:t>
      </w:r>
    </w:p>
    <w:p w14:paraId="5013EF96" w14:textId="2A51D7D9" w:rsidR="00DF5362" w:rsidRPr="001722C7" w:rsidRDefault="00DF5362" w:rsidP="001722C7">
      <w:pPr>
        <w:rPr>
          <w:rFonts w:cs="Times New Roman"/>
          <w:b/>
          <w:bCs/>
          <w:szCs w:val="24"/>
          <w:lang w:val="en-US"/>
        </w:rPr>
      </w:pPr>
      <w:r w:rsidRPr="001722C7">
        <w:rPr>
          <w:rFonts w:cs="Times New Roman"/>
          <w:b/>
          <w:bCs/>
          <w:szCs w:val="24"/>
          <w:lang w:val="en-US"/>
        </w:rPr>
        <w:t>2.2 Drivers of Urban Sprawl</w:t>
      </w:r>
    </w:p>
    <w:p w14:paraId="1C4767A6" w14:textId="10D2D2BA" w:rsidR="00DF5362" w:rsidRPr="001722C7" w:rsidRDefault="00DF5362" w:rsidP="001722C7">
      <w:pPr>
        <w:rPr>
          <w:rFonts w:cs="Times New Roman"/>
          <w:szCs w:val="24"/>
          <w:lang w:val="en-US"/>
        </w:rPr>
      </w:pPr>
      <w:r w:rsidRPr="001722C7">
        <w:rPr>
          <w:rFonts w:cs="Times New Roman"/>
          <w:szCs w:val="24"/>
          <w:lang w:val="en-US"/>
        </w:rPr>
        <w:t>Urban sprawl in Ghanaian cities is not the result of a single force, but rather a confluence of demographic pressures, economic transformations, governance failures, infrastructural dynamics, and socio-cultural transitions</w:t>
      </w:r>
      <w:r w:rsidR="004E1F04" w:rsidRPr="001722C7">
        <w:rPr>
          <w:rFonts w:cs="Times New Roman"/>
          <w:szCs w:val="24"/>
          <w:lang w:val="en-US"/>
        </w:rPr>
        <w:t xml:space="preserve"> (Boateng, 2018)</w:t>
      </w:r>
      <w:r w:rsidRPr="001722C7">
        <w:rPr>
          <w:rFonts w:cs="Times New Roman"/>
          <w:szCs w:val="24"/>
          <w:lang w:val="en-US"/>
        </w:rPr>
        <w:t>. These diverse drivers interact with one another to shape the spatial morphology of cities such as Accra, Kumasi, Tamale, and Sekondi-Takoradi</w:t>
      </w:r>
      <w:r w:rsidR="004E1F04" w:rsidRPr="001722C7">
        <w:rPr>
          <w:rFonts w:cs="Times New Roman"/>
          <w:szCs w:val="24"/>
          <w:lang w:val="en-US"/>
        </w:rPr>
        <w:t xml:space="preserve"> (Oppong et al., 2025)</w:t>
      </w:r>
      <w:r w:rsidRPr="001722C7">
        <w:rPr>
          <w:rFonts w:cs="Times New Roman"/>
          <w:szCs w:val="24"/>
          <w:lang w:val="en-US"/>
        </w:rPr>
        <w:t>. The resulting urban expansion typically unfolds in an uncoordinated and unsustainable manner, with significant implications for environmental sustainability, urban livability, and equitable development.</w:t>
      </w:r>
    </w:p>
    <w:p w14:paraId="648BD083" w14:textId="7E03F4C2" w:rsidR="0018753F" w:rsidRPr="001722C7" w:rsidRDefault="00DF5362" w:rsidP="001722C7">
      <w:pPr>
        <w:rPr>
          <w:rFonts w:cs="Times New Roman"/>
          <w:szCs w:val="24"/>
          <w:lang w:val="en-US"/>
        </w:rPr>
      </w:pPr>
      <w:r w:rsidRPr="001722C7">
        <w:rPr>
          <w:rFonts w:cs="Times New Roman"/>
          <w:b/>
          <w:bCs/>
          <w:i/>
          <w:iCs/>
          <w:szCs w:val="24"/>
          <w:lang w:val="en-US"/>
        </w:rPr>
        <w:t>Demographic Growth and Rural-Urban Migration:</w:t>
      </w:r>
      <w:r w:rsidRPr="001722C7">
        <w:rPr>
          <w:rFonts w:cs="Times New Roman"/>
          <w:b/>
          <w:bCs/>
          <w:szCs w:val="24"/>
          <w:lang w:val="en-US"/>
        </w:rPr>
        <w:t xml:space="preserve"> </w:t>
      </w:r>
      <w:r w:rsidR="0018753F" w:rsidRPr="001722C7">
        <w:rPr>
          <w:rFonts w:cs="Times New Roman"/>
          <w:szCs w:val="24"/>
          <w:lang w:val="en-US"/>
        </w:rPr>
        <w:t xml:space="preserve">The high rate of population growth, driven by natural increase and ongoing rural-urban migration, continues to be a major force behind urban sprawl in Ghana. The major cities of Accra, Kumasi, and Tamale attract individuals in search of improved employment opportunities, education, and access to basic services. According to </w:t>
      </w:r>
      <w:proofErr w:type="spellStart"/>
      <w:r w:rsidR="0018753F" w:rsidRPr="001722C7">
        <w:rPr>
          <w:rFonts w:cs="Times New Roman"/>
          <w:szCs w:val="24"/>
          <w:lang w:val="en-US"/>
        </w:rPr>
        <w:t>Anarfi</w:t>
      </w:r>
      <w:proofErr w:type="spellEnd"/>
      <w:r w:rsidR="0018753F" w:rsidRPr="001722C7">
        <w:rPr>
          <w:rFonts w:cs="Times New Roman"/>
          <w:szCs w:val="24"/>
          <w:lang w:val="en-US"/>
        </w:rPr>
        <w:t xml:space="preserve"> et al. (2020), the aforementioned demographic changes have overwhelmed the capacity of city authorities to offer affordable housing and basic services in the urban core. Therefore, urban residents are compelled to migrate towards the periphery of cities, where land is more affordable and regulatory frameworks are mostly non-existent. In Tamale, Somed et al. (2024) identified that urban expansion was also attributed to shifting household structures, including a rise in nuclear family households desiring independence and privacy, which consequently resulted in low-density development on the peripheries. This demographic shift mostly explains the horizontal, rather than vertical, growth of cities in Ghana.</w:t>
      </w:r>
    </w:p>
    <w:p w14:paraId="3D78C104" w14:textId="77777777" w:rsidR="00B5263E" w:rsidRPr="001722C7" w:rsidRDefault="00DF5362" w:rsidP="001722C7">
      <w:pPr>
        <w:rPr>
          <w:rFonts w:cs="Times New Roman"/>
          <w:szCs w:val="24"/>
          <w:lang w:val="en-US"/>
        </w:rPr>
      </w:pPr>
      <w:r w:rsidRPr="001722C7">
        <w:rPr>
          <w:rFonts w:cs="Times New Roman"/>
          <w:b/>
          <w:bCs/>
          <w:i/>
          <w:iCs/>
          <w:szCs w:val="24"/>
          <w:lang w:val="en-US"/>
        </w:rPr>
        <w:t>Land Tenure Arrangements and Weak Institutional Frameworks:</w:t>
      </w:r>
      <w:r w:rsidRPr="001722C7">
        <w:rPr>
          <w:rFonts w:cs="Times New Roman"/>
          <w:b/>
          <w:bCs/>
          <w:szCs w:val="24"/>
          <w:lang w:val="en-US"/>
        </w:rPr>
        <w:t xml:space="preserve"> </w:t>
      </w:r>
      <w:r w:rsidR="00B5263E" w:rsidRPr="001722C7">
        <w:rPr>
          <w:rFonts w:cs="Times New Roman"/>
          <w:szCs w:val="24"/>
          <w:lang w:val="en-US"/>
        </w:rPr>
        <w:t xml:space="preserve">The dual land tenure system in Ghana, where both statutory and customary authorities are engaged, has given rise </w:t>
      </w:r>
      <w:r w:rsidR="00B5263E" w:rsidRPr="001722C7">
        <w:rPr>
          <w:rFonts w:cs="Times New Roman"/>
          <w:szCs w:val="24"/>
          <w:lang w:val="en-US"/>
        </w:rPr>
        <w:lastRenderedPageBreak/>
        <w:t xml:space="preserve">to profound issues in urban land management. The chiefs and heads of families, under whose jurisdiction large expanses of peri-urban land fall, give out parcels of land for housing and business establishments without recourse to formal urban planning systems. The phenomenon has contributed to rising unplanned settlements and fragmented development, as identified in the writings of Owusu (2013) and </w:t>
      </w:r>
      <w:proofErr w:type="spellStart"/>
      <w:r w:rsidR="00B5263E" w:rsidRPr="001722C7">
        <w:rPr>
          <w:rFonts w:cs="Times New Roman"/>
          <w:szCs w:val="24"/>
          <w:lang w:val="en-US"/>
        </w:rPr>
        <w:t>Akaateba</w:t>
      </w:r>
      <w:proofErr w:type="spellEnd"/>
      <w:r w:rsidR="00B5263E" w:rsidRPr="001722C7">
        <w:rPr>
          <w:rFonts w:cs="Times New Roman"/>
          <w:szCs w:val="24"/>
          <w:lang w:val="en-US"/>
        </w:rPr>
        <w:t xml:space="preserve"> et al. (2021). The lack of capacity for statutory planning authorities to apply spatial plans also undermines regulatory control. Appiah et al. (2014) noted that in most peri-urban zones, agricultural land is transformed into residential uses with minimal coordination or environmental regard, thereby consolidating fragmented and sprawling urban patterns. The implication is that physical development becomes disjointed from the aspirations of urban planning, thereby rendering sprawl hard to manage.</w:t>
      </w:r>
    </w:p>
    <w:p w14:paraId="363514BD" w14:textId="44A168EC" w:rsidR="000D4E25" w:rsidRPr="001722C7" w:rsidRDefault="00DF5362" w:rsidP="001722C7">
      <w:pPr>
        <w:rPr>
          <w:rFonts w:cs="Times New Roman"/>
          <w:szCs w:val="24"/>
          <w:lang w:val="en-US"/>
        </w:rPr>
      </w:pPr>
      <w:r w:rsidRPr="001722C7">
        <w:rPr>
          <w:rFonts w:cs="Times New Roman"/>
          <w:b/>
          <w:bCs/>
          <w:i/>
          <w:iCs/>
          <w:szCs w:val="24"/>
          <w:lang w:val="en-US"/>
        </w:rPr>
        <w:t>Economic Liberalization, Land Commodification, and Real Estate Pressures:</w:t>
      </w:r>
      <w:r w:rsidRPr="001722C7">
        <w:rPr>
          <w:rFonts w:cs="Times New Roman"/>
          <w:b/>
          <w:bCs/>
          <w:szCs w:val="24"/>
          <w:lang w:val="en-US"/>
        </w:rPr>
        <w:t xml:space="preserve"> </w:t>
      </w:r>
      <w:r w:rsidR="000D4E25" w:rsidRPr="001722C7">
        <w:rPr>
          <w:rFonts w:cs="Times New Roman"/>
          <w:szCs w:val="24"/>
          <w:lang w:val="en-US"/>
        </w:rPr>
        <w:t>The structural adjustment policy in the 1980s unleashed a wave of neoliberal economic reforms that deregulated land markets and encouraged private sector involvement in housing and infrastructure. Yeboah (200</w:t>
      </w:r>
      <w:r w:rsidR="00F76ABD" w:rsidRPr="001722C7">
        <w:rPr>
          <w:rFonts w:cs="Times New Roman"/>
          <w:szCs w:val="24"/>
          <w:lang w:val="en-US"/>
        </w:rPr>
        <w:t>1</w:t>
      </w:r>
      <w:r w:rsidR="000D4E25" w:rsidRPr="001722C7">
        <w:rPr>
          <w:rFonts w:cs="Times New Roman"/>
          <w:szCs w:val="24"/>
          <w:lang w:val="en-US"/>
        </w:rPr>
        <w:t>) contends that the reforms instituted a speculative land market in which real estate served as a means of capital accumulation, especially for the urban elite. In places such as Accra and Kumasi, developers, along with middle-class households, initiated the acquisition of cheap land at the periphery with an eye to building estates, frequently outside of municipal planning authorities' control. Obeng-Odoom (2014) finds this to be typical of general trends of capitalist urbanization, in which spatial growth falls progressively into the hands of landowners and speculators, as opposed to sustainable planning ideals. These market forces have promoted low-density sprawl and extended socio-spatial disparities since only the more affluent groups are in a position to develop in the periphery while still accessing urban job opportunities.</w:t>
      </w:r>
    </w:p>
    <w:p w14:paraId="76633332" w14:textId="628A74EC" w:rsidR="00A1506B" w:rsidRPr="001722C7" w:rsidRDefault="00DF5362" w:rsidP="001722C7">
      <w:pPr>
        <w:rPr>
          <w:rFonts w:cs="Times New Roman"/>
          <w:szCs w:val="24"/>
          <w:lang w:val="en-US"/>
        </w:rPr>
      </w:pPr>
      <w:r w:rsidRPr="001722C7">
        <w:rPr>
          <w:rFonts w:cs="Times New Roman"/>
          <w:b/>
          <w:bCs/>
          <w:i/>
          <w:iCs/>
          <w:szCs w:val="24"/>
          <w:lang w:val="en-US"/>
        </w:rPr>
        <w:t xml:space="preserve">Infrastructure-Led Urban Expansion: </w:t>
      </w:r>
      <w:r w:rsidR="00A1506B" w:rsidRPr="001722C7">
        <w:rPr>
          <w:rFonts w:cs="Times New Roman"/>
          <w:szCs w:val="24"/>
          <w:lang w:val="en-US"/>
        </w:rPr>
        <w:t xml:space="preserve">Construction of roads and the establishment of new transport corridors have significantly impacted the pattern and rate of urban sprawl in Ghana. Within the Greater Accra Metropolitan Area, </w:t>
      </w:r>
      <w:proofErr w:type="spellStart"/>
      <w:r w:rsidR="00A1506B" w:rsidRPr="001722C7">
        <w:rPr>
          <w:rFonts w:cs="Times New Roman"/>
          <w:szCs w:val="24"/>
          <w:lang w:val="en-US"/>
        </w:rPr>
        <w:t>Amedzro</w:t>
      </w:r>
      <w:proofErr w:type="spellEnd"/>
      <w:r w:rsidR="00A1506B" w:rsidRPr="001722C7">
        <w:rPr>
          <w:rFonts w:cs="Times New Roman"/>
          <w:szCs w:val="24"/>
          <w:lang w:val="en-US"/>
        </w:rPr>
        <w:t xml:space="preserve"> et al. (2024) discovered that the extension of trunk roads into the peripheral districts enabled linear growth</w:t>
      </w:r>
      <w:r w:rsidR="00E17EC1" w:rsidRPr="001722C7">
        <w:rPr>
          <w:rFonts w:cs="Times New Roman"/>
          <w:szCs w:val="24"/>
          <w:lang w:val="en-US"/>
        </w:rPr>
        <w:t xml:space="preserve">, </w:t>
      </w:r>
      <w:r w:rsidR="00A1506B" w:rsidRPr="001722C7">
        <w:rPr>
          <w:rFonts w:cs="Times New Roman"/>
          <w:szCs w:val="24"/>
          <w:lang w:val="en-US"/>
        </w:rPr>
        <w:t>commonly termed ribbon development</w:t>
      </w:r>
      <w:r w:rsidR="00E17EC1" w:rsidRPr="001722C7">
        <w:rPr>
          <w:rFonts w:cs="Times New Roman"/>
          <w:szCs w:val="24"/>
          <w:lang w:val="en-US"/>
        </w:rPr>
        <w:t xml:space="preserve">, </w:t>
      </w:r>
      <w:r w:rsidR="00A1506B" w:rsidRPr="001722C7">
        <w:rPr>
          <w:rFonts w:cs="Times New Roman"/>
          <w:szCs w:val="24"/>
          <w:lang w:val="en-US"/>
        </w:rPr>
        <w:t xml:space="preserve">along these transportation corridors. While infrastructure investment is extremely crucial for urban development, its realization precedes planning, and then settlement occurs uncontrolled in locations without basic services. The growth pattern lowers the effectiveness of service provision and physical integration between newly developed areas and existing urban centers, and it distributes the population inefficiently. This is compounded by a </w:t>
      </w:r>
      <w:r w:rsidR="00A1506B" w:rsidRPr="001722C7">
        <w:rPr>
          <w:rFonts w:cs="Times New Roman"/>
          <w:szCs w:val="24"/>
          <w:lang w:val="en-US"/>
        </w:rPr>
        <w:lastRenderedPageBreak/>
        <w:t>lack of effective land use controls, with land adjacent to newly opened roads being rapidly commodified and subdivided without consideration for long-term sustainability.</w:t>
      </w:r>
    </w:p>
    <w:p w14:paraId="4F4E8825" w14:textId="089FDB0A" w:rsidR="00DF5362" w:rsidRPr="001722C7" w:rsidRDefault="00DF5362" w:rsidP="001722C7">
      <w:pPr>
        <w:rPr>
          <w:rFonts w:cs="Times New Roman"/>
          <w:b/>
          <w:bCs/>
          <w:i/>
          <w:iCs/>
          <w:szCs w:val="24"/>
          <w:lang w:val="en-US"/>
        </w:rPr>
      </w:pPr>
      <w:r w:rsidRPr="001722C7">
        <w:rPr>
          <w:rFonts w:cs="Times New Roman"/>
          <w:b/>
          <w:bCs/>
          <w:i/>
          <w:iCs/>
          <w:szCs w:val="24"/>
          <w:lang w:val="en-US"/>
        </w:rPr>
        <w:t xml:space="preserve">Socio-Cultural Preferences and Household Dynamics: </w:t>
      </w:r>
      <w:r w:rsidR="00A1506B" w:rsidRPr="001722C7">
        <w:rPr>
          <w:rFonts w:cs="Times New Roman"/>
          <w:szCs w:val="24"/>
          <w:lang w:val="en-US"/>
        </w:rPr>
        <w:t xml:space="preserve">Cultural taste accounts for a great deal of the nature of urban sprawl. Single-family ownership or detached living is the aspiration in most Ghanaian households, and this is what drives the need for property at the urban fringe where there is more space and it is less expensive. Acheampong and Anokye (2013) further noted that most of the households in the peri-urban communities of Kumasi had a strong preference for residing in large houses with gardens, which are not typically found in densely populated urban </w:t>
      </w:r>
      <w:proofErr w:type="spellStart"/>
      <w:r w:rsidR="00A1506B" w:rsidRPr="001722C7">
        <w:rPr>
          <w:rFonts w:cs="Times New Roman"/>
          <w:szCs w:val="24"/>
          <w:lang w:val="en-US"/>
        </w:rPr>
        <w:t>centres</w:t>
      </w:r>
      <w:proofErr w:type="spellEnd"/>
      <w:r w:rsidR="00A1506B" w:rsidRPr="001722C7">
        <w:rPr>
          <w:rFonts w:cs="Times New Roman"/>
          <w:szCs w:val="24"/>
          <w:lang w:val="en-US"/>
        </w:rPr>
        <w:t>. Tagnan et al. (2022) further noted that changes from extended to nuclear family have necessitated the demand for separate homes, thereby further promoting the process of suburbanization. These aspirations, while understandable, often run counter to the ideals of efficient and compact urban form, leading to scattered settlement patterns that are difficult to service and absorb into formal planning structures.</w:t>
      </w:r>
    </w:p>
    <w:p w14:paraId="575DB8E6" w14:textId="77777777" w:rsidR="00A1506B" w:rsidRPr="001722C7" w:rsidRDefault="00DF5362" w:rsidP="001722C7">
      <w:pPr>
        <w:rPr>
          <w:rFonts w:cs="Times New Roman"/>
          <w:szCs w:val="24"/>
          <w:lang w:val="en-US"/>
        </w:rPr>
      </w:pPr>
      <w:r w:rsidRPr="001722C7">
        <w:rPr>
          <w:rFonts w:cs="Times New Roman"/>
          <w:b/>
          <w:bCs/>
          <w:i/>
          <w:iCs/>
          <w:szCs w:val="24"/>
          <w:lang w:val="en-US"/>
        </w:rPr>
        <w:t>Inadequate Spatial Planning and Institutional Fragmentation:</w:t>
      </w:r>
      <w:r w:rsidRPr="001722C7">
        <w:rPr>
          <w:rFonts w:cs="Times New Roman"/>
          <w:b/>
          <w:bCs/>
          <w:szCs w:val="24"/>
          <w:lang w:val="en-US"/>
        </w:rPr>
        <w:t xml:space="preserve"> </w:t>
      </w:r>
      <w:r w:rsidR="00A1506B" w:rsidRPr="001722C7">
        <w:rPr>
          <w:rFonts w:cs="Times New Roman"/>
          <w:szCs w:val="24"/>
          <w:lang w:val="en-US"/>
        </w:rPr>
        <w:t>Ghana's urban planning is severely undermined by weak institutional coordination, capacity weaknesses, and a predominantly reactive development style. Korah et al. (2017) observed that the formal spatial plans are usually untimely and fail to capture developmental realities on the ground as they exist. In most instances, the planning occurs after land allocation and development, thus making enforcement and regularization extremely challenging. This fragmented approach is exacerbated by the division of responsibilities between government agencies, customary institutions, and private developers. Owusu (2015) contended that unless spatial planning is rendered participatory and inclusive of customary systems, interventions at curbing urban sprawl will be fruitless. The outcome is an unorganized urban area typified by disjointed growth, environmental degradation, and ineffective connectivity.</w:t>
      </w:r>
    </w:p>
    <w:p w14:paraId="28A0AA36" w14:textId="155A9553" w:rsidR="00477947" w:rsidRPr="001722C7" w:rsidRDefault="00DF5362" w:rsidP="001722C7">
      <w:pPr>
        <w:rPr>
          <w:rFonts w:cs="Times New Roman"/>
          <w:szCs w:val="24"/>
          <w:lang w:val="en-US"/>
        </w:rPr>
      </w:pPr>
      <w:r w:rsidRPr="001722C7">
        <w:rPr>
          <w:rFonts w:cs="Times New Roman"/>
          <w:b/>
          <w:bCs/>
          <w:i/>
          <w:iCs/>
          <w:szCs w:val="24"/>
          <w:lang w:val="en-US"/>
        </w:rPr>
        <w:t>Urban Poverty and Informal Settlements:</w:t>
      </w:r>
      <w:r w:rsidRPr="001722C7">
        <w:rPr>
          <w:rFonts w:cs="Times New Roman"/>
          <w:b/>
          <w:bCs/>
          <w:szCs w:val="24"/>
          <w:lang w:val="en-US"/>
        </w:rPr>
        <w:t xml:space="preserve"> </w:t>
      </w:r>
      <w:r w:rsidR="00477947" w:rsidRPr="001722C7">
        <w:rPr>
          <w:rFonts w:cs="Times New Roman"/>
          <w:szCs w:val="24"/>
          <w:lang w:val="en-US"/>
        </w:rPr>
        <w:t xml:space="preserve">For many poor urban residents, the peri-urban area forms the only affordable option for shelter. However, such settlements are typically informal and lack access to basic services like water, sanitation, electricity, and road network. </w:t>
      </w:r>
      <w:proofErr w:type="spellStart"/>
      <w:r w:rsidR="00477947" w:rsidRPr="001722C7">
        <w:rPr>
          <w:rFonts w:cs="Times New Roman"/>
          <w:szCs w:val="24"/>
          <w:lang w:val="en-US"/>
        </w:rPr>
        <w:t>Cobbinah</w:t>
      </w:r>
      <w:proofErr w:type="spellEnd"/>
      <w:r w:rsidR="00477947" w:rsidRPr="001722C7">
        <w:rPr>
          <w:rFonts w:cs="Times New Roman"/>
          <w:szCs w:val="24"/>
          <w:lang w:val="en-US"/>
        </w:rPr>
        <w:t xml:space="preserve"> and Amoako (201</w:t>
      </w:r>
      <w:r w:rsidR="00877A34" w:rsidRPr="001722C7">
        <w:rPr>
          <w:rFonts w:cs="Times New Roman"/>
          <w:szCs w:val="24"/>
          <w:lang w:val="en-US"/>
        </w:rPr>
        <w:t>2</w:t>
      </w:r>
      <w:r w:rsidR="00477947" w:rsidRPr="001722C7">
        <w:rPr>
          <w:rFonts w:cs="Times New Roman"/>
          <w:szCs w:val="24"/>
          <w:lang w:val="en-US"/>
        </w:rPr>
        <w:t xml:space="preserve">) recognized that informal sprawl in Kumasi is largely driven by economic necessity as opposed to individual choice since the residents do not have the income to afford land or rent in planned urban areas. The aforementioned unchecked extensions tend to take place on ecologically fragile lands like wetlands, forest reserves, and floodplains, hence compounding environmental and health risks. In addition, spatial segregation of the poor in </w:t>
      </w:r>
      <w:r w:rsidR="00477947" w:rsidRPr="001722C7">
        <w:rPr>
          <w:rFonts w:cs="Times New Roman"/>
          <w:szCs w:val="24"/>
          <w:lang w:val="en-US"/>
        </w:rPr>
        <w:lastRenderedPageBreak/>
        <w:t>urban areas also entrenches inequality and reduces access to urban opportunities. Therefore, not only does urban poverty generate sprawl, but it also heightens its social effects.</w:t>
      </w:r>
    </w:p>
    <w:p w14:paraId="77FBF9DA" w14:textId="51B5057F" w:rsidR="00DF5362" w:rsidRPr="001722C7" w:rsidRDefault="00DF5362" w:rsidP="001722C7">
      <w:pPr>
        <w:rPr>
          <w:rFonts w:cs="Times New Roman"/>
          <w:b/>
          <w:bCs/>
          <w:szCs w:val="24"/>
          <w:lang w:val="en-US"/>
        </w:rPr>
      </w:pPr>
      <w:r w:rsidRPr="001722C7">
        <w:rPr>
          <w:rFonts w:cs="Times New Roman"/>
          <w:b/>
          <w:bCs/>
          <w:szCs w:val="24"/>
          <w:lang w:val="en-US"/>
        </w:rPr>
        <w:t xml:space="preserve">2.3 Patterns of Urban Sprawl </w:t>
      </w:r>
    </w:p>
    <w:p w14:paraId="60E40A6A" w14:textId="77777777" w:rsidR="00477947" w:rsidRPr="001722C7" w:rsidRDefault="00477947" w:rsidP="001722C7">
      <w:pPr>
        <w:rPr>
          <w:rFonts w:cs="Times New Roman"/>
          <w:szCs w:val="24"/>
          <w:lang w:val="en-US"/>
        </w:rPr>
      </w:pPr>
      <w:r w:rsidRPr="001722C7">
        <w:rPr>
          <w:rFonts w:cs="Times New Roman"/>
          <w:szCs w:val="24"/>
          <w:lang w:val="en-US"/>
        </w:rPr>
        <w:t>The combination of these drivers generates a set of various and often repeating patterns of urban sprawl in Ghana. These are:</w:t>
      </w:r>
    </w:p>
    <w:p w14:paraId="27705EE0" w14:textId="77777777" w:rsidR="00477947" w:rsidRPr="001722C7" w:rsidRDefault="00477947" w:rsidP="001722C7">
      <w:pPr>
        <w:rPr>
          <w:rFonts w:cs="Times New Roman"/>
          <w:szCs w:val="24"/>
          <w:lang w:val="en-US"/>
        </w:rPr>
      </w:pPr>
      <w:r w:rsidRPr="001722C7">
        <w:rPr>
          <w:rFonts w:cs="Times New Roman"/>
          <w:b/>
          <w:bCs/>
          <w:i/>
          <w:iCs/>
          <w:szCs w:val="24"/>
          <w:lang w:val="en-US"/>
        </w:rPr>
        <w:t>Leapfrogging Development:</w:t>
      </w:r>
      <w:r w:rsidRPr="001722C7">
        <w:rPr>
          <w:rFonts w:cs="Times New Roman"/>
          <w:szCs w:val="24"/>
          <w:lang w:val="en-US"/>
        </w:rPr>
        <w:t xml:space="preserve"> Pockets of development in isolation are situated far away from the city center, often bypassing available empty land in between. Such is what is being witnessed on the outskirts of Accra where speculative land sales have resulted in fragmented settlements that are poorly serviced (Osei et al., 2015).</w:t>
      </w:r>
    </w:p>
    <w:p w14:paraId="1CF46D1A" w14:textId="77777777" w:rsidR="00477947" w:rsidRPr="001722C7" w:rsidRDefault="00477947" w:rsidP="001722C7">
      <w:pPr>
        <w:rPr>
          <w:rFonts w:cs="Times New Roman"/>
          <w:szCs w:val="24"/>
          <w:lang w:val="en-US"/>
        </w:rPr>
      </w:pPr>
      <w:r w:rsidRPr="001722C7">
        <w:rPr>
          <w:rFonts w:cs="Times New Roman"/>
          <w:b/>
          <w:bCs/>
          <w:i/>
          <w:iCs/>
          <w:szCs w:val="24"/>
          <w:lang w:val="en-US"/>
        </w:rPr>
        <w:t>Ribbon Development:</w:t>
      </w:r>
      <w:r w:rsidRPr="001722C7">
        <w:rPr>
          <w:rFonts w:cs="Times New Roman"/>
          <w:szCs w:val="24"/>
          <w:lang w:val="en-US"/>
        </w:rPr>
        <w:t xml:space="preserve"> Settlements adhere to newly constructed roads, thereby assuming elongated urban forms. </w:t>
      </w:r>
      <w:proofErr w:type="spellStart"/>
      <w:r w:rsidRPr="001722C7">
        <w:rPr>
          <w:rFonts w:cs="Times New Roman"/>
          <w:szCs w:val="24"/>
          <w:lang w:val="en-US"/>
        </w:rPr>
        <w:t>Amedzro</w:t>
      </w:r>
      <w:proofErr w:type="spellEnd"/>
      <w:r w:rsidRPr="001722C7">
        <w:rPr>
          <w:rFonts w:cs="Times New Roman"/>
          <w:szCs w:val="24"/>
          <w:lang w:val="en-US"/>
        </w:rPr>
        <w:t xml:space="preserve"> et al. (2024) noted this pattern in Accra, where development occurs with reference to main transport corridors, but without accompanying parallel infrastructure such as drainage and utilities.</w:t>
      </w:r>
    </w:p>
    <w:p w14:paraId="680A3AFC" w14:textId="51D88433" w:rsidR="00477947" w:rsidRPr="001722C7" w:rsidRDefault="00477947" w:rsidP="001722C7">
      <w:pPr>
        <w:rPr>
          <w:rFonts w:cs="Times New Roman"/>
          <w:szCs w:val="24"/>
          <w:lang w:val="en-US"/>
        </w:rPr>
      </w:pPr>
      <w:r w:rsidRPr="001722C7">
        <w:rPr>
          <w:rFonts w:cs="Times New Roman"/>
          <w:b/>
          <w:bCs/>
          <w:szCs w:val="24"/>
          <w:lang w:val="en-US"/>
        </w:rPr>
        <w:t>Edge Expansion:</w:t>
      </w:r>
      <w:r w:rsidRPr="001722C7">
        <w:rPr>
          <w:rFonts w:cs="Times New Roman"/>
          <w:szCs w:val="24"/>
          <w:lang w:val="en-US"/>
        </w:rPr>
        <w:t xml:space="preserve"> It is a more incremental form of expansion that extends urban boundaries outward. Kumasi and </w:t>
      </w:r>
      <w:proofErr w:type="spellStart"/>
      <w:r w:rsidRPr="001722C7">
        <w:rPr>
          <w:rFonts w:cs="Times New Roman"/>
          <w:szCs w:val="24"/>
          <w:lang w:val="en-US"/>
        </w:rPr>
        <w:t>Wa</w:t>
      </w:r>
      <w:proofErr w:type="spellEnd"/>
      <w:r w:rsidRPr="001722C7">
        <w:rPr>
          <w:rFonts w:cs="Times New Roman"/>
          <w:szCs w:val="24"/>
          <w:lang w:val="en-US"/>
        </w:rPr>
        <w:t xml:space="preserve"> are instances of this pattern, where the rural fringe around them is slowly taken over by urbanization (Abdulai et al., 2023).</w:t>
      </w:r>
    </w:p>
    <w:p w14:paraId="19F67DE6" w14:textId="73658EDC" w:rsidR="00477947" w:rsidRPr="001722C7" w:rsidRDefault="00477947" w:rsidP="001722C7">
      <w:pPr>
        <w:rPr>
          <w:rFonts w:cs="Times New Roman"/>
          <w:szCs w:val="24"/>
          <w:lang w:val="en-US"/>
        </w:rPr>
      </w:pPr>
      <w:r w:rsidRPr="001722C7">
        <w:rPr>
          <w:rFonts w:cs="Times New Roman"/>
          <w:b/>
          <w:bCs/>
          <w:i/>
          <w:iCs/>
          <w:szCs w:val="24"/>
          <w:lang w:val="en-US"/>
        </w:rPr>
        <w:t>Polycentric Development:</w:t>
      </w:r>
      <w:r w:rsidRPr="001722C7">
        <w:rPr>
          <w:rFonts w:cs="Times New Roman"/>
          <w:szCs w:val="24"/>
          <w:lang w:val="en-US"/>
        </w:rPr>
        <w:t xml:space="preserve"> It is a phenomenon of the development of many urban centers or nodes within a metropolitan area. In Tamale, </w:t>
      </w:r>
      <w:r w:rsidR="005514F2" w:rsidRPr="001722C7">
        <w:rPr>
          <w:rFonts w:cs="Times New Roman"/>
          <w:szCs w:val="24"/>
        </w:rPr>
        <w:t>Adam</w:t>
      </w:r>
      <w:r w:rsidRPr="001722C7">
        <w:rPr>
          <w:rFonts w:cs="Times New Roman"/>
          <w:szCs w:val="24"/>
          <w:lang w:val="en-US"/>
        </w:rPr>
        <w:t xml:space="preserve"> et al. (2023) observed a change from a monocentric to a polycentric city form, which is fueled by scattered development and decentralized land ownership. These spatial forms, albeit distinct, are indicative of unplanned coordination and the lack of effective urban containment policies.</w:t>
      </w:r>
    </w:p>
    <w:p w14:paraId="4F4D1954" w14:textId="6AF8F00E" w:rsidR="00984F22" w:rsidRPr="001722C7" w:rsidRDefault="00C64599" w:rsidP="001722C7">
      <w:pPr>
        <w:rPr>
          <w:rFonts w:cs="Times New Roman"/>
          <w:b/>
          <w:bCs/>
          <w:szCs w:val="24"/>
          <w:lang w:val="en-US"/>
        </w:rPr>
      </w:pPr>
      <w:bookmarkStart w:id="0" w:name="_Hlk201737056"/>
      <w:r w:rsidRPr="001722C7">
        <w:rPr>
          <w:rFonts w:cs="Times New Roman"/>
          <w:b/>
          <w:bCs/>
          <w:szCs w:val="24"/>
          <w:lang w:val="en-US"/>
        </w:rPr>
        <w:t>2.4</w:t>
      </w:r>
      <w:r w:rsidR="00984F22" w:rsidRPr="001722C7">
        <w:rPr>
          <w:rFonts w:cs="Times New Roman"/>
          <w:b/>
          <w:bCs/>
          <w:szCs w:val="24"/>
          <w:lang w:val="en-US"/>
        </w:rPr>
        <w:t xml:space="preserve"> </w:t>
      </w:r>
      <w:r w:rsidR="00FF1326" w:rsidRPr="001722C7">
        <w:rPr>
          <w:rFonts w:cs="Times New Roman"/>
          <w:b/>
          <w:bCs/>
          <w:szCs w:val="24"/>
          <w:lang w:val="en-US"/>
        </w:rPr>
        <w:t>Effects</w:t>
      </w:r>
      <w:r w:rsidR="00984F22" w:rsidRPr="001722C7">
        <w:rPr>
          <w:rFonts w:cs="Times New Roman"/>
          <w:b/>
          <w:bCs/>
          <w:szCs w:val="24"/>
          <w:lang w:val="en-US"/>
        </w:rPr>
        <w:t xml:space="preserve"> of Urban Sprawl on Sustainable Development</w:t>
      </w:r>
    </w:p>
    <w:p w14:paraId="117A54F8" w14:textId="12BAE179" w:rsidR="00C64599" w:rsidRPr="001722C7" w:rsidRDefault="00C64599" w:rsidP="001722C7">
      <w:pPr>
        <w:rPr>
          <w:rFonts w:cs="Times New Roman"/>
          <w:szCs w:val="24"/>
          <w:lang w:val="en-US"/>
        </w:rPr>
      </w:pPr>
      <w:r w:rsidRPr="001722C7">
        <w:rPr>
          <w:rFonts w:cs="Times New Roman"/>
          <w:szCs w:val="24"/>
          <w:lang w:val="en-US"/>
        </w:rPr>
        <w:t>Urban sprawl has emerged as a major impediment to the sustainable transformation of Ghanaian cities</w:t>
      </w:r>
      <w:r w:rsidR="00EB471C" w:rsidRPr="001722C7">
        <w:rPr>
          <w:rFonts w:cs="Times New Roman"/>
          <w:szCs w:val="24"/>
          <w:lang w:val="en-US"/>
        </w:rPr>
        <w:t xml:space="preserve"> (</w:t>
      </w:r>
      <w:proofErr w:type="spellStart"/>
      <w:r w:rsidR="00EB471C" w:rsidRPr="001722C7">
        <w:rPr>
          <w:rFonts w:cs="Times New Roman"/>
          <w:szCs w:val="24"/>
          <w:lang w:val="en-US"/>
        </w:rPr>
        <w:t>Baerbameng</w:t>
      </w:r>
      <w:proofErr w:type="spellEnd"/>
      <w:r w:rsidR="00EB471C" w:rsidRPr="001722C7">
        <w:rPr>
          <w:rFonts w:cs="Times New Roman"/>
          <w:szCs w:val="24"/>
          <w:lang w:val="en-US"/>
        </w:rPr>
        <w:t>, 2020)</w:t>
      </w:r>
      <w:r w:rsidRPr="001722C7">
        <w:rPr>
          <w:rFonts w:cs="Times New Roman"/>
          <w:szCs w:val="24"/>
          <w:lang w:val="en-US"/>
        </w:rPr>
        <w:t>. While urbanization itself is not inherently negative, the uncoordinated and low-density expansion typical of urban sprawl poses numerous challenges to the achievement of environmentally sound, socially inclusive, and economically efficient urban futures</w:t>
      </w:r>
      <w:r w:rsidR="00EB471C" w:rsidRPr="001722C7">
        <w:rPr>
          <w:rFonts w:cs="Times New Roman"/>
          <w:szCs w:val="24"/>
          <w:lang w:val="en-US"/>
        </w:rPr>
        <w:t xml:space="preserve"> (Bueno-Suarez &amp; Coq-Huelva, 2020)</w:t>
      </w:r>
      <w:r w:rsidRPr="001722C7">
        <w:rPr>
          <w:rFonts w:cs="Times New Roman"/>
          <w:szCs w:val="24"/>
          <w:lang w:val="en-US"/>
        </w:rPr>
        <w:t>. This section delves into the triple dimensions of sustainability, environmental, social, and economic, to explore how urban sprawl undermines development efforts in Ghana.</w:t>
      </w:r>
    </w:p>
    <w:p w14:paraId="1D98E8BD" w14:textId="0454A267" w:rsidR="00477947" w:rsidRPr="001722C7" w:rsidRDefault="00C64599" w:rsidP="001722C7">
      <w:pPr>
        <w:rPr>
          <w:rFonts w:cs="Times New Roman"/>
          <w:szCs w:val="24"/>
          <w:lang w:val="en-US"/>
        </w:rPr>
      </w:pPr>
      <w:r w:rsidRPr="001722C7">
        <w:rPr>
          <w:rFonts w:cs="Times New Roman"/>
          <w:b/>
          <w:bCs/>
          <w:i/>
          <w:iCs/>
          <w:szCs w:val="24"/>
          <w:lang w:val="en-US"/>
        </w:rPr>
        <w:t>Environmental Impacts of Urban Sprawl:</w:t>
      </w:r>
      <w:r w:rsidRPr="001722C7">
        <w:rPr>
          <w:rFonts w:cs="Times New Roman"/>
          <w:b/>
          <w:bCs/>
          <w:szCs w:val="24"/>
          <w:lang w:val="en-US"/>
        </w:rPr>
        <w:t xml:space="preserve"> </w:t>
      </w:r>
      <w:r w:rsidR="00477947" w:rsidRPr="001722C7">
        <w:rPr>
          <w:rFonts w:cs="Times New Roman"/>
          <w:szCs w:val="24"/>
          <w:lang w:val="en-US"/>
        </w:rPr>
        <w:t>One of the most obvious and immediate effects of urban sprawl in Ghanaian cities is environmental degradation</w:t>
      </w:r>
      <w:r w:rsidR="00EB471C" w:rsidRPr="001722C7">
        <w:rPr>
          <w:rFonts w:cs="Times New Roman"/>
          <w:szCs w:val="24"/>
          <w:lang w:val="en-US"/>
        </w:rPr>
        <w:t xml:space="preserve"> (</w:t>
      </w:r>
      <w:proofErr w:type="spellStart"/>
      <w:r w:rsidR="00EB471C" w:rsidRPr="001722C7">
        <w:rPr>
          <w:rFonts w:cs="Times New Roman"/>
          <w:szCs w:val="24"/>
          <w:lang w:val="en-US"/>
        </w:rPr>
        <w:t>Baerbameng</w:t>
      </w:r>
      <w:proofErr w:type="spellEnd"/>
      <w:r w:rsidR="00EB471C" w:rsidRPr="001722C7">
        <w:rPr>
          <w:rFonts w:cs="Times New Roman"/>
          <w:szCs w:val="24"/>
          <w:lang w:val="en-US"/>
        </w:rPr>
        <w:t>, 2020)</w:t>
      </w:r>
      <w:r w:rsidR="00477947" w:rsidRPr="001722C7">
        <w:rPr>
          <w:rFonts w:cs="Times New Roman"/>
          <w:szCs w:val="24"/>
          <w:lang w:val="en-US"/>
        </w:rPr>
        <w:t xml:space="preserve">. As the </w:t>
      </w:r>
      <w:r w:rsidR="00477947" w:rsidRPr="001722C7">
        <w:rPr>
          <w:rFonts w:cs="Times New Roman"/>
          <w:szCs w:val="24"/>
          <w:lang w:val="en-US"/>
        </w:rPr>
        <w:lastRenderedPageBreak/>
        <w:t>urban limits extend, extensive areas of green spaces, forests, wetlands, and agricultural land are transformed into residential, industrial, and commercial zones. This land use conversion results in habitat loss and biodiversity loss</w:t>
      </w:r>
      <w:r w:rsidR="00EB471C" w:rsidRPr="001722C7">
        <w:rPr>
          <w:rFonts w:cs="Times New Roman"/>
          <w:szCs w:val="24"/>
          <w:lang w:val="en-US"/>
        </w:rPr>
        <w:t xml:space="preserve"> (Alikhani et al., 2021)</w:t>
      </w:r>
      <w:r w:rsidR="00477947" w:rsidRPr="001722C7">
        <w:rPr>
          <w:rFonts w:cs="Times New Roman"/>
          <w:szCs w:val="24"/>
          <w:lang w:val="en-US"/>
        </w:rPr>
        <w:t xml:space="preserve">. In Kumasi, once billed as the "Garden City of West Africa," </w:t>
      </w:r>
      <w:proofErr w:type="spellStart"/>
      <w:r w:rsidR="00477947" w:rsidRPr="001722C7">
        <w:rPr>
          <w:rFonts w:cs="Times New Roman"/>
          <w:szCs w:val="24"/>
          <w:lang w:val="en-US"/>
        </w:rPr>
        <w:t>Cobbinah</w:t>
      </w:r>
      <w:proofErr w:type="spellEnd"/>
      <w:r w:rsidR="00477947" w:rsidRPr="001722C7">
        <w:rPr>
          <w:rFonts w:cs="Times New Roman"/>
          <w:szCs w:val="24"/>
          <w:lang w:val="en-US"/>
        </w:rPr>
        <w:t xml:space="preserve"> and Amoako (201</w:t>
      </w:r>
      <w:r w:rsidR="00877A34" w:rsidRPr="001722C7">
        <w:rPr>
          <w:rFonts w:cs="Times New Roman"/>
          <w:szCs w:val="24"/>
          <w:lang w:val="en-US"/>
        </w:rPr>
        <w:t>2</w:t>
      </w:r>
      <w:r w:rsidR="00477947" w:rsidRPr="001722C7">
        <w:rPr>
          <w:rFonts w:cs="Times New Roman"/>
          <w:szCs w:val="24"/>
          <w:lang w:val="en-US"/>
        </w:rPr>
        <w:t>) noted a significant reduction in green infrastructure, which was directly attributed to urban growth, thereby rendering the city ecologically susceptible.</w:t>
      </w:r>
    </w:p>
    <w:p w14:paraId="0E2558D1" w14:textId="3AF1A411" w:rsidR="00477947" w:rsidRPr="001722C7" w:rsidRDefault="00477947" w:rsidP="001722C7">
      <w:pPr>
        <w:rPr>
          <w:rFonts w:cs="Times New Roman"/>
          <w:szCs w:val="24"/>
          <w:lang w:val="en-US"/>
        </w:rPr>
      </w:pPr>
      <w:r w:rsidRPr="001722C7">
        <w:rPr>
          <w:rFonts w:cs="Times New Roman"/>
          <w:szCs w:val="24"/>
          <w:lang w:val="en-US"/>
        </w:rPr>
        <w:t xml:space="preserve">The environmental effects of this trend are extensive. </w:t>
      </w:r>
      <w:r w:rsidR="00843D3A" w:rsidRPr="001722C7">
        <w:rPr>
          <w:rFonts w:cs="Times New Roman"/>
          <w:szCs w:val="24"/>
          <w:lang w:val="en-US"/>
        </w:rPr>
        <w:t>T</w:t>
      </w:r>
      <w:r w:rsidRPr="001722C7">
        <w:rPr>
          <w:rFonts w:cs="Times New Roman"/>
          <w:szCs w:val="24"/>
          <w:lang w:val="en-US"/>
        </w:rPr>
        <w:t xml:space="preserve">he loss of vegetative cover aggravates the urban heat island effect, decreases air quality, and destroys carbon sinks that are vital to climate regulation. </w:t>
      </w:r>
      <w:r w:rsidR="00843D3A" w:rsidRPr="001722C7">
        <w:rPr>
          <w:rFonts w:cs="Times New Roman"/>
          <w:szCs w:val="24"/>
          <w:lang w:val="en-US"/>
        </w:rPr>
        <w:t>U</w:t>
      </w:r>
      <w:r w:rsidRPr="001722C7">
        <w:rPr>
          <w:rFonts w:cs="Times New Roman"/>
          <w:szCs w:val="24"/>
          <w:lang w:val="en-US"/>
        </w:rPr>
        <w:t>rban sprawl converts porous natural surfaces to non-porous coverings like concrete and asphalt, thereby modifying hydrological cycles. This frequently results in greater surface runoff, flash flooding, and water contamination. Abass et al. (2020) stated that the fast urban development in Kumasi has led to frequent incidences of flooding, largely attributed to blocked drainage systems and the encroachment of flood-prone wetlands.</w:t>
      </w:r>
    </w:p>
    <w:p w14:paraId="62C6BF24" w14:textId="45B49A43" w:rsidR="00477947" w:rsidRPr="001722C7" w:rsidRDefault="00477947" w:rsidP="001722C7">
      <w:pPr>
        <w:rPr>
          <w:rFonts w:cs="Times New Roman"/>
          <w:szCs w:val="24"/>
          <w:lang w:val="en-US"/>
        </w:rPr>
      </w:pPr>
      <w:r w:rsidRPr="001722C7">
        <w:rPr>
          <w:rFonts w:cs="Times New Roman"/>
          <w:szCs w:val="24"/>
          <w:lang w:val="en-US"/>
        </w:rPr>
        <w:t xml:space="preserve">Besides, the environmental function of wetlands, as flood buffers, reservoirs of biodiversity, and microclimate regulators, is greatly diminished. </w:t>
      </w:r>
      <w:proofErr w:type="spellStart"/>
      <w:r w:rsidRPr="001722C7">
        <w:rPr>
          <w:rFonts w:cs="Times New Roman"/>
          <w:szCs w:val="24"/>
          <w:lang w:val="en-US"/>
        </w:rPr>
        <w:t>Puplampu</w:t>
      </w:r>
      <w:proofErr w:type="spellEnd"/>
      <w:r w:rsidRPr="001722C7">
        <w:rPr>
          <w:rFonts w:cs="Times New Roman"/>
          <w:szCs w:val="24"/>
          <w:lang w:val="en-US"/>
        </w:rPr>
        <w:t xml:space="preserve"> and </w:t>
      </w:r>
      <w:proofErr w:type="spellStart"/>
      <w:r w:rsidRPr="001722C7">
        <w:rPr>
          <w:rFonts w:cs="Times New Roman"/>
          <w:szCs w:val="24"/>
          <w:lang w:val="en-US"/>
        </w:rPr>
        <w:t>Puplampu</w:t>
      </w:r>
      <w:proofErr w:type="spellEnd"/>
      <w:r w:rsidRPr="001722C7">
        <w:rPr>
          <w:rFonts w:cs="Times New Roman"/>
          <w:szCs w:val="24"/>
          <w:lang w:val="en-US"/>
        </w:rPr>
        <w:t xml:space="preserve"> (2021) recorded the adverse effects of urban sprawl in Accra </w:t>
      </w:r>
      <w:r w:rsidR="00843D3A" w:rsidRPr="001722C7">
        <w:rPr>
          <w:rFonts w:cs="Times New Roman"/>
          <w:szCs w:val="24"/>
          <w:lang w:val="en-US"/>
        </w:rPr>
        <w:t>which</w:t>
      </w:r>
      <w:r w:rsidRPr="001722C7">
        <w:rPr>
          <w:rFonts w:cs="Times New Roman"/>
          <w:szCs w:val="24"/>
          <w:lang w:val="en-US"/>
        </w:rPr>
        <w:t xml:space="preserve"> have resulted in the destruction of wetland ecosystems and thus exposed the city further to extreme weather events. In light of global and national aspirations for environmental sustainability, such effects highlight an urgent need for a reconsideration of spatial development in Ghanaian cities.</w:t>
      </w:r>
      <w:r w:rsidR="00FD7C53" w:rsidRPr="001722C7">
        <w:rPr>
          <w:rFonts w:cs="Times New Roman"/>
          <w:szCs w:val="24"/>
          <w:lang w:val="en-US"/>
        </w:rPr>
        <w:t xml:space="preserve"> Figure 1 shows five major environmental </w:t>
      </w:r>
      <w:r w:rsidR="00DC70C9" w:rsidRPr="001722C7">
        <w:rPr>
          <w:rFonts w:cs="Times New Roman"/>
          <w:szCs w:val="24"/>
          <w:lang w:val="en-US"/>
        </w:rPr>
        <w:t>impact</w:t>
      </w:r>
      <w:r w:rsidR="00FD7C53" w:rsidRPr="001722C7">
        <w:rPr>
          <w:rFonts w:cs="Times New Roman"/>
          <w:szCs w:val="24"/>
          <w:lang w:val="en-US"/>
        </w:rPr>
        <w:t>s of urban sprawl on sustainability</w:t>
      </w:r>
      <w:r w:rsidR="00DC70C9" w:rsidRPr="001722C7">
        <w:rPr>
          <w:rFonts w:cs="Times New Roman"/>
          <w:szCs w:val="24"/>
          <w:lang w:val="en-US"/>
        </w:rPr>
        <w:t>.</w:t>
      </w:r>
    </w:p>
    <w:p w14:paraId="51945001" w14:textId="763BD1A5" w:rsidR="00813436" w:rsidRPr="001722C7" w:rsidRDefault="00440710" w:rsidP="001722C7">
      <w:pPr>
        <w:rPr>
          <w:rFonts w:cs="Times New Roman"/>
          <w:szCs w:val="24"/>
          <w:lang w:val="en-US"/>
        </w:rPr>
      </w:pPr>
      <w:r w:rsidRPr="001722C7">
        <w:rPr>
          <w:rFonts w:cs="Times New Roman"/>
          <w:noProof/>
          <w:szCs w:val="24"/>
          <w:lang w:val="en-US"/>
        </w:rPr>
        <mc:AlternateContent>
          <mc:Choice Requires="wps">
            <w:drawing>
              <wp:anchor distT="0" distB="0" distL="114300" distR="114300" simplePos="0" relativeHeight="251671552" behindDoc="0" locked="0" layoutInCell="1" allowOverlap="1" wp14:anchorId="00477C89" wp14:editId="2DFE74AA">
                <wp:simplePos x="0" y="0"/>
                <wp:positionH relativeFrom="column">
                  <wp:posOffset>3699573</wp:posOffset>
                </wp:positionH>
                <wp:positionV relativeFrom="paragraph">
                  <wp:posOffset>2135983</wp:posOffset>
                </wp:positionV>
                <wp:extent cx="457200" cy="61975"/>
                <wp:effectExtent l="26352" t="0" r="45403" b="45402"/>
                <wp:wrapNone/>
                <wp:docPr id="1931809269" name="Arrow: Left 14"/>
                <wp:cNvGraphicFramePr/>
                <a:graphic xmlns:a="http://schemas.openxmlformats.org/drawingml/2006/main">
                  <a:graphicData uri="http://schemas.microsoft.com/office/word/2010/wordprocessingShape">
                    <wps:wsp>
                      <wps:cNvSpPr/>
                      <wps:spPr>
                        <a:xfrm rot="16200000">
                          <a:off x="0" y="0"/>
                          <a:ext cx="457200" cy="61975"/>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171F2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4" o:spid="_x0000_s1026" type="#_x0000_t66" style="position:absolute;margin-left:291.3pt;margin-top:168.2pt;width:36pt;height:4.9pt;rotation:-9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" adj="1464" fillcolor="black [3200]" strokecolor="black [480]" strokeweight="1pt"/>
            </w:pict>
          </mc:Fallback>
        </mc:AlternateContent>
      </w:r>
      <w:r w:rsidR="001722C7" w:rsidRPr="001722C7">
        <w:rPr>
          <w:rFonts w:cs="Times New Roman"/>
          <w:noProof/>
          <w:szCs w:val="24"/>
          <w:lang w:val="en-US"/>
        </w:rPr>
        <mc:AlternateContent>
          <mc:Choice Requires="wps">
            <w:drawing>
              <wp:anchor distT="0" distB="0" distL="114300" distR="114300" simplePos="0" relativeHeight="251672576" behindDoc="0" locked="0" layoutInCell="1" allowOverlap="1" wp14:anchorId="08319DF4" wp14:editId="20565052">
                <wp:simplePos x="0" y="0"/>
                <wp:positionH relativeFrom="column">
                  <wp:posOffset>1857577</wp:posOffset>
                </wp:positionH>
                <wp:positionV relativeFrom="paragraph">
                  <wp:posOffset>2694155</wp:posOffset>
                </wp:positionV>
                <wp:extent cx="1070448" cy="78227"/>
                <wp:effectExtent l="19050" t="19050" r="15875" b="36195"/>
                <wp:wrapNone/>
                <wp:docPr id="536068339" name="Arrow: Right 15"/>
                <wp:cNvGraphicFramePr/>
                <a:graphic xmlns:a="http://schemas.openxmlformats.org/drawingml/2006/main">
                  <a:graphicData uri="http://schemas.microsoft.com/office/word/2010/wordprocessingShape">
                    <wps:wsp>
                      <wps:cNvSpPr/>
                      <wps:spPr>
                        <a:xfrm rot="10800000">
                          <a:off x="0" y="0"/>
                          <a:ext cx="1070448" cy="78227"/>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36CD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146.25pt;margin-top:212.15pt;width:84.3pt;height:6.1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" adj="20811" fillcolor="black [3200]" strokecolor="black [480]" strokeweight="1pt"/>
            </w:pict>
          </mc:Fallback>
        </mc:AlternateContent>
      </w:r>
      <w:r w:rsidR="00C24192" w:rsidRPr="001722C7">
        <w:rPr>
          <w:rFonts w:cs="Times New Roman"/>
          <w:noProof/>
          <w:szCs w:val="24"/>
          <w:lang w:val="en-US"/>
        </w:rPr>
        <mc:AlternateContent>
          <mc:Choice Requires="wps">
            <w:drawing>
              <wp:anchor distT="0" distB="0" distL="114300" distR="114300" simplePos="0" relativeHeight="251670528" behindDoc="0" locked="0" layoutInCell="1" allowOverlap="1" wp14:anchorId="0AD5CF0B" wp14:editId="3E119725">
                <wp:simplePos x="0" y="0"/>
                <wp:positionH relativeFrom="column">
                  <wp:posOffset>3882838</wp:posOffset>
                </wp:positionH>
                <wp:positionV relativeFrom="paragraph">
                  <wp:posOffset>815788</wp:posOffset>
                </wp:positionV>
                <wp:extent cx="61633" cy="430306"/>
                <wp:effectExtent l="19050" t="0" r="33655" b="46355"/>
                <wp:wrapNone/>
                <wp:docPr id="1114429898" name="Arrow: Down 13"/>
                <wp:cNvGraphicFramePr/>
                <a:graphic xmlns:a="http://schemas.openxmlformats.org/drawingml/2006/main">
                  <a:graphicData uri="http://schemas.microsoft.com/office/word/2010/wordprocessingShape">
                    <wps:wsp>
                      <wps:cNvSpPr/>
                      <wps:spPr>
                        <a:xfrm>
                          <a:off x="0" y="0"/>
                          <a:ext cx="61633" cy="430306"/>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214D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305.75pt;margin-top:64.25pt;width:4.85pt;height:3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" adj="20053" fillcolor="black [3200]" strokecolor="black [480]" strokeweight="1pt"/>
            </w:pict>
          </mc:Fallback>
        </mc:AlternateContent>
      </w:r>
      <w:r w:rsidR="00813436" w:rsidRPr="001722C7">
        <w:rPr>
          <w:rFonts w:cs="Times New Roman"/>
          <w:noProof/>
          <w:szCs w:val="24"/>
          <w:lang w:val="en-US"/>
        </w:rPr>
        <mc:AlternateContent>
          <mc:Choice Requires="wps">
            <w:drawing>
              <wp:anchor distT="0" distB="0" distL="114300" distR="114300" simplePos="0" relativeHeight="251669504" behindDoc="0" locked="0" layoutInCell="1" allowOverlap="1" wp14:anchorId="21D165DC" wp14:editId="70932B9C">
                <wp:simplePos x="0" y="0"/>
                <wp:positionH relativeFrom="column">
                  <wp:posOffset>2545976</wp:posOffset>
                </wp:positionH>
                <wp:positionV relativeFrom="paragraph">
                  <wp:posOffset>493059</wp:posOffset>
                </wp:positionV>
                <wp:extent cx="367553" cy="45719"/>
                <wp:effectExtent l="0" t="19050" r="33020" b="31115"/>
                <wp:wrapNone/>
                <wp:docPr id="478265535" name="Arrow: Right 12"/>
                <wp:cNvGraphicFramePr/>
                <a:graphic xmlns:a="http://schemas.openxmlformats.org/drawingml/2006/main">
                  <a:graphicData uri="http://schemas.microsoft.com/office/word/2010/wordprocessingShape">
                    <wps:wsp>
                      <wps:cNvSpPr/>
                      <wps:spPr>
                        <a:xfrm>
                          <a:off x="0" y="0"/>
                          <a:ext cx="367553" cy="45719"/>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CB3EDF" id="Arrow: Right 12" o:spid="_x0000_s1026" type="#_x0000_t13" style="position:absolute;margin-left:200.45pt;margin-top:38.8pt;width:28.9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" adj="20257" fillcolor="black [3200]" strokecolor="black [480]" strokeweight="1pt"/>
            </w:pict>
          </mc:Fallback>
        </mc:AlternateContent>
      </w:r>
      <w:r w:rsidR="00813436" w:rsidRPr="001722C7">
        <w:rPr>
          <w:rFonts w:cs="Times New Roman"/>
          <w:noProof/>
          <w:szCs w:val="24"/>
          <w:lang w:val="en-US"/>
        </w:rPr>
        <w:drawing>
          <wp:inline distT="0" distB="0" distL="0" distR="0" wp14:anchorId="1B972756" wp14:editId="6C043DB9">
            <wp:extent cx="5486400" cy="3200400"/>
            <wp:effectExtent l="19050" t="0" r="19050" b="0"/>
            <wp:docPr id="1836787949"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7DC9178" w14:textId="6770A0AE" w:rsidR="00C24192" w:rsidRPr="001722C7" w:rsidRDefault="00C24192" w:rsidP="001722C7">
      <w:pPr>
        <w:rPr>
          <w:rFonts w:cs="Times New Roman"/>
          <w:szCs w:val="24"/>
          <w:lang w:val="en-US"/>
        </w:rPr>
      </w:pPr>
      <w:r w:rsidRPr="001722C7">
        <w:rPr>
          <w:rFonts w:cs="Times New Roman"/>
          <w:b/>
          <w:bCs/>
          <w:szCs w:val="24"/>
          <w:lang w:val="en-US"/>
        </w:rPr>
        <w:lastRenderedPageBreak/>
        <w:t xml:space="preserve">Figure 1: </w:t>
      </w:r>
      <w:r w:rsidRPr="001722C7">
        <w:rPr>
          <w:rFonts w:cs="Times New Roman"/>
          <w:szCs w:val="24"/>
          <w:lang w:val="en-US"/>
        </w:rPr>
        <w:t>Environmental</w:t>
      </w:r>
      <w:r w:rsidR="00DC70C9" w:rsidRPr="001722C7">
        <w:rPr>
          <w:rFonts w:cs="Times New Roman"/>
          <w:szCs w:val="24"/>
          <w:lang w:val="en-US"/>
        </w:rPr>
        <w:t xml:space="preserve"> Impact</w:t>
      </w:r>
      <w:r w:rsidRPr="001722C7">
        <w:rPr>
          <w:rFonts w:cs="Times New Roman"/>
          <w:szCs w:val="24"/>
          <w:lang w:val="en-US"/>
        </w:rPr>
        <w:t>s of Urban Sprawl</w:t>
      </w:r>
    </w:p>
    <w:p w14:paraId="76105E09" w14:textId="427EC2FF" w:rsidR="00C24192" w:rsidRPr="001722C7" w:rsidRDefault="00C24192" w:rsidP="001722C7">
      <w:pPr>
        <w:rPr>
          <w:rFonts w:cs="Times New Roman"/>
          <w:b/>
          <w:bCs/>
          <w:szCs w:val="24"/>
          <w:lang w:val="en-US"/>
        </w:rPr>
      </w:pPr>
      <w:r w:rsidRPr="001722C7">
        <w:rPr>
          <w:rFonts w:cs="Times New Roman"/>
          <w:szCs w:val="24"/>
          <w:lang w:val="en-US"/>
        </w:rPr>
        <w:t>Source: Authors’ Construct</w:t>
      </w:r>
    </w:p>
    <w:p w14:paraId="13E866B4" w14:textId="3A31E9A1" w:rsidR="00C64599" w:rsidRPr="001722C7" w:rsidRDefault="00C64599" w:rsidP="001722C7">
      <w:pPr>
        <w:rPr>
          <w:rFonts w:cs="Times New Roman"/>
          <w:b/>
          <w:bCs/>
          <w:szCs w:val="24"/>
          <w:lang w:val="en-US"/>
        </w:rPr>
      </w:pPr>
      <w:r w:rsidRPr="001722C7">
        <w:rPr>
          <w:rFonts w:cs="Times New Roman"/>
          <w:b/>
          <w:bCs/>
          <w:i/>
          <w:iCs/>
          <w:szCs w:val="24"/>
          <w:lang w:val="en-US"/>
        </w:rPr>
        <w:t>Social Impacts of Urban Sprawl:</w:t>
      </w:r>
      <w:r w:rsidRPr="001722C7">
        <w:rPr>
          <w:rFonts w:cs="Times New Roman"/>
          <w:b/>
          <w:bCs/>
          <w:szCs w:val="24"/>
          <w:lang w:val="en-US"/>
        </w:rPr>
        <w:t xml:space="preserve"> </w:t>
      </w:r>
      <w:r w:rsidRPr="001722C7">
        <w:rPr>
          <w:rFonts w:cs="Times New Roman"/>
          <w:szCs w:val="24"/>
          <w:lang w:val="en-US"/>
        </w:rPr>
        <w:t>Beyond ecological effects, urban sprawl has profound social implications. The dispersed and unregulated growth of cities results in uneven access to social services, deepening existing socio-spatial inequalities. Many of the newly developed peri-urban areas lack basic amenities such as schools, hospitals, electricity, and potable water, which are typically concentrated in older, central neighborhoods. Owusu (2013) noted that residents of peripheral Accra settlements often rely on informal sources of water and power due to the absence of public service provision.</w:t>
      </w:r>
    </w:p>
    <w:p w14:paraId="55B8BBC4" w14:textId="77777777" w:rsidR="00C64599" w:rsidRPr="001722C7" w:rsidRDefault="00C64599" w:rsidP="001722C7">
      <w:pPr>
        <w:rPr>
          <w:rFonts w:cs="Times New Roman"/>
          <w:szCs w:val="24"/>
          <w:lang w:val="en-US"/>
        </w:rPr>
      </w:pPr>
      <w:r w:rsidRPr="001722C7">
        <w:rPr>
          <w:rFonts w:cs="Times New Roman"/>
          <w:szCs w:val="24"/>
          <w:lang w:val="en-US"/>
        </w:rPr>
        <w:t>Social exclusion is another major concern. Urban sprawl fosters the spatial segregation of communities based on income, education, and ethnicity. Wealthier residents typically inhabit gated estates and planned suburbs with better infrastructure, while poorer groups are pushed into unregulated, informal settlements in peri-urban areas. Obeng-Odoom (2014) stressed that this spatial inequality not only reflects class disparities but also reproduces them, as residents of underserved areas are further marginalized in terms of access to education, healthcare, and employment.</w:t>
      </w:r>
    </w:p>
    <w:p w14:paraId="72C421DD" w14:textId="7D880732" w:rsidR="00C64599" w:rsidRPr="001722C7" w:rsidRDefault="00C64599" w:rsidP="001722C7">
      <w:pPr>
        <w:rPr>
          <w:rFonts w:cs="Times New Roman"/>
          <w:szCs w:val="24"/>
          <w:lang w:val="en-US"/>
        </w:rPr>
      </w:pPr>
      <w:r w:rsidRPr="001722C7">
        <w:rPr>
          <w:rFonts w:cs="Times New Roman"/>
          <w:szCs w:val="24"/>
          <w:lang w:val="en-US"/>
        </w:rPr>
        <w:t xml:space="preserve">Moreover, the commodification of land in peri-urban areas often results in the displacement of indigenous populations. Afriyie et al. (2019) showed that traditional farming communities around Accra and Kumasi are being systematically displaced as their lands are sold to private developers. This process disrupts social cohesion, undermines cultural continuity, and generates local conflicts over land rights and entitlements. Similarly, </w:t>
      </w:r>
      <w:proofErr w:type="spellStart"/>
      <w:r w:rsidRPr="001722C7">
        <w:rPr>
          <w:rFonts w:cs="Times New Roman"/>
          <w:szCs w:val="24"/>
          <w:lang w:val="en-US"/>
        </w:rPr>
        <w:t>Anarfi</w:t>
      </w:r>
      <w:proofErr w:type="spellEnd"/>
      <w:r w:rsidRPr="001722C7">
        <w:rPr>
          <w:rFonts w:cs="Times New Roman"/>
          <w:szCs w:val="24"/>
          <w:lang w:val="en-US"/>
        </w:rPr>
        <w:t xml:space="preserve"> et al. (2020) observed that unplanned expansion in Accra weakens the communal values and networks that once underpinned peri-urban societies, replacing them with individualized, atomized lifestyles that reduce collective resilience. Furthermore, sprawl diminishes quality of life through increased travel times, physical isolation, and reduced walkability. The absence of public transport options in sprawling areas forces residents to depend on private vehicles or unreliable commercial transport systems, thereby increasing household stress, travel costs, and road safety risks.</w:t>
      </w:r>
      <w:r w:rsidR="00DC70C9" w:rsidRPr="001722C7">
        <w:rPr>
          <w:rFonts w:cs="Times New Roman"/>
          <w:szCs w:val="24"/>
          <w:lang w:val="en-US"/>
        </w:rPr>
        <w:t xml:space="preserve"> Figure 2 shows five major environmental impacts of urban sprawl on sustainability.</w:t>
      </w:r>
    </w:p>
    <w:p w14:paraId="0A661608" w14:textId="56158C7E" w:rsidR="00813436" w:rsidRPr="001722C7" w:rsidRDefault="00DC70C9" w:rsidP="001722C7">
      <w:pPr>
        <w:pStyle w:val="NoSpacing"/>
        <w:spacing w:line="360" w:lineRule="auto"/>
        <w:rPr>
          <w:rFonts w:cs="Times New Roman"/>
          <w:szCs w:val="24"/>
          <w:lang w:val="en-US"/>
        </w:rPr>
      </w:pPr>
      <w:r w:rsidRPr="001722C7">
        <w:rPr>
          <w:rFonts w:cs="Times New Roman"/>
          <w:noProof/>
          <w:szCs w:val="24"/>
          <w:lang w:val="en-US"/>
        </w:rPr>
        <w:lastRenderedPageBreak/>
        <w:drawing>
          <wp:inline distT="0" distB="0" distL="0" distR="0" wp14:anchorId="13BBA122" wp14:editId="37280DFE">
            <wp:extent cx="5486400" cy="3200400"/>
            <wp:effectExtent l="0" t="0" r="19050" b="0"/>
            <wp:docPr id="1000596504"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54687D7" w14:textId="709DC262" w:rsidR="00DC70C9" w:rsidRPr="001722C7" w:rsidRDefault="00DC70C9" w:rsidP="001722C7">
      <w:pPr>
        <w:pStyle w:val="NoSpacing"/>
        <w:spacing w:line="360" w:lineRule="auto"/>
        <w:rPr>
          <w:rFonts w:cs="Times New Roman"/>
          <w:b/>
          <w:bCs/>
          <w:szCs w:val="24"/>
          <w:lang w:val="en-US"/>
        </w:rPr>
      </w:pPr>
      <w:r w:rsidRPr="001722C7">
        <w:rPr>
          <w:rFonts w:cs="Times New Roman"/>
          <w:b/>
          <w:bCs/>
          <w:szCs w:val="24"/>
          <w:lang w:val="en-US"/>
        </w:rPr>
        <w:t xml:space="preserve">Figure 2: </w:t>
      </w:r>
      <w:r w:rsidRPr="001722C7">
        <w:rPr>
          <w:rFonts w:cs="Times New Roman"/>
          <w:szCs w:val="24"/>
          <w:lang w:val="en-US"/>
        </w:rPr>
        <w:t>Social Impacts</w:t>
      </w:r>
    </w:p>
    <w:p w14:paraId="2FFD5A96" w14:textId="7D3E39EC" w:rsidR="00DC70C9" w:rsidRPr="001722C7" w:rsidRDefault="00DC70C9" w:rsidP="001722C7">
      <w:pPr>
        <w:rPr>
          <w:rFonts w:cs="Times New Roman"/>
          <w:b/>
          <w:bCs/>
          <w:szCs w:val="24"/>
          <w:lang w:val="en-US"/>
        </w:rPr>
      </w:pPr>
      <w:r w:rsidRPr="001722C7">
        <w:rPr>
          <w:rFonts w:cs="Times New Roman"/>
          <w:szCs w:val="24"/>
          <w:lang w:val="en-US"/>
        </w:rPr>
        <w:t>Source: Authors’ Construct</w:t>
      </w:r>
    </w:p>
    <w:p w14:paraId="2FDE3249" w14:textId="27CF317F" w:rsidR="00234A9F" w:rsidRPr="001722C7" w:rsidRDefault="00C64599" w:rsidP="001722C7">
      <w:pPr>
        <w:rPr>
          <w:rFonts w:cs="Times New Roman"/>
          <w:szCs w:val="24"/>
          <w:lang w:val="en-US"/>
        </w:rPr>
      </w:pPr>
      <w:r w:rsidRPr="001722C7">
        <w:rPr>
          <w:rFonts w:cs="Times New Roman"/>
          <w:b/>
          <w:bCs/>
          <w:i/>
          <w:iCs/>
          <w:szCs w:val="24"/>
          <w:lang w:val="en-US"/>
        </w:rPr>
        <w:t xml:space="preserve">Economic Impacts of Urban Sprawl: </w:t>
      </w:r>
      <w:r w:rsidR="00234A9F" w:rsidRPr="001722C7">
        <w:rPr>
          <w:rFonts w:cs="Times New Roman"/>
          <w:szCs w:val="24"/>
          <w:lang w:val="en-US"/>
        </w:rPr>
        <w:t>The economic implications of urban sprawl in Ghana are enormous, both on households and state institutions</w:t>
      </w:r>
      <w:r w:rsidR="00791561" w:rsidRPr="001722C7">
        <w:rPr>
          <w:rFonts w:cs="Times New Roman"/>
          <w:szCs w:val="24"/>
          <w:lang w:val="en-US"/>
        </w:rPr>
        <w:t xml:space="preserve"> (Takyi et al., 2023)</w:t>
      </w:r>
      <w:r w:rsidR="00234A9F" w:rsidRPr="001722C7">
        <w:rPr>
          <w:rFonts w:cs="Times New Roman"/>
          <w:szCs w:val="24"/>
          <w:lang w:val="en-US"/>
        </w:rPr>
        <w:t xml:space="preserve">. To begin with, the low-density characteristic of sprawl renders it extremely expensive to extend public infrastructure and services. The extension of electricity, water, roads, waste disposal, and drainage systems to distant residential enclaves involves more inputs than constructing a compact urban center. </w:t>
      </w:r>
      <w:proofErr w:type="spellStart"/>
      <w:r w:rsidR="00234A9F" w:rsidRPr="001722C7">
        <w:rPr>
          <w:rFonts w:cs="Times New Roman"/>
          <w:szCs w:val="24"/>
          <w:lang w:val="en-US"/>
        </w:rPr>
        <w:t>Farvacque-Vitkovic</w:t>
      </w:r>
      <w:proofErr w:type="spellEnd"/>
      <w:r w:rsidR="00234A9F" w:rsidRPr="001722C7">
        <w:rPr>
          <w:rFonts w:cs="Times New Roman"/>
          <w:szCs w:val="24"/>
          <w:lang w:val="en-US"/>
        </w:rPr>
        <w:t xml:space="preserve"> et al. (2008) maintain that these inefficiencies impose an enormous strain on municipal governments, most of whom are already cash-strapped, thereby limiting their capacity to maintain current infrastructure, much less develop it in an efficient way.</w:t>
      </w:r>
    </w:p>
    <w:p w14:paraId="7A3BF182" w14:textId="5952E4F6" w:rsidR="00234A9F" w:rsidRPr="001722C7" w:rsidRDefault="00234A9F" w:rsidP="001722C7">
      <w:pPr>
        <w:rPr>
          <w:rFonts w:cs="Times New Roman"/>
          <w:szCs w:val="24"/>
          <w:lang w:val="en-US"/>
        </w:rPr>
      </w:pPr>
      <w:r w:rsidRPr="001722C7">
        <w:rPr>
          <w:rFonts w:cs="Times New Roman"/>
          <w:szCs w:val="24"/>
          <w:lang w:val="en-US"/>
        </w:rPr>
        <w:t>From the perspective of a household, urban sprawl more frequently than not leads to higher transport costs and longer travel times</w:t>
      </w:r>
      <w:r w:rsidR="00791561" w:rsidRPr="001722C7">
        <w:rPr>
          <w:rFonts w:cs="Times New Roman"/>
          <w:szCs w:val="24"/>
          <w:lang w:val="en-US"/>
        </w:rPr>
        <w:t xml:space="preserve"> (World Bank, 2020)</w:t>
      </w:r>
      <w:r w:rsidRPr="001722C7">
        <w:rPr>
          <w:rFonts w:cs="Times New Roman"/>
          <w:szCs w:val="24"/>
          <w:lang w:val="en-US"/>
        </w:rPr>
        <w:t xml:space="preserve">. </w:t>
      </w:r>
      <w:proofErr w:type="spellStart"/>
      <w:r w:rsidRPr="001722C7">
        <w:rPr>
          <w:rFonts w:cs="Times New Roman"/>
          <w:szCs w:val="24"/>
          <w:lang w:val="en-US"/>
        </w:rPr>
        <w:t>Adabre</w:t>
      </w:r>
      <w:proofErr w:type="spellEnd"/>
      <w:r w:rsidRPr="001722C7">
        <w:rPr>
          <w:rFonts w:cs="Times New Roman"/>
          <w:szCs w:val="24"/>
          <w:lang w:val="en-US"/>
        </w:rPr>
        <w:t xml:space="preserve"> and Chan (2021) discovered that Ghanaian households that reside in sprawling areas tend to spend a higher portion of their income on fuel, car maintenance, or payment of fares on public transportation. This not only impacts disposable income but also decreases the quantity of time that can be devoted to work, school, and family. In addition, the longer distances traveled lead to greater carbon emissions, which worsen environmental degradation.</w:t>
      </w:r>
    </w:p>
    <w:p w14:paraId="68AD0402" w14:textId="5234CEFB" w:rsidR="00234A9F" w:rsidRPr="001722C7" w:rsidRDefault="00234A9F" w:rsidP="001722C7">
      <w:pPr>
        <w:rPr>
          <w:rFonts w:cs="Times New Roman"/>
          <w:szCs w:val="24"/>
          <w:lang w:val="en-US"/>
        </w:rPr>
      </w:pPr>
      <w:r w:rsidRPr="001722C7">
        <w:rPr>
          <w:rFonts w:cs="Times New Roman"/>
          <w:szCs w:val="24"/>
          <w:lang w:val="en-US"/>
        </w:rPr>
        <w:t xml:space="preserve">Another significant economic effect is the loss of livelihood and agricultural productivity. The peri-urban areas are taken for urban use, denying farmers access to productive land, thus </w:t>
      </w:r>
      <w:r w:rsidRPr="001722C7">
        <w:rPr>
          <w:rFonts w:cs="Times New Roman"/>
          <w:szCs w:val="24"/>
          <w:lang w:val="en-US"/>
        </w:rPr>
        <w:lastRenderedPageBreak/>
        <w:t>influencing food production and local economies</w:t>
      </w:r>
      <w:r w:rsidR="00C27765" w:rsidRPr="001722C7">
        <w:rPr>
          <w:rFonts w:cs="Times New Roman"/>
          <w:szCs w:val="24"/>
          <w:lang w:val="en-US"/>
        </w:rPr>
        <w:t xml:space="preserve"> (Oduro &amp; </w:t>
      </w:r>
      <w:proofErr w:type="spellStart"/>
      <w:r w:rsidR="00C27765" w:rsidRPr="001722C7">
        <w:rPr>
          <w:rFonts w:cs="Times New Roman"/>
          <w:szCs w:val="24"/>
          <w:lang w:val="en-US"/>
        </w:rPr>
        <w:t>Forkuor</w:t>
      </w:r>
      <w:proofErr w:type="spellEnd"/>
      <w:r w:rsidR="00C27765" w:rsidRPr="001722C7">
        <w:rPr>
          <w:rFonts w:cs="Times New Roman"/>
          <w:szCs w:val="24"/>
          <w:lang w:val="en-US"/>
        </w:rPr>
        <w:t>, 2021)</w:t>
      </w:r>
      <w:r w:rsidRPr="001722C7">
        <w:rPr>
          <w:rFonts w:cs="Times New Roman"/>
          <w:szCs w:val="24"/>
          <w:lang w:val="en-US"/>
        </w:rPr>
        <w:t xml:space="preserve">. Abdulai et al. (2023) examined the influence of urban sprawl in </w:t>
      </w:r>
      <w:proofErr w:type="spellStart"/>
      <w:r w:rsidRPr="001722C7">
        <w:rPr>
          <w:rFonts w:cs="Times New Roman"/>
          <w:szCs w:val="24"/>
          <w:lang w:val="en-US"/>
        </w:rPr>
        <w:t>Wa</w:t>
      </w:r>
      <w:proofErr w:type="spellEnd"/>
      <w:r w:rsidRPr="001722C7">
        <w:rPr>
          <w:rFonts w:cs="Times New Roman"/>
          <w:szCs w:val="24"/>
          <w:lang w:val="en-US"/>
        </w:rPr>
        <w:t xml:space="preserve"> on land scarcity and food insecurity for indigenous people. Similarly, Afriyie et al. (2019) argued that disruption of farming activities within and around Kumasi is a risk to both rural economic stability and urban food availability.</w:t>
      </w:r>
    </w:p>
    <w:p w14:paraId="3092DAE6" w14:textId="4149720C" w:rsidR="00874715" w:rsidRPr="001722C7" w:rsidRDefault="00234A9F" w:rsidP="001722C7">
      <w:pPr>
        <w:rPr>
          <w:rFonts w:cs="Times New Roman"/>
          <w:szCs w:val="24"/>
          <w:lang w:val="en-US"/>
        </w:rPr>
      </w:pPr>
      <w:r w:rsidRPr="001722C7">
        <w:rPr>
          <w:rFonts w:cs="Times New Roman"/>
          <w:szCs w:val="24"/>
          <w:lang w:val="en-US"/>
        </w:rPr>
        <w:t>Besides, urban sprawl warps land markets via speculation and land hoarding. Yeboah (200</w:t>
      </w:r>
      <w:r w:rsidR="00F76ABD" w:rsidRPr="001722C7">
        <w:rPr>
          <w:rFonts w:cs="Times New Roman"/>
          <w:szCs w:val="24"/>
          <w:lang w:val="en-US"/>
        </w:rPr>
        <w:t>1</w:t>
      </w:r>
      <w:r w:rsidRPr="001722C7">
        <w:rPr>
          <w:rFonts w:cs="Times New Roman"/>
          <w:szCs w:val="24"/>
          <w:lang w:val="en-US"/>
        </w:rPr>
        <w:t>) clarified that speculative acquisition of peri-urban land artificially inflates land prices, rendering land unaffordable to middle- and low-income households. The result generates a vicious circle in the form of unsustainable growth and ineffective land use. In effect, urban sprawl makes cities less economically sustainable by encouraging scattered and fragmented urban forms that are hard and expensive to manage, particularly in the situation of a developing country such as Ghana</w:t>
      </w:r>
      <w:r w:rsidR="00791561" w:rsidRPr="001722C7">
        <w:rPr>
          <w:rFonts w:cs="Times New Roman"/>
          <w:szCs w:val="24"/>
          <w:lang w:val="en-US"/>
        </w:rPr>
        <w:t xml:space="preserve"> (Yiran, 2020)</w:t>
      </w:r>
      <w:r w:rsidRPr="001722C7">
        <w:rPr>
          <w:rFonts w:cs="Times New Roman"/>
          <w:szCs w:val="24"/>
          <w:lang w:val="en-US"/>
        </w:rPr>
        <w:t>.</w:t>
      </w:r>
      <w:r w:rsidR="00874715" w:rsidRPr="001722C7">
        <w:rPr>
          <w:rFonts w:cs="Times New Roman"/>
          <w:szCs w:val="24"/>
          <w:lang w:val="en-US"/>
        </w:rPr>
        <w:t xml:space="preserve"> Figure 3 shows five major economic impacts of urban sprawl on sustainability.</w:t>
      </w:r>
    </w:p>
    <w:p w14:paraId="44AB1507" w14:textId="01EDEC20" w:rsidR="00FD2E88" w:rsidRPr="001722C7" w:rsidRDefault="00FD2E88" w:rsidP="001722C7">
      <w:pPr>
        <w:rPr>
          <w:rFonts w:cs="Times New Roman"/>
          <w:szCs w:val="24"/>
          <w:lang w:val="en-US"/>
        </w:rPr>
      </w:pPr>
      <w:r w:rsidRPr="001722C7">
        <w:rPr>
          <w:rFonts w:cs="Times New Roman"/>
          <w:noProof/>
          <w:szCs w:val="24"/>
          <w:lang w:val="en-US"/>
        </w:rPr>
        <w:drawing>
          <wp:inline distT="0" distB="0" distL="0" distR="0" wp14:anchorId="1F8845BE" wp14:editId="10351A1B">
            <wp:extent cx="5486400" cy="2091447"/>
            <wp:effectExtent l="0" t="0" r="0" b="0"/>
            <wp:docPr id="1116972051"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59A4FA1" w14:textId="21445A4F" w:rsidR="00FD2E88" w:rsidRPr="001722C7" w:rsidRDefault="00FD2E88" w:rsidP="001722C7">
      <w:pPr>
        <w:rPr>
          <w:rFonts w:cs="Times New Roman"/>
          <w:szCs w:val="24"/>
          <w:lang w:val="en-US"/>
        </w:rPr>
      </w:pPr>
      <w:r w:rsidRPr="001722C7">
        <w:rPr>
          <w:rFonts w:cs="Times New Roman"/>
          <w:b/>
          <w:bCs/>
          <w:szCs w:val="24"/>
          <w:lang w:val="en-US"/>
        </w:rPr>
        <w:t>Figure 3:</w:t>
      </w:r>
      <w:r w:rsidRPr="001722C7">
        <w:rPr>
          <w:rFonts w:cs="Times New Roman"/>
          <w:szCs w:val="24"/>
          <w:lang w:val="en-US"/>
        </w:rPr>
        <w:t xml:space="preserve"> Economic Impacts</w:t>
      </w:r>
    </w:p>
    <w:p w14:paraId="54C9C2AC" w14:textId="5F6B668B" w:rsidR="00FD2E88" w:rsidRDefault="00FD2E88" w:rsidP="001722C7">
      <w:pPr>
        <w:rPr>
          <w:rFonts w:cs="Times New Roman"/>
          <w:szCs w:val="24"/>
          <w:lang w:val="en-US"/>
        </w:rPr>
      </w:pPr>
      <w:r w:rsidRPr="001722C7">
        <w:rPr>
          <w:rFonts w:cs="Times New Roman"/>
          <w:szCs w:val="24"/>
          <w:lang w:val="en-US"/>
        </w:rPr>
        <w:t>Source: Authors’ Construct</w:t>
      </w:r>
    </w:p>
    <w:p w14:paraId="4095AD40" w14:textId="77777777" w:rsidR="00D31B74" w:rsidRPr="001722C7" w:rsidRDefault="00D31B74" w:rsidP="001722C7">
      <w:pPr>
        <w:rPr>
          <w:rFonts w:cs="Times New Roman"/>
          <w:b/>
          <w:bCs/>
          <w:szCs w:val="24"/>
          <w:lang w:val="en-US"/>
        </w:rPr>
      </w:pPr>
    </w:p>
    <w:bookmarkEnd w:id="0"/>
    <w:p w14:paraId="35D1826D" w14:textId="4AC0F9B1" w:rsidR="00C64599" w:rsidRPr="001722C7" w:rsidRDefault="00E56505" w:rsidP="001722C7">
      <w:pPr>
        <w:rPr>
          <w:rFonts w:cs="Times New Roman"/>
          <w:b/>
          <w:bCs/>
          <w:szCs w:val="24"/>
          <w:lang w:val="en-US"/>
        </w:rPr>
      </w:pPr>
      <w:r w:rsidRPr="001722C7">
        <w:rPr>
          <w:rFonts w:cs="Times New Roman"/>
          <w:b/>
          <w:bCs/>
          <w:szCs w:val="24"/>
          <w:lang w:val="en-US"/>
        </w:rPr>
        <w:t>2.5 Conceptual Framework</w:t>
      </w:r>
    </w:p>
    <w:p w14:paraId="33DFE80C" w14:textId="487F44F6" w:rsidR="00E56505" w:rsidRPr="001722C7" w:rsidRDefault="00E56505" w:rsidP="001722C7">
      <w:pPr>
        <w:rPr>
          <w:rFonts w:cs="Times New Roman"/>
          <w:szCs w:val="24"/>
        </w:rPr>
      </w:pPr>
      <w:r w:rsidRPr="001722C7">
        <w:rPr>
          <w:rFonts w:cs="Times New Roman"/>
          <w:szCs w:val="24"/>
        </w:rPr>
        <w:t xml:space="preserve">This study adopts a multi-dimensional conceptual framework to understand the mechanisms through which urban sprawl influences sustainable development in Ghanaian cities. The framework is informed by a synthesis of scholarly literature, empirical studies, and theoretical insights drawn from urban planning, sustainability science, political economy, and spatial analysis. </w:t>
      </w:r>
      <w:r w:rsidR="00C30381" w:rsidRPr="001722C7">
        <w:rPr>
          <w:rFonts w:cs="Times New Roman"/>
          <w:szCs w:val="24"/>
        </w:rPr>
        <w:t xml:space="preserve">Figure </w:t>
      </w:r>
      <w:r w:rsidR="00E851A1" w:rsidRPr="001722C7">
        <w:rPr>
          <w:rFonts w:cs="Times New Roman"/>
          <w:szCs w:val="24"/>
        </w:rPr>
        <w:t>4</w:t>
      </w:r>
      <w:r w:rsidRPr="001722C7">
        <w:rPr>
          <w:rFonts w:cs="Times New Roman"/>
          <w:szCs w:val="24"/>
        </w:rPr>
        <w:t xml:space="preserve"> highlights the drivers, processes, and impacts of urban sprawl and links them to the three interdependent pillars of sustainable development, environmental sustainability, </w:t>
      </w:r>
      <w:r w:rsidRPr="001722C7">
        <w:rPr>
          <w:rFonts w:cs="Times New Roman"/>
          <w:szCs w:val="24"/>
        </w:rPr>
        <w:lastRenderedPageBreak/>
        <w:t>social equity, and economic efficiency, within the governance and spatial planning context of Ghana.</w:t>
      </w:r>
    </w:p>
    <w:p w14:paraId="2DC1A861" w14:textId="77777777" w:rsidR="00FD2F31" w:rsidRPr="001722C7" w:rsidRDefault="00FD2F31" w:rsidP="001722C7">
      <w:pPr>
        <w:rPr>
          <w:rFonts w:cs="Times New Roman"/>
          <w:szCs w:val="24"/>
        </w:rPr>
      </w:pPr>
    </w:p>
    <w:p w14:paraId="16E359B9" w14:textId="77777777" w:rsidR="00E56505" w:rsidRPr="001722C7" w:rsidRDefault="00E56505" w:rsidP="001722C7">
      <w:pPr>
        <w:rPr>
          <w:rFonts w:cs="Times New Roman"/>
          <w:szCs w:val="24"/>
          <w:lang w:val="en-US"/>
        </w:rPr>
      </w:pPr>
    </w:p>
    <w:p w14:paraId="04AA9976" w14:textId="38ED7B4B" w:rsidR="00FD2F31" w:rsidRPr="001722C7" w:rsidRDefault="00FD2F31" w:rsidP="001722C7">
      <w:pPr>
        <w:rPr>
          <w:rFonts w:cs="Times New Roman"/>
          <w:szCs w:val="24"/>
          <w:lang w:val="en-US"/>
        </w:rPr>
      </w:pPr>
      <w:r w:rsidRPr="001722C7">
        <w:rPr>
          <w:rFonts w:cs="Times New Roman"/>
          <w:noProof/>
          <w:szCs w:val="24"/>
          <w:lang w:val="en-US"/>
        </w:rPr>
        <w:drawing>
          <wp:inline distT="0" distB="0" distL="0" distR="0" wp14:anchorId="099FB0E2" wp14:editId="53212D01">
            <wp:extent cx="5457217" cy="5963055"/>
            <wp:effectExtent l="0" t="0" r="0" b="0"/>
            <wp:docPr id="156589429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27F5A7" w14:textId="7CBEC748" w:rsidR="00262B7A" w:rsidRPr="001722C7" w:rsidRDefault="00760DE5" w:rsidP="001722C7">
      <w:pPr>
        <w:rPr>
          <w:rFonts w:cs="Times New Roman"/>
          <w:b/>
          <w:bCs/>
          <w:szCs w:val="24"/>
          <w:lang w:val="en-US"/>
        </w:rPr>
      </w:pPr>
      <w:r w:rsidRPr="001722C7">
        <w:rPr>
          <w:rFonts w:cs="Times New Roman"/>
          <w:b/>
          <w:bCs/>
          <w:szCs w:val="24"/>
          <w:lang w:val="en-US"/>
        </w:rPr>
        <w:t xml:space="preserve">Figure </w:t>
      </w:r>
      <w:r w:rsidR="00E851A1" w:rsidRPr="001722C7">
        <w:rPr>
          <w:rFonts w:cs="Times New Roman"/>
          <w:b/>
          <w:bCs/>
          <w:szCs w:val="24"/>
          <w:lang w:val="en-US"/>
        </w:rPr>
        <w:t>4</w:t>
      </w:r>
      <w:r w:rsidRPr="001722C7">
        <w:rPr>
          <w:rFonts w:cs="Times New Roman"/>
          <w:b/>
          <w:bCs/>
          <w:szCs w:val="24"/>
          <w:lang w:val="en-US"/>
        </w:rPr>
        <w:t xml:space="preserve">: </w:t>
      </w:r>
      <w:r w:rsidR="00C30381" w:rsidRPr="001722C7">
        <w:rPr>
          <w:rFonts w:cs="Times New Roman"/>
          <w:b/>
          <w:bCs/>
          <w:szCs w:val="24"/>
          <w:lang w:val="en-US"/>
        </w:rPr>
        <w:t>Contextual Framework Diagram</w:t>
      </w:r>
    </w:p>
    <w:p w14:paraId="22C05C6F" w14:textId="004C3583" w:rsidR="00C30381" w:rsidRPr="001722C7" w:rsidRDefault="00C30381" w:rsidP="001722C7">
      <w:pPr>
        <w:rPr>
          <w:rFonts w:cs="Times New Roman"/>
          <w:szCs w:val="24"/>
          <w:lang w:val="en-US"/>
        </w:rPr>
      </w:pPr>
      <w:r w:rsidRPr="001722C7">
        <w:rPr>
          <w:rFonts w:cs="Times New Roman"/>
          <w:szCs w:val="24"/>
          <w:lang w:val="en-US"/>
        </w:rPr>
        <w:t>Source: Authors’ Construct</w:t>
      </w:r>
    </w:p>
    <w:p w14:paraId="619EE4BA" w14:textId="5AB805AE" w:rsidR="00262B7A" w:rsidRPr="001722C7" w:rsidRDefault="00C30381" w:rsidP="001722C7">
      <w:pPr>
        <w:rPr>
          <w:rFonts w:cs="Times New Roman"/>
          <w:b/>
          <w:bCs/>
          <w:szCs w:val="24"/>
          <w:lang w:val="en-US"/>
        </w:rPr>
      </w:pPr>
      <w:r w:rsidRPr="001722C7">
        <w:rPr>
          <w:rFonts w:cs="Times New Roman"/>
          <w:b/>
          <w:bCs/>
          <w:szCs w:val="24"/>
          <w:lang w:val="en-US"/>
        </w:rPr>
        <w:t>3. Methodology</w:t>
      </w:r>
    </w:p>
    <w:p w14:paraId="5B4BE46D" w14:textId="45513063" w:rsidR="005560CF" w:rsidRPr="001722C7" w:rsidRDefault="005560CF" w:rsidP="001722C7">
      <w:pPr>
        <w:rPr>
          <w:rFonts w:cs="Times New Roman"/>
          <w:szCs w:val="24"/>
          <w:lang w:val="en-US"/>
        </w:rPr>
      </w:pPr>
      <w:r w:rsidRPr="001722C7">
        <w:rPr>
          <w:rFonts w:cs="Times New Roman"/>
          <w:szCs w:val="24"/>
          <w:lang w:val="en-US"/>
        </w:rPr>
        <w:t xml:space="preserve">This </w:t>
      </w:r>
      <w:r w:rsidR="0033220A" w:rsidRPr="001722C7">
        <w:rPr>
          <w:rFonts w:cs="Times New Roman"/>
          <w:szCs w:val="24"/>
          <w:lang w:val="en-US"/>
        </w:rPr>
        <w:t>paper</w:t>
      </w:r>
      <w:r w:rsidRPr="001722C7">
        <w:rPr>
          <w:rFonts w:cs="Times New Roman"/>
          <w:szCs w:val="24"/>
          <w:lang w:val="en-US"/>
        </w:rPr>
        <w:t xml:space="preserve"> applied a systematic review approach to investigating the effects of urban sprawl on sustainable development with specific reference to the Ghanaian context. The systematic </w:t>
      </w:r>
      <w:r w:rsidRPr="001722C7">
        <w:rPr>
          <w:rFonts w:cs="Times New Roman"/>
          <w:szCs w:val="24"/>
          <w:lang w:val="en-US"/>
        </w:rPr>
        <w:lastRenderedPageBreak/>
        <w:t>review approach was employed due to its strength in accumulating existing knowledge from various sources based on an explicit and reproducible protocol. The review aimed to determine key environmental and social results of urban sprawl and how these contribute to urban sustainability and resilience.</w:t>
      </w:r>
    </w:p>
    <w:p w14:paraId="1BA730D8" w14:textId="3DA1457B" w:rsidR="005560CF" w:rsidRPr="001722C7" w:rsidRDefault="005560CF" w:rsidP="001722C7">
      <w:pPr>
        <w:rPr>
          <w:rFonts w:cs="Times New Roman"/>
          <w:szCs w:val="24"/>
          <w:lang w:val="en-US"/>
        </w:rPr>
      </w:pPr>
      <w:r w:rsidRPr="001722C7">
        <w:rPr>
          <w:rFonts w:cs="Times New Roman"/>
          <w:szCs w:val="24"/>
          <w:lang w:val="en-US"/>
        </w:rPr>
        <w:t xml:space="preserve">In an attempt to obtain pertinent literature, an extensive search was carried out on major academic databases, such as Scopus, Web of Science, ScienceDirect, PubMed, and Google Scholar, as indicated in Figure </w:t>
      </w:r>
      <w:r w:rsidR="00E851A1" w:rsidRPr="001722C7">
        <w:rPr>
          <w:rFonts w:cs="Times New Roman"/>
          <w:szCs w:val="24"/>
          <w:lang w:val="en-US"/>
        </w:rPr>
        <w:t>5</w:t>
      </w:r>
      <w:r w:rsidRPr="001722C7">
        <w:rPr>
          <w:rFonts w:cs="Times New Roman"/>
          <w:szCs w:val="24"/>
          <w:lang w:val="en-US"/>
        </w:rPr>
        <w:t xml:space="preserve">. The research strategy utilized the application of the following keywords: "sprawl," "effects," "sustainable development," and "Ghanaian Cities." The application of Boolean operators was utilized to enhance the search parameters' specificity. Only English-language articles were included, and the search was limited to publications from </w:t>
      </w:r>
      <w:r w:rsidR="00215977" w:rsidRPr="001722C7">
        <w:rPr>
          <w:rFonts w:cs="Times New Roman"/>
          <w:szCs w:val="24"/>
          <w:lang w:val="en-US"/>
        </w:rPr>
        <w:t>2000</w:t>
      </w:r>
      <w:r w:rsidRPr="001722C7">
        <w:rPr>
          <w:rFonts w:cs="Times New Roman"/>
          <w:szCs w:val="24"/>
          <w:lang w:val="en-US"/>
        </w:rPr>
        <w:t xml:space="preserve"> to 202</w:t>
      </w:r>
      <w:r w:rsidR="004E1F04" w:rsidRPr="001722C7">
        <w:rPr>
          <w:rFonts w:cs="Times New Roman"/>
          <w:szCs w:val="24"/>
          <w:lang w:val="en-US"/>
        </w:rPr>
        <w:t>5</w:t>
      </w:r>
      <w:r w:rsidRPr="001722C7">
        <w:rPr>
          <w:rFonts w:cs="Times New Roman"/>
          <w:szCs w:val="24"/>
          <w:lang w:val="en-US"/>
        </w:rPr>
        <w:t xml:space="preserve"> to encompass both older and newer perspectives.</w:t>
      </w:r>
      <w:r w:rsidR="00C46678" w:rsidRPr="001722C7">
        <w:rPr>
          <w:rFonts w:cs="Times New Roman"/>
          <w:szCs w:val="24"/>
          <w:lang w:val="en-US"/>
        </w:rPr>
        <w:t xml:space="preserve"> </w:t>
      </w:r>
      <w:r w:rsidRPr="001722C7">
        <w:rPr>
          <w:rFonts w:cs="Times New Roman"/>
          <w:szCs w:val="24"/>
          <w:lang w:val="en-US"/>
        </w:rPr>
        <w:t>The selection criteria for the studies targeted research that had investigated the effects of urban sprawl on sustainable development. The review incorporated peer-reviewed articles, scholarly books, organizational reports, and empirical case studies. Nonetheless, opinion articles, non-academic literature, research that did not meet the general themes, and duplicate articles were not included in the review.</w:t>
      </w:r>
    </w:p>
    <w:p w14:paraId="7809975F" w14:textId="697533DE" w:rsidR="005560CF" w:rsidRPr="001722C7" w:rsidRDefault="005560CF" w:rsidP="001722C7">
      <w:pPr>
        <w:rPr>
          <w:rFonts w:cs="Times New Roman"/>
          <w:szCs w:val="24"/>
          <w:lang w:val="en-US"/>
        </w:rPr>
      </w:pPr>
      <w:r w:rsidRPr="001722C7">
        <w:rPr>
          <w:rFonts w:cs="Times New Roman"/>
          <w:szCs w:val="24"/>
          <w:lang w:val="en-US"/>
        </w:rPr>
        <w:t>Following the identification of qualifying studies, data were extracted with the assistance of a structured coding scheme. This included the recording of details about each study's author(s), publication year, research objectives, methodology, key findings, and its applicability to the Ghanaian or African urban experience. This was followed by a thematic synthesis of the data that was extracted. The findings were always classified under two broad dimensions: first, the environmental impacts of green spaces, including their function in regulating temperature, humidity, air quality, and wind patterns; and second, the social outcomes of quality of life, including determinants of physical and mental health, social cohesion, and political engagement.</w:t>
      </w:r>
    </w:p>
    <w:p w14:paraId="7A738A9C" w14:textId="13D56412" w:rsidR="005560CF" w:rsidRPr="001722C7" w:rsidRDefault="005560CF" w:rsidP="001722C7">
      <w:pPr>
        <w:rPr>
          <w:rFonts w:cs="Times New Roman"/>
          <w:szCs w:val="24"/>
          <w:lang w:val="en-US"/>
        </w:rPr>
      </w:pPr>
      <w:r w:rsidRPr="001722C7">
        <w:rPr>
          <w:rFonts w:cs="Times New Roman"/>
          <w:szCs w:val="24"/>
          <w:lang w:val="en-US"/>
        </w:rPr>
        <w:t xml:space="preserve">Although the systematic review approach guarantees some degree of </w:t>
      </w:r>
      <w:proofErr w:type="spellStart"/>
      <w:r w:rsidRPr="001722C7">
        <w:rPr>
          <w:rFonts w:cs="Times New Roman"/>
          <w:szCs w:val="24"/>
          <w:lang w:val="en-US"/>
        </w:rPr>
        <w:t>academicity</w:t>
      </w:r>
      <w:proofErr w:type="spellEnd"/>
      <w:r w:rsidRPr="001722C7">
        <w:rPr>
          <w:rFonts w:cs="Times New Roman"/>
          <w:szCs w:val="24"/>
          <w:lang w:val="en-US"/>
        </w:rPr>
        <w:t xml:space="preserve"> and comprehensiveness, some limitations were realized. Most notably, there was the risk of publication bias as a result of the restriction of grey literature and non-English sources. Secondly, even though there is increased interest in urban environmental planning in Ghana, empirical studies specific to Ghana remain scarce. This gap highlights the necessity for more localized studies exploring the intricate link between urban sprawl and sustainable city development in Ghana.</w:t>
      </w:r>
      <w:r w:rsidR="000E1F85" w:rsidRPr="001722C7">
        <w:rPr>
          <w:rFonts w:cs="Times New Roman"/>
          <w:szCs w:val="24"/>
          <w:lang w:val="en-US"/>
        </w:rPr>
        <w:t xml:space="preserve"> </w:t>
      </w:r>
      <w:r w:rsidRPr="001722C7">
        <w:rPr>
          <w:rFonts w:cs="Times New Roman"/>
          <w:szCs w:val="24"/>
          <w:lang w:val="en-US"/>
        </w:rPr>
        <w:t xml:space="preserve">Yet the methodological approach taken in this research offers a solid foundation for syntheses of current knowledge and formulating insights that are relevant to </w:t>
      </w:r>
      <w:r w:rsidRPr="001722C7">
        <w:rPr>
          <w:rFonts w:cs="Times New Roman"/>
          <w:szCs w:val="24"/>
          <w:lang w:val="en-US"/>
        </w:rPr>
        <w:lastRenderedPageBreak/>
        <w:t>both scholars and policymakers. It also enables the identification of key themes and evidence gaps that can guide future research and urban planning initiatives.</w:t>
      </w:r>
    </w:p>
    <w:p w14:paraId="3D996F52" w14:textId="77777777" w:rsidR="005560CF" w:rsidRPr="001722C7" w:rsidRDefault="005560CF" w:rsidP="001722C7">
      <w:pPr>
        <w:rPr>
          <w:rFonts w:cs="Times New Roman"/>
          <w:szCs w:val="24"/>
        </w:rPr>
      </w:pPr>
      <w:r w:rsidRPr="001722C7">
        <w:rPr>
          <w:rFonts w:cs="Times New Roman"/>
          <w:noProof/>
          <w:szCs w:val="24"/>
        </w:rPr>
        <mc:AlternateContent>
          <mc:Choice Requires="wps">
            <w:drawing>
              <wp:anchor distT="0" distB="0" distL="114300" distR="114300" simplePos="0" relativeHeight="251668480" behindDoc="0" locked="0" layoutInCell="1" allowOverlap="1" wp14:anchorId="56CAD8D5" wp14:editId="3EED54AC">
                <wp:simplePos x="0" y="0"/>
                <wp:positionH relativeFrom="column">
                  <wp:posOffset>1638300</wp:posOffset>
                </wp:positionH>
                <wp:positionV relativeFrom="paragraph">
                  <wp:posOffset>5391150</wp:posOffset>
                </wp:positionV>
                <wp:extent cx="76200" cy="914400"/>
                <wp:effectExtent l="19050" t="0" r="38100" b="38100"/>
                <wp:wrapNone/>
                <wp:docPr id="950640237" name="Arrow: Down 11"/>
                <wp:cNvGraphicFramePr/>
                <a:graphic xmlns:a="http://schemas.openxmlformats.org/drawingml/2006/main">
                  <a:graphicData uri="http://schemas.microsoft.com/office/word/2010/wordprocessingShape">
                    <wps:wsp>
                      <wps:cNvSpPr/>
                      <wps:spPr>
                        <a:xfrm>
                          <a:off x="0" y="0"/>
                          <a:ext cx="76200" cy="9144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BEC3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129pt;margin-top:424.5pt;width:6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" adj="20700" fillcolor="black [3200]" strokecolor="black [480]" strokeweight="1pt"/>
            </w:pict>
          </mc:Fallback>
        </mc:AlternateContent>
      </w:r>
      <w:r w:rsidRPr="001722C7">
        <w:rPr>
          <w:rFonts w:cs="Times New Roman"/>
          <w:noProof/>
          <w:szCs w:val="24"/>
        </w:rPr>
        <mc:AlternateContent>
          <mc:Choice Requires="wps">
            <w:drawing>
              <wp:anchor distT="0" distB="0" distL="114300" distR="114300" simplePos="0" relativeHeight="251667456" behindDoc="0" locked="0" layoutInCell="1" allowOverlap="1" wp14:anchorId="31D6168A" wp14:editId="7D2B6D9E">
                <wp:simplePos x="0" y="0"/>
                <wp:positionH relativeFrom="margin">
                  <wp:posOffset>2847974</wp:posOffset>
                </wp:positionH>
                <wp:positionV relativeFrom="paragraph">
                  <wp:posOffset>5038725</wp:posOffset>
                </wp:positionV>
                <wp:extent cx="297815" cy="114300"/>
                <wp:effectExtent l="0" t="19050" r="45085" b="38100"/>
                <wp:wrapNone/>
                <wp:docPr id="101510329" name="Arrow: Right 10"/>
                <wp:cNvGraphicFramePr/>
                <a:graphic xmlns:a="http://schemas.openxmlformats.org/drawingml/2006/main">
                  <a:graphicData uri="http://schemas.microsoft.com/office/word/2010/wordprocessingShape">
                    <wps:wsp>
                      <wps:cNvSpPr/>
                      <wps:spPr>
                        <a:xfrm>
                          <a:off x="0" y="0"/>
                          <a:ext cx="297815" cy="11430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FA3E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224.25pt;margin-top:396.75pt;width:23.45pt;height: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" adj="17455" fillcolor="black [3200]" strokecolor="black [480]" strokeweight="1pt">
                <w10:wrap anchorx="margin"/>
              </v:shape>
            </w:pict>
          </mc:Fallback>
        </mc:AlternateContent>
      </w:r>
      <w:r w:rsidRPr="001722C7">
        <w:rPr>
          <w:rFonts w:cs="Times New Roman"/>
          <w:noProof/>
          <w:szCs w:val="24"/>
        </w:rPr>
        <mc:AlternateContent>
          <mc:Choice Requires="wps">
            <w:drawing>
              <wp:anchor distT="0" distB="0" distL="114300" distR="114300" simplePos="0" relativeHeight="251665408" behindDoc="0" locked="0" layoutInCell="1" allowOverlap="1" wp14:anchorId="06193D2A" wp14:editId="114C23FE">
                <wp:simplePos x="0" y="0"/>
                <wp:positionH relativeFrom="column">
                  <wp:posOffset>2409826</wp:posOffset>
                </wp:positionH>
                <wp:positionV relativeFrom="paragraph">
                  <wp:posOffset>3581400</wp:posOffset>
                </wp:positionV>
                <wp:extent cx="538480" cy="95250"/>
                <wp:effectExtent l="0" t="19050" r="33020" b="38100"/>
                <wp:wrapNone/>
                <wp:docPr id="1825408534" name="Arrow: Right 8"/>
                <wp:cNvGraphicFramePr/>
                <a:graphic xmlns:a="http://schemas.openxmlformats.org/drawingml/2006/main">
                  <a:graphicData uri="http://schemas.microsoft.com/office/word/2010/wordprocessingShape">
                    <wps:wsp>
                      <wps:cNvSpPr/>
                      <wps:spPr>
                        <a:xfrm>
                          <a:off x="0" y="0"/>
                          <a:ext cx="538480" cy="9525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62182E" id="Arrow: Right 8" o:spid="_x0000_s1026" type="#_x0000_t13" style="position:absolute;margin-left:189.75pt;margin-top:282pt;width:42.4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" adj="19690" fillcolor="black [3200]" strokecolor="black [480]" strokeweight="1pt"/>
            </w:pict>
          </mc:Fallback>
        </mc:AlternateContent>
      </w:r>
      <w:r w:rsidRPr="001722C7">
        <w:rPr>
          <w:rFonts w:cs="Times New Roman"/>
          <w:noProof/>
          <w:szCs w:val="24"/>
        </w:rPr>
        <mc:AlternateContent>
          <mc:Choice Requires="wps">
            <w:drawing>
              <wp:anchor distT="0" distB="0" distL="114300" distR="114300" simplePos="0" relativeHeight="251666432" behindDoc="0" locked="0" layoutInCell="1" allowOverlap="1" wp14:anchorId="310D6F70" wp14:editId="6B78DCF3">
                <wp:simplePos x="0" y="0"/>
                <wp:positionH relativeFrom="column">
                  <wp:posOffset>1600201</wp:posOffset>
                </wp:positionH>
                <wp:positionV relativeFrom="paragraph">
                  <wp:posOffset>3933826</wp:posOffset>
                </wp:positionV>
                <wp:extent cx="95250" cy="723900"/>
                <wp:effectExtent l="19050" t="0" r="38100" b="38100"/>
                <wp:wrapNone/>
                <wp:docPr id="1453977378" name="Arrow: Down 9"/>
                <wp:cNvGraphicFramePr/>
                <a:graphic xmlns:a="http://schemas.openxmlformats.org/drawingml/2006/main">
                  <a:graphicData uri="http://schemas.microsoft.com/office/word/2010/wordprocessingShape">
                    <wps:wsp>
                      <wps:cNvSpPr/>
                      <wps:spPr>
                        <a:xfrm>
                          <a:off x="0" y="0"/>
                          <a:ext cx="95250" cy="7239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9564A7" id="Arrow: Down 9" o:spid="_x0000_s1026" type="#_x0000_t67" style="position:absolute;margin-left:126pt;margin-top:309.75pt;width:7.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" adj="20179" fillcolor="black [3200]" strokecolor="black [480]" strokeweight="1pt"/>
            </w:pict>
          </mc:Fallback>
        </mc:AlternateContent>
      </w:r>
      <w:r w:rsidRPr="001722C7">
        <w:rPr>
          <w:rFonts w:cs="Times New Roman"/>
          <w:noProof/>
          <w:szCs w:val="24"/>
        </w:rPr>
        <mc:AlternateContent>
          <mc:Choice Requires="wps">
            <w:drawing>
              <wp:anchor distT="0" distB="0" distL="114300" distR="114300" simplePos="0" relativeHeight="251663360" behindDoc="0" locked="0" layoutInCell="1" allowOverlap="1" wp14:anchorId="16C13823" wp14:editId="0D9352E3">
                <wp:simplePos x="0" y="0"/>
                <wp:positionH relativeFrom="column">
                  <wp:posOffset>1584325</wp:posOffset>
                </wp:positionH>
                <wp:positionV relativeFrom="paragraph">
                  <wp:posOffset>2991485</wp:posOffset>
                </wp:positionV>
                <wp:extent cx="97681" cy="330741"/>
                <wp:effectExtent l="19050" t="0" r="36195" b="31750"/>
                <wp:wrapNone/>
                <wp:docPr id="1764100073" name="Arrow: Down 6"/>
                <wp:cNvGraphicFramePr/>
                <a:graphic xmlns:a="http://schemas.openxmlformats.org/drawingml/2006/main">
                  <a:graphicData uri="http://schemas.microsoft.com/office/word/2010/wordprocessingShape">
                    <wps:wsp>
                      <wps:cNvSpPr/>
                      <wps:spPr>
                        <a:xfrm>
                          <a:off x="0" y="0"/>
                          <a:ext cx="97681" cy="330741"/>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7209CC" id="Arrow: Down 6" o:spid="_x0000_s1026" type="#_x0000_t67" style="position:absolute;margin-left:124.75pt;margin-top:235.55pt;width:7.7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" adj="18410" fillcolor="black [3200]" strokecolor="black [480]" strokeweight="1pt"/>
            </w:pict>
          </mc:Fallback>
        </mc:AlternateContent>
      </w:r>
      <w:r w:rsidRPr="001722C7">
        <w:rPr>
          <w:rFonts w:cs="Times New Roman"/>
          <w:noProof/>
          <w:szCs w:val="24"/>
        </w:rPr>
        <mc:AlternateContent>
          <mc:Choice Requires="wps">
            <w:drawing>
              <wp:anchor distT="0" distB="0" distL="114300" distR="114300" simplePos="0" relativeHeight="251661312" behindDoc="0" locked="0" layoutInCell="1" allowOverlap="1" wp14:anchorId="67DF7C78" wp14:editId="03B6F5AB">
                <wp:simplePos x="0" y="0"/>
                <wp:positionH relativeFrom="column">
                  <wp:posOffset>1562099</wp:posOffset>
                </wp:positionH>
                <wp:positionV relativeFrom="paragraph">
                  <wp:posOffset>523875</wp:posOffset>
                </wp:positionV>
                <wp:extent cx="104775" cy="295275"/>
                <wp:effectExtent l="19050" t="0" r="47625" b="47625"/>
                <wp:wrapNone/>
                <wp:docPr id="1081856634" name="Arrow: Down 4"/>
                <wp:cNvGraphicFramePr/>
                <a:graphic xmlns:a="http://schemas.openxmlformats.org/drawingml/2006/main">
                  <a:graphicData uri="http://schemas.microsoft.com/office/word/2010/wordprocessingShape">
                    <wps:wsp>
                      <wps:cNvSpPr/>
                      <wps:spPr>
                        <a:xfrm>
                          <a:off x="0" y="0"/>
                          <a:ext cx="104775" cy="2952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930CC8" id="Arrow: Down 4" o:spid="_x0000_s1026" type="#_x0000_t67" style="position:absolute;margin-left:123pt;margin-top:41.25pt;width:8.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" adj="17768" fillcolor="black [3200]" strokecolor="black [480]" strokeweight="1pt"/>
            </w:pict>
          </mc:Fallback>
        </mc:AlternateContent>
      </w:r>
      <w:r w:rsidRPr="001722C7">
        <w:rPr>
          <w:rFonts w:cs="Times New Roman"/>
          <w:noProof/>
          <w:szCs w:val="24"/>
        </w:rPr>
        <mc:AlternateContent>
          <mc:Choice Requires="wps">
            <w:drawing>
              <wp:anchor distT="0" distB="0" distL="114300" distR="114300" simplePos="0" relativeHeight="251662336" behindDoc="0" locked="0" layoutInCell="1" allowOverlap="1" wp14:anchorId="1CFB4E15" wp14:editId="6FEF2E81">
                <wp:simplePos x="0" y="0"/>
                <wp:positionH relativeFrom="column">
                  <wp:posOffset>1581150</wp:posOffset>
                </wp:positionH>
                <wp:positionV relativeFrom="paragraph">
                  <wp:posOffset>2152650</wp:posOffset>
                </wp:positionV>
                <wp:extent cx="95885" cy="438150"/>
                <wp:effectExtent l="19050" t="0" r="37465" b="38100"/>
                <wp:wrapNone/>
                <wp:docPr id="252621966" name="Arrow: Down 5"/>
                <wp:cNvGraphicFramePr/>
                <a:graphic xmlns:a="http://schemas.openxmlformats.org/drawingml/2006/main">
                  <a:graphicData uri="http://schemas.microsoft.com/office/word/2010/wordprocessingShape">
                    <wps:wsp>
                      <wps:cNvSpPr/>
                      <wps:spPr>
                        <a:xfrm>
                          <a:off x="0" y="0"/>
                          <a:ext cx="95885" cy="4381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A1B2D3" id="Arrow: Down 5" o:spid="_x0000_s1026" type="#_x0000_t67" style="position:absolute;margin-left:124.5pt;margin-top:169.5pt;width:7.5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" adj="19237" fillcolor="black [3200]" strokecolor="black [480]" strokeweight="1pt"/>
            </w:pict>
          </mc:Fallback>
        </mc:AlternateContent>
      </w:r>
      <w:r w:rsidRPr="001722C7">
        <w:rPr>
          <w:rFonts w:cs="Times New Roman"/>
          <w:noProof/>
          <w:szCs w:val="24"/>
        </w:rPr>
        <mc:AlternateContent>
          <mc:Choice Requires="wps">
            <w:drawing>
              <wp:anchor distT="0" distB="0" distL="114300" distR="114300" simplePos="0" relativeHeight="251664384" behindDoc="0" locked="0" layoutInCell="1" allowOverlap="1" wp14:anchorId="45D7F184" wp14:editId="0859291A">
                <wp:simplePos x="0" y="0"/>
                <wp:positionH relativeFrom="column">
                  <wp:posOffset>2791082</wp:posOffset>
                </wp:positionH>
                <wp:positionV relativeFrom="paragraph">
                  <wp:posOffset>2762588</wp:posOffset>
                </wp:positionV>
                <wp:extent cx="224142" cy="95506"/>
                <wp:effectExtent l="19050" t="19050" r="24130" b="38100"/>
                <wp:wrapNone/>
                <wp:docPr id="1598104961" name="Arrow: Right 7"/>
                <wp:cNvGraphicFramePr/>
                <a:graphic xmlns:a="http://schemas.openxmlformats.org/drawingml/2006/main">
                  <a:graphicData uri="http://schemas.microsoft.com/office/word/2010/wordprocessingShape">
                    <wps:wsp>
                      <wps:cNvSpPr/>
                      <wps:spPr>
                        <a:xfrm rot="10800000">
                          <a:off x="0" y="0"/>
                          <a:ext cx="224142" cy="95506"/>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296E30" id="Arrow: Right 7" o:spid="_x0000_s1026" type="#_x0000_t13" style="position:absolute;margin-left:219.75pt;margin-top:217.55pt;width:17.65pt;height:7.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" adj="16998" fillcolor="black [3200]" strokecolor="black [480]" strokeweight="1pt"/>
            </w:pict>
          </mc:Fallback>
        </mc:AlternateContent>
      </w:r>
      <w:r w:rsidRPr="001722C7">
        <w:rPr>
          <w:rFonts w:cs="Times New Roman"/>
          <w:noProof/>
          <w:szCs w:val="24"/>
        </w:rPr>
        <mc:AlternateContent>
          <mc:Choice Requires="wps">
            <w:drawing>
              <wp:anchor distT="0" distB="0" distL="114300" distR="114300" simplePos="0" relativeHeight="251659264" behindDoc="0" locked="0" layoutInCell="1" allowOverlap="1" wp14:anchorId="5F8A7D3F" wp14:editId="5EF3B992">
                <wp:simplePos x="0" y="0"/>
                <wp:positionH relativeFrom="column">
                  <wp:posOffset>2869660</wp:posOffset>
                </wp:positionH>
                <wp:positionV relativeFrom="paragraph">
                  <wp:posOffset>252515</wp:posOffset>
                </wp:positionV>
                <wp:extent cx="699770" cy="87954"/>
                <wp:effectExtent l="0" t="19050" r="43180" b="45720"/>
                <wp:wrapNone/>
                <wp:docPr id="503049220" name="Arrow: Right 2"/>
                <wp:cNvGraphicFramePr/>
                <a:graphic xmlns:a="http://schemas.openxmlformats.org/drawingml/2006/main">
                  <a:graphicData uri="http://schemas.microsoft.com/office/word/2010/wordprocessingShape">
                    <wps:wsp>
                      <wps:cNvSpPr/>
                      <wps:spPr>
                        <a:xfrm>
                          <a:off x="0" y="0"/>
                          <a:ext cx="699770" cy="87954"/>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121B21" id="Arrow: Right 2" o:spid="_x0000_s1026" type="#_x0000_t13" style="position:absolute;margin-left:225.95pt;margin-top:19.9pt;width:55.1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" adj="20243" fillcolor="black [3200]" strokecolor="black [480]" strokeweight="1pt"/>
            </w:pict>
          </mc:Fallback>
        </mc:AlternateContent>
      </w:r>
      <w:r w:rsidRPr="001722C7">
        <w:rPr>
          <w:rFonts w:cs="Times New Roman"/>
          <w:noProof/>
          <w:szCs w:val="24"/>
        </w:rPr>
        <mc:AlternateContent>
          <mc:Choice Requires="wps">
            <w:drawing>
              <wp:anchor distT="0" distB="0" distL="114300" distR="114300" simplePos="0" relativeHeight="251660288" behindDoc="0" locked="0" layoutInCell="1" allowOverlap="1" wp14:anchorId="4722EE28" wp14:editId="22173F63">
                <wp:simplePos x="0" y="0"/>
                <wp:positionH relativeFrom="column">
                  <wp:posOffset>4231127</wp:posOffset>
                </wp:positionH>
                <wp:positionV relativeFrom="paragraph">
                  <wp:posOffset>496111</wp:posOffset>
                </wp:positionV>
                <wp:extent cx="78226" cy="1653540"/>
                <wp:effectExtent l="19050" t="0" r="36195" b="41910"/>
                <wp:wrapNone/>
                <wp:docPr id="1860776926" name="Arrow: Down 3"/>
                <wp:cNvGraphicFramePr/>
                <a:graphic xmlns:a="http://schemas.openxmlformats.org/drawingml/2006/main">
                  <a:graphicData uri="http://schemas.microsoft.com/office/word/2010/wordprocessingShape">
                    <wps:wsp>
                      <wps:cNvSpPr/>
                      <wps:spPr>
                        <a:xfrm>
                          <a:off x="0" y="0"/>
                          <a:ext cx="78226" cy="16535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650714" id="Arrow: Down 3" o:spid="_x0000_s1026" type="#_x0000_t67" style="position:absolute;margin-left:333.15pt;margin-top:39.05pt;width:6.15pt;height:1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" adj="21089" fillcolor="black [3200]" strokecolor="black [480]" strokeweight="1pt"/>
            </w:pict>
          </mc:Fallback>
        </mc:AlternateContent>
      </w:r>
      <w:r w:rsidRPr="001722C7">
        <w:rPr>
          <w:rFonts w:cs="Times New Roman"/>
          <w:noProof/>
          <w:szCs w:val="24"/>
        </w:rPr>
        <w:drawing>
          <wp:inline distT="0" distB="0" distL="0" distR="0" wp14:anchorId="70E77E0C" wp14:editId="00D94D85">
            <wp:extent cx="5486400" cy="8249055"/>
            <wp:effectExtent l="0" t="0" r="57150" b="0"/>
            <wp:docPr id="116944697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2505EF3" w14:textId="083161B1" w:rsidR="005560CF" w:rsidRPr="001722C7" w:rsidRDefault="005560CF" w:rsidP="001722C7">
      <w:pPr>
        <w:rPr>
          <w:rStyle w:val="Strong"/>
          <w:rFonts w:eastAsia="Times New Roman" w:cs="Times New Roman"/>
          <w:szCs w:val="24"/>
        </w:rPr>
      </w:pPr>
      <w:r w:rsidRPr="001722C7">
        <w:rPr>
          <w:rStyle w:val="Strong"/>
          <w:rFonts w:eastAsia="Times New Roman" w:cs="Times New Roman"/>
          <w:szCs w:val="24"/>
        </w:rPr>
        <w:lastRenderedPageBreak/>
        <w:t xml:space="preserve">Figure </w:t>
      </w:r>
      <w:r w:rsidR="00E851A1" w:rsidRPr="001722C7">
        <w:rPr>
          <w:rStyle w:val="Strong"/>
          <w:rFonts w:eastAsia="Times New Roman" w:cs="Times New Roman"/>
          <w:szCs w:val="24"/>
        </w:rPr>
        <w:t>5</w:t>
      </w:r>
      <w:r w:rsidRPr="001722C7">
        <w:rPr>
          <w:rStyle w:val="Strong"/>
          <w:rFonts w:eastAsia="Times New Roman" w:cs="Times New Roman"/>
          <w:szCs w:val="24"/>
        </w:rPr>
        <w:t>: PRISMA Flow Diagram</w:t>
      </w:r>
    </w:p>
    <w:p w14:paraId="20577908" w14:textId="77777777" w:rsidR="005560CF" w:rsidRPr="001722C7" w:rsidRDefault="005560CF" w:rsidP="001722C7">
      <w:pPr>
        <w:rPr>
          <w:rFonts w:eastAsia="Times New Roman" w:cs="Times New Roman"/>
          <w:b/>
          <w:bCs/>
          <w:szCs w:val="24"/>
        </w:rPr>
      </w:pPr>
      <w:r w:rsidRPr="001722C7">
        <w:rPr>
          <w:rStyle w:val="Strong"/>
          <w:rFonts w:eastAsia="Times New Roman" w:cs="Times New Roman"/>
          <w:b w:val="0"/>
          <w:bCs w:val="0"/>
          <w:szCs w:val="24"/>
        </w:rPr>
        <w:t>Source: Authors’ construct</w:t>
      </w:r>
    </w:p>
    <w:p w14:paraId="15C8D76E" w14:textId="0F6F236A" w:rsidR="00262B7A" w:rsidRPr="001722C7" w:rsidRDefault="00027CA5" w:rsidP="001722C7">
      <w:pPr>
        <w:rPr>
          <w:rFonts w:cs="Times New Roman"/>
          <w:b/>
          <w:bCs/>
          <w:szCs w:val="24"/>
        </w:rPr>
      </w:pPr>
      <w:r w:rsidRPr="001722C7">
        <w:rPr>
          <w:rFonts w:cs="Times New Roman"/>
          <w:b/>
          <w:bCs/>
          <w:szCs w:val="24"/>
        </w:rPr>
        <w:t>3. 1 Contextual Focus on Ghana</w:t>
      </w:r>
    </w:p>
    <w:p w14:paraId="1E88F845" w14:textId="4D13AE70" w:rsidR="00234A9F" w:rsidRPr="001722C7" w:rsidRDefault="00585B38" w:rsidP="001722C7">
      <w:pPr>
        <w:rPr>
          <w:rFonts w:cs="Times New Roman"/>
          <w:szCs w:val="24"/>
          <w:lang w:val="en-US"/>
        </w:rPr>
      </w:pPr>
      <w:r w:rsidRPr="001722C7">
        <w:rPr>
          <w:rFonts w:cs="Times New Roman"/>
          <w:szCs w:val="24"/>
          <w:lang w:val="en-US"/>
        </w:rPr>
        <w:t xml:space="preserve">Ghana lies between latitude 4° and 11° north of the equator, on the west coast of Africa. It has an area of 238,535 square </w:t>
      </w:r>
      <w:proofErr w:type="spellStart"/>
      <w:r w:rsidRPr="001722C7">
        <w:rPr>
          <w:rFonts w:cs="Times New Roman"/>
          <w:szCs w:val="24"/>
          <w:lang w:val="en-US"/>
        </w:rPr>
        <w:t>kilometres</w:t>
      </w:r>
      <w:proofErr w:type="spellEnd"/>
      <w:r w:rsidRPr="001722C7">
        <w:rPr>
          <w:rFonts w:cs="Times New Roman"/>
          <w:szCs w:val="24"/>
          <w:lang w:val="en-US"/>
        </w:rPr>
        <w:t xml:space="preserve"> about the same size as the British Isles or the State of Oregon in the USA </w:t>
      </w:r>
      <w:r w:rsidRPr="001722C7">
        <w:rPr>
          <w:rFonts w:cs="Times New Roman"/>
          <w:szCs w:val="24"/>
        </w:rPr>
        <w:t>(Aryee, 2001)</w:t>
      </w:r>
      <w:r w:rsidRPr="001722C7">
        <w:rPr>
          <w:rFonts w:cs="Times New Roman"/>
          <w:szCs w:val="24"/>
          <w:lang w:val="en-US"/>
        </w:rPr>
        <w:t xml:space="preserve">. </w:t>
      </w:r>
      <w:r w:rsidR="00E851A1" w:rsidRPr="001722C7">
        <w:rPr>
          <w:rFonts w:cs="Times New Roman"/>
          <w:szCs w:val="24"/>
          <w:lang w:val="en-US"/>
        </w:rPr>
        <w:t xml:space="preserve">Figure 6 shows the major cities </w:t>
      </w:r>
      <w:r w:rsidR="001722C7" w:rsidRPr="001722C7">
        <w:rPr>
          <w:rFonts w:cs="Times New Roman"/>
          <w:szCs w:val="24"/>
          <w:lang w:val="en-US"/>
        </w:rPr>
        <w:t>of Ghana. U</w:t>
      </w:r>
      <w:r w:rsidR="00234A9F" w:rsidRPr="001722C7">
        <w:rPr>
          <w:rFonts w:cs="Times New Roman"/>
          <w:szCs w:val="24"/>
          <w:lang w:val="en-US"/>
        </w:rPr>
        <w:t xml:space="preserve">rban sprawl </w:t>
      </w:r>
      <w:r w:rsidR="001722C7" w:rsidRPr="001722C7">
        <w:rPr>
          <w:rFonts w:cs="Times New Roman"/>
          <w:szCs w:val="24"/>
          <w:lang w:val="en-US"/>
        </w:rPr>
        <w:t xml:space="preserve">in Ghana </w:t>
      </w:r>
      <w:r w:rsidR="00234A9F" w:rsidRPr="001722C7">
        <w:rPr>
          <w:rFonts w:cs="Times New Roman"/>
          <w:szCs w:val="24"/>
          <w:lang w:val="en-US"/>
        </w:rPr>
        <w:t xml:space="preserve">is a complex phenomenon </w:t>
      </w:r>
      <w:r w:rsidR="00F96247" w:rsidRPr="001722C7">
        <w:rPr>
          <w:rFonts w:cs="Times New Roman"/>
          <w:szCs w:val="24"/>
          <w:lang w:val="en-US"/>
        </w:rPr>
        <w:t>resulting</w:t>
      </w:r>
      <w:r w:rsidR="00234A9F" w:rsidRPr="001722C7">
        <w:rPr>
          <w:rFonts w:cs="Times New Roman"/>
          <w:szCs w:val="24"/>
          <w:lang w:val="en-US"/>
        </w:rPr>
        <w:t xml:space="preserve"> from high levels of urbanization and population growth in Ghanaian cities</w:t>
      </w:r>
      <w:r w:rsidR="00C318FA" w:rsidRPr="001722C7">
        <w:rPr>
          <w:rFonts w:cs="Times New Roman"/>
          <w:szCs w:val="24"/>
          <w:lang w:val="en-US"/>
        </w:rPr>
        <w:t>, such as</w:t>
      </w:r>
      <w:r w:rsidR="00234A9F" w:rsidRPr="001722C7">
        <w:rPr>
          <w:rFonts w:cs="Times New Roman"/>
          <w:szCs w:val="24"/>
          <w:lang w:val="en-US"/>
        </w:rPr>
        <w:t xml:space="preserve"> Accra, Kumasi, Tamale, and Sekondi-Takoradi. The proportion of urban population in Ghana rose from 43.8% in the year 2000 to over 56% in the year 2021, with a projection of over 65% in the year 2030. </w:t>
      </w:r>
      <w:r w:rsidR="00F96247" w:rsidRPr="001722C7">
        <w:rPr>
          <w:rFonts w:cs="Times New Roman"/>
          <w:szCs w:val="24"/>
          <w:lang w:val="en-US"/>
        </w:rPr>
        <w:t>Urbanization</w:t>
      </w:r>
      <w:r w:rsidR="00234A9F" w:rsidRPr="001722C7">
        <w:rPr>
          <w:rFonts w:cs="Times New Roman"/>
          <w:szCs w:val="24"/>
          <w:lang w:val="en-US"/>
        </w:rPr>
        <w:t xml:space="preserve"> has </w:t>
      </w:r>
      <w:r w:rsidR="00C318FA" w:rsidRPr="001722C7">
        <w:rPr>
          <w:rFonts w:cs="Times New Roman"/>
          <w:szCs w:val="24"/>
          <w:lang w:val="en-US"/>
        </w:rPr>
        <w:t xml:space="preserve">primarily led to horizontal expansion, characterized by uncontrolled sprawl into </w:t>
      </w:r>
      <w:r w:rsidR="00234A9F" w:rsidRPr="001722C7">
        <w:rPr>
          <w:rFonts w:cs="Times New Roman"/>
          <w:szCs w:val="24"/>
          <w:lang w:val="en-US"/>
        </w:rPr>
        <w:t>peri-urban and rural areas (Yeboah, 200</w:t>
      </w:r>
      <w:r w:rsidR="00F76ABD" w:rsidRPr="001722C7">
        <w:rPr>
          <w:rFonts w:cs="Times New Roman"/>
          <w:szCs w:val="24"/>
          <w:lang w:val="en-US"/>
        </w:rPr>
        <w:t>1</w:t>
      </w:r>
      <w:r w:rsidR="00234A9F" w:rsidRPr="001722C7">
        <w:rPr>
          <w:rFonts w:cs="Times New Roman"/>
          <w:szCs w:val="24"/>
          <w:lang w:val="en-US"/>
        </w:rPr>
        <w:t>; Owusu &amp; Oteng-Ababio, 2015).</w:t>
      </w:r>
    </w:p>
    <w:p w14:paraId="367BFAC5" w14:textId="0F1DC901" w:rsidR="00E851A1" w:rsidRPr="001722C7" w:rsidRDefault="00E851A1" w:rsidP="001722C7">
      <w:pPr>
        <w:jc w:val="center"/>
        <w:rPr>
          <w:rFonts w:cs="Times New Roman"/>
          <w:szCs w:val="24"/>
          <w:lang w:val="en-US"/>
        </w:rPr>
      </w:pPr>
      <w:r w:rsidRPr="001722C7">
        <w:rPr>
          <w:rFonts w:cs="Times New Roman"/>
          <w:noProof/>
          <w:szCs w:val="24"/>
          <w:lang w:val="en-US"/>
        </w:rPr>
        <w:drawing>
          <wp:inline distT="0" distB="0" distL="0" distR="0" wp14:anchorId="04B4D88D" wp14:editId="5AA1B01D">
            <wp:extent cx="3345500" cy="3861880"/>
            <wp:effectExtent l="0" t="0" r="7620" b="5715"/>
            <wp:docPr id="17758685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68554" name="Picture 1775868554"/>
                    <pic:cNvPicPr/>
                  </pic:nvPicPr>
                  <pic:blipFill>
                    <a:blip r:embed="rId32">
                      <a:extLst>
                        <a:ext uri="{28A0092B-C50C-407E-A947-70E740481C1C}">
                          <a14:useLocalDpi xmlns:a14="http://schemas.microsoft.com/office/drawing/2010/main" val="0"/>
                        </a:ext>
                      </a:extLst>
                    </a:blip>
                    <a:stretch>
                      <a:fillRect/>
                    </a:stretch>
                  </pic:blipFill>
                  <pic:spPr>
                    <a:xfrm>
                      <a:off x="0" y="0"/>
                      <a:ext cx="3409454" cy="3935706"/>
                    </a:xfrm>
                    <a:prstGeom prst="rect">
                      <a:avLst/>
                    </a:prstGeom>
                  </pic:spPr>
                </pic:pic>
              </a:graphicData>
            </a:graphic>
          </wp:inline>
        </w:drawing>
      </w:r>
    </w:p>
    <w:p w14:paraId="350D2F28" w14:textId="739F5EC2" w:rsidR="00E851A1" w:rsidRPr="001722C7" w:rsidRDefault="00E851A1" w:rsidP="001722C7">
      <w:pPr>
        <w:rPr>
          <w:rFonts w:cs="Times New Roman"/>
          <w:szCs w:val="24"/>
          <w:lang w:val="en-US"/>
        </w:rPr>
      </w:pPr>
      <w:r w:rsidRPr="001722C7">
        <w:rPr>
          <w:rFonts w:cs="Times New Roman"/>
          <w:b/>
          <w:bCs/>
          <w:szCs w:val="24"/>
          <w:lang w:val="en-US"/>
        </w:rPr>
        <w:t>Figure 6:</w:t>
      </w:r>
      <w:r w:rsidRPr="001722C7">
        <w:rPr>
          <w:rFonts w:cs="Times New Roman"/>
          <w:szCs w:val="24"/>
          <w:lang w:val="en-US"/>
        </w:rPr>
        <w:t xml:space="preserve"> Map of the Study Area</w:t>
      </w:r>
    </w:p>
    <w:p w14:paraId="4B65B42A" w14:textId="3769C86F" w:rsidR="00E851A1" w:rsidRPr="001722C7" w:rsidRDefault="00E851A1" w:rsidP="001722C7">
      <w:pPr>
        <w:rPr>
          <w:rFonts w:cs="Times New Roman"/>
          <w:szCs w:val="24"/>
          <w:lang w:val="en-US"/>
        </w:rPr>
      </w:pPr>
      <w:r w:rsidRPr="001722C7">
        <w:rPr>
          <w:rFonts w:cs="Times New Roman"/>
          <w:szCs w:val="24"/>
          <w:lang w:val="en-US"/>
        </w:rPr>
        <w:t>Source: Authors’ Construct</w:t>
      </w:r>
    </w:p>
    <w:p w14:paraId="013FA1E9" w14:textId="1F3AFD1E" w:rsidR="00234A9F" w:rsidRPr="001722C7" w:rsidRDefault="00234A9F" w:rsidP="001722C7">
      <w:pPr>
        <w:rPr>
          <w:rFonts w:cs="Times New Roman"/>
          <w:szCs w:val="24"/>
          <w:lang w:val="en-US"/>
        </w:rPr>
      </w:pPr>
      <w:r w:rsidRPr="001722C7">
        <w:rPr>
          <w:rFonts w:cs="Times New Roman"/>
          <w:szCs w:val="24"/>
          <w:lang w:val="en-US"/>
        </w:rPr>
        <w:t xml:space="preserve">There are several reasons for Ghana's urban sprawl, including </w:t>
      </w:r>
      <w:r w:rsidR="00C318FA" w:rsidRPr="001722C7">
        <w:rPr>
          <w:rFonts w:cs="Times New Roman"/>
          <w:szCs w:val="24"/>
          <w:lang w:val="en-US"/>
        </w:rPr>
        <w:t xml:space="preserve">a </w:t>
      </w:r>
      <w:r w:rsidRPr="001722C7">
        <w:rPr>
          <w:rFonts w:cs="Times New Roman"/>
          <w:szCs w:val="24"/>
          <w:lang w:val="en-US"/>
        </w:rPr>
        <w:t xml:space="preserve">lack of land use planning, </w:t>
      </w:r>
      <w:r w:rsidR="00C318FA" w:rsidRPr="001722C7">
        <w:rPr>
          <w:rFonts w:cs="Times New Roman"/>
          <w:szCs w:val="24"/>
          <w:lang w:val="en-US"/>
        </w:rPr>
        <w:t xml:space="preserve">a </w:t>
      </w:r>
      <w:r w:rsidRPr="001722C7">
        <w:rPr>
          <w:rFonts w:cs="Times New Roman"/>
          <w:szCs w:val="24"/>
          <w:lang w:val="en-US"/>
        </w:rPr>
        <w:t xml:space="preserve">lack of spatial development plans, and </w:t>
      </w:r>
      <w:r w:rsidR="00C318FA" w:rsidRPr="001722C7">
        <w:rPr>
          <w:rFonts w:cs="Times New Roman"/>
          <w:szCs w:val="24"/>
          <w:lang w:val="en-US"/>
        </w:rPr>
        <w:t xml:space="preserve">the </w:t>
      </w:r>
      <w:r w:rsidRPr="001722C7">
        <w:rPr>
          <w:rFonts w:cs="Times New Roman"/>
          <w:szCs w:val="24"/>
          <w:lang w:val="en-US"/>
        </w:rPr>
        <w:t xml:space="preserve">commodification of land in both customary and </w:t>
      </w:r>
      <w:r w:rsidRPr="001722C7">
        <w:rPr>
          <w:rFonts w:cs="Times New Roman"/>
          <w:szCs w:val="24"/>
          <w:lang w:val="en-US"/>
        </w:rPr>
        <w:lastRenderedPageBreak/>
        <w:t xml:space="preserve">statutory land systems, which </w:t>
      </w:r>
      <w:r w:rsidR="0039744A" w:rsidRPr="001722C7">
        <w:rPr>
          <w:rFonts w:cs="Times New Roman"/>
          <w:szCs w:val="24"/>
          <w:lang w:val="en-US"/>
        </w:rPr>
        <w:t>leads</w:t>
      </w:r>
      <w:r w:rsidRPr="001722C7">
        <w:rPr>
          <w:rFonts w:cs="Times New Roman"/>
          <w:szCs w:val="24"/>
          <w:lang w:val="en-US"/>
        </w:rPr>
        <w:t xml:space="preserve"> to ineffective land use and sprawl (</w:t>
      </w:r>
      <w:proofErr w:type="spellStart"/>
      <w:r w:rsidRPr="001722C7">
        <w:rPr>
          <w:rFonts w:cs="Times New Roman"/>
          <w:szCs w:val="24"/>
          <w:lang w:val="en-US"/>
        </w:rPr>
        <w:t>Fuseini</w:t>
      </w:r>
      <w:proofErr w:type="spellEnd"/>
      <w:r w:rsidRPr="001722C7">
        <w:rPr>
          <w:rFonts w:cs="Times New Roman"/>
          <w:szCs w:val="24"/>
          <w:lang w:val="en-US"/>
        </w:rPr>
        <w:t xml:space="preserve"> &amp; Kemp, 2015; </w:t>
      </w:r>
      <w:r w:rsidR="000606A1" w:rsidRPr="001722C7">
        <w:rPr>
          <w:rFonts w:cs="Times New Roman"/>
          <w:szCs w:val="24"/>
        </w:rPr>
        <w:t>Kamana</w:t>
      </w:r>
      <w:r w:rsidRPr="001722C7">
        <w:rPr>
          <w:rFonts w:cs="Times New Roman"/>
          <w:szCs w:val="24"/>
          <w:lang w:val="en-US"/>
        </w:rPr>
        <w:t xml:space="preserve"> et al., 20</w:t>
      </w:r>
      <w:r w:rsidR="000606A1" w:rsidRPr="001722C7">
        <w:rPr>
          <w:rFonts w:cs="Times New Roman"/>
          <w:szCs w:val="24"/>
          <w:lang w:val="en-US"/>
        </w:rPr>
        <w:t>24</w:t>
      </w:r>
      <w:r w:rsidRPr="001722C7">
        <w:rPr>
          <w:rFonts w:cs="Times New Roman"/>
          <w:szCs w:val="24"/>
          <w:lang w:val="en-US"/>
        </w:rPr>
        <w:t>). Traditional authorities have a strong influence in Accra and Kumasi land markets, selling land in fragmented and uncontrolled patterns, leading to spatial disorder and leapfrog developments (</w:t>
      </w:r>
      <w:r w:rsidR="0039744A" w:rsidRPr="001722C7">
        <w:rPr>
          <w:rFonts w:cs="Times New Roman"/>
          <w:szCs w:val="24"/>
          <w:lang w:val="en-US"/>
        </w:rPr>
        <w:t>Obeng-Odoom</w:t>
      </w:r>
      <w:r w:rsidRPr="001722C7">
        <w:rPr>
          <w:rFonts w:cs="Times New Roman"/>
          <w:szCs w:val="24"/>
          <w:lang w:val="en-US"/>
        </w:rPr>
        <w:t xml:space="preserve">, 2016). Lax implementation of planning regulations and urban government politicization have caused developments </w:t>
      </w:r>
      <w:r w:rsidR="00C318FA" w:rsidRPr="001722C7">
        <w:rPr>
          <w:rFonts w:cs="Times New Roman"/>
          <w:szCs w:val="24"/>
          <w:lang w:val="en-US"/>
        </w:rPr>
        <w:t xml:space="preserve">to be </w:t>
      </w:r>
      <w:r w:rsidRPr="001722C7">
        <w:rPr>
          <w:rFonts w:cs="Times New Roman"/>
          <w:szCs w:val="24"/>
          <w:lang w:val="en-US"/>
        </w:rPr>
        <w:t>starved of infrastructure (</w:t>
      </w:r>
      <w:r w:rsidR="003B4C7E" w:rsidRPr="001722C7">
        <w:rPr>
          <w:rFonts w:cs="Times New Roman"/>
          <w:szCs w:val="24"/>
        </w:rPr>
        <w:t>African Centre for Cities</w:t>
      </w:r>
      <w:r w:rsidRPr="001722C7">
        <w:rPr>
          <w:rFonts w:cs="Times New Roman"/>
          <w:szCs w:val="24"/>
          <w:lang w:val="en-US"/>
        </w:rPr>
        <w:t>, 201</w:t>
      </w:r>
      <w:r w:rsidR="003B4C7E" w:rsidRPr="001722C7">
        <w:rPr>
          <w:rFonts w:cs="Times New Roman"/>
          <w:szCs w:val="24"/>
          <w:lang w:val="en-US"/>
        </w:rPr>
        <w:t>5</w:t>
      </w:r>
      <w:r w:rsidRPr="001722C7">
        <w:rPr>
          <w:rFonts w:cs="Times New Roman"/>
          <w:szCs w:val="24"/>
          <w:lang w:val="en-US"/>
        </w:rPr>
        <w:t>). Consequently, sprawling settlements are likely to lack essential infrastructure like water, sanitation, healthcare, and transport, undermining urban development sustainability (</w:t>
      </w:r>
      <w:proofErr w:type="spellStart"/>
      <w:r w:rsidR="0066015C" w:rsidRPr="001722C7">
        <w:rPr>
          <w:rFonts w:cs="Times New Roman"/>
          <w:szCs w:val="24"/>
        </w:rPr>
        <w:t>Cobbinah</w:t>
      </w:r>
      <w:proofErr w:type="spellEnd"/>
      <w:r w:rsidR="0066015C" w:rsidRPr="001722C7">
        <w:rPr>
          <w:rFonts w:cs="Times New Roman"/>
          <w:szCs w:val="24"/>
        </w:rPr>
        <w:t xml:space="preserve"> et al.</w:t>
      </w:r>
      <w:r w:rsidRPr="001722C7">
        <w:rPr>
          <w:rFonts w:cs="Times New Roman"/>
          <w:szCs w:val="24"/>
          <w:lang w:val="en-US"/>
        </w:rPr>
        <w:t>, 2020).</w:t>
      </w:r>
    </w:p>
    <w:p w14:paraId="1FC9CFC4" w14:textId="239C119F" w:rsidR="00234A9F" w:rsidRPr="001722C7" w:rsidRDefault="00234A9F" w:rsidP="001722C7">
      <w:pPr>
        <w:rPr>
          <w:rFonts w:cs="Times New Roman"/>
          <w:szCs w:val="24"/>
          <w:lang w:val="en-US"/>
        </w:rPr>
      </w:pPr>
      <w:r w:rsidRPr="001722C7">
        <w:rPr>
          <w:rFonts w:cs="Times New Roman"/>
          <w:szCs w:val="24"/>
          <w:lang w:val="en-US"/>
        </w:rPr>
        <w:t xml:space="preserve">Ghanaian urban sprawl has manifest environmental implications. There is rampant encroachment on wetlands, forests, and farmland, endangering food and biodiversity systems (Codjoe et al., 2014; Owusu &amp; </w:t>
      </w:r>
      <w:proofErr w:type="spellStart"/>
      <w:r w:rsidRPr="001722C7">
        <w:rPr>
          <w:rFonts w:cs="Times New Roman"/>
          <w:szCs w:val="24"/>
          <w:lang w:val="en-US"/>
        </w:rPr>
        <w:t>Afutu-Kotey</w:t>
      </w:r>
      <w:proofErr w:type="spellEnd"/>
      <w:r w:rsidRPr="001722C7">
        <w:rPr>
          <w:rFonts w:cs="Times New Roman"/>
          <w:szCs w:val="24"/>
          <w:lang w:val="en-US"/>
        </w:rPr>
        <w:t>, 2010). Deforestation and land degradation heighten the vulnerability of the country to climate change, especially in flood-prone zones (</w:t>
      </w:r>
      <w:r w:rsidR="0039744A" w:rsidRPr="001722C7">
        <w:rPr>
          <w:rFonts w:cs="Times New Roman"/>
          <w:szCs w:val="24"/>
        </w:rPr>
        <w:t>Yeboah</w:t>
      </w:r>
      <w:r w:rsidRPr="001722C7">
        <w:rPr>
          <w:rFonts w:cs="Times New Roman"/>
          <w:szCs w:val="24"/>
          <w:lang w:val="en-US"/>
        </w:rPr>
        <w:t xml:space="preserve"> et al., 201</w:t>
      </w:r>
      <w:r w:rsidR="0039744A" w:rsidRPr="001722C7">
        <w:rPr>
          <w:rFonts w:cs="Times New Roman"/>
          <w:szCs w:val="24"/>
          <w:lang w:val="en-US"/>
        </w:rPr>
        <w:t>7</w:t>
      </w:r>
      <w:r w:rsidRPr="001722C7">
        <w:rPr>
          <w:rFonts w:cs="Times New Roman"/>
          <w:szCs w:val="24"/>
          <w:lang w:val="en-US"/>
        </w:rPr>
        <w:t>). Urban sprawl has led to increased commuting distances, higher transport costs, and heightened spatial inequality. Poor urban residents are pushed to peripheral areas with reduced job and service availability, which entrenches urban poverty and excludes people socially (</w:t>
      </w:r>
      <w:proofErr w:type="spellStart"/>
      <w:r w:rsidRPr="001722C7">
        <w:rPr>
          <w:rFonts w:cs="Times New Roman"/>
          <w:szCs w:val="24"/>
          <w:lang w:val="en-US"/>
        </w:rPr>
        <w:t>Songsore</w:t>
      </w:r>
      <w:proofErr w:type="spellEnd"/>
      <w:r w:rsidRPr="001722C7">
        <w:rPr>
          <w:rFonts w:cs="Times New Roman"/>
          <w:szCs w:val="24"/>
          <w:lang w:val="en-US"/>
        </w:rPr>
        <w:t xml:space="preserve">, 2010; </w:t>
      </w:r>
      <w:proofErr w:type="spellStart"/>
      <w:r w:rsidRPr="001722C7">
        <w:rPr>
          <w:rFonts w:cs="Times New Roman"/>
          <w:szCs w:val="24"/>
          <w:lang w:val="en-US"/>
        </w:rPr>
        <w:t>Yankson</w:t>
      </w:r>
      <w:proofErr w:type="spellEnd"/>
      <w:r w:rsidRPr="001722C7">
        <w:rPr>
          <w:rFonts w:cs="Times New Roman"/>
          <w:szCs w:val="24"/>
          <w:lang w:val="en-US"/>
        </w:rPr>
        <w:t xml:space="preserve"> &amp; Bertrand, 2012).</w:t>
      </w:r>
    </w:p>
    <w:p w14:paraId="58EADD6D" w14:textId="0EB25364" w:rsidR="00C46678" w:rsidRPr="001722C7" w:rsidRDefault="00234A9F" w:rsidP="001722C7">
      <w:pPr>
        <w:rPr>
          <w:rFonts w:cs="Times New Roman"/>
          <w:szCs w:val="24"/>
          <w:lang w:val="en-US"/>
        </w:rPr>
      </w:pPr>
      <w:r w:rsidRPr="001722C7">
        <w:rPr>
          <w:rFonts w:cs="Times New Roman"/>
          <w:szCs w:val="24"/>
          <w:lang w:val="en-US"/>
        </w:rPr>
        <w:t xml:space="preserve">Ghana's efforts to manage urban sprawl include the 2012 National Urban Policy Framework and TCPD's Spatial Development Frameworks. Success has been thwarted by resource constraints, institutional fragmentation, and weak political will (Owusu, 2013; </w:t>
      </w:r>
      <w:r w:rsidR="003C10CE" w:rsidRPr="001722C7">
        <w:rPr>
          <w:rFonts w:cs="Times New Roman"/>
          <w:szCs w:val="24"/>
        </w:rPr>
        <w:t>Afriyie et al.</w:t>
      </w:r>
      <w:r w:rsidRPr="001722C7">
        <w:rPr>
          <w:rFonts w:cs="Times New Roman"/>
          <w:szCs w:val="24"/>
          <w:lang w:val="en-US"/>
        </w:rPr>
        <w:t>, 20</w:t>
      </w:r>
      <w:r w:rsidR="003C10CE" w:rsidRPr="001722C7">
        <w:rPr>
          <w:rFonts w:cs="Times New Roman"/>
          <w:szCs w:val="24"/>
          <w:lang w:val="en-US"/>
        </w:rPr>
        <w:t>20</w:t>
      </w:r>
      <w:r w:rsidRPr="001722C7">
        <w:rPr>
          <w:rFonts w:cs="Times New Roman"/>
          <w:szCs w:val="24"/>
          <w:lang w:val="en-US"/>
        </w:rPr>
        <w:t>). This context underscores the urgent need for studies on urban sprawl drivers, trends, and sustainable development implications for Ghanaian cities. Ghana's fast urban expansion and intricate land management make it a priority case for exploring urban sprawl and sustainability. Examining this will provide knowledge on managing the growth of cities for shared and resilient development.</w:t>
      </w:r>
    </w:p>
    <w:p w14:paraId="3B1A23F0" w14:textId="53C04B3D" w:rsidR="00036EBF" w:rsidRPr="001722C7" w:rsidRDefault="00CA19ED" w:rsidP="001722C7">
      <w:pPr>
        <w:rPr>
          <w:rFonts w:cs="Times New Roman"/>
          <w:b/>
          <w:bCs/>
          <w:szCs w:val="24"/>
          <w:lang w:val="en-US"/>
        </w:rPr>
      </w:pPr>
      <w:r w:rsidRPr="001722C7">
        <w:rPr>
          <w:rFonts w:cs="Times New Roman"/>
          <w:b/>
          <w:bCs/>
          <w:szCs w:val="24"/>
          <w:lang w:val="en-US"/>
        </w:rPr>
        <w:t>4. Results and Analysis</w:t>
      </w:r>
    </w:p>
    <w:p w14:paraId="49A41302" w14:textId="7282B4A1" w:rsidR="006B1AAF" w:rsidRDefault="00AC46B5" w:rsidP="001722C7">
      <w:pPr>
        <w:rPr>
          <w:rFonts w:cs="Times New Roman"/>
          <w:szCs w:val="24"/>
          <w:lang w:val="en-US"/>
        </w:rPr>
      </w:pPr>
      <w:r w:rsidRPr="001722C7">
        <w:rPr>
          <w:rFonts w:cs="Times New Roman"/>
          <w:szCs w:val="24"/>
          <w:lang w:val="en-US"/>
        </w:rPr>
        <w:t>Table</w:t>
      </w:r>
      <w:r w:rsidR="00F715B2" w:rsidRPr="001722C7">
        <w:rPr>
          <w:rFonts w:cs="Times New Roman"/>
          <w:szCs w:val="24"/>
          <w:lang w:val="en-US"/>
        </w:rPr>
        <w:t>s</w:t>
      </w:r>
      <w:r w:rsidRPr="001722C7">
        <w:rPr>
          <w:rFonts w:cs="Times New Roman"/>
          <w:szCs w:val="24"/>
          <w:lang w:val="en-US"/>
        </w:rPr>
        <w:t xml:space="preserve"> 1</w:t>
      </w:r>
      <w:r w:rsidR="00F715B2" w:rsidRPr="001722C7">
        <w:rPr>
          <w:rFonts w:cs="Times New Roman"/>
          <w:szCs w:val="24"/>
          <w:lang w:val="en-US"/>
        </w:rPr>
        <w:t>, 2 and 3</w:t>
      </w:r>
      <w:r w:rsidRPr="001722C7">
        <w:rPr>
          <w:rFonts w:cs="Times New Roman"/>
          <w:szCs w:val="24"/>
          <w:lang w:val="en-US"/>
        </w:rPr>
        <w:t xml:space="preserve"> summarizes the themes of </w:t>
      </w:r>
      <w:r w:rsidR="00FF1326" w:rsidRPr="001722C7">
        <w:rPr>
          <w:rFonts w:cs="Times New Roman"/>
          <w:szCs w:val="24"/>
          <w:lang w:val="en-US"/>
        </w:rPr>
        <w:t>environmental, social, and economic impact of sprawl</w:t>
      </w:r>
      <w:r w:rsidRPr="001722C7">
        <w:rPr>
          <w:rFonts w:cs="Times New Roman"/>
          <w:szCs w:val="24"/>
          <w:lang w:val="en-US"/>
        </w:rPr>
        <w:t xml:space="preserve">, with relevant articles organized under each theme. Each entry is summarized to provide key insights relevant to </w:t>
      </w:r>
      <w:r w:rsidR="00FF1326" w:rsidRPr="001722C7">
        <w:rPr>
          <w:rFonts w:cs="Times New Roman"/>
          <w:szCs w:val="24"/>
          <w:lang w:val="en-US"/>
        </w:rPr>
        <w:t>urban sprawl</w:t>
      </w:r>
      <w:r w:rsidRPr="001722C7">
        <w:rPr>
          <w:rFonts w:cs="Times New Roman"/>
          <w:szCs w:val="24"/>
          <w:lang w:val="en-US"/>
        </w:rPr>
        <w:t xml:space="preserve"> on </w:t>
      </w:r>
      <w:r w:rsidR="00FF1326" w:rsidRPr="001722C7">
        <w:rPr>
          <w:rFonts w:cs="Times New Roman"/>
          <w:szCs w:val="24"/>
          <w:lang w:val="en-US"/>
        </w:rPr>
        <w:t>sustainability in Ghanaian Cities</w:t>
      </w:r>
      <w:r w:rsidRPr="001722C7">
        <w:rPr>
          <w:rFonts w:cs="Times New Roman"/>
          <w:szCs w:val="24"/>
          <w:lang w:val="en-US"/>
        </w:rPr>
        <w:t>.</w:t>
      </w:r>
    </w:p>
    <w:p w14:paraId="2EE5E9DA" w14:textId="77777777" w:rsidR="00511171" w:rsidRDefault="00511171" w:rsidP="001722C7">
      <w:pPr>
        <w:rPr>
          <w:rFonts w:cs="Times New Roman"/>
          <w:szCs w:val="24"/>
          <w:lang w:val="en-US"/>
        </w:rPr>
      </w:pPr>
    </w:p>
    <w:p w14:paraId="2390A4ED" w14:textId="77777777" w:rsidR="00511171" w:rsidRDefault="00511171" w:rsidP="001722C7">
      <w:pPr>
        <w:rPr>
          <w:rFonts w:cs="Times New Roman"/>
          <w:szCs w:val="24"/>
          <w:lang w:val="en-US"/>
        </w:rPr>
      </w:pPr>
    </w:p>
    <w:p w14:paraId="37588259" w14:textId="77777777" w:rsidR="00511171" w:rsidRDefault="00511171" w:rsidP="001722C7">
      <w:pPr>
        <w:rPr>
          <w:rFonts w:cs="Times New Roman"/>
          <w:szCs w:val="24"/>
          <w:lang w:val="en-US"/>
        </w:rPr>
      </w:pPr>
    </w:p>
    <w:p w14:paraId="20DE6F48" w14:textId="77777777" w:rsidR="00511171" w:rsidRDefault="00511171" w:rsidP="001722C7">
      <w:pPr>
        <w:rPr>
          <w:rFonts w:cs="Times New Roman"/>
          <w:szCs w:val="24"/>
          <w:lang w:val="en-US"/>
        </w:rPr>
      </w:pPr>
    </w:p>
    <w:p w14:paraId="46CDE8C8" w14:textId="77777777" w:rsidR="00511171" w:rsidRPr="001722C7" w:rsidRDefault="00511171" w:rsidP="001722C7">
      <w:pPr>
        <w:rPr>
          <w:rFonts w:cs="Times New Roman"/>
          <w:szCs w:val="24"/>
          <w:lang w:val="en-US"/>
        </w:rPr>
      </w:pPr>
    </w:p>
    <w:p w14:paraId="39C8DCCC" w14:textId="6593E551" w:rsidR="00560A14" w:rsidRPr="001722C7" w:rsidRDefault="00560A14" w:rsidP="001722C7">
      <w:pPr>
        <w:rPr>
          <w:rFonts w:cs="Times New Roman"/>
          <w:color w:val="EE0000"/>
          <w:szCs w:val="24"/>
          <w:lang w:val="en-US"/>
        </w:rPr>
      </w:pPr>
      <w:r w:rsidRPr="001722C7">
        <w:rPr>
          <w:rFonts w:cs="Times New Roman"/>
          <w:b/>
          <w:bCs/>
          <w:szCs w:val="24"/>
          <w:lang w:val="en-US"/>
        </w:rPr>
        <w:t>4.1</w:t>
      </w:r>
      <w:r w:rsidRPr="001722C7">
        <w:rPr>
          <w:rFonts w:cs="Times New Roman"/>
          <w:szCs w:val="24"/>
          <w:lang w:val="en-US"/>
        </w:rPr>
        <w:t xml:space="preserve"> </w:t>
      </w:r>
      <w:r w:rsidR="00FF1326" w:rsidRPr="001722C7">
        <w:rPr>
          <w:rFonts w:cs="Times New Roman"/>
          <w:b/>
          <w:bCs/>
          <w:szCs w:val="24"/>
          <w:lang w:val="en-US"/>
        </w:rPr>
        <w:t>Effects</w:t>
      </w:r>
      <w:r w:rsidRPr="001722C7">
        <w:rPr>
          <w:rFonts w:cs="Times New Roman"/>
          <w:b/>
          <w:bCs/>
          <w:szCs w:val="24"/>
          <w:lang w:val="en-US"/>
        </w:rPr>
        <w:t xml:space="preserve"> of Urban Sprawl on Sustainable Development</w:t>
      </w:r>
    </w:p>
    <w:p w14:paraId="3679FE48" w14:textId="59FC50D8" w:rsidR="006B1AAF" w:rsidRPr="001722C7" w:rsidRDefault="006B1AAF" w:rsidP="001722C7">
      <w:pPr>
        <w:rPr>
          <w:rFonts w:cs="Times New Roman"/>
          <w:b/>
          <w:bCs/>
          <w:szCs w:val="24"/>
          <w:lang w:val="en-US"/>
        </w:rPr>
      </w:pPr>
      <w:r w:rsidRPr="001722C7">
        <w:rPr>
          <w:rFonts w:cs="Times New Roman"/>
          <w:b/>
          <w:bCs/>
          <w:szCs w:val="24"/>
          <w:lang w:val="en-US"/>
        </w:rPr>
        <w:t xml:space="preserve">Table 1: Environmental </w:t>
      </w:r>
      <w:r w:rsidR="00FF1326" w:rsidRPr="001722C7">
        <w:rPr>
          <w:rFonts w:cs="Times New Roman"/>
          <w:b/>
          <w:bCs/>
          <w:szCs w:val="24"/>
          <w:lang w:val="en-US"/>
        </w:rPr>
        <w:t>Effect</w:t>
      </w:r>
      <w:r w:rsidRPr="001722C7">
        <w:rPr>
          <w:rFonts w:cs="Times New Roman"/>
          <w:b/>
          <w:bCs/>
          <w:szCs w:val="24"/>
          <w:lang w:val="en-US"/>
        </w:rPr>
        <w:t>s of Urban Sprawl</w:t>
      </w:r>
    </w:p>
    <w:tbl>
      <w:tblPr>
        <w:tblStyle w:val="TableGrid"/>
        <w:tblW w:w="0" w:type="auto"/>
        <w:tblLook w:val="04A0" w:firstRow="1" w:lastRow="0" w:firstColumn="1" w:lastColumn="0" w:noHBand="0" w:noVBand="1"/>
      </w:tblPr>
      <w:tblGrid>
        <w:gridCol w:w="1527"/>
        <w:gridCol w:w="696"/>
        <w:gridCol w:w="1728"/>
        <w:gridCol w:w="1666"/>
        <w:gridCol w:w="1708"/>
        <w:gridCol w:w="1691"/>
      </w:tblGrid>
      <w:tr w:rsidR="006B1AAF" w:rsidRPr="001722C7" w14:paraId="25C40BE2" w14:textId="77777777" w:rsidTr="00265DC6">
        <w:tc>
          <w:tcPr>
            <w:tcW w:w="0" w:type="auto"/>
            <w:hideMark/>
          </w:tcPr>
          <w:p w14:paraId="011CDFBC"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Author(s)</w:t>
            </w:r>
          </w:p>
        </w:tc>
        <w:tc>
          <w:tcPr>
            <w:tcW w:w="0" w:type="auto"/>
            <w:hideMark/>
          </w:tcPr>
          <w:p w14:paraId="4BBFDF07"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Year</w:t>
            </w:r>
          </w:p>
        </w:tc>
        <w:tc>
          <w:tcPr>
            <w:tcW w:w="0" w:type="auto"/>
            <w:hideMark/>
          </w:tcPr>
          <w:p w14:paraId="1ADBDE12"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Objectives</w:t>
            </w:r>
          </w:p>
        </w:tc>
        <w:tc>
          <w:tcPr>
            <w:tcW w:w="0" w:type="auto"/>
            <w:hideMark/>
          </w:tcPr>
          <w:p w14:paraId="7FE32543"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Methodology</w:t>
            </w:r>
          </w:p>
        </w:tc>
        <w:tc>
          <w:tcPr>
            <w:tcW w:w="0" w:type="auto"/>
            <w:hideMark/>
          </w:tcPr>
          <w:p w14:paraId="48197B8B"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Key Findings</w:t>
            </w:r>
          </w:p>
        </w:tc>
        <w:tc>
          <w:tcPr>
            <w:tcW w:w="0" w:type="auto"/>
            <w:hideMark/>
          </w:tcPr>
          <w:p w14:paraId="14A5553F"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Relevance</w:t>
            </w:r>
          </w:p>
        </w:tc>
      </w:tr>
      <w:tr w:rsidR="00F715B2" w:rsidRPr="001722C7" w14:paraId="003F662D" w14:textId="77777777" w:rsidTr="00F715B2">
        <w:tc>
          <w:tcPr>
            <w:tcW w:w="0" w:type="auto"/>
          </w:tcPr>
          <w:p w14:paraId="6D08A734" w14:textId="38E5FF3E"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Abass et al.</w:t>
            </w:r>
          </w:p>
        </w:tc>
        <w:tc>
          <w:tcPr>
            <w:tcW w:w="0" w:type="auto"/>
          </w:tcPr>
          <w:p w14:paraId="00036863" w14:textId="6A7DB7C6"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2020</w:t>
            </w:r>
          </w:p>
        </w:tc>
        <w:tc>
          <w:tcPr>
            <w:tcW w:w="0" w:type="auto"/>
          </w:tcPr>
          <w:p w14:paraId="1DC8400F" w14:textId="7400275B"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To explore the relationship between urban sprawl and flood incidence in Kumasi.</w:t>
            </w:r>
          </w:p>
        </w:tc>
        <w:tc>
          <w:tcPr>
            <w:tcW w:w="0" w:type="auto"/>
          </w:tcPr>
          <w:p w14:paraId="264E4BBB" w14:textId="44F2B4A3"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GIS analysis, hydrological data, and field observations.</w:t>
            </w:r>
          </w:p>
        </w:tc>
        <w:tc>
          <w:tcPr>
            <w:tcW w:w="0" w:type="auto"/>
          </w:tcPr>
          <w:p w14:paraId="24BC02CA" w14:textId="2E089E51"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Sprawl contributes to flooding due to encroachment on wetlands and poor drainage.</w:t>
            </w:r>
          </w:p>
        </w:tc>
        <w:tc>
          <w:tcPr>
            <w:tcW w:w="0" w:type="auto"/>
          </w:tcPr>
          <w:p w14:paraId="5BC3C3E7" w14:textId="1BAE5FBF"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Empirically confirms environmental hazards linked to sprawl.</w:t>
            </w:r>
          </w:p>
        </w:tc>
      </w:tr>
      <w:tr w:rsidR="00F715B2" w:rsidRPr="001722C7" w14:paraId="7DC1DF09" w14:textId="77777777" w:rsidTr="006B1AAF">
        <w:trPr>
          <w:trHeight w:val="2491"/>
        </w:trPr>
        <w:tc>
          <w:tcPr>
            <w:tcW w:w="0" w:type="auto"/>
            <w:hideMark/>
          </w:tcPr>
          <w:p w14:paraId="1B3F81B3"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Alikhani, S., Nummi, P., &amp; Ojala, A.</w:t>
            </w:r>
          </w:p>
        </w:tc>
        <w:tc>
          <w:tcPr>
            <w:tcW w:w="0" w:type="auto"/>
            <w:hideMark/>
          </w:tcPr>
          <w:p w14:paraId="6E5F7017"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2021</w:t>
            </w:r>
          </w:p>
        </w:tc>
        <w:tc>
          <w:tcPr>
            <w:tcW w:w="0" w:type="auto"/>
            <w:hideMark/>
          </w:tcPr>
          <w:p w14:paraId="5E5C1631"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To review the ecological and cultural values of urban wetlands.</w:t>
            </w:r>
          </w:p>
        </w:tc>
        <w:tc>
          <w:tcPr>
            <w:tcW w:w="0" w:type="auto"/>
            <w:hideMark/>
          </w:tcPr>
          <w:p w14:paraId="0DCC4F1D"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Literature review.</w:t>
            </w:r>
          </w:p>
        </w:tc>
        <w:tc>
          <w:tcPr>
            <w:tcW w:w="0" w:type="auto"/>
            <w:hideMark/>
          </w:tcPr>
          <w:p w14:paraId="7203C1EE"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Wetlands are crucial for biodiversity and microclimate regulation, and sprawl leads to their destruction.</w:t>
            </w:r>
          </w:p>
        </w:tc>
        <w:tc>
          <w:tcPr>
            <w:tcW w:w="0" w:type="auto"/>
            <w:hideMark/>
          </w:tcPr>
          <w:p w14:paraId="1533C2B9"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Provides theoretical grounding for wetland conservation.</w:t>
            </w:r>
          </w:p>
        </w:tc>
      </w:tr>
      <w:tr w:rsidR="00F715B2" w:rsidRPr="001722C7" w14:paraId="7577088B" w14:textId="77777777" w:rsidTr="006B1AAF">
        <w:trPr>
          <w:trHeight w:val="2491"/>
        </w:trPr>
        <w:tc>
          <w:tcPr>
            <w:tcW w:w="0" w:type="auto"/>
          </w:tcPr>
          <w:p w14:paraId="1EC4D80A" w14:textId="4DFA1B76" w:rsidR="00F715B2" w:rsidRPr="001722C7" w:rsidRDefault="00F715B2" w:rsidP="001722C7">
            <w:pPr>
              <w:spacing w:line="360" w:lineRule="auto"/>
              <w:rPr>
                <w:rFonts w:cs="Times New Roman"/>
                <w:szCs w:val="24"/>
                <w:lang w:val="en-US"/>
              </w:rPr>
            </w:pPr>
            <w:proofErr w:type="spellStart"/>
            <w:r w:rsidRPr="001722C7">
              <w:rPr>
                <w:rFonts w:cs="Times New Roman"/>
                <w:szCs w:val="24"/>
                <w:lang w:val="en-US"/>
              </w:rPr>
              <w:t>Baerbameng</w:t>
            </w:r>
            <w:proofErr w:type="spellEnd"/>
            <w:r w:rsidRPr="001722C7">
              <w:rPr>
                <w:rFonts w:cs="Times New Roman"/>
                <w:szCs w:val="24"/>
                <w:lang w:val="en-US"/>
              </w:rPr>
              <w:t>, G. A.</w:t>
            </w:r>
          </w:p>
        </w:tc>
        <w:tc>
          <w:tcPr>
            <w:tcW w:w="0" w:type="auto"/>
          </w:tcPr>
          <w:p w14:paraId="00A0BFA5" w14:textId="0EFC6965" w:rsidR="00F715B2" w:rsidRPr="001722C7" w:rsidRDefault="00F715B2" w:rsidP="001722C7">
            <w:pPr>
              <w:spacing w:line="360" w:lineRule="auto"/>
              <w:rPr>
                <w:rFonts w:cs="Times New Roman"/>
                <w:szCs w:val="24"/>
                <w:lang w:val="en-US"/>
              </w:rPr>
            </w:pPr>
            <w:r w:rsidRPr="001722C7">
              <w:rPr>
                <w:rFonts w:cs="Times New Roman"/>
                <w:szCs w:val="24"/>
                <w:lang w:val="en-US"/>
              </w:rPr>
              <w:t>2020</w:t>
            </w:r>
          </w:p>
        </w:tc>
        <w:tc>
          <w:tcPr>
            <w:tcW w:w="0" w:type="auto"/>
          </w:tcPr>
          <w:p w14:paraId="31E4BF69" w14:textId="0463EDE9" w:rsidR="00F715B2" w:rsidRPr="001722C7" w:rsidRDefault="00F715B2" w:rsidP="001722C7">
            <w:pPr>
              <w:spacing w:line="360" w:lineRule="auto"/>
              <w:rPr>
                <w:rFonts w:cs="Times New Roman"/>
                <w:szCs w:val="24"/>
                <w:lang w:val="en-US"/>
              </w:rPr>
            </w:pPr>
            <w:r w:rsidRPr="001722C7">
              <w:rPr>
                <w:rFonts w:cs="Times New Roman"/>
                <w:szCs w:val="24"/>
                <w:lang w:val="en-US"/>
              </w:rPr>
              <w:t>To examine how urban sprawl contributes to environmental degradation in Ghanaian cities.</w:t>
            </w:r>
          </w:p>
        </w:tc>
        <w:tc>
          <w:tcPr>
            <w:tcW w:w="0" w:type="auto"/>
          </w:tcPr>
          <w:p w14:paraId="2F8FE7E7" w14:textId="08AAA930" w:rsidR="00F715B2" w:rsidRPr="001722C7" w:rsidRDefault="00F715B2" w:rsidP="001722C7">
            <w:pPr>
              <w:spacing w:line="360" w:lineRule="auto"/>
              <w:rPr>
                <w:rFonts w:cs="Times New Roman"/>
                <w:szCs w:val="24"/>
                <w:lang w:val="en-US"/>
              </w:rPr>
            </w:pPr>
            <w:r w:rsidRPr="001722C7">
              <w:rPr>
                <w:rFonts w:cs="Times New Roman"/>
                <w:szCs w:val="24"/>
                <w:lang w:val="en-US"/>
              </w:rPr>
              <w:t>Comparative analysis of Accra and Kumasi using spatial development trends.</w:t>
            </w:r>
          </w:p>
        </w:tc>
        <w:tc>
          <w:tcPr>
            <w:tcW w:w="0" w:type="auto"/>
          </w:tcPr>
          <w:p w14:paraId="3EC05635" w14:textId="162949FE" w:rsidR="00F715B2" w:rsidRPr="001722C7" w:rsidRDefault="00F715B2" w:rsidP="001722C7">
            <w:pPr>
              <w:spacing w:line="360" w:lineRule="auto"/>
              <w:rPr>
                <w:rFonts w:cs="Times New Roman"/>
                <w:szCs w:val="24"/>
                <w:lang w:val="en-US"/>
              </w:rPr>
            </w:pPr>
            <w:r w:rsidRPr="001722C7">
              <w:rPr>
                <w:rFonts w:cs="Times New Roman"/>
                <w:szCs w:val="24"/>
                <w:lang w:val="en-US"/>
              </w:rPr>
              <w:t>Urban sprawl leads to extensive degradation of green infrastructure and ecological vulnerability.</w:t>
            </w:r>
          </w:p>
        </w:tc>
        <w:tc>
          <w:tcPr>
            <w:tcW w:w="0" w:type="auto"/>
          </w:tcPr>
          <w:p w14:paraId="73B803CF" w14:textId="4908478D" w:rsidR="00F715B2" w:rsidRPr="001722C7" w:rsidRDefault="00F715B2" w:rsidP="001722C7">
            <w:pPr>
              <w:spacing w:line="360" w:lineRule="auto"/>
              <w:rPr>
                <w:rFonts w:cs="Times New Roman"/>
                <w:szCs w:val="24"/>
                <w:lang w:val="en-US"/>
              </w:rPr>
            </w:pPr>
            <w:r w:rsidRPr="001722C7">
              <w:rPr>
                <w:rFonts w:cs="Times New Roman"/>
                <w:szCs w:val="24"/>
                <w:lang w:val="en-US"/>
              </w:rPr>
              <w:t>Highlights the ecological risks of unplanned urban growth.</w:t>
            </w:r>
          </w:p>
        </w:tc>
      </w:tr>
      <w:tr w:rsidR="00F715B2" w:rsidRPr="001722C7" w14:paraId="7749349A" w14:textId="77777777" w:rsidTr="00265DC6">
        <w:tc>
          <w:tcPr>
            <w:tcW w:w="0" w:type="auto"/>
            <w:hideMark/>
          </w:tcPr>
          <w:p w14:paraId="11966671" w14:textId="77777777" w:rsidR="00F715B2" w:rsidRPr="001722C7" w:rsidRDefault="00F715B2" w:rsidP="001722C7">
            <w:pPr>
              <w:spacing w:before="120" w:after="120" w:line="360" w:lineRule="auto"/>
              <w:rPr>
                <w:rFonts w:cs="Times New Roman"/>
                <w:szCs w:val="24"/>
                <w:lang w:val="en-US"/>
              </w:rPr>
            </w:pPr>
            <w:proofErr w:type="spellStart"/>
            <w:r w:rsidRPr="001722C7">
              <w:rPr>
                <w:rFonts w:cs="Times New Roman"/>
                <w:szCs w:val="24"/>
                <w:lang w:val="en-US"/>
              </w:rPr>
              <w:lastRenderedPageBreak/>
              <w:t>Cobbinah</w:t>
            </w:r>
            <w:proofErr w:type="spellEnd"/>
            <w:r w:rsidRPr="001722C7">
              <w:rPr>
                <w:rFonts w:cs="Times New Roman"/>
                <w:szCs w:val="24"/>
                <w:lang w:val="en-US"/>
              </w:rPr>
              <w:t>, P. B., &amp; Amoako, C.</w:t>
            </w:r>
          </w:p>
        </w:tc>
        <w:tc>
          <w:tcPr>
            <w:tcW w:w="0" w:type="auto"/>
            <w:hideMark/>
          </w:tcPr>
          <w:p w14:paraId="51E4AE6E"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2012</w:t>
            </w:r>
          </w:p>
        </w:tc>
        <w:tc>
          <w:tcPr>
            <w:tcW w:w="0" w:type="auto"/>
            <w:hideMark/>
          </w:tcPr>
          <w:p w14:paraId="4D048056"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To assess the impact of urban expansion on green infrastructure in Kumasi.</w:t>
            </w:r>
          </w:p>
        </w:tc>
        <w:tc>
          <w:tcPr>
            <w:tcW w:w="0" w:type="auto"/>
            <w:hideMark/>
          </w:tcPr>
          <w:p w14:paraId="40BC3CEE"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Spatial analysis using GIS and field data.</w:t>
            </w:r>
          </w:p>
        </w:tc>
        <w:tc>
          <w:tcPr>
            <w:tcW w:w="0" w:type="auto"/>
            <w:hideMark/>
          </w:tcPr>
          <w:p w14:paraId="107A6090"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Kumasi’s green infrastructure has significantly declined due to sprawl.</w:t>
            </w:r>
          </w:p>
        </w:tc>
        <w:tc>
          <w:tcPr>
            <w:tcW w:w="0" w:type="auto"/>
            <w:hideMark/>
          </w:tcPr>
          <w:p w14:paraId="41D72F95"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Demonstrates city-level ecological degradation due to urban sprawl.</w:t>
            </w:r>
          </w:p>
        </w:tc>
      </w:tr>
      <w:tr w:rsidR="00F715B2" w:rsidRPr="001722C7" w14:paraId="242A9C0F" w14:textId="77777777" w:rsidTr="00265DC6">
        <w:tc>
          <w:tcPr>
            <w:tcW w:w="0" w:type="auto"/>
            <w:hideMark/>
          </w:tcPr>
          <w:p w14:paraId="18ED3E00" w14:textId="77777777" w:rsidR="00F715B2" w:rsidRPr="001722C7" w:rsidRDefault="00F715B2" w:rsidP="001722C7">
            <w:pPr>
              <w:spacing w:before="120" w:after="120" w:line="360" w:lineRule="auto"/>
              <w:rPr>
                <w:rFonts w:cs="Times New Roman"/>
                <w:szCs w:val="24"/>
                <w:lang w:val="en-US"/>
              </w:rPr>
            </w:pPr>
            <w:proofErr w:type="spellStart"/>
            <w:r w:rsidRPr="001722C7">
              <w:rPr>
                <w:rFonts w:cs="Times New Roman"/>
                <w:szCs w:val="24"/>
                <w:lang w:val="en-US"/>
              </w:rPr>
              <w:t>Puplampu</w:t>
            </w:r>
            <w:proofErr w:type="spellEnd"/>
            <w:r w:rsidRPr="001722C7">
              <w:rPr>
                <w:rFonts w:cs="Times New Roman"/>
                <w:szCs w:val="24"/>
                <w:lang w:val="en-US"/>
              </w:rPr>
              <w:t xml:space="preserve"> &amp; </w:t>
            </w:r>
            <w:proofErr w:type="spellStart"/>
            <w:r w:rsidRPr="001722C7">
              <w:rPr>
                <w:rFonts w:cs="Times New Roman"/>
                <w:szCs w:val="24"/>
                <w:lang w:val="en-US"/>
              </w:rPr>
              <w:t>Puplampu</w:t>
            </w:r>
            <w:proofErr w:type="spellEnd"/>
          </w:p>
        </w:tc>
        <w:tc>
          <w:tcPr>
            <w:tcW w:w="0" w:type="auto"/>
            <w:hideMark/>
          </w:tcPr>
          <w:p w14:paraId="607057D2"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2021</w:t>
            </w:r>
          </w:p>
        </w:tc>
        <w:tc>
          <w:tcPr>
            <w:tcW w:w="0" w:type="auto"/>
            <w:hideMark/>
          </w:tcPr>
          <w:p w14:paraId="50E5FA9D"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To assess sprawl's impact on wetland ecosystems in Accra.</w:t>
            </w:r>
          </w:p>
        </w:tc>
        <w:tc>
          <w:tcPr>
            <w:tcW w:w="0" w:type="auto"/>
            <w:hideMark/>
          </w:tcPr>
          <w:p w14:paraId="21CC4562"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Field-based ecological assessment.</w:t>
            </w:r>
          </w:p>
        </w:tc>
        <w:tc>
          <w:tcPr>
            <w:tcW w:w="0" w:type="auto"/>
            <w:hideMark/>
          </w:tcPr>
          <w:p w14:paraId="348E8D1B"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Urban sprawl destroys wetlands and exposes the city to climate risks.</w:t>
            </w:r>
          </w:p>
        </w:tc>
        <w:tc>
          <w:tcPr>
            <w:tcW w:w="0" w:type="auto"/>
            <w:hideMark/>
          </w:tcPr>
          <w:p w14:paraId="5BC809BE" w14:textId="77777777" w:rsidR="00F715B2" w:rsidRPr="001722C7" w:rsidRDefault="00F715B2" w:rsidP="001722C7">
            <w:pPr>
              <w:spacing w:before="120" w:after="120" w:line="360" w:lineRule="auto"/>
              <w:rPr>
                <w:rFonts w:cs="Times New Roman"/>
                <w:szCs w:val="24"/>
                <w:lang w:val="en-US"/>
              </w:rPr>
            </w:pPr>
            <w:r w:rsidRPr="001722C7">
              <w:rPr>
                <w:rFonts w:cs="Times New Roman"/>
                <w:szCs w:val="24"/>
                <w:lang w:val="en-US"/>
              </w:rPr>
              <w:t>Underscores climate vulnerability due to land conversion.</w:t>
            </w:r>
          </w:p>
        </w:tc>
      </w:tr>
    </w:tbl>
    <w:p w14:paraId="11B1C3B8" w14:textId="0C7F6D5D" w:rsidR="006B1AAF" w:rsidRPr="001722C7" w:rsidRDefault="006B1AAF" w:rsidP="001722C7">
      <w:pPr>
        <w:rPr>
          <w:rFonts w:cs="Times New Roman"/>
          <w:szCs w:val="24"/>
          <w:lang w:val="en-US"/>
        </w:rPr>
      </w:pPr>
      <w:r w:rsidRPr="001722C7">
        <w:rPr>
          <w:rFonts w:cs="Times New Roman"/>
          <w:szCs w:val="24"/>
          <w:lang w:val="en-US"/>
        </w:rPr>
        <w:t>Source: Authors’ Construct</w:t>
      </w:r>
    </w:p>
    <w:p w14:paraId="6BAE1C45" w14:textId="484C9C34" w:rsidR="006B1AAF" w:rsidRPr="001722C7" w:rsidRDefault="006B1AAF" w:rsidP="001722C7">
      <w:pPr>
        <w:rPr>
          <w:rFonts w:cs="Times New Roman"/>
          <w:b/>
          <w:bCs/>
          <w:szCs w:val="24"/>
          <w:lang w:val="en-US"/>
        </w:rPr>
      </w:pPr>
      <w:r w:rsidRPr="001722C7">
        <w:rPr>
          <w:rFonts w:cs="Times New Roman"/>
          <w:b/>
          <w:bCs/>
          <w:szCs w:val="24"/>
          <w:lang w:val="en-US"/>
        </w:rPr>
        <w:t xml:space="preserve">Table 2: Social </w:t>
      </w:r>
      <w:r w:rsidR="00D542BD" w:rsidRPr="001722C7">
        <w:rPr>
          <w:rFonts w:cs="Times New Roman"/>
          <w:b/>
          <w:bCs/>
          <w:szCs w:val="24"/>
          <w:lang w:val="en-US"/>
        </w:rPr>
        <w:t>Effect</w:t>
      </w:r>
      <w:r w:rsidRPr="001722C7">
        <w:rPr>
          <w:rFonts w:cs="Times New Roman"/>
          <w:b/>
          <w:bCs/>
          <w:szCs w:val="24"/>
          <w:lang w:val="en-US"/>
        </w:rPr>
        <w:t>s of Urban Sprawl</w:t>
      </w:r>
    </w:p>
    <w:tbl>
      <w:tblPr>
        <w:tblStyle w:val="TableGrid"/>
        <w:tblW w:w="0" w:type="auto"/>
        <w:tblLook w:val="04A0" w:firstRow="1" w:lastRow="0" w:firstColumn="1" w:lastColumn="0" w:noHBand="0" w:noVBand="1"/>
      </w:tblPr>
      <w:tblGrid>
        <w:gridCol w:w="1301"/>
        <w:gridCol w:w="696"/>
        <w:gridCol w:w="1736"/>
        <w:gridCol w:w="1657"/>
        <w:gridCol w:w="2049"/>
        <w:gridCol w:w="1577"/>
      </w:tblGrid>
      <w:tr w:rsidR="006B1AAF" w:rsidRPr="001722C7" w14:paraId="1A696E36" w14:textId="77777777" w:rsidTr="00265DC6">
        <w:tc>
          <w:tcPr>
            <w:tcW w:w="0" w:type="auto"/>
            <w:hideMark/>
          </w:tcPr>
          <w:p w14:paraId="117F6646"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Author(s)</w:t>
            </w:r>
          </w:p>
        </w:tc>
        <w:tc>
          <w:tcPr>
            <w:tcW w:w="0" w:type="auto"/>
            <w:hideMark/>
          </w:tcPr>
          <w:p w14:paraId="5F8351C9"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Year</w:t>
            </w:r>
          </w:p>
        </w:tc>
        <w:tc>
          <w:tcPr>
            <w:tcW w:w="0" w:type="auto"/>
            <w:hideMark/>
          </w:tcPr>
          <w:p w14:paraId="4BE57B5D"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Objectives</w:t>
            </w:r>
          </w:p>
        </w:tc>
        <w:tc>
          <w:tcPr>
            <w:tcW w:w="0" w:type="auto"/>
            <w:hideMark/>
          </w:tcPr>
          <w:p w14:paraId="3DBA757A"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Methodology</w:t>
            </w:r>
          </w:p>
        </w:tc>
        <w:tc>
          <w:tcPr>
            <w:tcW w:w="0" w:type="auto"/>
            <w:hideMark/>
          </w:tcPr>
          <w:p w14:paraId="3539A93B"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Key Findings</w:t>
            </w:r>
          </w:p>
        </w:tc>
        <w:tc>
          <w:tcPr>
            <w:tcW w:w="0" w:type="auto"/>
            <w:hideMark/>
          </w:tcPr>
          <w:p w14:paraId="001E0318"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Relevance</w:t>
            </w:r>
          </w:p>
        </w:tc>
      </w:tr>
      <w:tr w:rsidR="006B1AAF" w:rsidRPr="001722C7" w14:paraId="05D66E3B" w14:textId="77777777" w:rsidTr="00265DC6">
        <w:tc>
          <w:tcPr>
            <w:tcW w:w="0" w:type="auto"/>
            <w:hideMark/>
          </w:tcPr>
          <w:p w14:paraId="0A93DC4D"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Afriyie et al.</w:t>
            </w:r>
          </w:p>
        </w:tc>
        <w:tc>
          <w:tcPr>
            <w:tcW w:w="0" w:type="auto"/>
            <w:hideMark/>
          </w:tcPr>
          <w:p w14:paraId="65772F5E"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2019</w:t>
            </w:r>
          </w:p>
        </w:tc>
        <w:tc>
          <w:tcPr>
            <w:tcW w:w="0" w:type="auto"/>
            <w:hideMark/>
          </w:tcPr>
          <w:p w14:paraId="2861083C"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To investigate how peri-urban expansion affects traditional communities.</w:t>
            </w:r>
          </w:p>
        </w:tc>
        <w:tc>
          <w:tcPr>
            <w:tcW w:w="0" w:type="auto"/>
            <w:hideMark/>
          </w:tcPr>
          <w:p w14:paraId="2D85AC88"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Mixed methods: surveys and interviews.</w:t>
            </w:r>
          </w:p>
        </w:tc>
        <w:tc>
          <w:tcPr>
            <w:tcW w:w="0" w:type="auto"/>
            <w:hideMark/>
          </w:tcPr>
          <w:p w14:paraId="7C38A2DD"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Displacement and cultural erosion due to commodification of land.</w:t>
            </w:r>
          </w:p>
        </w:tc>
        <w:tc>
          <w:tcPr>
            <w:tcW w:w="0" w:type="auto"/>
            <w:hideMark/>
          </w:tcPr>
          <w:p w14:paraId="23CCE0BD"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Highlights loss of indigenous values and cohesion.</w:t>
            </w:r>
          </w:p>
        </w:tc>
      </w:tr>
      <w:tr w:rsidR="006B1AAF" w:rsidRPr="001722C7" w14:paraId="55284EF9" w14:textId="77777777" w:rsidTr="00265DC6">
        <w:tc>
          <w:tcPr>
            <w:tcW w:w="0" w:type="auto"/>
            <w:hideMark/>
          </w:tcPr>
          <w:p w14:paraId="0E4F906C"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Anarfi, K., Hill, R. A., &amp; Shiel, C.</w:t>
            </w:r>
          </w:p>
        </w:tc>
        <w:tc>
          <w:tcPr>
            <w:tcW w:w="0" w:type="auto"/>
            <w:hideMark/>
          </w:tcPr>
          <w:p w14:paraId="1D64418C"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2020</w:t>
            </w:r>
          </w:p>
        </w:tc>
        <w:tc>
          <w:tcPr>
            <w:tcW w:w="0" w:type="auto"/>
            <w:hideMark/>
          </w:tcPr>
          <w:p w14:paraId="2A33682F"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To compare sustainability issues in Accra and Kumasi.</w:t>
            </w:r>
          </w:p>
        </w:tc>
        <w:tc>
          <w:tcPr>
            <w:tcW w:w="0" w:type="auto"/>
            <w:hideMark/>
          </w:tcPr>
          <w:p w14:paraId="1130A220"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Comparative sustainability assessment.</w:t>
            </w:r>
          </w:p>
        </w:tc>
        <w:tc>
          <w:tcPr>
            <w:tcW w:w="0" w:type="auto"/>
            <w:hideMark/>
          </w:tcPr>
          <w:p w14:paraId="11C8714E"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Sprawl reduces social connectedness and communal resilience.</w:t>
            </w:r>
          </w:p>
        </w:tc>
        <w:tc>
          <w:tcPr>
            <w:tcW w:w="0" w:type="auto"/>
            <w:hideMark/>
          </w:tcPr>
          <w:p w14:paraId="51AF8258" w14:textId="77777777" w:rsidR="006B1AAF" w:rsidRPr="001722C7" w:rsidRDefault="006B1AAF" w:rsidP="001722C7">
            <w:pPr>
              <w:spacing w:before="120" w:after="120" w:line="360" w:lineRule="auto"/>
              <w:rPr>
                <w:rFonts w:cs="Times New Roman"/>
                <w:szCs w:val="24"/>
                <w:lang w:val="en-US"/>
              </w:rPr>
            </w:pPr>
            <w:r w:rsidRPr="001722C7">
              <w:rPr>
                <w:rFonts w:cs="Times New Roman"/>
                <w:szCs w:val="24"/>
                <w:lang w:val="en-US"/>
              </w:rPr>
              <w:t>Emphasizes decline in quality of life and civic ties.</w:t>
            </w:r>
          </w:p>
        </w:tc>
      </w:tr>
      <w:tr w:rsidR="00F715B2" w:rsidRPr="001722C7" w14:paraId="78CF60BF" w14:textId="77777777" w:rsidTr="00265DC6">
        <w:tc>
          <w:tcPr>
            <w:tcW w:w="0" w:type="auto"/>
          </w:tcPr>
          <w:p w14:paraId="55B1F5DF" w14:textId="0CF2B033" w:rsidR="00F715B2" w:rsidRPr="001722C7" w:rsidRDefault="00F715B2" w:rsidP="001722C7">
            <w:pPr>
              <w:spacing w:line="360" w:lineRule="auto"/>
              <w:rPr>
                <w:rFonts w:cs="Times New Roman"/>
                <w:szCs w:val="24"/>
                <w:lang w:val="en-US"/>
              </w:rPr>
            </w:pPr>
            <w:r w:rsidRPr="001722C7">
              <w:rPr>
                <w:rFonts w:cs="Times New Roman"/>
                <w:szCs w:val="24"/>
                <w:lang w:val="en-US"/>
              </w:rPr>
              <w:t>Obeng-Odoom, F.</w:t>
            </w:r>
          </w:p>
        </w:tc>
        <w:tc>
          <w:tcPr>
            <w:tcW w:w="0" w:type="auto"/>
          </w:tcPr>
          <w:p w14:paraId="2732404F" w14:textId="555E5809" w:rsidR="00F715B2" w:rsidRPr="001722C7" w:rsidRDefault="00F715B2" w:rsidP="001722C7">
            <w:pPr>
              <w:spacing w:line="360" w:lineRule="auto"/>
              <w:rPr>
                <w:rFonts w:cs="Times New Roman"/>
                <w:szCs w:val="24"/>
                <w:lang w:val="en-US"/>
              </w:rPr>
            </w:pPr>
            <w:r w:rsidRPr="001722C7">
              <w:rPr>
                <w:rFonts w:cs="Times New Roman"/>
                <w:szCs w:val="24"/>
                <w:lang w:val="en-US"/>
              </w:rPr>
              <w:t>2014</w:t>
            </w:r>
          </w:p>
        </w:tc>
        <w:tc>
          <w:tcPr>
            <w:tcW w:w="0" w:type="auto"/>
          </w:tcPr>
          <w:p w14:paraId="4DD9D770" w14:textId="1F64445D" w:rsidR="00F715B2" w:rsidRPr="001722C7" w:rsidRDefault="00F715B2" w:rsidP="001722C7">
            <w:pPr>
              <w:spacing w:line="360" w:lineRule="auto"/>
              <w:rPr>
                <w:rFonts w:cs="Times New Roman"/>
                <w:szCs w:val="24"/>
                <w:lang w:val="en-US"/>
              </w:rPr>
            </w:pPr>
            <w:r w:rsidRPr="001722C7">
              <w:rPr>
                <w:rFonts w:cs="Times New Roman"/>
                <w:szCs w:val="24"/>
                <w:lang w:val="en-US"/>
              </w:rPr>
              <w:t xml:space="preserve">To analyze class-based segregation in </w:t>
            </w:r>
            <w:r w:rsidRPr="001722C7">
              <w:rPr>
                <w:rFonts w:cs="Times New Roman"/>
                <w:szCs w:val="24"/>
                <w:lang w:val="en-US"/>
              </w:rPr>
              <w:lastRenderedPageBreak/>
              <w:t>Ghanaian urban spaces.</w:t>
            </w:r>
          </w:p>
        </w:tc>
        <w:tc>
          <w:tcPr>
            <w:tcW w:w="0" w:type="auto"/>
          </w:tcPr>
          <w:p w14:paraId="392ABB21" w14:textId="649F5742" w:rsidR="00F715B2" w:rsidRPr="001722C7" w:rsidRDefault="00F715B2" w:rsidP="001722C7">
            <w:pPr>
              <w:spacing w:line="360" w:lineRule="auto"/>
              <w:rPr>
                <w:rFonts w:cs="Times New Roman"/>
                <w:szCs w:val="24"/>
                <w:lang w:val="en-US"/>
              </w:rPr>
            </w:pPr>
            <w:r w:rsidRPr="001722C7">
              <w:rPr>
                <w:rFonts w:cs="Times New Roman"/>
                <w:szCs w:val="24"/>
                <w:lang w:val="en-US"/>
              </w:rPr>
              <w:lastRenderedPageBreak/>
              <w:t>Case study approach.</w:t>
            </w:r>
          </w:p>
        </w:tc>
        <w:tc>
          <w:tcPr>
            <w:tcW w:w="0" w:type="auto"/>
          </w:tcPr>
          <w:p w14:paraId="3759B9DB" w14:textId="4FE37703" w:rsidR="00F715B2" w:rsidRPr="001722C7" w:rsidRDefault="00F715B2" w:rsidP="001722C7">
            <w:pPr>
              <w:spacing w:line="360" w:lineRule="auto"/>
              <w:rPr>
                <w:rFonts w:cs="Times New Roman"/>
                <w:szCs w:val="24"/>
                <w:lang w:val="en-US"/>
              </w:rPr>
            </w:pPr>
            <w:r w:rsidRPr="001722C7">
              <w:rPr>
                <w:rFonts w:cs="Times New Roman"/>
                <w:szCs w:val="24"/>
                <w:lang w:val="en-US"/>
              </w:rPr>
              <w:t xml:space="preserve">Urban sprawl exacerbates spatial inequality and </w:t>
            </w:r>
            <w:r w:rsidRPr="001722C7">
              <w:rPr>
                <w:rFonts w:cs="Times New Roman"/>
                <w:szCs w:val="24"/>
                <w:lang w:val="en-US"/>
              </w:rPr>
              <w:lastRenderedPageBreak/>
              <w:t>marginalizes the poor.</w:t>
            </w:r>
          </w:p>
        </w:tc>
        <w:tc>
          <w:tcPr>
            <w:tcW w:w="0" w:type="auto"/>
          </w:tcPr>
          <w:p w14:paraId="083BCA5F" w14:textId="6459877A" w:rsidR="00F715B2" w:rsidRPr="001722C7" w:rsidRDefault="00F715B2" w:rsidP="001722C7">
            <w:pPr>
              <w:spacing w:line="360" w:lineRule="auto"/>
              <w:rPr>
                <w:rFonts w:cs="Times New Roman"/>
                <w:szCs w:val="24"/>
                <w:lang w:val="en-US"/>
              </w:rPr>
            </w:pPr>
            <w:r w:rsidRPr="001722C7">
              <w:rPr>
                <w:rFonts w:cs="Times New Roman"/>
                <w:szCs w:val="24"/>
                <w:lang w:val="en-US"/>
              </w:rPr>
              <w:lastRenderedPageBreak/>
              <w:t xml:space="preserve">Shows how sprawl reinforces </w:t>
            </w:r>
            <w:r w:rsidRPr="001722C7">
              <w:rPr>
                <w:rFonts w:cs="Times New Roman"/>
                <w:szCs w:val="24"/>
                <w:lang w:val="en-US"/>
              </w:rPr>
              <w:lastRenderedPageBreak/>
              <w:t>social hierarchies.</w:t>
            </w:r>
          </w:p>
        </w:tc>
      </w:tr>
      <w:tr w:rsidR="00F715B2" w:rsidRPr="001722C7" w14:paraId="3F830C5E" w14:textId="77777777" w:rsidTr="00265DC6">
        <w:tc>
          <w:tcPr>
            <w:tcW w:w="0" w:type="auto"/>
          </w:tcPr>
          <w:p w14:paraId="08DCB865" w14:textId="07CE579C" w:rsidR="00F715B2" w:rsidRPr="001722C7" w:rsidRDefault="00F715B2" w:rsidP="001722C7">
            <w:pPr>
              <w:spacing w:line="360" w:lineRule="auto"/>
              <w:rPr>
                <w:rFonts w:cs="Times New Roman"/>
                <w:szCs w:val="24"/>
                <w:lang w:val="en-US"/>
              </w:rPr>
            </w:pPr>
            <w:r w:rsidRPr="001722C7">
              <w:rPr>
                <w:rFonts w:cs="Times New Roman"/>
                <w:szCs w:val="24"/>
                <w:lang w:val="en-US"/>
              </w:rPr>
              <w:lastRenderedPageBreak/>
              <w:t>Owusu, G.</w:t>
            </w:r>
          </w:p>
        </w:tc>
        <w:tc>
          <w:tcPr>
            <w:tcW w:w="0" w:type="auto"/>
          </w:tcPr>
          <w:p w14:paraId="169AAE52" w14:textId="1203BBF7" w:rsidR="00F715B2" w:rsidRPr="001722C7" w:rsidRDefault="00F715B2" w:rsidP="001722C7">
            <w:pPr>
              <w:spacing w:line="360" w:lineRule="auto"/>
              <w:rPr>
                <w:rFonts w:cs="Times New Roman"/>
                <w:szCs w:val="24"/>
                <w:lang w:val="en-US"/>
              </w:rPr>
            </w:pPr>
            <w:r w:rsidRPr="001722C7">
              <w:rPr>
                <w:rFonts w:cs="Times New Roman"/>
                <w:szCs w:val="24"/>
                <w:lang w:val="en-US"/>
              </w:rPr>
              <w:t>2013</w:t>
            </w:r>
          </w:p>
        </w:tc>
        <w:tc>
          <w:tcPr>
            <w:tcW w:w="0" w:type="auto"/>
          </w:tcPr>
          <w:p w14:paraId="471E3909" w14:textId="344EA05D" w:rsidR="00F715B2" w:rsidRPr="001722C7" w:rsidRDefault="00F715B2" w:rsidP="001722C7">
            <w:pPr>
              <w:spacing w:line="360" w:lineRule="auto"/>
              <w:rPr>
                <w:rFonts w:cs="Times New Roman"/>
                <w:szCs w:val="24"/>
                <w:lang w:val="en-US"/>
              </w:rPr>
            </w:pPr>
            <w:r w:rsidRPr="001722C7">
              <w:rPr>
                <w:rFonts w:cs="Times New Roman"/>
                <w:szCs w:val="24"/>
                <w:lang w:val="en-US"/>
              </w:rPr>
              <w:t>To examine the social service challenges in peri-urban Accra due to sprawl.</w:t>
            </w:r>
          </w:p>
        </w:tc>
        <w:tc>
          <w:tcPr>
            <w:tcW w:w="0" w:type="auto"/>
          </w:tcPr>
          <w:p w14:paraId="6D7EDF6A" w14:textId="476ADB03" w:rsidR="00F715B2" w:rsidRPr="001722C7" w:rsidRDefault="00F715B2" w:rsidP="001722C7">
            <w:pPr>
              <w:spacing w:line="360" w:lineRule="auto"/>
              <w:rPr>
                <w:rFonts w:cs="Times New Roman"/>
                <w:szCs w:val="24"/>
                <w:lang w:val="en-US"/>
              </w:rPr>
            </w:pPr>
            <w:r w:rsidRPr="001722C7">
              <w:rPr>
                <w:rFonts w:cs="Times New Roman"/>
                <w:szCs w:val="24"/>
                <w:lang w:val="en-US"/>
              </w:rPr>
              <w:t>Policy analysis and field interviews.</w:t>
            </w:r>
          </w:p>
        </w:tc>
        <w:tc>
          <w:tcPr>
            <w:tcW w:w="0" w:type="auto"/>
          </w:tcPr>
          <w:p w14:paraId="374DDAD9" w14:textId="6960EA03" w:rsidR="00F715B2" w:rsidRPr="001722C7" w:rsidRDefault="00F715B2" w:rsidP="001722C7">
            <w:pPr>
              <w:spacing w:line="360" w:lineRule="auto"/>
              <w:rPr>
                <w:rFonts w:cs="Times New Roman"/>
                <w:szCs w:val="24"/>
                <w:lang w:val="en-US"/>
              </w:rPr>
            </w:pPr>
            <w:r w:rsidRPr="001722C7">
              <w:rPr>
                <w:rFonts w:cs="Times New Roman"/>
                <w:szCs w:val="24"/>
                <w:lang w:val="en-US"/>
              </w:rPr>
              <w:t>Lack of social infrastructure in sprawling settlements fosters inequality.</w:t>
            </w:r>
          </w:p>
        </w:tc>
        <w:tc>
          <w:tcPr>
            <w:tcW w:w="0" w:type="auto"/>
          </w:tcPr>
          <w:p w14:paraId="40D17BB1" w14:textId="45FE72D2" w:rsidR="00F715B2" w:rsidRPr="001722C7" w:rsidRDefault="00F715B2" w:rsidP="001722C7">
            <w:pPr>
              <w:spacing w:line="360" w:lineRule="auto"/>
              <w:rPr>
                <w:rFonts w:cs="Times New Roman"/>
                <w:szCs w:val="24"/>
                <w:lang w:val="en-US"/>
              </w:rPr>
            </w:pPr>
            <w:r w:rsidRPr="001722C7">
              <w:rPr>
                <w:rFonts w:cs="Times New Roman"/>
                <w:szCs w:val="24"/>
                <w:lang w:val="en-US"/>
              </w:rPr>
              <w:t>Connects sprawl with social exclusion and inadequate service provision.</w:t>
            </w:r>
          </w:p>
        </w:tc>
      </w:tr>
    </w:tbl>
    <w:p w14:paraId="7E794DAC" w14:textId="3C4318B5" w:rsidR="006B1AAF" w:rsidRPr="001722C7" w:rsidRDefault="006B1AAF" w:rsidP="001722C7">
      <w:pPr>
        <w:rPr>
          <w:rFonts w:cs="Times New Roman"/>
          <w:szCs w:val="24"/>
          <w:lang w:val="en-US"/>
        </w:rPr>
      </w:pPr>
      <w:r w:rsidRPr="001722C7">
        <w:rPr>
          <w:rFonts w:cs="Times New Roman"/>
          <w:szCs w:val="24"/>
          <w:lang w:val="en-US"/>
        </w:rPr>
        <w:t>Source: Authors’ Construct</w:t>
      </w:r>
    </w:p>
    <w:p w14:paraId="0EA5B0B4" w14:textId="1DCBC3FE" w:rsidR="006B1AAF" w:rsidRPr="001722C7" w:rsidRDefault="006B1AAF" w:rsidP="001722C7">
      <w:pPr>
        <w:rPr>
          <w:rFonts w:cs="Times New Roman"/>
          <w:b/>
          <w:bCs/>
          <w:szCs w:val="24"/>
          <w:lang w:val="en-US"/>
        </w:rPr>
      </w:pPr>
      <w:r w:rsidRPr="001722C7">
        <w:rPr>
          <w:rFonts w:cs="Times New Roman"/>
          <w:b/>
          <w:bCs/>
          <w:szCs w:val="24"/>
          <w:lang w:val="en-US"/>
        </w:rPr>
        <w:t xml:space="preserve">Table 3: Economic </w:t>
      </w:r>
      <w:r w:rsidR="00D542BD" w:rsidRPr="001722C7">
        <w:rPr>
          <w:rFonts w:cs="Times New Roman"/>
          <w:b/>
          <w:bCs/>
          <w:szCs w:val="24"/>
          <w:lang w:val="en-US"/>
        </w:rPr>
        <w:t>Effect</w:t>
      </w:r>
      <w:r w:rsidRPr="001722C7">
        <w:rPr>
          <w:rFonts w:cs="Times New Roman"/>
          <w:b/>
          <w:bCs/>
          <w:szCs w:val="24"/>
          <w:lang w:val="en-US"/>
        </w:rPr>
        <w:t>s of Urban Sprawl</w:t>
      </w:r>
    </w:p>
    <w:tbl>
      <w:tblPr>
        <w:tblStyle w:val="TableGrid"/>
        <w:tblW w:w="0" w:type="auto"/>
        <w:tblLook w:val="04A0" w:firstRow="1" w:lastRow="0" w:firstColumn="1" w:lastColumn="0" w:noHBand="0" w:noVBand="1"/>
      </w:tblPr>
      <w:tblGrid>
        <w:gridCol w:w="1348"/>
        <w:gridCol w:w="696"/>
        <w:gridCol w:w="1766"/>
        <w:gridCol w:w="1768"/>
        <w:gridCol w:w="1719"/>
        <w:gridCol w:w="1719"/>
      </w:tblGrid>
      <w:tr w:rsidR="006B1AAF" w:rsidRPr="001722C7" w14:paraId="50F6DACF" w14:textId="77777777" w:rsidTr="00265DC6">
        <w:tc>
          <w:tcPr>
            <w:tcW w:w="0" w:type="auto"/>
            <w:hideMark/>
          </w:tcPr>
          <w:p w14:paraId="0578AE8E"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Author(s)</w:t>
            </w:r>
          </w:p>
        </w:tc>
        <w:tc>
          <w:tcPr>
            <w:tcW w:w="0" w:type="auto"/>
            <w:hideMark/>
          </w:tcPr>
          <w:p w14:paraId="01CD23CE"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Year</w:t>
            </w:r>
          </w:p>
        </w:tc>
        <w:tc>
          <w:tcPr>
            <w:tcW w:w="0" w:type="auto"/>
            <w:hideMark/>
          </w:tcPr>
          <w:p w14:paraId="35E33B60"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Objectives</w:t>
            </w:r>
          </w:p>
        </w:tc>
        <w:tc>
          <w:tcPr>
            <w:tcW w:w="0" w:type="auto"/>
            <w:hideMark/>
          </w:tcPr>
          <w:p w14:paraId="6969ABCA"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Methodology</w:t>
            </w:r>
          </w:p>
        </w:tc>
        <w:tc>
          <w:tcPr>
            <w:tcW w:w="0" w:type="auto"/>
            <w:hideMark/>
          </w:tcPr>
          <w:p w14:paraId="15F05407"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Key Findings</w:t>
            </w:r>
          </w:p>
        </w:tc>
        <w:tc>
          <w:tcPr>
            <w:tcW w:w="0" w:type="auto"/>
            <w:hideMark/>
          </w:tcPr>
          <w:p w14:paraId="3FD45CBF" w14:textId="77777777" w:rsidR="006B1AAF" w:rsidRPr="001722C7" w:rsidRDefault="006B1AAF" w:rsidP="001722C7">
            <w:pPr>
              <w:spacing w:before="120" w:after="120" w:line="360" w:lineRule="auto"/>
              <w:rPr>
                <w:rFonts w:cs="Times New Roman"/>
                <w:b/>
                <w:bCs/>
                <w:szCs w:val="24"/>
                <w:lang w:val="en-US"/>
              </w:rPr>
            </w:pPr>
            <w:r w:rsidRPr="001722C7">
              <w:rPr>
                <w:rFonts w:cs="Times New Roman"/>
                <w:b/>
                <w:bCs/>
                <w:szCs w:val="24"/>
                <w:lang w:val="en-US"/>
              </w:rPr>
              <w:t>Relevance</w:t>
            </w:r>
          </w:p>
        </w:tc>
      </w:tr>
      <w:tr w:rsidR="00FE544C" w:rsidRPr="001722C7" w14:paraId="0B8907BF" w14:textId="77777777" w:rsidTr="00265DC6">
        <w:tc>
          <w:tcPr>
            <w:tcW w:w="0" w:type="auto"/>
          </w:tcPr>
          <w:p w14:paraId="2EC3D6B0" w14:textId="66D4C0C7" w:rsidR="00FE544C" w:rsidRPr="001722C7" w:rsidRDefault="00FE544C" w:rsidP="001722C7">
            <w:pPr>
              <w:spacing w:line="360" w:lineRule="auto"/>
              <w:rPr>
                <w:rFonts w:cs="Times New Roman"/>
                <w:szCs w:val="24"/>
                <w:lang w:val="en-US"/>
              </w:rPr>
            </w:pPr>
            <w:r w:rsidRPr="001722C7">
              <w:rPr>
                <w:rFonts w:cs="Times New Roman"/>
                <w:szCs w:val="24"/>
                <w:lang w:val="en-US"/>
              </w:rPr>
              <w:t>Abdulai et al.</w:t>
            </w:r>
          </w:p>
        </w:tc>
        <w:tc>
          <w:tcPr>
            <w:tcW w:w="0" w:type="auto"/>
          </w:tcPr>
          <w:p w14:paraId="2A0FFB60" w14:textId="0AF478F3" w:rsidR="00FE544C" w:rsidRPr="001722C7" w:rsidRDefault="00FE544C" w:rsidP="001722C7">
            <w:pPr>
              <w:spacing w:line="360" w:lineRule="auto"/>
              <w:rPr>
                <w:rFonts w:cs="Times New Roman"/>
                <w:szCs w:val="24"/>
                <w:lang w:val="en-US"/>
              </w:rPr>
            </w:pPr>
            <w:r w:rsidRPr="001722C7">
              <w:rPr>
                <w:rFonts w:cs="Times New Roman"/>
                <w:szCs w:val="24"/>
                <w:lang w:val="en-US"/>
              </w:rPr>
              <w:t>2023</w:t>
            </w:r>
          </w:p>
        </w:tc>
        <w:tc>
          <w:tcPr>
            <w:tcW w:w="0" w:type="auto"/>
          </w:tcPr>
          <w:p w14:paraId="422B58C2" w14:textId="5FD0AFE8" w:rsidR="00FE544C" w:rsidRPr="001722C7" w:rsidRDefault="00FE544C" w:rsidP="001722C7">
            <w:pPr>
              <w:spacing w:line="360" w:lineRule="auto"/>
              <w:rPr>
                <w:rFonts w:cs="Times New Roman"/>
                <w:szCs w:val="24"/>
                <w:lang w:val="en-US"/>
              </w:rPr>
            </w:pPr>
            <w:r w:rsidRPr="001722C7">
              <w:rPr>
                <w:rFonts w:cs="Times New Roman"/>
                <w:szCs w:val="24"/>
                <w:lang w:val="en-US"/>
              </w:rPr>
              <w:t xml:space="preserve">To assess food insecurity in </w:t>
            </w:r>
            <w:proofErr w:type="spellStart"/>
            <w:r w:rsidRPr="001722C7">
              <w:rPr>
                <w:rFonts w:cs="Times New Roman"/>
                <w:szCs w:val="24"/>
                <w:lang w:val="en-US"/>
              </w:rPr>
              <w:t>Wa</w:t>
            </w:r>
            <w:proofErr w:type="spellEnd"/>
            <w:r w:rsidRPr="001722C7">
              <w:rPr>
                <w:rFonts w:cs="Times New Roman"/>
                <w:szCs w:val="24"/>
                <w:lang w:val="en-US"/>
              </w:rPr>
              <w:t xml:space="preserve"> caused by sprawl.</w:t>
            </w:r>
          </w:p>
        </w:tc>
        <w:tc>
          <w:tcPr>
            <w:tcW w:w="0" w:type="auto"/>
          </w:tcPr>
          <w:p w14:paraId="13F8DDE0" w14:textId="63F948DF" w:rsidR="00FE544C" w:rsidRPr="001722C7" w:rsidRDefault="00FE544C" w:rsidP="001722C7">
            <w:pPr>
              <w:spacing w:line="360" w:lineRule="auto"/>
              <w:rPr>
                <w:rFonts w:cs="Times New Roman"/>
                <w:szCs w:val="24"/>
                <w:lang w:val="en-US"/>
              </w:rPr>
            </w:pPr>
            <w:r w:rsidRPr="001722C7">
              <w:rPr>
                <w:rFonts w:cs="Times New Roman"/>
                <w:szCs w:val="24"/>
                <w:lang w:val="en-US"/>
              </w:rPr>
              <w:t>Qualitative and spatial data collection.</w:t>
            </w:r>
          </w:p>
        </w:tc>
        <w:tc>
          <w:tcPr>
            <w:tcW w:w="0" w:type="auto"/>
          </w:tcPr>
          <w:p w14:paraId="4D649438" w14:textId="6D6D7AEF" w:rsidR="00FE544C" w:rsidRPr="001722C7" w:rsidRDefault="00FE544C" w:rsidP="001722C7">
            <w:pPr>
              <w:spacing w:line="360" w:lineRule="auto"/>
              <w:rPr>
                <w:rFonts w:cs="Times New Roman"/>
                <w:szCs w:val="24"/>
                <w:lang w:val="en-US"/>
              </w:rPr>
            </w:pPr>
            <w:r w:rsidRPr="001722C7">
              <w:rPr>
                <w:rFonts w:cs="Times New Roman"/>
                <w:szCs w:val="24"/>
                <w:lang w:val="en-US"/>
              </w:rPr>
              <w:t>Urban growth leads to reduced food production.</w:t>
            </w:r>
          </w:p>
        </w:tc>
        <w:tc>
          <w:tcPr>
            <w:tcW w:w="0" w:type="auto"/>
          </w:tcPr>
          <w:p w14:paraId="26970AE0" w14:textId="58D4A8E6" w:rsidR="00FE544C" w:rsidRPr="001722C7" w:rsidRDefault="00FE544C" w:rsidP="001722C7">
            <w:pPr>
              <w:spacing w:line="360" w:lineRule="auto"/>
              <w:rPr>
                <w:rFonts w:cs="Times New Roman"/>
                <w:szCs w:val="24"/>
                <w:lang w:val="en-US"/>
              </w:rPr>
            </w:pPr>
            <w:r w:rsidRPr="001722C7">
              <w:rPr>
                <w:rFonts w:cs="Times New Roman"/>
                <w:szCs w:val="24"/>
                <w:lang w:val="en-US"/>
              </w:rPr>
              <w:t>Adds a rural perspective to urban economic debate.</w:t>
            </w:r>
          </w:p>
        </w:tc>
      </w:tr>
      <w:tr w:rsidR="00FE544C" w:rsidRPr="001722C7" w14:paraId="2E65CA54" w14:textId="77777777" w:rsidTr="00265DC6">
        <w:tc>
          <w:tcPr>
            <w:tcW w:w="0" w:type="auto"/>
          </w:tcPr>
          <w:p w14:paraId="5C0B3568" w14:textId="460D4921" w:rsidR="00FE544C" w:rsidRPr="001722C7" w:rsidRDefault="00FE544C" w:rsidP="001722C7">
            <w:pPr>
              <w:spacing w:line="360" w:lineRule="auto"/>
              <w:rPr>
                <w:rFonts w:cs="Times New Roman"/>
                <w:szCs w:val="24"/>
                <w:lang w:val="en-US"/>
              </w:rPr>
            </w:pPr>
            <w:proofErr w:type="spellStart"/>
            <w:r w:rsidRPr="001722C7">
              <w:rPr>
                <w:rFonts w:cs="Times New Roman"/>
                <w:szCs w:val="24"/>
                <w:lang w:val="en-US"/>
              </w:rPr>
              <w:t>Adabre</w:t>
            </w:r>
            <w:proofErr w:type="spellEnd"/>
            <w:r w:rsidRPr="001722C7">
              <w:rPr>
                <w:rFonts w:cs="Times New Roman"/>
                <w:szCs w:val="24"/>
                <w:lang w:val="en-US"/>
              </w:rPr>
              <w:t xml:space="preserve"> &amp; Chan</w:t>
            </w:r>
          </w:p>
        </w:tc>
        <w:tc>
          <w:tcPr>
            <w:tcW w:w="0" w:type="auto"/>
          </w:tcPr>
          <w:p w14:paraId="350CBC89" w14:textId="06BB44D8" w:rsidR="00FE544C" w:rsidRPr="001722C7" w:rsidRDefault="00FE544C" w:rsidP="001722C7">
            <w:pPr>
              <w:spacing w:line="360" w:lineRule="auto"/>
              <w:rPr>
                <w:rFonts w:cs="Times New Roman"/>
                <w:szCs w:val="24"/>
                <w:lang w:val="en-US"/>
              </w:rPr>
            </w:pPr>
            <w:r w:rsidRPr="001722C7">
              <w:rPr>
                <w:rFonts w:cs="Times New Roman"/>
                <w:szCs w:val="24"/>
                <w:lang w:val="en-US"/>
              </w:rPr>
              <w:t>2021</w:t>
            </w:r>
          </w:p>
        </w:tc>
        <w:tc>
          <w:tcPr>
            <w:tcW w:w="0" w:type="auto"/>
          </w:tcPr>
          <w:p w14:paraId="44A9A0DF" w14:textId="594CBB61" w:rsidR="00FE544C" w:rsidRPr="001722C7" w:rsidRDefault="00FE544C" w:rsidP="001722C7">
            <w:pPr>
              <w:spacing w:line="360" w:lineRule="auto"/>
              <w:rPr>
                <w:rFonts w:cs="Times New Roman"/>
                <w:szCs w:val="24"/>
                <w:lang w:val="en-US"/>
              </w:rPr>
            </w:pPr>
            <w:r w:rsidRPr="001722C7">
              <w:rPr>
                <w:rFonts w:cs="Times New Roman"/>
                <w:szCs w:val="24"/>
                <w:lang w:val="en-US"/>
              </w:rPr>
              <w:t>To study the financial effects of housing and commuting in sprawling areas.</w:t>
            </w:r>
          </w:p>
        </w:tc>
        <w:tc>
          <w:tcPr>
            <w:tcW w:w="0" w:type="auto"/>
          </w:tcPr>
          <w:p w14:paraId="3A8D6154" w14:textId="6FBD58D1" w:rsidR="00FE544C" w:rsidRPr="001722C7" w:rsidRDefault="00FE544C" w:rsidP="001722C7">
            <w:pPr>
              <w:spacing w:line="360" w:lineRule="auto"/>
              <w:rPr>
                <w:rFonts w:cs="Times New Roman"/>
                <w:szCs w:val="24"/>
                <w:lang w:val="en-US"/>
              </w:rPr>
            </w:pPr>
            <w:r w:rsidRPr="001722C7">
              <w:rPr>
                <w:rFonts w:cs="Times New Roman"/>
                <w:szCs w:val="24"/>
                <w:lang w:val="en-US"/>
              </w:rPr>
              <w:t>Household survey in Ghana.</w:t>
            </w:r>
          </w:p>
        </w:tc>
        <w:tc>
          <w:tcPr>
            <w:tcW w:w="0" w:type="auto"/>
          </w:tcPr>
          <w:p w14:paraId="5CDBB6F2" w14:textId="4E054F4C" w:rsidR="00FE544C" w:rsidRPr="001722C7" w:rsidRDefault="00FE544C" w:rsidP="001722C7">
            <w:pPr>
              <w:spacing w:line="360" w:lineRule="auto"/>
              <w:rPr>
                <w:rFonts w:cs="Times New Roman"/>
                <w:szCs w:val="24"/>
                <w:lang w:val="en-US"/>
              </w:rPr>
            </w:pPr>
            <w:r w:rsidRPr="001722C7">
              <w:rPr>
                <w:rFonts w:cs="Times New Roman"/>
                <w:szCs w:val="24"/>
                <w:lang w:val="en-US"/>
              </w:rPr>
              <w:t>Sprawl leads to increased transport expenditures.</w:t>
            </w:r>
          </w:p>
        </w:tc>
        <w:tc>
          <w:tcPr>
            <w:tcW w:w="0" w:type="auto"/>
          </w:tcPr>
          <w:p w14:paraId="74063D2D" w14:textId="0DB1A8AA" w:rsidR="00FE544C" w:rsidRPr="001722C7" w:rsidRDefault="00FE544C" w:rsidP="001722C7">
            <w:pPr>
              <w:spacing w:line="360" w:lineRule="auto"/>
              <w:rPr>
                <w:rFonts w:cs="Times New Roman"/>
                <w:szCs w:val="24"/>
                <w:lang w:val="en-US"/>
              </w:rPr>
            </w:pPr>
            <w:r w:rsidRPr="001722C7">
              <w:rPr>
                <w:rFonts w:cs="Times New Roman"/>
                <w:szCs w:val="24"/>
                <w:lang w:val="en-US"/>
              </w:rPr>
              <w:t>Reinforces the connection between sprawl and income strain.</w:t>
            </w:r>
          </w:p>
        </w:tc>
      </w:tr>
      <w:tr w:rsidR="00FE544C" w:rsidRPr="001722C7" w14:paraId="4A1856E1" w14:textId="77777777" w:rsidTr="00265DC6">
        <w:tc>
          <w:tcPr>
            <w:tcW w:w="0" w:type="auto"/>
          </w:tcPr>
          <w:p w14:paraId="424BF574" w14:textId="7E77B9A1" w:rsidR="00FE544C" w:rsidRPr="001722C7" w:rsidRDefault="00FE544C" w:rsidP="001722C7">
            <w:pPr>
              <w:spacing w:line="360" w:lineRule="auto"/>
              <w:rPr>
                <w:rFonts w:cs="Times New Roman"/>
                <w:szCs w:val="24"/>
                <w:lang w:val="en-US"/>
              </w:rPr>
            </w:pPr>
            <w:r w:rsidRPr="001722C7">
              <w:rPr>
                <w:rFonts w:cs="Times New Roman"/>
                <w:szCs w:val="24"/>
                <w:lang w:val="en-US"/>
              </w:rPr>
              <w:t>Afriyie et al.</w:t>
            </w:r>
          </w:p>
        </w:tc>
        <w:tc>
          <w:tcPr>
            <w:tcW w:w="0" w:type="auto"/>
          </w:tcPr>
          <w:p w14:paraId="77142CB8" w14:textId="521951B8" w:rsidR="00FE544C" w:rsidRPr="001722C7" w:rsidRDefault="00FE544C" w:rsidP="001722C7">
            <w:pPr>
              <w:spacing w:line="360" w:lineRule="auto"/>
              <w:rPr>
                <w:rFonts w:cs="Times New Roman"/>
                <w:szCs w:val="24"/>
                <w:lang w:val="en-US"/>
              </w:rPr>
            </w:pPr>
            <w:r w:rsidRPr="001722C7">
              <w:rPr>
                <w:rFonts w:cs="Times New Roman"/>
                <w:szCs w:val="24"/>
                <w:lang w:val="en-US"/>
              </w:rPr>
              <w:t>2019</w:t>
            </w:r>
          </w:p>
        </w:tc>
        <w:tc>
          <w:tcPr>
            <w:tcW w:w="0" w:type="auto"/>
          </w:tcPr>
          <w:p w14:paraId="5C0476EB" w14:textId="3060DFFA" w:rsidR="00FE544C" w:rsidRPr="001722C7" w:rsidRDefault="00FE544C" w:rsidP="001722C7">
            <w:pPr>
              <w:spacing w:line="360" w:lineRule="auto"/>
              <w:rPr>
                <w:rFonts w:cs="Times New Roman"/>
                <w:szCs w:val="24"/>
                <w:lang w:val="en-US"/>
              </w:rPr>
            </w:pPr>
            <w:r w:rsidRPr="001722C7">
              <w:rPr>
                <w:rFonts w:cs="Times New Roman"/>
                <w:szCs w:val="24"/>
                <w:lang w:val="en-US"/>
              </w:rPr>
              <w:t>To evaluate farming livelihood disruptions in Kumasi.</w:t>
            </w:r>
          </w:p>
        </w:tc>
        <w:tc>
          <w:tcPr>
            <w:tcW w:w="0" w:type="auto"/>
          </w:tcPr>
          <w:p w14:paraId="3252FAC0" w14:textId="0F7D5563" w:rsidR="00FE544C" w:rsidRPr="001722C7" w:rsidRDefault="00FE544C" w:rsidP="001722C7">
            <w:pPr>
              <w:spacing w:line="360" w:lineRule="auto"/>
              <w:rPr>
                <w:rFonts w:cs="Times New Roman"/>
                <w:szCs w:val="24"/>
                <w:lang w:val="en-US"/>
              </w:rPr>
            </w:pPr>
            <w:r w:rsidRPr="001722C7">
              <w:rPr>
                <w:rFonts w:cs="Times New Roman"/>
                <w:szCs w:val="24"/>
                <w:lang w:val="en-US"/>
              </w:rPr>
              <w:t>Interviews and GIS.</w:t>
            </w:r>
          </w:p>
        </w:tc>
        <w:tc>
          <w:tcPr>
            <w:tcW w:w="0" w:type="auto"/>
          </w:tcPr>
          <w:p w14:paraId="346A6860" w14:textId="56416917" w:rsidR="00FE544C" w:rsidRPr="001722C7" w:rsidRDefault="00FE544C" w:rsidP="001722C7">
            <w:pPr>
              <w:spacing w:line="360" w:lineRule="auto"/>
              <w:rPr>
                <w:rFonts w:cs="Times New Roman"/>
                <w:szCs w:val="24"/>
                <w:lang w:val="en-US"/>
              </w:rPr>
            </w:pPr>
            <w:r w:rsidRPr="001722C7">
              <w:rPr>
                <w:rFonts w:cs="Times New Roman"/>
                <w:szCs w:val="24"/>
                <w:lang w:val="en-US"/>
              </w:rPr>
              <w:t>Farming loss threatens urban food supply and rural incomes.</w:t>
            </w:r>
          </w:p>
        </w:tc>
        <w:tc>
          <w:tcPr>
            <w:tcW w:w="0" w:type="auto"/>
          </w:tcPr>
          <w:p w14:paraId="7132EF6F" w14:textId="2669850D" w:rsidR="00FE544C" w:rsidRPr="001722C7" w:rsidRDefault="00FE544C" w:rsidP="001722C7">
            <w:pPr>
              <w:spacing w:line="360" w:lineRule="auto"/>
              <w:rPr>
                <w:rFonts w:cs="Times New Roman"/>
                <w:szCs w:val="24"/>
                <w:lang w:val="en-US"/>
              </w:rPr>
            </w:pPr>
            <w:r w:rsidRPr="001722C7">
              <w:rPr>
                <w:rFonts w:cs="Times New Roman"/>
                <w:szCs w:val="24"/>
                <w:lang w:val="en-US"/>
              </w:rPr>
              <w:t>Further strengthens rural-urban economic linkage.</w:t>
            </w:r>
          </w:p>
        </w:tc>
      </w:tr>
      <w:tr w:rsidR="00FE544C" w:rsidRPr="001722C7" w14:paraId="18EFA250" w14:textId="77777777" w:rsidTr="00265DC6">
        <w:tc>
          <w:tcPr>
            <w:tcW w:w="0" w:type="auto"/>
          </w:tcPr>
          <w:p w14:paraId="64089491" w14:textId="1C4303A2" w:rsidR="00FE544C" w:rsidRPr="001722C7" w:rsidRDefault="00FE544C" w:rsidP="001722C7">
            <w:pPr>
              <w:spacing w:line="360" w:lineRule="auto"/>
              <w:rPr>
                <w:rFonts w:cs="Times New Roman"/>
                <w:szCs w:val="24"/>
                <w:lang w:val="en-US"/>
              </w:rPr>
            </w:pPr>
            <w:proofErr w:type="spellStart"/>
            <w:r w:rsidRPr="001722C7">
              <w:rPr>
                <w:rFonts w:cs="Times New Roman"/>
                <w:szCs w:val="24"/>
                <w:lang w:val="en-US"/>
              </w:rPr>
              <w:t>Farvacque-Vitkovic</w:t>
            </w:r>
            <w:proofErr w:type="spellEnd"/>
            <w:r w:rsidRPr="001722C7">
              <w:rPr>
                <w:rFonts w:cs="Times New Roman"/>
                <w:szCs w:val="24"/>
                <w:lang w:val="en-US"/>
              </w:rPr>
              <w:t xml:space="preserve"> et al.</w:t>
            </w:r>
          </w:p>
        </w:tc>
        <w:tc>
          <w:tcPr>
            <w:tcW w:w="0" w:type="auto"/>
          </w:tcPr>
          <w:p w14:paraId="383867A7" w14:textId="51EF2E40" w:rsidR="00FE544C" w:rsidRPr="001722C7" w:rsidRDefault="00FE544C" w:rsidP="001722C7">
            <w:pPr>
              <w:spacing w:line="360" w:lineRule="auto"/>
              <w:rPr>
                <w:rFonts w:cs="Times New Roman"/>
                <w:szCs w:val="24"/>
                <w:lang w:val="en-US"/>
              </w:rPr>
            </w:pPr>
            <w:r w:rsidRPr="001722C7">
              <w:rPr>
                <w:rFonts w:cs="Times New Roman"/>
                <w:szCs w:val="24"/>
                <w:lang w:val="en-US"/>
              </w:rPr>
              <w:t>2008</w:t>
            </w:r>
          </w:p>
        </w:tc>
        <w:tc>
          <w:tcPr>
            <w:tcW w:w="0" w:type="auto"/>
          </w:tcPr>
          <w:p w14:paraId="66ED3780" w14:textId="5FCE2344" w:rsidR="00FE544C" w:rsidRPr="001722C7" w:rsidRDefault="00FE544C" w:rsidP="001722C7">
            <w:pPr>
              <w:spacing w:line="360" w:lineRule="auto"/>
              <w:rPr>
                <w:rFonts w:cs="Times New Roman"/>
                <w:szCs w:val="24"/>
                <w:lang w:val="en-US"/>
              </w:rPr>
            </w:pPr>
            <w:r w:rsidRPr="001722C7">
              <w:rPr>
                <w:rFonts w:cs="Times New Roman"/>
                <w:szCs w:val="24"/>
                <w:lang w:val="en-US"/>
              </w:rPr>
              <w:t>To analyze municipal cost burdens of urban expansion.</w:t>
            </w:r>
          </w:p>
        </w:tc>
        <w:tc>
          <w:tcPr>
            <w:tcW w:w="0" w:type="auto"/>
          </w:tcPr>
          <w:p w14:paraId="35770E6E" w14:textId="022BD5A1" w:rsidR="00FE544C" w:rsidRPr="001722C7" w:rsidRDefault="00FE544C" w:rsidP="001722C7">
            <w:pPr>
              <w:spacing w:line="360" w:lineRule="auto"/>
              <w:rPr>
                <w:rFonts w:cs="Times New Roman"/>
                <w:szCs w:val="24"/>
                <w:lang w:val="en-US"/>
              </w:rPr>
            </w:pPr>
            <w:r w:rsidRPr="001722C7">
              <w:rPr>
                <w:rFonts w:cs="Times New Roman"/>
                <w:szCs w:val="24"/>
                <w:lang w:val="en-US"/>
              </w:rPr>
              <w:t>Infrastructure investment analysis.</w:t>
            </w:r>
          </w:p>
        </w:tc>
        <w:tc>
          <w:tcPr>
            <w:tcW w:w="0" w:type="auto"/>
          </w:tcPr>
          <w:p w14:paraId="33715F23" w14:textId="66AF2082" w:rsidR="00FE544C" w:rsidRPr="001722C7" w:rsidRDefault="00FE544C" w:rsidP="001722C7">
            <w:pPr>
              <w:spacing w:line="360" w:lineRule="auto"/>
              <w:rPr>
                <w:rFonts w:cs="Times New Roman"/>
                <w:szCs w:val="24"/>
                <w:lang w:val="en-US"/>
              </w:rPr>
            </w:pPr>
            <w:r w:rsidRPr="001722C7">
              <w:rPr>
                <w:rFonts w:cs="Times New Roman"/>
                <w:szCs w:val="24"/>
                <w:lang w:val="en-US"/>
              </w:rPr>
              <w:t>Low-density growth is more expensive to maintain.</w:t>
            </w:r>
          </w:p>
        </w:tc>
        <w:tc>
          <w:tcPr>
            <w:tcW w:w="0" w:type="auto"/>
          </w:tcPr>
          <w:p w14:paraId="1F5B9F01" w14:textId="677EFCB5" w:rsidR="00FE544C" w:rsidRPr="001722C7" w:rsidRDefault="00FE544C" w:rsidP="001722C7">
            <w:pPr>
              <w:spacing w:line="360" w:lineRule="auto"/>
              <w:rPr>
                <w:rFonts w:cs="Times New Roman"/>
                <w:szCs w:val="24"/>
                <w:lang w:val="en-US"/>
              </w:rPr>
            </w:pPr>
            <w:r w:rsidRPr="001722C7">
              <w:rPr>
                <w:rFonts w:cs="Times New Roman"/>
                <w:szCs w:val="24"/>
                <w:lang w:val="en-US"/>
              </w:rPr>
              <w:t>Highlights urban inefficiencies due to sprawl.</w:t>
            </w:r>
          </w:p>
        </w:tc>
      </w:tr>
      <w:tr w:rsidR="00FE544C" w:rsidRPr="001722C7" w14:paraId="7B8D8BA1" w14:textId="77777777" w:rsidTr="00265DC6">
        <w:tc>
          <w:tcPr>
            <w:tcW w:w="0" w:type="auto"/>
          </w:tcPr>
          <w:p w14:paraId="4B6D2B3A" w14:textId="4F432BEA" w:rsidR="00FE544C" w:rsidRPr="001722C7" w:rsidRDefault="00FE544C" w:rsidP="001722C7">
            <w:pPr>
              <w:spacing w:line="360" w:lineRule="auto"/>
              <w:rPr>
                <w:rFonts w:cs="Times New Roman"/>
                <w:szCs w:val="24"/>
                <w:lang w:val="en-US"/>
              </w:rPr>
            </w:pPr>
            <w:r w:rsidRPr="001722C7">
              <w:rPr>
                <w:rFonts w:cs="Times New Roman"/>
                <w:szCs w:val="24"/>
                <w:lang w:val="en-US"/>
              </w:rPr>
              <w:lastRenderedPageBreak/>
              <w:t xml:space="preserve">Oduro &amp; </w:t>
            </w:r>
            <w:proofErr w:type="spellStart"/>
            <w:r w:rsidRPr="001722C7">
              <w:rPr>
                <w:rFonts w:cs="Times New Roman"/>
                <w:szCs w:val="24"/>
                <w:lang w:val="en-US"/>
              </w:rPr>
              <w:t>Forkuor</w:t>
            </w:r>
            <w:proofErr w:type="spellEnd"/>
          </w:p>
        </w:tc>
        <w:tc>
          <w:tcPr>
            <w:tcW w:w="0" w:type="auto"/>
          </w:tcPr>
          <w:p w14:paraId="36203B98" w14:textId="5EF8A0A0" w:rsidR="00FE544C" w:rsidRPr="001722C7" w:rsidRDefault="00FE544C" w:rsidP="001722C7">
            <w:pPr>
              <w:spacing w:line="360" w:lineRule="auto"/>
              <w:rPr>
                <w:rFonts w:cs="Times New Roman"/>
                <w:szCs w:val="24"/>
                <w:lang w:val="en-US"/>
              </w:rPr>
            </w:pPr>
            <w:r w:rsidRPr="001722C7">
              <w:rPr>
                <w:rFonts w:cs="Times New Roman"/>
                <w:szCs w:val="24"/>
                <w:lang w:val="en-US"/>
              </w:rPr>
              <w:t>2021</w:t>
            </w:r>
          </w:p>
        </w:tc>
        <w:tc>
          <w:tcPr>
            <w:tcW w:w="0" w:type="auto"/>
          </w:tcPr>
          <w:p w14:paraId="0D9B02CD" w14:textId="0336F431" w:rsidR="00FE544C" w:rsidRPr="001722C7" w:rsidRDefault="00FE544C" w:rsidP="001722C7">
            <w:pPr>
              <w:spacing w:line="360" w:lineRule="auto"/>
              <w:rPr>
                <w:rFonts w:cs="Times New Roman"/>
                <w:szCs w:val="24"/>
                <w:lang w:val="en-US"/>
              </w:rPr>
            </w:pPr>
            <w:r w:rsidRPr="001722C7">
              <w:rPr>
                <w:rFonts w:cs="Times New Roman"/>
                <w:szCs w:val="24"/>
                <w:lang w:val="en-US"/>
              </w:rPr>
              <w:t>To examine how urban growth affects agricultural land in Kumasi.</w:t>
            </w:r>
          </w:p>
        </w:tc>
        <w:tc>
          <w:tcPr>
            <w:tcW w:w="0" w:type="auto"/>
          </w:tcPr>
          <w:p w14:paraId="0EC71804" w14:textId="6E42BC03" w:rsidR="00FE544C" w:rsidRPr="001722C7" w:rsidRDefault="00FE544C" w:rsidP="001722C7">
            <w:pPr>
              <w:spacing w:line="360" w:lineRule="auto"/>
              <w:rPr>
                <w:rFonts w:cs="Times New Roman"/>
                <w:szCs w:val="24"/>
                <w:lang w:val="en-US"/>
              </w:rPr>
            </w:pPr>
            <w:r w:rsidRPr="001722C7">
              <w:rPr>
                <w:rFonts w:cs="Times New Roman"/>
                <w:szCs w:val="24"/>
                <w:lang w:val="en-US"/>
              </w:rPr>
              <w:t>Remote sensing and land use mapping.</w:t>
            </w:r>
          </w:p>
        </w:tc>
        <w:tc>
          <w:tcPr>
            <w:tcW w:w="0" w:type="auto"/>
          </w:tcPr>
          <w:p w14:paraId="06F10502" w14:textId="1133B27C" w:rsidR="00FE544C" w:rsidRPr="001722C7" w:rsidRDefault="00FE544C" w:rsidP="001722C7">
            <w:pPr>
              <w:spacing w:line="360" w:lineRule="auto"/>
              <w:rPr>
                <w:rFonts w:cs="Times New Roman"/>
                <w:szCs w:val="24"/>
                <w:lang w:val="en-US"/>
              </w:rPr>
            </w:pPr>
            <w:r w:rsidRPr="001722C7">
              <w:rPr>
                <w:rFonts w:cs="Times New Roman"/>
                <w:szCs w:val="24"/>
                <w:lang w:val="en-US"/>
              </w:rPr>
              <w:t>Peri-urban farmland loss negatively impacts food systems.</w:t>
            </w:r>
          </w:p>
        </w:tc>
        <w:tc>
          <w:tcPr>
            <w:tcW w:w="0" w:type="auto"/>
          </w:tcPr>
          <w:p w14:paraId="6759D000" w14:textId="0752FF1D" w:rsidR="00FE544C" w:rsidRPr="001722C7" w:rsidRDefault="00FE544C" w:rsidP="001722C7">
            <w:pPr>
              <w:spacing w:line="360" w:lineRule="auto"/>
              <w:rPr>
                <w:rFonts w:cs="Times New Roman"/>
                <w:szCs w:val="24"/>
                <w:lang w:val="en-US"/>
              </w:rPr>
            </w:pPr>
            <w:r w:rsidRPr="001722C7">
              <w:rPr>
                <w:rFonts w:cs="Times New Roman"/>
                <w:szCs w:val="24"/>
                <w:lang w:val="en-US"/>
              </w:rPr>
              <w:t>Connects urban planning with food security.</w:t>
            </w:r>
          </w:p>
        </w:tc>
      </w:tr>
      <w:tr w:rsidR="00FE544C" w:rsidRPr="001722C7" w14:paraId="57B74D0E" w14:textId="77777777" w:rsidTr="00265DC6">
        <w:tc>
          <w:tcPr>
            <w:tcW w:w="0" w:type="auto"/>
            <w:hideMark/>
          </w:tcPr>
          <w:p w14:paraId="293525B8"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Takyi et al.</w:t>
            </w:r>
          </w:p>
        </w:tc>
        <w:tc>
          <w:tcPr>
            <w:tcW w:w="0" w:type="auto"/>
            <w:hideMark/>
          </w:tcPr>
          <w:p w14:paraId="76F4DA9C"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2023</w:t>
            </w:r>
          </w:p>
        </w:tc>
        <w:tc>
          <w:tcPr>
            <w:tcW w:w="0" w:type="auto"/>
            <w:hideMark/>
          </w:tcPr>
          <w:p w14:paraId="2A73798D"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To explore the economic consequences of sprawl on settler livelihoods.</w:t>
            </w:r>
          </w:p>
        </w:tc>
        <w:tc>
          <w:tcPr>
            <w:tcW w:w="0" w:type="auto"/>
            <w:hideMark/>
          </w:tcPr>
          <w:p w14:paraId="2B0AD8D6"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Multi-site case studies in Ghanaian municipalities.</w:t>
            </w:r>
          </w:p>
        </w:tc>
        <w:tc>
          <w:tcPr>
            <w:tcW w:w="0" w:type="auto"/>
            <w:hideMark/>
          </w:tcPr>
          <w:p w14:paraId="5A2D4F93"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Infrastructure extension is costly and reduces state capacity.</w:t>
            </w:r>
          </w:p>
        </w:tc>
        <w:tc>
          <w:tcPr>
            <w:tcW w:w="0" w:type="auto"/>
            <w:hideMark/>
          </w:tcPr>
          <w:p w14:paraId="17529F55"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Demonstrates the fiscal burden of sprawl on urban governance.</w:t>
            </w:r>
          </w:p>
        </w:tc>
      </w:tr>
      <w:tr w:rsidR="00FE544C" w:rsidRPr="001722C7" w14:paraId="70A78867" w14:textId="77777777" w:rsidTr="00265DC6">
        <w:tc>
          <w:tcPr>
            <w:tcW w:w="0" w:type="auto"/>
            <w:hideMark/>
          </w:tcPr>
          <w:p w14:paraId="1DF82734"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World Bank</w:t>
            </w:r>
          </w:p>
        </w:tc>
        <w:tc>
          <w:tcPr>
            <w:tcW w:w="0" w:type="auto"/>
            <w:hideMark/>
          </w:tcPr>
          <w:p w14:paraId="5404B761"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2020</w:t>
            </w:r>
          </w:p>
        </w:tc>
        <w:tc>
          <w:tcPr>
            <w:tcW w:w="0" w:type="auto"/>
            <w:hideMark/>
          </w:tcPr>
          <w:p w14:paraId="53FBD4A3"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To assess mobility challenges in Ghanaian cities.</w:t>
            </w:r>
          </w:p>
        </w:tc>
        <w:tc>
          <w:tcPr>
            <w:tcW w:w="0" w:type="auto"/>
            <w:hideMark/>
          </w:tcPr>
          <w:p w14:paraId="7F19473B"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Urban transport policy analysis.</w:t>
            </w:r>
          </w:p>
        </w:tc>
        <w:tc>
          <w:tcPr>
            <w:tcW w:w="0" w:type="auto"/>
            <w:hideMark/>
          </w:tcPr>
          <w:p w14:paraId="07CE905B"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Sprawl increases commuting costs and time.</w:t>
            </w:r>
          </w:p>
        </w:tc>
        <w:tc>
          <w:tcPr>
            <w:tcW w:w="0" w:type="auto"/>
            <w:hideMark/>
          </w:tcPr>
          <w:p w14:paraId="1A84B885"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Provides evidence of household economic strain.</w:t>
            </w:r>
          </w:p>
        </w:tc>
      </w:tr>
      <w:tr w:rsidR="00FE544C" w:rsidRPr="001722C7" w14:paraId="775B26E1" w14:textId="77777777" w:rsidTr="00265DC6">
        <w:tc>
          <w:tcPr>
            <w:tcW w:w="0" w:type="auto"/>
            <w:hideMark/>
          </w:tcPr>
          <w:p w14:paraId="0C01BB37"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Yeboah, I. E. A.</w:t>
            </w:r>
          </w:p>
        </w:tc>
        <w:tc>
          <w:tcPr>
            <w:tcW w:w="0" w:type="auto"/>
            <w:hideMark/>
          </w:tcPr>
          <w:p w14:paraId="3977F417"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2001</w:t>
            </w:r>
          </w:p>
        </w:tc>
        <w:tc>
          <w:tcPr>
            <w:tcW w:w="0" w:type="auto"/>
            <w:hideMark/>
          </w:tcPr>
          <w:p w14:paraId="49DBD84B"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To understand speculative land use practices in peri-urban areas.</w:t>
            </w:r>
          </w:p>
        </w:tc>
        <w:tc>
          <w:tcPr>
            <w:tcW w:w="0" w:type="auto"/>
            <w:hideMark/>
          </w:tcPr>
          <w:p w14:paraId="12058918"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Economic analysis.</w:t>
            </w:r>
          </w:p>
        </w:tc>
        <w:tc>
          <w:tcPr>
            <w:tcW w:w="0" w:type="auto"/>
            <w:hideMark/>
          </w:tcPr>
          <w:p w14:paraId="79691B02"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Land speculation inflates prices, reduces affordability.</w:t>
            </w:r>
          </w:p>
        </w:tc>
        <w:tc>
          <w:tcPr>
            <w:tcW w:w="0" w:type="auto"/>
            <w:hideMark/>
          </w:tcPr>
          <w:p w14:paraId="503E0BE5"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Highlights real estate market distortion due to sprawl.</w:t>
            </w:r>
          </w:p>
        </w:tc>
      </w:tr>
      <w:tr w:rsidR="00FE544C" w:rsidRPr="001722C7" w14:paraId="487190A9" w14:textId="77777777" w:rsidTr="00265DC6">
        <w:tc>
          <w:tcPr>
            <w:tcW w:w="0" w:type="auto"/>
            <w:hideMark/>
          </w:tcPr>
          <w:p w14:paraId="7EEF8C02"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Yiran, G. A. B.</w:t>
            </w:r>
          </w:p>
        </w:tc>
        <w:tc>
          <w:tcPr>
            <w:tcW w:w="0" w:type="auto"/>
            <w:hideMark/>
          </w:tcPr>
          <w:p w14:paraId="46DB15BF"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2020</w:t>
            </w:r>
          </w:p>
        </w:tc>
        <w:tc>
          <w:tcPr>
            <w:tcW w:w="0" w:type="auto"/>
            <w:hideMark/>
          </w:tcPr>
          <w:p w14:paraId="5DDE2550"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To review sprawl literature in Sub-Saharan Africa.</w:t>
            </w:r>
          </w:p>
        </w:tc>
        <w:tc>
          <w:tcPr>
            <w:tcW w:w="0" w:type="auto"/>
            <w:hideMark/>
          </w:tcPr>
          <w:p w14:paraId="2E4A619A"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Literature synthesis.</w:t>
            </w:r>
          </w:p>
        </w:tc>
        <w:tc>
          <w:tcPr>
            <w:tcW w:w="0" w:type="auto"/>
            <w:hideMark/>
          </w:tcPr>
          <w:p w14:paraId="768F2E3A"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Sprawl leads to fragmented cities that are economically inefficient.</w:t>
            </w:r>
          </w:p>
        </w:tc>
        <w:tc>
          <w:tcPr>
            <w:tcW w:w="0" w:type="auto"/>
            <w:hideMark/>
          </w:tcPr>
          <w:p w14:paraId="6DED6CBD" w14:textId="77777777" w:rsidR="00FE544C" w:rsidRPr="001722C7" w:rsidRDefault="00FE544C" w:rsidP="001722C7">
            <w:pPr>
              <w:spacing w:before="120" w:after="120" w:line="360" w:lineRule="auto"/>
              <w:rPr>
                <w:rFonts w:cs="Times New Roman"/>
                <w:szCs w:val="24"/>
                <w:lang w:val="en-US"/>
              </w:rPr>
            </w:pPr>
            <w:r w:rsidRPr="001722C7">
              <w:rPr>
                <w:rFonts w:cs="Times New Roman"/>
                <w:szCs w:val="24"/>
                <w:lang w:val="en-US"/>
              </w:rPr>
              <w:t>Provides broad regional insight on economic impact.</w:t>
            </w:r>
          </w:p>
        </w:tc>
      </w:tr>
    </w:tbl>
    <w:p w14:paraId="5BD40276" w14:textId="6D740F6E" w:rsidR="00D42AD5" w:rsidRPr="001722C7" w:rsidRDefault="006B1AAF" w:rsidP="001722C7">
      <w:pPr>
        <w:rPr>
          <w:rFonts w:cs="Times New Roman"/>
          <w:szCs w:val="24"/>
          <w:lang w:val="en-US"/>
        </w:rPr>
      </w:pPr>
      <w:r w:rsidRPr="001722C7">
        <w:rPr>
          <w:rFonts w:cs="Times New Roman"/>
          <w:szCs w:val="24"/>
          <w:lang w:val="en-US"/>
        </w:rPr>
        <w:t>Source: Authors’ Construct</w:t>
      </w:r>
    </w:p>
    <w:p w14:paraId="68D39C98" w14:textId="26C4E2F8" w:rsidR="000E1F85" w:rsidRPr="001722C7" w:rsidRDefault="00D42AD5" w:rsidP="001722C7">
      <w:pPr>
        <w:rPr>
          <w:rFonts w:cs="Times New Roman"/>
          <w:szCs w:val="24"/>
          <w:lang w:val="en-US"/>
        </w:rPr>
      </w:pPr>
      <w:r w:rsidRPr="001722C7">
        <w:rPr>
          <w:rFonts w:cs="Times New Roman"/>
          <w:b/>
          <w:bCs/>
          <w:i/>
          <w:iCs/>
          <w:szCs w:val="24"/>
          <w:lang w:val="en-US"/>
        </w:rPr>
        <w:t>Environmental Impacts of Urban Sprawl:</w:t>
      </w:r>
      <w:r w:rsidRPr="001722C7">
        <w:rPr>
          <w:rFonts w:cs="Times New Roman"/>
          <w:b/>
          <w:bCs/>
          <w:szCs w:val="24"/>
          <w:lang w:val="en-US"/>
        </w:rPr>
        <w:t xml:space="preserve"> </w:t>
      </w:r>
      <w:r w:rsidR="000E1F85" w:rsidRPr="001722C7">
        <w:rPr>
          <w:rFonts w:cs="Times New Roman"/>
          <w:szCs w:val="24"/>
          <w:lang w:val="en-US"/>
        </w:rPr>
        <w:t xml:space="preserve">Urban sprawl harms the environment negatively and in an equal manner, as espoused by various researchers. </w:t>
      </w:r>
      <w:proofErr w:type="spellStart"/>
      <w:r w:rsidR="000E1F85" w:rsidRPr="001722C7">
        <w:rPr>
          <w:rFonts w:cs="Times New Roman"/>
          <w:szCs w:val="24"/>
          <w:lang w:val="en-US"/>
        </w:rPr>
        <w:t>Baerbameng</w:t>
      </w:r>
      <w:proofErr w:type="spellEnd"/>
      <w:r w:rsidR="000E1F85" w:rsidRPr="001722C7">
        <w:rPr>
          <w:rFonts w:cs="Times New Roman"/>
          <w:szCs w:val="24"/>
          <w:lang w:val="en-US"/>
        </w:rPr>
        <w:t xml:space="preserve"> (2020) and </w:t>
      </w:r>
      <w:proofErr w:type="spellStart"/>
      <w:r w:rsidR="000E1F85" w:rsidRPr="001722C7">
        <w:rPr>
          <w:rFonts w:cs="Times New Roman"/>
          <w:szCs w:val="24"/>
          <w:lang w:val="en-US"/>
        </w:rPr>
        <w:t>Cobbinah</w:t>
      </w:r>
      <w:proofErr w:type="spellEnd"/>
      <w:r w:rsidR="000E1F85" w:rsidRPr="001722C7">
        <w:rPr>
          <w:rFonts w:cs="Times New Roman"/>
          <w:szCs w:val="24"/>
          <w:lang w:val="en-US"/>
        </w:rPr>
        <w:t xml:space="preserve"> and Amoako (2012) have each elucidated how unregulated growth in the cities of Accra and Kumasi results in indiscriminate degradation of green infrastructure. They are supported by </w:t>
      </w:r>
      <w:r w:rsidR="000E1F85" w:rsidRPr="001722C7">
        <w:rPr>
          <w:rFonts w:cs="Times New Roman"/>
          <w:szCs w:val="24"/>
          <w:lang w:val="en-US"/>
        </w:rPr>
        <w:lastRenderedPageBreak/>
        <w:t xml:space="preserve">Alikhani et al. (2021), who expound that sprawl leads to habitat and biodiversity loss, precisely through the destruction of wetlands, a claim also supported by </w:t>
      </w:r>
      <w:proofErr w:type="spellStart"/>
      <w:r w:rsidR="000E1F85" w:rsidRPr="001722C7">
        <w:rPr>
          <w:rFonts w:cs="Times New Roman"/>
          <w:szCs w:val="24"/>
          <w:lang w:val="en-US"/>
        </w:rPr>
        <w:t>Puplampu</w:t>
      </w:r>
      <w:proofErr w:type="spellEnd"/>
      <w:r w:rsidR="000E1F85" w:rsidRPr="001722C7">
        <w:rPr>
          <w:rFonts w:cs="Times New Roman"/>
          <w:szCs w:val="24"/>
          <w:lang w:val="en-US"/>
        </w:rPr>
        <w:t xml:space="preserve"> and </w:t>
      </w:r>
      <w:proofErr w:type="spellStart"/>
      <w:r w:rsidR="000E1F85" w:rsidRPr="001722C7">
        <w:rPr>
          <w:rFonts w:cs="Times New Roman"/>
          <w:szCs w:val="24"/>
          <w:lang w:val="en-US"/>
        </w:rPr>
        <w:t>Puplampu</w:t>
      </w:r>
      <w:proofErr w:type="spellEnd"/>
      <w:r w:rsidR="000E1F85" w:rsidRPr="001722C7">
        <w:rPr>
          <w:rFonts w:cs="Times New Roman"/>
          <w:szCs w:val="24"/>
          <w:lang w:val="en-US"/>
        </w:rPr>
        <w:t xml:space="preserve"> (2021) in deteriorating ecosystems in Accra. Although the authors concur on the direction of the effect, there are underlying distinctions. Abass et al. (2020), for example, take it a step further by blaming the loss of green areas on flood occurrences in Kumasi. They especially link this correlation to floodplain encroachment and blocked drainage, which are not necessarily emphasized by </w:t>
      </w:r>
      <w:r w:rsidR="00633FC1" w:rsidRPr="001722C7">
        <w:rPr>
          <w:rFonts w:cs="Times New Roman"/>
          <w:szCs w:val="24"/>
          <w:lang w:val="en-US"/>
        </w:rPr>
        <w:t>other</w:t>
      </w:r>
      <w:r w:rsidR="000E1F85" w:rsidRPr="001722C7">
        <w:rPr>
          <w:rFonts w:cs="Times New Roman"/>
          <w:szCs w:val="24"/>
          <w:lang w:val="en-US"/>
        </w:rPr>
        <w:t xml:space="preserve"> research. Alikhani et al. (2021) are unique because they focus on the ecological services, such as the regulation of microclimates, as opposed to disaster risk.</w:t>
      </w:r>
    </w:p>
    <w:p w14:paraId="2FA94248" w14:textId="1EFB6B3E" w:rsidR="000E1F85" w:rsidRPr="001722C7" w:rsidRDefault="000E1F85" w:rsidP="001722C7">
      <w:pPr>
        <w:rPr>
          <w:rFonts w:cs="Times New Roman"/>
          <w:szCs w:val="24"/>
          <w:lang w:val="en-US"/>
        </w:rPr>
      </w:pPr>
      <w:r w:rsidRPr="001722C7">
        <w:rPr>
          <w:rFonts w:cs="Times New Roman"/>
          <w:szCs w:val="24"/>
          <w:lang w:val="en-US"/>
        </w:rPr>
        <w:t xml:space="preserve">It is the consensus of the literature that natural, porous surfaces are altered to impervious surfaces, resulting in hydrological disruption. This causal association between land cover change and heightened surface runoff, flash flooding, and pollution is attributed across the studies. Seto et al. (2012) and Panda (2024), while being global in focus, validate the same processes at the local level, indicating the universality of the environmental effect of sprawl. Collectively, these studies firmly argue that urban sprawl in Ghana undermines climate resilience, exacerbates urban heat islands, and destroys carbon sinks. The case studies by </w:t>
      </w:r>
      <w:proofErr w:type="spellStart"/>
      <w:r w:rsidRPr="001722C7">
        <w:rPr>
          <w:rFonts w:cs="Times New Roman"/>
          <w:szCs w:val="24"/>
          <w:lang w:val="en-US"/>
        </w:rPr>
        <w:t>Cobbinah</w:t>
      </w:r>
      <w:proofErr w:type="spellEnd"/>
      <w:r w:rsidRPr="001722C7">
        <w:rPr>
          <w:rFonts w:cs="Times New Roman"/>
          <w:szCs w:val="24"/>
          <w:lang w:val="en-US"/>
        </w:rPr>
        <w:t xml:space="preserve"> and Amoako (2012) and Abass et al. (2020) provide empirical validation for more general theoretical research, such as that of Bueno-Suárez and Coq-Huelva (2020).</w:t>
      </w:r>
    </w:p>
    <w:p w14:paraId="6CB5F4A0" w14:textId="77777777" w:rsidR="00507676" w:rsidRPr="001722C7" w:rsidRDefault="00D42AD5" w:rsidP="001722C7">
      <w:pPr>
        <w:rPr>
          <w:rFonts w:cs="Times New Roman"/>
          <w:szCs w:val="24"/>
          <w:lang w:val="en-US"/>
        </w:rPr>
      </w:pPr>
      <w:r w:rsidRPr="001722C7">
        <w:rPr>
          <w:rFonts w:cs="Times New Roman"/>
          <w:b/>
          <w:bCs/>
          <w:i/>
          <w:iCs/>
          <w:szCs w:val="24"/>
          <w:lang w:val="en-US"/>
        </w:rPr>
        <w:t xml:space="preserve">Social Impacts of Urban Sprawl: </w:t>
      </w:r>
      <w:r w:rsidR="00507676" w:rsidRPr="001722C7">
        <w:rPr>
          <w:rFonts w:cs="Times New Roman"/>
          <w:szCs w:val="24"/>
          <w:lang w:val="en-US"/>
        </w:rPr>
        <w:t xml:space="preserve">Urban sprawl leads to exclusion, inequality, and compromised social cohesion. It intensifies spatial inequality, Obeng-Odoom (2014) and Owusu (2013) observe, with inequalities in access to services between center and peripheral areas. Owusu (2013) points to real-world effects of residents accessing informal services, whereas Obeng-Odoom (2014) decries class-based segregation. Afriyie et al. (2019) and </w:t>
      </w:r>
      <w:proofErr w:type="spellStart"/>
      <w:r w:rsidR="00507676" w:rsidRPr="001722C7">
        <w:rPr>
          <w:rFonts w:cs="Times New Roman"/>
          <w:szCs w:val="24"/>
          <w:lang w:val="en-US"/>
        </w:rPr>
        <w:t>Anarfi</w:t>
      </w:r>
      <w:proofErr w:type="spellEnd"/>
      <w:r w:rsidR="00507676" w:rsidRPr="001722C7">
        <w:rPr>
          <w:rFonts w:cs="Times New Roman"/>
          <w:szCs w:val="24"/>
          <w:lang w:val="en-US"/>
        </w:rPr>
        <w:t xml:space="preserve"> et al. (2020) corroborate, demonstrating displacement of native populations in peri-urban zones. Their addition is the focus on cultural erosion, as social bonds and cultural values deteriorate beneath urban pressure. </w:t>
      </w:r>
      <w:proofErr w:type="spellStart"/>
      <w:r w:rsidR="00507676" w:rsidRPr="001722C7">
        <w:rPr>
          <w:rFonts w:cs="Times New Roman"/>
          <w:szCs w:val="24"/>
          <w:lang w:val="en-US"/>
        </w:rPr>
        <w:t>Anarfi</w:t>
      </w:r>
      <w:proofErr w:type="spellEnd"/>
      <w:r w:rsidR="00507676" w:rsidRPr="001722C7">
        <w:rPr>
          <w:rFonts w:cs="Times New Roman"/>
          <w:szCs w:val="24"/>
          <w:lang w:val="en-US"/>
        </w:rPr>
        <w:t xml:space="preserve"> et al. (2020) also introduce a psychological factor, arguing that sprawl leads to atomization and weakens community resilience.</w:t>
      </w:r>
    </w:p>
    <w:p w14:paraId="45A1C561" w14:textId="77777777" w:rsidR="00507676" w:rsidRPr="001722C7" w:rsidRDefault="00507676" w:rsidP="001722C7">
      <w:pPr>
        <w:rPr>
          <w:rFonts w:cs="Times New Roman"/>
          <w:szCs w:val="24"/>
          <w:lang w:val="en-US"/>
        </w:rPr>
      </w:pPr>
      <w:r w:rsidRPr="001722C7">
        <w:rPr>
          <w:rFonts w:cs="Times New Roman"/>
          <w:szCs w:val="24"/>
          <w:lang w:val="en-US"/>
        </w:rPr>
        <w:t xml:space="preserve">Afriyie et al. (2019) trace socio-spatial inequality to land commodification, as a link between social and economic effects. Owusu (2013) is not long on the effect of land markets on displacement, as later research adds to earlier studies. Reduced walkability, physical segregation, and transportation pressures in peripheral areas reflect sprawl's negative impacts on quality of life. These qualitative factors validate the imperative of integrated transport and land use planning. </w:t>
      </w:r>
      <w:proofErr w:type="spellStart"/>
      <w:r w:rsidRPr="001722C7">
        <w:rPr>
          <w:rFonts w:cs="Times New Roman"/>
          <w:szCs w:val="24"/>
          <w:lang w:val="en-US"/>
        </w:rPr>
        <w:t>Mitlin</w:t>
      </w:r>
      <w:proofErr w:type="spellEnd"/>
      <w:r w:rsidRPr="001722C7">
        <w:rPr>
          <w:rFonts w:cs="Times New Roman"/>
          <w:szCs w:val="24"/>
          <w:lang w:val="en-US"/>
        </w:rPr>
        <w:t xml:space="preserve"> (2021) and UN-Habitat (2020) affirm the global trend of undermining inclusive urban systems.</w:t>
      </w:r>
    </w:p>
    <w:p w14:paraId="1204626E" w14:textId="2464FABE" w:rsidR="00507676" w:rsidRPr="001722C7" w:rsidRDefault="00D42AD5" w:rsidP="001722C7">
      <w:pPr>
        <w:rPr>
          <w:rFonts w:cs="Times New Roman"/>
          <w:szCs w:val="24"/>
          <w:lang w:val="en-US"/>
        </w:rPr>
      </w:pPr>
      <w:r w:rsidRPr="001722C7">
        <w:rPr>
          <w:rFonts w:cs="Times New Roman"/>
          <w:b/>
          <w:bCs/>
          <w:i/>
          <w:iCs/>
          <w:szCs w:val="24"/>
          <w:lang w:val="en-US"/>
        </w:rPr>
        <w:lastRenderedPageBreak/>
        <w:t>Economic Impacts of Urban Sprawl:</w:t>
      </w:r>
      <w:r w:rsidRPr="001722C7">
        <w:rPr>
          <w:rFonts w:cs="Times New Roman"/>
          <w:b/>
          <w:bCs/>
          <w:szCs w:val="24"/>
          <w:lang w:val="en-US"/>
        </w:rPr>
        <w:t xml:space="preserve"> </w:t>
      </w:r>
      <w:r w:rsidR="00507676" w:rsidRPr="001722C7">
        <w:rPr>
          <w:rFonts w:cs="Times New Roman"/>
          <w:szCs w:val="24"/>
          <w:lang w:val="en-US"/>
        </w:rPr>
        <w:t xml:space="preserve">The economic implications of urban sprawl are extensive, impacting both residential and public infrastructure. Takyi et al. (2023) and </w:t>
      </w:r>
      <w:proofErr w:type="spellStart"/>
      <w:r w:rsidR="00507676" w:rsidRPr="001722C7">
        <w:rPr>
          <w:rFonts w:cs="Times New Roman"/>
          <w:szCs w:val="24"/>
          <w:lang w:val="en-US"/>
        </w:rPr>
        <w:t>Farvacque-Vitkovic</w:t>
      </w:r>
      <w:proofErr w:type="spellEnd"/>
      <w:r w:rsidR="00507676" w:rsidRPr="001722C7">
        <w:rPr>
          <w:rFonts w:cs="Times New Roman"/>
          <w:szCs w:val="24"/>
          <w:lang w:val="en-US"/>
        </w:rPr>
        <w:t xml:space="preserve"> et al. (2008) concur that the low-density sprawl is expensive to service. Ghanaian municipal governments, already under-resourced, are saddled with the inefficient provision of water, electricity, roads, and sanitation. These inefficiencies run counter to the compact city policy promoted by international development partners. At the domestic level, </w:t>
      </w:r>
      <w:proofErr w:type="spellStart"/>
      <w:r w:rsidR="00507676" w:rsidRPr="001722C7">
        <w:rPr>
          <w:rFonts w:cs="Times New Roman"/>
          <w:szCs w:val="24"/>
          <w:lang w:val="en-US"/>
        </w:rPr>
        <w:t>Adabre</w:t>
      </w:r>
      <w:proofErr w:type="spellEnd"/>
      <w:r w:rsidR="00507676" w:rsidRPr="001722C7">
        <w:rPr>
          <w:rFonts w:cs="Times New Roman"/>
          <w:szCs w:val="24"/>
          <w:lang w:val="en-US"/>
        </w:rPr>
        <w:t xml:space="preserve"> and Chan (2021) and the World Bank (2020) confirm that transport costs </w:t>
      </w:r>
      <w:r w:rsidR="00633FC1" w:rsidRPr="001722C7">
        <w:rPr>
          <w:rFonts w:cs="Times New Roman"/>
          <w:szCs w:val="24"/>
          <w:lang w:val="en-US"/>
        </w:rPr>
        <w:t>increased</w:t>
      </w:r>
      <w:r w:rsidR="00507676" w:rsidRPr="001722C7">
        <w:rPr>
          <w:rFonts w:cs="Times New Roman"/>
          <w:szCs w:val="24"/>
          <w:lang w:val="en-US"/>
        </w:rPr>
        <w:t xml:space="preserve"> considerably for residents of sprawled areas. It has a direct impact on household disposable income and an indirect impact of lost time for productive activity. The above findings align with Owusu's (2013) accessibility and mobility issues and provide a point of convergence of social and economic agendas.</w:t>
      </w:r>
    </w:p>
    <w:p w14:paraId="5AA7F994" w14:textId="77777777" w:rsidR="00507676" w:rsidRPr="001722C7" w:rsidRDefault="00507676" w:rsidP="001722C7">
      <w:pPr>
        <w:rPr>
          <w:rFonts w:cs="Times New Roman"/>
          <w:szCs w:val="24"/>
          <w:lang w:val="en-US"/>
        </w:rPr>
      </w:pPr>
      <w:r w:rsidRPr="001722C7">
        <w:rPr>
          <w:rFonts w:cs="Times New Roman"/>
          <w:szCs w:val="24"/>
          <w:lang w:val="en-US"/>
        </w:rPr>
        <w:t xml:space="preserve">The second fundamental economic effect is land conversion for agriculture. Oduro and </w:t>
      </w:r>
      <w:proofErr w:type="spellStart"/>
      <w:r w:rsidRPr="001722C7">
        <w:rPr>
          <w:rFonts w:cs="Times New Roman"/>
          <w:szCs w:val="24"/>
          <w:lang w:val="en-US"/>
        </w:rPr>
        <w:t>Forkuor</w:t>
      </w:r>
      <w:proofErr w:type="spellEnd"/>
      <w:r w:rsidRPr="001722C7">
        <w:rPr>
          <w:rFonts w:cs="Times New Roman"/>
          <w:szCs w:val="24"/>
          <w:lang w:val="en-US"/>
        </w:rPr>
        <w:t xml:space="preserve"> (2021) and </w:t>
      </w:r>
      <w:proofErr w:type="spellStart"/>
      <w:r w:rsidRPr="001722C7">
        <w:rPr>
          <w:rFonts w:cs="Times New Roman"/>
          <w:szCs w:val="24"/>
          <w:lang w:val="en-US"/>
        </w:rPr>
        <w:t>Abdulai</w:t>
      </w:r>
      <w:proofErr w:type="spellEnd"/>
      <w:r w:rsidRPr="001722C7">
        <w:rPr>
          <w:rFonts w:cs="Times New Roman"/>
          <w:szCs w:val="24"/>
          <w:lang w:val="en-US"/>
        </w:rPr>
        <w:t xml:space="preserve"> et al. (2023) report substantial reductions in food production as a consequence of peri-urban sprawl-driven loss of cultivatable land. Afriyie et al. (2019) also confirm, observing that peri-urban development undermines local agrarian economies, and therefore food insecurity is attributed to sprawl. This introduces yet another dimension to the argument, sprawl not only creates costs but also destroys already existing sources of income. Land speculation and hoarding are mentioned by Yeboah (2001) and Yiran (2020). They point out the manner in which speculation in the peri-urban land market inflates prices, pushing out low- and middle-income groups. Yiran (2020) takes this to a macro-level analysis, contending that such behavior is a driver of spatial fragmentation and makes economic manageability increasingly difficult. These results complement the previous findings and indicate that in the absence of policy intervention, land markets in regions with sprawl conditions will continue to widen urban inequalities.</w:t>
      </w:r>
    </w:p>
    <w:p w14:paraId="3D1276F6" w14:textId="4A2077FD" w:rsidR="00CA19ED" w:rsidRPr="001722C7" w:rsidRDefault="001760D3" w:rsidP="001722C7">
      <w:pPr>
        <w:rPr>
          <w:rFonts w:cs="Times New Roman"/>
          <w:b/>
          <w:bCs/>
          <w:szCs w:val="24"/>
          <w:lang w:val="en-US"/>
        </w:rPr>
      </w:pPr>
      <w:r w:rsidRPr="001722C7">
        <w:rPr>
          <w:rFonts w:cs="Times New Roman"/>
          <w:b/>
          <w:bCs/>
          <w:szCs w:val="24"/>
          <w:lang w:val="en-US"/>
        </w:rPr>
        <w:t>5. Conclusion and Recommendations</w:t>
      </w:r>
    </w:p>
    <w:p w14:paraId="4628C386" w14:textId="5406714B" w:rsidR="00355D5F" w:rsidRPr="001722C7" w:rsidRDefault="00355D5F" w:rsidP="001722C7">
      <w:pPr>
        <w:rPr>
          <w:rFonts w:cs="Times New Roman"/>
          <w:szCs w:val="24"/>
          <w:lang w:val="en-US"/>
        </w:rPr>
      </w:pPr>
      <w:r w:rsidRPr="001722C7">
        <w:rPr>
          <w:rFonts w:cs="Times New Roman"/>
          <w:szCs w:val="24"/>
          <w:lang w:val="en-US"/>
        </w:rPr>
        <w:t xml:space="preserve">This paper examined the impact of urban sprawl on sustainable development in Ghanaian cities, focusing on environmental, social, and economic factors. The results show that urban growth, commonly viewed as development, is a menace to sustainability if it is not controlled and is sprawling. Urban sprawl is ecologically harmful since it annihilates green spaces, wetlands, and farmland, reducing biodiversity and microclimatic stability and enhancing risks of climate disasters like floods and heatwaves. Urban sprawl also exacerbates social injustices by adding to segregation and reducing access to basic services in peri-urban areas, harming community cohesion and quality of life. Urban sprawl strains infrastructure, raises land prices, pushes jobs outward, and exacerbates food insecurity. The study reveals a gap between planning and urban </w:t>
      </w:r>
      <w:r w:rsidRPr="001722C7">
        <w:rPr>
          <w:rFonts w:cs="Times New Roman"/>
          <w:szCs w:val="24"/>
          <w:lang w:val="en-US"/>
        </w:rPr>
        <w:lastRenderedPageBreak/>
        <w:t>development in Ghana, as growth is not compact, inclusive, and resilient. When allowed to continue, urban sprawl will increase issues and hinder Ghana's SDGs of sustainable cities, environmental sustainability, and social equity. The following are the recommendations:</w:t>
      </w:r>
    </w:p>
    <w:p w14:paraId="24E1D1E2" w14:textId="163531CD" w:rsidR="00355D5F" w:rsidRPr="001722C7" w:rsidRDefault="00355D5F" w:rsidP="001722C7">
      <w:pPr>
        <w:rPr>
          <w:rFonts w:cs="Times New Roman"/>
          <w:szCs w:val="24"/>
          <w:lang w:val="en-US"/>
        </w:rPr>
      </w:pPr>
      <w:r w:rsidRPr="001722C7">
        <w:rPr>
          <w:rFonts w:cs="Times New Roman"/>
          <w:b/>
          <w:bCs/>
          <w:i/>
          <w:iCs/>
          <w:szCs w:val="24"/>
          <w:lang w:val="en-US"/>
        </w:rPr>
        <w:t>Strengthen Urban Planning:</w:t>
      </w:r>
      <w:r w:rsidRPr="001722C7">
        <w:rPr>
          <w:rFonts w:cs="Times New Roman"/>
          <w:szCs w:val="24"/>
          <w:lang w:val="en-US"/>
        </w:rPr>
        <w:t xml:space="preserve"> There should be encouragement of compact, mixed-use, and transit-oriented development in Ghana's urban planning. Institutions must put in place spatial plans that are compatible with sustainability.</w:t>
      </w:r>
    </w:p>
    <w:p w14:paraId="063D9BA7" w14:textId="77777777" w:rsidR="00355D5F" w:rsidRPr="001722C7" w:rsidRDefault="00355D5F" w:rsidP="001722C7">
      <w:pPr>
        <w:rPr>
          <w:rFonts w:cs="Times New Roman"/>
          <w:szCs w:val="24"/>
          <w:lang w:val="en-US"/>
        </w:rPr>
      </w:pPr>
      <w:r w:rsidRPr="001722C7">
        <w:rPr>
          <w:rFonts w:cs="Times New Roman"/>
          <w:b/>
          <w:bCs/>
          <w:i/>
          <w:iCs/>
          <w:szCs w:val="24"/>
          <w:lang w:val="en-US"/>
        </w:rPr>
        <w:t>Establish Urban Growth Boundaries:</w:t>
      </w:r>
      <w:r w:rsidRPr="001722C7">
        <w:rPr>
          <w:rFonts w:cs="Times New Roman"/>
          <w:szCs w:val="24"/>
          <w:lang w:val="en-US"/>
        </w:rPr>
        <w:t xml:space="preserve"> Place limits on urban expansion into agricultural and environmental areas to protect precious green belts. Strictly enforce zoning and land-use regulations.</w:t>
      </w:r>
    </w:p>
    <w:p w14:paraId="04891343" w14:textId="77777777" w:rsidR="00355D5F" w:rsidRPr="001722C7" w:rsidRDefault="00355D5F" w:rsidP="001722C7">
      <w:pPr>
        <w:rPr>
          <w:rFonts w:cs="Times New Roman"/>
          <w:szCs w:val="24"/>
          <w:lang w:val="en-US"/>
        </w:rPr>
      </w:pPr>
      <w:r w:rsidRPr="001722C7">
        <w:rPr>
          <w:rFonts w:cs="Times New Roman"/>
          <w:b/>
          <w:bCs/>
          <w:i/>
          <w:iCs/>
          <w:szCs w:val="24"/>
          <w:lang w:val="en-US"/>
        </w:rPr>
        <w:t>Invest in Peri-Urban Infrastructure:</w:t>
      </w:r>
      <w:r w:rsidRPr="001722C7">
        <w:rPr>
          <w:rFonts w:cs="Times New Roman"/>
          <w:szCs w:val="24"/>
          <w:lang w:val="en-US"/>
        </w:rPr>
        <w:t xml:space="preserve"> The government needs to ensure equal access to basic services like water, electricity, schools, and health in the peri-urban areas, along with green public transportation to minimize commuting stress and cost.</w:t>
      </w:r>
    </w:p>
    <w:p w14:paraId="19B4B0A8" w14:textId="77777777" w:rsidR="00355D5F" w:rsidRPr="001722C7" w:rsidRDefault="00355D5F" w:rsidP="001722C7">
      <w:pPr>
        <w:rPr>
          <w:rFonts w:cs="Times New Roman"/>
          <w:szCs w:val="24"/>
          <w:lang w:val="en-US"/>
        </w:rPr>
      </w:pPr>
      <w:r w:rsidRPr="001722C7">
        <w:rPr>
          <w:rFonts w:cs="Times New Roman"/>
          <w:b/>
          <w:bCs/>
          <w:i/>
          <w:iCs/>
          <w:szCs w:val="24"/>
          <w:lang w:val="en-US"/>
        </w:rPr>
        <w:t>Conservation and Rehabilitation of Ecosystems:</w:t>
      </w:r>
      <w:r w:rsidRPr="001722C7">
        <w:rPr>
          <w:rFonts w:cs="Times New Roman"/>
          <w:szCs w:val="24"/>
          <w:lang w:val="en-US"/>
        </w:rPr>
        <w:t xml:space="preserve"> Forests, green belts, and wetlands need to be conserved and rehabilitated for ecological processes. Environmental impact assessments are required for major urban developments.</w:t>
      </w:r>
    </w:p>
    <w:p w14:paraId="43E9E32A" w14:textId="77777777" w:rsidR="00355D5F" w:rsidRPr="001722C7" w:rsidRDefault="00355D5F" w:rsidP="001722C7">
      <w:pPr>
        <w:rPr>
          <w:rFonts w:cs="Times New Roman"/>
          <w:szCs w:val="24"/>
          <w:lang w:val="en-US"/>
        </w:rPr>
      </w:pPr>
      <w:r w:rsidRPr="001722C7">
        <w:rPr>
          <w:rFonts w:cs="Times New Roman"/>
          <w:b/>
          <w:bCs/>
          <w:i/>
          <w:iCs/>
          <w:szCs w:val="24"/>
          <w:lang w:val="en-US"/>
        </w:rPr>
        <w:t>Address Land Speculation and Increase Affordable Housing:</w:t>
      </w:r>
      <w:r w:rsidRPr="001722C7">
        <w:rPr>
          <w:rFonts w:cs="Times New Roman"/>
          <w:szCs w:val="24"/>
          <w:lang w:val="en-US"/>
        </w:rPr>
        <w:t xml:space="preserve"> Reorganizing land markets can halt speculation. Open allocation and affordable housing programs will cut down squatter areas and encourage systematic urban growth.</w:t>
      </w:r>
    </w:p>
    <w:p w14:paraId="7EBC9CB1" w14:textId="77777777" w:rsidR="00355D5F" w:rsidRPr="001722C7" w:rsidRDefault="00355D5F" w:rsidP="001722C7">
      <w:pPr>
        <w:rPr>
          <w:rFonts w:cs="Times New Roman"/>
          <w:szCs w:val="24"/>
          <w:lang w:val="en-US"/>
        </w:rPr>
      </w:pPr>
      <w:r w:rsidRPr="001722C7">
        <w:rPr>
          <w:rFonts w:cs="Times New Roman"/>
          <w:b/>
          <w:bCs/>
          <w:i/>
          <w:iCs/>
          <w:szCs w:val="24"/>
          <w:lang w:val="en-US"/>
        </w:rPr>
        <w:t>Encourage Community Involvement:</w:t>
      </w:r>
      <w:r w:rsidRPr="001722C7">
        <w:rPr>
          <w:rFonts w:cs="Times New Roman"/>
          <w:szCs w:val="24"/>
          <w:lang w:val="en-US"/>
        </w:rPr>
        <w:t xml:space="preserve"> Urban planning requires communities to be involved. Public campaigns can foster sensitivity towards sustainable land use and increase citizens' responsibility in governance.</w:t>
      </w:r>
    </w:p>
    <w:p w14:paraId="24D43BB9" w14:textId="77777777" w:rsidR="00355D5F" w:rsidRPr="001722C7" w:rsidRDefault="00355D5F" w:rsidP="001722C7">
      <w:pPr>
        <w:rPr>
          <w:rFonts w:cs="Times New Roman"/>
          <w:szCs w:val="24"/>
          <w:lang w:val="en-US"/>
        </w:rPr>
      </w:pPr>
      <w:r w:rsidRPr="001722C7">
        <w:rPr>
          <w:rFonts w:cs="Times New Roman"/>
          <w:b/>
          <w:bCs/>
          <w:i/>
          <w:iCs/>
          <w:szCs w:val="24"/>
          <w:lang w:val="en-US"/>
        </w:rPr>
        <w:t>Strengthen Inter-Governmental Coordination:</w:t>
      </w:r>
      <w:r w:rsidRPr="001722C7">
        <w:rPr>
          <w:rFonts w:cs="Times New Roman"/>
          <w:szCs w:val="24"/>
          <w:lang w:val="en-US"/>
        </w:rPr>
        <w:t xml:space="preserve"> Inter-assembly collaboration is vital for coordinated urban development management. Integrated regional planning can reconcile infrastructure and land use.</w:t>
      </w:r>
    </w:p>
    <w:p w14:paraId="05CF1F09" w14:textId="7D03E0C6" w:rsidR="001760D3" w:rsidRDefault="00355D5F" w:rsidP="001722C7">
      <w:pPr>
        <w:rPr>
          <w:rFonts w:cs="Times New Roman"/>
          <w:szCs w:val="24"/>
          <w:lang w:val="en-US"/>
        </w:rPr>
      </w:pPr>
      <w:r w:rsidRPr="001722C7">
        <w:rPr>
          <w:rFonts w:cs="Times New Roman"/>
          <w:b/>
          <w:bCs/>
          <w:i/>
          <w:iCs/>
          <w:szCs w:val="24"/>
          <w:lang w:val="en-US"/>
        </w:rPr>
        <w:t>Apply Smart Growth using GIS:</w:t>
      </w:r>
      <w:r w:rsidRPr="001722C7">
        <w:rPr>
          <w:rFonts w:cs="Times New Roman"/>
          <w:szCs w:val="24"/>
          <w:lang w:val="en-US"/>
        </w:rPr>
        <w:t xml:space="preserve"> Governments can use smart growth principles and GIS to monitor urban sprawl and analyze impacts on the fly.</w:t>
      </w:r>
    </w:p>
    <w:p w14:paraId="1CC3E87B" w14:textId="77777777" w:rsidR="005D60CB" w:rsidRDefault="005D60CB" w:rsidP="001722C7">
      <w:pPr>
        <w:rPr>
          <w:rFonts w:cs="Times New Roman"/>
          <w:szCs w:val="24"/>
          <w:lang w:val="en-US"/>
        </w:rPr>
      </w:pPr>
    </w:p>
    <w:p w14:paraId="48542251" w14:textId="6432CA88" w:rsidR="005D60CB" w:rsidRPr="005D60CB" w:rsidRDefault="005D60CB" w:rsidP="005D60CB">
      <w:pPr>
        <w:spacing w:before="0" w:after="200" w:line="276" w:lineRule="auto"/>
        <w:jc w:val="left"/>
        <w:rPr>
          <w:rFonts w:ascii="Calibri" w:eastAsia="Times New Roman" w:hAnsi="Calibri" w:cs="Times New Roman"/>
          <w:kern w:val="0"/>
          <w:sz w:val="22"/>
          <w:lang w:eastAsia="en-GB"/>
          <w14:ligatures w14:val="none"/>
        </w:rPr>
      </w:pPr>
      <w:bookmarkStart w:id="1" w:name="_GoBack"/>
      <w:bookmarkEnd w:id="1"/>
    </w:p>
    <w:p w14:paraId="645C5A81" w14:textId="77777777" w:rsidR="005D60CB" w:rsidRDefault="005D60CB" w:rsidP="001722C7">
      <w:pPr>
        <w:rPr>
          <w:rFonts w:cs="Times New Roman"/>
          <w:szCs w:val="24"/>
          <w:lang w:val="en-US"/>
        </w:rPr>
      </w:pPr>
    </w:p>
    <w:p w14:paraId="6113A35C" w14:textId="77777777" w:rsidR="005D60CB" w:rsidRDefault="005D60CB" w:rsidP="001722C7">
      <w:pPr>
        <w:rPr>
          <w:rFonts w:cs="Times New Roman"/>
          <w:szCs w:val="24"/>
          <w:lang w:val="en-US"/>
        </w:rPr>
      </w:pPr>
    </w:p>
    <w:p w14:paraId="3CC66D5E" w14:textId="77777777" w:rsidR="005D60CB" w:rsidRPr="001722C7" w:rsidRDefault="005D60CB" w:rsidP="001722C7">
      <w:pPr>
        <w:rPr>
          <w:rFonts w:cs="Times New Roman"/>
          <w:szCs w:val="24"/>
          <w:lang w:val="en-US"/>
        </w:rPr>
      </w:pPr>
    </w:p>
    <w:p w14:paraId="68DBB6BD" w14:textId="2722B566" w:rsidR="00C64599" w:rsidRPr="001722C7" w:rsidRDefault="00DF5362" w:rsidP="001722C7">
      <w:pPr>
        <w:rPr>
          <w:rFonts w:cs="Times New Roman"/>
          <w:b/>
          <w:bCs/>
          <w:szCs w:val="24"/>
          <w:lang w:val="en-US"/>
        </w:rPr>
      </w:pPr>
      <w:r w:rsidRPr="001722C7">
        <w:rPr>
          <w:rFonts w:cs="Times New Roman"/>
          <w:b/>
          <w:bCs/>
          <w:szCs w:val="24"/>
          <w:lang w:val="en-US"/>
        </w:rPr>
        <w:t>References</w:t>
      </w:r>
    </w:p>
    <w:p w14:paraId="5EBE068E" w14:textId="77777777" w:rsidR="00F76ABD" w:rsidRPr="001722C7" w:rsidRDefault="00F76ABD" w:rsidP="001722C7">
      <w:pPr>
        <w:pStyle w:val="ListParagraph1"/>
        <w:spacing w:after="891" w:line="360" w:lineRule="auto"/>
        <w:ind w:left="993" w:right="136" w:hanging="993"/>
        <w:jc w:val="both"/>
        <w:rPr>
          <w:szCs w:val="24"/>
          <w:lang w:val="en-GB"/>
        </w:rPr>
      </w:pPr>
      <w:bookmarkStart w:id="2" w:name="_Hlk201737107"/>
      <w:r w:rsidRPr="001722C7">
        <w:rPr>
          <w:szCs w:val="24"/>
          <w:lang w:val="en-GB"/>
        </w:rPr>
        <w:t xml:space="preserve">Abass, K., </w:t>
      </w:r>
      <w:proofErr w:type="spellStart"/>
      <w:r w:rsidRPr="001722C7">
        <w:rPr>
          <w:szCs w:val="24"/>
          <w:lang w:val="en-GB"/>
        </w:rPr>
        <w:t>Buor</w:t>
      </w:r>
      <w:proofErr w:type="spellEnd"/>
      <w:r w:rsidRPr="001722C7">
        <w:rPr>
          <w:szCs w:val="24"/>
          <w:lang w:val="en-GB"/>
        </w:rPr>
        <w:t xml:space="preserve">, D., Afriyie, K., </w:t>
      </w:r>
      <w:proofErr w:type="spellStart"/>
      <w:r w:rsidRPr="001722C7">
        <w:rPr>
          <w:szCs w:val="24"/>
          <w:lang w:val="en-GB"/>
        </w:rPr>
        <w:t>Dumedah</w:t>
      </w:r>
      <w:proofErr w:type="spellEnd"/>
      <w:r w:rsidRPr="001722C7">
        <w:rPr>
          <w:szCs w:val="24"/>
          <w:lang w:val="en-GB"/>
        </w:rPr>
        <w:t xml:space="preserve">, G., </w:t>
      </w:r>
      <w:proofErr w:type="spellStart"/>
      <w:r w:rsidRPr="001722C7">
        <w:rPr>
          <w:szCs w:val="24"/>
          <w:lang w:val="en-GB"/>
        </w:rPr>
        <w:t>Segbefi</w:t>
      </w:r>
      <w:proofErr w:type="spellEnd"/>
      <w:r w:rsidRPr="001722C7">
        <w:rPr>
          <w:szCs w:val="24"/>
          <w:lang w:val="en-GB"/>
        </w:rPr>
        <w:t xml:space="preserve">, A. Y., </w:t>
      </w:r>
      <w:proofErr w:type="spellStart"/>
      <w:r w:rsidRPr="001722C7">
        <w:rPr>
          <w:szCs w:val="24"/>
          <w:lang w:val="en-GB"/>
        </w:rPr>
        <w:t>Guodaar</w:t>
      </w:r>
      <w:proofErr w:type="spellEnd"/>
      <w:r w:rsidRPr="001722C7">
        <w:rPr>
          <w:szCs w:val="24"/>
          <w:lang w:val="en-GB"/>
        </w:rPr>
        <w:t xml:space="preserve">, L., </w:t>
      </w:r>
      <w:proofErr w:type="spellStart"/>
      <w:r w:rsidRPr="001722C7">
        <w:rPr>
          <w:szCs w:val="24"/>
          <w:lang w:val="en-GB"/>
        </w:rPr>
        <w:t>Garsonu</w:t>
      </w:r>
      <w:proofErr w:type="spellEnd"/>
      <w:r w:rsidRPr="001722C7">
        <w:rPr>
          <w:szCs w:val="24"/>
          <w:lang w:val="en-GB"/>
        </w:rPr>
        <w:t xml:space="preserve">, E. K., Adu-Gyamfi, S., </w:t>
      </w:r>
      <w:proofErr w:type="spellStart"/>
      <w:r w:rsidRPr="001722C7">
        <w:rPr>
          <w:szCs w:val="24"/>
          <w:lang w:val="en-GB"/>
        </w:rPr>
        <w:t>Forkuor</w:t>
      </w:r>
      <w:proofErr w:type="spellEnd"/>
      <w:r w:rsidRPr="001722C7">
        <w:rPr>
          <w:szCs w:val="24"/>
          <w:lang w:val="en-GB"/>
        </w:rPr>
        <w:t xml:space="preserve">, D., Ofosu, A., Mohammed, A., &amp; Gyasi, R. M. (2020). Urban sprawl and green space depletion: Implications for flood incidence in Kumasi, Ghana. </w:t>
      </w:r>
      <w:r w:rsidRPr="001722C7">
        <w:rPr>
          <w:i/>
          <w:iCs/>
          <w:szCs w:val="24"/>
          <w:lang w:val="en-GB"/>
        </w:rPr>
        <w:t>International Journal of Disaster Risk Reduction, 51</w:t>
      </w:r>
      <w:r w:rsidRPr="001722C7">
        <w:rPr>
          <w:szCs w:val="24"/>
          <w:lang w:val="en-GB"/>
        </w:rPr>
        <w:t xml:space="preserve">, 101915. </w:t>
      </w:r>
      <w:hyperlink r:id="rId33" w:history="1">
        <w:r w:rsidRPr="001722C7">
          <w:rPr>
            <w:rStyle w:val="Hyperlink"/>
            <w:szCs w:val="24"/>
            <w:lang w:val="en-GB"/>
          </w:rPr>
          <w:t>https://doi.org/10.1016/j.ijdrr.2020.101915</w:t>
        </w:r>
      </w:hyperlink>
    </w:p>
    <w:p w14:paraId="3B0E4B88"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Abdulai, I. A., Kuusaana, E. D., &amp; Ahmed, A. (2023). Toward sustainable urbanization: Understanding the dynamics of urban sprawl and food (in)security of indigenous households in peri-urban </w:t>
      </w:r>
      <w:proofErr w:type="spellStart"/>
      <w:r w:rsidRPr="001722C7">
        <w:rPr>
          <w:szCs w:val="24"/>
          <w:lang w:val="en-GB"/>
        </w:rPr>
        <w:t>Wa</w:t>
      </w:r>
      <w:proofErr w:type="spellEnd"/>
      <w:r w:rsidRPr="001722C7">
        <w:rPr>
          <w:szCs w:val="24"/>
          <w:lang w:val="en-GB"/>
        </w:rPr>
        <w:t xml:space="preserve">, Ghana. </w:t>
      </w:r>
      <w:r w:rsidRPr="001722C7">
        <w:rPr>
          <w:i/>
          <w:iCs/>
          <w:szCs w:val="24"/>
          <w:lang w:val="en-GB"/>
        </w:rPr>
        <w:t>Journal of Urban Affairs, 47</w:t>
      </w:r>
      <w:r w:rsidRPr="001722C7">
        <w:rPr>
          <w:szCs w:val="24"/>
          <w:lang w:val="en-GB"/>
        </w:rPr>
        <w:t xml:space="preserve">(4), 1371–1396. </w:t>
      </w:r>
      <w:hyperlink r:id="rId34" w:history="1">
        <w:r w:rsidRPr="001722C7">
          <w:rPr>
            <w:rStyle w:val="Hyperlink"/>
            <w:szCs w:val="24"/>
            <w:lang w:val="en-GB"/>
          </w:rPr>
          <w:t>https://doi.org/10.1080/07352166.2023.2224023</w:t>
        </w:r>
      </w:hyperlink>
    </w:p>
    <w:p w14:paraId="2E7460FF"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Acheampong, R. A. (2019). </w:t>
      </w:r>
      <w:r w:rsidRPr="001722C7">
        <w:rPr>
          <w:i/>
          <w:iCs/>
          <w:szCs w:val="24"/>
          <w:lang w:val="en-GB"/>
        </w:rPr>
        <w:t>Spatial planning in Ghana: Origins, contemporary reforms and practices, and new perspectives</w:t>
      </w:r>
      <w:r w:rsidRPr="001722C7">
        <w:rPr>
          <w:szCs w:val="24"/>
          <w:lang w:val="en-GB"/>
        </w:rPr>
        <w:t xml:space="preserve"> (1st ed.). Springer. </w:t>
      </w:r>
      <w:hyperlink r:id="rId35" w:history="1">
        <w:r w:rsidRPr="001722C7">
          <w:rPr>
            <w:rStyle w:val="Hyperlink"/>
            <w:szCs w:val="24"/>
            <w:lang w:val="en-GB"/>
          </w:rPr>
          <w:t>https://doi.org/10.1007/978-3-030-02011-8</w:t>
        </w:r>
      </w:hyperlink>
    </w:p>
    <w:p w14:paraId="41B9E024"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Acheampong, R. A., &amp; Anokye, P. A. (2013). Understanding households’ residential location choice in Kumasi’s peri-urban settlements and the implications for sustainable urban growth. </w:t>
      </w:r>
      <w:r w:rsidRPr="001722C7">
        <w:rPr>
          <w:i/>
          <w:iCs/>
          <w:szCs w:val="24"/>
          <w:lang w:val="en-GB"/>
        </w:rPr>
        <w:t>Research on Humanities and Social Sciences, 3</w:t>
      </w:r>
      <w:r w:rsidRPr="001722C7">
        <w:rPr>
          <w:szCs w:val="24"/>
          <w:lang w:val="en-GB"/>
        </w:rPr>
        <w:t xml:space="preserve">(9), 1–12. </w:t>
      </w:r>
      <w:hyperlink r:id="rId36" w:history="1">
        <w:r w:rsidRPr="001722C7">
          <w:rPr>
            <w:rStyle w:val="Hyperlink"/>
            <w:szCs w:val="24"/>
            <w:lang w:val="en-GB"/>
          </w:rPr>
          <w:t>https://www.iiste.org/Journals/index.php/RHSS/article/view/6317</w:t>
        </w:r>
      </w:hyperlink>
    </w:p>
    <w:p w14:paraId="12D8A630"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Adam, A. R., Takyi, S. A., Amponsah, O., &amp; Kyei, K. O. B. (2023). Rethinking sustainable urban management: Effects of urbanization on the socio-spatial structure of the Tamale Metropolis. </w:t>
      </w:r>
      <w:r w:rsidRPr="001722C7">
        <w:rPr>
          <w:i/>
          <w:iCs/>
          <w:szCs w:val="24"/>
          <w:lang w:val="en-GB"/>
        </w:rPr>
        <w:t>Urban Governance, 3</w:t>
      </w:r>
      <w:r w:rsidRPr="001722C7">
        <w:rPr>
          <w:szCs w:val="24"/>
          <w:lang w:val="en-GB"/>
        </w:rPr>
        <w:t xml:space="preserve">(4), 292–303. </w:t>
      </w:r>
      <w:hyperlink r:id="rId37" w:history="1">
        <w:r w:rsidRPr="001722C7">
          <w:rPr>
            <w:rStyle w:val="Hyperlink"/>
            <w:szCs w:val="24"/>
            <w:lang w:val="en-GB"/>
          </w:rPr>
          <w:t>https://doi.org/10.1016/j.ugj.2023.06.003</w:t>
        </w:r>
      </w:hyperlink>
    </w:p>
    <w:p w14:paraId="1C6C4280" w14:textId="474CC356"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African Centre for Cities. (2015). </w:t>
      </w:r>
      <w:r w:rsidRPr="001722C7">
        <w:rPr>
          <w:i/>
          <w:iCs/>
          <w:szCs w:val="24"/>
          <w:lang w:val="en-GB"/>
        </w:rPr>
        <w:t>Urban infrastructure in Sub-Saharan Africa – harnessing land values, housing and transport: Literature review on housing (Report 3)</w:t>
      </w:r>
      <w:r w:rsidRPr="001722C7">
        <w:rPr>
          <w:szCs w:val="24"/>
          <w:lang w:val="en-GB"/>
        </w:rPr>
        <w:t xml:space="preserve">. UK Department for International Development. </w:t>
      </w:r>
      <w:hyperlink r:id="rId38" w:history="1">
        <w:r w:rsidRPr="001722C7">
          <w:rPr>
            <w:rStyle w:val="Hyperlink"/>
            <w:szCs w:val="24"/>
            <w:lang w:val="en-GB"/>
          </w:rPr>
          <w:t>https://assets.publishing.service.gov.uk/media/57a0898be5274a31e0000136/61319C_DfID-Harnessing-Land-Values-Report-3-Housing-Literature-Review-20150607.pdf</w:t>
        </w:r>
      </w:hyperlink>
    </w:p>
    <w:p w14:paraId="003FF1C9"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Afriyie, K., Abass, K., &amp; Adjei, P. O.-W. (2020). Urban sprawl and agricultural livelihood response in peri-urban Ghana. </w:t>
      </w:r>
      <w:r w:rsidRPr="001722C7">
        <w:rPr>
          <w:i/>
          <w:iCs/>
          <w:szCs w:val="24"/>
          <w:lang w:val="en-GB"/>
        </w:rPr>
        <w:t>International Journal of Urban Sustainable Development, 12</w:t>
      </w:r>
      <w:r w:rsidRPr="001722C7">
        <w:rPr>
          <w:szCs w:val="24"/>
          <w:lang w:val="en-GB"/>
        </w:rPr>
        <w:t xml:space="preserve">(2), 202–218. </w:t>
      </w:r>
      <w:hyperlink r:id="rId39" w:history="1">
        <w:r w:rsidRPr="001722C7">
          <w:rPr>
            <w:rStyle w:val="Hyperlink"/>
            <w:szCs w:val="24"/>
            <w:lang w:val="en-GB"/>
          </w:rPr>
          <w:t>https://doi.org/10.1080/19463138.2019.1691560</w:t>
        </w:r>
      </w:hyperlink>
    </w:p>
    <w:p w14:paraId="302B51DC" w14:textId="77777777" w:rsidR="00F76ABD" w:rsidRPr="001722C7" w:rsidRDefault="00F76ABD" w:rsidP="001722C7">
      <w:pPr>
        <w:pStyle w:val="ListParagraph1"/>
        <w:spacing w:after="891" w:line="360" w:lineRule="auto"/>
        <w:ind w:left="993" w:right="136" w:hanging="993"/>
        <w:jc w:val="both"/>
        <w:rPr>
          <w:szCs w:val="24"/>
        </w:rPr>
      </w:pPr>
      <w:r w:rsidRPr="001722C7">
        <w:rPr>
          <w:szCs w:val="24"/>
        </w:rPr>
        <w:lastRenderedPageBreak/>
        <w:t xml:space="preserve">Afriyie, K., Amponsah, O., &amp; Boakye-Danquah, J. (2019). Urban sprawl and agricultural livelihood response in peri-urban Ghana. </w:t>
      </w:r>
      <w:r w:rsidRPr="001722C7">
        <w:rPr>
          <w:rFonts w:eastAsiaTheme="majorEastAsia"/>
          <w:i/>
          <w:iCs/>
          <w:szCs w:val="24"/>
        </w:rPr>
        <w:t>International Journal of Urban Sustainable Development</w:t>
      </w:r>
      <w:r w:rsidRPr="001722C7">
        <w:rPr>
          <w:szCs w:val="24"/>
        </w:rPr>
        <w:t>, 11(1), 1–19.</w:t>
      </w:r>
    </w:p>
    <w:p w14:paraId="08F0345A"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Agyeman, S. A. (2017). </w:t>
      </w:r>
      <w:r w:rsidRPr="001722C7">
        <w:rPr>
          <w:i/>
          <w:iCs/>
          <w:szCs w:val="24"/>
          <w:lang w:val="en-GB"/>
        </w:rPr>
        <w:t>Urban sprawl and its impact on livelihoods and ecology in peri-urban areas: A case study of Greater Accra Metropolitan Area</w:t>
      </w:r>
      <w:r w:rsidRPr="001722C7">
        <w:rPr>
          <w:szCs w:val="24"/>
          <w:lang w:val="en-GB"/>
        </w:rPr>
        <w:t xml:space="preserve"> [Master’s thesis, University of Ghana]. University of Ghana Digital Repository.</w:t>
      </w:r>
    </w:p>
    <w:p w14:paraId="021510E1"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Akaateba, M. A., Ahmed, A., &amp; </w:t>
      </w:r>
      <w:proofErr w:type="spellStart"/>
      <w:r w:rsidRPr="001722C7">
        <w:rPr>
          <w:szCs w:val="24"/>
          <w:lang w:val="en-GB"/>
        </w:rPr>
        <w:t>Inkoom</w:t>
      </w:r>
      <w:proofErr w:type="spellEnd"/>
      <w:r w:rsidRPr="001722C7">
        <w:rPr>
          <w:szCs w:val="24"/>
          <w:lang w:val="en-GB"/>
        </w:rPr>
        <w:t xml:space="preserve">, D. K. B. (2021). Chiefs, land professionals and hybrid planning in Tamale and Techiman, Ghana: Implications for sustainable urban development. </w:t>
      </w:r>
      <w:r w:rsidRPr="001722C7">
        <w:rPr>
          <w:i/>
          <w:iCs/>
          <w:szCs w:val="24"/>
          <w:lang w:val="en-GB"/>
        </w:rPr>
        <w:t>International Journal of Urban Sustainable Development, 13</w:t>
      </w:r>
      <w:r w:rsidRPr="001722C7">
        <w:rPr>
          <w:szCs w:val="24"/>
          <w:lang w:val="en-GB"/>
        </w:rPr>
        <w:t xml:space="preserve">(3), 464–480. </w:t>
      </w:r>
      <w:hyperlink r:id="rId40" w:history="1">
        <w:r w:rsidRPr="001722C7">
          <w:rPr>
            <w:rStyle w:val="Hyperlink"/>
            <w:szCs w:val="24"/>
            <w:lang w:val="en-GB"/>
          </w:rPr>
          <w:t>https://doi.org/10.1080/19463138.2021.1971990</w:t>
        </w:r>
      </w:hyperlink>
    </w:p>
    <w:p w14:paraId="6AB3EA60" w14:textId="4A43DADA" w:rsidR="00C27765" w:rsidRPr="001722C7" w:rsidRDefault="00C27765" w:rsidP="001722C7">
      <w:pPr>
        <w:pStyle w:val="ListParagraph1"/>
        <w:spacing w:after="891" w:line="360" w:lineRule="auto"/>
        <w:ind w:left="993" w:right="136" w:hanging="993"/>
        <w:jc w:val="both"/>
        <w:rPr>
          <w:szCs w:val="24"/>
          <w:lang w:val="en-GB"/>
        </w:rPr>
      </w:pPr>
      <w:r w:rsidRPr="001722C7">
        <w:rPr>
          <w:szCs w:val="24"/>
          <w:lang w:val="en-GB"/>
        </w:rPr>
        <w:t xml:space="preserve">Alikhani, S., Nummi, P., &amp; Ojala, A. (2021). Urban wetlands: A review on ecological and cultural values. </w:t>
      </w:r>
      <w:r w:rsidRPr="001722C7">
        <w:rPr>
          <w:i/>
          <w:iCs/>
          <w:szCs w:val="24"/>
          <w:lang w:val="en-GB"/>
        </w:rPr>
        <w:t>Water</w:t>
      </w:r>
      <w:r w:rsidRPr="001722C7">
        <w:rPr>
          <w:szCs w:val="24"/>
          <w:lang w:val="en-GB"/>
        </w:rPr>
        <w:t xml:space="preserve">, 13(22), 3301. </w:t>
      </w:r>
      <w:hyperlink r:id="rId41" w:history="1">
        <w:r w:rsidRPr="001722C7">
          <w:rPr>
            <w:rStyle w:val="Hyperlink"/>
            <w:szCs w:val="24"/>
            <w:lang w:val="en-GB"/>
          </w:rPr>
          <w:t>https://doi.org/10.3390/w13223301</w:t>
        </w:r>
      </w:hyperlink>
    </w:p>
    <w:p w14:paraId="7D353358" w14:textId="43C4A9D3" w:rsidR="00F76ABD" w:rsidRPr="001722C7" w:rsidRDefault="00F76ABD" w:rsidP="001722C7">
      <w:pPr>
        <w:pStyle w:val="ListParagraph1"/>
        <w:spacing w:after="891" w:line="360" w:lineRule="auto"/>
        <w:ind w:left="993" w:right="136" w:hanging="993"/>
        <w:jc w:val="both"/>
        <w:rPr>
          <w:szCs w:val="24"/>
          <w:lang w:val="en-GB"/>
        </w:rPr>
      </w:pPr>
      <w:proofErr w:type="spellStart"/>
      <w:r w:rsidRPr="001722C7">
        <w:rPr>
          <w:szCs w:val="24"/>
          <w:lang w:val="en-GB"/>
        </w:rPr>
        <w:t>Amedzro</w:t>
      </w:r>
      <w:proofErr w:type="spellEnd"/>
      <w:r w:rsidRPr="001722C7">
        <w:rPr>
          <w:szCs w:val="24"/>
          <w:lang w:val="en-GB"/>
        </w:rPr>
        <w:t xml:space="preserve">, K. K., Essien, R. S., Issah, M. A., &amp; Owusu, G. (2024). Large-scale urban road corridors development and urban sprawl in the Greater Accra Metropolitan Area, Ghana. </w:t>
      </w:r>
      <w:r w:rsidRPr="001722C7">
        <w:rPr>
          <w:i/>
          <w:iCs/>
          <w:szCs w:val="24"/>
          <w:lang w:val="en-GB"/>
        </w:rPr>
        <w:t>International Development Planning Review, 46</w:t>
      </w:r>
      <w:r w:rsidRPr="001722C7">
        <w:rPr>
          <w:szCs w:val="24"/>
          <w:lang w:val="en-GB"/>
        </w:rPr>
        <w:t xml:space="preserve">(2), 175–198. </w:t>
      </w:r>
      <w:hyperlink r:id="rId42" w:history="1">
        <w:r w:rsidRPr="001722C7">
          <w:rPr>
            <w:rStyle w:val="Hyperlink"/>
            <w:szCs w:val="24"/>
            <w:lang w:val="en-GB"/>
          </w:rPr>
          <w:t>https://doi.org/10.3828/idpr.2024.2</w:t>
        </w:r>
      </w:hyperlink>
    </w:p>
    <w:p w14:paraId="7CFFAC3B"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Amponsah, O., </w:t>
      </w:r>
      <w:proofErr w:type="spellStart"/>
      <w:r w:rsidRPr="001722C7">
        <w:rPr>
          <w:szCs w:val="24"/>
          <w:lang w:val="en-GB"/>
        </w:rPr>
        <w:t>Blija</w:t>
      </w:r>
      <w:proofErr w:type="spellEnd"/>
      <w:r w:rsidRPr="001722C7">
        <w:rPr>
          <w:szCs w:val="24"/>
          <w:lang w:val="en-GB"/>
        </w:rPr>
        <w:t xml:space="preserve">, D. K., </w:t>
      </w:r>
      <w:proofErr w:type="spellStart"/>
      <w:r w:rsidRPr="001722C7">
        <w:rPr>
          <w:szCs w:val="24"/>
          <w:lang w:val="en-GB"/>
        </w:rPr>
        <w:t>Ayambire</w:t>
      </w:r>
      <w:proofErr w:type="spellEnd"/>
      <w:r w:rsidRPr="001722C7">
        <w:rPr>
          <w:szCs w:val="24"/>
          <w:lang w:val="en-GB"/>
        </w:rPr>
        <w:t xml:space="preserve">, R. A., Takyi, S. A., Mensah, H., &amp; Braimah, I. (2022). Global urban sprawl containment strategies and their implications for rapidly urbanising cities in Ghana. </w:t>
      </w:r>
      <w:r w:rsidRPr="001722C7">
        <w:rPr>
          <w:i/>
          <w:iCs/>
          <w:szCs w:val="24"/>
          <w:lang w:val="en-GB"/>
        </w:rPr>
        <w:t>Land Use Policy, 114</w:t>
      </w:r>
      <w:r w:rsidRPr="001722C7">
        <w:rPr>
          <w:szCs w:val="24"/>
          <w:lang w:val="en-GB"/>
        </w:rPr>
        <w:t xml:space="preserve">, 105979. </w:t>
      </w:r>
      <w:hyperlink r:id="rId43" w:history="1">
        <w:r w:rsidRPr="001722C7">
          <w:rPr>
            <w:rStyle w:val="Hyperlink"/>
            <w:szCs w:val="24"/>
            <w:lang w:val="en-GB"/>
          </w:rPr>
          <w:t>https://doi.org/10.1016/j.landusepol.2022.105979</w:t>
        </w:r>
      </w:hyperlink>
    </w:p>
    <w:p w14:paraId="777F4E8A"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Anarfi, K., Hill, R. A., &amp; Shiel, C. (2020). Highlighting the sustainability implications of urbanisation: A comparative analysis of two urban areas in Ghana. </w:t>
      </w:r>
      <w:r w:rsidRPr="001722C7">
        <w:rPr>
          <w:i/>
          <w:iCs/>
          <w:szCs w:val="24"/>
          <w:lang w:val="en-GB"/>
        </w:rPr>
        <w:t>Land, 9</w:t>
      </w:r>
      <w:r w:rsidRPr="001722C7">
        <w:rPr>
          <w:szCs w:val="24"/>
          <w:lang w:val="en-GB"/>
        </w:rPr>
        <w:t xml:space="preserve">(9), 300. </w:t>
      </w:r>
      <w:hyperlink r:id="rId44" w:history="1">
        <w:r w:rsidRPr="001722C7">
          <w:rPr>
            <w:rStyle w:val="Hyperlink"/>
            <w:szCs w:val="24"/>
            <w:lang w:val="en-GB"/>
          </w:rPr>
          <w:t>https://doi.org/10.3390/land9090300</w:t>
        </w:r>
      </w:hyperlink>
    </w:p>
    <w:p w14:paraId="69F4EEC1" w14:textId="77777777" w:rsidR="00F76ABD" w:rsidRPr="001722C7" w:rsidRDefault="00F76ABD" w:rsidP="001722C7">
      <w:pPr>
        <w:pStyle w:val="ListParagraph1"/>
        <w:spacing w:after="891" w:line="360" w:lineRule="auto"/>
        <w:ind w:left="993" w:right="136" w:hanging="993"/>
        <w:jc w:val="both"/>
        <w:rPr>
          <w:szCs w:val="24"/>
        </w:rPr>
      </w:pPr>
      <w:r w:rsidRPr="001722C7">
        <w:rPr>
          <w:szCs w:val="24"/>
        </w:rPr>
        <w:t xml:space="preserve">Angel, S. (2023). Urban expansion: Theory, evidence and practice. </w:t>
      </w:r>
      <w:r w:rsidRPr="001722C7">
        <w:rPr>
          <w:i/>
          <w:iCs/>
          <w:szCs w:val="24"/>
        </w:rPr>
        <w:t>Buildings &amp; Cities, 4</w:t>
      </w:r>
      <w:r w:rsidRPr="001722C7">
        <w:rPr>
          <w:szCs w:val="24"/>
        </w:rPr>
        <w:t xml:space="preserve">(1), 124–138. </w:t>
      </w:r>
      <w:hyperlink r:id="rId45" w:history="1">
        <w:r w:rsidRPr="001722C7">
          <w:rPr>
            <w:rStyle w:val="Hyperlink"/>
            <w:szCs w:val="24"/>
          </w:rPr>
          <w:t>https://doi.org/10.5334/bc.348</w:t>
        </w:r>
      </w:hyperlink>
    </w:p>
    <w:p w14:paraId="74784E3B"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Ankrah, D., Takyi, S. A., </w:t>
      </w:r>
      <w:proofErr w:type="spellStart"/>
      <w:r w:rsidRPr="001722C7">
        <w:rPr>
          <w:szCs w:val="24"/>
          <w:lang w:val="en-GB"/>
        </w:rPr>
        <w:t>Liwur</w:t>
      </w:r>
      <w:proofErr w:type="spellEnd"/>
      <w:r w:rsidRPr="001722C7">
        <w:rPr>
          <w:szCs w:val="24"/>
          <w:lang w:val="en-GB"/>
        </w:rPr>
        <w:t xml:space="preserve">, S. B., &amp; Amponsah, O. (2024). Urban sprawl, urban form, and urban land use pattern: Examining urban planning response to the causes and effects of urban sprawl in Kumasi, Ghana. </w:t>
      </w:r>
      <w:r w:rsidRPr="001722C7">
        <w:rPr>
          <w:i/>
          <w:iCs/>
          <w:szCs w:val="24"/>
          <w:lang w:val="en-GB"/>
        </w:rPr>
        <w:t>African Geographical Review</w:t>
      </w:r>
      <w:r w:rsidRPr="001722C7">
        <w:rPr>
          <w:szCs w:val="24"/>
          <w:lang w:val="en-GB"/>
        </w:rPr>
        <w:t xml:space="preserve">, </w:t>
      </w:r>
      <w:r w:rsidRPr="001722C7">
        <w:rPr>
          <w:i/>
          <w:iCs/>
          <w:szCs w:val="24"/>
          <w:lang w:val="en-GB"/>
        </w:rPr>
        <w:t>43</w:t>
      </w:r>
      <w:r w:rsidRPr="001722C7">
        <w:rPr>
          <w:szCs w:val="24"/>
          <w:lang w:val="en-GB"/>
        </w:rPr>
        <w:t xml:space="preserve">(3). </w:t>
      </w:r>
      <w:hyperlink r:id="rId46" w:history="1">
        <w:r w:rsidRPr="001722C7">
          <w:rPr>
            <w:rStyle w:val="Hyperlink"/>
            <w:szCs w:val="24"/>
            <w:lang w:val="en-GB"/>
          </w:rPr>
          <w:t>https://doi.org/10.1080/19376812.2024.2391777</w:t>
        </w:r>
      </w:hyperlink>
    </w:p>
    <w:p w14:paraId="6B2192DC" w14:textId="77777777" w:rsidR="00477934" w:rsidRPr="001722C7" w:rsidRDefault="00F76ABD" w:rsidP="001722C7">
      <w:pPr>
        <w:pStyle w:val="ListParagraph1"/>
        <w:spacing w:after="891" w:line="360" w:lineRule="auto"/>
        <w:ind w:left="993" w:right="136" w:hanging="993"/>
        <w:jc w:val="both"/>
        <w:rPr>
          <w:szCs w:val="24"/>
        </w:rPr>
      </w:pPr>
      <w:r w:rsidRPr="001722C7">
        <w:rPr>
          <w:szCs w:val="24"/>
          <w:lang w:val="en-GB"/>
        </w:rPr>
        <w:t xml:space="preserve">Appiah, D. O., </w:t>
      </w:r>
      <w:proofErr w:type="spellStart"/>
      <w:r w:rsidRPr="001722C7">
        <w:rPr>
          <w:szCs w:val="24"/>
          <w:lang w:val="en-GB"/>
        </w:rPr>
        <w:t>Bugri</w:t>
      </w:r>
      <w:proofErr w:type="spellEnd"/>
      <w:r w:rsidRPr="001722C7">
        <w:rPr>
          <w:szCs w:val="24"/>
          <w:lang w:val="en-GB"/>
        </w:rPr>
        <w:t xml:space="preserve">, J. T., </w:t>
      </w:r>
      <w:proofErr w:type="spellStart"/>
      <w:r w:rsidRPr="001722C7">
        <w:rPr>
          <w:szCs w:val="24"/>
          <w:lang w:val="en-GB"/>
        </w:rPr>
        <w:t>Forkuo</w:t>
      </w:r>
      <w:proofErr w:type="spellEnd"/>
      <w:r w:rsidRPr="001722C7">
        <w:rPr>
          <w:szCs w:val="24"/>
          <w:lang w:val="en-GB"/>
        </w:rPr>
        <w:t xml:space="preserve">, E. K., &amp; Boateng, P. K. (2014). Determinants of peri-urbanization and land use change patterns in peri-urban Ghana. </w:t>
      </w:r>
      <w:r w:rsidRPr="001722C7">
        <w:rPr>
          <w:i/>
          <w:iCs/>
          <w:szCs w:val="24"/>
          <w:lang w:val="en-GB"/>
        </w:rPr>
        <w:t>Journal of Sustainable Development, 7</w:t>
      </w:r>
      <w:r w:rsidRPr="001722C7">
        <w:rPr>
          <w:szCs w:val="24"/>
          <w:lang w:val="en-GB"/>
        </w:rPr>
        <w:t xml:space="preserve">(6), 95–107. </w:t>
      </w:r>
      <w:hyperlink r:id="rId47" w:history="1">
        <w:r w:rsidRPr="001722C7">
          <w:rPr>
            <w:rStyle w:val="Hyperlink"/>
            <w:szCs w:val="24"/>
            <w:lang w:val="en-GB"/>
          </w:rPr>
          <w:t>https://doi.org/10.5539/jsd.v7n6p95</w:t>
        </w:r>
      </w:hyperlink>
    </w:p>
    <w:p w14:paraId="4E5E8EED" w14:textId="6BE4060A" w:rsidR="00477934" w:rsidRPr="001722C7" w:rsidRDefault="00477934" w:rsidP="001722C7">
      <w:pPr>
        <w:pStyle w:val="ListParagraph1"/>
        <w:spacing w:after="891" w:line="360" w:lineRule="auto"/>
        <w:ind w:left="993" w:right="136" w:hanging="993"/>
        <w:jc w:val="both"/>
        <w:rPr>
          <w:szCs w:val="24"/>
          <w:lang w:val="en-GB"/>
        </w:rPr>
      </w:pPr>
      <w:r w:rsidRPr="001722C7">
        <w:rPr>
          <w:szCs w:val="24"/>
        </w:rPr>
        <w:t xml:space="preserve">Aryee, B. (2001). Ghana's mining sector: Its contribution to the national economy. </w:t>
      </w:r>
      <w:r w:rsidRPr="001722C7">
        <w:rPr>
          <w:i/>
          <w:iCs/>
          <w:szCs w:val="24"/>
        </w:rPr>
        <w:t>Resources Policy</w:t>
      </w:r>
      <w:r w:rsidRPr="001722C7">
        <w:rPr>
          <w:szCs w:val="24"/>
        </w:rPr>
        <w:t xml:space="preserve">, 44, 1 10. </w:t>
      </w:r>
      <w:hyperlink r:id="rId48" w:history="1">
        <w:r w:rsidRPr="001722C7">
          <w:rPr>
            <w:rStyle w:val="Hyperlink"/>
            <w:szCs w:val="24"/>
          </w:rPr>
          <w:t>https://doi.org/10.1016/S0301-4207(00)00042-8</w:t>
        </w:r>
      </w:hyperlink>
      <w:r w:rsidRPr="001722C7">
        <w:rPr>
          <w:szCs w:val="24"/>
        </w:rPr>
        <w:t xml:space="preserve">. </w:t>
      </w:r>
    </w:p>
    <w:p w14:paraId="198FD168" w14:textId="77777777" w:rsidR="00EB471C" w:rsidRPr="001722C7" w:rsidRDefault="00EB471C" w:rsidP="001722C7">
      <w:pPr>
        <w:pStyle w:val="ListParagraph1"/>
        <w:spacing w:after="891" w:line="360" w:lineRule="auto"/>
        <w:ind w:left="993" w:right="136" w:hanging="993"/>
        <w:jc w:val="both"/>
        <w:rPr>
          <w:szCs w:val="24"/>
          <w:lang w:val="en-GB"/>
        </w:rPr>
      </w:pPr>
      <w:proofErr w:type="spellStart"/>
      <w:r w:rsidRPr="001722C7">
        <w:rPr>
          <w:szCs w:val="24"/>
          <w:lang w:val="en-GB"/>
        </w:rPr>
        <w:lastRenderedPageBreak/>
        <w:t>Baeribameng</w:t>
      </w:r>
      <w:proofErr w:type="spellEnd"/>
      <w:r w:rsidRPr="001722C7">
        <w:rPr>
          <w:szCs w:val="24"/>
          <w:lang w:val="en-GB"/>
        </w:rPr>
        <w:t xml:space="preserve">, G. A. (2020). </w:t>
      </w:r>
      <w:r w:rsidRPr="001722C7">
        <w:rPr>
          <w:i/>
          <w:iCs/>
          <w:szCs w:val="24"/>
          <w:lang w:val="en-GB"/>
        </w:rPr>
        <w:t>Urban sprawl and sustainability: A comparative analysis of Accra and Kumasi urban regions</w:t>
      </w:r>
      <w:r w:rsidRPr="001722C7">
        <w:rPr>
          <w:szCs w:val="24"/>
          <w:lang w:val="en-GB"/>
        </w:rPr>
        <w:t>. Ghana Social Science Journal, 17(1). Retrieved from University of Ghana repository.</w:t>
      </w:r>
    </w:p>
    <w:p w14:paraId="4B6FC2EC" w14:textId="28F9FDF1" w:rsidR="004E1F04" w:rsidRPr="001722C7" w:rsidRDefault="004E1F04" w:rsidP="001722C7">
      <w:pPr>
        <w:pStyle w:val="ListParagraph1"/>
        <w:spacing w:after="891" w:line="360" w:lineRule="auto"/>
        <w:ind w:left="993" w:right="136" w:hanging="993"/>
        <w:jc w:val="both"/>
        <w:rPr>
          <w:szCs w:val="24"/>
          <w:lang w:val="en-GB"/>
        </w:rPr>
      </w:pPr>
      <w:r w:rsidRPr="001722C7">
        <w:rPr>
          <w:szCs w:val="24"/>
          <w:lang w:val="en-GB"/>
        </w:rPr>
        <w:t xml:space="preserve">Boateng, J. (2018). </w:t>
      </w:r>
      <w:r w:rsidRPr="001722C7">
        <w:rPr>
          <w:i/>
          <w:iCs/>
          <w:szCs w:val="24"/>
          <w:lang w:val="en-GB"/>
        </w:rPr>
        <w:t>Understanding urban sprawl in the Greater Accra Metropolitan Area: The GIS perspective</w:t>
      </w:r>
      <w:r w:rsidRPr="001722C7">
        <w:rPr>
          <w:szCs w:val="24"/>
          <w:lang w:val="en-GB"/>
        </w:rPr>
        <w:t xml:space="preserve"> (Master’s thesis, University of Ghana). University of Ghana. </w:t>
      </w:r>
      <w:hyperlink r:id="rId49" w:history="1">
        <w:r w:rsidRPr="001722C7">
          <w:rPr>
            <w:rStyle w:val="Hyperlink"/>
            <w:szCs w:val="24"/>
            <w:lang w:val="en-GB"/>
          </w:rPr>
          <w:t>https://ugspace.ug.edu.gh/bitstreams/822f75b4-79c6-4198-8959-7262a0e38700/download</w:t>
        </w:r>
      </w:hyperlink>
    </w:p>
    <w:p w14:paraId="76580771" w14:textId="2A9158AC" w:rsidR="00EB471C" w:rsidRPr="001722C7" w:rsidRDefault="00EB471C" w:rsidP="001722C7">
      <w:pPr>
        <w:pStyle w:val="ListParagraph1"/>
        <w:spacing w:after="891" w:line="360" w:lineRule="auto"/>
        <w:ind w:left="993" w:right="136" w:hanging="993"/>
        <w:jc w:val="both"/>
        <w:rPr>
          <w:szCs w:val="24"/>
          <w:lang w:val="en-GB"/>
        </w:rPr>
      </w:pPr>
      <w:r w:rsidRPr="001722C7">
        <w:rPr>
          <w:szCs w:val="24"/>
          <w:lang w:val="en-GB"/>
        </w:rPr>
        <w:t xml:space="preserve">Bueno-Suárez, C., &amp; Coq-Huelva, D. (2020). Sustaining what is unsustainable: A review of urban sprawl and urban socio-environmental policies in North America and Western Europe. </w:t>
      </w:r>
      <w:r w:rsidRPr="001722C7">
        <w:rPr>
          <w:i/>
          <w:iCs/>
          <w:szCs w:val="24"/>
          <w:lang w:val="en-GB"/>
        </w:rPr>
        <w:t>Sustainability</w:t>
      </w:r>
      <w:r w:rsidRPr="001722C7">
        <w:rPr>
          <w:szCs w:val="24"/>
          <w:lang w:val="en-GB"/>
        </w:rPr>
        <w:t xml:space="preserve">, 12(11), 4445. </w:t>
      </w:r>
      <w:hyperlink r:id="rId50" w:history="1">
        <w:r w:rsidRPr="001722C7">
          <w:rPr>
            <w:rStyle w:val="Hyperlink"/>
            <w:szCs w:val="24"/>
            <w:lang w:val="en-GB"/>
          </w:rPr>
          <w:t>https://doi.org/10.3390/su12114445</w:t>
        </w:r>
      </w:hyperlink>
    </w:p>
    <w:p w14:paraId="26A7B0ED" w14:textId="1A1A19AF" w:rsidR="00F76ABD" w:rsidRPr="001722C7" w:rsidRDefault="00F76ABD" w:rsidP="001722C7">
      <w:pPr>
        <w:pStyle w:val="ListParagraph1"/>
        <w:spacing w:after="891" w:line="360" w:lineRule="auto"/>
        <w:ind w:left="993" w:right="136" w:hanging="993"/>
        <w:jc w:val="both"/>
        <w:rPr>
          <w:szCs w:val="24"/>
          <w:lang w:val="en-GB"/>
        </w:rPr>
      </w:pPr>
      <w:proofErr w:type="spellStart"/>
      <w:r w:rsidRPr="001722C7">
        <w:rPr>
          <w:szCs w:val="24"/>
          <w:lang w:val="en-GB"/>
        </w:rPr>
        <w:t>Cobbinah</w:t>
      </w:r>
      <w:proofErr w:type="spellEnd"/>
      <w:r w:rsidRPr="001722C7">
        <w:rPr>
          <w:szCs w:val="24"/>
          <w:lang w:val="en-GB"/>
        </w:rPr>
        <w:t xml:space="preserve">, P. B., &amp; Amoako, C. (2012). </w:t>
      </w:r>
      <w:r w:rsidRPr="001722C7">
        <w:rPr>
          <w:i/>
          <w:iCs/>
          <w:szCs w:val="24"/>
          <w:lang w:val="en-GB"/>
        </w:rPr>
        <w:t>Urban sprawl and the loss of peri-urban land in Kumasi, Ghana</w:t>
      </w:r>
      <w:r w:rsidRPr="001722C7">
        <w:rPr>
          <w:szCs w:val="24"/>
          <w:lang w:val="en-GB"/>
        </w:rPr>
        <w:t xml:space="preserve">. [Conference paper]. ResearchGate. </w:t>
      </w:r>
      <w:hyperlink r:id="rId51" w:history="1">
        <w:r w:rsidRPr="001722C7">
          <w:rPr>
            <w:rStyle w:val="Hyperlink"/>
            <w:szCs w:val="24"/>
            <w:lang w:val="en-GB"/>
          </w:rPr>
          <w:t>https://www.researchgate.net/publication/232957200_Urban_Sprawl_and_the_Los</w:t>
        </w:r>
      </w:hyperlink>
    </w:p>
    <w:p w14:paraId="0A3B3896" w14:textId="77777777" w:rsidR="00F76ABD" w:rsidRPr="001722C7" w:rsidRDefault="00F76ABD" w:rsidP="001722C7">
      <w:pPr>
        <w:pStyle w:val="ListParagraph1"/>
        <w:spacing w:after="891" w:line="360" w:lineRule="auto"/>
        <w:ind w:left="993" w:right="136" w:hanging="993"/>
        <w:jc w:val="both"/>
        <w:rPr>
          <w:szCs w:val="24"/>
          <w:lang w:val="en-GB"/>
        </w:rPr>
      </w:pPr>
      <w:proofErr w:type="spellStart"/>
      <w:r w:rsidRPr="001722C7">
        <w:rPr>
          <w:szCs w:val="24"/>
          <w:lang w:val="en-GB"/>
        </w:rPr>
        <w:t>Cobbinah</w:t>
      </w:r>
      <w:proofErr w:type="spellEnd"/>
      <w:r w:rsidRPr="001722C7">
        <w:rPr>
          <w:szCs w:val="24"/>
          <w:lang w:val="en-GB"/>
        </w:rPr>
        <w:t xml:space="preserve">, P. B., </w:t>
      </w:r>
      <w:proofErr w:type="spellStart"/>
      <w:r w:rsidRPr="001722C7">
        <w:rPr>
          <w:szCs w:val="24"/>
          <w:lang w:val="en-GB"/>
        </w:rPr>
        <w:t>Asibey</w:t>
      </w:r>
      <w:proofErr w:type="spellEnd"/>
      <w:r w:rsidRPr="001722C7">
        <w:rPr>
          <w:szCs w:val="24"/>
          <w:lang w:val="en-GB"/>
        </w:rPr>
        <w:t xml:space="preserve">, M. O., &amp; </w:t>
      </w:r>
      <w:proofErr w:type="spellStart"/>
      <w:r w:rsidRPr="001722C7">
        <w:rPr>
          <w:szCs w:val="24"/>
          <w:lang w:val="en-GB"/>
        </w:rPr>
        <w:t>Gyedu-Pensang</w:t>
      </w:r>
      <w:proofErr w:type="spellEnd"/>
      <w:r w:rsidRPr="001722C7">
        <w:rPr>
          <w:szCs w:val="24"/>
          <w:lang w:val="en-GB"/>
        </w:rPr>
        <w:t xml:space="preserve">, Y. A. (2020). Urban land use planning in Ghana: Navigating complex coalescence of land ownership and administration. </w:t>
      </w:r>
      <w:r w:rsidRPr="001722C7">
        <w:rPr>
          <w:i/>
          <w:iCs/>
          <w:szCs w:val="24"/>
          <w:lang w:val="en-GB"/>
        </w:rPr>
        <w:t>Land Use Policy, 99</w:t>
      </w:r>
      <w:r w:rsidRPr="001722C7">
        <w:rPr>
          <w:szCs w:val="24"/>
          <w:lang w:val="en-GB"/>
        </w:rPr>
        <w:t xml:space="preserve">, 105054. </w:t>
      </w:r>
      <w:hyperlink r:id="rId52" w:history="1">
        <w:r w:rsidRPr="001722C7">
          <w:rPr>
            <w:rStyle w:val="Hyperlink"/>
            <w:szCs w:val="24"/>
            <w:lang w:val="en-GB"/>
          </w:rPr>
          <w:t>https://doi.org/10.1016/j.landusepol.2020.105054</w:t>
        </w:r>
      </w:hyperlink>
    </w:p>
    <w:p w14:paraId="1CF686B8" w14:textId="77777777" w:rsidR="00F76ABD" w:rsidRPr="001722C7" w:rsidRDefault="00F76ABD" w:rsidP="001722C7">
      <w:pPr>
        <w:pStyle w:val="ListParagraph1"/>
        <w:spacing w:after="891" w:line="360" w:lineRule="auto"/>
        <w:ind w:left="993" w:right="136" w:hanging="993"/>
        <w:jc w:val="both"/>
        <w:rPr>
          <w:szCs w:val="24"/>
          <w:lang w:val="en-GB"/>
        </w:rPr>
      </w:pPr>
      <w:proofErr w:type="spellStart"/>
      <w:r w:rsidRPr="001722C7">
        <w:rPr>
          <w:szCs w:val="24"/>
          <w:lang w:val="en-GB"/>
        </w:rPr>
        <w:t>Cobbinah</w:t>
      </w:r>
      <w:proofErr w:type="spellEnd"/>
      <w:r w:rsidRPr="001722C7">
        <w:rPr>
          <w:szCs w:val="24"/>
          <w:lang w:val="en-GB"/>
        </w:rPr>
        <w:t xml:space="preserve">, P. B., Korah, P. I., </w:t>
      </w:r>
      <w:proofErr w:type="spellStart"/>
      <w:r w:rsidRPr="001722C7">
        <w:rPr>
          <w:szCs w:val="24"/>
          <w:lang w:val="en-GB"/>
        </w:rPr>
        <w:t>Bardoe</w:t>
      </w:r>
      <w:proofErr w:type="spellEnd"/>
      <w:r w:rsidRPr="001722C7">
        <w:rPr>
          <w:szCs w:val="24"/>
          <w:lang w:val="en-GB"/>
        </w:rPr>
        <w:t xml:space="preserve">, J. B., Darkwah, R. M., &amp; Nunbogu, A. M. (2022). Contested urban spaces in unplanned urbanization: Wetlands under siege. </w:t>
      </w:r>
      <w:r w:rsidRPr="001722C7">
        <w:rPr>
          <w:i/>
          <w:iCs/>
          <w:szCs w:val="24"/>
          <w:lang w:val="en-GB"/>
        </w:rPr>
        <w:t>Cities, 121</w:t>
      </w:r>
      <w:r w:rsidRPr="001722C7">
        <w:rPr>
          <w:szCs w:val="24"/>
          <w:lang w:val="en-GB"/>
        </w:rPr>
        <w:t xml:space="preserve">, 103489. </w:t>
      </w:r>
      <w:hyperlink r:id="rId53" w:history="1">
        <w:r w:rsidRPr="001722C7">
          <w:rPr>
            <w:rStyle w:val="Hyperlink"/>
            <w:szCs w:val="24"/>
            <w:lang w:val="en-GB"/>
          </w:rPr>
          <w:t>https://doi.org/10.1016/j.cities.2021.103489</w:t>
        </w:r>
      </w:hyperlink>
    </w:p>
    <w:p w14:paraId="389B0B79"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Codjoe, S. N. A., Owusu, G., &amp; Burkett, V. (2014). Perception, experience, and indigenous knowledge of climate change and variability: The case of Accra, a sub-Saharan African city. </w:t>
      </w:r>
      <w:r w:rsidRPr="001722C7">
        <w:rPr>
          <w:i/>
          <w:iCs/>
          <w:szCs w:val="24"/>
          <w:lang w:val="en-GB"/>
        </w:rPr>
        <w:t>Regional Environmental Change, 14</w:t>
      </w:r>
      <w:r w:rsidRPr="001722C7">
        <w:rPr>
          <w:szCs w:val="24"/>
          <w:lang w:val="en-GB"/>
        </w:rPr>
        <w:t xml:space="preserve">, 369–383. </w:t>
      </w:r>
      <w:hyperlink r:id="rId54" w:history="1">
        <w:r w:rsidRPr="001722C7">
          <w:rPr>
            <w:rStyle w:val="Hyperlink"/>
            <w:szCs w:val="24"/>
            <w:lang w:val="en-GB"/>
          </w:rPr>
          <w:t>https://doi.org/10.1007/s10113-013-0500-0</w:t>
        </w:r>
      </w:hyperlink>
    </w:p>
    <w:p w14:paraId="072E9EFD" w14:textId="357E9820" w:rsidR="004C3609" w:rsidRPr="001722C7" w:rsidRDefault="004C3609" w:rsidP="001722C7">
      <w:pPr>
        <w:pStyle w:val="ListParagraph1"/>
        <w:spacing w:after="891" w:line="360" w:lineRule="auto"/>
        <w:ind w:left="993" w:right="136" w:hanging="993"/>
        <w:jc w:val="both"/>
        <w:rPr>
          <w:szCs w:val="24"/>
          <w:lang w:val="en-GB"/>
        </w:rPr>
      </w:pPr>
      <w:proofErr w:type="spellStart"/>
      <w:r w:rsidRPr="001722C7">
        <w:rPr>
          <w:szCs w:val="24"/>
          <w:lang w:val="en-GB"/>
        </w:rPr>
        <w:t>Farvacque-Vitkovic</w:t>
      </w:r>
      <w:proofErr w:type="spellEnd"/>
      <w:r w:rsidRPr="001722C7">
        <w:rPr>
          <w:szCs w:val="24"/>
          <w:lang w:val="en-GB"/>
        </w:rPr>
        <w:t xml:space="preserve">, C., Raghunath, M., Eghoff, C., &amp; Boakye, C. (2008). </w:t>
      </w:r>
      <w:r w:rsidRPr="001722C7">
        <w:rPr>
          <w:i/>
          <w:iCs/>
          <w:szCs w:val="24"/>
          <w:lang w:val="en-GB"/>
        </w:rPr>
        <w:t>Development of the cities of Ghana: Challenges, priorities and tools</w:t>
      </w:r>
      <w:r w:rsidRPr="001722C7">
        <w:rPr>
          <w:szCs w:val="24"/>
          <w:lang w:val="en-GB"/>
        </w:rPr>
        <w:t xml:space="preserve"> (Africa Region Working Paper Series No. 110). The World Bank. </w:t>
      </w:r>
      <w:hyperlink r:id="rId55" w:history="1">
        <w:r w:rsidRPr="001722C7">
          <w:rPr>
            <w:rStyle w:val="Hyperlink"/>
            <w:szCs w:val="24"/>
            <w:lang w:val="en-GB"/>
          </w:rPr>
          <w:t>https://www.ircwash.org/sites/default/files/Farvacque-2008-Development.pdf</w:t>
        </w:r>
      </w:hyperlink>
      <w:r w:rsidRPr="001722C7">
        <w:rPr>
          <w:szCs w:val="24"/>
          <w:lang w:val="en-GB"/>
        </w:rPr>
        <w:t xml:space="preserve">. </w:t>
      </w:r>
    </w:p>
    <w:p w14:paraId="2F13F780" w14:textId="5E2D33F1"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Fuseini, I., &amp; Kemp, J. (2015). A review of spatial planning in Ghana's socio-economic development trajectory: A sustainable development perspective. </w:t>
      </w:r>
      <w:r w:rsidRPr="001722C7">
        <w:rPr>
          <w:i/>
          <w:iCs/>
          <w:szCs w:val="24"/>
          <w:lang w:val="en-GB"/>
        </w:rPr>
        <w:t>Land Use Policy, 47</w:t>
      </w:r>
      <w:r w:rsidRPr="001722C7">
        <w:rPr>
          <w:szCs w:val="24"/>
          <w:lang w:val="en-GB"/>
        </w:rPr>
        <w:t xml:space="preserve">, 309–320. </w:t>
      </w:r>
      <w:hyperlink r:id="rId56" w:history="1">
        <w:r w:rsidRPr="001722C7">
          <w:rPr>
            <w:rStyle w:val="Hyperlink"/>
            <w:szCs w:val="24"/>
            <w:lang w:val="en-GB"/>
          </w:rPr>
          <w:t>https://doi.org/10.1016/j.landusepol.2015.04.020</w:t>
        </w:r>
      </w:hyperlink>
    </w:p>
    <w:p w14:paraId="2C0ABB79" w14:textId="77777777" w:rsidR="00F76ABD" w:rsidRPr="001722C7" w:rsidRDefault="00F76ABD" w:rsidP="001722C7">
      <w:pPr>
        <w:pStyle w:val="ListParagraph1"/>
        <w:spacing w:after="891" w:line="360" w:lineRule="auto"/>
        <w:ind w:left="993" w:right="136" w:hanging="993"/>
        <w:jc w:val="both"/>
        <w:rPr>
          <w:szCs w:val="24"/>
        </w:rPr>
      </w:pPr>
      <w:r w:rsidRPr="001722C7">
        <w:rPr>
          <w:szCs w:val="24"/>
        </w:rPr>
        <w:t xml:space="preserve">Ghana Statistical Service (GSS). (2021). </w:t>
      </w:r>
      <w:r w:rsidRPr="001722C7">
        <w:rPr>
          <w:rFonts w:eastAsiaTheme="majorEastAsia"/>
          <w:i/>
          <w:iCs/>
          <w:szCs w:val="24"/>
        </w:rPr>
        <w:t>2021 Population and Housing Census General Report: Urbanization</w:t>
      </w:r>
      <w:r w:rsidRPr="001722C7">
        <w:rPr>
          <w:szCs w:val="24"/>
        </w:rPr>
        <w:t>. Accra, Ghana.</w:t>
      </w:r>
    </w:p>
    <w:p w14:paraId="32C6DFDC"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lastRenderedPageBreak/>
        <w:t xml:space="preserve">Gough, K. V., &amp; Yankson, P. W. K. (2000). Land markets in African cities: The case of peri-urban Accra, Ghana. </w:t>
      </w:r>
      <w:r w:rsidRPr="001722C7">
        <w:rPr>
          <w:i/>
          <w:iCs/>
          <w:szCs w:val="24"/>
          <w:lang w:val="en-GB"/>
        </w:rPr>
        <w:t>Urban Studies, 37</w:t>
      </w:r>
      <w:r w:rsidRPr="001722C7">
        <w:rPr>
          <w:szCs w:val="24"/>
          <w:lang w:val="en-GB"/>
        </w:rPr>
        <w:t xml:space="preserve">(13), 2485–2500. </w:t>
      </w:r>
      <w:hyperlink r:id="rId57" w:history="1">
        <w:r w:rsidRPr="001722C7">
          <w:rPr>
            <w:rStyle w:val="Hyperlink"/>
            <w:szCs w:val="24"/>
            <w:lang w:val="en-GB"/>
          </w:rPr>
          <w:t>https://doi.org/10.1080/00420980020080651</w:t>
        </w:r>
      </w:hyperlink>
    </w:p>
    <w:p w14:paraId="1286B8AA"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Kamana, A. A., </w:t>
      </w:r>
      <w:proofErr w:type="spellStart"/>
      <w:r w:rsidRPr="001722C7">
        <w:rPr>
          <w:szCs w:val="24"/>
          <w:lang w:val="en-GB"/>
        </w:rPr>
        <w:t>Radoine</w:t>
      </w:r>
      <w:proofErr w:type="spellEnd"/>
      <w:r w:rsidRPr="001722C7">
        <w:rPr>
          <w:szCs w:val="24"/>
          <w:lang w:val="en-GB"/>
        </w:rPr>
        <w:t xml:space="preserve">, H., &amp; Nyasulu, C. (2024). Urban challenges and strategies in African cities: A systematic literature review. </w:t>
      </w:r>
      <w:r w:rsidRPr="001722C7">
        <w:rPr>
          <w:i/>
          <w:iCs/>
          <w:szCs w:val="24"/>
          <w:lang w:val="en-GB"/>
        </w:rPr>
        <w:t>City and Environment Interactions, 21</w:t>
      </w:r>
      <w:r w:rsidRPr="001722C7">
        <w:rPr>
          <w:szCs w:val="24"/>
          <w:lang w:val="en-GB"/>
        </w:rPr>
        <w:t xml:space="preserve">, 100132. </w:t>
      </w:r>
      <w:hyperlink r:id="rId58" w:history="1">
        <w:r w:rsidRPr="001722C7">
          <w:rPr>
            <w:rStyle w:val="Hyperlink"/>
            <w:szCs w:val="24"/>
            <w:lang w:val="en-GB"/>
          </w:rPr>
          <w:t>https://doi.org/10.1016/j.cacint.2023.100132</w:t>
        </w:r>
      </w:hyperlink>
    </w:p>
    <w:p w14:paraId="55671F02"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Korah, P. I., </w:t>
      </w:r>
      <w:proofErr w:type="spellStart"/>
      <w:r w:rsidRPr="001722C7">
        <w:rPr>
          <w:szCs w:val="24"/>
          <w:lang w:val="en-GB"/>
        </w:rPr>
        <w:t>Cobbinah</w:t>
      </w:r>
      <w:proofErr w:type="spellEnd"/>
      <w:r w:rsidRPr="001722C7">
        <w:rPr>
          <w:szCs w:val="24"/>
          <w:lang w:val="en-GB"/>
        </w:rPr>
        <w:t xml:space="preserve">, P. B., &amp; Nunbogu, A. M. (2017). Spatial planning in Ghana: Exploring the contradictions. </w:t>
      </w:r>
      <w:r w:rsidRPr="001722C7">
        <w:rPr>
          <w:i/>
          <w:iCs/>
          <w:szCs w:val="24"/>
          <w:lang w:val="en-GB"/>
        </w:rPr>
        <w:t>Planning Practice and Research, 32</w:t>
      </w:r>
      <w:r w:rsidRPr="001722C7">
        <w:rPr>
          <w:szCs w:val="24"/>
          <w:lang w:val="en-GB"/>
        </w:rPr>
        <w:t xml:space="preserve">(4), 361–384. </w:t>
      </w:r>
      <w:hyperlink r:id="rId59" w:history="1">
        <w:r w:rsidRPr="001722C7">
          <w:rPr>
            <w:rStyle w:val="Hyperlink"/>
            <w:szCs w:val="24"/>
            <w:lang w:val="en-GB"/>
          </w:rPr>
          <w:t>https://doi.org/10.1080/02697459.2017.1378977</w:t>
        </w:r>
      </w:hyperlink>
    </w:p>
    <w:p w14:paraId="701D73FA"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Korah, P. I., </w:t>
      </w:r>
      <w:proofErr w:type="spellStart"/>
      <w:r w:rsidRPr="001722C7">
        <w:rPr>
          <w:szCs w:val="24"/>
          <w:lang w:val="en-GB"/>
        </w:rPr>
        <w:t>Jambadu</w:t>
      </w:r>
      <w:proofErr w:type="spellEnd"/>
      <w:r w:rsidRPr="001722C7">
        <w:rPr>
          <w:szCs w:val="24"/>
          <w:lang w:val="en-GB"/>
        </w:rPr>
        <w:t xml:space="preserve">, L., &amp; Nunbogu, A. M. (2022). Mapping spatial and temporal dynamics in urban growth: The case of secondary cities in northern Ghana. </w:t>
      </w:r>
      <w:r w:rsidRPr="001722C7">
        <w:rPr>
          <w:i/>
          <w:iCs/>
          <w:szCs w:val="24"/>
          <w:lang w:val="en-GB"/>
        </w:rPr>
        <w:t>Journal of Urban Affairs, 45</w:t>
      </w:r>
      <w:r w:rsidRPr="001722C7">
        <w:rPr>
          <w:szCs w:val="24"/>
          <w:lang w:val="en-GB"/>
        </w:rPr>
        <w:t xml:space="preserve">(3), 390–406. </w:t>
      </w:r>
      <w:hyperlink r:id="rId60" w:history="1">
        <w:r w:rsidRPr="001722C7">
          <w:rPr>
            <w:rStyle w:val="Hyperlink"/>
            <w:szCs w:val="24"/>
            <w:lang w:val="en-GB"/>
          </w:rPr>
          <w:t>https://doi.org/10.1080/07352166.2022.2093734</w:t>
        </w:r>
      </w:hyperlink>
    </w:p>
    <w:p w14:paraId="34F73F5F"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Mensah, C. A. (2014). Destruction of urban green spaces: A problem beyond urbanization in Kumasi City (Ghana). </w:t>
      </w:r>
      <w:r w:rsidRPr="001722C7">
        <w:rPr>
          <w:i/>
          <w:iCs/>
          <w:szCs w:val="24"/>
          <w:lang w:val="en-GB"/>
        </w:rPr>
        <w:t>American Journal of Environmental Protection, 3</w:t>
      </w:r>
      <w:r w:rsidRPr="001722C7">
        <w:rPr>
          <w:szCs w:val="24"/>
          <w:lang w:val="en-GB"/>
        </w:rPr>
        <w:t xml:space="preserve">(1), 1–9. </w:t>
      </w:r>
      <w:hyperlink r:id="rId61" w:history="1">
        <w:r w:rsidRPr="001722C7">
          <w:rPr>
            <w:rStyle w:val="Hyperlink"/>
            <w:szCs w:val="24"/>
            <w:lang w:val="en-GB"/>
          </w:rPr>
          <w:t>https://doi.org/10.11648/j.ajep.20140301.11</w:t>
        </w:r>
      </w:hyperlink>
    </w:p>
    <w:p w14:paraId="0C46FB9A"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Mensah, C. A., Eshun, J. K., Asamoah, Y., &amp; Ofori, E. (2019). Changing land use/cover of Ghana’s oil city (Sekondi-Takoradi Metropolis): Implications for sustainable urban development. </w:t>
      </w:r>
      <w:r w:rsidRPr="001722C7">
        <w:rPr>
          <w:i/>
          <w:iCs/>
          <w:szCs w:val="24"/>
          <w:lang w:val="en-GB"/>
        </w:rPr>
        <w:t>International Journal of Urban Sustainable Development, 11</w:t>
      </w:r>
      <w:r w:rsidRPr="001722C7">
        <w:rPr>
          <w:szCs w:val="24"/>
          <w:lang w:val="en-GB"/>
        </w:rPr>
        <w:t xml:space="preserve">(2), 223–233. </w:t>
      </w:r>
      <w:hyperlink r:id="rId62" w:history="1">
        <w:r w:rsidRPr="001722C7">
          <w:rPr>
            <w:rStyle w:val="Hyperlink"/>
            <w:szCs w:val="24"/>
            <w:lang w:val="en-GB"/>
          </w:rPr>
          <w:t>https://doi.org/10.1080/19463138.2019.1615492</w:t>
        </w:r>
      </w:hyperlink>
    </w:p>
    <w:p w14:paraId="1A2EFF7D" w14:textId="77777777" w:rsidR="00F76ABD" w:rsidRPr="001722C7" w:rsidRDefault="00F76ABD" w:rsidP="001722C7">
      <w:pPr>
        <w:pStyle w:val="ListParagraph1"/>
        <w:spacing w:after="891" w:line="360" w:lineRule="auto"/>
        <w:ind w:left="993" w:right="136" w:hanging="993"/>
        <w:jc w:val="both"/>
        <w:rPr>
          <w:szCs w:val="24"/>
          <w:lang w:val="en-GB"/>
        </w:rPr>
      </w:pPr>
      <w:proofErr w:type="spellStart"/>
      <w:r w:rsidRPr="001722C7">
        <w:rPr>
          <w:szCs w:val="24"/>
          <w:lang w:val="en-GB"/>
        </w:rPr>
        <w:t>Mitlin</w:t>
      </w:r>
      <w:proofErr w:type="spellEnd"/>
      <w:r w:rsidRPr="001722C7">
        <w:rPr>
          <w:szCs w:val="24"/>
          <w:lang w:val="en-GB"/>
        </w:rPr>
        <w:t xml:space="preserve">, D. (2021). </w:t>
      </w:r>
      <w:r w:rsidRPr="001722C7">
        <w:rPr>
          <w:i/>
          <w:iCs/>
          <w:szCs w:val="24"/>
          <w:lang w:val="en-GB"/>
        </w:rPr>
        <w:t>Urban development in Africa: Challenges and opportunities</w:t>
      </w:r>
      <w:r w:rsidRPr="001722C7">
        <w:rPr>
          <w:szCs w:val="24"/>
          <w:lang w:val="en-GB"/>
        </w:rPr>
        <w:t xml:space="preserve">. African Cities Research Consortium. </w:t>
      </w:r>
      <w:hyperlink r:id="rId63" w:history="1">
        <w:r w:rsidRPr="001722C7">
          <w:rPr>
            <w:rStyle w:val="Hyperlink"/>
            <w:szCs w:val="24"/>
            <w:lang w:val="en-GB"/>
          </w:rPr>
          <w:t>https://www.african-cities.org/urban-development-in-africa-challenges-and-opportunities/</w:t>
        </w:r>
      </w:hyperlink>
    </w:p>
    <w:p w14:paraId="180C2F43"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Obeng-Odoom, F. (2014). </w:t>
      </w:r>
      <w:r w:rsidRPr="001722C7">
        <w:rPr>
          <w:i/>
          <w:iCs/>
          <w:szCs w:val="24"/>
          <w:lang w:val="en-GB"/>
        </w:rPr>
        <w:t>Oiling the urban economy: Land, labour, capital, and the state in Sekondi-Takoradi, Ghana</w:t>
      </w:r>
      <w:r w:rsidRPr="001722C7">
        <w:rPr>
          <w:szCs w:val="24"/>
          <w:lang w:val="en-GB"/>
        </w:rPr>
        <w:t xml:space="preserve"> (1st ed.). Routledge. </w:t>
      </w:r>
      <w:hyperlink r:id="rId64" w:history="1">
        <w:r w:rsidRPr="001722C7">
          <w:rPr>
            <w:rStyle w:val="Hyperlink"/>
            <w:szCs w:val="24"/>
            <w:lang w:val="en-GB"/>
          </w:rPr>
          <w:t>https://doi.org/10.4324/9781315773889</w:t>
        </w:r>
      </w:hyperlink>
    </w:p>
    <w:p w14:paraId="695DA4DA" w14:textId="06F25A9B" w:rsidR="00C27765" w:rsidRPr="001722C7" w:rsidRDefault="00C27765" w:rsidP="001722C7">
      <w:pPr>
        <w:pStyle w:val="ListParagraph1"/>
        <w:spacing w:after="891" w:line="360" w:lineRule="auto"/>
        <w:ind w:left="993" w:right="136" w:hanging="993"/>
        <w:jc w:val="both"/>
        <w:rPr>
          <w:szCs w:val="24"/>
          <w:lang w:val="en-GB"/>
        </w:rPr>
      </w:pPr>
      <w:r w:rsidRPr="001722C7">
        <w:rPr>
          <w:szCs w:val="24"/>
          <w:lang w:val="en-GB"/>
        </w:rPr>
        <w:t xml:space="preserve">Oduro, C. Y., &amp; </w:t>
      </w:r>
      <w:proofErr w:type="spellStart"/>
      <w:r w:rsidRPr="001722C7">
        <w:rPr>
          <w:szCs w:val="24"/>
          <w:lang w:val="en-GB"/>
        </w:rPr>
        <w:t>Forkuor</w:t>
      </w:r>
      <w:proofErr w:type="spellEnd"/>
      <w:r w:rsidRPr="001722C7">
        <w:rPr>
          <w:szCs w:val="24"/>
          <w:lang w:val="en-GB"/>
        </w:rPr>
        <w:t xml:space="preserve">, E. (2021). Urban expansion and agricultural land loss in peri-urban Kumasi, Ghana: Implications for food security. </w:t>
      </w:r>
      <w:r w:rsidRPr="001722C7">
        <w:rPr>
          <w:i/>
          <w:iCs/>
          <w:szCs w:val="24"/>
          <w:lang w:val="en-GB"/>
        </w:rPr>
        <w:t>Land Use Policy</w:t>
      </w:r>
      <w:r w:rsidRPr="001722C7">
        <w:rPr>
          <w:szCs w:val="24"/>
          <w:lang w:val="en-GB"/>
        </w:rPr>
        <w:t xml:space="preserve">, 108, 105579. </w:t>
      </w:r>
      <w:hyperlink r:id="rId65" w:history="1">
        <w:r w:rsidRPr="001722C7">
          <w:rPr>
            <w:rStyle w:val="Hyperlink"/>
            <w:szCs w:val="24"/>
            <w:lang w:val="en-GB"/>
          </w:rPr>
          <w:t>https://doi.org/10.1016/j.landusepol.2021.105579</w:t>
        </w:r>
      </w:hyperlink>
    </w:p>
    <w:p w14:paraId="6F6DD948" w14:textId="02113652" w:rsidR="004E1F04" w:rsidRPr="001722C7" w:rsidRDefault="004E1F04" w:rsidP="001722C7">
      <w:pPr>
        <w:pStyle w:val="ListParagraph1"/>
        <w:spacing w:after="891" w:line="360" w:lineRule="auto"/>
        <w:ind w:left="993" w:right="136" w:hanging="993"/>
        <w:jc w:val="both"/>
        <w:rPr>
          <w:szCs w:val="24"/>
          <w:lang w:val="en-GB"/>
        </w:rPr>
      </w:pPr>
      <w:r w:rsidRPr="001722C7">
        <w:rPr>
          <w:szCs w:val="24"/>
          <w:lang w:val="en-GB"/>
        </w:rPr>
        <w:t xml:space="preserve">Oppong, J., Namwamba, J. B., Twumasi, Y. A., Ning, Z. H., Asare-Ansah, A. B., </w:t>
      </w:r>
      <w:proofErr w:type="spellStart"/>
      <w:r w:rsidRPr="001722C7">
        <w:rPr>
          <w:szCs w:val="24"/>
          <w:lang w:val="en-GB"/>
        </w:rPr>
        <w:t>Akinrinwoye</w:t>
      </w:r>
      <w:proofErr w:type="spellEnd"/>
      <w:r w:rsidRPr="001722C7">
        <w:rPr>
          <w:szCs w:val="24"/>
          <w:lang w:val="en-GB"/>
        </w:rPr>
        <w:t xml:space="preserve">, C., Antwi, R., </w:t>
      </w:r>
      <w:proofErr w:type="spellStart"/>
      <w:r w:rsidRPr="001722C7">
        <w:rPr>
          <w:szCs w:val="24"/>
          <w:lang w:val="en-GB"/>
        </w:rPr>
        <w:t>Osimbo</w:t>
      </w:r>
      <w:proofErr w:type="spellEnd"/>
      <w:r w:rsidRPr="001722C7">
        <w:rPr>
          <w:szCs w:val="24"/>
          <w:lang w:val="en-GB"/>
        </w:rPr>
        <w:t xml:space="preserve">, B. M., Loh, P., Frimpong, D. B., </w:t>
      </w:r>
      <w:proofErr w:type="spellStart"/>
      <w:r w:rsidRPr="001722C7">
        <w:rPr>
          <w:szCs w:val="24"/>
          <w:lang w:val="en-GB"/>
        </w:rPr>
        <w:t>Apraku</w:t>
      </w:r>
      <w:proofErr w:type="spellEnd"/>
      <w:r w:rsidRPr="001722C7">
        <w:rPr>
          <w:szCs w:val="24"/>
          <w:lang w:val="en-GB"/>
        </w:rPr>
        <w:t xml:space="preserve">, C., </w:t>
      </w:r>
      <w:proofErr w:type="spellStart"/>
      <w:r w:rsidRPr="001722C7">
        <w:rPr>
          <w:szCs w:val="24"/>
          <w:lang w:val="en-GB"/>
        </w:rPr>
        <w:t>Atayi</w:t>
      </w:r>
      <w:proofErr w:type="spellEnd"/>
      <w:r w:rsidRPr="001722C7">
        <w:rPr>
          <w:szCs w:val="24"/>
          <w:lang w:val="en-GB"/>
        </w:rPr>
        <w:t xml:space="preserve">, J., </w:t>
      </w:r>
      <w:proofErr w:type="spellStart"/>
      <w:r w:rsidRPr="001722C7">
        <w:rPr>
          <w:szCs w:val="24"/>
          <w:lang w:val="en-GB"/>
        </w:rPr>
        <w:t>Ahoma</w:t>
      </w:r>
      <w:proofErr w:type="spellEnd"/>
      <w:r w:rsidRPr="001722C7">
        <w:rPr>
          <w:szCs w:val="24"/>
          <w:lang w:val="en-GB"/>
        </w:rPr>
        <w:t xml:space="preserve">, G., &amp; Annan, J. (2025). Urbanization and urban forest loss: A spatial analysis of five metropolitan districts in Ghana. </w:t>
      </w:r>
      <w:r w:rsidRPr="001722C7">
        <w:rPr>
          <w:i/>
          <w:iCs/>
          <w:szCs w:val="24"/>
          <w:lang w:val="en-GB"/>
        </w:rPr>
        <w:t>Geology, Ecology, and Landscapes, 9</w:t>
      </w:r>
      <w:r w:rsidRPr="001722C7">
        <w:rPr>
          <w:szCs w:val="24"/>
          <w:lang w:val="en-GB"/>
        </w:rPr>
        <w:t xml:space="preserve">(1), 346–355. </w:t>
      </w:r>
      <w:hyperlink r:id="rId66" w:history="1">
        <w:r w:rsidRPr="001722C7">
          <w:rPr>
            <w:rStyle w:val="Hyperlink"/>
            <w:szCs w:val="24"/>
            <w:lang w:val="en-GB"/>
          </w:rPr>
          <w:t>https://doi.org/10.1080/24749508.2023.2202439</w:t>
        </w:r>
      </w:hyperlink>
    </w:p>
    <w:p w14:paraId="43B2543F" w14:textId="7C554CBD"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lastRenderedPageBreak/>
        <w:t xml:space="preserve">Osei, F. E., Balogun, B. O., &amp; Afrifa, C. G. (2015). Identifying and quantifying urban sprawl in the Greater Accra Region of Ghana from 1985 to 2014. </w:t>
      </w:r>
      <w:r w:rsidRPr="001722C7">
        <w:rPr>
          <w:i/>
          <w:iCs/>
          <w:szCs w:val="24"/>
          <w:lang w:val="en-GB"/>
        </w:rPr>
        <w:t>International Journal of Science and Research, 4</w:t>
      </w:r>
      <w:r w:rsidRPr="001722C7">
        <w:rPr>
          <w:szCs w:val="24"/>
          <w:lang w:val="en-GB"/>
        </w:rPr>
        <w:t xml:space="preserve">(1), 2793–2798. </w:t>
      </w:r>
      <w:hyperlink r:id="rId67" w:history="1">
        <w:r w:rsidRPr="001722C7">
          <w:rPr>
            <w:rStyle w:val="Hyperlink"/>
            <w:szCs w:val="24"/>
            <w:lang w:val="en-GB"/>
          </w:rPr>
          <w:t>https://www.ijsr.net/getabstract.php?paperid=SUB15877</w:t>
        </w:r>
      </w:hyperlink>
    </w:p>
    <w:p w14:paraId="2B56BC85"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Owusu, G. (2013). Coping with urban sprawl: A critical discussion of the urban containment strategy in a developing country city, Accra. </w:t>
      </w:r>
      <w:r w:rsidRPr="001722C7">
        <w:rPr>
          <w:i/>
          <w:iCs/>
          <w:szCs w:val="24"/>
          <w:lang w:val="en-GB"/>
        </w:rPr>
        <w:t>Planum: The Journal of Urbanism, 26</w:t>
      </w:r>
      <w:r w:rsidRPr="001722C7">
        <w:rPr>
          <w:szCs w:val="24"/>
          <w:lang w:val="en-GB"/>
        </w:rPr>
        <w:t xml:space="preserve">(1), 1–17. </w:t>
      </w:r>
      <w:hyperlink r:id="rId68" w:history="1">
        <w:r w:rsidRPr="001722C7">
          <w:rPr>
            <w:rStyle w:val="Hyperlink"/>
            <w:szCs w:val="24"/>
            <w:lang w:val="en-GB"/>
          </w:rPr>
          <w:t>https://ugspace.ug.edu.gh/items/bee851ca-6950-4662-8b14-0acbbe8ebc8d</w:t>
        </w:r>
      </w:hyperlink>
    </w:p>
    <w:p w14:paraId="398B06AB"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Owusu, G. (2015). Decentralized development planning and fragmentation of metropolitan regions: The case of the Greater Accra Metropolitan Area, Ghana. </w:t>
      </w:r>
      <w:r w:rsidRPr="001722C7">
        <w:rPr>
          <w:i/>
          <w:iCs/>
          <w:szCs w:val="24"/>
          <w:lang w:val="en-GB"/>
        </w:rPr>
        <w:t>Ghana Journal of Geography, 7</w:t>
      </w:r>
      <w:r w:rsidRPr="001722C7">
        <w:rPr>
          <w:szCs w:val="24"/>
          <w:lang w:val="en-GB"/>
        </w:rPr>
        <w:t xml:space="preserve">(1), 1–24. </w:t>
      </w:r>
      <w:hyperlink r:id="rId69" w:history="1">
        <w:r w:rsidRPr="001722C7">
          <w:rPr>
            <w:rStyle w:val="Hyperlink"/>
            <w:szCs w:val="24"/>
            <w:lang w:val="en-GB"/>
          </w:rPr>
          <w:t>https://journals.ug.edu.gh/index.php/gjg/article/download/459/240/</w:t>
        </w:r>
      </w:hyperlink>
    </w:p>
    <w:p w14:paraId="258BAB7C"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Owusu, G., &amp; </w:t>
      </w:r>
      <w:proofErr w:type="spellStart"/>
      <w:r w:rsidRPr="001722C7">
        <w:rPr>
          <w:szCs w:val="24"/>
          <w:lang w:val="en-GB"/>
        </w:rPr>
        <w:t>Afutu-Kotey</w:t>
      </w:r>
      <w:proofErr w:type="spellEnd"/>
      <w:r w:rsidRPr="001722C7">
        <w:rPr>
          <w:szCs w:val="24"/>
          <w:lang w:val="en-GB"/>
        </w:rPr>
        <w:t xml:space="preserve">, R. L. (2010). Poor urban communities and municipal interface in Ghana: A case study of Accra and Sekondi-Takoradi Metropolis. </w:t>
      </w:r>
      <w:r w:rsidRPr="001722C7">
        <w:rPr>
          <w:i/>
          <w:iCs/>
          <w:szCs w:val="24"/>
          <w:lang w:val="en-GB"/>
        </w:rPr>
        <w:t>African Studies Quarterly, 12</w:t>
      </w:r>
      <w:r w:rsidRPr="001722C7">
        <w:rPr>
          <w:szCs w:val="24"/>
          <w:lang w:val="en-GB"/>
        </w:rPr>
        <w:t xml:space="preserve">(1), 1–16. </w:t>
      </w:r>
      <w:hyperlink r:id="rId70" w:history="1">
        <w:r w:rsidRPr="001722C7">
          <w:rPr>
            <w:rStyle w:val="Hyperlink"/>
            <w:szCs w:val="24"/>
            <w:lang w:val="en-GB"/>
          </w:rPr>
          <w:t>https://journals.flvc.org/ASQ/article/view/136240</w:t>
        </w:r>
      </w:hyperlink>
    </w:p>
    <w:p w14:paraId="7A3E73F5" w14:textId="77777777" w:rsidR="00F76ABD" w:rsidRPr="001722C7" w:rsidRDefault="00F76ABD" w:rsidP="001722C7">
      <w:pPr>
        <w:pStyle w:val="ListParagraph1"/>
        <w:spacing w:after="891" w:line="360" w:lineRule="auto"/>
        <w:ind w:left="993" w:right="136" w:hanging="993"/>
        <w:jc w:val="both"/>
        <w:rPr>
          <w:szCs w:val="24"/>
        </w:rPr>
      </w:pPr>
      <w:r w:rsidRPr="001722C7">
        <w:rPr>
          <w:szCs w:val="24"/>
          <w:lang w:val="en-GB"/>
        </w:rPr>
        <w:t xml:space="preserve">Owusu, G., &amp; Oteng-Ababio, M. (2014). Moving unruly contemporary urbanism toward sustainable urban development in Ghana by 2030. </w:t>
      </w:r>
      <w:r w:rsidRPr="001722C7">
        <w:rPr>
          <w:i/>
          <w:iCs/>
          <w:szCs w:val="24"/>
          <w:lang w:val="en-GB"/>
        </w:rPr>
        <w:t xml:space="preserve">American </w:t>
      </w:r>
      <w:proofErr w:type="spellStart"/>
      <w:r w:rsidRPr="001722C7">
        <w:rPr>
          <w:i/>
          <w:iCs/>
          <w:szCs w:val="24"/>
          <w:lang w:val="en-GB"/>
        </w:rPr>
        <w:t>Behavioral</w:t>
      </w:r>
      <w:proofErr w:type="spellEnd"/>
      <w:r w:rsidRPr="001722C7">
        <w:rPr>
          <w:i/>
          <w:iCs/>
          <w:szCs w:val="24"/>
          <w:lang w:val="en-GB"/>
        </w:rPr>
        <w:t xml:space="preserve"> Scientist, 59</w:t>
      </w:r>
      <w:r w:rsidRPr="001722C7">
        <w:rPr>
          <w:szCs w:val="24"/>
          <w:lang w:val="en-GB"/>
        </w:rPr>
        <w:t xml:space="preserve">(3), 311–327. </w:t>
      </w:r>
      <w:hyperlink r:id="rId71" w:history="1">
        <w:r w:rsidRPr="001722C7">
          <w:rPr>
            <w:rStyle w:val="Hyperlink"/>
            <w:szCs w:val="24"/>
            <w:lang w:val="en-GB"/>
          </w:rPr>
          <w:t>https://doi.org/10.1177/0002764214550302</w:t>
        </w:r>
      </w:hyperlink>
      <w:r w:rsidRPr="001722C7">
        <w:rPr>
          <w:szCs w:val="24"/>
        </w:rPr>
        <w:t xml:space="preserve">. </w:t>
      </w:r>
    </w:p>
    <w:p w14:paraId="07D2FAF0" w14:textId="159DBD62" w:rsidR="004E1F04" w:rsidRPr="001722C7" w:rsidRDefault="004E1F04" w:rsidP="001722C7">
      <w:pPr>
        <w:pStyle w:val="ListParagraph1"/>
        <w:spacing w:after="891" w:line="360" w:lineRule="auto"/>
        <w:ind w:left="993" w:right="136" w:hanging="993"/>
        <w:jc w:val="both"/>
        <w:rPr>
          <w:szCs w:val="24"/>
          <w:lang w:val="en-GB"/>
        </w:rPr>
      </w:pPr>
      <w:r w:rsidRPr="001722C7">
        <w:rPr>
          <w:szCs w:val="24"/>
          <w:lang w:val="en-GB"/>
        </w:rPr>
        <w:t xml:space="preserve">Panda, S. (2024). Assessment of urban sprawl and its environmental impact. </w:t>
      </w:r>
      <w:r w:rsidRPr="001722C7">
        <w:rPr>
          <w:i/>
          <w:iCs/>
          <w:szCs w:val="24"/>
          <w:lang w:val="en-GB"/>
        </w:rPr>
        <w:t>Journal of Geosciences Insights, 2</w:t>
      </w:r>
      <w:r w:rsidRPr="001722C7">
        <w:rPr>
          <w:szCs w:val="24"/>
          <w:lang w:val="en-GB"/>
        </w:rPr>
        <w:t xml:space="preserve">(3), 1–4. </w:t>
      </w:r>
      <w:hyperlink r:id="rId72" w:history="1">
        <w:r w:rsidRPr="001722C7">
          <w:rPr>
            <w:rStyle w:val="Hyperlink"/>
            <w:szCs w:val="24"/>
            <w:lang w:val="en-GB"/>
          </w:rPr>
          <w:t>https://doi.org/10.61577/jgi.2024.1000011</w:t>
        </w:r>
      </w:hyperlink>
    </w:p>
    <w:p w14:paraId="5EB86A10" w14:textId="04A7F417" w:rsidR="004C3609" w:rsidRPr="001722C7" w:rsidRDefault="004C3609" w:rsidP="001722C7">
      <w:pPr>
        <w:pStyle w:val="ListParagraph1"/>
        <w:spacing w:after="891" w:line="360" w:lineRule="auto"/>
        <w:ind w:left="993" w:right="136" w:hanging="993"/>
        <w:jc w:val="both"/>
        <w:rPr>
          <w:szCs w:val="24"/>
          <w:lang w:val="en-GB"/>
        </w:rPr>
      </w:pPr>
      <w:proofErr w:type="spellStart"/>
      <w:r w:rsidRPr="001722C7">
        <w:rPr>
          <w:szCs w:val="24"/>
          <w:lang w:val="en-GB"/>
        </w:rPr>
        <w:t>Puplampu</w:t>
      </w:r>
      <w:proofErr w:type="spellEnd"/>
      <w:r w:rsidRPr="001722C7">
        <w:rPr>
          <w:szCs w:val="24"/>
          <w:lang w:val="en-GB"/>
        </w:rPr>
        <w:t xml:space="preserve">, D. A., &amp; Boafo, Y. A. (2021). </w:t>
      </w:r>
      <w:r w:rsidRPr="001722C7">
        <w:rPr>
          <w:i/>
          <w:iCs/>
          <w:szCs w:val="24"/>
          <w:lang w:val="en-GB"/>
        </w:rPr>
        <w:t>Exploring the impacts of urban expansion on green spaces availability and delivery of ecosystem services in the Accra metropolis</w:t>
      </w:r>
      <w:r w:rsidRPr="001722C7">
        <w:rPr>
          <w:szCs w:val="24"/>
          <w:lang w:val="en-GB"/>
        </w:rPr>
        <w:t xml:space="preserve">. </w:t>
      </w:r>
      <w:r w:rsidRPr="001722C7">
        <w:rPr>
          <w:i/>
          <w:iCs/>
          <w:szCs w:val="24"/>
          <w:lang w:val="en-GB"/>
        </w:rPr>
        <w:t>Environmental Challenges, 5</w:t>
      </w:r>
      <w:r w:rsidRPr="001722C7">
        <w:rPr>
          <w:szCs w:val="24"/>
          <w:lang w:val="en-GB"/>
        </w:rPr>
        <w:t xml:space="preserve">, 100283. </w:t>
      </w:r>
      <w:hyperlink r:id="rId73" w:history="1">
        <w:r w:rsidRPr="001722C7">
          <w:rPr>
            <w:rStyle w:val="Hyperlink"/>
            <w:szCs w:val="24"/>
            <w:lang w:val="en-GB"/>
          </w:rPr>
          <w:t>https://doi.org/10.1016/j.envc.2021.100283</w:t>
        </w:r>
      </w:hyperlink>
    </w:p>
    <w:p w14:paraId="48F37BE2" w14:textId="092B5715"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Seto, K. C., </w:t>
      </w:r>
      <w:proofErr w:type="spellStart"/>
      <w:r w:rsidRPr="001722C7">
        <w:rPr>
          <w:szCs w:val="24"/>
          <w:lang w:val="en-GB"/>
        </w:rPr>
        <w:t>Güneralp</w:t>
      </w:r>
      <w:proofErr w:type="spellEnd"/>
      <w:r w:rsidRPr="001722C7">
        <w:rPr>
          <w:szCs w:val="24"/>
          <w:lang w:val="en-GB"/>
        </w:rPr>
        <w:t xml:space="preserve">, B., &amp; Hutyra, L. R. (2012). Global forecasts of urban expansion to 2030 and direct impacts on biodiversity and carbon pools. </w:t>
      </w:r>
      <w:r w:rsidRPr="001722C7">
        <w:rPr>
          <w:i/>
          <w:iCs/>
          <w:szCs w:val="24"/>
          <w:lang w:val="en-GB"/>
        </w:rPr>
        <w:t>Proceedings of the National Academy of Sciences of the United States of America, 109</w:t>
      </w:r>
      <w:r w:rsidRPr="001722C7">
        <w:rPr>
          <w:szCs w:val="24"/>
          <w:lang w:val="en-GB"/>
        </w:rPr>
        <w:t xml:space="preserve">(40), 16083–16088. </w:t>
      </w:r>
      <w:hyperlink r:id="rId74" w:history="1">
        <w:r w:rsidRPr="001722C7">
          <w:rPr>
            <w:rStyle w:val="Hyperlink"/>
            <w:szCs w:val="24"/>
            <w:lang w:val="en-GB"/>
          </w:rPr>
          <w:t>https://doi.org/10.1073/pnas.1211658109</w:t>
        </w:r>
      </w:hyperlink>
    </w:p>
    <w:p w14:paraId="3FE46CEF"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Shao, Z., Sumari, N. S., Portnov, A., </w:t>
      </w:r>
      <w:proofErr w:type="spellStart"/>
      <w:r w:rsidRPr="001722C7">
        <w:rPr>
          <w:szCs w:val="24"/>
          <w:lang w:val="en-GB"/>
        </w:rPr>
        <w:t>Ujoh</w:t>
      </w:r>
      <w:proofErr w:type="spellEnd"/>
      <w:r w:rsidRPr="001722C7">
        <w:rPr>
          <w:szCs w:val="24"/>
          <w:lang w:val="en-GB"/>
        </w:rPr>
        <w:t xml:space="preserve">, F., Musakwa, W., &amp; Mandela, P. J. (2021). Urban sprawl and its impact on sustainable urban development: A combination of remote sensing and social media data. </w:t>
      </w:r>
      <w:r w:rsidRPr="001722C7">
        <w:rPr>
          <w:i/>
          <w:iCs/>
          <w:szCs w:val="24"/>
          <w:lang w:val="en-GB"/>
        </w:rPr>
        <w:t>Geo-spatial Information Science, 24</w:t>
      </w:r>
      <w:r w:rsidRPr="001722C7">
        <w:rPr>
          <w:szCs w:val="24"/>
          <w:lang w:val="en-GB"/>
        </w:rPr>
        <w:t xml:space="preserve">(2), 241–255. </w:t>
      </w:r>
      <w:hyperlink r:id="rId75" w:history="1">
        <w:r w:rsidRPr="001722C7">
          <w:rPr>
            <w:rStyle w:val="Hyperlink"/>
            <w:szCs w:val="24"/>
            <w:lang w:val="en-GB"/>
          </w:rPr>
          <w:t>https://doi.org/10.1080/10095020.2020.1787800</w:t>
        </w:r>
      </w:hyperlink>
    </w:p>
    <w:p w14:paraId="3933F2E1"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Somed, A. A., Adam, A. R., &amp; </w:t>
      </w:r>
      <w:proofErr w:type="spellStart"/>
      <w:r w:rsidRPr="001722C7">
        <w:rPr>
          <w:szCs w:val="24"/>
          <w:lang w:val="en-GB"/>
        </w:rPr>
        <w:t>Asibey</w:t>
      </w:r>
      <w:proofErr w:type="spellEnd"/>
      <w:r w:rsidRPr="001722C7">
        <w:rPr>
          <w:szCs w:val="24"/>
          <w:lang w:val="en-GB"/>
        </w:rPr>
        <w:t xml:space="preserve">, M. O. (2024). Rethinking the implications of sprawl to building sustainable secondary cities: Case of Tamale, Ghana. </w:t>
      </w:r>
      <w:r w:rsidRPr="001722C7">
        <w:rPr>
          <w:i/>
          <w:iCs/>
          <w:szCs w:val="24"/>
          <w:lang w:val="en-GB"/>
        </w:rPr>
        <w:t>Local Environment, 29</w:t>
      </w:r>
      <w:r w:rsidRPr="001722C7">
        <w:rPr>
          <w:szCs w:val="24"/>
          <w:lang w:val="en-GB"/>
        </w:rPr>
        <w:t xml:space="preserve">(6), 806–822. </w:t>
      </w:r>
      <w:hyperlink r:id="rId76" w:history="1">
        <w:r w:rsidRPr="001722C7">
          <w:rPr>
            <w:rStyle w:val="Hyperlink"/>
            <w:szCs w:val="24"/>
            <w:lang w:val="en-GB"/>
          </w:rPr>
          <w:t>https://doi.org/10.1080/13549839.2024.2330408</w:t>
        </w:r>
      </w:hyperlink>
    </w:p>
    <w:p w14:paraId="18F9645A" w14:textId="77777777" w:rsidR="00F76ABD" w:rsidRPr="001722C7" w:rsidRDefault="00F76ABD" w:rsidP="001722C7">
      <w:pPr>
        <w:pStyle w:val="ListParagraph1"/>
        <w:spacing w:after="891" w:line="360" w:lineRule="auto"/>
        <w:ind w:left="993" w:right="136" w:hanging="993"/>
        <w:jc w:val="both"/>
        <w:rPr>
          <w:szCs w:val="24"/>
        </w:rPr>
      </w:pPr>
      <w:proofErr w:type="spellStart"/>
      <w:r w:rsidRPr="001722C7">
        <w:rPr>
          <w:szCs w:val="24"/>
        </w:rPr>
        <w:lastRenderedPageBreak/>
        <w:t>Songsore</w:t>
      </w:r>
      <w:proofErr w:type="spellEnd"/>
      <w:r w:rsidRPr="001722C7">
        <w:rPr>
          <w:szCs w:val="24"/>
        </w:rPr>
        <w:t xml:space="preserve">, J. (2010). </w:t>
      </w:r>
      <w:r w:rsidRPr="001722C7">
        <w:rPr>
          <w:rFonts w:eastAsiaTheme="majorEastAsia"/>
          <w:i/>
          <w:iCs/>
          <w:szCs w:val="24"/>
        </w:rPr>
        <w:t>The urban transition in Ghana: Urbanization, national development and poverty reduction</w:t>
      </w:r>
      <w:r w:rsidRPr="001722C7">
        <w:rPr>
          <w:szCs w:val="24"/>
        </w:rPr>
        <w:t xml:space="preserve">. Study Prepared for IIED. </w:t>
      </w:r>
    </w:p>
    <w:p w14:paraId="328B9688"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Tagnan, J. N., Amponsah, O., Takyi, S. A., </w:t>
      </w:r>
      <w:proofErr w:type="spellStart"/>
      <w:r w:rsidRPr="001722C7">
        <w:rPr>
          <w:szCs w:val="24"/>
          <w:lang w:val="en-GB"/>
        </w:rPr>
        <w:t>Azunre</w:t>
      </w:r>
      <w:proofErr w:type="spellEnd"/>
      <w:r w:rsidRPr="001722C7">
        <w:rPr>
          <w:szCs w:val="24"/>
          <w:lang w:val="en-GB"/>
        </w:rPr>
        <w:t xml:space="preserve">, G. A., &amp; Braimah, I. (2022). A view of urban sprawl through the lens of family </w:t>
      </w:r>
      <w:proofErr w:type="spellStart"/>
      <w:r w:rsidRPr="001722C7">
        <w:rPr>
          <w:szCs w:val="24"/>
          <w:lang w:val="en-GB"/>
        </w:rPr>
        <w:t>nuclearisation</w:t>
      </w:r>
      <w:proofErr w:type="spellEnd"/>
      <w:r w:rsidRPr="001722C7">
        <w:rPr>
          <w:szCs w:val="24"/>
          <w:lang w:val="en-GB"/>
        </w:rPr>
        <w:t xml:space="preserve">. </w:t>
      </w:r>
      <w:r w:rsidRPr="001722C7">
        <w:rPr>
          <w:i/>
          <w:iCs/>
          <w:szCs w:val="24"/>
          <w:lang w:val="en-GB"/>
        </w:rPr>
        <w:t>Habitat International, 123</w:t>
      </w:r>
      <w:r w:rsidRPr="001722C7">
        <w:rPr>
          <w:szCs w:val="24"/>
          <w:lang w:val="en-GB"/>
        </w:rPr>
        <w:t xml:space="preserve">, 102555. </w:t>
      </w:r>
      <w:hyperlink r:id="rId77" w:history="1">
        <w:r w:rsidRPr="001722C7">
          <w:rPr>
            <w:rStyle w:val="Hyperlink"/>
            <w:szCs w:val="24"/>
            <w:lang w:val="en-GB"/>
          </w:rPr>
          <w:t>https://doi.org/10.1016/j.habitatint.2022.102555</w:t>
        </w:r>
      </w:hyperlink>
    </w:p>
    <w:p w14:paraId="44D44062" w14:textId="1BD82761" w:rsidR="00791561" w:rsidRPr="001722C7" w:rsidRDefault="00791561" w:rsidP="001722C7">
      <w:pPr>
        <w:pStyle w:val="ListParagraph1"/>
        <w:spacing w:after="891" w:line="360" w:lineRule="auto"/>
        <w:ind w:left="993" w:right="136" w:hanging="993"/>
        <w:jc w:val="both"/>
        <w:rPr>
          <w:szCs w:val="24"/>
          <w:lang w:val="en-GB"/>
        </w:rPr>
      </w:pPr>
      <w:r w:rsidRPr="001722C7">
        <w:rPr>
          <w:szCs w:val="24"/>
          <w:lang w:val="en-GB"/>
        </w:rPr>
        <w:t xml:space="preserve">Takyi, S. A., Amponsah, O., Sarko, S. B., &amp; Yeboah, A. (2023). The effects of urban sprawl on the livelihoods of settler communities: Lessons from selected municipalities in Ghana. </w:t>
      </w:r>
      <w:proofErr w:type="spellStart"/>
      <w:r w:rsidRPr="001722C7">
        <w:rPr>
          <w:i/>
          <w:iCs/>
          <w:szCs w:val="24"/>
          <w:lang w:val="en-GB"/>
        </w:rPr>
        <w:t>GeoJournal</w:t>
      </w:r>
      <w:proofErr w:type="spellEnd"/>
      <w:r w:rsidRPr="001722C7">
        <w:rPr>
          <w:szCs w:val="24"/>
          <w:lang w:val="en-GB"/>
        </w:rPr>
        <w:t xml:space="preserve">. </w:t>
      </w:r>
      <w:hyperlink r:id="rId78" w:history="1">
        <w:r w:rsidRPr="001722C7">
          <w:rPr>
            <w:rStyle w:val="Hyperlink"/>
            <w:szCs w:val="24"/>
            <w:lang w:val="en-GB"/>
          </w:rPr>
          <w:t>https://doi.org/10.1007/s10708-023-10897-4</w:t>
        </w:r>
      </w:hyperlink>
    </w:p>
    <w:p w14:paraId="301A9DF9" w14:textId="493301AE" w:rsidR="00F76ABD" w:rsidRPr="001722C7" w:rsidRDefault="00F76ABD" w:rsidP="001722C7">
      <w:pPr>
        <w:pStyle w:val="ListParagraph1"/>
        <w:spacing w:after="891" w:line="360" w:lineRule="auto"/>
        <w:ind w:left="993" w:right="136" w:hanging="993"/>
        <w:jc w:val="both"/>
        <w:rPr>
          <w:szCs w:val="24"/>
        </w:rPr>
      </w:pPr>
      <w:r w:rsidRPr="001722C7">
        <w:rPr>
          <w:szCs w:val="24"/>
        </w:rPr>
        <w:t xml:space="preserve">UN-Habitat. (2020). </w:t>
      </w:r>
      <w:r w:rsidRPr="001722C7">
        <w:rPr>
          <w:i/>
          <w:iCs/>
          <w:szCs w:val="24"/>
        </w:rPr>
        <w:t>World Cities Report 2020: The Value of Sustainable Urbanization</w:t>
      </w:r>
      <w:r w:rsidRPr="001722C7">
        <w:rPr>
          <w:szCs w:val="24"/>
        </w:rPr>
        <w:t xml:space="preserve">. United Nations Human Settlements </w:t>
      </w:r>
      <w:proofErr w:type="spellStart"/>
      <w:r w:rsidRPr="001722C7">
        <w:rPr>
          <w:szCs w:val="24"/>
        </w:rPr>
        <w:t>Programme</w:t>
      </w:r>
      <w:proofErr w:type="spellEnd"/>
      <w:r w:rsidRPr="001722C7">
        <w:rPr>
          <w:szCs w:val="24"/>
        </w:rPr>
        <w:t xml:space="preserve">. </w:t>
      </w:r>
    </w:p>
    <w:p w14:paraId="082B26A3" w14:textId="77777777" w:rsidR="00F76ABD" w:rsidRPr="001722C7" w:rsidRDefault="00F76ABD" w:rsidP="001722C7">
      <w:pPr>
        <w:pStyle w:val="ListParagraph1"/>
        <w:spacing w:after="891" w:line="360" w:lineRule="auto"/>
        <w:ind w:left="993" w:right="136" w:hanging="993"/>
        <w:jc w:val="both"/>
        <w:rPr>
          <w:szCs w:val="24"/>
        </w:rPr>
      </w:pPr>
      <w:r w:rsidRPr="001722C7">
        <w:rPr>
          <w:szCs w:val="24"/>
        </w:rPr>
        <w:t xml:space="preserve">United Nations. (2023). </w:t>
      </w:r>
      <w:r w:rsidRPr="001722C7">
        <w:rPr>
          <w:i/>
          <w:iCs/>
          <w:szCs w:val="24"/>
        </w:rPr>
        <w:t>Sustainable Development Goals Report 2023</w:t>
      </w:r>
      <w:r w:rsidRPr="001722C7">
        <w:rPr>
          <w:szCs w:val="24"/>
        </w:rPr>
        <w:t xml:space="preserve">. </w:t>
      </w:r>
      <w:hyperlink r:id="rId79" w:history="1">
        <w:r w:rsidRPr="001722C7">
          <w:rPr>
            <w:rStyle w:val="Hyperlink"/>
            <w:szCs w:val="24"/>
          </w:rPr>
          <w:t>https://unstats.un.org/sdgs/report/2023/</w:t>
        </w:r>
      </w:hyperlink>
    </w:p>
    <w:p w14:paraId="6C12E055" w14:textId="61CCF35B" w:rsidR="00791561" w:rsidRPr="001722C7" w:rsidRDefault="00791561" w:rsidP="001722C7">
      <w:pPr>
        <w:pStyle w:val="ListParagraph1"/>
        <w:spacing w:after="891" w:line="360" w:lineRule="auto"/>
        <w:ind w:left="993" w:right="136" w:hanging="993"/>
        <w:jc w:val="both"/>
        <w:rPr>
          <w:szCs w:val="24"/>
          <w:lang w:val="en-GB"/>
        </w:rPr>
      </w:pPr>
      <w:r w:rsidRPr="001722C7">
        <w:rPr>
          <w:szCs w:val="24"/>
          <w:lang w:val="en-GB"/>
        </w:rPr>
        <w:t xml:space="preserve">World Bank. (2020). </w:t>
      </w:r>
      <w:r w:rsidRPr="001722C7">
        <w:rPr>
          <w:i/>
          <w:iCs/>
          <w:szCs w:val="24"/>
          <w:lang w:val="en-GB"/>
        </w:rPr>
        <w:t>Policy note: Addressing urban mobility challenges in Ghanaian cities</w:t>
      </w:r>
      <w:r w:rsidRPr="001722C7">
        <w:rPr>
          <w:szCs w:val="24"/>
          <w:lang w:val="en-GB"/>
        </w:rPr>
        <w:t xml:space="preserve">. Retrieved June 24, 2025, from </w:t>
      </w:r>
      <w:hyperlink r:id="rId80" w:history="1">
        <w:r w:rsidRPr="001722C7">
          <w:rPr>
            <w:rStyle w:val="Hyperlink"/>
            <w:szCs w:val="24"/>
            <w:lang w:val="en-GB"/>
          </w:rPr>
          <w:t>https://documents1.worldbank.org/curated/en/300951592383200193/pdf/Policy-Note-Addressing-Urban-Mobility-Challenges-in-Ghanian-Cities.pdf</w:t>
        </w:r>
      </w:hyperlink>
    </w:p>
    <w:p w14:paraId="7A75F222" w14:textId="415B7135"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Yankson, P. W. K., &amp; Bertrand, M. (2012). Introduction: Challenges of urbanization in Ghana. In </w:t>
      </w:r>
      <w:r w:rsidRPr="001722C7">
        <w:rPr>
          <w:i/>
          <w:iCs/>
          <w:szCs w:val="24"/>
          <w:lang w:val="en-GB"/>
        </w:rPr>
        <w:t>The Mobile City of Accra: Urban Families, Housing and Residential Practices</w:t>
      </w:r>
      <w:r w:rsidRPr="001722C7">
        <w:rPr>
          <w:szCs w:val="24"/>
          <w:lang w:val="en-GB"/>
        </w:rPr>
        <w:t xml:space="preserve"> (pp. 25–46). Dakar: CODESRIA. </w:t>
      </w:r>
      <w:hyperlink r:id="rId81" w:history="1">
        <w:r w:rsidRPr="001722C7">
          <w:rPr>
            <w:rStyle w:val="Hyperlink"/>
            <w:szCs w:val="24"/>
            <w:lang w:val="en-GB"/>
          </w:rPr>
          <w:t>https://horizon.documentation.ird.fr/exl-doc/pleins_textes/divers13-04/010056998.pdf</w:t>
        </w:r>
      </w:hyperlink>
    </w:p>
    <w:p w14:paraId="19D70807"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Yeboah, F., Awotwi, A., </w:t>
      </w:r>
      <w:proofErr w:type="spellStart"/>
      <w:r w:rsidRPr="001722C7">
        <w:rPr>
          <w:szCs w:val="24"/>
          <w:lang w:val="en-GB"/>
        </w:rPr>
        <w:t>Forkuo</w:t>
      </w:r>
      <w:proofErr w:type="spellEnd"/>
      <w:r w:rsidRPr="001722C7">
        <w:rPr>
          <w:szCs w:val="24"/>
          <w:lang w:val="en-GB"/>
        </w:rPr>
        <w:t xml:space="preserve">, E. K., &amp; Kumi, M. (2017). Assessing the land use and land cover changes due to urban growth in Accra, Ghana. </w:t>
      </w:r>
      <w:r w:rsidRPr="001722C7">
        <w:rPr>
          <w:i/>
          <w:iCs/>
          <w:szCs w:val="24"/>
          <w:lang w:val="en-GB"/>
        </w:rPr>
        <w:t>Journal of Basic and Applied Research International, 22</w:t>
      </w:r>
      <w:r w:rsidRPr="001722C7">
        <w:rPr>
          <w:szCs w:val="24"/>
          <w:lang w:val="en-GB"/>
        </w:rPr>
        <w:t xml:space="preserve">(2), 43–50. </w:t>
      </w:r>
      <w:hyperlink r:id="rId82" w:history="1">
        <w:r w:rsidRPr="001722C7">
          <w:rPr>
            <w:rStyle w:val="Hyperlink"/>
            <w:szCs w:val="24"/>
            <w:lang w:val="en-GB"/>
          </w:rPr>
          <w:t>https://www.researchgate.net/publication/317004617_ASSESSING_THE_LAND_USE_AND_LAND_COVER_CHANGES_DUE_TO_URBAN_GROWTH_IN_ACCRA_GHANA</w:t>
        </w:r>
      </w:hyperlink>
    </w:p>
    <w:p w14:paraId="695BA9D1" w14:textId="77777777" w:rsidR="00F76ABD" w:rsidRPr="001722C7" w:rsidRDefault="00F76ABD" w:rsidP="001722C7">
      <w:pPr>
        <w:pStyle w:val="ListParagraph1"/>
        <w:spacing w:after="891" w:line="360" w:lineRule="auto"/>
        <w:ind w:left="993" w:right="136" w:hanging="993"/>
        <w:jc w:val="both"/>
        <w:rPr>
          <w:szCs w:val="24"/>
          <w:lang w:val="en-GB"/>
        </w:rPr>
      </w:pPr>
      <w:r w:rsidRPr="001722C7">
        <w:rPr>
          <w:szCs w:val="24"/>
          <w:lang w:val="en-GB"/>
        </w:rPr>
        <w:t xml:space="preserve">Yeboah, I. E. A. (2001). Structural adjustment programs and emerging urban forms. In K. Konadu-Agyemang (Ed.), </w:t>
      </w:r>
      <w:r w:rsidRPr="001722C7">
        <w:rPr>
          <w:i/>
          <w:iCs/>
          <w:szCs w:val="24"/>
          <w:lang w:val="en-GB"/>
        </w:rPr>
        <w:t>IMF and World Bank sponsored structural adjustment programs in Africa</w:t>
      </w:r>
      <w:r w:rsidRPr="001722C7">
        <w:rPr>
          <w:szCs w:val="24"/>
          <w:lang w:val="en-GB"/>
        </w:rPr>
        <w:t xml:space="preserve"> (1st ed., pp. 321–340). Routledge. </w:t>
      </w:r>
      <w:hyperlink r:id="rId83" w:history="1">
        <w:r w:rsidRPr="001722C7">
          <w:rPr>
            <w:rStyle w:val="Hyperlink"/>
            <w:szCs w:val="24"/>
            <w:lang w:val="en-GB"/>
          </w:rPr>
          <w:t>https://doi.org/10.4324/9781315210414-14</w:t>
        </w:r>
      </w:hyperlink>
    </w:p>
    <w:p w14:paraId="7C8E9662" w14:textId="77777777" w:rsidR="00F76ABD" w:rsidRPr="001722C7" w:rsidRDefault="00F76ABD" w:rsidP="001722C7">
      <w:pPr>
        <w:pStyle w:val="ListParagraph1"/>
        <w:spacing w:after="891" w:line="360" w:lineRule="auto"/>
        <w:ind w:left="993" w:right="136" w:hanging="993"/>
        <w:jc w:val="both"/>
        <w:rPr>
          <w:szCs w:val="24"/>
        </w:rPr>
      </w:pPr>
      <w:r w:rsidRPr="001722C7">
        <w:rPr>
          <w:szCs w:val="24"/>
        </w:rPr>
        <w:t xml:space="preserve">Yiran, G. A. B., Ablo, A. D., Asem, F. E., &amp; Owusu, G. (2020). Urban sprawl in Sub-Saharan Africa: A review of the literature in selected countries. </w:t>
      </w:r>
      <w:r w:rsidRPr="001722C7">
        <w:rPr>
          <w:i/>
          <w:iCs/>
          <w:szCs w:val="24"/>
        </w:rPr>
        <w:t>Ghana Journal of Geography, 12</w:t>
      </w:r>
      <w:r w:rsidRPr="001722C7">
        <w:rPr>
          <w:szCs w:val="24"/>
        </w:rPr>
        <w:t xml:space="preserve">(1), 1–28. </w:t>
      </w:r>
      <w:hyperlink r:id="rId84" w:history="1">
        <w:r w:rsidRPr="001722C7">
          <w:rPr>
            <w:rStyle w:val="Hyperlink"/>
            <w:szCs w:val="24"/>
          </w:rPr>
          <w:t>https://doi.org/10.4314/gjg.v12i1.1</w:t>
        </w:r>
      </w:hyperlink>
      <w:r w:rsidRPr="001722C7">
        <w:rPr>
          <w:szCs w:val="24"/>
        </w:rPr>
        <w:t xml:space="preserve">. </w:t>
      </w:r>
      <w:bookmarkEnd w:id="2"/>
    </w:p>
    <w:sectPr w:rsidR="00F76ABD" w:rsidRPr="001722C7" w:rsidSect="000E069D">
      <w:headerReference w:type="even" r:id="rId85"/>
      <w:headerReference w:type="default" r:id="rId86"/>
      <w:footerReference w:type="even" r:id="rId87"/>
      <w:footerReference w:type="default" r:id="rId88"/>
      <w:headerReference w:type="first" r:id="rId89"/>
      <w:footerReference w:type="first" r:id="rId9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C1FE7" w14:textId="77777777" w:rsidR="00B1356D" w:rsidRDefault="00B1356D" w:rsidP="0046243B">
      <w:pPr>
        <w:spacing w:before="0" w:after="0" w:line="240" w:lineRule="auto"/>
      </w:pPr>
      <w:r>
        <w:separator/>
      </w:r>
    </w:p>
  </w:endnote>
  <w:endnote w:type="continuationSeparator" w:id="0">
    <w:p w14:paraId="38248E0F" w14:textId="77777777" w:rsidR="00B1356D" w:rsidRDefault="00B1356D" w:rsidP="004624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haparral Pro SmBd Capt">
    <w:altName w:val="Cambria"/>
    <w:panose1 w:val="00000000000000000000"/>
    <w:charset w:val="00"/>
    <w:family w:val="roman"/>
    <w:notTrueType/>
    <w:pitch w:val="default"/>
    <w:sig w:usb0="00000003" w:usb1="00000000" w:usb2="00000000" w:usb3="00000000" w:csb0="00000001" w:csb1="00000000"/>
  </w:font>
  <w:font w:name="Chaparral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0D89" w14:textId="77777777" w:rsidR="0046243B" w:rsidRDefault="00462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BE45" w14:textId="77777777" w:rsidR="0046243B" w:rsidRDefault="00462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4FE6" w14:textId="77777777" w:rsidR="0046243B" w:rsidRDefault="0046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6B24A" w14:textId="77777777" w:rsidR="00B1356D" w:rsidRDefault="00B1356D" w:rsidP="0046243B">
      <w:pPr>
        <w:spacing w:before="0" w:after="0" w:line="240" w:lineRule="auto"/>
      </w:pPr>
      <w:r>
        <w:separator/>
      </w:r>
    </w:p>
  </w:footnote>
  <w:footnote w:type="continuationSeparator" w:id="0">
    <w:p w14:paraId="0D25589D" w14:textId="77777777" w:rsidR="00B1356D" w:rsidRDefault="00B1356D" w:rsidP="004624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BDC0" w14:textId="4B5F4E85" w:rsidR="0046243B" w:rsidRDefault="0046243B">
    <w:pPr>
      <w:pStyle w:val="Header"/>
    </w:pPr>
    <w:r>
      <w:rPr>
        <w:noProof/>
      </w:rPr>
      <w:pict w14:anchorId="3FC6D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0900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3B2D" w14:textId="730665D0" w:rsidR="0046243B" w:rsidRDefault="0046243B">
    <w:pPr>
      <w:pStyle w:val="Header"/>
    </w:pPr>
    <w:r>
      <w:rPr>
        <w:noProof/>
      </w:rPr>
      <w:pict w14:anchorId="42668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0900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5A2D" w14:textId="0FEAE746" w:rsidR="0046243B" w:rsidRDefault="0046243B">
    <w:pPr>
      <w:pStyle w:val="Header"/>
    </w:pPr>
    <w:r>
      <w:rPr>
        <w:noProof/>
      </w:rPr>
      <w:pict w14:anchorId="13ADD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0900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7575"/>
    <w:multiLevelType w:val="multilevel"/>
    <w:tmpl w:val="D7AE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47DB3"/>
    <w:multiLevelType w:val="multilevel"/>
    <w:tmpl w:val="000C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D5142"/>
    <w:multiLevelType w:val="multilevel"/>
    <w:tmpl w:val="243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C11CF"/>
    <w:multiLevelType w:val="multilevel"/>
    <w:tmpl w:val="ACDE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E0A87"/>
    <w:multiLevelType w:val="multilevel"/>
    <w:tmpl w:val="4038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B509D"/>
    <w:multiLevelType w:val="multilevel"/>
    <w:tmpl w:val="D9F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C43CF"/>
    <w:multiLevelType w:val="hybridMultilevel"/>
    <w:tmpl w:val="60C02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B85D02"/>
    <w:multiLevelType w:val="multilevel"/>
    <w:tmpl w:val="BAEE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F4F4F"/>
    <w:multiLevelType w:val="multilevel"/>
    <w:tmpl w:val="829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C2036"/>
    <w:multiLevelType w:val="multilevel"/>
    <w:tmpl w:val="FA0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E7AEA"/>
    <w:multiLevelType w:val="multilevel"/>
    <w:tmpl w:val="7A50E19C"/>
    <w:lvl w:ilvl="0">
      <w:start w:val="1"/>
      <w:numFmt w:val="decimal"/>
      <w:lvlText w:val="%1."/>
      <w:lvlJc w:val="left"/>
      <w:pPr>
        <w:tabs>
          <w:tab w:val="num" w:pos="720"/>
        </w:tabs>
        <w:ind w:left="720" w:hanging="360"/>
      </w:pPr>
      <w:rPr>
        <w:rFonts w:ascii="Times New Roman" w:eastAsiaTheme="minorEastAsia"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31637"/>
    <w:multiLevelType w:val="multilevel"/>
    <w:tmpl w:val="ED02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E95629"/>
    <w:multiLevelType w:val="multilevel"/>
    <w:tmpl w:val="7212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F45A2"/>
    <w:multiLevelType w:val="multilevel"/>
    <w:tmpl w:val="14FA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22870"/>
    <w:multiLevelType w:val="multilevel"/>
    <w:tmpl w:val="0DC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519A6"/>
    <w:multiLevelType w:val="multilevel"/>
    <w:tmpl w:val="747C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C50F0"/>
    <w:multiLevelType w:val="multilevel"/>
    <w:tmpl w:val="A47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BC22BF"/>
    <w:multiLevelType w:val="multilevel"/>
    <w:tmpl w:val="64D4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11"/>
  </w:num>
  <w:num w:numId="5">
    <w:abstractNumId w:val="16"/>
  </w:num>
  <w:num w:numId="6">
    <w:abstractNumId w:val="1"/>
  </w:num>
  <w:num w:numId="7">
    <w:abstractNumId w:val="2"/>
  </w:num>
  <w:num w:numId="8">
    <w:abstractNumId w:val="8"/>
  </w:num>
  <w:num w:numId="9">
    <w:abstractNumId w:val="3"/>
  </w:num>
  <w:num w:numId="10">
    <w:abstractNumId w:val="15"/>
  </w:num>
  <w:num w:numId="11">
    <w:abstractNumId w:val="5"/>
  </w:num>
  <w:num w:numId="12">
    <w:abstractNumId w:val="17"/>
  </w:num>
  <w:num w:numId="13">
    <w:abstractNumId w:val="9"/>
  </w:num>
  <w:num w:numId="14">
    <w:abstractNumId w:val="12"/>
  </w:num>
  <w:num w:numId="15">
    <w:abstractNumId w:val="13"/>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9D"/>
    <w:rsid w:val="00027CA5"/>
    <w:rsid w:val="0003358A"/>
    <w:rsid w:val="00036EBF"/>
    <w:rsid w:val="000606A1"/>
    <w:rsid w:val="000A118F"/>
    <w:rsid w:val="000C017B"/>
    <w:rsid w:val="000D4E25"/>
    <w:rsid w:val="000E069D"/>
    <w:rsid w:val="000E1F85"/>
    <w:rsid w:val="001072E0"/>
    <w:rsid w:val="001722C7"/>
    <w:rsid w:val="001760D3"/>
    <w:rsid w:val="00183566"/>
    <w:rsid w:val="0018753F"/>
    <w:rsid w:val="00194532"/>
    <w:rsid w:val="001E2AE1"/>
    <w:rsid w:val="00215977"/>
    <w:rsid w:val="00234A9F"/>
    <w:rsid w:val="00262B7A"/>
    <w:rsid w:val="002E4919"/>
    <w:rsid w:val="0033220A"/>
    <w:rsid w:val="00355D5F"/>
    <w:rsid w:val="0039744A"/>
    <w:rsid w:val="003A4B34"/>
    <w:rsid w:val="003B4C7E"/>
    <w:rsid w:val="003C10CE"/>
    <w:rsid w:val="003E6D27"/>
    <w:rsid w:val="003F2414"/>
    <w:rsid w:val="00416534"/>
    <w:rsid w:val="00440710"/>
    <w:rsid w:val="0046243B"/>
    <w:rsid w:val="00477934"/>
    <w:rsid w:val="00477947"/>
    <w:rsid w:val="004B3BC5"/>
    <w:rsid w:val="004C3609"/>
    <w:rsid w:val="004E1F04"/>
    <w:rsid w:val="00507676"/>
    <w:rsid w:val="00511171"/>
    <w:rsid w:val="00531F30"/>
    <w:rsid w:val="005514F2"/>
    <w:rsid w:val="005560CF"/>
    <w:rsid w:val="00556C85"/>
    <w:rsid w:val="005609A0"/>
    <w:rsid w:val="00560A14"/>
    <w:rsid w:val="00585B38"/>
    <w:rsid w:val="005B531A"/>
    <w:rsid w:val="005D60CB"/>
    <w:rsid w:val="005F2A17"/>
    <w:rsid w:val="005F39DD"/>
    <w:rsid w:val="00633FC1"/>
    <w:rsid w:val="0066015C"/>
    <w:rsid w:val="006B1AAF"/>
    <w:rsid w:val="006B3B29"/>
    <w:rsid w:val="006C427A"/>
    <w:rsid w:val="00760DE5"/>
    <w:rsid w:val="00791561"/>
    <w:rsid w:val="00813436"/>
    <w:rsid w:val="00843D3A"/>
    <w:rsid w:val="0085205F"/>
    <w:rsid w:val="00874715"/>
    <w:rsid w:val="00877A34"/>
    <w:rsid w:val="008A2572"/>
    <w:rsid w:val="008A25C4"/>
    <w:rsid w:val="008D6ED0"/>
    <w:rsid w:val="00984F22"/>
    <w:rsid w:val="009F30D8"/>
    <w:rsid w:val="00A1506B"/>
    <w:rsid w:val="00A21786"/>
    <w:rsid w:val="00A51657"/>
    <w:rsid w:val="00AC46B5"/>
    <w:rsid w:val="00AF7AFD"/>
    <w:rsid w:val="00B1356D"/>
    <w:rsid w:val="00B15BF4"/>
    <w:rsid w:val="00B252C0"/>
    <w:rsid w:val="00B5263E"/>
    <w:rsid w:val="00BC798B"/>
    <w:rsid w:val="00BE6009"/>
    <w:rsid w:val="00C24192"/>
    <w:rsid w:val="00C27765"/>
    <w:rsid w:val="00C30381"/>
    <w:rsid w:val="00C318FA"/>
    <w:rsid w:val="00C46678"/>
    <w:rsid w:val="00C64599"/>
    <w:rsid w:val="00C90548"/>
    <w:rsid w:val="00CA19ED"/>
    <w:rsid w:val="00CB3E1E"/>
    <w:rsid w:val="00D31B74"/>
    <w:rsid w:val="00D42AD5"/>
    <w:rsid w:val="00D542BD"/>
    <w:rsid w:val="00D94C35"/>
    <w:rsid w:val="00DC70C9"/>
    <w:rsid w:val="00DF5362"/>
    <w:rsid w:val="00E109C7"/>
    <w:rsid w:val="00E17EC1"/>
    <w:rsid w:val="00E56505"/>
    <w:rsid w:val="00E714DA"/>
    <w:rsid w:val="00E851A1"/>
    <w:rsid w:val="00EB471C"/>
    <w:rsid w:val="00EB4F88"/>
    <w:rsid w:val="00EC2C0B"/>
    <w:rsid w:val="00F32294"/>
    <w:rsid w:val="00F715B2"/>
    <w:rsid w:val="00F76ABD"/>
    <w:rsid w:val="00F96247"/>
    <w:rsid w:val="00FA2E81"/>
    <w:rsid w:val="00FD2E88"/>
    <w:rsid w:val="00FD2F31"/>
    <w:rsid w:val="00FD52F0"/>
    <w:rsid w:val="00FD7C53"/>
    <w:rsid w:val="00FE544C"/>
    <w:rsid w:val="00FF13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2E541B"/>
  <w15:chartTrackingRefBased/>
  <w15:docId w15:val="{179B14D6-3E0A-4DD9-8F09-A932DCE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 w:val="24"/>
        <w:szCs w:val="22"/>
        <w:lang w:val="en-US" w:eastAsia="zh-TW" w:bidi="ar-SA"/>
        <w14:ligatures w14:val="standardContextual"/>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E88"/>
    <w:rPr>
      <w:lang w:val="en-GB"/>
    </w:rPr>
  </w:style>
  <w:style w:type="paragraph" w:styleId="Heading1">
    <w:name w:val="heading 1"/>
    <w:basedOn w:val="Normal"/>
    <w:next w:val="Normal"/>
    <w:link w:val="Heading1Char"/>
    <w:uiPriority w:val="9"/>
    <w:qFormat/>
    <w:rsid w:val="000E06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6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69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69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069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06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06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069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069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69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0E069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0E069D"/>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E069D"/>
    <w:rPr>
      <w:rFonts w:asciiTheme="minorHAnsi" w:eastAsiaTheme="majorEastAsia" w:hAnsiTheme="min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E069D"/>
    <w:rPr>
      <w:rFonts w:asciiTheme="minorHAnsi" w:eastAsiaTheme="majorEastAsia" w:hAnsiTheme="min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0E069D"/>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E069D"/>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0E069D"/>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E069D"/>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0E069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69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E06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69D"/>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E06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069D"/>
    <w:rPr>
      <w:i/>
      <w:iCs/>
      <w:color w:val="404040" w:themeColor="text1" w:themeTint="BF"/>
      <w:lang w:val="en-GB"/>
    </w:rPr>
  </w:style>
  <w:style w:type="paragraph" w:styleId="ListParagraph">
    <w:name w:val="List Paragraph"/>
    <w:basedOn w:val="Normal"/>
    <w:uiPriority w:val="34"/>
    <w:qFormat/>
    <w:rsid w:val="000E069D"/>
    <w:pPr>
      <w:ind w:left="720"/>
      <w:contextualSpacing/>
    </w:pPr>
  </w:style>
  <w:style w:type="character" w:styleId="IntenseEmphasis">
    <w:name w:val="Intense Emphasis"/>
    <w:basedOn w:val="DefaultParagraphFont"/>
    <w:uiPriority w:val="21"/>
    <w:qFormat/>
    <w:rsid w:val="000E069D"/>
    <w:rPr>
      <w:i/>
      <w:iCs/>
      <w:color w:val="2F5496" w:themeColor="accent1" w:themeShade="BF"/>
    </w:rPr>
  </w:style>
  <w:style w:type="paragraph" w:styleId="IntenseQuote">
    <w:name w:val="Intense Quote"/>
    <w:basedOn w:val="Normal"/>
    <w:next w:val="Normal"/>
    <w:link w:val="IntenseQuoteChar"/>
    <w:uiPriority w:val="30"/>
    <w:qFormat/>
    <w:rsid w:val="000E0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69D"/>
    <w:rPr>
      <w:i/>
      <w:iCs/>
      <w:color w:val="2F5496" w:themeColor="accent1" w:themeShade="BF"/>
      <w:lang w:val="en-GB"/>
    </w:rPr>
  </w:style>
  <w:style w:type="character" w:styleId="IntenseReference">
    <w:name w:val="Intense Reference"/>
    <w:basedOn w:val="DefaultParagraphFont"/>
    <w:uiPriority w:val="32"/>
    <w:qFormat/>
    <w:rsid w:val="000E069D"/>
    <w:rPr>
      <w:b/>
      <w:bCs/>
      <w:smallCaps/>
      <w:color w:val="2F5496" w:themeColor="accent1" w:themeShade="BF"/>
      <w:spacing w:val="5"/>
    </w:rPr>
  </w:style>
  <w:style w:type="character" w:styleId="Hyperlink">
    <w:name w:val="Hyperlink"/>
    <w:basedOn w:val="DefaultParagraphFont"/>
    <w:uiPriority w:val="99"/>
    <w:unhideWhenUsed/>
    <w:rsid w:val="00B252C0"/>
    <w:rPr>
      <w:color w:val="0563C1" w:themeColor="hyperlink"/>
      <w:u w:val="single"/>
    </w:rPr>
  </w:style>
  <w:style w:type="character" w:styleId="UnresolvedMention">
    <w:name w:val="Unresolved Mention"/>
    <w:basedOn w:val="DefaultParagraphFont"/>
    <w:uiPriority w:val="99"/>
    <w:semiHidden/>
    <w:unhideWhenUsed/>
    <w:rsid w:val="00B252C0"/>
    <w:rPr>
      <w:color w:val="605E5C"/>
      <w:shd w:val="clear" w:color="auto" w:fill="E1DFDD"/>
    </w:rPr>
  </w:style>
  <w:style w:type="character" w:styleId="Strong">
    <w:name w:val="Strong"/>
    <w:basedOn w:val="DefaultParagraphFont"/>
    <w:uiPriority w:val="22"/>
    <w:qFormat/>
    <w:rsid w:val="005560CF"/>
    <w:rPr>
      <w:b/>
      <w:bCs/>
    </w:rPr>
  </w:style>
  <w:style w:type="paragraph" w:customStyle="1" w:styleId="ListParagraph1">
    <w:name w:val="List Paragraph1"/>
    <w:basedOn w:val="Normal"/>
    <w:uiPriority w:val="34"/>
    <w:qFormat/>
    <w:rsid w:val="00E109C7"/>
    <w:pPr>
      <w:spacing w:before="0" w:after="234" w:line="264" w:lineRule="auto"/>
      <w:ind w:left="720" w:right="67" w:hanging="10"/>
      <w:contextualSpacing/>
      <w:jc w:val="left"/>
    </w:pPr>
    <w:rPr>
      <w:rFonts w:eastAsia="Times New Roman" w:cs="Times New Roman"/>
      <w:color w:val="000008"/>
      <w:kern w:val="0"/>
      <w:lang w:val="en-US" w:eastAsia="en-US"/>
    </w:rPr>
  </w:style>
  <w:style w:type="character" w:styleId="FollowedHyperlink">
    <w:name w:val="FollowedHyperlink"/>
    <w:basedOn w:val="DefaultParagraphFont"/>
    <w:uiPriority w:val="99"/>
    <w:semiHidden/>
    <w:unhideWhenUsed/>
    <w:rsid w:val="008D6ED0"/>
    <w:rPr>
      <w:color w:val="954F72" w:themeColor="followedHyperlink"/>
      <w:u w:val="single"/>
    </w:rPr>
  </w:style>
  <w:style w:type="table" w:styleId="TableGrid">
    <w:name w:val="Table Grid"/>
    <w:basedOn w:val="TableNormal"/>
    <w:uiPriority w:val="39"/>
    <w:rsid w:val="006B1AA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70C9"/>
    <w:pPr>
      <w:spacing w:before="0" w:after="0" w:line="240" w:lineRule="auto"/>
    </w:pPr>
    <w:rPr>
      <w:lang w:val="en-GB"/>
    </w:rPr>
  </w:style>
  <w:style w:type="paragraph" w:customStyle="1" w:styleId="Default">
    <w:name w:val="Default"/>
    <w:rsid w:val="00AF7AFD"/>
    <w:pPr>
      <w:autoSpaceDE w:val="0"/>
      <w:autoSpaceDN w:val="0"/>
      <w:adjustRightInd w:val="0"/>
      <w:spacing w:before="0" w:after="0" w:line="240" w:lineRule="auto"/>
      <w:jc w:val="left"/>
    </w:pPr>
    <w:rPr>
      <w:rFonts w:ascii="Chaparral Pro SmBd Capt" w:hAnsi="Chaparral Pro SmBd Capt" w:cs="Chaparral Pro SmBd Capt"/>
      <w:color w:val="000000"/>
      <w:kern w:val="0"/>
      <w:szCs w:val="24"/>
    </w:rPr>
  </w:style>
  <w:style w:type="paragraph" w:customStyle="1" w:styleId="Pa19">
    <w:name w:val="Pa19"/>
    <w:basedOn w:val="Default"/>
    <w:next w:val="Default"/>
    <w:uiPriority w:val="99"/>
    <w:rsid w:val="00AF7AFD"/>
    <w:pPr>
      <w:spacing w:line="201" w:lineRule="atLeast"/>
    </w:pPr>
    <w:rPr>
      <w:rFonts w:cstheme="minorBidi"/>
      <w:color w:val="auto"/>
    </w:rPr>
  </w:style>
  <w:style w:type="paragraph" w:customStyle="1" w:styleId="Pa20">
    <w:name w:val="Pa20"/>
    <w:basedOn w:val="Default"/>
    <w:next w:val="Default"/>
    <w:uiPriority w:val="99"/>
    <w:rsid w:val="00AF7AFD"/>
    <w:pPr>
      <w:spacing w:line="201" w:lineRule="atLeast"/>
    </w:pPr>
    <w:rPr>
      <w:rFonts w:cstheme="minorBidi"/>
      <w:color w:val="auto"/>
    </w:rPr>
  </w:style>
  <w:style w:type="character" w:customStyle="1" w:styleId="A9">
    <w:name w:val="A9"/>
    <w:uiPriority w:val="99"/>
    <w:rsid w:val="00AF7AFD"/>
    <w:rPr>
      <w:rFonts w:ascii="Chaparral Pro" w:hAnsi="Chaparral Pro" w:cs="Chaparral Pro"/>
      <w:color w:val="0000FF"/>
      <w:sz w:val="20"/>
      <w:szCs w:val="20"/>
      <w:u w:val="single"/>
    </w:rPr>
  </w:style>
  <w:style w:type="paragraph" w:styleId="Header">
    <w:name w:val="header"/>
    <w:basedOn w:val="Normal"/>
    <w:link w:val="HeaderChar"/>
    <w:uiPriority w:val="99"/>
    <w:unhideWhenUsed/>
    <w:rsid w:val="0046243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6243B"/>
    <w:rPr>
      <w:lang w:val="en-GB"/>
    </w:rPr>
  </w:style>
  <w:style w:type="paragraph" w:styleId="Footer">
    <w:name w:val="footer"/>
    <w:basedOn w:val="Normal"/>
    <w:link w:val="FooterChar"/>
    <w:uiPriority w:val="99"/>
    <w:unhideWhenUsed/>
    <w:rsid w:val="0046243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6243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7166">
      <w:bodyDiv w:val="1"/>
      <w:marLeft w:val="0"/>
      <w:marRight w:val="0"/>
      <w:marTop w:val="0"/>
      <w:marBottom w:val="0"/>
      <w:divBdr>
        <w:top w:val="none" w:sz="0" w:space="0" w:color="auto"/>
        <w:left w:val="none" w:sz="0" w:space="0" w:color="auto"/>
        <w:bottom w:val="none" w:sz="0" w:space="0" w:color="auto"/>
        <w:right w:val="none" w:sz="0" w:space="0" w:color="auto"/>
      </w:divBdr>
    </w:div>
    <w:div w:id="54356546">
      <w:bodyDiv w:val="1"/>
      <w:marLeft w:val="0"/>
      <w:marRight w:val="0"/>
      <w:marTop w:val="0"/>
      <w:marBottom w:val="0"/>
      <w:divBdr>
        <w:top w:val="none" w:sz="0" w:space="0" w:color="auto"/>
        <w:left w:val="none" w:sz="0" w:space="0" w:color="auto"/>
        <w:bottom w:val="none" w:sz="0" w:space="0" w:color="auto"/>
        <w:right w:val="none" w:sz="0" w:space="0" w:color="auto"/>
      </w:divBdr>
    </w:div>
    <w:div w:id="198325325">
      <w:bodyDiv w:val="1"/>
      <w:marLeft w:val="0"/>
      <w:marRight w:val="0"/>
      <w:marTop w:val="0"/>
      <w:marBottom w:val="0"/>
      <w:divBdr>
        <w:top w:val="none" w:sz="0" w:space="0" w:color="auto"/>
        <w:left w:val="none" w:sz="0" w:space="0" w:color="auto"/>
        <w:bottom w:val="none" w:sz="0" w:space="0" w:color="auto"/>
        <w:right w:val="none" w:sz="0" w:space="0" w:color="auto"/>
      </w:divBdr>
    </w:div>
    <w:div w:id="320502161">
      <w:bodyDiv w:val="1"/>
      <w:marLeft w:val="0"/>
      <w:marRight w:val="0"/>
      <w:marTop w:val="0"/>
      <w:marBottom w:val="0"/>
      <w:divBdr>
        <w:top w:val="none" w:sz="0" w:space="0" w:color="auto"/>
        <w:left w:val="none" w:sz="0" w:space="0" w:color="auto"/>
        <w:bottom w:val="none" w:sz="0" w:space="0" w:color="auto"/>
        <w:right w:val="none" w:sz="0" w:space="0" w:color="auto"/>
      </w:divBdr>
    </w:div>
    <w:div w:id="380641415">
      <w:bodyDiv w:val="1"/>
      <w:marLeft w:val="0"/>
      <w:marRight w:val="0"/>
      <w:marTop w:val="0"/>
      <w:marBottom w:val="0"/>
      <w:divBdr>
        <w:top w:val="none" w:sz="0" w:space="0" w:color="auto"/>
        <w:left w:val="none" w:sz="0" w:space="0" w:color="auto"/>
        <w:bottom w:val="none" w:sz="0" w:space="0" w:color="auto"/>
        <w:right w:val="none" w:sz="0" w:space="0" w:color="auto"/>
      </w:divBdr>
    </w:div>
    <w:div w:id="434523644">
      <w:bodyDiv w:val="1"/>
      <w:marLeft w:val="0"/>
      <w:marRight w:val="0"/>
      <w:marTop w:val="0"/>
      <w:marBottom w:val="0"/>
      <w:divBdr>
        <w:top w:val="none" w:sz="0" w:space="0" w:color="auto"/>
        <w:left w:val="none" w:sz="0" w:space="0" w:color="auto"/>
        <w:bottom w:val="none" w:sz="0" w:space="0" w:color="auto"/>
        <w:right w:val="none" w:sz="0" w:space="0" w:color="auto"/>
      </w:divBdr>
    </w:div>
    <w:div w:id="550465545">
      <w:bodyDiv w:val="1"/>
      <w:marLeft w:val="0"/>
      <w:marRight w:val="0"/>
      <w:marTop w:val="0"/>
      <w:marBottom w:val="0"/>
      <w:divBdr>
        <w:top w:val="none" w:sz="0" w:space="0" w:color="auto"/>
        <w:left w:val="none" w:sz="0" w:space="0" w:color="auto"/>
        <w:bottom w:val="none" w:sz="0" w:space="0" w:color="auto"/>
        <w:right w:val="none" w:sz="0" w:space="0" w:color="auto"/>
      </w:divBdr>
    </w:div>
    <w:div w:id="590701625">
      <w:bodyDiv w:val="1"/>
      <w:marLeft w:val="0"/>
      <w:marRight w:val="0"/>
      <w:marTop w:val="0"/>
      <w:marBottom w:val="0"/>
      <w:divBdr>
        <w:top w:val="none" w:sz="0" w:space="0" w:color="auto"/>
        <w:left w:val="none" w:sz="0" w:space="0" w:color="auto"/>
        <w:bottom w:val="none" w:sz="0" w:space="0" w:color="auto"/>
        <w:right w:val="none" w:sz="0" w:space="0" w:color="auto"/>
      </w:divBdr>
    </w:div>
    <w:div w:id="609971226">
      <w:bodyDiv w:val="1"/>
      <w:marLeft w:val="0"/>
      <w:marRight w:val="0"/>
      <w:marTop w:val="0"/>
      <w:marBottom w:val="0"/>
      <w:divBdr>
        <w:top w:val="none" w:sz="0" w:space="0" w:color="auto"/>
        <w:left w:val="none" w:sz="0" w:space="0" w:color="auto"/>
        <w:bottom w:val="none" w:sz="0" w:space="0" w:color="auto"/>
        <w:right w:val="none" w:sz="0" w:space="0" w:color="auto"/>
      </w:divBdr>
    </w:div>
    <w:div w:id="944537180">
      <w:bodyDiv w:val="1"/>
      <w:marLeft w:val="0"/>
      <w:marRight w:val="0"/>
      <w:marTop w:val="0"/>
      <w:marBottom w:val="0"/>
      <w:divBdr>
        <w:top w:val="none" w:sz="0" w:space="0" w:color="auto"/>
        <w:left w:val="none" w:sz="0" w:space="0" w:color="auto"/>
        <w:bottom w:val="none" w:sz="0" w:space="0" w:color="auto"/>
        <w:right w:val="none" w:sz="0" w:space="0" w:color="auto"/>
      </w:divBdr>
    </w:div>
    <w:div w:id="1047530266">
      <w:bodyDiv w:val="1"/>
      <w:marLeft w:val="0"/>
      <w:marRight w:val="0"/>
      <w:marTop w:val="0"/>
      <w:marBottom w:val="0"/>
      <w:divBdr>
        <w:top w:val="none" w:sz="0" w:space="0" w:color="auto"/>
        <w:left w:val="none" w:sz="0" w:space="0" w:color="auto"/>
        <w:bottom w:val="none" w:sz="0" w:space="0" w:color="auto"/>
        <w:right w:val="none" w:sz="0" w:space="0" w:color="auto"/>
      </w:divBdr>
    </w:div>
    <w:div w:id="1090126228">
      <w:bodyDiv w:val="1"/>
      <w:marLeft w:val="0"/>
      <w:marRight w:val="0"/>
      <w:marTop w:val="0"/>
      <w:marBottom w:val="0"/>
      <w:divBdr>
        <w:top w:val="none" w:sz="0" w:space="0" w:color="auto"/>
        <w:left w:val="none" w:sz="0" w:space="0" w:color="auto"/>
        <w:bottom w:val="none" w:sz="0" w:space="0" w:color="auto"/>
        <w:right w:val="none" w:sz="0" w:space="0" w:color="auto"/>
      </w:divBdr>
    </w:div>
    <w:div w:id="1235631100">
      <w:bodyDiv w:val="1"/>
      <w:marLeft w:val="0"/>
      <w:marRight w:val="0"/>
      <w:marTop w:val="0"/>
      <w:marBottom w:val="0"/>
      <w:divBdr>
        <w:top w:val="none" w:sz="0" w:space="0" w:color="auto"/>
        <w:left w:val="none" w:sz="0" w:space="0" w:color="auto"/>
        <w:bottom w:val="none" w:sz="0" w:space="0" w:color="auto"/>
        <w:right w:val="none" w:sz="0" w:space="0" w:color="auto"/>
      </w:divBdr>
    </w:div>
    <w:div w:id="1242451588">
      <w:bodyDiv w:val="1"/>
      <w:marLeft w:val="0"/>
      <w:marRight w:val="0"/>
      <w:marTop w:val="0"/>
      <w:marBottom w:val="0"/>
      <w:divBdr>
        <w:top w:val="none" w:sz="0" w:space="0" w:color="auto"/>
        <w:left w:val="none" w:sz="0" w:space="0" w:color="auto"/>
        <w:bottom w:val="none" w:sz="0" w:space="0" w:color="auto"/>
        <w:right w:val="none" w:sz="0" w:space="0" w:color="auto"/>
      </w:divBdr>
    </w:div>
    <w:div w:id="1293750133">
      <w:bodyDiv w:val="1"/>
      <w:marLeft w:val="0"/>
      <w:marRight w:val="0"/>
      <w:marTop w:val="0"/>
      <w:marBottom w:val="0"/>
      <w:divBdr>
        <w:top w:val="none" w:sz="0" w:space="0" w:color="auto"/>
        <w:left w:val="none" w:sz="0" w:space="0" w:color="auto"/>
        <w:bottom w:val="none" w:sz="0" w:space="0" w:color="auto"/>
        <w:right w:val="none" w:sz="0" w:space="0" w:color="auto"/>
      </w:divBdr>
    </w:div>
    <w:div w:id="1345129165">
      <w:bodyDiv w:val="1"/>
      <w:marLeft w:val="0"/>
      <w:marRight w:val="0"/>
      <w:marTop w:val="0"/>
      <w:marBottom w:val="0"/>
      <w:divBdr>
        <w:top w:val="none" w:sz="0" w:space="0" w:color="auto"/>
        <w:left w:val="none" w:sz="0" w:space="0" w:color="auto"/>
        <w:bottom w:val="none" w:sz="0" w:space="0" w:color="auto"/>
        <w:right w:val="none" w:sz="0" w:space="0" w:color="auto"/>
      </w:divBdr>
    </w:div>
    <w:div w:id="1354915657">
      <w:bodyDiv w:val="1"/>
      <w:marLeft w:val="0"/>
      <w:marRight w:val="0"/>
      <w:marTop w:val="0"/>
      <w:marBottom w:val="0"/>
      <w:divBdr>
        <w:top w:val="none" w:sz="0" w:space="0" w:color="auto"/>
        <w:left w:val="none" w:sz="0" w:space="0" w:color="auto"/>
        <w:bottom w:val="none" w:sz="0" w:space="0" w:color="auto"/>
        <w:right w:val="none" w:sz="0" w:space="0" w:color="auto"/>
      </w:divBdr>
    </w:div>
    <w:div w:id="1417021635">
      <w:bodyDiv w:val="1"/>
      <w:marLeft w:val="0"/>
      <w:marRight w:val="0"/>
      <w:marTop w:val="0"/>
      <w:marBottom w:val="0"/>
      <w:divBdr>
        <w:top w:val="none" w:sz="0" w:space="0" w:color="auto"/>
        <w:left w:val="none" w:sz="0" w:space="0" w:color="auto"/>
        <w:bottom w:val="none" w:sz="0" w:space="0" w:color="auto"/>
        <w:right w:val="none" w:sz="0" w:space="0" w:color="auto"/>
      </w:divBdr>
    </w:div>
    <w:div w:id="1444111063">
      <w:bodyDiv w:val="1"/>
      <w:marLeft w:val="0"/>
      <w:marRight w:val="0"/>
      <w:marTop w:val="0"/>
      <w:marBottom w:val="0"/>
      <w:divBdr>
        <w:top w:val="none" w:sz="0" w:space="0" w:color="auto"/>
        <w:left w:val="none" w:sz="0" w:space="0" w:color="auto"/>
        <w:bottom w:val="none" w:sz="0" w:space="0" w:color="auto"/>
        <w:right w:val="none" w:sz="0" w:space="0" w:color="auto"/>
      </w:divBdr>
    </w:div>
    <w:div w:id="1525050009">
      <w:bodyDiv w:val="1"/>
      <w:marLeft w:val="0"/>
      <w:marRight w:val="0"/>
      <w:marTop w:val="0"/>
      <w:marBottom w:val="0"/>
      <w:divBdr>
        <w:top w:val="none" w:sz="0" w:space="0" w:color="auto"/>
        <w:left w:val="none" w:sz="0" w:space="0" w:color="auto"/>
        <w:bottom w:val="none" w:sz="0" w:space="0" w:color="auto"/>
        <w:right w:val="none" w:sz="0" w:space="0" w:color="auto"/>
      </w:divBdr>
    </w:div>
    <w:div w:id="1608271151">
      <w:bodyDiv w:val="1"/>
      <w:marLeft w:val="0"/>
      <w:marRight w:val="0"/>
      <w:marTop w:val="0"/>
      <w:marBottom w:val="0"/>
      <w:divBdr>
        <w:top w:val="none" w:sz="0" w:space="0" w:color="auto"/>
        <w:left w:val="none" w:sz="0" w:space="0" w:color="auto"/>
        <w:bottom w:val="none" w:sz="0" w:space="0" w:color="auto"/>
        <w:right w:val="none" w:sz="0" w:space="0" w:color="auto"/>
      </w:divBdr>
    </w:div>
    <w:div w:id="204578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4.xml"/><Relationship Id="rId21" Type="http://schemas.microsoft.com/office/2007/relationships/diagramDrawing" Target="diagrams/drawing3.xml"/><Relationship Id="rId42" Type="http://schemas.openxmlformats.org/officeDocument/2006/relationships/hyperlink" Target="https://doi.org/10.3828/idpr.2024.2" TargetMode="External"/><Relationship Id="rId47" Type="http://schemas.openxmlformats.org/officeDocument/2006/relationships/hyperlink" Target="https://doi.org/10.5539/jsd.v7n6p95" TargetMode="External"/><Relationship Id="rId63" Type="http://schemas.openxmlformats.org/officeDocument/2006/relationships/hyperlink" Target="https://www.african-cities.org/urban-development-in-africa-challenges-and-opportunities/" TargetMode="External"/><Relationship Id="rId68" Type="http://schemas.openxmlformats.org/officeDocument/2006/relationships/hyperlink" Target="https://ugspace.ug.edu.gh/items/bee851ca-6950-4662-8b14-0acbbe8ebc8d" TargetMode="External"/><Relationship Id="rId84" Type="http://schemas.openxmlformats.org/officeDocument/2006/relationships/hyperlink" Target="https://doi.org/10.4314/gjg.v12i1.1" TargetMode="External"/><Relationship Id="rId89" Type="http://schemas.openxmlformats.org/officeDocument/2006/relationships/header" Target="header3.xml"/><Relationship Id="rId16" Type="http://schemas.microsoft.com/office/2007/relationships/diagramDrawing" Target="diagrams/drawing2.xml"/><Relationship Id="rId11" Type="http://schemas.microsoft.com/office/2007/relationships/diagramDrawing" Target="diagrams/drawing1.xml"/><Relationship Id="rId32" Type="http://schemas.openxmlformats.org/officeDocument/2006/relationships/image" Target="media/image1.jpg"/><Relationship Id="rId37" Type="http://schemas.openxmlformats.org/officeDocument/2006/relationships/hyperlink" Target="https://doi.org/10.1016/j.ugj.2023.06.003" TargetMode="External"/><Relationship Id="rId53" Type="http://schemas.openxmlformats.org/officeDocument/2006/relationships/hyperlink" Target="https://doi.org/10.1016/j.cities.2021.103489" TargetMode="External"/><Relationship Id="rId58" Type="http://schemas.openxmlformats.org/officeDocument/2006/relationships/hyperlink" Target="https://doi.org/10.1016/j.cacint.2023.100132" TargetMode="External"/><Relationship Id="rId74" Type="http://schemas.openxmlformats.org/officeDocument/2006/relationships/hyperlink" Target="https://doi.org/10.1073/pnas.1211658109" TargetMode="External"/><Relationship Id="rId79" Type="http://schemas.openxmlformats.org/officeDocument/2006/relationships/hyperlink" Target="https://unstats.un.org/sdgs/report/2023/" TargetMode="External"/><Relationship Id="rId5" Type="http://schemas.openxmlformats.org/officeDocument/2006/relationships/footnotes" Target="footnotes.xml"/><Relationship Id="rId90" Type="http://schemas.openxmlformats.org/officeDocument/2006/relationships/footer" Target="footer3.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hyperlink" Target="https://doi.org/10.1007/978-3-030-02011-8" TargetMode="External"/><Relationship Id="rId43" Type="http://schemas.openxmlformats.org/officeDocument/2006/relationships/hyperlink" Target="https://doi.org/10.1016/j.landusepol.2022.105979" TargetMode="External"/><Relationship Id="rId48" Type="http://schemas.openxmlformats.org/officeDocument/2006/relationships/hyperlink" Target="https://doi.org/10.1016/S0301-4207(00)00042-8" TargetMode="External"/><Relationship Id="rId56" Type="http://schemas.openxmlformats.org/officeDocument/2006/relationships/hyperlink" Target="https://doi.org/10.1016/j.landusepol.2015.04.020" TargetMode="External"/><Relationship Id="rId64" Type="http://schemas.openxmlformats.org/officeDocument/2006/relationships/hyperlink" Target="https://doi.org/10.4324/9781315773889" TargetMode="External"/><Relationship Id="rId69" Type="http://schemas.openxmlformats.org/officeDocument/2006/relationships/hyperlink" Target="https://journals.ug.edu.gh/index.php/gjg/article/download/459/240/" TargetMode="External"/><Relationship Id="rId77" Type="http://schemas.openxmlformats.org/officeDocument/2006/relationships/hyperlink" Target="https://doi.org/10.1016/j.habitatint.2022.102555" TargetMode="External"/><Relationship Id="rId8" Type="http://schemas.openxmlformats.org/officeDocument/2006/relationships/diagramLayout" Target="diagrams/layout1.xml"/><Relationship Id="rId51" Type="http://schemas.openxmlformats.org/officeDocument/2006/relationships/hyperlink" Target="https://www.researchgate.net/publication/232957200_Urban_Sprawl_and_the_Los" TargetMode="External"/><Relationship Id="rId72" Type="http://schemas.openxmlformats.org/officeDocument/2006/relationships/hyperlink" Target="https://doi.org/10.61577/jgi.2024.1000011" TargetMode="External"/><Relationship Id="rId80" Type="http://schemas.openxmlformats.org/officeDocument/2006/relationships/hyperlink" Target="https://documents1.worldbank.org/curated/en/300951592383200193/pdf/Policy-Note-Addressing-Urban-Mobility-Challenges-in-Ghanian-Cities.pdf"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hyperlink" Target="https://doi.org/10.1016/j.ijdrr.2020.101915" TargetMode="External"/><Relationship Id="rId38" Type="http://schemas.openxmlformats.org/officeDocument/2006/relationships/hyperlink" Target="https://assets.publishing.service.gov.uk/media/57a0898be5274a31e0000136/61319C_DfID-Harnessing-Land-Values-Report-3-Housing-Literature-Review-20150607.pdf" TargetMode="External"/><Relationship Id="rId46" Type="http://schemas.openxmlformats.org/officeDocument/2006/relationships/hyperlink" Target="https://doi.org/10.1080/19376812.2024.2391777" TargetMode="External"/><Relationship Id="rId59" Type="http://schemas.openxmlformats.org/officeDocument/2006/relationships/hyperlink" Target="https://doi.org/10.1080/02697459.2017.1378977" TargetMode="External"/><Relationship Id="rId67" Type="http://schemas.openxmlformats.org/officeDocument/2006/relationships/hyperlink" Target="https://www.ijsr.net/getabstract.php?paperid=SUB15877" TargetMode="External"/><Relationship Id="rId20" Type="http://schemas.openxmlformats.org/officeDocument/2006/relationships/diagramColors" Target="diagrams/colors3.xml"/><Relationship Id="rId41" Type="http://schemas.openxmlformats.org/officeDocument/2006/relationships/hyperlink" Target="https://doi.org/10.3390/w13223301" TargetMode="External"/><Relationship Id="rId54" Type="http://schemas.openxmlformats.org/officeDocument/2006/relationships/hyperlink" Target="https://doi.org/10.1007/s10113-013-0500-0" TargetMode="External"/><Relationship Id="rId62" Type="http://schemas.openxmlformats.org/officeDocument/2006/relationships/hyperlink" Target="https://doi.org/10.1080/19463138.2019.1615492" TargetMode="External"/><Relationship Id="rId70" Type="http://schemas.openxmlformats.org/officeDocument/2006/relationships/hyperlink" Target="https://journals.flvc.org/ASQ/article/view/136240" TargetMode="External"/><Relationship Id="rId75" Type="http://schemas.openxmlformats.org/officeDocument/2006/relationships/hyperlink" Target="https://doi.org/10.1080/10095020.2020.1787800" TargetMode="External"/><Relationship Id="rId83" Type="http://schemas.openxmlformats.org/officeDocument/2006/relationships/hyperlink" Target="https://doi.org/10.4324/9781315210414-14"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openxmlformats.org/officeDocument/2006/relationships/hyperlink" Target="https://www.iiste.org/Journals/index.php/RHSS/article/view/6317" TargetMode="External"/><Relationship Id="rId49" Type="http://schemas.openxmlformats.org/officeDocument/2006/relationships/hyperlink" Target="https://ugspace.ug.edu.gh/bitstreams/822f75b4-79c6-4198-8959-7262a0e38700/download" TargetMode="External"/><Relationship Id="rId57" Type="http://schemas.openxmlformats.org/officeDocument/2006/relationships/hyperlink" Target="https://doi.org/10.1080/00420980020080651" TargetMode="External"/><Relationship Id="rId10" Type="http://schemas.openxmlformats.org/officeDocument/2006/relationships/diagramColors" Target="diagrams/colors1.xml"/><Relationship Id="rId31" Type="http://schemas.microsoft.com/office/2007/relationships/diagramDrawing" Target="diagrams/drawing5.xml"/><Relationship Id="rId44" Type="http://schemas.openxmlformats.org/officeDocument/2006/relationships/hyperlink" Target="https://doi.org/10.3390/land9090300" TargetMode="External"/><Relationship Id="rId52" Type="http://schemas.openxmlformats.org/officeDocument/2006/relationships/hyperlink" Target="https://doi.org/10.1016/j.landusepol.2020.105054" TargetMode="External"/><Relationship Id="rId60" Type="http://schemas.openxmlformats.org/officeDocument/2006/relationships/hyperlink" Target="https://doi.org/10.1080/07352166.2022.2093734" TargetMode="External"/><Relationship Id="rId65" Type="http://schemas.openxmlformats.org/officeDocument/2006/relationships/hyperlink" Target="https://doi.org/10.1016/j.landusepol.2021.105579" TargetMode="External"/><Relationship Id="rId73" Type="http://schemas.openxmlformats.org/officeDocument/2006/relationships/hyperlink" Target="https://doi.org/10.1016/j.envc.2021.100283" TargetMode="External"/><Relationship Id="rId78" Type="http://schemas.openxmlformats.org/officeDocument/2006/relationships/hyperlink" Target="https://doi.org/10.1007/s10708-023-10897-4" TargetMode="External"/><Relationship Id="rId81" Type="http://schemas.openxmlformats.org/officeDocument/2006/relationships/hyperlink" Target="https://horizon.documentation.ird.fr/exl-doc/pleins_textes/divers13-04/010056998.pdf" TargetMode="External"/><Relationship Id="rId86"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openxmlformats.org/officeDocument/2006/relationships/hyperlink" Target="https://doi.org/10.1080/19463138.2019.1691560" TargetMode="External"/><Relationship Id="rId34" Type="http://schemas.openxmlformats.org/officeDocument/2006/relationships/hyperlink" Target="https://doi.org/10.1080/07352166.2023.2224023" TargetMode="External"/><Relationship Id="rId50" Type="http://schemas.openxmlformats.org/officeDocument/2006/relationships/hyperlink" Target="https://doi.org/10.3390/su12114445" TargetMode="External"/><Relationship Id="rId55" Type="http://schemas.openxmlformats.org/officeDocument/2006/relationships/hyperlink" Target="https://www.ircwash.org/sites/default/files/Farvacque-2008-Development.pdf" TargetMode="External"/><Relationship Id="rId76" Type="http://schemas.openxmlformats.org/officeDocument/2006/relationships/hyperlink" Target="https://doi.org/10.1080/13549839.2024.2330408" TargetMode="External"/><Relationship Id="rId7" Type="http://schemas.openxmlformats.org/officeDocument/2006/relationships/diagramData" Target="diagrams/data1.xml"/><Relationship Id="rId71" Type="http://schemas.openxmlformats.org/officeDocument/2006/relationships/hyperlink" Target="https://doi.org/10.1177/0002764214550302"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diagramQuickStyle" Target="diagrams/quickStyle5.xml"/><Relationship Id="rId24" Type="http://schemas.openxmlformats.org/officeDocument/2006/relationships/diagramQuickStyle" Target="diagrams/quickStyle4.xml"/><Relationship Id="rId40" Type="http://schemas.openxmlformats.org/officeDocument/2006/relationships/hyperlink" Target="https://doi.org/10.1080/19463138.2021.1971990" TargetMode="External"/><Relationship Id="rId45" Type="http://schemas.openxmlformats.org/officeDocument/2006/relationships/hyperlink" Target="https://doi.org/10.5334/bc.348" TargetMode="External"/><Relationship Id="rId66" Type="http://schemas.openxmlformats.org/officeDocument/2006/relationships/hyperlink" Target="https://doi.org/10.1080/24749508.2023.2202439" TargetMode="External"/><Relationship Id="rId87" Type="http://schemas.openxmlformats.org/officeDocument/2006/relationships/footer" Target="footer1.xml"/><Relationship Id="rId61" Type="http://schemas.openxmlformats.org/officeDocument/2006/relationships/hyperlink" Target="https://doi.org/10.11648/j.ajep.20140301.11" TargetMode="External"/><Relationship Id="rId82" Type="http://schemas.openxmlformats.org/officeDocument/2006/relationships/hyperlink" Target="https://www.researchgate.net/publication/317004617_ASSESSING_THE_LAND_USE_AND_LAND_COVER_CHANGES_DUE_TO_URBAN_GROWTH_IN_ACCRA_GHANA" TargetMode="External"/><Relationship Id="rId19" Type="http://schemas.openxmlformats.org/officeDocument/2006/relationships/diagramQuickStyle" Target="diagrams/quickStyle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4651A4-CF2A-4314-BD8B-AD5C7D302262}"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D4DECB10-F143-42E6-8FA1-749B146F04C7}">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Loss of Green Spaces and Biodiverty</a:t>
          </a:r>
        </a:p>
      </dgm:t>
    </dgm:pt>
    <dgm:pt modelId="{A5E67C95-8326-4860-AA7E-065C23F764E3}" type="parTrans" cxnId="{8EF3D900-86DD-420A-8B18-0241739EE013}">
      <dgm:prSet/>
      <dgm:spPr/>
      <dgm:t>
        <a:bodyPr/>
        <a:lstStyle/>
        <a:p>
          <a:endParaRPr lang="en-US" sz="1200">
            <a:latin typeface="Times New Roman" panose="02020603050405020304" pitchFamily="18" charset="0"/>
            <a:cs typeface="Times New Roman" panose="02020603050405020304" pitchFamily="18" charset="0"/>
          </a:endParaRPr>
        </a:p>
      </dgm:t>
    </dgm:pt>
    <dgm:pt modelId="{24CCC73B-BDA6-47C2-A961-A21A0F7E3CE0}" type="sibTrans" cxnId="{8EF3D900-86DD-420A-8B18-0241739EE013}">
      <dgm:prSet/>
      <dgm:spPr/>
      <dgm:t>
        <a:bodyPr/>
        <a:lstStyle/>
        <a:p>
          <a:endParaRPr lang="en-US" sz="1200">
            <a:latin typeface="Times New Roman" panose="02020603050405020304" pitchFamily="18" charset="0"/>
            <a:cs typeface="Times New Roman" panose="02020603050405020304" pitchFamily="18" charset="0"/>
          </a:endParaRPr>
        </a:p>
      </dgm:t>
    </dgm:pt>
    <dgm:pt modelId="{C42A9DCF-AA7F-4C95-B146-37D0D5718C64}">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Urban Heat Island Effect</a:t>
          </a:r>
        </a:p>
      </dgm:t>
    </dgm:pt>
    <dgm:pt modelId="{36D815A8-00F1-4CE4-BD8C-E0A4A3CD2FB5}" type="parTrans" cxnId="{FE2A1500-0E43-43F9-BD13-EBD9295C1CFC}">
      <dgm:prSet/>
      <dgm:spPr/>
      <dgm:t>
        <a:bodyPr/>
        <a:lstStyle/>
        <a:p>
          <a:endParaRPr lang="en-US" sz="1200">
            <a:latin typeface="Times New Roman" panose="02020603050405020304" pitchFamily="18" charset="0"/>
            <a:cs typeface="Times New Roman" panose="02020603050405020304" pitchFamily="18" charset="0"/>
          </a:endParaRPr>
        </a:p>
      </dgm:t>
    </dgm:pt>
    <dgm:pt modelId="{B2D56F17-14B0-443F-9DD9-649743BA0409}" type="sibTrans" cxnId="{FE2A1500-0E43-43F9-BD13-EBD9295C1CFC}">
      <dgm:prSet/>
      <dgm:spPr/>
      <dgm:t>
        <a:bodyPr/>
        <a:lstStyle/>
        <a:p>
          <a:endParaRPr lang="en-US" sz="1200">
            <a:latin typeface="Times New Roman" panose="02020603050405020304" pitchFamily="18" charset="0"/>
            <a:cs typeface="Times New Roman" panose="02020603050405020304" pitchFamily="18" charset="0"/>
          </a:endParaRPr>
        </a:p>
      </dgm:t>
    </dgm:pt>
    <dgm:pt modelId="{5352D1EC-DACD-4D7B-9811-29A8F45CFCBB}">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Air and Water Pollution</a:t>
          </a:r>
        </a:p>
      </dgm:t>
    </dgm:pt>
    <dgm:pt modelId="{9E35423C-2D8E-49BA-941C-4C126C127E8D}" type="parTrans" cxnId="{5E63631A-912F-425E-A10C-017539316E78}">
      <dgm:prSet/>
      <dgm:spPr/>
      <dgm:t>
        <a:bodyPr/>
        <a:lstStyle/>
        <a:p>
          <a:endParaRPr lang="en-US" sz="1200">
            <a:latin typeface="Times New Roman" panose="02020603050405020304" pitchFamily="18" charset="0"/>
            <a:cs typeface="Times New Roman" panose="02020603050405020304" pitchFamily="18" charset="0"/>
          </a:endParaRPr>
        </a:p>
      </dgm:t>
    </dgm:pt>
    <dgm:pt modelId="{A4814933-7712-4094-9554-19A0021FCDE7}" type="sibTrans" cxnId="{5E63631A-912F-425E-A10C-017539316E78}">
      <dgm:prSet/>
      <dgm:spPr/>
      <dgm:t>
        <a:bodyPr/>
        <a:lstStyle/>
        <a:p>
          <a:endParaRPr lang="en-US" sz="1200">
            <a:latin typeface="Times New Roman" panose="02020603050405020304" pitchFamily="18" charset="0"/>
            <a:cs typeface="Times New Roman" panose="02020603050405020304" pitchFamily="18" charset="0"/>
          </a:endParaRPr>
        </a:p>
      </dgm:t>
    </dgm:pt>
    <dgm:pt modelId="{874342EF-4F46-4D0D-BAF4-B49CF86B049A}">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Loss of Climate Regulation Functions</a:t>
          </a:r>
        </a:p>
      </dgm:t>
    </dgm:pt>
    <dgm:pt modelId="{936C0F02-F5D6-4023-9340-5CE19C8BADE0}" type="parTrans" cxnId="{0A61E559-54AC-4BAE-B50B-AD83E177C057}">
      <dgm:prSet/>
      <dgm:spPr/>
      <dgm:t>
        <a:bodyPr/>
        <a:lstStyle/>
        <a:p>
          <a:endParaRPr lang="en-US" sz="1200">
            <a:latin typeface="Times New Roman" panose="02020603050405020304" pitchFamily="18" charset="0"/>
            <a:cs typeface="Times New Roman" panose="02020603050405020304" pitchFamily="18" charset="0"/>
          </a:endParaRPr>
        </a:p>
      </dgm:t>
    </dgm:pt>
    <dgm:pt modelId="{766D64AD-214D-407A-A1FD-736835158EEC}" type="sibTrans" cxnId="{0A61E559-54AC-4BAE-B50B-AD83E177C057}">
      <dgm:prSet/>
      <dgm:spPr/>
      <dgm:t>
        <a:bodyPr/>
        <a:lstStyle/>
        <a:p>
          <a:endParaRPr lang="en-US" sz="1200">
            <a:latin typeface="Times New Roman" panose="02020603050405020304" pitchFamily="18" charset="0"/>
            <a:cs typeface="Times New Roman" panose="02020603050405020304" pitchFamily="18" charset="0"/>
          </a:endParaRPr>
        </a:p>
      </dgm:t>
    </dgm:pt>
    <dgm:pt modelId="{DC199317-E974-48A8-98B2-74B4D5DC63FE}">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Flash Flooding</a:t>
          </a:r>
        </a:p>
      </dgm:t>
    </dgm:pt>
    <dgm:pt modelId="{9E822BEA-8A9D-4585-85A6-284644B27453}" type="parTrans" cxnId="{FE031C4D-BB74-4946-BEFA-E09B1026721D}">
      <dgm:prSet/>
      <dgm:spPr/>
      <dgm:t>
        <a:bodyPr/>
        <a:lstStyle/>
        <a:p>
          <a:endParaRPr lang="en-US" sz="1200">
            <a:latin typeface="Times New Roman" panose="02020603050405020304" pitchFamily="18" charset="0"/>
            <a:cs typeface="Times New Roman" panose="02020603050405020304" pitchFamily="18" charset="0"/>
          </a:endParaRPr>
        </a:p>
      </dgm:t>
    </dgm:pt>
    <dgm:pt modelId="{9927F211-5E67-45F8-8106-8D57F2DF1D09}" type="sibTrans" cxnId="{FE031C4D-BB74-4946-BEFA-E09B1026721D}">
      <dgm:prSet/>
      <dgm:spPr/>
      <dgm:t>
        <a:bodyPr/>
        <a:lstStyle/>
        <a:p>
          <a:endParaRPr lang="en-US" sz="1200">
            <a:latin typeface="Times New Roman" panose="02020603050405020304" pitchFamily="18" charset="0"/>
            <a:cs typeface="Times New Roman" panose="02020603050405020304" pitchFamily="18" charset="0"/>
          </a:endParaRPr>
        </a:p>
      </dgm:t>
    </dgm:pt>
    <dgm:pt modelId="{2A419476-CE82-4BAB-AEE4-188AA08D1A35}" type="pres">
      <dgm:prSet presAssocID="{064651A4-CF2A-4314-BD8B-AD5C7D302262}" presName="diagram" presStyleCnt="0">
        <dgm:presLayoutVars>
          <dgm:dir/>
          <dgm:resizeHandles val="exact"/>
        </dgm:presLayoutVars>
      </dgm:prSet>
      <dgm:spPr/>
    </dgm:pt>
    <dgm:pt modelId="{0709A8A6-5302-4960-8A55-3C05D74D3789}" type="pres">
      <dgm:prSet presAssocID="{D4DECB10-F143-42E6-8FA1-749B146F04C7}" presName="node" presStyleLbl="node1" presStyleIdx="0" presStyleCnt="5" custScaleX="58308" custScaleY="28391">
        <dgm:presLayoutVars>
          <dgm:bulletEnabled val="1"/>
        </dgm:presLayoutVars>
      </dgm:prSet>
      <dgm:spPr/>
    </dgm:pt>
    <dgm:pt modelId="{33D76A68-76C5-4DED-9EA5-86061D2F52CE}" type="pres">
      <dgm:prSet presAssocID="{24CCC73B-BDA6-47C2-A961-A21A0F7E3CE0}" presName="sibTrans" presStyleCnt="0"/>
      <dgm:spPr/>
    </dgm:pt>
    <dgm:pt modelId="{B6DA6B40-04A4-4C8D-BE05-598606BE1AC7}" type="pres">
      <dgm:prSet presAssocID="{C42A9DCF-AA7F-4C95-B146-37D0D5718C64}" presName="node" presStyleLbl="node1" presStyleIdx="1" presStyleCnt="5" custScaleX="59779" custScaleY="24456">
        <dgm:presLayoutVars>
          <dgm:bulletEnabled val="1"/>
        </dgm:presLayoutVars>
      </dgm:prSet>
      <dgm:spPr/>
    </dgm:pt>
    <dgm:pt modelId="{F80C1990-08C0-420C-AEB6-2B88908E91F5}" type="pres">
      <dgm:prSet presAssocID="{B2D56F17-14B0-443F-9DD9-649743BA0409}" presName="sibTrans" presStyleCnt="0"/>
      <dgm:spPr/>
    </dgm:pt>
    <dgm:pt modelId="{8B599DF8-7E8F-4B9F-8839-13DAA52AF726}" type="pres">
      <dgm:prSet presAssocID="{5352D1EC-DACD-4D7B-9811-29A8F45CFCBB}" presName="node" presStyleLbl="node1" presStyleIdx="2" presStyleCnt="5" custScaleX="50757" custScaleY="25689" custLinFactNeighborX="66352" custLinFactNeighborY="42417">
        <dgm:presLayoutVars>
          <dgm:bulletEnabled val="1"/>
        </dgm:presLayoutVars>
      </dgm:prSet>
      <dgm:spPr/>
    </dgm:pt>
    <dgm:pt modelId="{C93E9158-7DC2-4139-83B2-F14768EC7C04}" type="pres">
      <dgm:prSet presAssocID="{A4814933-7712-4094-9554-19A0021FCDE7}" presName="sibTrans" presStyleCnt="0"/>
      <dgm:spPr/>
    </dgm:pt>
    <dgm:pt modelId="{0B464516-C809-4443-B75E-33801F32EA58}" type="pres">
      <dgm:prSet presAssocID="{874342EF-4F46-4D0D-BAF4-B49CF86B049A}" presName="node" presStyleLbl="node1" presStyleIdx="3" presStyleCnt="5" custScaleX="62606" custScaleY="25728" custLinFactNeighborX="7335" custLinFactNeighborY="-764">
        <dgm:presLayoutVars>
          <dgm:bulletEnabled val="1"/>
        </dgm:presLayoutVars>
      </dgm:prSet>
      <dgm:spPr/>
    </dgm:pt>
    <dgm:pt modelId="{A9C0C15F-2A50-4871-A1C0-6B8777A2EDB1}" type="pres">
      <dgm:prSet presAssocID="{766D64AD-214D-407A-A1FD-736835158EEC}" presName="sibTrans" presStyleCnt="0"/>
      <dgm:spPr/>
    </dgm:pt>
    <dgm:pt modelId="{38193CC7-F5E7-4074-A51F-9772E2C46239}" type="pres">
      <dgm:prSet presAssocID="{DC199317-E974-48A8-98B2-74B4D5DC63FE}" presName="node" presStyleLbl="node1" presStyleIdx="4" presStyleCnt="5" custScaleX="32089" custScaleY="26873" custLinFactNeighborX="-39084" custLinFactNeighborY="-379">
        <dgm:presLayoutVars>
          <dgm:bulletEnabled val="1"/>
        </dgm:presLayoutVars>
      </dgm:prSet>
      <dgm:spPr/>
    </dgm:pt>
  </dgm:ptLst>
  <dgm:cxnLst>
    <dgm:cxn modelId="{FE2A1500-0E43-43F9-BD13-EBD9295C1CFC}" srcId="{064651A4-CF2A-4314-BD8B-AD5C7D302262}" destId="{C42A9DCF-AA7F-4C95-B146-37D0D5718C64}" srcOrd="1" destOrd="0" parTransId="{36D815A8-00F1-4CE4-BD8C-E0A4A3CD2FB5}" sibTransId="{B2D56F17-14B0-443F-9DD9-649743BA0409}"/>
    <dgm:cxn modelId="{8EF3D900-86DD-420A-8B18-0241739EE013}" srcId="{064651A4-CF2A-4314-BD8B-AD5C7D302262}" destId="{D4DECB10-F143-42E6-8FA1-749B146F04C7}" srcOrd="0" destOrd="0" parTransId="{A5E67C95-8326-4860-AA7E-065C23F764E3}" sibTransId="{24CCC73B-BDA6-47C2-A961-A21A0F7E3CE0}"/>
    <dgm:cxn modelId="{79F39D19-85F4-4B0A-8BB7-FA14680B30F4}" type="presOf" srcId="{DC199317-E974-48A8-98B2-74B4D5DC63FE}" destId="{38193CC7-F5E7-4074-A51F-9772E2C46239}" srcOrd="0" destOrd="0" presId="urn:microsoft.com/office/officeart/2005/8/layout/default"/>
    <dgm:cxn modelId="{5E63631A-912F-425E-A10C-017539316E78}" srcId="{064651A4-CF2A-4314-BD8B-AD5C7D302262}" destId="{5352D1EC-DACD-4D7B-9811-29A8F45CFCBB}" srcOrd="2" destOrd="0" parTransId="{9E35423C-2D8E-49BA-941C-4C126C127E8D}" sibTransId="{A4814933-7712-4094-9554-19A0021FCDE7}"/>
    <dgm:cxn modelId="{61722934-BA81-4BBE-8B78-7EDF4661768B}" type="presOf" srcId="{874342EF-4F46-4D0D-BAF4-B49CF86B049A}" destId="{0B464516-C809-4443-B75E-33801F32EA58}" srcOrd="0" destOrd="0" presId="urn:microsoft.com/office/officeart/2005/8/layout/default"/>
    <dgm:cxn modelId="{25BE5637-372E-437C-B7F3-FD7E73BAEDE7}" type="presOf" srcId="{C42A9DCF-AA7F-4C95-B146-37D0D5718C64}" destId="{B6DA6B40-04A4-4C8D-BE05-598606BE1AC7}" srcOrd="0" destOrd="0" presId="urn:microsoft.com/office/officeart/2005/8/layout/default"/>
    <dgm:cxn modelId="{2C58A35C-5D2A-4D4E-A867-6EF58929A949}" type="presOf" srcId="{5352D1EC-DACD-4D7B-9811-29A8F45CFCBB}" destId="{8B599DF8-7E8F-4B9F-8839-13DAA52AF726}" srcOrd="0" destOrd="0" presId="urn:microsoft.com/office/officeart/2005/8/layout/default"/>
    <dgm:cxn modelId="{3D23CC68-521C-48EB-BFC5-0408AD844DE4}" type="presOf" srcId="{D4DECB10-F143-42E6-8FA1-749B146F04C7}" destId="{0709A8A6-5302-4960-8A55-3C05D74D3789}" srcOrd="0" destOrd="0" presId="urn:microsoft.com/office/officeart/2005/8/layout/default"/>
    <dgm:cxn modelId="{FE031C4D-BB74-4946-BEFA-E09B1026721D}" srcId="{064651A4-CF2A-4314-BD8B-AD5C7D302262}" destId="{DC199317-E974-48A8-98B2-74B4D5DC63FE}" srcOrd="4" destOrd="0" parTransId="{9E822BEA-8A9D-4585-85A6-284644B27453}" sibTransId="{9927F211-5E67-45F8-8106-8D57F2DF1D09}"/>
    <dgm:cxn modelId="{0A61E559-54AC-4BAE-B50B-AD83E177C057}" srcId="{064651A4-CF2A-4314-BD8B-AD5C7D302262}" destId="{874342EF-4F46-4D0D-BAF4-B49CF86B049A}" srcOrd="3" destOrd="0" parTransId="{936C0F02-F5D6-4023-9340-5CE19C8BADE0}" sibTransId="{766D64AD-214D-407A-A1FD-736835158EEC}"/>
    <dgm:cxn modelId="{520366CF-F2BF-456E-9BBC-5B59CA27D86F}" type="presOf" srcId="{064651A4-CF2A-4314-BD8B-AD5C7D302262}" destId="{2A419476-CE82-4BAB-AEE4-188AA08D1A35}" srcOrd="0" destOrd="0" presId="urn:microsoft.com/office/officeart/2005/8/layout/default"/>
    <dgm:cxn modelId="{6022ADCF-2818-4124-92BA-09B60B893DD4}" type="presParOf" srcId="{2A419476-CE82-4BAB-AEE4-188AA08D1A35}" destId="{0709A8A6-5302-4960-8A55-3C05D74D3789}" srcOrd="0" destOrd="0" presId="urn:microsoft.com/office/officeart/2005/8/layout/default"/>
    <dgm:cxn modelId="{85DBB570-9C71-46FD-93A5-4510B92278F4}" type="presParOf" srcId="{2A419476-CE82-4BAB-AEE4-188AA08D1A35}" destId="{33D76A68-76C5-4DED-9EA5-86061D2F52CE}" srcOrd="1" destOrd="0" presId="urn:microsoft.com/office/officeart/2005/8/layout/default"/>
    <dgm:cxn modelId="{AD17459B-016F-43A2-9721-64A0823D070D}" type="presParOf" srcId="{2A419476-CE82-4BAB-AEE4-188AA08D1A35}" destId="{B6DA6B40-04A4-4C8D-BE05-598606BE1AC7}" srcOrd="2" destOrd="0" presId="urn:microsoft.com/office/officeart/2005/8/layout/default"/>
    <dgm:cxn modelId="{771E24AE-D16A-4E75-B830-0137EE0F4ADE}" type="presParOf" srcId="{2A419476-CE82-4BAB-AEE4-188AA08D1A35}" destId="{F80C1990-08C0-420C-AEB6-2B88908E91F5}" srcOrd="3" destOrd="0" presId="urn:microsoft.com/office/officeart/2005/8/layout/default"/>
    <dgm:cxn modelId="{AE03B447-1028-45E0-B419-7318366F5A70}" type="presParOf" srcId="{2A419476-CE82-4BAB-AEE4-188AA08D1A35}" destId="{8B599DF8-7E8F-4B9F-8839-13DAA52AF726}" srcOrd="4" destOrd="0" presId="urn:microsoft.com/office/officeart/2005/8/layout/default"/>
    <dgm:cxn modelId="{2D622144-71A8-4CC8-91E7-D9354F93E079}" type="presParOf" srcId="{2A419476-CE82-4BAB-AEE4-188AA08D1A35}" destId="{C93E9158-7DC2-4139-83B2-F14768EC7C04}" srcOrd="5" destOrd="0" presId="urn:microsoft.com/office/officeart/2005/8/layout/default"/>
    <dgm:cxn modelId="{F82FA046-465C-4E39-ABD7-E16F004D5F9D}" type="presParOf" srcId="{2A419476-CE82-4BAB-AEE4-188AA08D1A35}" destId="{0B464516-C809-4443-B75E-33801F32EA58}" srcOrd="6" destOrd="0" presId="urn:microsoft.com/office/officeart/2005/8/layout/default"/>
    <dgm:cxn modelId="{C8A86DA8-D7D0-49A8-937D-F258B3E818BB}" type="presParOf" srcId="{2A419476-CE82-4BAB-AEE4-188AA08D1A35}" destId="{A9C0C15F-2A50-4871-A1C0-6B8777A2EDB1}" srcOrd="7" destOrd="0" presId="urn:microsoft.com/office/officeart/2005/8/layout/default"/>
    <dgm:cxn modelId="{63237682-58F7-4489-8C97-DFC009901906}" type="presParOf" srcId="{2A419476-CE82-4BAB-AEE4-188AA08D1A35}" destId="{38193CC7-F5E7-4074-A51F-9772E2C46239}" srcOrd="8"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E3E111-E466-473B-B0E1-718B126AB3A3}" type="doc">
      <dgm:prSet loTypeId="urn:microsoft.com/office/officeart/2005/8/layout/hProcess9" loCatId="process" qsTypeId="urn:microsoft.com/office/officeart/2005/8/quickstyle/simple1" qsCatId="simple" csTypeId="urn:microsoft.com/office/officeart/2005/8/colors/accent1_2" csCatId="accent1" phldr="1"/>
      <dgm:spPr/>
    </dgm:pt>
    <dgm:pt modelId="{720B2BE5-78FF-4635-93AE-1BA9E029ACBB}">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Inequalable access to service</a:t>
          </a:r>
        </a:p>
      </dgm:t>
    </dgm:pt>
    <dgm:pt modelId="{84D1D138-C512-4590-BE29-2B853294FEFF}" type="parTrans" cxnId="{90677455-ACB6-4750-87A6-4925170E2F84}">
      <dgm:prSet/>
      <dgm:spPr/>
      <dgm:t>
        <a:bodyPr/>
        <a:lstStyle/>
        <a:p>
          <a:endParaRPr lang="en-US" sz="1200">
            <a:latin typeface="Times New Roman" panose="02020603050405020304" pitchFamily="18" charset="0"/>
            <a:cs typeface="Times New Roman" panose="02020603050405020304" pitchFamily="18" charset="0"/>
          </a:endParaRPr>
        </a:p>
      </dgm:t>
    </dgm:pt>
    <dgm:pt modelId="{64A507C0-E6FD-476C-A4EF-7760D4DB1F99}" type="sibTrans" cxnId="{90677455-ACB6-4750-87A6-4925170E2F84}">
      <dgm:prSet/>
      <dgm:spPr/>
      <dgm:t>
        <a:bodyPr/>
        <a:lstStyle/>
        <a:p>
          <a:endParaRPr lang="en-US" sz="1200">
            <a:latin typeface="Times New Roman" panose="02020603050405020304" pitchFamily="18" charset="0"/>
            <a:cs typeface="Times New Roman" panose="02020603050405020304" pitchFamily="18" charset="0"/>
          </a:endParaRPr>
        </a:p>
      </dgm:t>
    </dgm:pt>
    <dgm:pt modelId="{52F56E93-34D9-44AB-A959-BC989F7DDC47}">
      <dgm:prSet phldrT="[Text]" custT="1">
        <dgm:style>
          <a:lnRef idx="2">
            <a:schemeClr val="accent1"/>
          </a:lnRef>
          <a:fillRef idx="1">
            <a:schemeClr val="lt1"/>
          </a:fillRef>
          <a:effectRef idx="0">
            <a:schemeClr val="accent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Social exclusion and segregation</a:t>
          </a:r>
        </a:p>
      </dgm:t>
    </dgm:pt>
    <dgm:pt modelId="{7D4271A9-AF5D-4FC0-9F77-4D2A6F00CF7C}" type="parTrans" cxnId="{91543A65-F799-4E52-AE82-6726A968C79E}">
      <dgm:prSet/>
      <dgm:spPr/>
      <dgm:t>
        <a:bodyPr/>
        <a:lstStyle/>
        <a:p>
          <a:endParaRPr lang="en-US" sz="1200">
            <a:latin typeface="Times New Roman" panose="02020603050405020304" pitchFamily="18" charset="0"/>
            <a:cs typeface="Times New Roman" panose="02020603050405020304" pitchFamily="18" charset="0"/>
          </a:endParaRPr>
        </a:p>
      </dgm:t>
    </dgm:pt>
    <dgm:pt modelId="{981881D6-75C8-4144-983F-52C55B06E81C}" type="sibTrans" cxnId="{91543A65-F799-4E52-AE82-6726A968C79E}">
      <dgm:prSet/>
      <dgm:spPr/>
      <dgm:t>
        <a:bodyPr/>
        <a:lstStyle/>
        <a:p>
          <a:endParaRPr lang="en-US" sz="1200">
            <a:latin typeface="Times New Roman" panose="02020603050405020304" pitchFamily="18" charset="0"/>
            <a:cs typeface="Times New Roman" panose="02020603050405020304" pitchFamily="18" charset="0"/>
          </a:endParaRPr>
        </a:p>
      </dgm:t>
    </dgm:pt>
    <dgm:pt modelId="{D27CE158-58B2-4B4D-A6BA-07C64FCB7380}">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Displacement of indigenous populations</a:t>
          </a:r>
        </a:p>
      </dgm:t>
    </dgm:pt>
    <dgm:pt modelId="{4A19493D-2F7C-44D2-A352-0A531DEC717B}" type="parTrans" cxnId="{FC779BBF-3413-43D1-833B-4F8F21923F91}">
      <dgm:prSet/>
      <dgm:spPr/>
      <dgm:t>
        <a:bodyPr/>
        <a:lstStyle/>
        <a:p>
          <a:endParaRPr lang="en-US" sz="1200">
            <a:latin typeface="Times New Roman" panose="02020603050405020304" pitchFamily="18" charset="0"/>
            <a:cs typeface="Times New Roman" panose="02020603050405020304" pitchFamily="18" charset="0"/>
          </a:endParaRPr>
        </a:p>
      </dgm:t>
    </dgm:pt>
    <dgm:pt modelId="{9C2A1599-D0C2-4D6B-8FCA-742F36E02188}" type="sibTrans" cxnId="{FC779BBF-3413-43D1-833B-4F8F21923F91}">
      <dgm:prSet/>
      <dgm:spPr/>
      <dgm:t>
        <a:bodyPr/>
        <a:lstStyle/>
        <a:p>
          <a:endParaRPr lang="en-US" sz="1200">
            <a:latin typeface="Times New Roman" panose="02020603050405020304" pitchFamily="18" charset="0"/>
            <a:cs typeface="Times New Roman" panose="02020603050405020304" pitchFamily="18" charset="0"/>
          </a:endParaRPr>
        </a:p>
      </dgm:t>
    </dgm:pt>
    <dgm:pt modelId="{3CD73CF1-EAD4-48DD-91C2-BC7D89357F1F}">
      <dgm:prSet custT="1">
        <dgm:style>
          <a:lnRef idx="2">
            <a:schemeClr val="accent1"/>
          </a:lnRef>
          <a:fillRef idx="1">
            <a:schemeClr val="lt1"/>
          </a:fillRef>
          <a:effectRef idx="0">
            <a:schemeClr val="accent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Erosion of social cohesion</a:t>
          </a:r>
        </a:p>
      </dgm:t>
    </dgm:pt>
    <dgm:pt modelId="{89E033BD-B667-4B88-BB01-7758D1719723}" type="parTrans" cxnId="{178F222A-E839-494C-BA36-1024AFB3F2AA}">
      <dgm:prSet/>
      <dgm:spPr/>
      <dgm:t>
        <a:bodyPr/>
        <a:lstStyle/>
        <a:p>
          <a:endParaRPr lang="en-US" sz="1200">
            <a:latin typeface="Times New Roman" panose="02020603050405020304" pitchFamily="18" charset="0"/>
            <a:cs typeface="Times New Roman" panose="02020603050405020304" pitchFamily="18" charset="0"/>
          </a:endParaRPr>
        </a:p>
      </dgm:t>
    </dgm:pt>
    <dgm:pt modelId="{C531C77D-EFDB-4006-BF2B-50A4D76A60BF}" type="sibTrans" cxnId="{178F222A-E839-494C-BA36-1024AFB3F2AA}">
      <dgm:prSet/>
      <dgm:spPr/>
      <dgm:t>
        <a:bodyPr/>
        <a:lstStyle/>
        <a:p>
          <a:endParaRPr lang="en-US" sz="1200">
            <a:latin typeface="Times New Roman" panose="02020603050405020304" pitchFamily="18" charset="0"/>
            <a:cs typeface="Times New Roman" panose="02020603050405020304" pitchFamily="18" charset="0"/>
          </a:endParaRPr>
        </a:p>
      </dgm:t>
    </dgm:pt>
    <dgm:pt modelId="{5817075B-CC25-4824-8D0D-C8B0025C53B8}">
      <dgm:prSet custT="1">
        <dgm:style>
          <a:lnRef idx="2">
            <a:schemeClr val="accent4"/>
          </a:lnRef>
          <a:fillRef idx="1">
            <a:schemeClr val="lt1"/>
          </a:fillRef>
          <a:effectRef idx="0">
            <a:schemeClr val="accent4"/>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Increase travel time and isolation</a:t>
          </a:r>
        </a:p>
      </dgm:t>
    </dgm:pt>
    <dgm:pt modelId="{31ED03EC-B913-4A5A-9C8D-5B240CAC830E}" type="parTrans" cxnId="{ECE194A8-67C2-4E79-9F0C-87C9A1E8369D}">
      <dgm:prSet/>
      <dgm:spPr/>
      <dgm:t>
        <a:bodyPr/>
        <a:lstStyle/>
        <a:p>
          <a:endParaRPr lang="en-US" sz="1200">
            <a:latin typeface="Times New Roman" panose="02020603050405020304" pitchFamily="18" charset="0"/>
            <a:cs typeface="Times New Roman" panose="02020603050405020304" pitchFamily="18" charset="0"/>
          </a:endParaRPr>
        </a:p>
      </dgm:t>
    </dgm:pt>
    <dgm:pt modelId="{68C93FE1-66A2-4A1C-AEB5-6B74A598AD9B}" type="sibTrans" cxnId="{ECE194A8-67C2-4E79-9F0C-87C9A1E8369D}">
      <dgm:prSet/>
      <dgm:spPr/>
      <dgm:t>
        <a:bodyPr/>
        <a:lstStyle/>
        <a:p>
          <a:endParaRPr lang="en-US" sz="1200">
            <a:latin typeface="Times New Roman" panose="02020603050405020304" pitchFamily="18" charset="0"/>
            <a:cs typeface="Times New Roman" panose="02020603050405020304" pitchFamily="18" charset="0"/>
          </a:endParaRPr>
        </a:p>
      </dgm:t>
    </dgm:pt>
    <dgm:pt modelId="{AD504B64-C587-4D81-933B-D4D6F32E6F78}" type="pres">
      <dgm:prSet presAssocID="{E9E3E111-E466-473B-B0E1-718B126AB3A3}" presName="CompostProcess" presStyleCnt="0">
        <dgm:presLayoutVars>
          <dgm:dir/>
          <dgm:resizeHandles val="exact"/>
        </dgm:presLayoutVars>
      </dgm:prSet>
      <dgm:spPr/>
    </dgm:pt>
    <dgm:pt modelId="{CD36B0D6-580E-44BF-817A-52929D2AA2CF}" type="pres">
      <dgm:prSet presAssocID="{E9E3E111-E466-473B-B0E1-718B126AB3A3}" presName="arrow" presStyleLbl="bgShp" presStyleIdx="0" presStyleCnt="1"/>
      <dgm:spPr/>
    </dgm:pt>
    <dgm:pt modelId="{4814B6DF-56BC-4284-8910-50FFF5FB8828}" type="pres">
      <dgm:prSet presAssocID="{E9E3E111-E466-473B-B0E1-718B126AB3A3}" presName="linearProcess" presStyleCnt="0"/>
      <dgm:spPr/>
    </dgm:pt>
    <dgm:pt modelId="{6129E658-C94A-4EB4-8D34-5DCA81A6297B}" type="pres">
      <dgm:prSet presAssocID="{720B2BE5-78FF-4635-93AE-1BA9E029ACBB}" presName="textNode" presStyleLbl="node1" presStyleIdx="0" presStyleCnt="5">
        <dgm:presLayoutVars>
          <dgm:bulletEnabled val="1"/>
        </dgm:presLayoutVars>
      </dgm:prSet>
      <dgm:spPr/>
    </dgm:pt>
    <dgm:pt modelId="{2C1B7BCC-7ECE-4232-8AB6-56DA25F36C54}" type="pres">
      <dgm:prSet presAssocID="{64A507C0-E6FD-476C-A4EF-7760D4DB1F99}" presName="sibTrans" presStyleCnt="0"/>
      <dgm:spPr/>
    </dgm:pt>
    <dgm:pt modelId="{76E38A55-7AB8-4863-A00B-273B6742F9A2}" type="pres">
      <dgm:prSet presAssocID="{52F56E93-34D9-44AB-A959-BC989F7DDC47}" presName="textNode" presStyleLbl="node1" presStyleIdx="1" presStyleCnt="5">
        <dgm:presLayoutVars>
          <dgm:bulletEnabled val="1"/>
        </dgm:presLayoutVars>
      </dgm:prSet>
      <dgm:spPr/>
    </dgm:pt>
    <dgm:pt modelId="{7C008007-B860-4BB7-9364-DC4F490F4953}" type="pres">
      <dgm:prSet presAssocID="{981881D6-75C8-4144-983F-52C55B06E81C}" presName="sibTrans" presStyleCnt="0"/>
      <dgm:spPr/>
    </dgm:pt>
    <dgm:pt modelId="{3511BB0C-E196-45C4-A565-F0920A6DA9BE}" type="pres">
      <dgm:prSet presAssocID="{D27CE158-58B2-4B4D-A6BA-07C64FCB7380}" presName="textNode" presStyleLbl="node1" presStyleIdx="2" presStyleCnt="5" custScaleX="113218">
        <dgm:presLayoutVars>
          <dgm:bulletEnabled val="1"/>
        </dgm:presLayoutVars>
      </dgm:prSet>
      <dgm:spPr/>
    </dgm:pt>
    <dgm:pt modelId="{A6D40CFA-DF35-4FA5-93A3-E2152B12294E}" type="pres">
      <dgm:prSet presAssocID="{9C2A1599-D0C2-4D6B-8FCA-742F36E02188}" presName="sibTrans" presStyleCnt="0"/>
      <dgm:spPr/>
    </dgm:pt>
    <dgm:pt modelId="{0D506D68-E56A-446A-9948-559EA9948701}" type="pres">
      <dgm:prSet presAssocID="{3CD73CF1-EAD4-48DD-91C2-BC7D89357F1F}" presName="textNode" presStyleLbl="node1" presStyleIdx="3" presStyleCnt="5">
        <dgm:presLayoutVars>
          <dgm:bulletEnabled val="1"/>
        </dgm:presLayoutVars>
      </dgm:prSet>
      <dgm:spPr/>
    </dgm:pt>
    <dgm:pt modelId="{317E55A8-45AB-4A89-85FA-A8F0B66DF250}" type="pres">
      <dgm:prSet presAssocID="{C531C77D-EFDB-4006-BF2B-50A4D76A60BF}" presName="sibTrans" presStyleCnt="0"/>
      <dgm:spPr/>
    </dgm:pt>
    <dgm:pt modelId="{3F6720FB-5E96-4A7E-8FCC-6ACF1CE4A1AF}" type="pres">
      <dgm:prSet presAssocID="{5817075B-CC25-4824-8D0D-C8B0025C53B8}" presName="textNode" presStyleLbl="node1" presStyleIdx="4" presStyleCnt="5">
        <dgm:presLayoutVars>
          <dgm:bulletEnabled val="1"/>
        </dgm:presLayoutVars>
      </dgm:prSet>
      <dgm:spPr/>
    </dgm:pt>
  </dgm:ptLst>
  <dgm:cxnLst>
    <dgm:cxn modelId="{178F222A-E839-494C-BA36-1024AFB3F2AA}" srcId="{E9E3E111-E466-473B-B0E1-718B126AB3A3}" destId="{3CD73CF1-EAD4-48DD-91C2-BC7D89357F1F}" srcOrd="3" destOrd="0" parTransId="{89E033BD-B667-4B88-BB01-7758D1719723}" sibTransId="{C531C77D-EFDB-4006-BF2B-50A4D76A60BF}"/>
    <dgm:cxn modelId="{17973664-9A49-4589-8781-8E32D7337BA9}" type="presOf" srcId="{52F56E93-34D9-44AB-A959-BC989F7DDC47}" destId="{76E38A55-7AB8-4863-A00B-273B6742F9A2}" srcOrd="0" destOrd="0" presId="urn:microsoft.com/office/officeart/2005/8/layout/hProcess9"/>
    <dgm:cxn modelId="{91543A65-F799-4E52-AE82-6726A968C79E}" srcId="{E9E3E111-E466-473B-B0E1-718B126AB3A3}" destId="{52F56E93-34D9-44AB-A959-BC989F7DDC47}" srcOrd="1" destOrd="0" parTransId="{7D4271A9-AF5D-4FC0-9F77-4D2A6F00CF7C}" sibTransId="{981881D6-75C8-4144-983F-52C55B06E81C}"/>
    <dgm:cxn modelId="{A6D32953-C6C7-46A6-BED6-31A88574E9F0}" type="presOf" srcId="{3CD73CF1-EAD4-48DD-91C2-BC7D89357F1F}" destId="{0D506D68-E56A-446A-9948-559EA9948701}" srcOrd="0" destOrd="0" presId="urn:microsoft.com/office/officeart/2005/8/layout/hProcess9"/>
    <dgm:cxn modelId="{90677455-ACB6-4750-87A6-4925170E2F84}" srcId="{E9E3E111-E466-473B-B0E1-718B126AB3A3}" destId="{720B2BE5-78FF-4635-93AE-1BA9E029ACBB}" srcOrd="0" destOrd="0" parTransId="{84D1D138-C512-4590-BE29-2B853294FEFF}" sibTransId="{64A507C0-E6FD-476C-A4EF-7760D4DB1F99}"/>
    <dgm:cxn modelId="{7D91BB78-9E6A-485E-B65C-DB4C5B1E12F0}" type="presOf" srcId="{720B2BE5-78FF-4635-93AE-1BA9E029ACBB}" destId="{6129E658-C94A-4EB4-8D34-5DCA81A6297B}" srcOrd="0" destOrd="0" presId="urn:microsoft.com/office/officeart/2005/8/layout/hProcess9"/>
    <dgm:cxn modelId="{ECE194A8-67C2-4E79-9F0C-87C9A1E8369D}" srcId="{E9E3E111-E466-473B-B0E1-718B126AB3A3}" destId="{5817075B-CC25-4824-8D0D-C8B0025C53B8}" srcOrd="4" destOrd="0" parTransId="{31ED03EC-B913-4A5A-9C8D-5B240CAC830E}" sibTransId="{68C93FE1-66A2-4A1C-AEB5-6B74A598AD9B}"/>
    <dgm:cxn modelId="{FC779BBF-3413-43D1-833B-4F8F21923F91}" srcId="{E9E3E111-E466-473B-B0E1-718B126AB3A3}" destId="{D27CE158-58B2-4B4D-A6BA-07C64FCB7380}" srcOrd="2" destOrd="0" parTransId="{4A19493D-2F7C-44D2-A352-0A531DEC717B}" sibTransId="{9C2A1599-D0C2-4D6B-8FCA-742F36E02188}"/>
    <dgm:cxn modelId="{02124FC8-BF95-41FA-8B35-67ED86BDD29C}" type="presOf" srcId="{5817075B-CC25-4824-8D0D-C8B0025C53B8}" destId="{3F6720FB-5E96-4A7E-8FCC-6ACF1CE4A1AF}" srcOrd="0" destOrd="0" presId="urn:microsoft.com/office/officeart/2005/8/layout/hProcess9"/>
    <dgm:cxn modelId="{D63BA6E3-DAF0-4BEC-AFE9-EC64658403C8}" type="presOf" srcId="{E9E3E111-E466-473B-B0E1-718B126AB3A3}" destId="{AD504B64-C587-4D81-933B-D4D6F32E6F78}" srcOrd="0" destOrd="0" presId="urn:microsoft.com/office/officeart/2005/8/layout/hProcess9"/>
    <dgm:cxn modelId="{930607F7-F2F5-42D0-BBB0-82B47416DD4E}" type="presOf" srcId="{D27CE158-58B2-4B4D-A6BA-07C64FCB7380}" destId="{3511BB0C-E196-45C4-A565-F0920A6DA9BE}" srcOrd="0" destOrd="0" presId="urn:microsoft.com/office/officeart/2005/8/layout/hProcess9"/>
    <dgm:cxn modelId="{958A12BF-84E3-469A-9DA9-005F57FD5802}" type="presParOf" srcId="{AD504B64-C587-4D81-933B-D4D6F32E6F78}" destId="{CD36B0D6-580E-44BF-817A-52929D2AA2CF}" srcOrd="0" destOrd="0" presId="urn:microsoft.com/office/officeart/2005/8/layout/hProcess9"/>
    <dgm:cxn modelId="{6A95A4F5-7ED3-4BDF-817F-5675C897509E}" type="presParOf" srcId="{AD504B64-C587-4D81-933B-D4D6F32E6F78}" destId="{4814B6DF-56BC-4284-8910-50FFF5FB8828}" srcOrd="1" destOrd="0" presId="urn:microsoft.com/office/officeart/2005/8/layout/hProcess9"/>
    <dgm:cxn modelId="{2438352D-8378-4991-ABD4-684C567094E6}" type="presParOf" srcId="{4814B6DF-56BC-4284-8910-50FFF5FB8828}" destId="{6129E658-C94A-4EB4-8D34-5DCA81A6297B}" srcOrd="0" destOrd="0" presId="urn:microsoft.com/office/officeart/2005/8/layout/hProcess9"/>
    <dgm:cxn modelId="{0E50F44C-8FF5-4E01-B684-D6EFB0DA4687}" type="presParOf" srcId="{4814B6DF-56BC-4284-8910-50FFF5FB8828}" destId="{2C1B7BCC-7ECE-4232-8AB6-56DA25F36C54}" srcOrd="1" destOrd="0" presId="urn:microsoft.com/office/officeart/2005/8/layout/hProcess9"/>
    <dgm:cxn modelId="{92AE2062-F203-40BD-97D0-83A4766CB859}" type="presParOf" srcId="{4814B6DF-56BC-4284-8910-50FFF5FB8828}" destId="{76E38A55-7AB8-4863-A00B-273B6742F9A2}" srcOrd="2" destOrd="0" presId="urn:microsoft.com/office/officeart/2005/8/layout/hProcess9"/>
    <dgm:cxn modelId="{F0BC370C-4A9A-479B-9FC6-7EFD4DA702FF}" type="presParOf" srcId="{4814B6DF-56BC-4284-8910-50FFF5FB8828}" destId="{7C008007-B860-4BB7-9364-DC4F490F4953}" srcOrd="3" destOrd="0" presId="urn:microsoft.com/office/officeart/2005/8/layout/hProcess9"/>
    <dgm:cxn modelId="{C00BCD0E-5744-442A-9EA6-7A0CCFF713C8}" type="presParOf" srcId="{4814B6DF-56BC-4284-8910-50FFF5FB8828}" destId="{3511BB0C-E196-45C4-A565-F0920A6DA9BE}" srcOrd="4" destOrd="0" presId="urn:microsoft.com/office/officeart/2005/8/layout/hProcess9"/>
    <dgm:cxn modelId="{473E8DD6-8823-4958-B56F-87BB7CB3B484}" type="presParOf" srcId="{4814B6DF-56BC-4284-8910-50FFF5FB8828}" destId="{A6D40CFA-DF35-4FA5-93A3-E2152B12294E}" srcOrd="5" destOrd="0" presId="urn:microsoft.com/office/officeart/2005/8/layout/hProcess9"/>
    <dgm:cxn modelId="{E6822610-65AA-4CAD-B4BB-AA869407CA25}" type="presParOf" srcId="{4814B6DF-56BC-4284-8910-50FFF5FB8828}" destId="{0D506D68-E56A-446A-9948-559EA9948701}" srcOrd="6" destOrd="0" presId="urn:microsoft.com/office/officeart/2005/8/layout/hProcess9"/>
    <dgm:cxn modelId="{815445FE-455E-419F-AAFC-0192FADAF3CC}" type="presParOf" srcId="{4814B6DF-56BC-4284-8910-50FFF5FB8828}" destId="{317E55A8-45AB-4A89-85FA-A8F0B66DF250}" srcOrd="7" destOrd="0" presId="urn:microsoft.com/office/officeart/2005/8/layout/hProcess9"/>
    <dgm:cxn modelId="{E95CB78E-B907-4EEE-B95E-C116331F24EF}" type="presParOf" srcId="{4814B6DF-56BC-4284-8910-50FFF5FB8828}" destId="{3F6720FB-5E96-4A7E-8FCC-6ACF1CE4A1AF}" srcOrd="8"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983FD1F-1700-4129-A46C-1BB80B263B98}"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US"/>
        </a:p>
      </dgm:t>
    </dgm:pt>
    <dgm:pt modelId="{A21B5982-DFDF-42D4-9B03-86B9A314C6ED}">
      <dgm:prSet phldrT="[Text]"/>
      <dgm:spPr/>
      <dgm:t>
        <a:bodyPr/>
        <a:lstStyle/>
        <a:p>
          <a:r>
            <a:rPr lang="en-US">
              <a:latin typeface="Times New Roman" panose="02020603050405020304" pitchFamily="18" charset="0"/>
              <a:cs typeface="Times New Roman" panose="02020603050405020304" pitchFamily="18" charset="0"/>
            </a:rPr>
            <a:t>High infrastructure costs</a:t>
          </a:r>
          <a:endParaRPr lang="en-US"/>
        </a:p>
      </dgm:t>
    </dgm:pt>
    <dgm:pt modelId="{DA62CB90-257E-46C2-A35E-9BFC266A5EC3}" type="parTrans" cxnId="{4FE61FFA-A01C-47EE-9EDE-59681E028B85}">
      <dgm:prSet/>
      <dgm:spPr/>
      <dgm:t>
        <a:bodyPr/>
        <a:lstStyle/>
        <a:p>
          <a:endParaRPr lang="en-US"/>
        </a:p>
      </dgm:t>
    </dgm:pt>
    <dgm:pt modelId="{0157801B-A1E8-428B-8B9E-CF6B1B50E24C}" type="sibTrans" cxnId="{4FE61FFA-A01C-47EE-9EDE-59681E028B85}">
      <dgm:prSet/>
      <dgm:spPr/>
      <dgm:t>
        <a:bodyPr/>
        <a:lstStyle/>
        <a:p>
          <a:endParaRPr lang="en-US"/>
        </a:p>
      </dgm:t>
    </dgm:pt>
    <dgm:pt modelId="{0EFB9CDF-E3AB-4A32-989A-C5A0AEE0B7D1}">
      <dgm:prSet phldrT="[Text]"/>
      <dgm:spPr/>
      <dgm:t>
        <a:bodyPr/>
        <a:lstStyle/>
        <a:p>
          <a:r>
            <a:rPr lang="en-US">
              <a:latin typeface="Times New Roman" panose="02020603050405020304" pitchFamily="18" charset="0"/>
              <a:cs typeface="Times New Roman" panose="02020603050405020304" pitchFamily="18" charset="0"/>
            </a:rPr>
            <a:t>Increased household transport costs</a:t>
          </a:r>
          <a:endParaRPr lang="en-US"/>
        </a:p>
      </dgm:t>
    </dgm:pt>
    <dgm:pt modelId="{75232AC7-C544-41CE-8661-231137C2933D}" type="parTrans" cxnId="{A52F4290-AD3A-48EF-AA43-385792940D4F}">
      <dgm:prSet/>
      <dgm:spPr/>
      <dgm:t>
        <a:bodyPr/>
        <a:lstStyle/>
        <a:p>
          <a:endParaRPr lang="en-US"/>
        </a:p>
      </dgm:t>
    </dgm:pt>
    <dgm:pt modelId="{D419F5A6-D73B-4A72-9444-9681E39B1E96}" type="sibTrans" cxnId="{A52F4290-AD3A-48EF-AA43-385792940D4F}">
      <dgm:prSet/>
      <dgm:spPr/>
      <dgm:t>
        <a:bodyPr/>
        <a:lstStyle/>
        <a:p>
          <a:endParaRPr lang="en-US"/>
        </a:p>
      </dgm:t>
    </dgm:pt>
    <dgm:pt modelId="{2CA8136C-2B9F-408C-80C0-BBF48713CF58}">
      <dgm:prSet phldrT="[Text]"/>
      <dgm:spPr/>
      <dgm:t>
        <a:bodyPr/>
        <a:lstStyle/>
        <a:p>
          <a:r>
            <a:rPr lang="en-US">
              <a:latin typeface="Times New Roman" panose="02020603050405020304" pitchFamily="18" charset="0"/>
              <a:cs typeface="Times New Roman" panose="02020603050405020304" pitchFamily="18" charset="0"/>
            </a:rPr>
            <a:t>Loss of agricultural productivity</a:t>
          </a:r>
          <a:endParaRPr lang="en-US"/>
        </a:p>
      </dgm:t>
    </dgm:pt>
    <dgm:pt modelId="{6D168D67-F7DD-45B6-90F2-CEB748F9725B}" type="parTrans" cxnId="{E0ED3BB7-1FD6-4CFB-ACC2-0A049524FC9A}">
      <dgm:prSet/>
      <dgm:spPr/>
      <dgm:t>
        <a:bodyPr/>
        <a:lstStyle/>
        <a:p>
          <a:endParaRPr lang="en-US"/>
        </a:p>
      </dgm:t>
    </dgm:pt>
    <dgm:pt modelId="{595FEF7D-4E2E-4C19-B9BF-5C3A9E1E5190}" type="sibTrans" cxnId="{E0ED3BB7-1FD6-4CFB-ACC2-0A049524FC9A}">
      <dgm:prSet/>
      <dgm:spPr/>
      <dgm:t>
        <a:bodyPr/>
        <a:lstStyle/>
        <a:p>
          <a:endParaRPr lang="en-US"/>
        </a:p>
      </dgm:t>
    </dgm:pt>
    <dgm:pt modelId="{0F0D6E7B-7C87-454F-8841-03A04991FDAA}">
      <dgm:prSet/>
      <dgm:spPr/>
      <dgm:t>
        <a:bodyPr/>
        <a:lstStyle/>
        <a:p>
          <a:r>
            <a:rPr lang="en-US">
              <a:latin typeface="Times New Roman" panose="02020603050405020304" pitchFamily="18" charset="0"/>
              <a:cs typeface="Times New Roman" panose="02020603050405020304" pitchFamily="18" charset="0"/>
            </a:rPr>
            <a:t>Inefficient land use</a:t>
          </a:r>
          <a:endParaRPr lang="en-US"/>
        </a:p>
      </dgm:t>
    </dgm:pt>
    <dgm:pt modelId="{3C41F4EE-E5D0-4ABC-B326-2C96A967E653}" type="parTrans" cxnId="{741E5577-D48E-453F-82E9-33C21FE92305}">
      <dgm:prSet/>
      <dgm:spPr/>
      <dgm:t>
        <a:bodyPr/>
        <a:lstStyle/>
        <a:p>
          <a:endParaRPr lang="en-US"/>
        </a:p>
      </dgm:t>
    </dgm:pt>
    <dgm:pt modelId="{4265FC96-899D-41B9-8968-FE41ECBF929B}" type="sibTrans" cxnId="{741E5577-D48E-453F-82E9-33C21FE92305}">
      <dgm:prSet/>
      <dgm:spPr/>
      <dgm:t>
        <a:bodyPr/>
        <a:lstStyle/>
        <a:p>
          <a:endParaRPr lang="en-US"/>
        </a:p>
      </dgm:t>
    </dgm:pt>
    <dgm:pt modelId="{6DD140BA-BDDF-40A9-819D-14A9AFEEDBE6}">
      <dgm:prSet/>
      <dgm:spPr/>
      <dgm:t>
        <a:bodyPr/>
        <a:lstStyle/>
        <a:p>
          <a:r>
            <a:rPr lang="en-US">
              <a:latin typeface="Times New Roman" panose="02020603050405020304" pitchFamily="18" charset="0"/>
              <a:cs typeface="Times New Roman" panose="02020603050405020304" pitchFamily="18" charset="0"/>
            </a:rPr>
            <a:t>Land speculation and price inflation</a:t>
          </a:r>
        </a:p>
      </dgm:t>
    </dgm:pt>
    <dgm:pt modelId="{8E728B3E-AB42-49BF-BE05-A1F4CD1B6F80}" type="parTrans" cxnId="{60DDF2FE-0131-4CE2-BD7B-E2FFF8FCC01F}">
      <dgm:prSet/>
      <dgm:spPr/>
      <dgm:t>
        <a:bodyPr/>
        <a:lstStyle/>
        <a:p>
          <a:endParaRPr lang="en-US"/>
        </a:p>
      </dgm:t>
    </dgm:pt>
    <dgm:pt modelId="{C092F8ED-259E-48B4-A4FC-EB5B5EE3870A}" type="sibTrans" cxnId="{60DDF2FE-0131-4CE2-BD7B-E2FFF8FCC01F}">
      <dgm:prSet/>
      <dgm:spPr/>
      <dgm:t>
        <a:bodyPr/>
        <a:lstStyle/>
        <a:p>
          <a:endParaRPr lang="en-US"/>
        </a:p>
      </dgm:t>
    </dgm:pt>
    <dgm:pt modelId="{CE37F7A5-A1F1-4B13-B86A-6F94E0EFBD9E}" type="pres">
      <dgm:prSet presAssocID="{6983FD1F-1700-4129-A46C-1BB80B263B98}" presName="Name0" presStyleCnt="0">
        <dgm:presLayoutVars>
          <dgm:chMax val="11"/>
          <dgm:chPref val="11"/>
          <dgm:dir/>
          <dgm:resizeHandles/>
        </dgm:presLayoutVars>
      </dgm:prSet>
      <dgm:spPr/>
    </dgm:pt>
    <dgm:pt modelId="{CD317E5C-C700-434B-9F11-E76DEE57BA36}" type="pres">
      <dgm:prSet presAssocID="{0F0D6E7B-7C87-454F-8841-03A04991FDAA}" presName="Accent5" presStyleCnt="0"/>
      <dgm:spPr/>
    </dgm:pt>
    <dgm:pt modelId="{8F39C793-4601-4863-81D5-7B07DB022B06}" type="pres">
      <dgm:prSet presAssocID="{0F0D6E7B-7C87-454F-8841-03A04991FDAA}" presName="Accent" presStyleLbl="node1" presStyleIdx="0" presStyleCnt="5"/>
      <dgm:spPr/>
    </dgm:pt>
    <dgm:pt modelId="{B982F31F-37F6-4CF6-9753-86BF76CB9069}" type="pres">
      <dgm:prSet presAssocID="{0F0D6E7B-7C87-454F-8841-03A04991FDAA}" presName="ParentBackground5" presStyleCnt="0"/>
      <dgm:spPr/>
    </dgm:pt>
    <dgm:pt modelId="{8972434D-C355-4843-BCCB-3F0E3A0574AA}" type="pres">
      <dgm:prSet presAssocID="{0F0D6E7B-7C87-454F-8841-03A04991FDAA}" presName="ParentBackground" presStyleLbl="fgAcc1" presStyleIdx="0" presStyleCnt="5"/>
      <dgm:spPr/>
    </dgm:pt>
    <dgm:pt modelId="{E5EA1418-9A1D-42A4-B711-CBECB1F51F1D}" type="pres">
      <dgm:prSet presAssocID="{0F0D6E7B-7C87-454F-8841-03A04991FDAA}" presName="Parent5" presStyleLbl="revTx" presStyleIdx="0" presStyleCnt="0">
        <dgm:presLayoutVars>
          <dgm:chMax val="1"/>
          <dgm:chPref val="1"/>
          <dgm:bulletEnabled val="1"/>
        </dgm:presLayoutVars>
      </dgm:prSet>
      <dgm:spPr/>
    </dgm:pt>
    <dgm:pt modelId="{347A98B2-E890-471A-80FA-4D982E1B86A7}" type="pres">
      <dgm:prSet presAssocID="{6DD140BA-BDDF-40A9-819D-14A9AFEEDBE6}" presName="Accent4" presStyleCnt="0"/>
      <dgm:spPr/>
    </dgm:pt>
    <dgm:pt modelId="{AE024BA8-9C23-49EB-8FD5-7B1FFC7BDEC0}" type="pres">
      <dgm:prSet presAssocID="{6DD140BA-BDDF-40A9-819D-14A9AFEEDBE6}" presName="Accent" presStyleLbl="node1" presStyleIdx="1" presStyleCnt="5"/>
      <dgm:spPr/>
    </dgm:pt>
    <dgm:pt modelId="{97B15EAA-5A4C-4DD2-A275-A2A9448E0BDA}" type="pres">
      <dgm:prSet presAssocID="{6DD140BA-BDDF-40A9-819D-14A9AFEEDBE6}" presName="ParentBackground4" presStyleCnt="0"/>
      <dgm:spPr/>
    </dgm:pt>
    <dgm:pt modelId="{0CC9DF6F-271D-47B6-96D8-06A67A33CC16}" type="pres">
      <dgm:prSet presAssocID="{6DD140BA-BDDF-40A9-819D-14A9AFEEDBE6}" presName="ParentBackground" presStyleLbl="fgAcc1" presStyleIdx="1" presStyleCnt="5"/>
      <dgm:spPr/>
    </dgm:pt>
    <dgm:pt modelId="{75F38C16-6D43-4F9D-9C8B-2CA88FC637F8}" type="pres">
      <dgm:prSet presAssocID="{6DD140BA-BDDF-40A9-819D-14A9AFEEDBE6}" presName="Parent4" presStyleLbl="revTx" presStyleIdx="0" presStyleCnt="0">
        <dgm:presLayoutVars>
          <dgm:chMax val="1"/>
          <dgm:chPref val="1"/>
          <dgm:bulletEnabled val="1"/>
        </dgm:presLayoutVars>
      </dgm:prSet>
      <dgm:spPr/>
    </dgm:pt>
    <dgm:pt modelId="{9F36A3D3-2787-42FB-8232-3FE8B62468B6}" type="pres">
      <dgm:prSet presAssocID="{2CA8136C-2B9F-408C-80C0-BBF48713CF58}" presName="Accent3" presStyleCnt="0"/>
      <dgm:spPr/>
    </dgm:pt>
    <dgm:pt modelId="{BDE72C93-BA97-4C58-99B4-054D572CC6AE}" type="pres">
      <dgm:prSet presAssocID="{2CA8136C-2B9F-408C-80C0-BBF48713CF58}" presName="Accent" presStyleLbl="node1" presStyleIdx="2" presStyleCnt="5"/>
      <dgm:spPr/>
    </dgm:pt>
    <dgm:pt modelId="{137B8BD9-0103-4644-952C-2730AA42B91E}" type="pres">
      <dgm:prSet presAssocID="{2CA8136C-2B9F-408C-80C0-BBF48713CF58}" presName="ParentBackground3" presStyleCnt="0"/>
      <dgm:spPr/>
    </dgm:pt>
    <dgm:pt modelId="{5EE2CFA2-AFF2-4120-9BBF-5F6BC29C41DA}" type="pres">
      <dgm:prSet presAssocID="{2CA8136C-2B9F-408C-80C0-BBF48713CF58}" presName="ParentBackground" presStyleLbl="fgAcc1" presStyleIdx="2" presStyleCnt="5"/>
      <dgm:spPr/>
    </dgm:pt>
    <dgm:pt modelId="{408030C9-F235-4A24-93E3-25D643B434B2}" type="pres">
      <dgm:prSet presAssocID="{2CA8136C-2B9F-408C-80C0-BBF48713CF58}" presName="Parent3" presStyleLbl="revTx" presStyleIdx="0" presStyleCnt="0">
        <dgm:presLayoutVars>
          <dgm:chMax val="1"/>
          <dgm:chPref val="1"/>
          <dgm:bulletEnabled val="1"/>
        </dgm:presLayoutVars>
      </dgm:prSet>
      <dgm:spPr/>
    </dgm:pt>
    <dgm:pt modelId="{0767B553-C6CC-4BBB-B179-F422EC719FBE}" type="pres">
      <dgm:prSet presAssocID="{0EFB9CDF-E3AB-4A32-989A-C5A0AEE0B7D1}" presName="Accent2" presStyleCnt="0"/>
      <dgm:spPr/>
    </dgm:pt>
    <dgm:pt modelId="{D51E2155-AA89-42FA-9AB8-30E87BAB2BA6}" type="pres">
      <dgm:prSet presAssocID="{0EFB9CDF-E3AB-4A32-989A-C5A0AEE0B7D1}" presName="Accent" presStyleLbl="node1" presStyleIdx="3" presStyleCnt="5"/>
      <dgm:spPr/>
    </dgm:pt>
    <dgm:pt modelId="{CB8F01C9-416F-404E-8AC3-43B63C6B0FC6}" type="pres">
      <dgm:prSet presAssocID="{0EFB9CDF-E3AB-4A32-989A-C5A0AEE0B7D1}" presName="ParentBackground2" presStyleCnt="0"/>
      <dgm:spPr/>
    </dgm:pt>
    <dgm:pt modelId="{203A73BA-ECF7-4B6F-85BC-F74E1CE50D98}" type="pres">
      <dgm:prSet presAssocID="{0EFB9CDF-E3AB-4A32-989A-C5A0AEE0B7D1}" presName="ParentBackground" presStyleLbl="fgAcc1" presStyleIdx="3" presStyleCnt="5"/>
      <dgm:spPr/>
    </dgm:pt>
    <dgm:pt modelId="{7406677B-3474-4AF5-B1F0-D89A280BD3B2}" type="pres">
      <dgm:prSet presAssocID="{0EFB9CDF-E3AB-4A32-989A-C5A0AEE0B7D1}" presName="Parent2" presStyleLbl="revTx" presStyleIdx="0" presStyleCnt="0">
        <dgm:presLayoutVars>
          <dgm:chMax val="1"/>
          <dgm:chPref val="1"/>
          <dgm:bulletEnabled val="1"/>
        </dgm:presLayoutVars>
      </dgm:prSet>
      <dgm:spPr/>
    </dgm:pt>
    <dgm:pt modelId="{35FD6268-71F2-4EFE-9B7A-F3C65852D5A2}" type="pres">
      <dgm:prSet presAssocID="{A21B5982-DFDF-42D4-9B03-86B9A314C6ED}" presName="Accent1" presStyleCnt="0"/>
      <dgm:spPr/>
    </dgm:pt>
    <dgm:pt modelId="{3FE8C899-FAD1-4683-9071-19077C1B4523}" type="pres">
      <dgm:prSet presAssocID="{A21B5982-DFDF-42D4-9B03-86B9A314C6ED}" presName="Accent" presStyleLbl="node1" presStyleIdx="4" presStyleCnt="5"/>
      <dgm:spPr/>
    </dgm:pt>
    <dgm:pt modelId="{7DB79503-0F9B-4655-A87D-82AB314182D5}" type="pres">
      <dgm:prSet presAssocID="{A21B5982-DFDF-42D4-9B03-86B9A314C6ED}" presName="ParentBackground1" presStyleCnt="0"/>
      <dgm:spPr/>
    </dgm:pt>
    <dgm:pt modelId="{1BD31C07-9B1F-41FD-A1DF-66E267DE0A3C}" type="pres">
      <dgm:prSet presAssocID="{A21B5982-DFDF-42D4-9B03-86B9A314C6ED}" presName="ParentBackground" presStyleLbl="fgAcc1" presStyleIdx="4" presStyleCnt="5"/>
      <dgm:spPr/>
    </dgm:pt>
    <dgm:pt modelId="{9B8C4962-D5FA-4BFF-9986-F8EB4850408D}" type="pres">
      <dgm:prSet presAssocID="{A21B5982-DFDF-42D4-9B03-86B9A314C6ED}" presName="Parent1" presStyleLbl="revTx" presStyleIdx="0" presStyleCnt="0">
        <dgm:presLayoutVars>
          <dgm:chMax val="1"/>
          <dgm:chPref val="1"/>
          <dgm:bulletEnabled val="1"/>
        </dgm:presLayoutVars>
      </dgm:prSet>
      <dgm:spPr/>
    </dgm:pt>
  </dgm:ptLst>
  <dgm:cxnLst>
    <dgm:cxn modelId="{CF2E6C05-A8E4-41E1-B694-3D1BA869A437}" type="presOf" srcId="{6DD140BA-BDDF-40A9-819D-14A9AFEEDBE6}" destId="{75F38C16-6D43-4F9D-9C8B-2CA88FC637F8}" srcOrd="1" destOrd="0" presId="urn:microsoft.com/office/officeart/2011/layout/CircleProcess"/>
    <dgm:cxn modelId="{67A0670F-5764-47B9-9414-74AC5D155A15}" type="presOf" srcId="{2CA8136C-2B9F-408C-80C0-BBF48713CF58}" destId="{5EE2CFA2-AFF2-4120-9BBF-5F6BC29C41DA}" srcOrd="0" destOrd="0" presId="urn:microsoft.com/office/officeart/2011/layout/CircleProcess"/>
    <dgm:cxn modelId="{1D01B532-B6F4-4D97-AA62-99E64FDD4722}" type="presOf" srcId="{0F0D6E7B-7C87-454F-8841-03A04991FDAA}" destId="{8972434D-C355-4843-BCCB-3F0E3A0574AA}" srcOrd="0" destOrd="0" presId="urn:microsoft.com/office/officeart/2011/layout/CircleProcess"/>
    <dgm:cxn modelId="{7FB10749-2A44-407E-8DB9-82DE464D33C0}" type="presOf" srcId="{0EFB9CDF-E3AB-4A32-989A-C5A0AEE0B7D1}" destId="{203A73BA-ECF7-4B6F-85BC-F74E1CE50D98}" srcOrd="0" destOrd="0" presId="urn:microsoft.com/office/officeart/2011/layout/CircleProcess"/>
    <dgm:cxn modelId="{4919304B-DB7D-42A0-AAD1-E85551665465}" type="presOf" srcId="{2CA8136C-2B9F-408C-80C0-BBF48713CF58}" destId="{408030C9-F235-4A24-93E3-25D643B434B2}" srcOrd="1" destOrd="0" presId="urn:microsoft.com/office/officeart/2011/layout/CircleProcess"/>
    <dgm:cxn modelId="{1AF5444B-BC74-478C-BF68-971233A59A55}" type="presOf" srcId="{0F0D6E7B-7C87-454F-8841-03A04991FDAA}" destId="{E5EA1418-9A1D-42A4-B711-CBECB1F51F1D}" srcOrd="1" destOrd="0" presId="urn:microsoft.com/office/officeart/2011/layout/CircleProcess"/>
    <dgm:cxn modelId="{741E5577-D48E-453F-82E9-33C21FE92305}" srcId="{6983FD1F-1700-4129-A46C-1BB80B263B98}" destId="{0F0D6E7B-7C87-454F-8841-03A04991FDAA}" srcOrd="4" destOrd="0" parTransId="{3C41F4EE-E5D0-4ABC-B326-2C96A967E653}" sibTransId="{4265FC96-899D-41B9-8968-FE41ECBF929B}"/>
    <dgm:cxn modelId="{1F78F28B-29D6-4AF3-9721-1F29BB67967F}" type="presOf" srcId="{A21B5982-DFDF-42D4-9B03-86B9A314C6ED}" destId="{9B8C4962-D5FA-4BFF-9986-F8EB4850408D}" srcOrd="1" destOrd="0" presId="urn:microsoft.com/office/officeart/2011/layout/CircleProcess"/>
    <dgm:cxn modelId="{ABA0258E-4B78-4BD2-951A-3AE90F008133}" type="presOf" srcId="{6DD140BA-BDDF-40A9-819D-14A9AFEEDBE6}" destId="{0CC9DF6F-271D-47B6-96D8-06A67A33CC16}" srcOrd="0" destOrd="0" presId="urn:microsoft.com/office/officeart/2011/layout/CircleProcess"/>
    <dgm:cxn modelId="{A52F4290-AD3A-48EF-AA43-385792940D4F}" srcId="{6983FD1F-1700-4129-A46C-1BB80B263B98}" destId="{0EFB9CDF-E3AB-4A32-989A-C5A0AEE0B7D1}" srcOrd="1" destOrd="0" parTransId="{75232AC7-C544-41CE-8661-231137C2933D}" sibTransId="{D419F5A6-D73B-4A72-9444-9681E39B1E96}"/>
    <dgm:cxn modelId="{76560EA2-D9FC-42F8-92A9-CDBBAE5B3781}" type="presOf" srcId="{A21B5982-DFDF-42D4-9B03-86B9A314C6ED}" destId="{1BD31C07-9B1F-41FD-A1DF-66E267DE0A3C}" srcOrd="0" destOrd="0" presId="urn:microsoft.com/office/officeart/2011/layout/CircleProcess"/>
    <dgm:cxn modelId="{E0ED3BB7-1FD6-4CFB-ACC2-0A049524FC9A}" srcId="{6983FD1F-1700-4129-A46C-1BB80B263B98}" destId="{2CA8136C-2B9F-408C-80C0-BBF48713CF58}" srcOrd="2" destOrd="0" parTransId="{6D168D67-F7DD-45B6-90F2-CEB748F9725B}" sibTransId="{595FEF7D-4E2E-4C19-B9BF-5C3A9E1E5190}"/>
    <dgm:cxn modelId="{66B980BD-6443-4F75-8240-91888F86AC63}" type="presOf" srcId="{6983FD1F-1700-4129-A46C-1BB80B263B98}" destId="{CE37F7A5-A1F1-4B13-B86A-6F94E0EFBD9E}" srcOrd="0" destOrd="0" presId="urn:microsoft.com/office/officeart/2011/layout/CircleProcess"/>
    <dgm:cxn modelId="{1993BCD0-A0F8-40E4-914E-A48AD6188DF0}" type="presOf" srcId="{0EFB9CDF-E3AB-4A32-989A-C5A0AEE0B7D1}" destId="{7406677B-3474-4AF5-B1F0-D89A280BD3B2}" srcOrd="1" destOrd="0" presId="urn:microsoft.com/office/officeart/2011/layout/CircleProcess"/>
    <dgm:cxn modelId="{4FE61FFA-A01C-47EE-9EDE-59681E028B85}" srcId="{6983FD1F-1700-4129-A46C-1BB80B263B98}" destId="{A21B5982-DFDF-42D4-9B03-86B9A314C6ED}" srcOrd="0" destOrd="0" parTransId="{DA62CB90-257E-46C2-A35E-9BFC266A5EC3}" sibTransId="{0157801B-A1E8-428B-8B9E-CF6B1B50E24C}"/>
    <dgm:cxn modelId="{60DDF2FE-0131-4CE2-BD7B-E2FFF8FCC01F}" srcId="{6983FD1F-1700-4129-A46C-1BB80B263B98}" destId="{6DD140BA-BDDF-40A9-819D-14A9AFEEDBE6}" srcOrd="3" destOrd="0" parTransId="{8E728B3E-AB42-49BF-BE05-A1F4CD1B6F80}" sibTransId="{C092F8ED-259E-48B4-A4FC-EB5B5EE3870A}"/>
    <dgm:cxn modelId="{1B22B50A-8FF8-4A0A-88EA-574ED59EBD67}" type="presParOf" srcId="{CE37F7A5-A1F1-4B13-B86A-6F94E0EFBD9E}" destId="{CD317E5C-C700-434B-9F11-E76DEE57BA36}" srcOrd="0" destOrd="0" presId="urn:microsoft.com/office/officeart/2011/layout/CircleProcess"/>
    <dgm:cxn modelId="{2669723F-09E4-4F20-B325-09D05718F0EF}" type="presParOf" srcId="{CD317E5C-C700-434B-9F11-E76DEE57BA36}" destId="{8F39C793-4601-4863-81D5-7B07DB022B06}" srcOrd="0" destOrd="0" presId="urn:microsoft.com/office/officeart/2011/layout/CircleProcess"/>
    <dgm:cxn modelId="{8A7418B9-70C0-4833-9300-1910C744E9CC}" type="presParOf" srcId="{CE37F7A5-A1F1-4B13-B86A-6F94E0EFBD9E}" destId="{B982F31F-37F6-4CF6-9753-86BF76CB9069}" srcOrd="1" destOrd="0" presId="urn:microsoft.com/office/officeart/2011/layout/CircleProcess"/>
    <dgm:cxn modelId="{CB5B6581-E1EA-4E95-8E03-7A42920088EC}" type="presParOf" srcId="{B982F31F-37F6-4CF6-9753-86BF76CB9069}" destId="{8972434D-C355-4843-BCCB-3F0E3A0574AA}" srcOrd="0" destOrd="0" presId="urn:microsoft.com/office/officeart/2011/layout/CircleProcess"/>
    <dgm:cxn modelId="{9BD998EB-5ED1-4420-B5E0-6B3C2D790AEF}" type="presParOf" srcId="{CE37F7A5-A1F1-4B13-B86A-6F94E0EFBD9E}" destId="{E5EA1418-9A1D-42A4-B711-CBECB1F51F1D}" srcOrd="2" destOrd="0" presId="urn:microsoft.com/office/officeart/2011/layout/CircleProcess"/>
    <dgm:cxn modelId="{1B0818FB-4389-4A16-AAD1-5383F7720AAF}" type="presParOf" srcId="{CE37F7A5-A1F1-4B13-B86A-6F94E0EFBD9E}" destId="{347A98B2-E890-471A-80FA-4D982E1B86A7}" srcOrd="3" destOrd="0" presId="urn:microsoft.com/office/officeart/2011/layout/CircleProcess"/>
    <dgm:cxn modelId="{ED2C56B2-A998-4BFC-A350-F47A09BE3573}" type="presParOf" srcId="{347A98B2-E890-471A-80FA-4D982E1B86A7}" destId="{AE024BA8-9C23-49EB-8FD5-7B1FFC7BDEC0}" srcOrd="0" destOrd="0" presId="urn:microsoft.com/office/officeart/2011/layout/CircleProcess"/>
    <dgm:cxn modelId="{F1A49A06-58F0-4C54-9810-19B1097F974B}" type="presParOf" srcId="{CE37F7A5-A1F1-4B13-B86A-6F94E0EFBD9E}" destId="{97B15EAA-5A4C-4DD2-A275-A2A9448E0BDA}" srcOrd="4" destOrd="0" presId="urn:microsoft.com/office/officeart/2011/layout/CircleProcess"/>
    <dgm:cxn modelId="{A11E0A8B-7D47-4B2C-9165-EF865A9C3E08}" type="presParOf" srcId="{97B15EAA-5A4C-4DD2-A275-A2A9448E0BDA}" destId="{0CC9DF6F-271D-47B6-96D8-06A67A33CC16}" srcOrd="0" destOrd="0" presId="urn:microsoft.com/office/officeart/2011/layout/CircleProcess"/>
    <dgm:cxn modelId="{AF581225-ECF5-428C-B13C-A1D94260FD60}" type="presParOf" srcId="{CE37F7A5-A1F1-4B13-B86A-6F94E0EFBD9E}" destId="{75F38C16-6D43-4F9D-9C8B-2CA88FC637F8}" srcOrd="5" destOrd="0" presId="urn:microsoft.com/office/officeart/2011/layout/CircleProcess"/>
    <dgm:cxn modelId="{AE20B41D-1C28-4020-95EE-8D6E00692B5F}" type="presParOf" srcId="{CE37F7A5-A1F1-4B13-B86A-6F94E0EFBD9E}" destId="{9F36A3D3-2787-42FB-8232-3FE8B62468B6}" srcOrd="6" destOrd="0" presId="urn:microsoft.com/office/officeart/2011/layout/CircleProcess"/>
    <dgm:cxn modelId="{071CA9FB-744B-4E92-9FE0-7C9F4718BA4C}" type="presParOf" srcId="{9F36A3D3-2787-42FB-8232-3FE8B62468B6}" destId="{BDE72C93-BA97-4C58-99B4-054D572CC6AE}" srcOrd="0" destOrd="0" presId="urn:microsoft.com/office/officeart/2011/layout/CircleProcess"/>
    <dgm:cxn modelId="{52CD584D-9E77-42B2-A685-B01A2049D86E}" type="presParOf" srcId="{CE37F7A5-A1F1-4B13-B86A-6F94E0EFBD9E}" destId="{137B8BD9-0103-4644-952C-2730AA42B91E}" srcOrd="7" destOrd="0" presId="urn:microsoft.com/office/officeart/2011/layout/CircleProcess"/>
    <dgm:cxn modelId="{6F31AEBC-D5B0-4B57-90D6-D493B4D17210}" type="presParOf" srcId="{137B8BD9-0103-4644-952C-2730AA42B91E}" destId="{5EE2CFA2-AFF2-4120-9BBF-5F6BC29C41DA}" srcOrd="0" destOrd="0" presId="urn:microsoft.com/office/officeart/2011/layout/CircleProcess"/>
    <dgm:cxn modelId="{7FFA0DEC-11A6-4E64-B77C-75A5D570665E}" type="presParOf" srcId="{CE37F7A5-A1F1-4B13-B86A-6F94E0EFBD9E}" destId="{408030C9-F235-4A24-93E3-25D643B434B2}" srcOrd="8" destOrd="0" presId="urn:microsoft.com/office/officeart/2011/layout/CircleProcess"/>
    <dgm:cxn modelId="{BD61B363-2CE3-4C5D-B7A1-53BA6E88A583}" type="presParOf" srcId="{CE37F7A5-A1F1-4B13-B86A-6F94E0EFBD9E}" destId="{0767B553-C6CC-4BBB-B179-F422EC719FBE}" srcOrd="9" destOrd="0" presId="urn:microsoft.com/office/officeart/2011/layout/CircleProcess"/>
    <dgm:cxn modelId="{D2E6910D-2F0D-48B4-9E10-7FE63B8D153A}" type="presParOf" srcId="{0767B553-C6CC-4BBB-B179-F422EC719FBE}" destId="{D51E2155-AA89-42FA-9AB8-30E87BAB2BA6}" srcOrd="0" destOrd="0" presId="urn:microsoft.com/office/officeart/2011/layout/CircleProcess"/>
    <dgm:cxn modelId="{8E339D48-FB1E-405F-AD9A-D07AF7FE0DF7}" type="presParOf" srcId="{CE37F7A5-A1F1-4B13-B86A-6F94E0EFBD9E}" destId="{CB8F01C9-416F-404E-8AC3-43B63C6B0FC6}" srcOrd="10" destOrd="0" presId="urn:microsoft.com/office/officeart/2011/layout/CircleProcess"/>
    <dgm:cxn modelId="{D7E3C01A-1D5A-4976-A47D-D4E8D991DC82}" type="presParOf" srcId="{CB8F01C9-416F-404E-8AC3-43B63C6B0FC6}" destId="{203A73BA-ECF7-4B6F-85BC-F74E1CE50D98}" srcOrd="0" destOrd="0" presId="urn:microsoft.com/office/officeart/2011/layout/CircleProcess"/>
    <dgm:cxn modelId="{3551B6F5-C2C6-4567-996D-F1D36EC69DA0}" type="presParOf" srcId="{CE37F7A5-A1F1-4B13-B86A-6F94E0EFBD9E}" destId="{7406677B-3474-4AF5-B1F0-D89A280BD3B2}" srcOrd="11" destOrd="0" presId="urn:microsoft.com/office/officeart/2011/layout/CircleProcess"/>
    <dgm:cxn modelId="{F1093F0A-2ED6-422E-A1C5-98A5754D1EFD}" type="presParOf" srcId="{CE37F7A5-A1F1-4B13-B86A-6F94E0EFBD9E}" destId="{35FD6268-71F2-4EFE-9B7A-F3C65852D5A2}" srcOrd="12" destOrd="0" presId="urn:microsoft.com/office/officeart/2011/layout/CircleProcess"/>
    <dgm:cxn modelId="{646E020B-41B5-4338-967F-F8DC98545D83}" type="presParOf" srcId="{35FD6268-71F2-4EFE-9B7A-F3C65852D5A2}" destId="{3FE8C899-FAD1-4683-9071-19077C1B4523}" srcOrd="0" destOrd="0" presId="urn:microsoft.com/office/officeart/2011/layout/CircleProcess"/>
    <dgm:cxn modelId="{6F75BD72-7BAB-4337-AD28-0D07AFF0B780}" type="presParOf" srcId="{CE37F7A5-A1F1-4B13-B86A-6F94E0EFBD9E}" destId="{7DB79503-0F9B-4655-A87D-82AB314182D5}" srcOrd="13" destOrd="0" presId="urn:microsoft.com/office/officeart/2011/layout/CircleProcess"/>
    <dgm:cxn modelId="{60524BF8-AB81-4EEB-9D71-0353C315D7A0}" type="presParOf" srcId="{7DB79503-0F9B-4655-A87D-82AB314182D5}" destId="{1BD31C07-9B1F-41FD-A1DF-66E267DE0A3C}" srcOrd="0" destOrd="0" presId="urn:microsoft.com/office/officeart/2011/layout/CircleProcess"/>
    <dgm:cxn modelId="{938DB2A3-560A-43BF-9025-5175FD3BAA08}" type="presParOf" srcId="{CE37F7A5-A1F1-4B13-B86A-6F94E0EFBD9E}" destId="{9B8C4962-D5FA-4BFF-9986-F8EB4850408D}" srcOrd="14" destOrd="0" presId="urn:microsoft.com/office/officeart/2011/layout/Circle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783593E-2575-4A62-ACD8-37C30FDAEDC0}"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5EE4DA51-156D-4426-9292-8F820A2A06A2}">
      <dgm:prSet phldrT="[Text]" custT="1"/>
      <dgm:spPr/>
      <dgm:t>
        <a:bodyPr/>
        <a:lstStyle/>
        <a:p>
          <a:r>
            <a:rPr lang="en-US" sz="1200">
              <a:latin typeface="Times New Roman" panose="02020603050405020304" pitchFamily="18" charset="0"/>
              <a:cs typeface="Times New Roman" panose="02020603050405020304" pitchFamily="18" charset="0"/>
            </a:rPr>
            <a:t>Demographic</a:t>
          </a:r>
        </a:p>
        <a:p>
          <a:r>
            <a:rPr lang="en-US" sz="1200">
              <a:latin typeface="Times New Roman" panose="02020603050405020304" pitchFamily="18" charset="0"/>
              <a:cs typeface="Times New Roman" panose="02020603050405020304" pitchFamily="18" charset="0"/>
            </a:rPr>
            <a:t>Land </a:t>
          </a:r>
        </a:p>
        <a:p>
          <a:r>
            <a:rPr lang="en-US" sz="1200">
              <a:latin typeface="Times New Roman" panose="02020603050405020304" pitchFamily="18" charset="0"/>
              <a:cs typeface="Times New Roman" panose="02020603050405020304" pitchFamily="18" charset="0"/>
            </a:rPr>
            <a:t>Economic</a:t>
          </a:r>
        </a:p>
        <a:p>
          <a:r>
            <a:rPr lang="en-US" sz="1200">
              <a:latin typeface="Times New Roman" panose="02020603050405020304" pitchFamily="18" charset="0"/>
              <a:cs typeface="Times New Roman" panose="02020603050405020304" pitchFamily="18" charset="0"/>
            </a:rPr>
            <a:t>Cultural</a:t>
          </a:r>
          <a:endParaRPr lang="en-US" sz="1200"/>
        </a:p>
      </dgm:t>
    </dgm:pt>
    <dgm:pt modelId="{4A8226A8-2A1B-4459-9DEB-2C71F0EBDAD5}" type="parTrans" cxnId="{C27065D1-CDF4-42B8-BEC9-C05EF262E7EB}">
      <dgm:prSet/>
      <dgm:spPr/>
      <dgm:t>
        <a:bodyPr/>
        <a:lstStyle/>
        <a:p>
          <a:endParaRPr lang="en-US" sz="1200"/>
        </a:p>
      </dgm:t>
    </dgm:pt>
    <dgm:pt modelId="{D93C93BE-9133-4120-AD90-FDF10E2C31ED}" type="sibTrans" cxnId="{C27065D1-CDF4-42B8-BEC9-C05EF262E7EB}">
      <dgm:prSet/>
      <dgm:spPr/>
      <dgm:t>
        <a:bodyPr/>
        <a:lstStyle/>
        <a:p>
          <a:endParaRPr lang="en-US" sz="1200"/>
        </a:p>
      </dgm:t>
    </dgm:pt>
    <dgm:pt modelId="{1C1532B3-8BD4-47D0-9E01-1D1ABBFA22D7}">
      <dgm:prSet phldrT="[Text]" custT="1"/>
      <dgm:spPr/>
      <dgm:t>
        <a:bodyPr/>
        <a:lstStyle/>
        <a:p>
          <a:r>
            <a:rPr lang="en-US" sz="1200">
              <a:latin typeface="Times New Roman" panose="02020603050405020304" pitchFamily="18" charset="0"/>
              <a:cs typeface="Times New Roman" panose="02020603050405020304" pitchFamily="18" charset="0"/>
            </a:rPr>
            <a:t>Drivers of Sprawl</a:t>
          </a:r>
          <a:endParaRPr lang="en-US" sz="1200"/>
        </a:p>
      </dgm:t>
    </dgm:pt>
    <dgm:pt modelId="{86B1FAAE-69AA-4D2A-81FB-116E674B3BF5}" type="parTrans" cxnId="{09CE8B15-E51B-4ED3-8F07-D7020CC5FFE4}">
      <dgm:prSet/>
      <dgm:spPr/>
      <dgm:t>
        <a:bodyPr/>
        <a:lstStyle/>
        <a:p>
          <a:endParaRPr lang="en-US" sz="1200"/>
        </a:p>
      </dgm:t>
    </dgm:pt>
    <dgm:pt modelId="{0DAABB31-B58B-44C6-A364-66286948BA40}" type="sibTrans" cxnId="{09CE8B15-E51B-4ED3-8F07-D7020CC5FFE4}">
      <dgm:prSet/>
      <dgm:spPr/>
      <dgm:t>
        <a:bodyPr/>
        <a:lstStyle/>
        <a:p>
          <a:endParaRPr lang="en-US" sz="1200"/>
        </a:p>
      </dgm:t>
    </dgm:pt>
    <dgm:pt modelId="{3558E8A0-8FE7-47D8-BA79-77ACF00F7A39}">
      <dgm:prSet phldrT="[Text]" custT="1"/>
      <dgm:spPr/>
      <dgm:t>
        <a:bodyPr/>
        <a:lstStyle/>
        <a:p>
          <a:r>
            <a:rPr lang="en-US" sz="1200">
              <a:latin typeface="Times New Roman" panose="02020603050405020304" pitchFamily="18" charset="0"/>
              <a:cs typeface="Times New Roman" panose="02020603050405020304" pitchFamily="18" charset="0"/>
            </a:rPr>
            <a:t>Leapfrogging</a:t>
          </a:r>
        </a:p>
        <a:p>
          <a:r>
            <a:rPr lang="en-US" sz="1200">
              <a:latin typeface="Times New Roman" panose="02020603050405020304" pitchFamily="18" charset="0"/>
              <a:cs typeface="Times New Roman" panose="02020603050405020304" pitchFamily="18" charset="0"/>
            </a:rPr>
            <a:t>Ribbon</a:t>
          </a:r>
        </a:p>
        <a:p>
          <a:r>
            <a:rPr lang="en-US" sz="1200">
              <a:latin typeface="Times New Roman" panose="02020603050405020304" pitchFamily="18" charset="0"/>
              <a:cs typeface="Times New Roman" panose="02020603050405020304" pitchFamily="18" charset="0"/>
            </a:rPr>
            <a:t>Edge</a:t>
          </a:r>
        </a:p>
        <a:p>
          <a:r>
            <a:rPr lang="en-US" sz="1200">
              <a:latin typeface="Times New Roman" panose="02020603050405020304" pitchFamily="18" charset="0"/>
              <a:cs typeface="Times New Roman" panose="02020603050405020304" pitchFamily="18" charset="0"/>
            </a:rPr>
            <a:t>Polycentric Growth</a:t>
          </a:r>
          <a:endParaRPr lang="en-US" sz="1200"/>
        </a:p>
      </dgm:t>
    </dgm:pt>
    <dgm:pt modelId="{DA15407E-04B6-40EC-855E-38B8107EAE39}" type="parTrans" cxnId="{F98ED001-A17E-4EA3-9728-875C6711DC11}">
      <dgm:prSet/>
      <dgm:spPr/>
      <dgm:t>
        <a:bodyPr/>
        <a:lstStyle/>
        <a:p>
          <a:endParaRPr lang="en-US" sz="1200"/>
        </a:p>
      </dgm:t>
    </dgm:pt>
    <dgm:pt modelId="{DF331806-0E60-483F-AEAB-3C61A8FAD671}" type="sibTrans" cxnId="{F98ED001-A17E-4EA3-9728-875C6711DC11}">
      <dgm:prSet/>
      <dgm:spPr/>
      <dgm:t>
        <a:bodyPr/>
        <a:lstStyle/>
        <a:p>
          <a:endParaRPr lang="en-US" sz="1200"/>
        </a:p>
      </dgm:t>
    </dgm:pt>
    <dgm:pt modelId="{2E637BFF-A9C1-4140-8CC7-831D674FD770}">
      <dgm:prSet phldrT="[Text]" custT="1"/>
      <dgm:spPr/>
      <dgm:t>
        <a:bodyPr/>
        <a:lstStyle/>
        <a:p>
          <a:r>
            <a:rPr lang="en-US" sz="1200">
              <a:latin typeface="Times New Roman" panose="02020603050405020304" pitchFamily="18" charset="0"/>
              <a:cs typeface="Times New Roman" panose="02020603050405020304" pitchFamily="18" charset="0"/>
            </a:rPr>
            <a:t>Patterns of Sprawl</a:t>
          </a:r>
          <a:endParaRPr lang="en-US" sz="1200"/>
        </a:p>
      </dgm:t>
    </dgm:pt>
    <dgm:pt modelId="{FB43CE84-EFB3-4102-AE69-543BE390004A}" type="parTrans" cxnId="{F40D10FD-0100-4EA6-9CC2-3CE01BA8507B}">
      <dgm:prSet/>
      <dgm:spPr/>
      <dgm:t>
        <a:bodyPr/>
        <a:lstStyle/>
        <a:p>
          <a:endParaRPr lang="en-US" sz="1200"/>
        </a:p>
      </dgm:t>
    </dgm:pt>
    <dgm:pt modelId="{8AE3A831-AF1A-4C61-827D-5FFB9129AE30}" type="sibTrans" cxnId="{F40D10FD-0100-4EA6-9CC2-3CE01BA8507B}">
      <dgm:prSet/>
      <dgm:spPr/>
      <dgm:t>
        <a:bodyPr/>
        <a:lstStyle/>
        <a:p>
          <a:endParaRPr lang="en-US" sz="1200"/>
        </a:p>
      </dgm:t>
    </dgm:pt>
    <dgm:pt modelId="{4F71BF99-B106-4BE2-AA75-96BFD34C8276}">
      <dgm:prSet phldrT="[Text]" custT="1"/>
      <dgm:spPr/>
      <dgm:t>
        <a:bodyPr/>
        <a:lstStyle/>
        <a:p>
          <a:r>
            <a:rPr lang="en-US" sz="1200">
              <a:latin typeface="Times New Roman" panose="02020603050405020304" pitchFamily="18" charset="0"/>
              <a:cs typeface="Times New Roman" panose="02020603050405020304" pitchFamily="18" charset="0"/>
            </a:rPr>
            <a:t>Environment</a:t>
          </a:r>
        </a:p>
        <a:p>
          <a:r>
            <a:rPr lang="en-US" sz="1200">
              <a:latin typeface="Times New Roman" panose="02020603050405020304" pitchFamily="18" charset="0"/>
              <a:cs typeface="Times New Roman" panose="02020603050405020304" pitchFamily="18" charset="0"/>
            </a:rPr>
            <a:t>Social</a:t>
          </a:r>
        </a:p>
        <a:p>
          <a:r>
            <a:rPr lang="en-US" sz="1200">
              <a:latin typeface="Times New Roman" panose="02020603050405020304" pitchFamily="18" charset="0"/>
              <a:cs typeface="Times New Roman" panose="02020603050405020304" pitchFamily="18" charset="0"/>
            </a:rPr>
            <a:t>Economic</a:t>
          </a:r>
          <a:endParaRPr lang="en-US" sz="1200"/>
        </a:p>
      </dgm:t>
    </dgm:pt>
    <dgm:pt modelId="{9B2E36DA-855F-478E-9E02-0C5DEF78519B}" type="parTrans" cxnId="{189069A6-1484-4F4E-9CB9-B9865F4CE6C5}">
      <dgm:prSet/>
      <dgm:spPr/>
      <dgm:t>
        <a:bodyPr/>
        <a:lstStyle/>
        <a:p>
          <a:endParaRPr lang="en-US" sz="1200"/>
        </a:p>
      </dgm:t>
    </dgm:pt>
    <dgm:pt modelId="{5FAF7100-D3A0-4D92-B235-8243A8129910}" type="sibTrans" cxnId="{189069A6-1484-4F4E-9CB9-B9865F4CE6C5}">
      <dgm:prSet/>
      <dgm:spPr/>
      <dgm:t>
        <a:bodyPr/>
        <a:lstStyle/>
        <a:p>
          <a:endParaRPr lang="en-US" sz="1200"/>
        </a:p>
      </dgm:t>
    </dgm:pt>
    <dgm:pt modelId="{F3875D1D-FB59-44A5-A867-8FBAA243439E}">
      <dgm:prSet phldrT="[Text]" custT="1"/>
      <dgm:spPr/>
      <dgm:t>
        <a:bodyPr/>
        <a:lstStyle/>
        <a:p>
          <a:r>
            <a:rPr lang="en-US" sz="1200">
              <a:latin typeface="Times New Roman" panose="02020603050405020304" pitchFamily="18" charset="0"/>
              <a:cs typeface="Times New Roman" panose="02020603050405020304" pitchFamily="18" charset="0"/>
            </a:rPr>
            <a:t>Impacts on Sustainable Development</a:t>
          </a:r>
          <a:endParaRPr lang="en-US" sz="1200"/>
        </a:p>
      </dgm:t>
    </dgm:pt>
    <dgm:pt modelId="{4265EB94-A28A-4247-B3EC-9367C336E7C6}" type="parTrans" cxnId="{3B4232A8-B8C6-46B3-92FB-0F47DA4219A3}">
      <dgm:prSet/>
      <dgm:spPr/>
      <dgm:t>
        <a:bodyPr/>
        <a:lstStyle/>
        <a:p>
          <a:endParaRPr lang="en-US" sz="1200"/>
        </a:p>
      </dgm:t>
    </dgm:pt>
    <dgm:pt modelId="{E88C3FE2-77D8-44BB-A7AA-4D86F53F8228}" type="sibTrans" cxnId="{3B4232A8-B8C6-46B3-92FB-0F47DA4219A3}">
      <dgm:prSet/>
      <dgm:spPr/>
      <dgm:t>
        <a:bodyPr/>
        <a:lstStyle/>
        <a:p>
          <a:endParaRPr lang="en-US" sz="1200"/>
        </a:p>
      </dgm:t>
    </dgm:pt>
    <dgm:pt modelId="{96ADD0A3-8140-4366-8455-80183D9FF75E}">
      <dgm:prSet custT="1"/>
      <dgm:spPr/>
      <dgm:t>
        <a:bodyPr/>
        <a:lstStyle/>
        <a:p>
          <a:r>
            <a:rPr lang="en-US" sz="1200">
              <a:latin typeface="Times New Roman" panose="02020603050405020304" pitchFamily="18" charset="0"/>
              <a:cs typeface="Times New Roman" panose="02020603050405020304" pitchFamily="18" charset="0"/>
            </a:rPr>
            <a:t>Land Use</a:t>
          </a:r>
        </a:p>
        <a:p>
          <a:r>
            <a:rPr lang="en-US" sz="1200">
              <a:latin typeface="Times New Roman" panose="02020603050405020304" pitchFamily="18" charset="0"/>
              <a:cs typeface="Times New Roman" panose="02020603050405020304" pitchFamily="18" charset="0"/>
            </a:rPr>
            <a:t>Institutional Capacity</a:t>
          </a:r>
          <a:endParaRPr lang="en-US" sz="1200"/>
        </a:p>
      </dgm:t>
    </dgm:pt>
    <dgm:pt modelId="{E8FA1D65-34AD-4043-8DCD-536E042BA514}" type="sibTrans" cxnId="{C8E6D343-6886-4827-A84A-DCE86D577BB3}">
      <dgm:prSet/>
      <dgm:spPr/>
      <dgm:t>
        <a:bodyPr/>
        <a:lstStyle/>
        <a:p>
          <a:endParaRPr lang="en-US" sz="1200"/>
        </a:p>
      </dgm:t>
    </dgm:pt>
    <dgm:pt modelId="{81CCFE66-ED28-4CDE-B1DA-CA36936CCB0A}" type="parTrans" cxnId="{C8E6D343-6886-4827-A84A-DCE86D577BB3}">
      <dgm:prSet/>
      <dgm:spPr/>
      <dgm:t>
        <a:bodyPr/>
        <a:lstStyle/>
        <a:p>
          <a:endParaRPr lang="en-US" sz="1200"/>
        </a:p>
      </dgm:t>
    </dgm:pt>
    <dgm:pt modelId="{FD5AAA9E-C2C6-40C7-9B35-BAEB3A412D1B}">
      <dgm:prSet phldrT="[Text]" custT="1"/>
      <dgm:spPr/>
      <dgm:t>
        <a:bodyPr/>
        <a:lstStyle/>
        <a:p>
          <a:endParaRPr lang="en-US" sz="1200"/>
        </a:p>
      </dgm:t>
    </dgm:pt>
    <dgm:pt modelId="{0FE36CDE-2780-4573-9517-472C2B3E41F3}" type="parTrans" cxnId="{41BB904B-58FA-422E-8E5E-605946006BE8}">
      <dgm:prSet/>
      <dgm:spPr/>
      <dgm:t>
        <a:bodyPr/>
        <a:lstStyle/>
        <a:p>
          <a:endParaRPr lang="en-US" sz="1200"/>
        </a:p>
      </dgm:t>
    </dgm:pt>
    <dgm:pt modelId="{90BFCDA6-E5ED-4118-AB5B-0D352B67DDBF}" type="sibTrans" cxnId="{41BB904B-58FA-422E-8E5E-605946006BE8}">
      <dgm:prSet/>
      <dgm:spPr/>
      <dgm:t>
        <a:bodyPr/>
        <a:lstStyle/>
        <a:p>
          <a:endParaRPr lang="en-US" sz="1200"/>
        </a:p>
      </dgm:t>
    </dgm:pt>
    <dgm:pt modelId="{0A7FF6E9-59DF-44C4-A92A-9BD8DB063949}">
      <dgm:prSet custT="1"/>
      <dgm:spPr/>
      <dgm:t>
        <a:bodyPr/>
        <a:lstStyle/>
        <a:p>
          <a:endParaRPr lang="en-US" sz="1200"/>
        </a:p>
      </dgm:t>
    </dgm:pt>
    <dgm:pt modelId="{3A0EECC9-19A9-4741-A58C-ABAD9D69E6E9}" type="parTrans" cxnId="{0BF34C83-E2E6-4C3E-9090-EE0EB85150AE}">
      <dgm:prSet/>
      <dgm:spPr/>
      <dgm:t>
        <a:bodyPr/>
        <a:lstStyle/>
        <a:p>
          <a:endParaRPr lang="en-US" sz="1200"/>
        </a:p>
      </dgm:t>
    </dgm:pt>
    <dgm:pt modelId="{F1EF87CE-02DC-44C5-9F56-0C8724678814}" type="sibTrans" cxnId="{0BF34C83-E2E6-4C3E-9090-EE0EB85150AE}">
      <dgm:prSet/>
      <dgm:spPr/>
      <dgm:t>
        <a:bodyPr/>
        <a:lstStyle/>
        <a:p>
          <a:endParaRPr lang="en-US" sz="1200"/>
        </a:p>
      </dgm:t>
    </dgm:pt>
    <dgm:pt modelId="{2B44342C-0F6D-4340-9BEA-21B45BC8F7D8}">
      <dgm:prSet custT="1"/>
      <dgm:spPr/>
      <dgm:t>
        <a:bodyPr/>
        <a:lstStyle/>
        <a:p>
          <a:endParaRPr lang="en-US" sz="1200"/>
        </a:p>
      </dgm:t>
    </dgm:pt>
    <dgm:pt modelId="{C4B0124A-11F1-4636-82AB-1B11819109BB}" type="parTrans" cxnId="{B9421C39-CBBA-4351-904F-72E625871975}">
      <dgm:prSet/>
      <dgm:spPr/>
      <dgm:t>
        <a:bodyPr/>
        <a:lstStyle/>
        <a:p>
          <a:endParaRPr lang="en-US" sz="1200"/>
        </a:p>
      </dgm:t>
    </dgm:pt>
    <dgm:pt modelId="{831B83F7-80A5-45FD-B5DE-26C11861F2C4}" type="sibTrans" cxnId="{B9421C39-CBBA-4351-904F-72E625871975}">
      <dgm:prSet/>
      <dgm:spPr/>
      <dgm:t>
        <a:bodyPr/>
        <a:lstStyle/>
        <a:p>
          <a:endParaRPr lang="en-US" sz="1200"/>
        </a:p>
      </dgm:t>
    </dgm:pt>
    <dgm:pt modelId="{CFF0B313-A575-437A-8ACA-9C42AB402940}">
      <dgm:prSet custT="1"/>
      <dgm:spPr/>
      <dgm:t>
        <a:bodyPr/>
        <a:lstStyle/>
        <a:p>
          <a:r>
            <a:rPr lang="en-US" sz="1200">
              <a:latin typeface="Times New Roman" panose="02020603050405020304" pitchFamily="18" charset="0"/>
              <a:cs typeface="Times New Roman" panose="02020603050405020304" pitchFamily="18" charset="0"/>
            </a:rPr>
            <a:t>Planning &amp; Governance Context</a:t>
          </a:r>
        </a:p>
      </dgm:t>
    </dgm:pt>
    <dgm:pt modelId="{3B5DF710-404F-40A4-BC43-7EE493C6054A}" type="parTrans" cxnId="{692A5968-F6D0-465A-A42E-D62C8AFBAB84}">
      <dgm:prSet/>
      <dgm:spPr/>
      <dgm:t>
        <a:bodyPr/>
        <a:lstStyle/>
        <a:p>
          <a:endParaRPr lang="en-US" sz="1200"/>
        </a:p>
      </dgm:t>
    </dgm:pt>
    <dgm:pt modelId="{C60DB327-66E6-419E-A716-9FB17C469F90}" type="sibTrans" cxnId="{692A5968-F6D0-465A-A42E-D62C8AFBAB84}">
      <dgm:prSet/>
      <dgm:spPr/>
      <dgm:t>
        <a:bodyPr/>
        <a:lstStyle/>
        <a:p>
          <a:endParaRPr lang="en-US" sz="1200"/>
        </a:p>
      </dgm:t>
    </dgm:pt>
    <dgm:pt modelId="{6F866F09-871E-4354-8581-6816A41A0FC9}">
      <dgm:prSet custT="1"/>
      <dgm:spPr/>
      <dgm:t>
        <a:bodyPr/>
        <a:lstStyle/>
        <a:p>
          <a:r>
            <a:rPr lang="en-US" sz="1200">
              <a:latin typeface="Times New Roman" panose="02020603050405020304" pitchFamily="18" charset="0"/>
              <a:cs typeface="Times New Roman" panose="02020603050405020304" pitchFamily="18" charset="0"/>
            </a:rPr>
            <a:t>Densification</a:t>
          </a:r>
        </a:p>
        <a:p>
          <a:r>
            <a:rPr lang="en-US" sz="1200">
              <a:latin typeface="Times New Roman" panose="02020603050405020304" pitchFamily="18" charset="0"/>
              <a:cs typeface="Times New Roman" panose="02020603050405020304" pitchFamily="18" charset="0"/>
            </a:rPr>
            <a:t>Containment</a:t>
          </a:r>
        </a:p>
        <a:p>
          <a:r>
            <a:rPr lang="en-US" sz="1200">
              <a:latin typeface="Times New Roman" panose="02020603050405020304" pitchFamily="18" charset="0"/>
              <a:cs typeface="Times New Roman" panose="02020603050405020304" pitchFamily="18" charset="0"/>
            </a:rPr>
            <a:t>Reforms</a:t>
          </a:r>
          <a:endParaRPr lang="en-US" sz="1200"/>
        </a:p>
      </dgm:t>
    </dgm:pt>
    <dgm:pt modelId="{4859DD34-37EB-489E-805D-EC6FF5EFE8EB}" type="parTrans" cxnId="{EF19617F-0E32-48DA-98C1-6962103E97C7}">
      <dgm:prSet/>
      <dgm:spPr/>
      <dgm:t>
        <a:bodyPr/>
        <a:lstStyle/>
        <a:p>
          <a:endParaRPr lang="en-US" sz="1200"/>
        </a:p>
      </dgm:t>
    </dgm:pt>
    <dgm:pt modelId="{AF76A083-2FA8-427E-92FE-5512F2CCF7FF}" type="sibTrans" cxnId="{EF19617F-0E32-48DA-98C1-6962103E97C7}">
      <dgm:prSet/>
      <dgm:spPr/>
      <dgm:t>
        <a:bodyPr/>
        <a:lstStyle/>
        <a:p>
          <a:endParaRPr lang="en-US" sz="1200"/>
        </a:p>
      </dgm:t>
    </dgm:pt>
    <dgm:pt modelId="{3C0B8A69-BC43-483C-B042-61387F3BA773}">
      <dgm:prSet custT="1"/>
      <dgm:spPr/>
      <dgm:t>
        <a:bodyPr/>
        <a:lstStyle/>
        <a:p>
          <a:r>
            <a:rPr lang="en-US" sz="1200">
              <a:latin typeface="Times New Roman" panose="02020603050405020304" pitchFamily="18" charset="0"/>
              <a:cs typeface="Times New Roman" panose="02020603050405020304" pitchFamily="18" charset="0"/>
            </a:rPr>
            <a:t>Policy Responses &amp; Interventions</a:t>
          </a:r>
        </a:p>
      </dgm:t>
    </dgm:pt>
    <dgm:pt modelId="{70966161-6EDD-43EF-B047-73BF816E9882}" type="parTrans" cxnId="{744CF580-0205-4B22-B61A-A264F691F056}">
      <dgm:prSet/>
      <dgm:spPr/>
      <dgm:t>
        <a:bodyPr/>
        <a:lstStyle/>
        <a:p>
          <a:endParaRPr lang="en-US" sz="1200"/>
        </a:p>
      </dgm:t>
    </dgm:pt>
    <dgm:pt modelId="{92CF9C53-6A84-496F-8742-F7C6B83D42E0}" type="sibTrans" cxnId="{744CF580-0205-4B22-B61A-A264F691F056}">
      <dgm:prSet/>
      <dgm:spPr/>
      <dgm:t>
        <a:bodyPr/>
        <a:lstStyle/>
        <a:p>
          <a:endParaRPr lang="en-US" sz="1200"/>
        </a:p>
      </dgm:t>
    </dgm:pt>
    <dgm:pt modelId="{690EF3BC-F7F2-4282-9E7D-648FC5970A37}" type="pres">
      <dgm:prSet presAssocID="{5783593E-2575-4A62-ACD8-37C30FDAEDC0}" presName="rootnode" presStyleCnt="0">
        <dgm:presLayoutVars>
          <dgm:chMax/>
          <dgm:chPref/>
          <dgm:dir/>
          <dgm:animLvl val="lvl"/>
        </dgm:presLayoutVars>
      </dgm:prSet>
      <dgm:spPr/>
    </dgm:pt>
    <dgm:pt modelId="{557421E4-39CC-4F90-B199-4AA310795060}" type="pres">
      <dgm:prSet presAssocID="{5EE4DA51-156D-4426-9292-8F820A2A06A2}" presName="composite" presStyleCnt="0"/>
      <dgm:spPr/>
    </dgm:pt>
    <dgm:pt modelId="{F38764FF-732B-4B8D-BBC7-3A3978F0328E}" type="pres">
      <dgm:prSet presAssocID="{5EE4DA51-156D-4426-9292-8F820A2A06A2}" presName="bentUpArrow1" presStyleLbl="alignImgPlace1" presStyleIdx="0" presStyleCnt="4" custLinFactY="-61414" custLinFactNeighborX="-28694" custLinFactNeighborY="-100000"/>
      <dgm:spPr/>
    </dgm:pt>
    <dgm:pt modelId="{A0A48FC6-1C8E-4B4F-9DE3-5D601507B72E}" type="pres">
      <dgm:prSet presAssocID="{5EE4DA51-156D-4426-9292-8F820A2A06A2}" presName="ParentText" presStyleLbl="node1" presStyleIdx="0" presStyleCnt="5" custScaleX="147177" custScaleY="183994" custLinFactY="-63078" custLinFactNeighborX="13698" custLinFactNeighborY="-100000">
        <dgm:presLayoutVars>
          <dgm:chMax val="1"/>
          <dgm:chPref val="1"/>
          <dgm:bulletEnabled val="1"/>
        </dgm:presLayoutVars>
      </dgm:prSet>
      <dgm:spPr/>
    </dgm:pt>
    <dgm:pt modelId="{BBB16B03-4AF3-415C-AB25-0109E4114EAF}" type="pres">
      <dgm:prSet presAssocID="{5EE4DA51-156D-4426-9292-8F820A2A06A2}" presName="ChildText" presStyleLbl="revTx" presStyleIdx="0" presStyleCnt="5" custScaleX="253513" custScaleY="59951" custLinFactX="55956" custLinFactY="-100000" custLinFactNeighborX="100000" custLinFactNeighborY="-101670">
        <dgm:presLayoutVars>
          <dgm:chMax val="0"/>
          <dgm:chPref val="0"/>
          <dgm:bulletEnabled val="1"/>
        </dgm:presLayoutVars>
      </dgm:prSet>
      <dgm:spPr/>
    </dgm:pt>
    <dgm:pt modelId="{82301935-7605-4E68-A352-658508DB663F}" type="pres">
      <dgm:prSet presAssocID="{D93C93BE-9133-4120-AD90-FDF10E2C31ED}" presName="sibTrans" presStyleCnt="0"/>
      <dgm:spPr/>
    </dgm:pt>
    <dgm:pt modelId="{18C149D9-425F-476B-AB41-1FD5928D3CD3}" type="pres">
      <dgm:prSet presAssocID="{3558E8A0-8FE7-47D8-BA79-77ACF00F7A39}" presName="composite" presStyleCnt="0"/>
      <dgm:spPr/>
    </dgm:pt>
    <dgm:pt modelId="{EFFD6851-E264-4E0B-BFE8-7923DC98719C}" type="pres">
      <dgm:prSet presAssocID="{3558E8A0-8FE7-47D8-BA79-77ACF00F7A39}" presName="bentUpArrow1" presStyleLbl="alignImgPlace1" presStyleIdx="1" presStyleCnt="4" custLinFactX="-4649" custLinFactNeighborX="-100000" custLinFactNeighborY="-74942"/>
      <dgm:spPr/>
    </dgm:pt>
    <dgm:pt modelId="{11FD1844-4E36-4897-8AC8-EF18079A7BEA}" type="pres">
      <dgm:prSet presAssocID="{3558E8A0-8FE7-47D8-BA79-77ACF00F7A39}" presName="ParentText" presStyleLbl="node1" presStyleIdx="1" presStyleCnt="5" custScaleX="136528" custScaleY="200546" custLinFactY="-17416" custLinFactNeighborX="-39952" custLinFactNeighborY="-100000">
        <dgm:presLayoutVars>
          <dgm:chMax val="1"/>
          <dgm:chPref val="1"/>
          <dgm:bulletEnabled val="1"/>
        </dgm:presLayoutVars>
      </dgm:prSet>
      <dgm:spPr/>
    </dgm:pt>
    <dgm:pt modelId="{DC84E985-6C1E-4ECC-AA93-50BA06DE2E66}" type="pres">
      <dgm:prSet presAssocID="{3558E8A0-8FE7-47D8-BA79-77ACF00F7A39}" presName="ChildText" presStyleLbl="revTx" presStyleIdx="1" presStyleCnt="5" custScaleX="223572" custScaleY="53243" custLinFactY="-61414" custLinFactNeighborX="51793" custLinFactNeighborY="-100000">
        <dgm:presLayoutVars>
          <dgm:chMax val="0"/>
          <dgm:chPref val="0"/>
          <dgm:bulletEnabled val="1"/>
        </dgm:presLayoutVars>
      </dgm:prSet>
      <dgm:spPr/>
    </dgm:pt>
    <dgm:pt modelId="{3E3323D1-8EC1-4ECB-A63E-3AE0335E8F4E}" type="pres">
      <dgm:prSet presAssocID="{DF331806-0E60-483F-AEAB-3C61A8FAD671}" presName="sibTrans" presStyleCnt="0"/>
      <dgm:spPr/>
    </dgm:pt>
    <dgm:pt modelId="{910DDF40-76DA-41BF-9090-DACE42B8D0E2}" type="pres">
      <dgm:prSet presAssocID="{4F71BF99-B106-4BE2-AA75-96BFD34C8276}" presName="composite" presStyleCnt="0"/>
      <dgm:spPr/>
    </dgm:pt>
    <dgm:pt modelId="{31DA1B3F-34F1-402E-9BD9-5EE5DF71CD01}" type="pres">
      <dgm:prSet presAssocID="{4F71BF99-B106-4BE2-AA75-96BFD34C8276}" presName="bentUpArrow1" presStyleLbl="alignImgPlace1" presStyleIdx="2" presStyleCnt="4" custLinFactX="-100000" custLinFactNeighborX="-117738" custLinFactNeighborY="-26902"/>
      <dgm:spPr/>
    </dgm:pt>
    <dgm:pt modelId="{28A2BC89-AA29-4C51-9AF4-B5FF8E31C298}" type="pres">
      <dgm:prSet presAssocID="{4F71BF99-B106-4BE2-AA75-96BFD34C8276}" presName="ParentText" presStyleLbl="node1" presStyleIdx="2" presStyleCnt="5" custScaleX="164050" custScaleY="125267" custLinFactNeighborX="-98168" custLinFactNeighborY="-39139">
        <dgm:presLayoutVars>
          <dgm:chMax val="1"/>
          <dgm:chPref val="1"/>
          <dgm:bulletEnabled val="1"/>
        </dgm:presLayoutVars>
      </dgm:prSet>
      <dgm:spPr/>
    </dgm:pt>
    <dgm:pt modelId="{040FEF8F-1601-4740-81E6-B0674D0144A9}" type="pres">
      <dgm:prSet presAssocID="{4F71BF99-B106-4BE2-AA75-96BFD34C8276}" presName="ChildText" presStyleLbl="revTx" presStyleIdx="2" presStyleCnt="5" custScaleX="442146" custLinFactNeighborX="86321" custLinFactNeighborY="-74654">
        <dgm:presLayoutVars>
          <dgm:chMax val="0"/>
          <dgm:chPref val="0"/>
          <dgm:bulletEnabled val="1"/>
        </dgm:presLayoutVars>
      </dgm:prSet>
      <dgm:spPr/>
    </dgm:pt>
    <dgm:pt modelId="{2BEDDC82-67AC-4A3B-A514-840B9CA43C3E}" type="pres">
      <dgm:prSet presAssocID="{5FAF7100-D3A0-4D92-B235-8243A8129910}" presName="sibTrans" presStyleCnt="0"/>
      <dgm:spPr/>
    </dgm:pt>
    <dgm:pt modelId="{0096B081-7365-40EC-937A-16CEC289BBCE}" type="pres">
      <dgm:prSet presAssocID="{96ADD0A3-8140-4366-8455-80183D9FF75E}" presName="composite" presStyleCnt="0"/>
      <dgm:spPr/>
    </dgm:pt>
    <dgm:pt modelId="{FB7F298A-BF7B-458C-8845-F5FBCBCA4BAC}" type="pres">
      <dgm:prSet presAssocID="{96ADD0A3-8140-4366-8455-80183D9FF75E}" presName="bentUpArrow1" presStyleLbl="alignImgPlace1" presStyleIdx="3" presStyleCnt="4" custLinFactX="-100000" custLinFactNeighborX="-186941" custLinFactNeighborY="15373"/>
      <dgm:spPr/>
    </dgm:pt>
    <dgm:pt modelId="{A49F1C06-0673-497C-B6AC-4FCAC8C470CF}" type="pres">
      <dgm:prSet presAssocID="{96ADD0A3-8140-4366-8455-80183D9FF75E}" presName="ParentText" presStyleLbl="node1" presStyleIdx="3" presStyleCnt="5" custScaleX="148781" custScaleY="118504" custLinFactX="-59809" custLinFactNeighborX="-100000" custLinFactNeighborY="8154">
        <dgm:presLayoutVars>
          <dgm:chMax val="1"/>
          <dgm:chPref val="1"/>
          <dgm:bulletEnabled val="1"/>
        </dgm:presLayoutVars>
      </dgm:prSet>
      <dgm:spPr/>
    </dgm:pt>
    <dgm:pt modelId="{41B92412-8331-4050-A685-ADE222E29D08}" type="pres">
      <dgm:prSet presAssocID="{96ADD0A3-8140-4366-8455-80183D9FF75E}" presName="ChildText" presStyleLbl="revTx" presStyleIdx="3" presStyleCnt="5" custScaleX="314514" custScaleY="79421" custLinFactNeighborX="-67488">
        <dgm:presLayoutVars>
          <dgm:chMax val="0"/>
          <dgm:chPref val="0"/>
          <dgm:bulletEnabled val="1"/>
        </dgm:presLayoutVars>
      </dgm:prSet>
      <dgm:spPr/>
    </dgm:pt>
    <dgm:pt modelId="{6EC49BE3-8B48-483A-92E8-F5649F2372C6}" type="pres">
      <dgm:prSet presAssocID="{E8FA1D65-34AD-4043-8DCD-536E042BA514}" presName="sibTrans" presStyleCnt="0"/>
      <dgm:spPr/>
    </dgm:pt>
    <dgm:pt modelId="{9BDC42B4-F255-4A17-A756-820D70E8C7F7}" type="pres">
      <dgm:prSet presAssocID="{6F866F09-871E-4354-8581-6816A41A0FC9}" presName="composite" presStyleCnt="0"/>
      <dgm:spPr/>
    </dgm:pt>
    <dgm:pt modelId="{DED82036-A912-4953-97C1-5CAAE776EA46}" type="pres">
      <dgm:prSet presAssocID="{6F866F09-871E-4354-8581-6816A41A0FC9}" presName="ParentText" presStyleLbl="node1" presStyleIdx="4" presStyleCnt="5" custScaleX="144277" custScaleY="117737" custLinFactX="-100000" custLinFactNeighborX="-110086" custLinFactNeighborY="28665">
        <dgm:presLayoutVars>
          <dgm:chMax val="1"/>
          <dgm:chPref val="1"/>
          <dgm:bulletEnabled val="1"/>
        </dgm:presLayoutVars>
      </dgm:prSet>
      <dgm:spPr/>
    </dgm:pt>
    <dgm:pt modelId="{6AB04E05-E193-4285-810E-28F2DC5C98CB}" type="pres">
      <dgm:prSet presAssocID="{6F866F09-871E-4354-8581-6816A41A0FC9}" presName="FinalChildText" presStyleLbl="revTx" presStyleIdx="4" presStyleCnt="5" custScaleX="227737" custLinFactX="-73399" custLinFactNeighborX="-100000" custLinFactNeighborY="31575">
        <dgm:presLayoutVars>
          <dgm:chMax val="0"/>
          <dgm:chPref val="0"/>
          <dgm:bulletEnabled val="1"/>
        </dgm:presLayoutVars>
      </dgm:prSet>
      <dgm:spPr/>
    </dgm:pt>
  </dgm:ptLst>
  <dgm:cxnLst>
    <dgm:cxn modelId="{F98ED001-A17E-4EA3-9728-875C6711DC11}" srcId="{5783593E-2575-4A62-ACD8-37C30FDAEDC0}" destId="{3558E8A0-8FE7-47D8-BA79-77ACF00F7A39}" srcOrd="1" destOrd="0" parTransId="{DA15407E-04B6-40EC-855E-38B8107EAE39}" sibTransId="{DF331806-0E60-483F-AEAB-3C61A8FAD671}"/>
    <dgm:cxn modelId="{E5AA8E10-DBF7-42D9-A82B-A2ADDD7C67A5}" type="presOf" srcId="{CFF0B313-A575-437A-8ACA-9C42AB402940}" destId="{41B92412-8331-4050-A685-ADE222E29D08}" srcOrd="0" destOrd="1" presId="urn:microsoft.com/office/officeart/2005/8/layout/StepDownProcess"/>
    <dgm:cxn modelId="{6D2F0E15-3D4F-405D-992A-0C5C3D4C0356}" type="presOf" srcId="{F3875D1D-FB59-44A5-A867-8FBAA243439E}" destId="{040FEF8F-1601-4740-81E6-B0674D0144A9}" srcOrd="0" destOrd="0" presId="urn:microsoft.com/office/officeart/2005/8/layout/StepDownProcess"/>
    <dgm:cxn modelId="{09CE8B15-E51B-4ED3-8F07-D7020CC5FFE4}" srcId="{5EE4DA51-156D-4426-9292-8F820A2A06A2}" destId="{1C1532B3-8BD4-47D0-9E01-1D1ABBFA22D7}" srcOrd="0" destOrd="0" parTransId="{86B1FAAE-69AA-4D2A-81FB-116E674B3BF5}" sibTransId="{0DAABB31-B58B-44C6-A364-66286948BA40}"/>
    <dgm:cxn modelId="{B47F8722-8947-40E6-895F-A2731394D969}" type="presOf" srcId="{96ADD0A3-8140-4366-8455-80183D9FF75E}" destId="{A49F1C06-0673-497C-B6AC-4FCAC8C470CF}" srcOrd="0" destOrd="0" presId="urn:microsoft.com/office/officeart/2005/8/layout/StepDownProcess"/>
    <dgm:cxn modelId="{5E7E9D28-104C-420F-9A95-CD048E2B9290}" type="presOf" srcId="{2B44342C-0F6D-4340-9BEA-21B45BC8F7D8}" destId="{41B92412-8331-4050-A685-ADE222E29D08}" srcOrd="0" destOrd="2" presId="urn:microsoft.com/office/officeart/2005/8/layout/StepDownProcess"/>
    <dgm:cxn modelId="{B9421C39-CBBA-4351-904F-72E625871975}" srcId="{96ADD0A3-8140-4366-8455-80183D9FF75E}" destId="{2B44342C-0F6D-4340-9BEA-21B45BC8F7D8}" srcOrd="2" destOrd="0" parTransId="{C4B0124A-11F1-4636-82AB-1B11819109BB}" sibTransId="{831B83F7-80A5-45FD-B5DE-26C11861F2C4}"/>
    <dgm:cxn modelId="{9842D73F-0D86-4DFF-8932-DDFF650895A3}" type="presOf" srcId="{0A7FF6E9-59DF-44C4-A92A-9BD8DB063949}" destId="{41B92412-8331-4050-A685-ADE222E29D08}" srcOrd="0" destOrd="0" presId="urn:microsoft.com/office/officeart/2005/8/layout/StepDownProcess"/>
    <dgm:cxn modelId="{C8E6D343-6886-4827-A84A-DCE86D577BB3}" srcId="{5783593E-2575-4A62-ACD8-37C30FDAEDC0}" destId="{96ADD0A3-8140-4366-8455-80183D9FF75E}" srcOrd="3" destOrd="0" parTransId="{81CCFE66-ED28-4CDE-B1DA-CA36936CCB0A}" sibTransId="{E8FA1D65-34AD-4043-8DCD-536E042BA514}"/>
    <dgm:cxn modelId="{EE236848-F827-4B3C-B631-302162CF1841}" type="presOf" srcId="{6F866F09-871E-4354-8581-6816A41A0FC9}" destId="{DED82036-A912-4953-97C1-5CAAE776EA46}" srcOrd="0" destOrd="0" presId="urn:microsoft.com/office/officeart/2005/8/layout/StepDownProcess"/>
    <dgm:cxn modelId="{692A5968-F6D0-465A-A42E-D62C8AFBAB84}" srcId="{96ADD0A3-8140-4366-8455-80183D9FF75E}" destId="{CFF0B313-A575-437A-8ACA-9C42AB402940}" srcOrd="1" destOrd="0" parTransId="{3B5DF710-404F-40A4-BC43-7EE493C6054A}" sibTransId="{C60DB327-66E6-419E-A716-9FB17C469F90}"/>
    <dgm:cxn modelId="{41BB904B-58FA-422E-8E5E-605946006BE8}" srcId="{4F71BF99-B106-4BE2-AA75-96BFD34C8276}" destId="{FD5AAA9E-C2C6-40C7-9B35-BAEB3A412D1B}" srcOrd="1" destOrd="0" parTransId="{0FE36CDE-2780-4573-9517-472C2B3E41F3}" sibTransId="{90BFCDA6-E5ED-4118-AB5B-0D352B67DDBF}"/>
    <dgm:cxn modelId="{DFF2B450-A82A-4A7E-A19B-A0F81EA8CDAF}" type="presOf" srcId="{FD5AAA9E-C2C6-40C7-9B35-BAEB3A412D1B}" destId="{040FEF8F-1601-4740-81E6-B0674D0144A9}" srcOrd="0" destOrd="1" presId="urn:microsoft.com/office/officeart/2005/8/layout/StepDownProcess"/>
    <dgm:cxn modelId="{88F92978-4192-4E1C-B920-AD5CE4573756}" type="presOf" srcId="{5783593E-2575-4A62-ACD8-37C30FDAEDC0}" destId="{690EF3BC-F7F2-4282-9E7D-648FC5970A37}" srcOrd="0" destOrd="0" presId="urn:microsoft.com/office/officeart/2005/8/layout/StepDownProcess"/>
    <dgm:cxn modelId="{5307577D-7AEB-4E9D-9581-E1769C089E9F}" type="presOf" srcId="{5EE4DA51-156D-4426-9292-8F820A2A06A2}" destId="{A0A48FC6-1C8E-4B4F-9DE3-5D601507B72E}" srcOrd="0" destOrd="0" presId="urn:microsoft.com/office/officeart/2005/8/layout/StepDownProcess"/>
    <dgm:cxn modelId="{EF19617F-0E32-48DA-98C1-6962103E97C7}" srcId="{5783593E-2575-4A62-ACD8-37C30FDAEDC0}" destId="{6F866F09-871E-4354-8581-6816A41A0FC9}" srcOrd="4" destOrd="0" parTransId="{4859DD34-37EB-489E-805D-EC6FF5EFE8EB}" sibTransId="{AF76A083-2FA8-427E-92FE-5512F2CCF7FF}"/>
    <dgm:cxn modelId="{47D7FB7F-B1B7-4215-88B5-72C2921EF36B}" type="presOf" srcId="{2E637BFF-A9C1-4140-8CC7-831D674FD770}" destId="{DC84E985-6C1E-4ECC-AA93-50BA06DE2E66}" srcOrd="0" destOrd="0" presId="urn:microsoft.com/office/officeart/2005/8/layout/StepDownProcess"/>
    <dgm:cxn modelId="{744CF580-0205-4B22-B61A-A264F691F056}" srcId="{6F866F09-871E-4354-8581-6816A41A0FC9}" destId="{3C0B8A69-BC43-483C-B042-61387F3BA773}" srcOrd="0" destOrd="0" parTransId="{70966161-6EDD-43EF-B047-73BF816E9882}" sibTransId="{92CF9C53-6A84-496F-8742-F7C6B83D42E0}"/>
    <dgm:cxn modelId="{0BF34C83-E2E6-4C3E-9090-EE0EB85150AE}" srcId="{96ADD0A3-8140-4366-8455-80183D9FF75E}" destId="{0A7FF6E9-59DF-44C4-A92A-9BD8DB063949}" srcOrd="0" destOrd="0" parTransId="{3A0EECC9-19A9-4741-A58C-ABAD9D69E6E9}" sibTransId="{F1EF87CE-02DC-44C5-9F56-0C8724678814}"/>
    <dgm:cxn modelId="{189069A6-1484-4F4E-9CB9-B9865F4CE6C5}" srcId="{5783593E-2575-4A62-ACD8-37C30FDAEDC0}" destId="{4F71BF99-B106-4BE2-AA75-96BFD34C8276}" srcOrd="2" destOrd="0" parTransId="{9B2E36DA-855F-478E-9E02-0C5DEF78519B}" sibTransId="{5FAF7100-D3A0-4D92-B235-8243A8129910}"/>
    <dgm:cxn modelId="{3B4232A8-B8C6-46B3-92FB-0F47DA4219A3}" srcId="{4F71BF99-B106-4BE2-AA75-96BFD34C8276}" destId="{F3875D1D-FB59-44A5-A867-8FBAA243439E}" srcOrd="0" destOrd="0" parTransId="{4265EB94-A28A-4247-B3EC-9367C336E7C6}" sibTransId="{E88C3FE2-77D8-44BB-A7AA-4D86F53F8228}"/>
    <dgm:cxn modelId="{35F66FAF-7698-4D8E-A55D-F26CD4C6A350}" type="presOf" srcId="{3558E8A0-8FE7-47D8-BA79-77ACF00F7A39}" destId="{11FD1844-4E36-4897-8AC8-EF18079A7BEA}" srcOrd="0" destOrd="0" presId="urn:microsoft.com/office/officeart/2005/8/layout/StepDownProcess"/>
    <dgm:cxn modelId="{C4ADF4C1-D473-441A-8BA1-5AE3EE04C5D9}" type="presOf" srcId="{4F71BF99-B106-4BE2-AA75-96BFD34C8276}" destId="{28A2BC89-AA29-4C51-9AF4-B5FF8E31C298}" srcOrd="0" destOrd="0" presId="urn:microsoft.com/office/officeart/2005/8/layout/StepDownProcess"/>
    <dgm:cxn modelId="{C27065D1-CDF4-42B8-BEC9-C05EF262E7EB}" srcId="{5783593E-2575-4A62-ACD8-37C30FDAEDC0}" destId="{5EE4DA51-156D-4426-9292-8F820A2A06A2}" srcOrd="0" destOrd="0" parTransId="{4A8226A8-2A1B-4459-9DEB-2C71F0EBDAD5}" sibTransId="{D93C93BE-9133-4120-AD90-FDF10E2C31ED}"/>
    <dgm:cxn modelId="{4210FDD5-0612-413D-AFDC-5EC2FA0A6E5C}" type="presOf" srcId="{3C0B8A69-BC43-483C-B042-61387F3BA773}" destId="{6AB04E05-E193-4285-810E-28F2DC5C98CB}" srcOrd="0" destOrd="0" presId="urn:microsoft.com/office/officeart/2005/8/layout/StepDownProcess"/>
    <dgm:cxn modelId="{F98DB5E7-F9AC-4056-8EE4-760BC5752138}" type="presOf" srcId="{1C1532B3-8BD4-47D0-9E01-1D1ABBFA22D7}" destId="{BBB16B03-4AF3-415C-AB25-0109E4114EAF}" srcOrd="0" destOrd="0" presId="urn:microsoft.com/office/officeart/2005/8/layout/StepDownProcess"/>
    <dgm:cxn modelId="{F40D10FD-0100-4EA6-9CC2-3CE01BA8507B}" srcId="{3558E8A0-8FE7-47D8-BA79-77ACF00F7A39}" destId="{2E637BFF-A9C1-4140-8CC7-831D674FD770}" srcOrd="0" destOrd="0" parTransId="{FB43CE84-EFB3-4102-AE69-543BE390004A}" sibTransId="{8AE3A831-AF1A-4C61-827D-5FFB9129AE30}"/>
    <dgm:cxn modelId="{D50E15E6-465E-4D0A-AE21-F45E36A747F6}" type="presParOf" srcId="{690EF3BC-F7F2-4282-9E7D-648FC5970A37}" destId="{557421E4-39CC-4F90-B199-4AA310795060}" srcOrd="0" destOrd="0" presId="urn:microsoft.com/office/officeart/2005/8/layout/StepDownProcess"/>
    <dgm:cxn modelId="{A23D064D-E6F9-4506-AE72-DCBA0FC0BB34}" type="presParOf" srcId="{557421E4-39CC-4F90-B199-4AA310795060}" destId="{F38764FF-732B-4B8D-BBC7-3A3978F0328E}" srcOrd="0" destOrd="0" presId="urn:microsoft.com/office/officeart/2005/8/layout/StepDownProcess"/>
    <dgm:cxn modelId="{24BA7B8A-50A3-4E13-880B-39D6632A1D6F}" type="presParOf" srcId="{557421E4-39CC-4F90-B199-4AA310795060}" destId="{A0A48FC6-1C8E-4B4F-9DE3-5D601507B72E}" srcOrd="1" destOrd="0" presId="urn:microsoft.com/office/officeart/2005/8/layout/StepDownProcess"/>
    <dgm:cxn modelId="{F49F5874-E699-4DC8-9770-7BC3E4B5FF3D}" type="presParOf" srcId="{557421E4-39CC-4F90-B199-4AA310795060}" destId="{BBB16B03-4AF3-415C-AB25-0109E4114EAF}" srcOrd="2" destOrd="0" presId="urn:microsoft.com/office/officeart/2005/8/layout/StepDownProcess"/>
    <dgm:cxn modelId="{7AF07F5F-E2AA-4363-93EA-A37BD68C182C}" type="presParOf" srcId="{690EF3BC-F7F2-4282-9E7D-648FC5970A37}" destId="{82301935-7605-4E68-A352-658508DB663F}" srcOrd="1" destOrd="0" presId="urn:microsoft.com/office/officeart/2005/8/layout/StepDownProcess"/>
    <dgm:cxn modelId="{56C59A3C-F3A0-48C7-9D99-F4CB8AA26224}" type="presParOf" srcId="{690EF3BC-F7F2-4282-9E7D-648FC5970A37}" destId="{18C149D9-425F-476B-AB41-1FD5928D3CD3}" srcOrd="2" destOrd="0" presId="urn:microsoft.com/office/officeart/2005/8/layout/StepDownProcess"/>
    <dgm:cxn modelId="{78F6F74B-F9C7-464E-AAEA-E81F44B1CF44}" type="presParOf" srcId="{18C149D9-425F-476B-AB41-1FD5928D3CD3}" destId="{EFFD6851-E264-4E0B-BFE8-7923DC98719C}" srcOrd="0" destOrd="0" presId="urn:microsoft.com/office/officeart/2005/8/layout/StepDownProcess"/>
    <dgm:cxn modelId="{DB706738-F9AC-4869-9224-8628F61881B2}" type="presParOf" srcId="{18C149D9-425F-476B-AB41-1FD5928D3CD3}" destId="{11FD1844-4E36-4897-8AC8-EF18079A7BEA}" srcOrd="1" destOrd="0" presId="urn:microsoft.com/office/officeart/2005/8/layout/StepDownProcess"/>
    <dgm:cxn modelId="{6F929043-C3A0-400B-9250-DF44FCDE316D}" type="presParOf" srcId="{18C149D9-425F-476B-AB41-1FD5928D3CD3}" destId="{DC84E985-6C1E-4ECC-AA93-50BA06DE2E66}" srcOrd="2" destOrd="0" presId="urn:microsoft.com/office/officeart/2005/8/layout/StepDownProcess"/>
    <dgm:cxn modelId="{A0244912-FBE5-4080-9A1E-B0B093A7E2DC}" type="presParOf" srcId="{690EF3BC-F7F2-4282-9E7D-648FC5970A37}" destId="{3E3323D1-8EC1-4ECB-A63E-3AE0335E8F4E}" srcOrd="3" destOrd="0" presId="urn:microsoft.com/office/officeart/2005/8/layout/StepDownProcess"/>
    <dgm:cxn modelId="{47E445AA-DD7C-4EFB-99F3-5692E0CECE87}" type="presParOf" srcId="{690EF3BC-F7F2-4282-9E7D-648FC5970A37}" destId="{910DDF40-76DA-41BF-9090-DACE42B8D0E2}" srcOrd="4" destOrd="0" presId="urn:microsoft.com/office/officeart/2005/8/layout/StepDownProcess"/>
    <dgm:cxn modelId="{4AFF9911-8383-4EA1-9B46-913BCF4D9E94}" type="presParOf" srcId="{910DDF40-76DA-41BF-9090-DACE42B8D0E2}" destId="{31DA1B3F-34F1-402E-9BD9-5EE5DF71CD01}" srcOrd="0" destOrd="0" presId="urn:microsoft.com/office/officeart/2005/8/layout/StepDownProcess"/>
    <dgm:cxn modelId="{77FC5F51-141C-478A-9C2C-AE4E101157CB}" type="presParOf" srcId="{910DDF40-76DA-41BF-9090-DACE42B8D0E2}" destId="{28A2BC89-AA29-4C51-9AF4-B5FF8E31C298}" srcOrd="1" destOrd="0" presId="urn:microsoft.com/office/officeart/2005/8/layout/StepDownProcess"/>
    <dgm:cxn modelId="{147801ED-7D61-4AC2-B28B-E0B34C0776AA}" type="presParOf" srcId="{910DDF40-76DA-41BF-9090-DACE42B8D0E2}" destId="{040FEF8F-1601-4740-81E6-B0674D0144A9}" srcOrd="2" destOrd="0" presId="urn:microsoft.com/office/officeart/2005/8/layout/StepDownProcess"/>
    <dgm:cxn modelId="{F969037A-C3EE-4B32-BB89-41B52AE11D59}" type="presParOf" srcId="{690EF3BC-F7F2-4282-9E7D-648FC5970A37}" destId="{2BEDDC82-67AC-4A3B-A514-840B9CA43C3E}" srcOrd="5" destOrd="0" presId="urn:microsoft.com/office/officeart/2005/8/layout/StepDownProcess"/>
    <dgm:cxn modelId="{FCA60CBF-4885-4B1B-8248-C8198EEAEE2F}" type="presParOf" srcId="{690EF3BC-F7F2-4282-9E7D-648FC5970A37}" destId="{0096B081-7365-40EC-937A-16CEC289BBCE}" srcOrd="6" destOrd="0" presId="urn:microsoft.com/office/officeart/2005/8/layout/StepDownProcess"/>
    <dgm:cxn modelId="{15050E16-48B7-40E0-ACC0-DCB5BF1FD9F4}" type="presParOf" srcId="{0096B081-7365-40EC-937A-16CEC289BBCE}" destId="{FB7F298A-BF7B-458C-8845-F5FBCBCA4BAC}" srcOrd="0" destOrd="0" presId="urn:microsoft.com/office/officeart/2005/8/layout/StepDownProcess"/>
    <dgm:cxn modelId="{BD919D07-A357-4198-8064-98D0338883EA}" type="presParOf" srcId="{0096B081-7365-40EC-937A-16CEC289BBCE}" destId="{A49F1C06-0673-497C-B6AC-4FCAC8C470CF}" srcOrd="1" destOrd="0" presId="urn:microsoft.com/office/officeart/2005/8/layout/StepDownProcess"/>
    <dgm:cxn modelId="{AA9B21F4-6B87-42C1-B35E-8DEC33D6CB25}" type="presParOf" srcId="{0096B081-7365-40EC-937A-16CEC289BBCE}" destId="{41B92412-8331-4050-A685-ADE222E29D08}" srcOrd="2" destOrd="0" presId="urn:microsoft.com/office/officeart/2005/8/layout/StepDownProcess"/>
    <dgm:cxn modelId="{4E5CEC86-70AE-4B1D-A5C6-F5623A8B5D46}" type="presParOf" srcId="{690EF3BC-F7F2-4282-9E7D-648FC5970A37}" destId="{6EC49BE3-8B48-483A-92E8-F5649F2372C6}" srcOrd="7" destOrd="0" presId="urn:microsoft.com/office/officeart/2005/8/layout/StepDownProcess"/>
    <dgm:cxn modelId="{6E7D2068-14CC-45C7-B0B7-575B098467C3}" type="presParOf" srcId="{690EF3BC-F7F2-4282-9E7D-648FC5970A37}" destId="{9BDC42B4-F255-4A17-A756-820D70E8C7F7}" srcOrd="8" destOrd="0" presId="urn:microsoft.com/office/officeart/2005/8/layout/StepDownProcess"/>
    <dgm:cxn modelId="{E100A634-882E-4993-B5C5-B79BAF13357C}" type="presParOf" srcId="{9BDC42B4-F255-4A17-A756-820D70E8C7F7}" destId="{DED82036-A912-4953-97C1-5CAAE776EA46}" srcOrd="0" destOrd="0" presId="urn:microsoft.com/office/officeart/2005/8/layout/StepDownProcess"/>
    <dgm:cxn modelId="{B2BED63D-7D60-45EB-9347-E7623D24DC24}" type="presParOf" srcId="{9BDC42B4-F255-4A17-A756-820D70E8C7F7}" destId="{6AB04E05-E193-4285-810E-28F2DC5C98CB}" srcOrd="1" destOrd="0" presId="urn:microsoft.com/office/officeart/2005/8/layout/StepDownProcess"/>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6983B9B-88D3-4E0B-8ED6-EF712AAF98FA}" type="doc">
      <dgm:prSet loTypeId="urn:diagrams.loki3.com/VaryingWidthList" loCatId="officeonline" qsTypeId="urn:microsoft.com/office/officeart/2005/8/quickstyle/simple1" qsCatId="simple" csTypeId="urn:microsoft.com/office/officeart/2005/8/colors/accent1_2" csCatId="accent1" phldr="1"/>
      <dgm:spPr/>
      <dgm:t>
        <a:bodyPr/>
        <a:lstStyle/>
        <a:p>
          <a:endParaRPr lang="en-US"/>
        </a:p>
      </dgm:t>
    </dgm:pt>
    <dgm:pt modelId="{EB09624B-81E5-42CA-B0D2-445FFB26BEB7}">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Identification</a:t>
          </a:r>
        </a:p>
      </dgm:t>
    </dgm:pt>
    <dgm:pt modelId="{0A04BFA1-5E60-4EE8-BD36-3B18755655CA}" type="sibTrans" cxnId="{4A56A933-E624-4D3D-8ABF-911BE7D68CE5}">
      <dgm:prSet/>
      <dgm:spPr/>
      <dgm:t>
        <a:bodyPr/>
        <a:lstStyle/>
        <a:p>
          <a:endParaRPr lang="en-US" sz="1200">
            <a:latin typeface="Times New Roman" panose="02020603050405020304" pitchFamily="18" charset="0"/>
            <a:cs typeface="Times New Roman" panose="02020603050405020304" pitchFamily="18" charset="0"/>
          </a:endParaRPr>
        </a:p>
      </dgm:t>
    </dgm:pt>
    <dgm:pt modelId="{B09115C2-CEDB-4605-B30D-98D060EE8C94}" type="parTrans" cxnId="{4A56A933-E624-4D3D-8ABF-911BE7D68CE5}">
      <dgm:prSet/>
      <dgm:spPr/>
      <dgm:t>
        <a:bodyPr/>
        <a:lstStyle/>
        <a:p>
          <a:endParaRPr lang="en-US" sz="1200">
            <a:latin typeface="Times New Roman" panose="02020603050405020304" pitchFamily="18" charset="0"/>
            <a:cs typeface="Times New Roman" panose="02020603050405020304" pitchFamily="18" charset="0"/>
          </a:endParaRPr>
        </a:p>
      </dgm:t>
    </dgm:pt>
    <dgm:pt modelId="{6FE4511C-2F5C-4244-825E-C08E8911212D}">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Identification of Studies via database</a:t>
          </a:r>
        </a:p>
      </dgm:t>
    </dgm:pt>
    <dgm:pt modelId="{1D392DEA-4093-4498-A29F-6D3BF0DA5EA8}" type="parTrans" cxnId="{AC496000-5222-434E-872F-A77EF81A9E97}">
      <dgm:prSet/>
      <dgm:spPr/>
      <dgm:t>
        <a:bodyPr/>
        <a:lstStyle/>
        <a:p>
          <a:endParaRPr lang="en-US" sz="1200">
            <a:latin typeface="Times New Roman" panose="02020603050405020304" pitchFamily="18" charset="0"/>
            <a:cs typeface="Times New Roman" panose="02020603050405020304" pitchFamily="18" charset="0"/>
          </a:endParaRPr>
        </a:p>
      </dgm:t>
    </dgm:pt>
    <dgm:pt modelId="{091E09E1-DAFC-4695-8EEF-3A13CB477247}" type="sibTrans" cxnId="{AC496000-5222-434E-872F-A77EF81A9E97}">
      <dgm:prSet/>
      <dgm:spPr/>
      <dgm:t>
        <a:bodyPr/>
        <a:lstStyle/>
        <a:p>
          <a:endParaRPr lang="en-US" sz="1200">
            <a:latin typeface="Times New Roman" panose="02020603050405020304" pitchFamily="18" charset="0"/>
            <a:cs typeface="Times New Roman" panose="02020603050405020304" pitchFamily="18" charset="0"/>
          </a:endParaRPr>
        </a:p>
      </dgm:t>
    </dgm:pt>
    <dgm:pt modelId="{68A0BE41-7933-416B-A760-4BE7079D8B46}">
      <dgm:prSe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Screening</a:t>
          </a:r>
        </a:p>
      </dgm:t>
    </dgm:pt>
    <dgm:pt modelId="{67797EEA-075C-4997-82A8-C5D8C1006E7B}" type="parTrans" cxnId="{351CE5B2-FE68-4F85-9BE1-D9A44DA6174C}">
      <dgm:prSet/>
      <dgm:spPr/>
      <dgm:t>
        <a:bodyPr/>
        <a:lstStyle/>
        <a:p>
          <a:endParaRPr lang="en-US" sz="1200">
            <a:latin typeface="Times New Roman" panose="02020603050405020304" pitchFamily="18" charset="0"/>
            <a:cs typeface="Times New Roman" panose="02020603050405020304" pitchFamily="18" charset="0"/>
          </a:endParaRPr>
        </a:p>
      </dgm:t>
    </dgm:pt>
    <dgm:pt modelId="{10F240FE-CC4D-47CA-BBE8-A710640CAF42}" type="sibTrans" cxnId="{351CE5B2-FE68-4F85-9BE1-D9A44DA6174C}">
      <dgm:prSet/>
      <dgm:spPr/>
      <dgm:t>
        <a:bodyPr/>
        <a:lstStyle/>
        <a:p>
          <a:endParaRPr lang="en-US" sz="1200">
            <a:latin typeface="Times New Roman" panose="02020603050405020304" pitchFamily="18" charset="0"/>
            <a:cs typeface="Times New Roman" panose="02020603050405020304" pitchFamily="18" charset="0"/>
          </a:endParaRPr>
        </a:p>
      </dgm:t>
    </dgm:pt>
    <dgm:pt modelId="{4B196FF7-AF40-4E3B-AF97-275CE45B0E8E}">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Records identified from database (N=590)</a:t>
          </a:r>
        </a:p>
        <a:p>
          <a:r>
            <a:rPr lang="en-US" sz="1200">
              <a:latin typeface="Times New Roman" panose="02020603050405020304" pitchFamily="18" charset="0"/>
              <a:cs typeface="Times New Roman" panose="02020603050405020304" pitchFamily="18" charset="0"/>
            </a:rPr>
            <a:t>- Google Scholar (n=121)</a:t>
          </a:r>
        </a:p>
        <a:p>
          <a:r>
            <a:rPr lang="en-US" sz="1200">
              <a:latin typeface="Times New Roman" panose="02020603050405020304" pitchFamily="18" charset="0"/>
              <a:cs typeface="Times New Roman" panose="02020603050405020304" pitchFamily="18" charset="0"/>
            </a:rPr>
            <a:t>-Scopus (n=200)</a:t>
          </a:r>
        </a:p>
        <a:p>
          <a:r>
            <a:rPr lang="en-US" sz="1200">
              <a:latin typeface="Times New Roman" panose="02020603050405020304" pitchFamily="18" charset="0"/>
              <a:cs typeface="Times New Roman" panose="02020603050405020304" pitchFamily="18" charset="0"/>
            </a:rPr>
            <a:t>- Web of Science (n=100)</a:t>
          </a:r>
        </a:p>
        <a:p>
          <a:r>
            <a:rPr lang="en-US" sz="1200">
              <a:latin typeface="Times New Roman" panose="02020603050405020304" pitchFamily="18" charset="0"/>
              <a:cs typeface="Times New Roman" panose="02020603050405020304" pitchFamily="18" charset="0"/>
            </a:rPr>
            <a:t> - ScienceDirect (n=169)</a:t>
          </a:r>
        </a:p>
      </dgm:t>
    </dgm:pt>
    <dgm:pt modelId="{262BA158-8547-4A97-BB63-73900FDFD472}" type="parTrans" cxnId="{EDB7AD0C-29D5-42F6-8E36-D86F555CE4FF}">
      <dgm:prSet/>
      <dgm:spPr/>
      <dgm:t>
        <a:bodyPr/>
        <a:lstStyle/>
        <a:p>
          <a:endParaRPr lang="en-US" sz="1200">
            <a:latin typeface="Times New Roman" panose="02020603050405020304" pitchFamily="18" charset="0"/>
            <a:cs typeface="Times New Roman" panose="02020603050405020304" pitchFamily="18" charset="0"/>
          </a:endParaRPr>
        </a:p>
      </dgm:t>
    </dgm:pt>
    <dgm:pt modelId="{8F3A5280-EA9E-40F6-9B98-84C14873CE8C}" type="sibTrans" cxnId="{EDB7AD0C-29D5-42F6-8E36-D86F555CE4FF}">
      <dgm:prSet/>
      <dgm:spPr/>
      <dgm:t>
        <a:bodyPr/>
        <a:lstStyle/>
        <a:p>
          <a:endParaRPr lang="en-US" sz="1200">
            <a:latin typeface="Times New Roman" panose="02020603050405020304" pitchFamily="18" charset="0"/>
            <a:cs typeface="Times New Roman" panose="02020603050405020304" pitchFamily="18" charset="0"/>
          </a:endParaRPr>
        </a:p>
      </dgm:t>
    </dgm:pt>
    <dgm:pt modelId="{F82015A2-79E7-4E76-BF95-F6CDEC2D73AC}">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Identification of studies via other methods(N=110)</a:t>
          </a:r>
        </a:p>
      </dgm:t>
    </dgm:pt>
    <dgm:pt modelId="{78473EE9-703F-4DEC-83A6-DA6688C3A693}" type="parTrans" cxnId="{7E60DD87-719F-4084-BD6D-4055A03B17E1}">
      <dgm:prSet/>
      <dgm:spPr/>
      <dgm:t>
        <a:bodyPr/>
        <a:lstStyle/>
        <a:p>
          <a:endParaRPr lang="en-US" sz="1200">
            <a:latin typeface="Times New Roman" panose="02020603050405020304" pitchFamily="18" charset="0"/>
            <a:cs typeface="Times New Roman" panose="02020603050405020304" pitchFamily="18" charset="0"/>
          </a:endParaRPr>
        </a:p>
      </dgm:t>
    </dgm:pt>
    <dgm:pt modelId="{A366C384-99AB-4F30-8DA2-A91394D4A026}" type="sibTrans" cxnId="{7E60DD87-719F-4084-BD6D-4055A03B17E1}">
      <dgm:prSet/>
      <dgm:spPr/>
      <dgm:t>
        <a:bodyPr/>
        <a:lstStyle/>
        <a:p>
          <a:endParaRPr lang="en-US" sz="1200">
            <a:latin typeface="Times New Roman" panose="02020603050405020304" pitchFamily="18" charset="0"/>
            <a:cs typeface="Times New Roman" panose="02020603050405020304" pitchFamily="18" charset="0"/>
          </a:endParaRPr>
        </a:p>
      </dgm:t>
    </dgm:pt>
    <dgm:pt modelId="{DE8DBACC-A362-4C84-AC0C-B7F2447168CB}">
      <dgm:prSe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Eligibility</a:t>
          </a:r>
        </a:p>
      </dgm:t>
    </dgm:pt>
    <dgm:pt modelId="{861DAC43-2F02-4EF4-9E81-6C7127E9949F}" type="parTrans" cxnId="{5EAFB11C-B1D8-4310-9612-F713CD36E82A}">
      <dgm:prSet/>
      <dgm:spPr/>
      <dgm:t>
        <a:bodyPr/>
        <a:lstStyle/>
        <a:p>
          <a:endParaRPr lang="en-US" sz="1200">
            <a:latin typeface="Times New Roman" panose="02020603050405020304" pitchFamily="18" charset="0"/>
            <a:cs typeface="Times New Roman" panose="02020603050405020304" pitchFamily="18" charset="0"/>
          </a:endParaRPr>
        </a:p>
      </dgm:t>
    </dgm:pt>
    <dgm:pt modelId="{3A3DE1B4-E8F2-4E40-9163-351F112FF91B}" type="sibTrans" cxnId="{5EAFB11C-B1D8-4310-9612-F713CD36E82A}">
      <dgm:prSet/>
      <dgm:spPr/>
      <dgm:t>
        <a:bodyPr/>
        <a:lstStyle/>
        <a:p>
          <a:endParaRPr lang="en-US" sz="1200">
            <a:latin typeface="Times New Roman" panose="02020603050405020304" pitchFamily="18" charset="0"/>
            <a:cs typeface="Times New Roman" panose="02020603050405020304" pitchFamily="18" charset="0"/>
          </a:endParaRPr>
        </a:p>
      </dgm:t>
    </dgm:pt>
    <dgm:pt modelId="{7488FBAE-06A4-43D7-A7DA-F9C9D4DA4840}">
      <dgm:prSe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Included</a:t>
          </a:r>
        </a:p>
      </dgm:t>
    </dgm:pt>
    <dgm:pt modelId="{C2F7051D-5357-4410-8FA6-4EBF10763D4A}" type="parTrans" cxnId="{F6699B8A-E717-4A41-9B56-759786122C04}">
      <dgm:prSet/>
      <dgm:spPr/>
      <dgm:t>
        <a:bodyPr/>
        <a:lstStyle/>
        <a:p>
          <a:endParaRPr lang="en-US" sz="1200">
            <a:latin typeface="Times New Roman" panose="02020603050405020304" pitchFamily="18" charset="0"/>
            <a:cs typeface="Times New Roman" panose="02020603050405020304" pitchFamily="18" charset="0"/>
          </a:endParaRPr>
        </a:p>
      </dgm:t>
    </dgm:pt>
    <dgm:pt modelId="{92B0E765-5D65-477E-AE2D-FEBDAD88A5E5}" type="sibTrans" cxnId="{F6699B8A-E717-4A41-9B56-759786122C04}">
      <dgm:prSet/>
      <dgm:spPr/>
      <dgm:t>
        <a:bodyPr/>
        <a:lstStyle/>
        <a:p>
          <a:endParaRPr lang="en-US" sz="1200">
            <a:latin typeface="Times New Roman" panose="02020603050405020304" pitchFamily="18" charset="0"/>
            <a:cs typeface="Times New Roman" panose="02020603050405020304" pitchFamily="18" charset="0"/>
          </a:endParaRPr>
        </a:p>
      </dgm:t>
    </dgm:pt>
    <dgm:pt modelId="{7CA55722-959E-401F-8DA0-6FAFDA2873FF}">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 after removing duplicate records (n= 400)</a:t>
          </a:r>
        </a:p>
      </dgm:t>
    </dgm:pt>
    <dgm:pt modelId="{5004ECAC-5BB9-4805-8524-3960FD3F593B}" type="parTrans" cxnId="{DE328F87-C091-4290-8788-10026CFDB60D}">
      <dgm:prSet/>
      <dgm:spPr/>
      <dgm:t>
        <a:bodyPr/>
        <a:lstStyle/>
        <a:p>
          <a:endParaRPr lang="en-US" sz="1200">
            <a:latin typeface="Times New Roman" panose="02020603050405020304" pitchFamily="18" charset="0"/>
            <a:cs typeface="Times New Roman" panose="02020603050405020304" pitchFamily="18" charset="0"/>
          </a:endParaRPr>
        </a:p>
      </dgm:t>
    </dgm:pt>
    <dgm:pt modelId="{572C3C87-572B-452A-AE07-F542E2CA6A82}" type="sibTrans" cxnId="{DE328F87-C091-4290-8788-10026CFDB60D}">
      <dgm:prSet/>
      <dgm:spPr/>
      <dgm:t>
        <a:bodyPr/>
        <a:lstStyle/>
        <a:p>
          <a:endParaRPr lang="en-US" sz="1200">
            <a:latin typeface="Times New Roman" panose="02020603050405020304" pitchFamily="18" charset="0"/>
            <a:cs typeface="Times New Roman" panose="02020603050405020304" pitchFamily="18" charset="0"/>
          </a:endParaRPr>
        </a:p>
      </dgm:t>
    </dgm:pt>
    <dgm:pt modelId="{170519CE-08D3-4BCB-8350-3751A2619F72}">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 eligible for full text, screening on the basis of inclusion and exclusion criteria (n=137)</a:t>
          </a:r>
        </a:p>
      </dgm:t>
    </dgm:pt>
    <dgm:pt modelId="{19347774-8787-43D4-80BD-131367DB87D8}" type="parTrans" cxnId="{A9CE58D6-6AF6-4829-B51D-3F87D834821D}">
      <dgm:prSet/>
      <dgm:spPr/>
      <dgm:t>
        <a:bodyPr/>
        <a:lstStyle/>
        <a:p>
          <a:endParaRPr lang="en-US" sz="1200">
            <a:latin typeface="Times New Roman" panose="02020603050405020304" pitchFamily="18" charset="0"/>
            <a:cs typeface="Times New Roman" panose="02020603050405020304" pitchFamily="18" charset="0"/>
          </a:endParaRPr>
        </a:p>
      </dgm:t>
    </dgm:pt>
    <dgm:pt modelId="{311DDB9F-9C85-4AC4-A1A7-0C3984FC1E47}" type="sibTrans" cxnId="{A9CE58D6-6AF6-4829-B51D-3F87D834821D}">
      <dgm:prSet/>
      <dgm:spPr/>
      <dgm:t>
        <a:bodyPr/>
        <a:lstStyle/>
        <a:p>
          <a:endParaRPr lang="en-US" sz="1200">
            <a:latin typeface="Times New Roman" panose="02020603050405020304" pitchFamily="18" charset="0"/>
            <a:cs typeface="Times New Roman" panose="02020603050405020304" pitchFamily="18" charset="0"/>
          </a:endParaRPr>
        </a:p>
      </dgm:t>
    </dgm:pt>
    <dgm:pt modelId="{22C47242-98AB-42F7-B4AB-35D3C98C11A1}">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 included in the review (n=58) </a:t>
          </a:r>
        </a:p>
      </dgm:t>
    </dgm:pt>
    <dgm:pt modelId="{FB1B78D1-05D1-4B39-AE13-55A9698FD4A6}" type="parTrans" cxnId="{5827E1A4-0A6D-49F2-90E4-DE8DAD4207F1}">
      <dgm:prSet/>
      <dgm:spPr/>
      <dgm:t>
        <a:bodyPr/>
        <a:lstStyle/>
        <a:p>
          <a:endParaRPr lang="en-US" sz="1200">
            <a:latin typeface="Times New Roman" panose="02020603050405020304" pitchFamily="18" charset="0"/>
            <a:cs typeface="Times New Roman" panose="02020603050405020304" pitchFamily="18" charset="0"/>
          </a:endParaRPr>
        </a:p>
      </dgm:t>
    </dgm:pt>
    <dgm:pt modelId="{11D36741-3A66-4C79-897D-D9C6F27E1EBA}" type="sibTrans" cxnId="{5827E1A4-0A6D-49F2-90E4-DE8DAD4207F1}">
      <dgm:prSet/>
      <dgm:spPr/>
      <dgm:t>
        <a:bodyPr/>
        <a:lstStyle/>
        <a:p>
          <a:endParaRPr lang="en-US" sz="1200">
            <a:latin typeface="Times New Roman" panose="02020603050405020304" pitchFamily="18" charset="0"/>
            <a:cs typeface="Times New Roman" panose="02020603050405020304" pitchFamily="18" charset="0"/>
          </a:endParaRPr>
        </a:p>
      </dgm:t>
    </dgm:pt>
    <dgm:pt modelId="{96F5789F-6662-47DE-89DC-74F76A5B1600}">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 Peer-reviewed journal articles (n=67)</a:t>
          </a:r>
        </a:p>
        <a:p>
          <a:r>
            <a:rPr lang="en-US" sz="1200">
              <a:latin typeface="Times New Roman" panose="02020603050405020304" pitchFamily="18" charset="0"/>
              <a:cs typeface="Times New Roman" panose="02020603050405020304" pitchFamily="18" charset="0"/>
            </a:rPr>
            <a:t>- policy reports (n=23) </a:t>
          </a:r>
        </a:p>
        <a:p>
          <a:r>
            <a:rPr lang="en-US" sz="1200">
              <a:latin typeface="Times New Roman" panose="02020603050405020304" pitchFamily="18" charset="0"/>
              <a:cs typeface="Times New Roman" panose="02020603050405020304" pitchFamily="18" charset="0"/>
            </a:rPr>
            <a:t>- Grey literature (n=20)</a:t>
          </a:r>
        </a:p>
      </dgm:t>
    </dgm:pt>
    <dgm:pt modelId="{2481E30C-B588-43A4-9D9D-1E8E964333C9}" type="parTrans" cxnId="{1ABEDA7B-99DE-4164-8938-3A1339F3FD83}">
      <dgm:prSet/>
      <dgm:spPr/>
      <dgm:t>
        <a:bodyPr/>
        <a:lstStyle/>
        <a:p>
          <a:endParaRPr lang="en-US" sz="1200">
            <a:latin typeface="Times New Roman" panose="02020603050405020304" pitchFamily="18" charset="0"/>
            <a:cs typeface="Times New Roman" panose="02020603050405020304" pitchFamily="18" charset="0"/>
          </a:endParaRPr>
        </a:p>
      </dgm:t>
    </dgm:pt>
    <dgm:pt modelId="{D9E43C6F-0847-45A8-9627-77A7317FD5F9}" type="sibTrans" cxnId="{1ABEDA7B-99DE-4164-8938-3A1339F3FD83}">
      <dgm:prSet/>
      <dgm:spPr/>
      <dgm:t>
        <a:bodyPr/>
        <a:lstStyle/>
        <a:p>
          <a:endParaRPr lang="en-US" sz="1200">
            <a:latin typeface="Times New Roman" panose="02020603050405020304" pitchFamily="18" charset="0"/>
            <a:cs typeface="Times New Roman" panose="02020603050405020304" pitchFamily="18" charset="0"/>
          </a:endParaRPr>
        </a:p>
      </dgm:t>
    </dgm:pt>
    <dgm:pt modelId="{334B4FFA-0095-4D86-8EB0-1081C190C929}">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Records excluded:</a:t>
          </a:r>
        </a:p>
        <a:p>
          <a:r>
            <a:rPr lang="en-US" sz="1200">
              <a:latin typeface="Times New Roman" panose="02020603050405020304" pitchFamily="18" charset="0"/>
              <a:cs typeface="Times New Roman" panose="02020603050405020304" pitchFamily="18" charset="0"/>
            </a:rPr>
            <a:t>Articles lacking empirical evidence or case studies, and papers older than 1999 unless highly relevant (n=100)</a:t>
          </a:r>
        </a:p>
      </dgm:t>
    </dgm:pt>
    <dgm:pt modelId="{FA322274-EE4B-4121-A126-E62C170D9A52}" type="parTrans" cxnId="{16102510-B367-4C5A-BBC7-6B9AE921C7BE}">
      <dgm:prSet/>
      <dgm:spPr/>
      <dgm:t>
        <a:bodyPr/>
        <a:lstStyle/>
        <a:p>
          <a:endParaRPr lang="en-US" sz="1200">
            <a:latin typeface="Times New Roman" panose="02020603050405020304" pitchFamily="18" charset="0"/>
            <a:cs typeface="Times New Roman" panose="02020603050405020304" pitchFamily="18" charset="0"/>
          </a:endParaRPr>
        </a:p>
      </dgm:t>
    </dgm:pt>
    <dgm:pt modelId="{E1B582E9-8BC5-4D82-8C54-2C12435D2504}" type="sibTrans" cxnId="{16102510-B367-4C5A-BBC7-6B9AE921C7BE}">
      <dgm:prSet/>
      <dgm:spPr/>
      <dgm:t>
        <a:bodyPr/>
        <a:lstStyle/>
        <a:p>
          <a:endParaRPr lang="en-US" sz="1200">
            <a:latin typeface="Times New Roman" panose="02020603050405020304" pitchFamily="18" charset="0"/>
            <a:cs typeface="Times New Roman" panose="02020603050405020304" pitchFamily="18" charset="0"/>
          </a:endParaRPr>
        </a:p>
      </dgm:t>
    </dgm:pt>
    <dgm:pt modelId="{26A2D0E7-E991-4F0F-9967-14E6AA2F5363}">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a:t>
          </a:r>
          <a:r>
            <a:rPr lang="en-US" sz="1200" baseline="0">
              <a:latin typeface="Times New Roman" panose="02020603050405020304" pitchFamily="18" charset="0"/>
              <a:cs typeface="Times New Roman" panose="02020603050405020304" pitchFamily="18" charset="0"/>
            </a:rPr>
            <a:t> screened on titles and abstract (n= 237)</a:t>
          </a:r>
          <a:endParaRPr lang="en-US" sz="1200">
            <a:latin typeface="Times New Roman" panose="02020603050405020304" pitchFamily="18" charset="0"/>
            <a:cs typeface="Times New Roman" panose="02020603050405020304" pitchFamily="18" charset="0"/>
          </a:endParaRPr>
        </a:p>
      </dgm:t>
    </dgm:pt>
    <dgm:pt modelId="{547C96B4-E786-47AD-9A6D-28F5D8141D4D}" type="parTrans" cxnId="{2DFFE9B2-C7E2-4BD3-83B7-085CB5342D10}">
      <dgm:prSet/>
      <dgm:spPr/>
      <dgm:t>
        <a:bodyPr/>
        <a:lstStyle/>
        <a:p>
          <a:endParaRPr lang="en-US" sz="1200">
            <a:latin typeface="Times New Roman" panose="02020603050405020304" pitchFamily="18" charset="0"/>
            <a:cs typeface="Times New Roman" panose="02020603050405020304" pitchFamily="18" charset="0"/>
          </a:endParaRPr>
        </a:p>
      </dgm:t>
    </dgm:pt>
    <dgm:pt modelId="{67788B55-A9F9-49E2-82B1-B8BF00AB7D79}" type="sibTrans" cxnId="{2DFFE9B2-C7E2-4BD3-83B7-085CB5342D10}">
      <dgm:prSet/>
      <dgm:spPr/>
      <dgm:t>
        <a:bodyPr/>
        <a:lstStyle/>
        <a:p>
          <a:endParaRPr lang="en-US" sz="1200">
            <a:latin typeface="Times New Roman" panose="02020603050405020304" pitchFamily="18" charset="0"/>
            <a:cs typeface="Times New Roman" panose="02020603050405020304" pitchFamily="18" charset="0"/>
          </a:endParaRPr>
        </a:p>
      </dgm:t>
    </dgm:pt>
    <dgm:pt modelId="{438F985C-F77C-4388-B112-3799A4287275}">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Full-text versions of the selected studies were assessed based on the following inclusion criteria: </a:t>
          </a:r>
        </a:p>
        <a:p>
          <a:r>
            <a:rPr lang="en-US" sz="1200">
              <a:latin typeface="Times New Roman" panose="02020603050405020304" pitchFamily="18" charset="0"/>
              <a:cs typeface="Times New Roman" panose="02020603050405020304" pitchFamily="18" charset="0"/>
            </a:rPr>
            <a:t>-Explicit discussion of urban sprawl </a:t>
          </a:r>
        </a:p>
        <a:p>
          <a:r>
            <a:rPr lang="en-US" sz="1200">
              <a:latin typeface="Times New Roman" panose="02020603050405020304" pitchFamily="18" charset="0"/>
              <a:cs typeface="Times New Roman" panose="02020603050405020304" pitchFamily="18" charset="0"/>
            </a:rPr>
            <a:t>- Effects on sustainable development</a:t>
          </a:r>
        </a:p>
        <a:p>
          <a:r>
            <a:rPr lang="en-US" sz="1200">
              <a:latin typeface="Times New Roman" panose="02020603050405020304" pitchFamily="18" charset="0"/>
              <a:cs typeface="Times New Roman" panose="02020603050405020304" pitchFamily="18" charset="0"/>
            </a:rPr>
            <a:t>(n= 79)</a:t>
          </a:r>
        </a:p>
      </dgm:t>
    </dgm:pt>
    <dgm:pt modelId="{9F577824-6AA0-47CA-BF91-A52E9724E25C}" type="parTrans" cxnId="{7A01C3E5-33A4-43D9-994D-592FC1DBD130}">
      <dgm:prSet/>
      <dgm:spPr/>
      <dgm:t>
        <a:bodyPr/>
        <a:lstStyle/>
        <a:p>
          <a:endParaRPr lang="en-US" sz="1200">
            <a:latin typeface="Times New Roman" panose="02020603050405020304" pitchFamily="18" charset="0"/>
            <a:cs typeface="Times New Roman" panose="02020603050405020304" pitchFamily="18" charset="0"/>
          </a:endParaRPr>
        </a:p>
      </dgm:t>
    </dgm:pt>
    <dgm:pt modelId="{0A89EA0B-2422-43A4-8281-35E3600A1CF7}" type="sibTrans" cxnId="{7A01C3E5-33A4-43D9-994D-592FC1DBD130}">
      <dgm:prSet/>
      <dgm:spPr/>
      <dgm:t>
        <a:bodyPr/>
        <a:lstStyle/>
        <a:p>
          <a:endParaRPr lang="en-US" sz="1200">
            <a:latin typeface="Times New Roman" panose="02020603050405020304" pitchFamily="18" charset="0"/>
            <a:cs typeface="Times New Roman" panose="02020603050405020304" pitchFamily="18" charset="0"/>
          </a:endParaRPr>
        </a:p>
      </dgm:t>
    </dgm:pt>
    <dgm:pt modelId="{4DBFE0E5-1669-4F62-BF8C-267E7A6F79EE}" type="pres">
      <dgm:prSet presAssocID="{36983B9B-88D3-4E0B-8ED6-EF712AAF98FA}" presName="Name0" presStyleCnt="0">
        <dgm:presLayoutVars>
          <dgm:resizeHandles/>
        </dgm:presLayoutVars>
      </dgm:prSet>
      <dgm:spPr/>
    </dgm:pt>
    <dgm:pt modelId="{C51390C0-6C83-49CA-8557-502FA114E969}" type="pres">
      <dgm:prSet presAssocID="{EB09624B-81E5-42CA-B0D2-445FFB26BEB7}" presName="text" presStyleLbl="node1" presStyleIdx="0" presStyleCnt="14" custAng="16200000" custScaleX="116975" custScaleY="36167" custLinFactX="-100000" custLinFactY="216171" custLinFactNeighborX="-187054" custLinFactNeighborY="300000">
        <dgm:presLayoutVars>
          <dgm:bulletEnabled val="1"/>
        </dgm:presLayoutVars>
      </dgm:prSet>
      <dgm:spPr/>
    </dgm:pt>
    <dgm:pt modelId="{E9D0AEEB-9CA2-4B00-B73C-DCC3BB73B667}" type="pres">
      <dgm:prSet presAssocID="{0A04BFA1-5E60-4EE8-BD36-3B18755655CA}" presName="space" presStyleCnt="0"/>
      <dgm:spPr/>
    </dgm:pt>
    <dgm:pt modelId="{55BD9E6A-83EB-49AD-80D4-FA82FA9308DA}" type="pres">
      <dgm:prSet presAssocID="{68A0BE41-7933-416B-A760-4BE7079D8B46}" presName="text" presStyleLbl="node1" presStyleIdx="1" presStyleCnt="14" custAng="16200000" custScaleX="149819" custScaleY="38301" custLinFactX="-158082" custLinFactY="432481" custLinFactNeighborX="-200000" custLinFactNeighborY="500000">
        <dgm:presLayoutVars>
          <dgm:bulletEnabled val="1"/>
        </dgm:presLayoutVars>
      </dgm:prSet>
      <dgm:spPr/>
    </dgm:pt>
    <dgm:pt modelId="{0D475A6E-433E-419D-B657-9E6CAB707606}" type="pres">
      <dgm:prSet presAssocID="{10F240FE-CC4D-47CA-BBE8-A710640CAF42}" presName="space" presStyleCnt="0"/>
      <dgm:spPr/>
    </dgm:pt>
    <dgm:pt modelId="{EFE606ED-598E-4A57-B76B-82334AD268DF}" type="pres">
      <dgm:prSet presAssocID="{DE8DBACC-A362-4C84-AC0C-B7F2447168CB}" presName="text" presStyleLbl="node1" presStyleIdx="2" presStyleCnt="14" custAng="16200000" custScaleX="110550" custScaleY="30996" custLinFactX="-160794" custLinFactY="656528" custLinFactNeighborX="-200000" custLinFactNeighborY="700000">
        <dgm:presLayoutVars>
          <dgm:bulletEnabled val="1"/>
        </dgm:presLayoutVars>
      </dgm:prSet>
      <dgm:spPr/>
    </dgm:pt>
    <dgm:pt modelId="{7C4E21B3-3EBA-4F17-80CF-F3E9E99C164A}" type="pres">
      <dgm:prSet presAssocID="{3A3DE1B4-E8F2-4E40-9163-351F112FF91B}" presName="space" presStyleCnt="0"/>
      <dgm:spPr/>
    </dgm:pt>
    <dgm:pt modelId="{D9041312-89A8-4BA0-9BC8-31EC0B997A26}" type="pres">
      <dgm:prSet presAssocID="{7488FBAE-06A4-43D7-A7DA-F9C9D4DA4840}" presName="text" presStyleLbl="node1" presStyleIdx="3" presStyleCnt="14" custAng="16200000" custScaleX="100518" custScaleY="45038" custLinFactX="-153865" custLinFactY="881141" custLinFactNeighborX="-200000" custLinFactNeighborY="900000">
        <dgm:presLayoutVars>
          <dgm:bulletEnabled val="1"/>
        </dgm:presLayoutVars>
      </dgm:prSet>
      <dgm:spPr/>
    </dgm:pt>
    <dgm:pt modelId="{A42AEFF9-5425-445E-8E34-590769246BC3}" type="pres">
      <dgm:prSet presAssocID="{92B0E765-5D65-477E-AE2D-FEBDAD88A5E5}" presName="space" presStyleCnt="0"/>
      <dgm:spPr/>
    </dgm:pt>
    <dgm:pt modelId="{66724738-4DA2-48B6-A2AD-F5B827224724}" type="pres">
      <dgm:prSet presAssocID="{6FE4511C-2F5C-4244-825E-C08E8911212D}" presName="text" presStyleLbl="node1" presStyleIdx="4" presStyleCnt="14" custAng="10800000" custFlipVert="1" custScaleX="109861" custScaleY="54199" custLinFactY="-133331" custLinFactNeighborX="-50245" custLinFactNeighborY="-200000">
        <dgm:presLayoutVars>
          <dgm:bulletEnabled val="1"/>
        </dgm:presLayoutVars>
      </dgm:prSet>
      <dgm:spPr/>
    </dgm:pt>
    <dgm:pt modelId="{E3FB06E5-C7F0-4128-9FA5-3CC73502FFC5}" type="pres">
      <dgm:prSet presAssocID="{091E09E1-DAFC-4695-8EEF-3A13CB477247}" presName="space" presStyleCnt="0"/>
      <dgm:spPr/>
    </dgm:pt>
    <dgm:pt modelId="{82D020EB-199C-40DA-9F2F-1F35F5F779DF}" type="pres">
      <dgm:prSet presAssocID="{96F5789F-6662-47DE-89DC-74F76A5B1600}" presName="text" presStyleLbl="node1" presStyleIdx="5" presStyleCnt="14" custScaleY="130453" custLinFactX="6405" custLinFactY="114631" custLinFactNeighborX="100000" custLinFactNeighborY="200000">
        <dgm:presLayoutVars>
          <dgm:bulletEnabled val="1"/>
        </dgm:presLayoutVars>
      </dgm:prSet>
      <dgm:spPr/>
    </dgm:pt>
    <dgm:pt modelId="{E416AA08-D4AF-41AA-A087-F171A2030A76}" type="pres">
      <dgm:prSet presAssocID="{D9E43C6F-0847-45A8-9627-77A7317FD5F9}" presName="space" presStyleCnt="0"/>
      <dgm:spPr/>
    </dgm:pt>
    <dgm:pt modelId="{84A4BF0D-B36D-4FE9-A4F0-618CEEFCCBBF}" type="pres">
      <dgm:prSet presAssocID="{334B4FFA-0095-4D86-8EB0-1081C190C929}" presName="text" presStyleLbl="node1" presStyleIdx="6" presStyleCnt="14" custScaleX="97932" custScaleY="133565" custLinFactY="151325" custLinFactNeighborX="61942" custLinFactNeighborY="200000">
        <dgm:presLayoutVars>
          <dgm:bulletEnabled val="1"/>
        </dgm:presLayoutVars>
      </dgm:prSet>
      <dgm:spPr/>
    </dgm:pt>
    <dgm:pt modelId="{4CE9729C-AFC6-4D2B-9033-2681948B68A6}" type="pres">
      <dgm:prSet presAssocID="{E1B582E9-8BC5-4D82-8C54-2C12435D2504}" presName="space" presStyleCnt="0"/>
      <dgm:spPr/>
    </dgm:pt>
    <dgm:pt modelId="{ED328E99-09FB-42F0-A6AC-C541DDFD689E}" type="pres">
      <dgm:prSet presAssocID="{26A2D0E7-E991-4F0F-9967-14E6AA2F5363}" presName="text" presStyleLbl="node1" presStyleIdx="7" presStyleCnt="14" custScaleX="146397" custScaleY="89443" custLinFactX="-4515" custLinFactY="38878" custLinFactNeighborX="-100000" custLinFactNeighborY="100000">
        <dgm:presLayoutVars>
          <dgm:bulletEnabled val="1"/>
        </dgm:presLayoutVars>
      </dgm:prSet>
      <dgm:spPr/>
    </dgm:pt>
    <dgm:pt modelId="{031F3453-0CAE-4EF4-AB95-501B2C88C93E}" type="pres">
      <dgm:prSet presAssocID="{67788B55-A9F9-49E2-82B1-B8BF00AB7D79}" presName="space" presStyleCnt="0"/>
      <dgm:spPr/>
    </dgm:pt>
    <dgm:pt modelId="{32747F51-A642-431C-B99A-B8662A5C2212}" type="pres">
      <dgm:prSet presAssocID="{438F985C-F77C-4388-B112-3799A4287275}" presName="text" presStyleLbl="node1" presStyleIdx="8" presStyleCnt="14" custScaleX="89946" custScaleY="271355" custLinFactY="162488" custLinFactNeighborX="65253" custLinFactNeighborY="200000">
        <dgm:presLayoutVars>
          <dgm:bulletEnabled val="1"/>
        </dgm:presLayoutVars>
      </dgm:prSet>
      <dgm:spPr/>
    </dgm:pt>
    <dgm:pt modelId="{A2C41373-EC54-4EBB-BD47-3392E7561A77}" type="pres">
      <dgm:prSet presAssocID="{0A89EA0B-2422-43A4-8281-35E3600A1CF7}" presName="space" presStyleCnt="0"/>
      <dgm:spPr/>
    </dgm:pt>
    <dgm:pt modelId="{6C4AD84F-9C34-4D70-AD1D-29C64D5C5BAA}" type="pres">
      <dgm:prSet presAssocID="{4B196FF7-AF40-4E3B-AF97-275CE45B0E8E}" presName="text" presStyleLbl="node1" presStyleIdx="9" presStyleCnt="14" custScaleX="148228" custScaleY="208784" custLinFactY="-698975" custLinFactNeighborX="-62049" custLinFactNeighborY="-700000">
        <dgm:presLayoutVars>
          <dgm:bulletEnabled val="1"/>
        </dgm:presLayoutVars>
      </dgm:prSet>
      <dgm:spPr/>
    </dgm:pt>
    <dgm:pt modelId="{E498449D-786B-4265-BEF6-087A4A91B16A}" type="pres">
      <dgm:prSet presAssocID="{8F3A5280-EA9E-40F6-9B98-84C14873CE8C}" presName="space" presStyleCnt="0"/>
      <dgm:spPr/>
    </dgm:pt>
    <dgm:pt modelId="{B5D0923D-9F34-46AD-AF46-DBB6483E59E9}" type="pres">
      <dgm:prSet presAssocID="{7CA55722-959E-401F-8DA0-6FAFDA2873FF}" presName="text" presStyleLbl="node1" presStyleIdx="10" presStyleCnt="14" custScaleX="71477" custScaleY="57148" custLinFactY="-617660" custLinFactNeighborX="-35467" custLinFactNeighborY="-700000">
        <dgm:presLayoutVars>
          <dgm:bulletEnabled val="1"/>
        </dgm:presLayoutVars>
      </dgm:prSet>
      <dgm:spPr/>
    </dgm:pt>
    <dgm:pt modelId="{2EDC9558-7208-4118-8F86-C4BF5EA3387B}" type="pres">
      <dgm:prSet presAssocID="{572C3C87-572B-452A-AE07-F542E2CA6A82}" presName="space" presStyleCnt="0"/>
      <dgm:spPr/>
    </dgm:pt>
    <dgm:pt modelId="{61C31C94-D042-4F1C-80A6-54982C0024AE}" type="pres">
      <dgm:prSet presAssocID="{170519CE-08D3-4BCB-8350-3751A2619F72}" presName="text" presStyleLbl="node1" presStyleIdx="11" presStyleCnt="14" custScaleX="105696" custScaleY="99182" custLinFactY="-349715" custLinFactNeighborX="-50682" custLinFactNeighborY="-400000">
        <dgm:presLayoutVars>
          <dgm:bulletEnabled val="1"/>
        </dgm:presLayoutVars>
      </dgm:prSet>
      <dgm:spPr/>
    </dgm:pt>
    <dgm:pt modelId="{606EEE07-F0B6-43CC-A2B4-F36399FAF123}" type="pres">
      <dgm:prSet presAssocID="{311DDB9F-9C85-4AC4-A1A7-0C3984FC1E47}" presName="space" presStyleCnt="0"/>
      <dgm:spPr/>
    </dgm:pt>
    <dgm:pt modelId="{F52DA6B7-757E-4562-9E87-CE9A31E108D4}" type="pres">
      <dgm:prSet presAssocID="{22C47242-98AB-42F7-B4AB-35D3C98C11A1}" presName="text" presStyleLbl="node1" presStyleIdx="12" presStyleCnt="14" custScaleX="110245" custScaleY="51450" custLinFactY="-192265" custLinFactNeighborX="-44626" custLinFactNeighborY="-200000">
        <dgm:presLayoutVars>
          <dgm:bulletEnabled val="1"/>
        </dgm:presLayoutVars>
      </dgm:prSet>
      <dgm:spPr/>
    </dgm:pt>
    <dgm:pt modelId="{D874EE60-0A69-47DC-B987-A5B062F33CE5}" type="pres">
      <dgm:prSet presAssocID="{11D36741-3A66-4C79-897D-D9C6F27E1EBA}" presName="space" presStyleCnt="0"/>
      <dgm:spPr/>
    </dgm:pt>
    <dgm:pt modelId="{67DCF43D-9AC3-4B26-A223-73A52F3EE481}" type="pres">
      <dgm:prSet presAssocID="{F82015A2-79E7-4E76-BF95-F6CDEC2D73AC}" presName="text" presStyleLbl="node1" presStyleIdx="13" presStyleCnt="14" custScaleX="58729" custScaleY="53962" custLinFactY="-1223584" custLinFactNeighborX="59872" custLinFactNeighborY="-1300000">
        <dgm:presLayoutVars>
          <dgm:bulletEnabled val="1"/>
        </dgm:presLayoutVars>
      </dgm:prSet>
      <dgm:spPr/>
    </dgm:pt>
  </dgm:ptLst>
  <dgm:cxnLst>
    <dgm:cxn modelId="{AC496000-5222-434E-872F-A77EF81A9E97}" srcId="{36983B9B-88D3-4E0B-8ED6-EF712AAF98FA}" destId="{6FE4511C-2F5C-4244-825E-C08E8911212D}" srcOrd="4" destOrd="0" parTransId="{1D392DEA-4093-4498-A29F-6D3BF0DA5EA8}" sibTransId="{091E09E1-DAFC-4695-8EEF-3A13CB477247}"/>
    <dgm:cxn modelId="{EDB7AD0C-29D5-42F6-8E36-D86F555CE4FF}" srcId="{36983B9B-88D3-4E0B-8ED6-EF712AAF98FA}" destId="{4B196FF7-AF40-4E3B-AF97-275CE45B0E8E}" srcOrd="9" destOrd="0" parTransId="{262BA158-8547-4A97-BB63-73900FDFD472}" sibTransId="{8F3A5280-EA9E-40F6-9B98-84C14873CE8C}"/>
    <dgm:cxn modelId="{16102510-B367-4C5A-BBC7-6B9AE921C7BE}" srcId="{36983B9B-88D3-4E0B-8ED6-EF712AAF98FA}" destId="{334B4FFA-0095-4D86-8EB0-1081C190C929}" srcOrd="6" destOrd="0" parTransId="{FA322274-EE4B-4121-A126-E62C170D9A52}" sibTransId="{E1B582E9-8BC5-4D82-8C54-2C12435D2504}"/>
    <dgm:cxn modelId="{5EAFB11C-B1D8-4310-9612-F713CD36E82A}" srcId="{36983B9B-88D3-4E0B-8ED6-EF712AAF98FA}" destId="{DE8DBACC-A362-4C84-AC0C-B7F2447168CB}" srcOrd="2" destOrd="0" parTransId="{861DAC43-2F02-4EF4-9E81-6C7127E9949F}" sibTransId="{3A3DE1B4-E8F2-4E40-9163-351F112FF91B}"/>
    <dgm:cxn modelId="{91939E29-EA0D-407D-BBD9-ED7BA8480428}" type="presOf" srcId="{7488FBAE-06A4-43D7-A7DA-F9C9D4DA4840}" destId="{D9041312-89A8-4BA0-9BC8-31EC0B997A26}" srcOrd="0" destOrd="0" presId="urn:diagrams.loki3.com/VaryingWidthList"/>
    <dgm:cxn modelId="{4A56A933-E624-4D3D-8ABF-911BE7D68CE5}" srcId="{36983B9B-88D3-4E0B-8ED6-EF712AAF98FA}" destId="{EB09624B-81E5-42CA-B0D2-445FFB26BEB7}" srcOrd="0" destOrd="0" parTransId="{B09115C2-CEDB-4605-B30D-98D060EE8C94}" sibTransId="{0A04BFA1-5E60-4EE8-BD36-3B18755655CA}"/>
    <dgm:cxn modelId="{4995ED47-8F28-4B23-BE53-CEEFA81C776B}" type="presOf" srcId="{438F985C-F77C-4388-B112-3799A4287275}" destId="{32747F51-A642-431C-B99A-B8662A5C2212}" srcOrd="0" destOrd="0" presId="urn:diagrams.loki3.com/VaryingWidthList"/>
    <dgm:cxn modelId="{DCF0206A-AA1C-41E8-AD37-142B134D78F2}" type="presOf" srcId="{F82015A2-79E7-4E76-BF95-F6CDEC2D73AC}" destId="{67DCF43D-9AC3-4B26-A223-73A52F3EE481}" srcOrd="0" destOrd="0" presId="urn:diagrams.loki3.com/VaryingWidthList"/>
    <dgm:cxn modelId="{711BCA72-DDA9-460B-BF64-7602D901C8C9}" type="presOf" srcId="{22C47242-98AB-42F7-B4AB-35D3C98C11A1}" destId="{F52DA6B7-757E-4562-9E87-CE9A31E108D4}" srcOrd="0" destOrd="0" presId="urn:diagrams.loki3.com/VaryingWidthList"/>
    <dgm:cxn modelId="{2E83AB79-4016-48A1-BCBE-29DB3C36314E}" type="presOf" srcId="{DE8DBACC-A362-4C84-AC0C-B7F2447168CB}" destId="{EFE606ED-598E-4A57-B76B-82334AD268DF}" srcOrd="0" destOrd="0" presId="urn:diagrams.loki3.com/VaryingWidthList"/>
    <dgm:cxn modelId="{1ABEDA7B-99DE-4164-8938-3A1339F3FD83}" srcId="{36983B9B-88D3-4E0B-8ED6-EF712AAF98FA}" destId="{96F5789F-6662-47DE-89DC-74F76A5B1600}" srcOrd="5" destOrd="0" parTransId="{2481E30C-B588-43A4-9D9D-1E8E964333C9}" sibTransId="{D9E43C6F-0847-45A8-9627-77A7317FD5F9}"/>
    <dgm:cxn modelId="{DE328F87-C091-4290-8788-10026CFDB60D}" srcId="{36983B9B-88D3-4E0B-8ED6-EF712AAF98FA}" destId="{7CA55722-959E-401F-8DA0-6FAFDA2873FF}" srcOrd="10" destOrd="0" parTransId="{5004ECAC-5BB9-4805-8524-3960FD3F593B}" sibTransId="{572C3C87-572B-452A-AE07-F542E2CA6A82}"/>
    <dgm:cxn modelId="{7E60DD87-719F-4084-BD6D-4055A03B17E1}" srcId="{36983B9B-88D3-4E0B-8ED6-EF712AAF98FA}" destId="{F82015A2-79E7-4E76-BF95-F6CDEC2D73AC}" srcOrd="13" destOrd="0" parTransId="{78473EE9-703F-4DEC-83A6-DA6688C3A693}" sibTransId="{A366C384-99AB-4F30-8DA2-A91394D4A026}"/>
    <dgm:cxn modelId="{F6699B8A-E717-4A41-9B56-759786122C04}" srcId="{36983B9B-88D3-4E0B-8ED6-EF712AAF98FA}" destId="{7488FBAE-06A4-43D7-A7DA-F9C9D4DA4840}" srcOrd="3" destOrd="0" parTransId="{C2F7051D-5357-4410-8FA6-4EBF10763D4A}" sibTransId="{92B0E765-5D65-477E-AE2D-FEBDAD88A5E5}"/>
    <dgm:cxn modelId="{05B4A390-F408-4387-A1FD-D95482D3F9CE}" type="presOf" srcId="{96F5789F-6662-47DE-89DC-74F76A5B1600}" destId="{82D020EB-199C-40DA-9F2F-1F35F5F779DF}" srcOrd="0" destOrd="0" presId="urn:diagrams.loki3.com/VaryingWidthList"/>
    <dgm:cxn modelId="{3F29C49D-A74C-4FC8-AF5D-846866B59001}" type="presOf" srcId="{36983B9B-88D3-4E0B-8ED6-EF712AAF98FA}" destId="{4DBFE0E5-1669-4F62-BF8C-267E7A6F79EE}" srcOrd="0" destOrd="0" presId="urn:diagrams.loki3.com/VaryingWidthList"/>
    <dgm:cxn modelId="{C605B29F-B590-450D-9DEC-62F27BAEA75D}" type="presOf" srcId="{4B196FF7-AF40-4E3B-AF97-275CE45B0E8E}" destId="{6C4AD84F-9C34-4D70-AD1D-29C64D5C5BAA}" srcOrd="0" destOrd="0" presId="urn:diagrams.loki3.com/VaryingWidthList"/>
    <dgm:cxn modelId="{5827E1A4-0A6D-49F2-90E4-DE8DAD4207F1}" srcId="{36983B9B-88D3-4E0B-8ED6-EF712AAF98FA}" destId="{22C47242-98AB-42F7-B4AB-35D3C98C11A1}" srcOrd="12" destOrd="0" parTransId="{FB1B78D1-05D1-4B39-AE13-55A9698FD4A6}" sibTransId="{11D36741-3A66-4C79-897D-D9C6F27E1EBA}"/>
    <dgm:cxn modelId="{37BF2CA6-CBE1-489A-B495-8948076C48CE}" type="presOf" srcId="{6FE4511C-2F5C-4244-825E-C08E8911212D}" destId="{66724738-4DA2-48B6-A2AD-F5B827224724}" srcOrd="0" destOrd="0" presId="urn:diagrams.loki3.com/VaryingWidthList"/>
    <dgm:cxn modelId="{F152D2A8-52E4-400B-A090-EA0B21EF1868}" type="presOf" srcId="{68A0BE41-7933-416B-A760-4BE7079D8B46}" destId="{55BD9E6A-83EB-49AD-80D4-FA82FA9308DA}" srcOrd="0" destOrd="0" presId="urn:diagrams.loki3.com/VaryingWidthList"/>
    <dgm:cxn modelId="{64E637AC-5C50-4DEE-BC92-37C0AEC7E189}" type="presOf" srcId="{170519CE-08D3-4BCB-8350-3751A2619F72}" destId="{61C31C94-D042-4F1C-80A6-54982C0024AE}" srcOrd="0" destOrd="0" presId="urn:diagrams.loki3.com/VaryingWidthList"/>
    <dgm:cxn modelId="{351CE5B2-FE68-4F85-9BE1-D9A44DA6174C}" srcId="{36983B9B-88D3-4E0B-8ED6-EF712AAF98FA}" destId="{68A0BE41-7933-416B-A760-4BE7079D8B46}" srcOrd="1" destOrd="0" parTransId="{67797EEA-075C-4997-82A8-C5D8C1006E7B}" sibTransId="{10F240FE-CC4D-47CA-BBE8-A710640CAF42}"/>
    <dgm:cxn modelId="{2DFFE9B2-C7E2-4BD3-83B7-085CB5342D10}" srcId="{36983B9B-88D3-4E0B-8ED6-EF712AAF98FA}" destId="{26A2D0E7-E991-4F0F-9967-14E6AA2F5363}" srcOrd="7" destOrd="0" parTransId="{547C96B4-E786-47AD-9A6D-28F5D8141D4D}" sibTransId="{67788B55-A9F9-49E2-82B1-B8BF00AB7D79}"/>
    <dgm:cxn modelId="{CBE555BE-420E-4004-9944-49F442198243}" type="presOf" srcId="{7CA55722-959E-401F-8DA0-6FAFDA2873FF}" destId="{B5D0923D-9F34-46AD-AF46-DBB6483E59E9}" srcOrd="0" destOrd="0" presId="urn:diagrams.loki3.com/VaryingWidthList"/>
    <dgm:cxn modelId="{F537C3CE-0BF7-458A-B3F0-8B78CABE9DD6}" type="presOf" srcId="{EB09624B-81E5-42CA-B0D2-445FFB26BEB7}" destId="{C51390C0-6C83-49CA-8557-502FA114E969}" srcOrd="0" destOrd="0" presId="urn:diagrams.loki3.com/VaryingWidthList"/>
    <dgm:cxn modelId="{A9CE58D6-6AF6-4829-B51D-3F87D834821D}" srcId="{36983B9B-88D3-4E0B-8ED6-EF712AAF98FA}" destId="{170519CE-08D3-4BCB-8350-3751A2619F72}" srcOrd="11" destOrd="0" parTransId="{19347774-8787-43D4-80BD-131367DB87D8}" sibTransId="{311DDB9F-9C85-4AC4-A1A7-0C3984FC1E47}"/>
    <dgm:cxn modelId="{691D1BDE-A60D-4469-8BB6-EC36D4CB7D66}" type="presOf" srcId="{334B4FFA-0095-4D86-8EB0-1081C190C929}" destId="{84A4BF0D-B36D-4FE9-A4F0-618CEEFCCBBF}" srcOrd="0" destOrd="0" presId="urn:diagrams.loki3.com/VaryingWidthList"/>
    <dgm:cxn modelId="{101495E2-9222-41B6-A789-159FCB2F81A4}" type="presOf" srcId="{26A2D0E7-E991-4F0F-9967-14E6AA2F5363}" destId="{ED328E99-09FB-42F0-A6AC-C541DDFD689E}" srcOrd="0" destOrd="0" presId="urn:diagrams.loki3.com/VaryingWidthList"/>
    <dgm:cxn modelId="{7A01C3E5-33A4-43D9-994D-592FC1DBD130}" srcId="{36983B9B-88D3-4E0B-8ED6-EF712AAF98FA}" destId="{438F985C-F77C-4388-B112-3799A4287275}" srcOrd="8" destOrd="0" parTransId="{9F577824-6AA0-47CA-BF91-A52E9724E25C}" sibTransId="{0A89EA0B-2422-43A4-8281-35E3600A1CF7}"/>
    <dgm:cxn modelId="{578D0CC4-CAD6-4FE1-9478-31189067F56C}" type="presParOf" srcId="{4DBFE0E5-1669-4F62-BF8C-267E7A6F79EE}" destId="{C51390C0-6C83-49CA-8557-502FA114E969}" srcOrd="0" destOrd="0" presId="urn:diagrams.loki3.com/VaryingWidthList"/>
    <dgm:cxn modelId="{76B982C4-FE3F-4184-98F3-DB0B3DFAA19E}" type="presParOf" srcId="{4DBFE0E5-1669-4F62-BF8C-267E7A6F79EE}" destId="{E9D0AEEB-9CA2-4B00-B73C-DCC3BB73B667}" srcOrd="1" destOrd="0" presId="urn:diagrams.loki3.com/VaryingWidthList"/>
    <dgm:cxn modelId="{D2BD1D36-5157-4660-AE37-EF49BE1F7B67}" type="presParOf" srcId="{4DBFE0E5-1669-4F62-BF8C-267E7A6F79EE}" destId="{55BD9E6A-83EB-49AD-80D4-FA82FA9308DA}" srcOrd="2" destOrd="0" presId="urn:diagrams.loki3.com/VaryingWidthList"/>
    <dgm:cxn modelId="{D1E40592-A945-4230-9101-9D89AEA6FAD0}" type="presParOf" srcId="{4DBFE0E5-1669-4F62-BF8C-267E7A6F79EE}" destId="{0D475A6E-433E-419D-B657-9E6CAB707606}" srcOrd="3" destOrd="0" presId="urn:diagrams.loki3.com/VaryingWidthList"/>
    <dgm:cxn modelId="{755FE624-54D0-42A3-965C-02B504321441}" type="presParOf" srcId="{4DBFE0E5-1669-4F62-BF8C-267E7A6F79EE}" destId="{EFE606ED-598E-4A57-B76B-82334AD268DF}" srcOrd="4" destOrd="0" presId="urn:diagrams.loki3.com/VaryingWidthList"/>
    <dgm:cxn modelId="{C709D760-66BC-4078-AECC-D07F351A0DE6}" type="presParOf" srcId="{4DBFE0E5-1669-4F62-BF8C-267E7A6F79EE}" destId="{7C4E21B3-3EBA-4F17-80CF-F3E9E99C164A}" srcOrd="5" destOrd="0" presId="urn:diagrams.loki3.com/VaryingWidthList"/>
    <dgm:cxn modelId="{D17A3DCE-E38D-4E52-863C-F7E5BF3C08ED}" type="presParOf" srcId="{4DBFE0E5-1669-4F62-BF8C-267E7A6F79EE}" destId="{D9041312-89A8-4BA0-9BC8-31EC0B997A26}" srcOrd="6" destOrd="0" presId="urn:diagrams.loki3.com/VaryingWidthList"/>
    <dgm:cxn modelId="{A2725E97-F0EA-4488-BAD7-1EEDC69D2A55}" type="presParOf" srcId="{4DBFE0E5-1669-4F62-BF8C-267E7A6F79EE}" destId="{A42AEFF9-5425-445E-8E34-590769246BC3}" srcOrd="7" destOrd="0" presId="urn:diagrams.loki3.com/VaryingWidthList"/>
    <dgm:cxn modelId="{D59554F1-FA9B-4395-9228-0522721F229B}" type="presParOf" srcId="{4DBFE0E5-1669-4F62-BF8C-267E7A6F79EE}" destId="{66724738-4DA2-48B6-A2AD-F5B827224724}" srcOrd="8" destOrd="0" presId="urn:diagrams.loki3.com/VaryingWidthList"/>
    <dgm:cxn modelId="{E43E2995-4243-49DE-B5D0-37C796E55419}" type="presParOf" srcId="{4DBFE0E5-1669-4F62-BF8C-267E7A6F79EE}" destId="{E3FB06E5-C7F0-4128-9FA5-3CC73502FFC5}" srcOrd="9" destOrd="0" presId="urn:diagrams.loki3.com/VaryingWidthList"/>
    <dgm:cxn modelId="{4ABFBF79-7F70-4381-8D47-69E4C081CFB7}" type="presParOf" srcId="{4DBFE0E5-1669-4F62-BF8C-267E7A6F79EE}" destId="{82D020EB-199C-40DA-9F2F-1F35F5F779DF}" srcOrd="10" destOrd="0" presId="urn:diagrams.loki3.com/VaryingWidthList"/>
    <dgm:cxn modelId="{24365806-C960-4747-A066-F0ADF0CCFCD1}" type="presParOf" srcId="{4DBFE0E5-1669-4F62-BF8C-267E7A6F79EE}" destId="{E416AA08-D4AF-41AA-A087-F171A2030A76}" srcOrd="11" destOrd="0" presId="urn:diagrams.loki3.com/VaryingWidthList"/>
    <dgm:cxn modelId="{8F5BE8B1-E37E-4266-BDDD-BBE7FB121611}" type="presParOf" srcId="{4DBFE0E5-1669-4F62-BF8C-267E7A6F79EE}" destId="{84A4BF0D-B36D-4FE9-A4F0-618CEEFCCBBF}" srcOrd="12" destOrd="0" presId="urn:diagrams.loki3.com/VaryingWidthList"/>
    <dgm:cxn modelId="{0BA8CA8B-7478-41D8-9E81-8A21D043647D}" type="presParOf" srcId="{4DBFE0E5-1669-4F62-BF8C-267E7A6F79EE}" destId="{4CE9729C-AFC6-4D2B-9033-2681948B68A6}" srcOrd="13" destOrd="0" presId="urn:diagrams.loki3.com/VaryingWidthList"/>
    <dgm:cxn modelId="{65CF55A2-F5B9-41F1-A544-F59FC066A14E}" type="presParOf" srcId="{4DBFE0E5-1669-4F62-BF8C-267E7A6F79EE}" destId="{ED328E99-09FB-42F0-A6AC-C541DDFD689E}" srcOrd="14" destOrd="0" presId="urn:diagrams.loki3.com/VaryingWidthList"/>
    <dgm:cxn modelId="{714DCE89-82F3-4763-84ED-4BC11A319176}" type="presParOf" srcId="{4DBFE0E5-1669-4F62-BF8C-267E7A6F79EE}" destId="{031F3453-0CAE-4EF4-AB95-501B2C88C93E}" srcOrd="15" destOrd="0" presId="urn:diagrams.loki3.com/VaryingWidthList"/>
    <dgm:cxn modelId="{3824CD45-92C7-4EB9-ABCE-10CCDBC3ADC1}" type="presParOf" srcId="{4DBFE0E5-1669-4F62-BF8C-267E7A6F79EE}" destId="{32747F51-A642-431C-B99A-B8662A5C2212}" srcOrd="16" destOrd="0" presId="urn:diagrams.loki3.com/VaryingWidthList"/>
    <dgm:cxn modelId="{3E47FC8A-CF02-4C86-98CA-C7D414268A17}" type="presParOf" srcId="{4DBFE0E5-1669-4F62-BF8C-267E7A6F79EE}" destId="{A2C41373-EC54-4EBB-BD47-3392E7561A77}" srcOrd="17" destOrd="0" presId="urn:diagrams.loki3.com/VaryingWidthList"/>
    <dgm:cxn modelId="{ADCB3D54-C6D6-4670-A4D0-48AB364A216F}" type="presParOf" srcId="{4DBFE0E5-1669-4F62-BF8C-267E7A6F79EE}" destId="{6C4AD84F-9C34-4D70-AD1D-29C64D5C5BAA}" srcOrd="18" destOrd="0" presId="urn:diagrams.loki3.com/VaryingWidthList"/>
    <dgm:cxn modelId="{6266C82B-24CD-4E8B-907B-3DC2A54B87CF}" type="presParOf" srcId="{4DBFE0E5-1669-4F62-BF8C-267E7A6F79EE}" destId="{E498449D-786B-4265-BEF6-087A4A91B16A}" srcOrd="19" destOrd="0" presId="urn:diagrams.loki3.com/VaryingWidthList"/>
    <dgm:cxn modelId="{10F7EF3D-6F40-432A-A789-C71D06C79E4D}" type="presParOf" srcId="{4DBFE0E5-1669-4F62-BF8C-267E7A6F79EE}" destId="{B5D0923D-9F34-46AD-AF46-DBB6483E59E9}" srcOrd="20" destOrd="0" presId="urn:diagrams.loki3.com/VaryingWidthList"/>
    <dgm:cxn modelId="{97FA6501-87CD-4537-BF3B-E1805821F5C5}" type="presParOf" srcId="{4DBFE0E5-1669-4F62-BF8C-267E7A6F79EE}" destId="{2EDC9558-7208-4118-8F86-C4BF5EA3387B}" srcOrd="21" destOrd="0" presId="urn:diagrams.loki3.com/VaryingWidthList"/>
    <dgm:cxn modelId="{EF552E29-D59F-4488-9898-7AC29F1743C4}" type="presParOf" srcId="{4DBFE0E5-1669-4F62-BF8C-267E7A6F79EE}" destId="{61C31C94-D042-4F1C-80A6-54982C0024AE}" srcOrd="22" destOrd="0" presId="urn:diagrams.loki3.com/VaryingWidthList"/>
    <dgm:cxn modelId="{83D9ECA1-B7DC-49E1-841B-1294E808C288}" type="presParOf" srcId="{4DBFE0E5-1669-4F62-BF8C-267E7A6F79EE}" destId="{606EEE07-F0B6-43CC-A2B4-F36399FAF123}" srcOrd="23" destOrd="0" presId="urn:diagrams.loki3.com/VaryingWidthList"/>
    <dgm:cxn modelId="{5A9001A7-A791-4282-922A-050C59273CB7}" type="presParOf" srcId="{4DBFE0E5-1669-4F62-BF8C-267E7A6F79EE}" destId="{F52DA6B7-757E-4562-9E87-CE9A31E108D4}" srcOrd="24" destOrd="0" presId="urn:diagrams.loki3.com/VaryingWidthList"/>
    <dgm:cxn modelId="{BC603EDA-B2CB-4327-B471-423D27DA804C}" type="presParOf" srcId="{4DBFE0E5-1669-4F62-BF8C-267E7A6F79EE}" destId="{D874EE60-0A69-47DC-B987-A5B062F33CE5}" srcOrd="25" destOrd="0" presId="urn:diagrams.loki3.com/VaryingWidthList"/>
    <dgm:cxn modelId="{04810903-DF33-43FA-BE91-49D51F30566A}" type="presParOf" srcId="{4DBFE0E5-1669-4F62-BF8C-267E7A6F79EE}" destId="{67DCF43D-9AC3-4B26-A223-73A52F3EE481}" srcOrd="26" destOrd="0" presId="urn:diagrams.loki3.com/VaryingWidthLis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09A8A6-5302-4960-8A55-3C05D74D3789}">
      <dsp:nvSpPr>
        <dsp:cNvPr id="0" name=""/>
        <dsp:cNvSpPr/>
      </dsp:nvSpPr>
      <dsp:spPr>
        <a:xfrm>
          <a:off x="1566" y="131956"/>
          <a:ext cx="2496102" cy="729232"/>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Loss of Green Spaces and Biodiverty</a:t>
          </a:r>
        </a:p>
      </dsp:txBody>
      <dsp:txXfrm>
        <a:off x="1566" y="131956"/>
        <a:ext cx="2496102" cy="729232"/>
      </dsp:txXfrm>
    </dsp:sp>
    <dsp:sp modelId="{B6DA6B40-04A4-4C8D-BE05-598606BE1AC7}">
      <dsp:nvSpPr>
        <dsp:cNvPr id="0" name=""/>
        <dsp:cNvSpPr/>
      </dsp:nvSpPr>
      <dsp:spPr>
        <a:xfrm>
          <a:off x="2925758" y="182492"/>
          <a:ext cx="2559074" cy="628160"/>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Urban Heat Island Effect</a:t>
          </a:r>
        </a:p>
      </dsp:txBody>
      <dsp:txXfrm>
        <a:off x="2925758" y="182492"/>
        <a:ext cx="2559074" cy="628160"/>
      </dsp:txXfrm>
    </dsp:sp>
    <dsp:sp modelId="{8B599DF8-7E8F-4B9F-8839-13DAA52AF726}">
      <dsp:nvSpPr>
        <dsp:cNvPr id="0" name=""/>
        <dsp:cNvSpPr/>
      </dsp:nvSpPr>
      <dsp:spPr>
        <a:xfrm>
          <a:off x="2943139" y="2379275"/>
          <a:ext cx="2172852" cy="659831"/>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Air and Water Pollution</a:t>
          </a:r>
        </a:p>
      </dsp:txBody>
      <dsp:txXfrm>
        <a:off x="2943139" y="2379275"/>
        <a:ext cx="2172852" cy="659831"/>
      </dsp:txXfrm>
    </dsp:sp>
    <dsp:sp modelId="{0B464516-C809-4443-B75E-33801F32EA58}">
      <dsp:nvSpPr>
        <dsp:cNvPr id="0" name=""/>
        <dsp:cNvSpPr/>
      </dsp:nvSpPr>
      <dsp:spPr>
        <a:xfrm>
          <a:off x="2806304" y="1269655"/>
          <a:ext cx="2680095" cy="660832"/>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Loss of Climate Regulation Functions</a:t>
          </a:r>
        </a:p>
      </dsp:txBody>
      <dsp:txXfrm>
        <a:off x="2806304" y="1269655"/>
        <a:ext cx="2680095" cy="660832"/>
      </dsp:txXfrm>
    </dsp:sp>
    <dsp:sp modelId="{38193CC7-F5E7-4074-A51F-9772E2C46239}">
      <dsp:nvSpPr>
        <dsp:cNvPr id="0" name=""/>
        <dsp:cNvSpPr/>
      </dsp:nvSpPr>
      <dsp:spPr>
        <a:xfrm>
          <a:off x="383208" y="2368466"/>
          <a:ext cx="1373695" cy="690242"/>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Flash Flooding</a:t>
          </a:r>
        </a:p>
      </dsp:txBody>
      <dsp:txXfrm>
        <a:off x="383208" y="2368466"/>
        <a:ext cx="1373695" cy="6902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36B0D6-580E-44BF-817A-52929D2AA2CF}">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129E658-C94A-4EB4-8D34-5DCA81A6297B}">
      <dsp:nvSpPr>
        <dsp:cNvPr id="0" name=""/>
        <dsp:cNvSpPr/>
      </dsp:nvSpPr>
      <dsp:spPr>
        <a:xfrm>
          <a:off x="2902" y="960120"/>
          <a:ext cx="945118" cy="1280160"/>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Inequalable access to service</a:t>
          </a:r>
        </a:p>
      </dsp:txBody>
      <dsp:txXfrm>
        <a:off x="49039" y="1006257"/>
        <a:ext cx="852844" cy="1187886"/>
      </dsp:txXfrm>
    </dsp:sp>
    <dsp:sp modelId="{76E38A55-7AB8-4863-A00B-273B6742F9A2}">
      <dsp:nvSpPr>
        <dsp:cNvPr id="0" name=""/>
        <dsp:cNvSpPr/>
      </dsp:nvSpPr>
      <dsp:spPr>
        <a:xfrm>
          <a:off x="1105540" y="960120"/>
          <a:ext cx="945118" cy="1280160"/>
        </a:xfrm>
        <a:prstGeom prst="round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Social exclusion and segregation</a:t>
          </a:r>
        </a:p>
      </dsp:txBody>
      <dsp:txXfrm>
        <a:off x="1151677" y="1006257"/>
        <a:ext cx="852844" cy="1187886"/>
      </dsp:txXfrm>
    </dsp:sp>
    <dsp:sp modelId="{3511BB0C-E196-45C4-A565-F0920A6DA9BE}">
      <dsp:nvSpPr>
        <dsp:cNvPr id="0" name=""/>
        <dsp:cNvSpPr/>
      </dsp:nvSpPr>
      <dsp:spPr>
        <a:xfrm>
          <a:off x="2208178" y="960120"/>
          <a:ext cx="1070043" cy="1280160"/>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Displacement of indigenous populations</a:t>
          </a:r>
        </a:p>
      </dsp:txBody>
      <dsp:txXfrm>
        <a:off x="2260413" y="1012355"/>
        <a:ext cx="965573" cy="1175690"/>
      </dsp:txXfrm>
    </dsp:sp>
    <dsp:sp modelId="{0D506D68-E56A-446A-9948-559EA9948701}">
      <dsp:nvSpPr>
        <dsp:cNvPr id="0" name=""/>
        <dsp:cNvSpPr/>
      </dsp:nvSpPr>
      <dsp:spPr>
        <a:xfrm>
          <a:off x="3435741" y="960120"/>
          <a:ext cx="945118" cy="1280160"/>
        </a:xfrm>
        <a:prstGeom prst="round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Erosion of social cohesion</a:t>
          </a:r>
        </a:p>
      </dsp:txBody>
      <dsp:txXfrm>
        <a:off x="3481878" y="1006257"/>
        <a:ext cx="852844" cy="1187886"/>
      </dsp:txXfrm>
    </dsp:sp>
    <dsp:sp modelId="{3F6720FB-5E96-4A7E-8FCC-6ACF1CE4A1AF}">
      <dsp:nvSpPr>
        <dsp:cNvPr id="0" name=""/>
        <dsp:cNvSpPr/>
      </dsp:nvSpPr>
      <dsp:spPr>
        <a:xfrm>
          <a:off x="4538379" y="960120"/>
          <a:ext cx="945118" cy="1280160"/>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Increase travel time and isolation</a:t>
          </a:r>
        </a:p>
      </dsp:txBody>
      <dsp:txXfrm>
        <a:off x="4584516" y="1006257"/>
        <a:ext cx="852844" cy="118788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39C793-4601-4863-81D5-7B07DB022B06}">
      <dsp:nvSpPr>
        <dsp:cNvPr id="0" name=""/>
        <dsp:cNvSpPr/>
      </dsp:nvSpPr>
      <dsp:spPr>
        <a:xfrm>
          <a:off x="4431069" y="540551"/>
          <a:ext cx="1010355" cy="10105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72434D-C355-4843-BCCB-3F0E3A0574AA}">
      <dsp:nvSpPr>
        <dsp:cNvPr id="0" name=""/>
        <dsp:cNvSpPr/>
      </dsp:nvSpPr>
      <dsp:spPr>
        <a:xfrm>
          <a:off x="4464407" y="574241"/>
          <a:ext cx="943142" cy="94314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Inefficient land use</a:t>
          </a:r>
          <a:endParaRPr lang="en-US" sz="900" kern="1200"/>
        </a:p>
      </dsp:txBody>
      <dsp:txXfrm>
        <a:off x="4599372" y="709001"/>
        <a:ext cx="673749" cy="673621"/>
      </dsp:txXfrm>
    </dsp:sp>
    <dsp:sp modelId="{AE024BA8-9C23-49EB-8FD5-7B1FFC7BDEC0}">
      <dsp:nvSpPr>
        <dsp:cNvPr id="0" name=""/>
        <dsp:cNvSpPr/>
      </dsp:nvSpPr>
      <dsp:spPr>
        <a:xfrm rot="2700000">
          <a:off x="3386358" y="540604"/>
          <a:ext cx="1010238" cy="1010238"/>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CC9DF6F-271D-47B6-96D8-06A67A33CC16}">
      <dsp:nvSpPr>
        <dsp:cNvPr id="0" name=""/>
        <dsp:cNvSpPr/>
      </dsp:nvSpPr>
      <dsp:spPr>
        <a:xfrm>
          <a:off x="3420713" y="574241"/>
          <a:ext cx="943142" cy="94314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Land speculation and price inflation</a:t>
          </a:r>
        </a:p>
      </dsp:txBody>
      <dsp:txXfrm>
        <a:off x="3555141" y="709001"/>
        <a:ext cx="673749" cy="673621"/>
      </dsp:txXfrm>
    </dsp:sp>
    <dsp:sp modelId="{BDE72C93-BA97-4C58-99B4-054D572CC6AE}">
      <dsp:nvSpPr>
        <dsp:cNvPr id="0" name=""/>
        <dsp:cNvSpPr/>
      </dsp:nvSpPr>
      <dsp:spPr>
        <a:xfrm rot="2700000">
          <a:off x="2342664" y="540604"/>
          <a:ext cx="1010238" cy="1010238"/>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E2CFA2-AFF2-4120-9BBF-5F6BC29C41DA}">
      <dsp:nvSpPr>
        <dsp:cNvPr id="0" name=""/>
        <dsp:cNvSpPr/>
      </dsp:nvSpPr>
      <dsp:spPr>
        <a:xfrm>
          <a:off x="2376482" y="574241"/>
          <a:ext cx="943142" cy="94314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Loss of agricultural productivity</a:t>
          </a:r>
          <a:endParaRPr lang="en-US" sz="900" kern="1200"/>
        </a:p>
      </dsp:txBody>
      <dsp:txXfrm>
        <a:off x="2510909" y="709001"/>
        <a:ext cx="673749" cy="673621"/>
      </dsp:txXfrm>
    </dsp:sp>
    <dsp:sp modelId="{D51E2155-AA89-42FA-9AB8-30E87BAB2BA6}">
      <dsp:nvSpPr>
        <dsp:cNvPr id="0" name=""/>
        <dsp:cNvSpPr/>
      </dsp:nvSpPr>
      <dsp:spPr>
        <a:xfrm rot="2700000">
          <a:off x="1298433" y="540604"/>
          <a:ext cx="1010238" cy="1010238"/>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3A73BA-ECF7-4B6F-85BC-F74E1CE50D98}">
      <dsp:nvSpPr>
        <dsp:cNvPr id="0" name=""/>
        <dsp:cNvSpPr/>
      </dsp:nvSpPr>
      <dsp:spPr>
        <a:xfrm>
          <a:off x="1332250" y="574241"/>
          <a:ext cx="943142" cy="94314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Increased household transport costs</a:t>
          </a:r>
          <a:endParaRPr lang="en-US" sz="900" kern="1200"/>
        </a:p>
      </dsp:txBody>
      <dsp:txXfrm>
        <a:off x="1467215" y="709001"/>
        <a:ext cx="673749" cy="673621"/>
      </dsp:txXfrm>
    </dsp:sp>
    <dsp:sp modelId="{3FE8C899-FAD1-4683-9071-19077C1B4523}">
      <dsp:nvSpPr>
        <dsp:cNvPr id="0" name=""/>
        <dsp:cNvSpPr/>
      </dsp:nvSpPr>
      <dsp:spPr>
        <a:xfrm rot="2700000">
          <a:off x="254201" y="540604"/>
          <a:ext cx="1010238" cy="1010238"/>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D31C07-9B1F-41FD-A1DF-66E267DE0A3C}">
      <dsp:nvSpPr>
        <dsp:cNvPr id="0" name=""/>
        <dsp:cNvSpPr/>
      </dsp:nvSpPr>
      <dsp:spPr>
        <a:xfrm>
          <a:off x="288019" y="574241"/>
          <a:ext cx="943142" cy="94314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High infrastructure costs</a:t>
          </a:r>
          <a:endParaRPr lang="en-US" sz="900" kern="1200"/>
        </a:p>
      </dsp:txBody>
      <dsp:txXfrm>
        <a:off x="422984" y="709001"/>
        <a:ext cx="673749" cy="67362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8764FF-732B-4B8D-BBC7-3A3978F0328E}">
      <dsp:nvSpPr>
        <dsp:cNvPr id="0" name=""/>
        <dsp:cNvSpPr/>
      </dsp:nvSpPr>
      <dsp:spPr>
        <a:xfrm rot="5400000">
          <a:off x="150790" y="1183836"/>
          <a:ext cx="446708" cy="508561"/>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0A48FC6-1C8E-4B4F-9DE3-5D601507B72E}">
      <dsp:nvSpPr>
        <dsp:cNvPr id="0" name=""/>
        <dsp:cNvSpPr/>
      </dsp:nvSpPr>
      <dsp:spPr>
        <a:xfrm>
          <a:off x="103990" y="330244"/>
          <a:ext cx="1106762" cy="968492"/>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Demographic</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Land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Economic</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Cultural</a:t>
          </a:r>
          <a:endParaRPr lang="en-US" sz="1200" kern="1200"/>
        </a:p>
      </dsp:txBody>
      <dsp:txXfrm>
        <a:off x="151276" y="377530"/>
        <a:ext cx="1012190" cy="873920"/>
      </dsp:txXfrm>
    </dsp:sp>
    <dsp:sp modelId="{BBB16B03-4AF3-415C-AB25-0109E4114EAF}">
      <dsp:nvSpPr>
        <dsp:cNvPr id="0" name=""/>
        <dsp:cNvSpPr/>
      </dsp:nvSpPr>
      <dsp:spPr>
        <a:xfrm>
          <a:off x="1363525" y="687116"/>
          <a:ext cx="1386536" cy="2550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Drivers of Sprawl</a:t>
          </a:r>
          <a:endParaRPr lang="en-US" sz="1200" kern="1200"/>
        </a:p>
      </dsp:txBody>
      <dsp:txXfrm>
        <a:off x="1363525" y="687116"/>
        <a:ext cx="1386536" cy="255053"/>
      </dsp:txXfrm>
    </dsp:sp>
    <dsp:sp modelId="{EFFD6851-E264-4E0B-BFE8-7923DC98719C}">
      <dsp:nvSpPr>
        <dsp:cNvPr id="0" name=""/>
        <dsp:cNvSpPr/>
      </dsp:nvSpPr>
      <dsp:spPr>
        <a:xfrm rot="5400000">
          <a:off x="634605" y="2426026"/>
          <a:ext cx="446708" cy="508561"/>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1FD1844-4E36-4897-8AC8-EF18079A7BEA}">
      <dsp:nvSpPr>
        <dsp:cNvPr id="0" name=""/>
        <dsp:cNvSpPr/>
      </dsp:nvSpPr>
      <dsp:spPr>
        <a:xfrm>
          <a:off x="610678" y="1382945"/>
          <a:ext cx="1026682" cy="105561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Leapfrogging</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Ribbon</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Edge</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Polycentric Growth</a:t>
          </a:r>
          <a:endParaRPr lang="en-US" sz="1200" kern="1200"/>
        </a:p>
      </dsp:txBody>
      <dsp:txXfrm>
        <a:off x="660806" y="1433073"/>
        <a:ext cx="926426" cy="955361"/>
      </dsp:txXfrm>
    </dsp:sp>
    <dsp:sp modelId="{DC84E985-6C1E-4ECC-AA93-50BA06DE2E66}">
      <dsp:nvSpPr>
        <dsp:cNvPr id="0" name=""/>
        <dsp:cNvSpPr/>
      </dsp:nvSpPr>
      <dsp:spPr>
        <a:xfrm>
          <a:off x="1745799" y="1728561"/>
          <a:ext cx="1222780" cy="2265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Patterns of Sprawl</a:t>
          </a:r>
          <a:endParaRPr lang="en-US" sz="1200" kern="1200"/>
        </a:p>
      </dsp:txBody>
      <dsp:txXfrm>
        <a:off x="1745799" y="1728561"/>
        <a:ext cx="1222780" cy="226515"/>
      </dsp:txXfrm>
    </dsp:sp>
    <dsp:sp modelId="{31DA1B3F-34F1-402E-9BD9-5EE5DF71CD01}">
      <dsp:nvSpPr>
        <dsp:cNvPr id="0" name=""/>
        <dsp:cNvSpPr/>
      </dsp:nvSpPr>
      <dsp:spPr>
        <a:xfrm rot="5400000">
          <a:off x="1073093" y="3298413"/>
          <a:ext cx="446708" cy="508561"/>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8A2BC89-AA29-4C51-9AF4-B5FF8E31C298}">
      <dsp:nvSpPr>
        <dsp:cNvPr id="0" name=""/>
        <dsp:cNvSpPr/>
      </dsp:nvSpPr>
      <dsp:spPr>
        <a:xfrm>
          <a:off x="1083031" y="2650885"/>
          <a:ext cx="1233646" cy="659370"/>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Environment</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Social</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Economic</a:t>
          </a:r>
          <a:endParaRPr lang="en-US" sz="1200" kern="1200"/>
        </a:p>
      </dsp:txBody>
      <dsp:txXfrm>
        <a:off x="1115225" y="2683079"/>
        <a:ext cx="1169258" cy="594982"/>
      </dsp:txXfrm>
    </dsp:sp>
    <dsp:sp modelId="{040FEF8F-1601-4740-81E6-B0674D0144A9}">
      <dsp:nvSpPr>
        <dsp:cNvPr id="0" name=""/>
        <dsp:cNvSpPr/>
      </dsp:nvSpPr>
      <dsp:spPr>
        <a:xfrm>
          <a:off x="2350536" y="2655997"/>
          <a:ext cx="2418224" cy="4254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Impacts on Sustainable Development</a:t>
          </a:r>
          <a:endParaRPr lang="en-US" sz="1200" kern="1200"/>
        </a:p>
        <a:p>
          <a:pPr marL="114300" lvl="1" indent="-114300" algn="l" defTabSz="533400">
            <a:lnSpc>
              <a:spcPct val="90000"/>
            </a:lnSpc>
            <a:spcBef>
              <a:spcPct val="0"/>
            </a:spcBef>
            <a:spcAft>
              <a:spcPct val="15000"/>
            </a:spcAft>
            <a:buChar char="•"/>
          </a:pPr>
          <a:endParaRPr lang="en-US" sz="1200" kern="1200"/>
        </a:p>
      </dsp:txBody>
      <dsp:txXfrm>
        <a:off x="2350536" y="2655997"/>
        <a:ext cx="2418224" cy="425436"/>
      </dsp:txXfrm>
    </dsp:sp>
    <dsp:sp modelId="{FB7F298A-BF7B-458C-8845-F5FBCBCA4BAC}">
      <dsp:nvSpPr>
        <dsp:cNvPr id="0" name=""/>
        <dsp:cNvSpPr/>
      </dsp:nvSpPr>
      <dsp:spPr>
        <a:xfrm rot="5400000">
          <a:off x="1573875" y="4127248"/>
          <a:ext cx="446708" cy="508561"/>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49F1C06-0673-497C-B6AC-4FCAC8C470CF}">
      <dsp:nvSpPr>
        <dsp:cNvPr id="0" name=""/>
        <dsp:cNvSpPr/>
      </dsp:nvSpPr>
      <dsp:spPr>
        <a:xfrm>
          <a:off x="1529627" y="3557611"/>
          <a:ext cx="1118824" cy="623771"/>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Land Use</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Institutional Capacity</a:t>
          </a:r>
          <a:endParaRPr lang="en-US" sz="1200" kern="1200"/>
        </a:p>
      </dsp:txBody>
      <dsp:txXfrm>
        <a:off x="1560082" y="3588066"/>
        <a:ext cx="1057914" cy="562861"/>
      </dsp:txXfrm>
    </dsp:sp>
    <dsp:sp modelId="{41B92412-8331-4050-A685-ADE222E29D08}">
      <dsp:nvSpPr>
        <dsp:cNvPr id="0" name=""/>
        <dsp:cNvSpPr/>
      </dsp:nvSpPr>
      <dsp:spPr>
        <a:xfrm>
          <a:off x="2711060" y="3657367"/>
          <a:ext cx="1720168" cy="3378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Planning &amp; Governance Context</a:t>
          </a:r>
        </a:p>
        <a:p>
          <a:pPr marL="114300" lvl="1" indent="-114300" algn="l" defTabSz="533400">
            <a:lnSpc>
              <a:spcPct val="90000"/>
            </a:lnSpc>
            <a:spcBef>
              <a:spcPct val="0"/>
            </a:spcBef>
            <a:spcAft>
              <a:spcPct val="15000"/>
            </a:spcAft>
            <a:buChar char="•"/>
          </a:pPr>
          <a:endParaRPr lang="en-US" sz="1200" kern="1200"/>
        </a:p>
      </dsp:txBody>
      <dsp:txXfrm>
        <a:off x="2711060" y="3657367"/>
        <a:ext cx="1720168" cy="337886"/>
      </dsp:txXfrm>
    </dsp:sp>
    <dsp:sp modelId="{DED82036-A912-4953-97C1-5CAAE776EA46}">
      <dsp:nvSpPr>
        <dsp:cNvPr id="0" name=""/>
        <dsp:cNvSpPr/>
      </dsp:nvSpPr>
      <dsp:spPr>
        <a:xfrm>
          <a:off x="2061680" y="4305564"/>
          <a:ext cx="1084954" cy="619734"/>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Densification</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Containment</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Reforms</a:t>
          </a:r>
          <a:endParaRPr lang="en-US" sz="1200" kern="1200"/>
        </a:p>
      </dsp:txBody>
      <dsp:txXfrm>
        <a:off x="2091938" y="4335822"/>
        <a:ext cx="1024438" cy="559218"/>
      </dsp:txXfrm>
    </dsp:sp>
    <dsp:sp modelId="{6AB04E05-E193-4285-810E-28F2DC5C98CB}">
      <dsp:nvSpPr>
        <dsp:cNvPr id="0" name=""/>
        <dsp:cNvSpPr/>
      </dsp:nvSpPr>
      <dsp:spPr>
        <a:xfrm>
          <a:off x="3262305" y="4385894"/>
          <a:ext cx="1245559" cy="4254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Policy Responses &amp; Interventions</a:t>
          </a:r>
        </a:p>
      </dsp:txBody>
      <dsp:txXfrm>
        <a:off x="3262305" y="4385894"/>
        <a:ext cx="1245559" cy="42543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1390C0-6C83-49CA-8557-502FA114E969}">
      <dsp:nvSpPr>
        <dsp:cNvPr id="0" name=""/>
        <dsp:cNvSpPr/>
      </dsp:nvSpPr>
      <dsp:spPr>
        <a:xfrm rot="16200000">
          <a:off x="-366673" y="1400226"/>
          <a:ext cx="1052774" cy="218299"/>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a:t>
          </a:r>
        </a:p>
      </dsp:txBody>
      <dsp:txXfrm>
        <a:off x="-366673" y="1400226"/>
        <a:ext cx="1052774" cy="218299"/>
      </dsp:txXfrm>
    </dsp:sp>
    <dsp:sp modelId="{55BD9E6A-83EB-49AD-80D4-FA82FA9308DA}">
      <dsp:nvSpPr>
        <dsp:cNvPr id="0" name=""/>
        <dsp:cNvSpPr/>
      </dsp:nvSpPr>
      <dsp:spPr>
        <a:xfrm rot="16200000">
          <a:off x="-374338" y="3014687"/>
          <a:ext cx="1078696" cy="231180"/>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Screening</a:t>
          </a:r>
        </a:p>
      </dsp:txBody>
      <dsp:txXfrm>
        <a:off x="-374338" y="3014687"/>
        <a:ext cx="1078696" cy="231180"/>
      </dsp:txXfrm>
    </dsp:sp>
    <dsp:sp modelId="{EFE606ED-598E-4A57-B76B-82334AD268DF}">
      <dsp:nvSpPr>
        <dsp:cNvPr id="0" name=""/>
        <dsp:cNvSpPr/>
      </dsp:nvSpPr>
      <dsp:spPr>
        <a:xfrm rot="16200000">
          <a:off x="-252496" y="4688729"/>
          <a:ext cx="795960" cy="187088"/>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Eligibility</a:t>
          </a:r>
        </a:p>
      </dsp:txBody>
      <dsp:txXfrm>
        <a:off x="-252496" y="4688729"/>
        <a:ext cx="795960" cy="187088"/>
      </dsp:txXfrm>
    </dsp:sp>
    <dsp:sp modelId="{D9041312-89A8-4BA0-9BC8-31EC0B997A26}">
      <dsp:nvSpPr>
        <dsp:cNvPr id="0" name=""/>
        <dsp:cNvSpPr/>
      </dsp:nvSpPr>
      <dsp:spPr>
        <a:xfrm rot="16200000">
          <a:off x="-166492" y="6322094"/>
          <a:ext cx="723729" cy="271844"/>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Included</a:t>
          </a:r>
        </a:p>
      </dsp:txBody>
      <dsp:txXfrm>
        <a:off x="-166492" y="6322094"/>
        <a:ext cx="723729" cy="271844"/>
      </dsp:txXfrm>
    </dsp:sp>
    <dsp:sp modelId="{66724738-4DA2-48B6-A2AD-F5B827224724}">
      <dsp:nvSpPr>
        <dsp:cNvPr id="0" name=""/>
        <dsp:cNvSpPr/>
      </dsp:nvSpPr>
      <dsp:spPr>
        <a:xfrm rot="10800000" flipV="1">
          <a:off x="282093" y="168905"/>
          <a:ext cx="2570747" cy="3271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 of Studies via database</a:t>
          </a:r>
        </a:p>
      </dsp:txBody>
      <dsp:txXfrm rot="-10800000">
        <a:off x="282093" y="168905"/>
        <a:ext cx="2570747" cy="327139"/>
      </dsp:txXfrm>
    </dsp:sp>
    <dsp:sp modelId="{82D020EB-199C-40DA-9F2F-1F35F5F779DF}">
      <dsp:nvSpPr>
        <dsp:cNvPr id="0" name=""/>
        <dsp:cNvSpPr/>
      </dsp:nvSpPr>
      <dsp:spPr>
        <a:xfrm>
          <a:off x="3056400" y="2143612"/>
          <a:ext cx="2430000" cy="78739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Peer-reviewed journal articles (n=67)</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policy reports (n=23)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Grey literature (n=20)</a:t>
          </a:r>
        </a:p>
      </dsp:txBody>
      <dsp:txXfrm>
        <a:off x="3056400" y="2143612"/>
        <a:ext cx="2430000" cy="787399"/>
      </dsp:txXfrm>
    </dsp:sp>
    <dsp:sp modelId="{84A4BF0D-B36D-4FE9-A4F0-618CEEFCCBBF}">
      <dsp:nvSpPr>
        <dsp:cNvPr id="0" name=""/>
        <dsp:cNvSpPr/>
      </dsp:nvSpPr>
      <dsp:spPr>
        <a:xfrm>
          <a:off x="3059597" y="3182672"/>
          <a:ext cx="2387900" cy="80618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excluded:</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Articles lacking empirical evidence or case studies, and papers older than 1999 unless highly relevant (n=100)</a:t>
          </a:r>
        </a:p>
      </dsp:txBody>
      <dsp:txXfrm>
        <a:off x="3059597" y="3182672"/>
        <a:ext cx="2387900" cy="806183"/>
      </dsp:txXfrm>
    </dsp:sp>
    <dsp:sp modelId="{ED328E99-09FB-42F0-A6AC-C541DDFD689E}">
      <dsp:nvSpPr>
        <dsp:cNvPr id="0" name=""/>
        <dsp:cNvSpPr/>
      </dsp:nvSpPr>
      <dsp:spPr>
        <a:xfrm>
          <a:off x="743923" y="3310138"/>
          <a:ext cx="1646966" cy="53986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a:t>
          </a:r>
          <a:r>
            <a:rPr lang="en-US" sz="1200" kern="1200" baseline="0">
              <a:latin typeface="Times New Roman" panose="02020603050405020304" pitchFamily="18" charset="0"/>
              <a:cs typeface="Times New Roman" panose="02020603050405020304" pitchFamily="18" charset="0"/>
            </a:rPr>
            <a:t> screened on titles and abstract (n= 237)</a:t>
          </a:r>
          <a:endParaRPr lang="en-US" sz="1200" kern="1200">
            <a:latin typeface="Times New Roman" panose="02020603050405020304" pitchFamily="18" charset="0"/>
            <a:cs typeface="Times New Roman" panose="02020603050405020304" pitchFamily="18" charset="0"/>
          </a:endParaRPr>
        </a:p>
      </dsp:txBody>
      <dsp:txXfrm>
        <a:off x="743923" y="3310138"/>
        <a:ext cx="1646966" cy="539867"/>
      </dsp:txXfrm>
    </dsp:sp>
    <dsp:sp modelId="{32747F51-A642-431C-B99A-B8662A5C2212}">
      <dsp:nvSpPr>
        <dsp:cNvPr id="0" name=""/>
        <dsp:cNvSpPr/>
      </dsp:nvSpPr>
      <dsp:spPr>
        <a:xfrm>
          <a:off x="3184647" y="4656461"/>
          <a:ext cx="1957910" cy="16378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Full-text versions of the selected studies were assessed based on the following inclusion criteria: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-Explicit discussion of urban sprawl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Effects on sustainable development</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 79)</a:t>
          </a:r>
        </a:p>
      </dsp:txBody>
      <dsp:txXfrm>
        <a:off x="3184647" y="4656461"/>
        <a:ext cx="1957910" cy="1637868"/>
      </dsp:txXfrm>
    </dsp:sp>
    <dsp:sp modelId="{6C4AD84F-9C34-4D70-AD1D-29C64D5C5BAA}">
      <dsp:nvSpPr>
        <dsp:cNvPr id="0" name=""/>
        <dsp:cNvSpPr/>
      </dsp:nvSpPr>
      <dsp:spPr>
        <a:xfrm>
          <a:off x="476086" y="853199"/>
          <a:ext cx="2467996" cy="126019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identified from database (N=590)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Google Scholar (n=121)</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-Scopus (n=200)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Web of Science (n=100)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 ScienceDirect (n=169)</a:t>
          </a:r>
        </a:p>
      </dsp:txBody>
      <dsp:txXfrm>
        <a:off x="476086" y="853199"/>
        <a:ext cx="2467996" cy="1260196"/>
      </dsp:txXfrm>
    </dsp:sp>
    <dsp:sp modelId="{B5D0923D-9F34-46AD-AF46-DBB6483E59E9}">
      <dsp:nvSpPr>
        <dsp:cNvPr id="0" name=""/>
        <dsp:cNvSpPr/>
      </dsp:nvSpPr>
      <dsp:spPr>
        <a:xfrm>
          <a:off x="472760" y="2634384"/>
          <a:ext cx="2279096" cy="34493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after removing duplicate records (n= 400)</a:t>
          </a:r>
        </a:p>
      </dsp:txBody>
      <dsp:txXfrm>
        <a:off x="472760" y="2634384"/>
        <a:ext cx="2279096" cy="344938"/>
      </dsp:txXfrm>
    </dsp:sp>
    <dsp:sp modelId="{61C31C94-D042-4F1C-80A6-54982C0024AE}">
      <dsp:nvSpPr>
        <dsp:cNvPr id="0" name=""/>
        <dsp:cNvSpPr/>
      </dsp:nvSpPr>
      <dsp:spPr>
        <a:xfrm>
          <a:off x="460363" y="4717327"/>
          <a:ext cx="2330596" cy="59865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eligible for full text, screening on the basis of inclusion and exclusion criteria (n=137)</a:t>
          </a:r>
        </a:p>
      </dsp:txBody>
      <dsp:txXfrm>
        <a:off x="460363" y="4717327"/>
        <a:ext cx="2330596" cy="598651"/>
      </dsp:txXfrm>
    </dsp:sp>
    <dsp:sp modelId="{F52DA6B7-757E-4562-9E87-CE9A31E108D4}">
      <dsp:nvSpPr>
        <dsp:cNvPr id="0" name=""/>
        <dsp:cNvSpPr/>
      </dsp:nvSpPr>
      <dsp:spPr>
        <a:xfrm>
          <a:off x="364198" y="6356867"/>
          <a:ext cx="2629343" cy="31054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included in the review (n=58) </a:t>
          </a:r>
        </a:p>
      </dsp:txBody>
      <dsp:txXfrm>
        <a:off x="364198" y="6356867"/>
        <a:ext cx="2629343" cy="310546"/>
      </dsp:txXfrm>
    </dsp:sp>
    <dsp:sp modelId="{67DCF43D-9AC3-4B26-A223-73A52F3EE481}">
      <dsp:nvSpPr>
        <dsp:cNvPr id="0" name=""/>
        <dsp:cNvSpPr/>
      </dsp:nvSpPr>
      <dsp:spPr>
        <a:xfrm>
          <a:off x="3542352" y="140693"/>
          <a:ext cx="1944047" cy="32570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 of studies via other methods(N=110)</a:t>
          </a:r>
        </a:p>
      </dsp:txBody>
      <dsp:txXfrm>
        <a:off x="3542352" y="140693"/>
        <a:ext cx="1944047" cy="32570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1718</TotalTime>
  <Pages>29</Pages>
  <Words>9408</Words>
  <Characters>53629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SDI PC 1170</cp:lastModifiedBy>
  <cp:revision>55</cp:revision>
  <dcterms:created xsi:type="dcterms:W3CDTF">2025-06-24T04:47:00Z</dcterms:created>
  <dcterms:modified xsi:type="dcterms:W3CDTF">2026-01-29T10:18:00Z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e8808b4a-ea19-4ea5-8c59-59956c9c71c3</vt:lpwstr>
  </property>
</Properties>
</file>