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73C9" w14:textId="25208B31" w:rsidR="00754C9A" w:rsidRDefault="000D2E0E" w:rsidP="00441B6F">
      <w:pPr>
        <w:pStyle w:val="Title"/>
        <w:spacing w:after="0"/>
        <w:jc w:val="both"/>
        <w:rPr>
          <w:rFonts w:ascii="Arial" w:hAnsi="Arial" w:cs="Arial"/>
          <w:sz w:val="32"/>
          <w:szCs w:val="18"/>
          <w:u w:val="single"/>
        </w:rPr>
      </w:pPr>
      <w:r w:rsidRPr="000D2E0E">
        <w:rPr>
          <w:rFonts w:ascii="Arial" w:hAnsi="Arial" w:cs="Arial"/>
          <w:sz w:val="32"/>
          <w:szCs w:val="18"/>
          <w:u w:val="single"/>
        </w:rPr>
        <w:t>Original Research Article</w:t>
      </w:r>
    </w:p>
    <w:p w14:paraId="25016D9D" w14:textId="77777777" w:rsidR="000D2E0E" w:rsidRPr="000D2E0E" w:rsidRDefault="000D2E0E" w:rsidP="00441B6F">
      <w:pPr>
        <w:pStyle w:val="Title"/>
        <w:spacing w:after="0"/>
        <w:jc w:val="both"/>
        <w:rPr>
          <w:rFonts w:ascii="Arial" w:hAnsi="Arial" w:cs="Arial"/>
          <w:sz w:val="32"/>
          <w:szCs w:val="18"/>
          <w:u w:val="single"/>
        </w:rPr>
      </w:pPr>
    </w:p>
    <w:p w14:paraId="2727ABF7" w14:textId="0B0B2C3C" w:rsidR="00A258C3" w:rsidRDefault="00723EFD" w:rsidP="00723EFD">
      <w:pPr>
        <w:pStyle w:val="Author"/>
        <w:spacing w:line="240" w:lineRule="auto"/>
        <w:rPr>
          <w:rFonts w:ascii="Arial" w:hAnsi="Arial" w:cs="Arial"/>
          <w:bCs/>
          <w:iCs/>
          <w:kern w:val="28"/>
          <w:sz w:val="36"/>
        </w:rPr>
      </w:pPr>
      <w:r w:rsidRPr="00723EFD">
        <w:rPr>
          <w:rFonts w:ascii="Arial" w:hAnsi="Arial" w:cs="Arial"/>
          <w:bCs/>
          <w:iCs/>
          <w:kern w:val="28"/>
          <w:sz w:val="36"/>
        </w:rPr>
        <w:t xml:space="preserve">  </w:t>
      </w:r>
      <w:r w:rsidR="00F93702" w:rsidRPr="00F93702">
        <w:rPr>
          <w:rFonts w:ascii="Arial" w:hAnsi="Arial" w:cs="Arial"/>
          <w:bCs/>
          <w:iCs/>
          <w:kern w:val="28"/>
          <w:sz w:val="36"/>
        </w:rPr>
        <w:t>Factors Affecting the Intention to Use Mobile Payment Services</w:t>
      </w:r>
    </w:p>
    <w:p w14:paraId="7B363503" w14:textId="77777777" w:rsidR="00E9438E" w:rsidRPr="00790ADA" w:rsidRDefault="00E9438E" w:rsidP="00723EFD">
      <w:pPr>
        <w:pStyle w:val="Author"/>
        <w:spacing w:line="240" w:lineRule="auto"/>
        <w:rPr>
          <w:rFonts w:ascii="Arial" w:hAnsi="Arial" w:cs="Arial"/>
          <w:sz w:val="36"/>
        </w:rPr>
      </w:pPr>
    </w:p>
    <w:p w14:paraId="7454850C" w14:textId="77777777" w:rsidR="002C57D2" w:rsidRPr="00FB3A86" w:rsidRDefault="002C57D2" w:rsidP="00441B6F">
      <w:pPr>
        <w:pStyle w:val="Affiliation"/>
        <w:spacing w:after="0" w:line="240" w:lineRule="auto"/>
        <w:jc w:val="both"/>
        <w:rPr>
          <w:rFonts w:ascii="Arial" w:hAnsi="Arial" w:cs="Arial"/>
        </w:rPr>
      </w:pPr>
    </w:p>
    <w:p w14:paraId="69811983" w14:textId="16D0898B" w:rsidR="00B01FCD" w:rsidRPr="00FB3A86" w:rsidRDefault="00E52F91" w:rsidP="00441B6F">
      <w:pPr>
        <w:pStyle w:val="Copyright"/>
        <w:spacing w:after="0" w:line="240" w:lineRule="auto"/>
        <w:jc w:val="both"/>
        <w:rPr>
          <w:rFonts w:ascii="Arial" w:hAnsi="Arial" w:cs="Arial"/>
        </w:rPr>
        <w:sectPr w:rsidR="00B01FCD" w:rsidRPr="00FB3A86" w:rsidSect="004F05C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493919" wp14:editId="314DF584">
                <wp:extent cx="5303520" cy="635"/>
                <wp:effectExtent l="11430" t="11430" r="952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D115A9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8BCB60C" w14:textId="390E9C96" w:rsidR="00B01FCD" w:rsidRDefault="00B01FCD" w:rsidP="00441B6F">
      <w:pPr>
        <w:pStyle w:val="AbstHead"/>
        <w:spacing w:after="0"/>
        <w:jc w:val="both"/>
        <w:rPr>
          <w:rFonts w:ascii="Arial" w:hAnsi="Arial" w:cs="Arial"/>
        </w:rPr>
      </w:pPr>
      <w:r w:rsidRPr="00FB3A86">
        <w:rPr>
          <w:rFonts w:ascii="Arial" w:hAnsi="Arial" w:cs="Arial"/>
        </w:rPr>
        <w:t>ABSTRACT</w:t>
      </w:r>
    </w:p>
    <w:p w14:paraId="1AA0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F23228E" w14:textId="77777777" w:rsidTr="001E44FE">
        <w:tc>
          <w:tcPr>
            <w:tcW w:w="9576" w:type="dxa"/>
            <w:shd w:val="clear" w:color="auto" w:fill="F2F2F2"/>
          </w:tcPr>
          <w:p w14:paraId="725056E9" w14:textId="025CBB59" w:rsidR="00505F06" w:rsidRPr="00BA1B01" w:rsidRDefault="00F93702" w:rsidP="00441B6F">
            <w:pPr>
              <w:pStyle w:val="Body"/>
              <w:spacing w:after="0"/>
              <w:rPr>
                <w:rFonts w:ascii="Arial" w:eastAsia="Calibri" w:hAnsi="Arial" w:cs="Arial"/>
                <w:szCs w:val="22"/>
              </w:rPr>
            </w:pPr>
            <w:r w:rsidRPr="00F93702">
              <w:rPr>
                <w:rFonts w:ascii="Arial" w:eastAsia="Calibri" w:hAnsi="Arial" w:cs="Arial"/>
                <w:szCs w:val="22"/>
              </w:rPr>
              <w:t xml:space="preserve">This study investigated the factors influencing the intention to use mobile payment services among residents of Barangay </w:t>
            </w:r>
            <w:proofErr w:type="spellStart"/>
            <w:r w:rsidRPr="00F93702">
              <w:rPr>
                <w:rFonts w:ascii="Arial" w:eastAsia="Calibri" w:hAnsi="Arial" w:cs="Arial"/>
                <w:szCs w:val="22"/>
              </w:rPr>
              <w:t>Poblacion</w:t>
            </w:r>
            <w:proofErr w:type="spellEnd"/>
            <w:r w:rsidRPr="00F93702">
              <w:rPr>
                <w:rFonts w:ascii="Arial" w:eastAsia="Calibri" w:hAnsi="Arial" w:cs="Arial"/>
                <w:szCs w:val="22"/>
              </w:rPr>
              <w:t xml:space="preserve">, </w:t>
            </w:r>
            <w:proofErr w:type="spellStart"/>
            <w:r w:rsidRPr="00F93702">
              <w:rPr>
                <w:rFonts w:ascii="Arial" w:eastAsia="Calibri" w:hAnsi="Arial" w:cs="Arial"/>
                <w:szCs w:val="22"/>
              </w:rPr>
              <w:t>Cateel</w:t>
            </w:r>
            <w:proofErr w:type="spellEnd"/>
            <w:r w:rsidRPr="00F93702">
              <w:rPr>
                <w:rFonts w:ascii="Arial" w:eastAsia="Calibri" w:hAnsi="Arial" w:cs="Arial"/>
                <w:szCs w:val="22"/>
              </w:rPr>
              <w:t xml:space="preserve">, Davao Oriental. It aimed to outline the demographic profile of the respondents, focusing on gender, monthly income, educational level, and occupation, while also assessing the impact of key factors such as mobility convenience, compatibility, knowledge of mobile payments, ease of use, trust and safety, and perceived usefulness. Additionally, the study examined the relationship between these factors and overall intentions to adopt mobile payment solutions. Through analysis using mean scores and Pearson's r, the results indicated that the majority of respondents were female, earned ₱20,000 or below, and had completed only undergraduate studies, with </w:t>
            </w:r>
            <w:proofErr w:type="spellStart"/>
            <w:r w:rsidRPr="00F93702">
              <w:rPr>
                <w:rFonts w:ascii="Arial" w:eastAsia="Calibri" w:hAnsi="Arial" w:cs="Arial"/>
                <w:szCs w:val="22"/>
              </w:rPr>
              <w:t>GCash</w:t>
            </w:r>
            <w:proofErr w:type="spellEnd"/>
            <w:r w:rsidRPr="00F93702">
              <w:rPr>
                <w:rFonts w:ascii="Arial" w:eastAsia="Calibri" w:hAnsi="Arial" w:cs="Arial"/>
                <w:szCs w:val="22"/>
              </w:rPr>
              <w:t xml:space="preserve"> as their preferred payment platform. Respondents rated mobile payment services highly across various dimensions, particularly in terms of usefulness, compatibility, and convenience. While trust in service providers was high, concerns persisted regarding the potential misuse of personal information. Pearson's correlation analysis revealed a strong positive relationship between the assessed factors and the intention to use mobile payments. The findings highlighted the need for enhanced digital literacy, improved trust safeguards, and increased usability of services to promote the adoption of mobile payments in rural communities.</w:t>
            </w:r>
          </w:p>
        </w:tc>
      </w:tr>
    </w:tbl>
    <w:p w14:paraId="51F16971" w14:textId="77777777" w:rsidR="00636EB2" w:rsidRDefault="00636EB2" w:rsidP="00441B6F">
      <w:pPr>
        <w:pStyle w:val="Body"/>
        <w:spacing w:after="0"/>
        <w:rPr>
          <w:rFonts w:ascii="Arial" w:hAnsi="Arial" w:cs="Arial"/>
          <w:i/>
        </w:rPr>
      </w:pPr>
    </w:p>
    <w:p w14:paraId="3566F54F" w14:textId="79278873" w:rsidR="00A24E7E" w:rsidRDefault="00A24E7E" w:rsidP="00441B6F">
      <w:pPr>
        <w:pStyle w:val="Body"/>
        <w:spacing w:after="0"/>
        <w:rPr>
          <w:rFonts w:ascii="Arial" w:hAnsi="Arial" w:cs="Arial"/>
          <w:i/>
        </w:rPr>
      </w:pPr>
      <w:r>
        <w:rPr>
          <w:rFonts w:ascii="Arial" w:hAnsi="Arial" w:cs="Arial"/>
          <w:i/>
        </w:rPr>
        <w:t xml:space="preserve">Keywords: </w:t>
      </w:r>
      <w:r w:rsidR="00F93702" w:rsidRPr="00F93702">
        <w:rPr>
          <w:rFonts w:ascii="Arial" w:hAnsi="Arial" w:cs="Arial"/>
          <w:i/>
        </w:rPr>
        <w:t>mobile payment services, digital adoption, convenience, compatibility, ease of use, trust, usefulness</w:t>
      </w:r>
    </w:p>
    <w:p w14:paraId="64A3D2CD" w14:textId="77777777" w:rsidR="00505F06" w:rsidRPr="00A24E7E" w:rsidRDefault="00505F06" w:rsidP="00441B6F">
      <w:pPr>
        <w:pStyle w:val="Body"/>
        <w:spacing w:after="0"/>
        <w:rPr>
          <w:rFonts w:ascii="Arial" w:hAnsi="Arial" w:cs="Arial"/>
          <w:i/>
        </w:rPr>
      </w:pPr>
    </w:p>
    <w:p w14:paraId="18AF9ECD" w14:textId="40FBC616"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8D7E9E1" w14:textId="77777777" w:rsidR="00FD6C2A" w:rsidRPr="00FB3A86" w:rsidRDefault="00FD6C2A" w:rsidP="00441B6F">
      <w:pPr>
        <w:pStyle w:val="AbstHead"/>
        <w:spacing w:after="0"/>
        <w:jc w:val="both"/>
        <w:rPr>
          <w:rFonts w:ascii="Arial" w:hAnsi="Arial" w:cs="Arial"/>
        </w:rPr>
      </w:pPr>
    </w:p>
    <w:p w14:paraId="4D01670C" w14:textId="77777777" w:rsidR="00F93702" w:rsidRPr="00F93702" w:rsidRDefault="00F93702" w:rsidP="00F93702">
      <w:pPr>
        <w:pStyle w:val="AbstHead"/>
        <w:jc w:val="both"/>
        <w:rPr>
          <w:rFonts w:ascii="Arial" w:hAnsi="Arial" w:cs="Arial"/>
          <w:b w:val="0"/>
          <w:caps w:val="0"/>
          <w:sz w:val="20"/>
        </w:rPr>
      </w:pPr>
      <w:r w:rsidRPr="00F93702">
        <w:rPr>
          <w:rFonts w:ascii="Arial" w:hAnsi="Arial" w:cs="Arial"/>
          <w:b w:val="0"/>
          <w:caps w:val="0"/>
          <w:sz w:val="20"/>
        </w:rPr>
        <w:t xml:space="preserve">Users' adoption intentions are shaped by perceived value, social norms, and self-image, yet concerns about security risks and transaction fees remain significant barriers (Lin et al., 2020). Although perceived ease of use and usefulness drive positive intentions, issues related to compatibility and trust continue to moderate their impact, especially among young professionals (Sun &amp; </w:t>
      </w:r>
      <w:proofErr w:type="spellStart"/>
      <w:r w:rsidRPr="00F93702">
        <w:rPr>
          <w:rFonts w:ascii="Arial" w:hAnsi="Arial" w:cs="Arial"/>
          <w:b w:val="0"/>
          <w:caps w:val="0"/>
          <w:sz w:val="20"/>
        </w:rPr>
        <w:t>Havidz</w:t>
      </w:r>
      <w:proofErr w:type="spellEnd"/>
      <w:r w:rsidRPr="00F93702">
        <w:rPr>
          <w:rFonts w:ascii="Arial" w:hAnsi="Arial" w:cs="Arial"/>
          <w:b w:val="0"/>
          <w:caps w:val="0"/>
          <w:sz w:val="20"/>
        </w:rPr>
        <w:t xml:space="preserve">, 2019; </w:t>
      </w:r>
      <w:proofErr w:type="spellStart"/>
      <w:r w:rsidRPr="00F93702">
        <w:rPr>
          <w:rFonts w:ascii="Arial" w:hAnsi="Arial" w:cs="Arial"/>
          <w:b w:val="0"/>
          <w:caps w:val="0"/>
          <w:sz w:val="20"/>
        </w:rPr>
        <w:t>Ariffin</w:t>
      </w:r>
      <w:proofErr w:type="spellEnd"/>
      <w:r w:rsidRPr="00F93702">
        <w:rPr>
          <w:rFonts w:ascii="Arial" w:hAnsi="Arial" w:cs="Arial"/>
          <w:b w:val="0"/>
          <w:caps w:val="0"/>
          <w:sz w:val="20"/>
        </w:rPr>
        <w:t xml:space="preserve"> &amp; Lim, 2020). Additionally, while confidence and mobile self-efficacy enhance perceived usefulness, perceived risks can diminish users' willingness to adopt these technologies (Lee et al., 2020).</w:t>
      </w:r>
    </w:p>
    <w:p w14:paraId="49DB237B" w14:textId="77777777" w:rsidR="00F93702" w:rsidRPr="00F93702" w:rsidRDefault="00F93702" w:rsidP="00F93702">
      <w:pPr>
        <w:pStyle w:val="AbstHead"/>
        <w:jc w:val="both"/>
        <w:rPr>
          <w:rFonts w:ascii="Arial" w:hAnsi="Arial" w:cs="Arial"/>
          <w:b w:val="0"/>
          <w:caps w:val="0"/>
          <w:sz w:val="20"/>
        </w:rPr>
      </w:pPr>
      <w:r w:rsidRPr="00F93702">
        <w:rPr>
          <w:rFonts w:ascii="Arial" w:hAnsi="Arial" w:cs="Arial"/>
          <w:b w:val="0"/>
          <w:caps w:val="0"/>
          <w:sz w:val="20"/>
        </w:rPr>
        <w:t xml:space="preserve">The adoption of mobile payment services (MPS) is driven by both functional and social factors, underscoring their growing significance in the digital economy. Research indicates that social influence, perceived value, and self-image are crucial determinants of MPS usage intentions, reflecting the social value associated with adopting such technologies (Lin et al., 2020). Service-related attributes, such as compatibility and trust, not only enhance performance expectations but also contribute to long-term user engagement (Jung et al., 2020; Choi &amp; Kwon, 2022). Furthermore, users' attitudes towards ease of use and convenience mediate </w:t>
      </w:r>
      <w:r w:rsidRPr="00F93702">
        <w:rPr>
          <w:rFonts w:ascii="Arial" w:hAnsi="Arial" w:cs="Arial"/>
          <w:b w:val="0"/>
          <w:caps w:val="0"/>
          <w:sz w:val="20"/>
        </w:rPr>
        <w:lastRenderedPageBreak/>
        <w:t>their willingness to adopt MPS, emphasizing the need for service providers to prioritize user-friendly features and build trust to encourage continued usage (Sari et al., 2022).</w:t>
      </w:r>
    </w:p>
    <w:p w14:paraId="76ED03A4" w14:textId="77777777" w:rsidR="00F93702" w:rsidRPr="00F93702" w:rsidRDefault="00F93702" w:rsidP="00F93702">
      <w:pPr>
        <w:pStyle w:val="AbstHead"/>
        <w:jc w:val="both"/>
        <w:rPr>
          <w:rFonts w:ascii="Arial" w:hAnsi="Arial" w:cs="Arial"/>
          <w:b w:val="0"/>
          <w:caps w:val="0"/>
          <w:sz w:val="20"/>
        </w:rPr>
      </w:pPr>
      <w:r w:rsidRPr="00F93702">
        <w:rPr>
          <w:rFonts w:ascii="Arial" w:hAnsi="Arial" w:cs="Arial"/>
          <w:b w:val="0"/>
          <w:caps w:val="0"/>
          <w:sz w:val="20"/>
        </w:rPr>
        <w:t xml:space="preserve">The intention to adopt and continue using mobile payment services (MPS) is shaped by various interrelated factors. According to the Technology Acceptance Model (TAM), perceived usefulness and convenience influence user attitudes, although trust plays a more decisive role in driving usage intentions (Cao et al., 2016). Performance  </w:t>
      </w:r>
    </w:p>
    <w:p w14:paraId="7DB1A23C" w14:textId="77777777" w:rsidR="00F93702" w:rsidRPr="00F93702" w:rsidRDefault="00F93702" w:rsidP="00F93702">
      <w:pPr>
        <w:pStyle w:val="AbstHead"/>
        <w:jc w:val="both"/>
        <w:rPr>
          <w:rFonts w:ascii="Arial" w:hAnsi="Arial" w:cs="Arial"/>
          <w:b w:val="0"/>
          <w:caps w:val="0"/>
          <w:sz w:val="20"/>
        </w:rPr>
      </w:pPr>
      <w:r w:rsidRPr="00F93702">
        <w:rPr>
          <w:rFonts w:ascii="Arial" w:hAnsi="Arial" w:cs="Arial"/>
          <w:b w:val="0"/>
          <w:caps w:val="0"/>
          <w:sz w:val="20"/>
        </w:rPr>
        <w:t>expectancy, alongside social influence and compatibility, further enhances the adoption of MPS, underscoring the importance for providers to prioritize trust and user confidence (Jung et al., 2020). For continued usage, the Expectation-Confirmation Model (ECM) emphasizes perceived usefulness and satisfaction, with inertia also playing a key role in fostering long-term engagement (Park et al., 2017).</w:t>
      </w:r>
    </w:p>
    <w:p w14:paraId="22A9DB26" w14:textId="77777777" w:rsidR="00F93702" w:rsidRPr="00F93702" w:rsidRDefault="00F93702" w:rsidP="00F93702">
      <w:pPr>
        <w:pStyle w:val="AbstHead"/>
        <w:jc w:val="both"/>
        <w:rPr>
          <w:rFonts w:ascii="Arial" w:hAnsi="Arial" w:cs="Arial"/>
          <w:b w:val="0"/>
          <w:caps w:val="0"/>
          <w:sz w:val="20"/>
        </w:rPr>
      </w:pPr>
      <w:r w:rsidRPr="00F93702">
        <w:rPr>
          <w:rFonts w:ascii="Arial" w:hAnsi="Arial" w:cs="Arial"/>
          <w:b w:val="0"/>
          <w:caps w:val="0"/>
          <w:sz w:val="20"/>
        </w:rPr>
        <w:t xml:space="preserve">Despite the increasing global adoption of mobile payment services (MPS), a significant research gap remains in understanding the factors influencing their usage intention in rural areas, particularly in regions like </w:t>
      </w:r>
      <w:proofErr w:type="spellStart"/>
      <w:r w:rsidRPr="00F93702">
        <w:rPr>
          <w:rFonts w:ascii="Arial" w:hAnsi="Arial" w:cs="Arial"/>
          <w:b w:val="0"/>
          <w:caps w:val="0"/>
          <w:sz w:val="20"/>
        </w:rPr>
        <w:t>Cateel</w:t>
      </w:r>
      <w:proofErr w:type="spellEnd"/>
      <w:r w:rsidRPr="00F93702">
        <w:rPr>
          <w:rFonts w:ascii="Arial" w:hAnsi="Arial" w:cs="Arial"/>
          <w:b w:val="0"/>
          <w:caps w:val="0"/>
          <w:sz w:val="20"/>
        </w:rPr>
        <w:t xml:space="preserve">, Davao Oriental. While existing studies have extensively explored variables such as convenience, ease of use, trust, and perceived usefulness in urban settings, there is limited empirical evidence on how these factors, along with mobility, compatibility, and M-payment knowledge, impact the intention to use MPS in rural communities. Additionally, perceptions of risk and safety, which are crucial determinants of trust, may vary significantly in less technologically developed areas, potentially affecting adoption rates. This gap highlights the need for localized research to examine how these variables interact in a rural context, thereby providing insights for service providers to tailor strategies that can enhance MPS adoption in rural areas, specifically </w:t>
      </w:r>
      <w:proofErr w:type="spellStart"/>
      <w:r w:rsidRPr="00F93702">
        <w:rPr>
          <w:rFonts w:ascii="Arial" w:hAnsi="Arial" w:cs="Arial"/>
          <w:b w:val="0"/>
          <w:caps w:val="0"/>
          <w:sz w:val="20"/>
        </w:rPr>
        <w:t>Poblacion</w:t>
      </w:r>
      <w:proofErr w:type="spellEnd"/>
      <w:r w:rsidRPr="00F93702">
        <w:rPr>
          <w:rFonts w:ascii="Arial" w:hAnsi="Arial" w:cs="Arial"/>
          <w:b w:val="0"/>
          <w:caps w:val="0"/>
          <w:sz w:val="20"/>
        </w:rPr>
        <w:t xml:space="preserve">, </w:t>
      </w:r>
      <w:proofErr w:type="spellStart"/>
      <w:r w:rsidRPr="00F93702">
        <w:rPr>
          <w:rFonts w:ascii="Arial" w:hAnsi="Arial" w:cs="Arial"/>
          <w:b w:val="0"/>
          <w:caps w:val="0"/>
          <w:sz w:val="20"/>
        </w:rPr>
        <w:t>Cateel</w:t>
      </w:r>
      <w:proofErr w:type="spellEnd"/>
      <w:r w:rsidRPr="00F93702">
        <w:rPr>
          <w:rFonts w:ascii="Arial" w:hAnsi="Arial" w:cs="Arial"/>
          <w:b w:val="0"/>
          <w:caps w:val="0"/>
          <w:sz w:val="20"/>
        </w:rPr>
        <w:t>, Davao Oriental.</w:t>
      </w:r>
    </w:p>
    <w:p w14:paraId="5DC2E544" w14:textId="7FA6EA06" w:rsidR="00851412" w:rsidRDefault="00851412" w:rsidP="00F93702">
      <w:pPr>
        <w:pStyle w:val="AbstHead"/>
        <w:spacing w:after="0"/>
        <w:jc w:val="both"/>
        <w:rPr>
          <w:rFonts w:ascii="Arial" w:hAnsi="Arial" w:cs="Arial"/>
        </w:rPr>
      </w:pPr>
    </w:p>
    <w:p w14:paraId="0210950F" w14:textId="75238850" w:rsidR="00790ADA" w:rsidRDefault="00E87B96" w:rsidP="000C53F7">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w:t>
      </w:r>
      <w:r w:rsidR="00FD6C2A">
        <w:rPr>
          <w:rFonts w:ascii="Arial" w:hAnsi="Arial" w:cs="Arial"/>
        </w:rPr>
        <w:t>Y</w:t>
      </w:r>
    </w:p>
    <w:p w14:paraId="1352207E" w14:textId="77777777" w:rsidR="000C53F7" w:rsidRPr="00FB3A86" w:rsidRDefault="000C53F7" w:rsidP="000C53F7">
      <w:pPr>
        <w:pStyle w:val="AbstHead"/>
        <w:spacing w:after="0"/>
        <w:jc w:val="both"/>
        <w:rPr>
          <w:rFonts w:ascii="Arial" w:hAnsi="Arial" w:cs="Arial"/>
        </w:rPr>
      </w:pPr>
    </w:p>
    <w:p w14:paraId="51330D68" w14:textId="2093D202" w:rsidR="00AA74E0" w:rsidRDefault="00E87B96" w:rsidP="00441B6F">
      <w:pPr>
        <w:pStyle w:val="Body"/>
        <w:spacing w:after="0"/>
        <w:rPr>
          <w:rFonts w:ascii="Arial" w:hAnsi="Arial" w:cs="Arial"/>
          <w:b/>
          <w:sz w:val="22"/>
        </w:rPr>
      </w:pPr>
      <w:r>
        <w:rPr>
          <w:rFonts w:ascii="Arial" w:hAnsi="Arial" w:cs="Arial"/>
          <w:b/>
          <w:caps/>
          <w:sz w:val="22"/>
        </w:rPr>
        <w:t>2</w:t>
      </w:r>
      <w:r w:rsidR="00AA74E0" w:rsidRPr="00C30A0F">
        <w:rPr>
          <w:rFonts w:ascii="Arial" w:hAnsi="Arial" w:cs="Arial"/>
          <w:b/>
          <w:caps/>
          <w:sz w:val="22"/>
        </w:rPr>
        <w:t xml:space="preserve">.1 </w:t>
      </w:r>
      <w:r w:rsidR="00103862">
        <w:rPr>
          <w:rFonts w:ascii="Arial" w:hAnsi="Arial" w:cs="Arial"/>
          <w:b/>
          <w:sz w:val="22"/>
        </w:rPr>
        <w:t>Research Design</w:t>
      </w:r>
    </w:p>
    <w:p w14:paraId="03288710" w14:textId="77777777" w:rsidR="00103862" w:rsidRDefault="00103862" w:rsidP="00441B6F">
      <w:pPr>
        <w:pStyle w:val="Body"/>
        <w:spacing w:after="0"/>
        <w:rPr>
          <w:rFonts w:ascii="Arial" w:hAnsi="Arial" w:cs="Arial"/>
        </w:rPr>
      </w:pPr>
    </w:p>
    <w:p w14:paraId="4D7A2B8E" w14:textId="39AA3DAC" w:rsidR="00F93702" w:rsidRPr="00F93702" w:rsidRDefault="00F93702" w:rsidP="00630082">
      <w:pPr>
        <w:jc w:val="both"/>
        <w:rPr>
          <w:rFonts w:ascii="Arial" w:hAnsi="Arial" w:cs="Arial"/>
        </w:rPr>
      </w:pPr>
      <w:r w:rsidRPr="00F93702">
        <w:rPr>
          <w:rFonts w:ascii="Arial" w:hAnsi="Arial" w:cs="Arial"/>
        </w:rPr>
        <w:t>This study employed a quantitative research design that was appropriate for examining the relationships between various factors influencing the intention to use mobile payment services (MPS). Quantitative research designs could be broadly categorized into experimental and non-experimental methods, with the latter further divided into descriptive and analytical studies. The study employed a descriptive-correlational approach, which enabled the identification and measurement of the strength and direction of relationships between key variables, such as Convenience of Mobility, Compatibility, M-payment knowledge, Ease of Use, trust in safety, and Usefulness, in relation to MPS adoption. The descriptive-correlational research design focused on describing phenomena and exploring associations between variables without establishing causality.</w:t>
      </w:r>
      <w:r w:rsidR="00DA0EA3">
        <w:rPr>
          <w:rFonts w:ascii="Arial" w:hAnsi="Arial" w:cs="Arial"/>
        </w:rPr>
        <w:t xml:space="preserve"> </w:t>
      </w:r>
    </w:p>
    <w:p w14:paraId="06770C27" w14:textId="77777777" w:rsidR="00103862" w:rsidRDefault="00103862" w:rsidP="00103862">
      <w:pPr>
        <w:pStyle w:val="Body"/>
        <w:spacing w:after="0"/>
        <w:rPr>
          <w:rFonts w:ascii="Arial" w:hAnsi="Arial" w:cs="Arial"/>
        </w:rPr>
      </w:pPr>
    </w:p>
    <w:p w14:paraId="5D8C9386" w14:textId="5BB0D339"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2</w:t>
      </w:r>
      <w:r w:rsidR="00103862" w:rsidRPr="00C30A0F">
        <w:rPr>
          <w:rFonts w:ascii="Arial" w:hAnsi="Arial" w:cs="Arial"/>
          <w:b/>
          <w:caps/>
          <w:sz w:val="22"/>
        </w:rPr>
        <w:t xml:space="preserve"> </w:t>
      </w:r>
      <w:r w:rsidR="00103862">
        <w:rPr>
          <w:rFonts w:ascii="Arial" w:hAnsi="Arial" w:cs="Arial"/>
          <w:b/>
          <w:sz w:val="22"/>
        </w:rPr>
        <w:t>Research Instrument</w:t>
      </w:r>
    </w:p>
    <w:p w14:paraId="652EB9C3" w14:textId="77777777" w:rsidR="00103862" w:rsidRDefault="00103862" w:rsidP="00103862">
      <w:pPr>
        <w:pStyle w:val="Body"/>
        <w:spacing w:after="0"/>
        <w:rPr>
          <w:rFonts w:ascii="Arial" w:hAnsi="Arial" w:cs="Arial"/>
          <w:b/>
          <w:sz w:val="22"/>
        </w:rPr>
      </w:pPr>
    </w:p>
    <w:p w14:paraId="6DB8BD9A" w14:textId="77777777" w:rsidR="00E03CF5" w:rsidRPr="00E03CF5" w:rsidRDefault="00E03CF5" w:rsidP="00E03CF5">
      <w:pPr>
        <w:pStyle w:val="Body"/>
        <w:rPr>
          <w:rFonts w:ascii="Arial" w:hAnsi="Arial" w:cs="Arial"/>
        </w:rPr>
      </w:pPr>
      <w:r w:rsidRPr="00E03CF5">
        <w:rPr>
          <w:rFonts w:ascii="Arial" w:hAnsi="Arial" w:cs="Arial"/>
        </w:rPr>
        <w:t xml:space="preserve">The primary research instrument for this study was a structured questionnaire adapted from Liu &amp; Tai's (2016) empirical study, designed to measure factors influencing the adoption of mobile payment services (MPS) and their impact on user intention. The questionnaire consisted of multiple sections, beginning with demographic information, followed by items measuring six key constructs relevant to the study. The convenience of Mobility was measured using 7 items, while Compatibility, M-payment knowledge, Ease of Use, and Usefulness each contained 3 items. Meanwhile, the Trust of Safe to Use was assessed with 6 items.  </w:t>
      </w:r>
    </w:p>
    <w:p w14:paraId="21A97F2F" w14:textId="634EAB9D" w:rsidR="003A4A75" w:rsidRDefault="00E03CF5" w:rsidP="00E03CF5">
      <w:pPr>
        <w:pStyle w:val="Body"/>
        <w:spacing w:after="0"/>
        <w:rPr>
          <w:rFonts w:ascii="Arial" w:hAnsi="Arial" w:cs="Arial"/>
        </w:rPr>
      </w:pPr>
      <w:r w:rsidRPr="00E03CF5">
        <w:rPr>
          <w:rFonts w:ascii="Arial" w:hAnsi="Arial" w:cs="Arial"/>
        </w:rPr>
        <w:lastRenderedPageBreak/>
        <w:t xml:space="preserve">Each item was measured using a five-point Likert scale ranging from 1 (Strongly Disagree) to 5 (Strongly Agree). This format enabled the quantifiable analysis of users' perceptions and experiences, ensuring a comprehensive assessment of the variables influencing the intention to adopt MPS. By gathering both demographic and attitudinal data, the questionnaire facilitated a detailed understanding of the most influential factors contributing to MPS usage among residents of </w:t>
      </w:r>
      <w:proofErr w:type="spellStart"/>
      <w:r w:rsidRPr="00E03CF5">
        <w:rPr>
          <w:rFonts w:ascii="Arial" w:hAnsi="Arial" w:cs="Arial"/>
        </w:rPr>
        <w:t>Cateel</w:t>
      </w:r>
      <w:proofErr w:type="spellEnd"/>
      <w:r w:rsidRPr="00E03CF5">
        <w:rPr>
          <w:rFonts w:ascii="Arial" w:hAnsi="Arial" w:cs="Arial"/>
        </w:rPr>
        <w:t>, Davao Oriental.</w:t>
      </w:r>
    </w:p>
    <w:p w14:paraId="6E6E3F26" w14:textId="77777777" w:rsidR="00E03CF5" w:rsidRDefault="00E03CF5" w:rsidP="00E03CF5">
      <w:pPr>
        <w:pStyle w:val="Body"/>
        <w:spacing w:after="0"/>
        <w:rPr>
          <w:rFonts w:ascii="Arial" w:hAnsi="Arial" w:cs="Arial"/>
          <w:b/>
          <w:sz w:val="22"/>
        </w:rPr>
      </w:pPr>
    </w:p>
    <w:p w14:paraId="1CC258AE" w14:textId="751E8B90"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3</w:t>
      </w:r>
      <w:r w:rsidR="00103862" w:rsidRPr="00C30A0F">
        <w:rPr>
          <w:rFonts w:ascii="Arial" w:hAnsi="Arial" w:cs="Arial"/>
          <w:b/>
          <w:caps/>
          <w:sz w:val="22"/>
        </w:rPr>
        <w:t xml:space="preserve"> </w:t>
      </w:r>
      <w:r w:rsidR="00103862">
        <w:rPr>
          <w:rFonts w:ascii="Arial" w:hAnsi="Arial" w:cs="Arial"/>
          <w:b/>
          <w:sz w:val="22"/>
        </w:rPr>
        <w:t>Respondents of the Study</w:t>
      </w:r>
    </w:p>
    <w:p w14:paraId="63A3235F" w14:textId="77777777" w:rsidR="0057535D" w:rsidRDefault="0057535D" w:rsidP="00103862">
      <w:pPr>
        <w:pStyle w:val="Body"/>
        <w:spacing w:after="0"/>
        <w:rPr>
          <w:rFonts w:ascii="Arial" w:hAnsi="Arial" w:cs="Arial"/>
        </w:rPr>
      </w:pPr>
    </w:p>
    <w:p w14:paraId="1A829691" w14:textId="77777777" w:rsidR="00E03CF5" w:rsidRPr="00E03CF5" w:rsidRDefault="00E03CF5" w:rsidP="00E03CF5">
      <w:pPr>
        <w:pStyle w:val="Body"/>
        <w:rPr>
          <w:rFonts w:ascii="Arial" w:hAnsi="Arial" w:cs="Arial"/>
        </w:rPr>
      </w:pPr>
      <w:r w:rsidRPr="00E03CF5">
        <w:rPr>
          <w:rFonts w:ascii="Arial" w:hAnsi="Arial" w:cs="Arial"/>
        </w:rPr>
        <w:t xml:space="preserve">The respondents for this study consisted of 246 consumers in Barangay </w:t>
      </w:r>
      <w:proofErr w:type="spellStart"/>
      <w:r w:rsidRPr="00E03CF5">
        <w:rPr>
          <w:rFonts w:ascii="Arial" w:hAnsi="Arial" w:cs="Arial"/>
        </w:rPr>
        <w:t>Poblacion</w:t>
      </w:r>
      <w:proofErr w:type="spellEnd"/>
      <w:r w:rsidRPr="00E03CF5">
        <w:rPr>
          <w:rFonts w:ascii="Arial" w:hAnsi="Arial" w:cs="Arial"/>
        </w:rPr>
        <w:t xml:space="preserve">, </w:t>
      </w:r>
      <w:proofErr w:type="spellStart"/>
      <w:r w:rsidRPr="00E03CF5">
        <w:rPr>
          <w:rFonts w:ascii="Arial" w:hAnsi="Arial" w:cs="Arial"/>
        </w:rPr>
        <w:t>Cateel</w:t>
      </w:r>
      <w:proofErr w:type="spellEnd"/>
      <w:r w:rsidRPr="00E03CF5">
        <w:rPr>
          <w:rFonts w:ascii="Arial" w:hAnsi="Arial" w:cs="Arial"/>
        </w:rPr>
        <w:t xml:space="preserve">, Davao Oriental, who were selected based on their potential or current use of mobile payment services. Including a diverse group of consumers provided insights into various perspectives regarding the adoption of mobile payment services (MPS).  </w:t>
      </w:r>
    </w:p>
    <w:p w14:paraId="50D67840" w14:textId="1A031E30" w:rsidR="0057535D" w:rsidRDefault="00E03CF5" w:rsidP="00E03CF5">
      <w:pPr>
        <w:pStyle w:val="Body"/>
        <w:spacing w:after="0"/>
        <w:rPr>
          <w:rFonts w:ascii="Arial" w:hAnsi="Arial" w:cs="Arial"/>
        </w:rPr>
      </w:pPr>
      <w:r w:rsidRPr="00E03CF5">
        <w:rPr>
          <w:rFonts w:ascii="Arial" w:hAnsi="Arial" w:cs="Arial"/>
        </w:rPr>
        <w:t>To ensure representativeness and reliability, the study employed a stratified random sampling technique, dividing the population into strata based on key characteristics, including age, income, and technology usage. A random sample was then selected from each stratum to proportionally represent different demographic groups, enabling a comprehensive analysis of factors influencing the intention to adopt mobile payment services. Stratified random sampling (SRS) has proven to be an efficient method for sampling and estimation, as it enhances accuracy by ensuring that all subgroups are represented.</w:t>
      </w:r>
    </w:p>
    <w:p w14:paraId="0AFF787E" w14:textId="77777777" w:rsidR="00E03CF5" w:rsidRDefault="00E03CF5" w:rsidP="00E03CF5">
      <w:pPr>
        <w:pStyle w:val="Body"/>
        <w:spacing w:after="0"/>
        <w:rPr>
          <w:rFonts w:ascii="Arial" w:hAnsi="Arial" w:cs="Arial"/>
        </w:rPr>
      </w:pPr>
    </w:p>
    <w:p w14:paraId="6EF6833B" w14:textId="4EC62412" w:rsidR="00902823" w:rsidRDefault="00E253E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633E0CF3" w14:textId="77777777" w:rsidR="00851412" w:rsidRDefault="00851412" w:rsidP="00851412">
      <w:pPr>
        <w:pStyle w:val="Body"/>
        <w:spacing w:after="0"/>
        <w:rPr>
          <w:rFonts w:ascii="Arial" w:hAnsi="Arial" w:cs="Arial"/>
          <w:b/>
          <w:caps/>
          <w:sz w:val="22"/>
        </w:rPr>
      </w:pPr>
    </w:p>
    <w:p w14:paraId="79009573" w14:textId="5154E1FB" w:rsidR="00851412" w:rsidRDefault="00E253E0" w:rsidP="00851412">
      <w:pPr>
        <w:pStyle w:val="Body"/>
        <w:spacing w:after="0"/>
        <w:rPr>
          <w:rFonts w:ascii="Arial" w:hAnsi="Arial" w:cs="Arial"/>
          <w:b/>
          <w:sz w:val="22"/>
        </w:rPr>
      </w:pPr>
      <w:r>
        <w:rPr>
          <w:rFonts w:ascii="Arial" w:hAnsi="Arial" w:cs="Arial"/>
          <w:b/>
          <w:caps/>
          <w:sz w:val="22"/>
        </w:rPr>
        <w:t>3</w:t>
      </w:r>
      <w:r w:rsidR="00851412">
        <w:rPr>
          <w:rFonts w:ascii="Arial" w:hAnsi="Arial" w:cs="Arial"/>
          <w:b/>
          <w:caps/>
          <w:sz w:val="22"/>
        </w:rPr>
        <w:t>.1</w:t>
      </w:r>
      <w:r w:rsidR="00851412" w:rsidRPr="00C30A0F">
        <w:rPr>
          <w:rFonts w:ascii="Arial" w:hAnsi="Arial" w:cs="Arial"/>
          <w:b/>
          <w:caps/>
          <w:sz w:val="22"/>
        </w:rPr>
        <w:t xml:space="preserve"> </w:t>
      </w:r>
      <w:r w:rsidR="00851412" w:rsidRPr="00851412">
        <w:rPr>
          <w:rFonts w:ascii="Arial" w:hAnsi="Arial" w:cs="Arial"/>
          <w:b/>
          <w:sz w:val="22"/>
        </w:rPr>
        <w:t>Profile</w:t>
      </w:r>
      <w:r w:rsidR="00E03CF5">
        <w:rPr>
          <w:rFonts w:ascii="Arial" w:hAnsi="Arial" w:cs="Arial"/>
          <w:b/>
          <w:sz w:val="22"/>
        </w:rPr>
        <w:t xml:space="preserve"> of Respondents</w:t>
      </w:r>
    </w:p>
    <w:p w14:paraId="5EC9E7D2" w14:textId="77777777" w:rsidR="004208F9" w:rsidRDefault="004208F9" w:rsidP="00851412">
      <w:pPr>
        <w:pStyle w:val="Body"/>
        <w:spacing w:after="0"/>
        <w:rPr>
          <w:rFonts w:ascii="Arial" w:hAnsi="Arial" w:cs="Arial"/>
          <w:b/>
          <w:sz w:val="22"/>
        </w:rPr>
      </w:pPr>
    </w:p>
    <w:p w14:paraId="4602D287" w14:textId="25848A03" w:rsidR="00084C83" w:rsidRPr="00084C83" w:rsidRDefault="00AB00E6" w:rsidP="00084C83">
      <w:pPr>
        <w:pStyle w:val="Body"/>
        <w:rPr>
          <w:rFonts w:ascii="Arial" w:hAnsi="Arial" w:cs="Arial"/>
        </w:rPr>
      </w:pPr>
      <w:r w:rsidRPr="00AB00E6">
        <w:rPr>
          <w:rFonts w:ascii="Arial" w:hAnsi="Arial" w:cs="Arial"/>
        </w:rPr>
        <w:t>‎</w:t>
      </w:r>
      <w:r w:rsidR="00084C83" w:rsidRPr="00084C83">
        <w:rPr>
          <w:rFonts w:ascii="Arial" w:hAnsi="Arial" w:cs="Arial"/>
        </w:rPr>
        <w:t xml:space="preserve">The demographic results reveal that a greater proportion of respondents were female (49.59%) compared to males (41.06%), with a smaller group preferring not to disclose their gender. </w:t>
      </w:r>
      <w:proofErr w:type="spellStart"/>
      <w:r w:rsidR="00084C83" w:rsidRPr="00084C83">
        <w:rPr>
          <w:rFonts w:ascii="Arial" w:hAnsi="Arial" w:cs="Arial"/>
        </w:rPr>
        <w:t>Humbani</w:t>
      </w:r>
      <w:proofErr w:type="spellEnd"/>
      <w:r w:rsidR="00084C83" w:rsidRPr="00084C83">
        <w:rPr>
          <w:rFonts w:ascii="Arial" w:hAnsi="Arial" w:cs="Arial"/>
        </w:rPr>
        <w:t xml:space="preserve"> and Wiese (201</w:t>
      </w:r>
      <w:r w:rsidR="00DA0EA3">
        <w:rPr>
          <w:rFonts w:ascii="Arial" w:hAnsi="Arial" w:cs="Arial"/>
        </w:rPr>
        <w:t>7</w:t>
      </w:r>
      <w:r w:rsidR="00084C83" w:rsidRPr="00084C83">
        <w:rPr>
          <w:rFonts w:ascii="Arial" w:hAnsi="Arial" w:cs="Arial"/>
        </w:rPr>
        <w:t xml:space="preserve">) note that women increasingly adopt mobile technologies when these tools are practical and beneficial to their routines, which helps explain their higher representation in the study. This deviates from earlier findings by </w:t>
      </w:r>
      <w:proofErr w:type="spellStart"/>
      <w:r w:rsidR="00084C83" w:rsidRPr="00084C83">
        <w:rPr>
          <w:rFonts w:ascii="Arial" w:hAnsi="Arial" w:cs="Arial"/>
        </w:rPr>
        <w:t>Kalinić</w:t>
      </w:r>
      <w:proofErr w:type="spellEnd"/>
      <w:r w:rsidR="00084C83" w:rsidRPr="00084C83">
        <w:rPr>
          <w:rFonts w:ascii="Arial" w:hAnsi="Arial" w:cs="Arial"/>
        </w:rPr>
        <w:t xml:space="preserve"> et al. (2019), who suggested men typically adopt digital payments earlier due to social influence. The implication of this shift is that mobile payment service (MPS) providers should tailor their communication and interface designs to appeal to women’s priorities—such as convenience and efficiency—while still considering men’s tendency to adopt technologies influenced by their social environment. This gender pattern also suggests that digital payment adoption in rural communities is becoming more inclusive, reducing gender gaps in technology use.</w:t>
      </w:r>
    </w:p>
    <w:p w14:paraId="18F066D9" w14:textId="6B8168F4" w:rsidR="00084C83" w:rsidRPr="00084C83" w:rsidRDefault="00084C83" w:rsidP="00084C83">
      <w:pPr>
        <w:pStyle w:val="Body"/>
        <w:rPr>
          <w:rFonts w:ascii="Arial" w:hAnsi="Arial" w:cs="Arial"/>
        </w:rPr>
      </w:pPr>
      <w:r w:rsidRPr="00084C83">
        <w:rPr>
          <w:rFonts w:ascii="Arial" w:hAnsi="Arial" w:cs="Arial"/>
        </w:rPr>
        <w:t>Income distribution shows that a vast majority of respondents (87.40%) earn ₱20,000 and below. Despite limited financial resources, this group demonstrates strong mobile payment usage, supporting the claim of Prakash et al. (2022) that mobile payments help reduce financial stress by offering simple, low-cost transaction methods. Likewise, Banerjee and Pradhan (202</w:t>
      </w:r>
      <w:r w:rsidR="00572726">
        <w:rPr>
          <w:rFonts w:ascii="Arial" w:hAnsi="Arial" w:cs="Arial"/>
        </w:rPr>
        <w:t>4</w:t>
      </w:r>
      <w:r w:rsidRPr="00084C83">
        <w:rPr>
          <w:rFonts w:ascii="Arial" w:hAnsi="Arial" w:cs="Arial"/>
        </w:rPr>
        <w:t>) emphasized that subjective norms—such as family and peer influence—significantly shape financial-tech adoption in low-income communities. The implication is that MPS providers should strengthen awareness programs targeting low-income groups, highlighting how mobile payments support daily financial needs. Additionally, promoting peer-based referrals or community-centered digital literacy programs can further boost adoption, as these groups tend to rely heavily on social circles when adopting new technologies.</w:t>
      </w:r>
    </w:p>
    <w:p w14:paraId="5BE10AFD" w14:textId="50532CF9" w:rsidR="00084C83" w:rsidRPr="00084C83" w:rsidRDefault="00084C83" w:rsidP="00084C83">
      <w:pPr>
        <w:pStyle w:val="Body"/>
        <w:rPr>
          <w:rFonts w:ascii="Arial" w:hAnsi="Arial" w:cs="Arial"/>
        </w:rPr>
      </w:pPr>
      <w:r w:rsidRPr="00084C83">
        <w:rPr>
          <w:rFonts w:ascii="Arial" w:hAnsi="Arial" w:cs="Arial"/>
        </w:rPr>
        <w:t xml:space="preserve">Educational level data show that the majority are undergraduates (67.07%), followed by graduates (32.11%) and a very small portion of postgraduates (0.81%). This aligns with Carter and Yeo (2016), who found that undergraduates exhibit higher engagement with mobile technologies, likely due to greater technological exposure and reliance on mobile apps for </w:t>
      </w:r>
      <w:r w:rsidRPr="00084C83">
        <w:rPr>
          <w:rFonts w:ascii="Arial" w:hAnsi="Arial" w:cs="Arial"/>
        </w:rPr>
        <w:lastRenderedPageBreak/>
        <w:t xml:space="preserve">daily tasks. </w:t>
      </w:r>
      <w:proofErr w:type="spellStart"/>
      <w:r w:rsidRPr="00084C83">
        <w:rPr>
          <w:rFonts w:ascii="Arial" w:hAnsi="Arial" w:cs="Arial"/>
        </w:rPr>
        <w:t>Salubi</w:t>
      </w:r>
      <w:proofErr w:type="spellEnd"/>
      <w:r w:rsidRPr="00084C83">
        <w:rPr>
          <w:rFonts w:ascii="Arial" w:hAnsi="Arial" w:cs="Arial"/>
        </w:rPr>
        <w:t xml:space="preserve"> (2021) also supports this finding, noting that undergraduates frequently use mobile phones for both academic and personal purposes, reflecting high digital familiarity. The implication for MPS providers is that educational institutions and youth-centered digital ecosystems serve as ideal gateways for mobile payment promotion. By introducing student-friendly services, academic-related payment features, or campus-based financial workshops, mobile payment companies can further strengthen adoption among younger, tech-savvy populations.</w:t>
      </w:r>
    </w:p>
    <w:p w14:paraId="3D553B65" w14:textId="2EA7C65A" w:rsidR="00084C83" w:rsidRDefault="00084C83" w:rsidP="00084C83">
      <w:pPr>
        <w:pStyle w:val="Body"/>
        <w:rPr>
          <w:rFonts w:ascii="Arial" w:hAnsi="Arial" w:cs="Arial"/>
        </w:rPr>
      </w:pPr>
      <w:r w:rsidRPr="00084C83">
        <w:rPr>
          <w:rFonts w:ascii="Arial" w:hAnsi="Arial" w:cs="Arial"/>
        </w:rPr>
        <w:t xml:space="preserve">Lastly, the overwhelming preference for </w:t>
      </w:r>
      <w:proofErr w:type="spellStart"/>
      <w:r w:rsidRPr="00084C83">
        <w:rPr>
          <w:rFonts w:ascii="Arial" w:hAnsi="Arial" w:cs="Arial"/>
        </w:rPr>
        <w:t>GCash</w:t>
      </w:r>
      <w:proofErr w:type="spellEnd"/>
      <w:r w:rsidRPr="00084C83">
        <w:rPr>
          <w:rFonts w:ascii="Arial" w:hAnsi="Arial" w:cs="Arial"/>
        </w:rPr>
        <w:t xml:space="preserve"> (99.59%) indicates its dominance in the digital payment landscape</w:t>
      </w:r>
      <w:r w:rsidR="00572726">
        <w:rPr>
          <w:rFonts w:ascii="Arial" w:hAnsi="Arial" w:cs="Arial"/>
        </w:rPr>
        <w:t xml:space="preserve">. </w:t>
      </w:r>
      <w:r w:rsidRPr="00084C83">
        <w:rPr>
          <w:rFonts w:ascii="Arial" w:hAnsi="Arial" w:cs="Arial"/>
        </w:rPr>
        <w:t>Although its popularity stems from accessibility and user-friendly features</w:t>
      </w:r>
      <w:r w:rsidR="00572726">
        <w:rPr>
          <w:rFonts w:ascii="Arial" w:hAnsi="Arial" w:cs="Arial"/>
        </w:rPr>
        <w:t xml:space="preserve"> but</w:t>
      </w:r>
      <w:r w:rsidRPr="00084C83">
        <w:rPr>
          <w:rFonts w:ascii="Arial" w:hAnsi="Arial" w:cs="Arial"/>
        </w:rPr>
        <w:t xml:space="preserve"> only a small percentage of the adult population nationwide actively uses mobile payments, largely due to security concerns and limited financial education. The implication of this strong preference is that </w:t>
      </w:r>
      <w:proofErr w:type="spellStart"/>
      <w:r w:rsidRPr="00084C83">
        <w:rPr>
          <w:rFonts w:ascii="Arial" w:hAnsi="Arial" w:cs="Arial"/>
        </w:rPr>
        <w:t>GCash</w:t>
      </w:r>
      <w:proofErr w:type="spellEnd"/>
      <w:r w:rsidRPr="00084C83">
        <w:rPr>
          <w:rFonts w:ascii="Arial" w:hAnsi="Arial" w:cs="Arial"/>
        </w:rPr>
        <w:t xml:space="preserve"> has a unique opportunity to push financial inclusion further by addressing common barriers like security awareness and user education. Meanwhile, policymakers and local leaders can collaborate with </w:t>
      </w:r>
      <w:proofErr w:type="spellStart"/>
      <w:r w:rsidRPr="00084C83">
        <w:rPr>
          <w:rFonts w:ascii="Arial" w:hAnsi="Arial" w:cs="Arial"/>
        </w:rPr>
        <w:t>GCash</w:t>
      </w:r>
      <w:proofErr w:type="spellEnd"/>
      <w:r w:rsidRPr="00084C83">
        <w:rPr>
          <w:rFonts w:ascii="Arial" w:hAnsi="Arial" w:cs="Arial"/>
        </w:rPr>
        <w:t xml:space="preserve"> to develop programs that empower rural communities by integrating mobile payments into local businesses, public services, and small-scale entrepreneurship.</w:t>
      </w:r>
    </w:p>
    <w:p w14:paraId="31C4AD00" w14:textId="357C852C" w:rsidR="00FC7B34" w:rsidRPr="004C4C0F" w:rsidRDefault="00FC7B34" w:rsidP="004C4C0F">
      <w:pPr>
        <w:pStyle w:val="Body"/>
        <w:rPr>
          <w:rFonts w:ascii="Arial" w:hAnsi="Arial" w:cs="Arial"/>
        </w:rPr>
      </w:pPr>
      <w:r>
        <w:rPr>
          <w:rFonts w:ascii="Arial" w:hAnsi="Arial"/>
          <w:b/>
        </w:rPr>
        <w:t xml:space="preserve">Table </w:t>
      </w:r>
      <w:r w:rsidR="00AB00E6">
        <w:rPr>
          <w:rFonts w:ascii="Arial" w:hAnsi="Arial"/>
          <w:b/>
        </w:rPr>
        <w:t>1</w:t>
      </w:r>
      <w:r>
        <w:rPr>
          <w:rFonts w:ascii="Arial" w:hAnsi="Arial"/>
          <w:b/>
        </w:rPr>
        <w:t>.</w:t>
      </w:r>
      <w:r w:rsidR="00630082">
        <w:rPr>
          <w:rFonts w:ascii="Arial" w:hAnsi="Arial"/>
          <w:b/>
        </w:rPr>
        <w:tab/>
      </w:r>
      <w:r w:rsidR="002A1033" w:rsidRPr="002A1033">
        <w:rPr>
          <w:rFonts w:ascii="Arial" w:hAnsi="Arial"/>
          <w:b/>
          <w:color w:val="000000" w:themeColor="text1"/>
        </w:rPr>
        <w:t>F</w:t>
      </w:r>
      <w:r w:rsidR="00D21CE6" w:rsidRPr="002A1033">
        <w:rPr>
          <w:rFonts w:ascii="Arial" w:hAnsi="Arial"/>
          <w:b/>
          <w:color w:val="000000" w:themeColor="text1"/>
        </w:rPr>
        <w:t>requency and percentage distribution of respondents by demographic characteristics</w:t>
      </w:r>
    </w:p>
    <w:tbl>
      <w:tblPr>
        <w:tblpPr w:leftFromText="180" w:rightFromText="180" w:vertAnchor="text" w:horzAnchor="margin" w:tblpY="47"/>
        <w:tblW w:w="5000" w:type="pct"/>
        <w:tblLook w:val="04A0" w:firstRow="1" w:lastRow="0" w:firstColumn="1" w:lastColumn="0" w:noHBand="0" w:noVBand="1"/>
      </w:tblPr>
      <w:tblGrid>
        <w:gridCol w:w="3870"/>
        <w:gridCol w:w="1899"/>
        <w:gridCol w:w="2439"/>
      </w:tblGrid>
      <w:tr w:rsidR="00204C4A" w:rsidRPr="00204C4A" w14:paraId="40E896BA" w14:textId="77777777" w:rsidTr="00E90A1C">
        <w:trPr>
          <w:trHeight w:val="144"/>
        </w:trPr>
        <w:tc>
          <w:tcPr>
            <w:tcW w:w="2357" w:type="pct"/>
            <w:tcBorders>
              <w:top w:val="single" w:sz="4" w:space="0" w:color="auto"/>
              <w:bottom w:val="single" w:sz="4" w:space="0" w:color="auto"/>
            </w:tcBorders>
            <w:vAlign w:val="center"/>
            <w:hideMark/>
          </w:tcPr>
          <w:p w14:paraId="4BBC747F" w14:textId="77777777" w:rsidR="00204C4A" w:rsidRPr="00C51CC0" w:rsidRDefault="00204C4A" w:rsidP="00204C4A">
            <w:pPr>
              <w:jc w:val="center"/>
              <w:rPr>
                <w:rFonts w:ascii="Arial" w:eastAsia="Yu Gothic" w:hAnsi="Arial" w:cs="Arial"/>
                <w:b/>
                <w:bCs/>
                <w:color w:val="000000"/>
                <w:kern w:val="2"/>
                <w:lang w:eastAsia="ja-JP"/>
              </w:rPr>
            </w:pPr>
            <w:r w:rsidRPr="00C51CC0">
              <w:rPr>
                <w:rFonts w:ascii="Arial" w:eastAsia="Yu Gothic" w:hAnsi="Arial" w:cs="Arial"/>
                <w:b/>
                <w:color w:val="000000"/>
                <w:kern w:val="2"/>
                <w:lang w:eastAsia="ja-JP"/>
              </w:rPr>
              <w:t>Demographic Items</w:t>
            </w:r>
          </w:p>
        </w:tc>
        <w:tc>
          <w:tcPr>
            <w:tcW w:w="1157" w:type="pct"/>
            <w:tcBorders>
              <w:top w:val="single" w:sz="4" w:space="0" w:color="auto"/>
              <w:bottom w:val="single" w:sz="4" w:space="0" w:color="auto"/>
            </w:tcBorders>
            <w:vAlign w:val="center"/>
            <w:hideMark/>
          </w:tcPr>
          <w:p w14:paraId="17CE196C" w14:textId="77777777" w:rsidR="00204C4A" w:rsidRPr="00C51CC0" w:rsidRDefault="00204C4A" w:rsidP="00204C4A">
            <w:pPr>
              <w:jc w:val="center"/>
              <w:rPr>
                <w:rFonts w:ascii="Arial" w:eastAsia="Yu Gothic" w:hAnsi="Arial" w:cs="Arial"/>
                <w:b/>
                <w:bCs/>
                <w:color w:val="000000"/>
                <w:kern w:val="2"/>
                <w:lang w:eastAsia="ja-JP"/>
              </w:rPr>
            </w:pPr>
            <w:r w:rsidRPr="00C51CC0">
              <w:rPr>
                <w:rFonts w:ascii="Arial" w:eastAsia="Yu Gothic" w:hAnsi="Arial" w:cs="Arial"/>
                <w:b/>
                <w:color w:val="000000"/>
                <w:kern w:val="2"/>
                <w:lang w:eastAsia="ja-JP"/>
              </w:rPr>
              <w:t>Frequency</w:t>
            </w:r>
          </w:p>
        </w:tc>
        <w:tc>
          <w:tcPr>
            <w:tcW w:w="1485" w:type="pct"/>
            <w:tcBorders>
              <w:top w:val="single" w:sz="4" w:space="0" w:color="auto"/>
              <w:bottom w:val="single" w:sz="4" w:space="0" w:color="auto"/>
            </w:tcBorders>
            <w:vAlign w:val="center"/>
            <w:hideMark/>
          </w:tcPr>
          <w:p w14:paraId="58B207F8" w14:textId="77777777" w:rsidR="00204C4A" w:rsidRPr="00C51CC0" w:rsidRDefault="00204C4A" w:rsidP="00204C4A">
            <w:pPr>
              <w:jc w:val="center"/>
              <w:rPr>
                <w:rFonts w:ascii="Arial" w:eastAsia="Yu Gothic" w:hAnsi="Arial" w:cs="Arial"/>
                <w:b/>
                <w:bCs/>
                <w:color w:val="000000"/>
                <w:kern w:val="2"/>
                <w:lang w:eastAsia="ja-JP"/>
              </w:rPr>
            </w:pPr>
            <w:r w:rsidRPr="00C51CC0">
              <w:rPr>
                <w:rFonts w:ascii="Arial" w:eastAsia="Yu Gothic" w:hAnsi="Arial" w:cs="Arial"/>
                <w:b/>
                <w:color w:val="000000"/>
                <w:kern w:val="2"/>
                <w:lang w:eastAsia="ja-JP"/>
              </w:rPr>
              <w:t>Percent</w:t>
            </w:r>
          </w:p>
        </w:tc>
      </w:tr>
      <w:tr w:rsidR="00204C4A" w:rsidRPr="00204C4A" w14:paraId="3A12ED91" w14:textId="77777777" w:rsidTr="00204C4A">
        <w:trPr>
          <w:trHeight w:val="144"/>
        </w:trPr>
        <w:tc>
          <w:tcPr>
            <w:tcW w:w="5000" w:type="pct"/>
            <w:gridSpan w:val="3"/>
          </w:tcPr>
          <w:p w14:paraId="130ECE74" w14:textId="77777777" w:rsidR="00204C4A" w:rsidRPr="00C51CC0" w:rsidRDefault="00204C4A" w:rsidP="00204C4A">
            <w:pPr>
              <w:rPr>
                <w:rFonts w:ascii="Arial" w:eastAsia="Yu Gothic" w:hAnsi="Arial" w:cs="Arial"/>
                <w:color w:val="000000"/>
                <w:kern w:val="2"/>
                <w:lang w:eastAsia="ja-JP"/>
              </w:rPr>
            </w:pPr>
            <w:r w:rsidRPr="00C51CC0">
              <w:rPr>
                <w:rFonts w:ascii="Arial" w:eastAsia="Yu Gothic" w:hAnsi="Arial" w:cs="Arial"/>
                <w:b/>
                <w:color w:val="000000"/>
                <w:kern w:val="2"/>
                <w:lang w:val="en-PH" w:eastAsia="ja-JP"/>
              </w:rPr>
              <w:t>Gender</w:t>
            </w:r>
          </w:p>
        </w:tc>
      </w:tr>
      <w:tr w:rsidR="00204C4A" w:rsidRPr="00204C4A" w14:paraId="65A9335C" w14:textId="77777777" w:rsidTr="00E90A1C">
        <w:trPr>
          <w:trHeight w:val="144"/>
        </w:trPr>
        <w:tc>
          <w:tcPr>
            <w:tcW w:w="2357" w:type="pct"/>
          </w:tcPr>
          <w:p w14:paraId="03309AB6" w14:textId="77777777" w:rsidR="00204C4A" w:rsidRPr="00C51CC0" w:rsidRDefault="00204C4A" w:rsidP="00204C4A">
            <w:pPr>
              <w:ind w:firstLine="720"/>
              <w:rPr>
                <w:rFonts w:ascii="Arial" w:eastAsia="Yu Gothic" w:hAnsi="Arial" w:cs="Arial"/>
                <w:color w:val="000000"/>
                <w:kern w:val="2"/>
                <w:lang w:eastAsia="ja-JP"/>
              </w:rPr>
            </w:pPr>
            <w:r w:rsidRPr="00C51CC0">
              <w:rPr>
                <w:rFonts w:ascii="Arial" w:eastAsia="Yu Gothic" w:hAnsi="Arial" w:cs="Arial"/>
                <w:color w:val="000000"/>
                <w:kern w:val="2"/>
                <w:lang w:val="en-PH" w:eastAsia="ja-JP"/>
              </w:rPr>
              <w:t>Male</w:t>
            </w:r>
          </w:p>
        </w:tc>
        <w:tc>
          <w:tcPr>
            <w:tcW w:w="1157" w:type="pct"/>
            <w:noWrap/>
          </w:tcPr>
          <w:p w14:paraId="7AABF315" w14:textId="4AC1812C" w:rsidR="00204C4A" w:rsidRPr="00C51CC0" w:rsidRDefault="00204C4A"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val="en-PH" w:eastAsia="ja-JP"/>
              </w:rPr>
              <w:t>1</w:t>
            </w:r>
            <w:r w:rsidR="00084C83" w:rsidRPr="00C51CC0">
              <w:rPr>
                <w:rFonts w:ascii="Arial" w:eastAsia="Yu Gothic" w:hAnsi="Arial" w:cs="Arial"/>
                <w:color w:val="000000"/>
                <w:kern w:val="2"/>
                <w:lang w:val="en-PH" w:eastAsia="ja-JP"/>
              </w:rPr>
              <w:t>01</w:t>
            </w:r>
          </w:p>
        </w:tc>
        <w:tc>
          <w:tcPr>
            <w:tcW w:w="1485" w:type="pct"/>
            <w:noWrap/>
          </w:tcPr>
          <w:p w14:paraId="31996AF6" w14:textId="191643FD" w:rsidR="00204C4A" w:rsidRPr="00C51CC0" w:rsidRDefault="00204C4A"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val="en-PH" w:eastAsia="ja-JP"/>
              </w:rPr>
              <w:t>4</w:t>
            </w:r>
            <w:r w:rsidR="00084C83" w:rsidRPr="00C51CC0">
              <w:rPr>
                <w:rFonts w:ascii="Arial" w:eastAsia="Yu Gothic" w:hAnsi="Arial" w:cs="Arial"/>
                <w:color w:val="000000"/>
                <w:kern w:val="2"/>
                <w:lang w:val="en-PH" w:eastAsia="ja-JP"/>
              </w:rPr>
              <w:t>1.06</w:t>
            </w:r>
          </w:p>
        </w:tc>
      </w:tr>
      <w:tr w:rsidR="00204C4A" w:rsidRPr="00204C4A" w14:paraId="699EB72F" w14:textId="77777777" w:rsidTr="00E90A1C">
        <w:trPr>
          <w:trHeight w:val="144"/>
        </w:trPr>
        <w:tc>
          <w:tcPr>
            <w:tcW w:w="2357" w:type="pct"/>
          </w:tcPr>
          <w:p w14:paraId="27244204" w14:textId="77777777" w:rsidR="00204C4A" w:rsidRPr="00C51CC0" w:rsidRDefault="00204C4A" w:rsidP="00204C4A">
            <w:pPr>
              <w:ind w:firstLine="720"/>
              <w:rPr>
                <w:rFonts w:ascii="Arial" w:eastAsia="Yu Gothic" w:hAnsi="Arial" w:cs="Arial"/>
                <w:color w:val="000000"/>
                <w:kern w:val="2"/>
                <w:lang w:eastAsia="ja-JP"/>
              </w:rPr>
            </w:pPr>
            <w:r w:rsidRPr="00C51CC0">
              <w:rPr>
                <w:rFonts w:ascii="Arial" w:eastAsia="Yu Gothic" w:hAnsi="Arial" w:cs="Arial"/>
                <w:color w:val="000000"/>
                <w:kern w:val="2"/>
                <w:lang w:val="en-PH" w:eastAsia="ja-JP"/>
              </w:rPr>
              <w:t>Female</w:t>
            </w:r>
          </w:p>
        </w:tc>
        <w:tc>
          <w:tcPr>
            <w:tcW w:w="1157" w:type="pct"/>
            <w:noWrap/>
          </w:tcPr>
          <w:p w14:paraId="35055504" w14:textId="5383C4EC" w:rsidR="00204C4A" w:rsidRPr="00C51CC0" w:rsidRDefault="00084C83"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eastAsia="ja-JP"/>
              </w:rPr>
              <w:t>122</w:t>
            </w:r>
          </w:p>
        </w:tc>
        <w:tc>
          <w:tcPr>
            <w:tcW w:w="1485" w:type="pct"/>
            <w:noWrap/>
          </w:tcPr>
          <w:p w14:paraId="289B51D2" w14:textId="441F6701" w:rsidR="00204C4A" w:rsidRPr="00C51CC0" w:rsidRDefault="00084C83"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eastAsia="ja-JP"/>
              </w:rPr>
              <w:t>49.59</w:t>
            </w:r>
          </w:p>
        </w:tc>
      </w:tr>
      <w:tr w:rsidR="00084C83" w:rsidRPr="00204C4A" w14:paraId="3234B043" w14:textId="77777777" w:rsidTr="00E90A1C">
        <w:trPr>
          <w:trHeight w:val="144"/>
        </w:trPr>
        <w:tc>
          <w:tcPr>
            <w:tcW w:w="2357" w:type="pct"/>
          </w:tcPr>
          <w:p w14:paraId="69865E87" w14:textId="13CAEB81" w:rsidR="00084C83" w:rsidRPr="00C51CC0" w:rsidRDefault="00084C83" w:rsidP="00204C4A">
            <w:pPr>
              <w:ind w:firstLine="720"/>
              <w:rPr>
                <w:rFonts w:ascii="Arial" w:eastAsia="Yu Gothic" w:hAnsi="Arial" w:cs="Arial"/>
                <w:color w:val="000000"/>
                <w:kern w:val="2"/>
                <w:lang w:val="en-PH" w:eastAsia="ja-JP"/>
              </w:rPr>
            </w:pPr>
            <w:r w:rsidRPr="00C51CC0">
              <w:rPr>
                <w:rFonts w:ascii="Arial" w:eastAsia="Yu Gothic" w:hAnsi="Arial" w:cs="Arial"/>
                <w:color w:val="000000"/>
                <w:kern w:val="2"/>
                <w:lang w:val="en-PH" w:eastAsia="ja-JP"/>
              </w:rPr>
              <w:t xml:space="preserve">Preferred </w:t>
            </w:r>
            <w:r w:rsidR="008E5E14" w:rsidRPr="00C51CC0">
              <w:rPr>
                <w:rFonts w:ascii="Arial" w:eastAsia="Yu Gothic" w:hAnsi="Arial" w:cs="Arial"/>
                <w:color w:val="000000"/>
                <w:kern w:val="2"/>
                <w:lang w:val="en-PH" w:eastAsia="ja-JP"/>
              </w:rPr>
              <w:t>Not to Say</w:t>
            </w:r>
          </w:p>
        </w:tc>
        <w:tc>
          <w:tcPr>
            <w:tcW w:w="1157" w:type="pct"/>
            <w:noWrap/>
          </w:tcPr>
          <w:p w14:paraId="62E541C6" w14:textId="7032E744" w:rsidR="00084C83" w:rsidRPr="00C51CC0" w:rsidRDefault="008E5E14"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eastAsia="ja-JP"/>
              </w:rPr>
              <w:t>23</w:t>
            </w:r>
          </w:p>
        </w:tc>
        <w:tc>
          <w:tcPr>
            <w:tcW w:w="1485" w:type="pct"/>
            <w:noWrap/>
          </w:tcPr>
          <w:p w14:paraId="101935E1" w14:textId="39AE0CC4" w:rsidR="00084C83" w:rsidRPr="00C51CC0" w:rsidRDefault="008E5E14" w:rsidP="00204C4A">
            <w:pPr>
              <w:jc w:val="center"/>
              <w:rPr>
                <w:rFonts w:ascii="Arial" w:eastAsia="Yu Gothic" w:hAnsi="Arial" w:cs="Arial"/>
                <w:color w:val="000000"/>
                <w:kern w:val="2"/>
                <w:lang w:eastAsia="ja-JP"/>
              </w:rPr>
            </w:pPr>
            <w:r w:rsidRPr="00C51CC0">
              <w:rPr>
                <w:rFonts w:ascii="Arial" w:eastAsia="Yu Gothic" w:hAnsi="Arial" w:cs="Arial"/>
                <w:color w:val="000000"/>
                <w:kern w:val="2"/>
                <w:lang w:eastAsia="ja-JP"/>
              </w:rPr>
              <w:t>9.35</w:t>
            </w:r>
          </w:p>
        </w:tc>
      </w:tr>
      <w:tr w:rsidR="00A86158" w:rsidRPr="00204C4A" w14:paraId="2682013D" w14:textId="77777777" w:rsidTr="00E90A1C">
        <w:trPr>
          <w:trHeight w:val="144"/>
        </w:trPr>
        <w:tc>
          <w:tcPr>
            <w:tcW w:w="2357" w:type="pct"/>
          </w:tcPr>
          <w:p w14:paraId="7A932B96" w14:textId="5934A758" w:rsidR="00A86158" w:rsidRPr="00C51CC0" w:rsidRDefault="00A86158" w:rsidP="00A86158">
            <w:pPr>
              <w:ind w:firstLine="720"/>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Total</w:t>
            </w:r>
          </w:p>
        </w:tc>
        <w:tc>
          <w:tcPr>
            <w:tcW w:w="1157" w:type="pct"/>
            <w:noWrap/>
          </w:tcPr>
          <w:p w14:paraId="7AFC1E09" w14:textId="5404B5EE" w:rsidR="00A86158" w:rsidRPr="00C51CC0" w:rsidRDefault="00A86158" w:rsidP="00A86158">
            <w:pPr>
              <w:jc w:val="center"/>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377</w:t>
            </w:r>
          </w:p>
        </w:tc>
        <w:tc>
          <w:tcPr>
            <w:tcW w:w="1485" w:type="pct"/>
            <w:noWrap/>
          </w:tcPr>
          <w:p w14:paraId="35194BE9" w14:textId="53C458EE" w:rsidR="00A86158" w:rsidRPr="00C51CC0" w:rsidRDefault="00A86158" w:rsidP="00A86158">
            <w:pPr>
              <w:jc w:val="center"/>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100.00</w:t>
            </w:r>
          </w:p>
        </w:tc>
      </w:tr>
      <w:tr w:rsidR="00A86158" w:rsidRPr="00204C4A" w14:paraId="0C0B2261" w14:textId="77777777" w:rsidTr="00204C4A">
        <w:trPr>
          <w:trHeight w:val="144"/>
        </w:trPr>
        <w:tc>
          <w:tcPr>
            <w:tcW w:w="5000" w:type="pct"/>
            <w:gridSpan w:val="3"/>
          </w:tcPr>
          <w:p w14:paraId="08E6745F" w14:textId="77777777" w:rsidR="00A86158" w:rsidRPr="00C51CC0" w:rsidRDefault="00A86158" w:rsidP="00A86158">
            <w:pPr>
              <w:rPr>
                <w:rFonts w:ascii="Arial" w:eastAsia="Yu Gothic" w:hAnsi="Arial" w:cs="Arial"/>
                <w:color w:val="000000"/>
                <w:kern w:val="2"/>
                <w:lang w:eastAsia="ja-JP"/>
              </w:rPr>
            </w:pPr>
            <w:r w:rsidRPr="00C51CC0">
              <w:rPr>
                <w:rFonts w:ascii="Arial" w:eastAsia="Yu Gothic" w:hAnsi="Arial" w:cs="Arial"/>
                <w:b/>
                <w:color w:val="000000"/>
                <w:kern w:val="2"/>
                <w:lang w:val="en-PH" w:eastAsia="ja-JP"/>
              </w:rPr>
              <w:t>Monthly Income</w:t>
            </w:r>
          </w:p>
        </w:tc>
      </w:tr>
      <w:tr w:rsidR="008E5E14" w:rsidRPr="00204C4A" w14:paraId="192BF219" w14:textId="77777777" w:rsidTr="00E90A1C">
        <w:trPr>
          <w:trHeight w:val="144"/>
        </w:trPr>
        <w:tc>
          <w:tcPr>
            <w:tcW w:w="2357" w:type="pct"/>
          </w:tcPr>
          <w:p w14:paraId="223289C1" w14:textId="40A04E05"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Php 20,000 and below</w:t>
            </w:r>
          </w:p>
        </w:tc>
        <w:tc>
          <w:tcPr>
            <w:tcW w:w="1157" w:type="pct"/>
            <w:noWrap/>
          </w:tcPr>
          <w:p w14:paraId="07DB7288" w14:textId="3B48C856"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215</w:t>
            </w:r>
          </w:p>
        </w:tc>
        <w:tc>
          <w:tcPr>
            <w:tcW w:w="1485" w:type="pct"/>
            <w:noWrap/>
          </w:tcPr>
          <w:p w14:paraId="08C56E7A" w14:textId="440B5666"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87.40</w:t>
            </w:r>
          </w:p>
        </w:tc>
      </w:tr>
      <w:tr w:rsidR="008E5E14" w:rsidRPr="00204C4A" w14:paraId="358127B9" w14:textId="77777777" w:rsidTr="00E90A1C">
        <w:trPr>
          <w:trHeight w:val="144"/>
        </w:trPr>
        <w:tc>
          <w:tcPr>
            <w:tcW w:w="2357" w:type="pct"/>
          </w:tcPr>
          <w:p w14:paraId="45F37044" w14:textId="151D56C8"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Php 20,001 to Php 50,000</w:t>
            </w:r>
          </w:p>
        </w:tc>
        <w:tc>
          <w:tcPr>
            <w:tcW w:w="1157" w:type="pct"/>
            <w:noWrap/>
          </w:tcPr>
          <w:p w14:paraId="2726A99C" w14:textId="38AEDFDA"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21</w:t>
            </w:r>
          </w:p>
        </w:tc>
        <w:tc>
          <w:tcPr>
            <w:tcW w:w="1485" w:type="pct"/>
            <w:noWrap/>
          </w:tcPr>
          <w:p w14:paraId="11459566" w14:textId="369691DA"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8.54</w:t>
            </w:r>
          </w:p>
        </w:tc>
      </w:tr>
      <w:tr w:rsidR="008E5E14" w:rsidRPr="00204C4A" w14:paraId="7C118CE9" w14:textId="77777777" w:rsidTr="00E90A1C">
        <w:trPr>
          <w:trHeight w:val="144"/>
        </w:trPr>
        <w:tc>
          <w:tcPr>
            <w:tcW w:w="2357" w:type="pct"/>
          </w:tcPr>
          <w:p w14:paraId="36DDAA7E" w14:textId="6EA90B50"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Php 50,001 to Php 70,000</w:t>
            </w:r>
          </w:p>
        </w:tc>
        <w:tc>
          <w:tcPr>
            <w:tcW w:w="1157" w:type="pct"/>
            <w:noWrap/>
          </w:tcPr>
          <w:p w14:paraId="70E265C8" w14:textId="0B1C0AB3"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1</w:t>
            </w:r>
          </w:p>
        </w:tc>
        <w:tc>
          <w:tcPr>
            <w:tcW w:w="1485" w:type="pct"/>
            <w:noWrap/>
          </w:tcPr>
          <w:p w14:paraId="3867AAD5" w14:textId="3BB9AC86"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0.41</w:t>
            </w:r>
          </w:p>
        </w:tc>
      </w:tr>
      <w:tr w:rsidR="008E5E14" w:rsidRPr="00204C4A" w14:paraId="2A38BBDF" w14:textId="77777777" w:rsidTr="00E90A1C">
        <w:trPr>
          <w:trHeight w:val="144"/>
        </w:trPr>
        <w:tc>
          <w:tcPr>
            <w:tcW w:w="2357" w:type="pct"/>
          </w:tcPr>
          <w:p w14:paraId="5FCA4359" w14:textId="5D1C6067" w:rsidR="008E5E14" w:rsidRPr="00C51CC0" w:rsidRDefault="008E5E14" w:rsidP="008E5E14">
            <w:pPr>
              <w:ind w:firstLine="720"/>
              <w:rPr>
                <w:rFonts w:ascii="Arial" w:eastAsia="Yu Gothic" w:hAnsi="Arial" w:cs="Arial"/>
                <w:color w:val="000000"/>
                <w:kern w:val="2"/>
                <w:lang w:val="en-PH" w:eastAsia="ja-JP"/>
              </w:rPr>
            </w:pPr>
            <w:r w:rsidRPr="00C51CC0">
              <w:rPr>
                <w:rFonts w:ascii="Arial" w:hAnsi="Arial" w:cs="Arial"/>
              </w:rPr>
              <w:t>Php 70,001 to Php 90,000</w:t>
            </w:r>
          </w:p>
        </w:tc>
        <w:tc>
          <w:tcPr>
            <w:tcW w:w="1157" w:type="pct"/>
            <w:noWrap/>
          </w:tcPr>
          <w:p w14:paraId="6D86A045" w14:textId="24AB3373" w:rsidR="008E5E14" w:rsidRPr="00C51CC0" w:rsidRDefault="008E5E14" w:rsidP="008E5E14">
            <w:pPr>
              <w:jc w:val="center"/>
              <w:rPr>
                <w:rFonts w:ascii="Arial" w:eastAsia="Yu Gothic" w:hAnsi="Arial" w:cs="Arial"/>
                <w:color w:val="000000"/>
                <w:kern w:val="2"/>
                <w:lang w:val="en-PH" w:eastAsia="ja-JP"/>
              </w:rPr>
            </w:pPr>
            <w:r w:rsidRPr="00C51CC0">
              <w:rPr>
                <w:rFonts w:ascii="Arial" w:hAnsi="Arial" w:cs="Arial"/>
              </w:rPr>
              <w:t>0</w:t>
            </w:r>
          </w:p>
        </w:tc>
        <w:tc>
          <w:tcPr>
            <w:tcW w:w="1485" w:type="pct"/>
            <w:noWrap/>
          </w:tcPr>
          <w:p w14:paraId="60BF6955" w14:textId="56E1890F" w:rsidR="008E5E14" w:rsidRPr="00C51CC0" w:rsidRDefault="008E5E14" w:rsidP="008E5E14">
            <w:pPr>
              <w:jc w:val="center"/>
              <w:rPr>
                <w:rFonts w:ascii="Arial" w:eastAsia="Yu Gothic" w:hAnsi="Arial" w:cs="Arial"/>
                <w:color w:val="000000"/>
                <w:kern w:val="2"/>
                <w:lang w:val="en-PH" w:eastAsia="ja-JP"/>
              </w:rPr>
            </w:pPr>
            <w:r w:rsidRPr="00C51CC0">
              <w:rPr>
                <w:rFonts w:ascii="Arial" w:hAnsi="Arial" w:cs="Arial"/>
              </w:rPr>
              <w:t>0.00</w:t>
            </w:r>
          </w:p>
        </w:tc>
      </w:tr>
      <w:tr w:rsidR="008E5E14" w:rsidRPr="00204C4A" w14:paraId="0F57FF3F" w14:textId="77777777" w:rsidTr="00E90A1C">
        <w:trPr>
          <w:trHeight w:val="144"/>
        </w:trPr>
        <w:tc>
          <w:tcPr>
            <w:tcW w:w="2357" w:type="pct"/>
          </w:tcPr>
          <w:p w14:paraId="4857B730" w14:textId="4D9CE47D"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Php 90,001 to Php</w:t>
            </w:r>
            <w:r w:rsidR="00E90A1C">
              <w:rPr>
                <w:rFonts w:ascii="Arial" w:hAnsi="Arial" w:cs="Arial"/>
              </w:rPr>
              <w:t xml:space="preserve"> </w:t>
            </w:r>
            <w:r w:rsidRPr="00C51CC0">
              <w:rPr>
                <w:rFonts w:ascii="Arial" w:hAnsi="Arial" w:cs="Arial"/>
              </w:rPr>
              <w:t>110,000</w:t>
            </w:r>
          </w:p>
        </w:tc>
        <w:tc>
          <w:tcPr>
            <w:tcW w:w="1157" w:type="pct"/>
            <w:noWrap/>
          </w:tcPr>
          <w:p w14:paraId="681B7FAE" w14:textId="454D2A62"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0</w:t>
            </w:r>
          </w:p>
        </w:tc>
        <w:tc>
          <w:tcPr>
            <w:tcW w:w="1485" w:type="pct"/>
            <w:noWrap/>
          </w:tcPr>
          <w:p w14:paraId="01FE2ED9" w14:textId="410F8B1B"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0.00</w:t>
            </w:r>
          </w:p>
        </w:tc>
      </w:tr>
      <w:tr w:rsidR="008E5E14" w:rsidRPr="00204C4A" w14:paraId="79CEC418" w14:textId="77777777" w:rsidTr="00E90A1C">
        <w:trPr>
          <w:trHeight w:val="144"/>
        </w:trPr>
        <w:tc>
          <w:tcPr>
            <w:tcW w:w="2357" w:type="pct"/>
          </w:tcPr>
          <w:p w14:paraId="3DE7C125" w14:textId="32E3EAF7"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Php 110,001 and above</w:t>
            </w:r>
          </w:p>
        </w:tc>
        <w:tc>
          <w:tcPr>
            <w:tcW w:w="1157" w:type="pct"/>
            <w:noWrap/>
          </w:tcPr>
          <w:p w14:paraId="7EE98E31" w14:textId="301948DA"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9</w:t>
            </w:r>
          </w:p>
        </w:tc>
        <w:tc>
          <w:tcPr>
            <w:tcW w:w="1485" w:type="pct"/>
            <w:noWrap/>
          </w:tcPr>
          <w:p w14:paraId="6100E143" w14:textId="61B60B2F"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3.66</w:t>
            </w:r>
          </w:p>
        </w:tc>
      </w:tr>
      <w:tr w:rsidR="00A86158" w:rsidRPr="00204C4A" w14:paraId="3203B33F" w14:textId="77777777" w:rsidTr="00E90A1C">
        <w:trPr>
          <w:trHeight w:val="144"/>
        </w:trPr>
        <w:tc>
          <w:tcPr>
            <w:tcW w:w="2357" w:type="pct"/>
          </w:tcPr>
          <w:p w14:paraId="5EA93E1B" w14:textId="5F0EAE4E" w:rsidR="00A86158" w:rsidRPr="00C51CC0" w:rsidRDefault="00A86158" w:rsidP="00A86158">
            <w:pPr>
              <w:ind w:firstLine="720"/>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Total</w:t>
            </w:r>
          </w:p>
        </w:tc>
        <w:tc>
          <w:tcPr>
            <w:tcW w:w="1157" w:type="pct"/>
            <w:noWrap/>
          </w:tcPr>
          <w:p w14:paraId="1DC0735F" w14:textId="06BFE06C" w:rsidR="00A86158" w:rsidRPr="00C51CC0" w:rsidRDefault="008E5E14" w:rsidP="00A86158">
            <w:pPr>
              <w:jc w:val="center"/>
              <w:rPr>
                <w:rFonts w:ascii="Arial" w:eastAsia="Yu Gothic" w:hAnsi="Arial" w:cs="Arial"/>
                <w:b/>
                <w:bCs/>
                <w:color w:val="000000"/>
                <w:kern w:val="2"/>
                <w:lang w:val="en-PH" w:eastAsia="ja-JP"/>
              </w:rPr>
            </w:pPr>
            <w:r w:rsidRPr="00C51CC0">
              <w:rPr>
                <w:rFonts w:ascii="Arial" w:eastAsia="Yu Gothic" w:hAnsi="Arial" w:cs="Arial"/>
                <w:b/>
                <w:bCs/>
                <w:color w:val="000000"/>
                <w:kern w:val="2"/>
                <w:lang w:val="en-PH" w:eastAsia="ja-JP"/>
              </w:rPr>
              <w:t>246</w:t>
            </w:r>
          </w:p>
        </w:tc>
        <w:tc>
          <w:tcPr>
            <w:tcW w:w="1485" w:type="pct"/>
            <w:noWrap/>
          </w:tcPr>
          <w:p w14:paraId="7B16BAA8" w14:textId="64E613F4" w:rsidR="00A86158" w:rsidRPr="00C51CC0" w:rsidRDefault="00A86158" w:rsidP="00A86158">
            <w:pPr>
              <w:jc w:val="center"/>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100.00</w:t>
            </w:r>
          </w:p>
        </w:tc>
      </w:tr>
      <w:tr w:rsidR="00A86158" w:rsidRPr="00204C4A" w14:paraId="698ED10A" w14:textId="77777777" w:rsidTr="00204C4A">
        <w:trPr>
          <w:trHeight w:val="144"/>
        </w:trPr>
        <w:tc>
          <w:tcPr>
            <w:tcW w:w="5000" w:type="pct"/>
            <w:gridSpan w:val="3"/>
          </w:tcPr>
          <w:p w14:paraId="0C45B71F" w14:textId="2FEA88BA" w:rsidR="00A86158" w:rsidRPr="00C51CC0" w:rsidRDefault="00A86158" w:rsidP="00A86158">
            <w:pPr>
              <w:rPr>
                <w:rFonts w:ascii="Arial" w:eastAsia="Yu Gothic" w:hAnsi="Arial" w:cs="Arial"/>
                <w:color w:val="000000"/>
                <w:kern w:val="2"/>
                <w:lang w:eastAsia="ja-JP"/>
              </w:rPr>
            </w:pPr>
            <w:r w:rsidRPr="00C51CC0">
              <w:rPr>
                <w:rFonts w:ascii="Arial" w:eastAsia="Yu Gothic" w:hAnsi="Arial" w:cs="Arial"/>
                <w:b/>
                <w:color w:val="000000"/>
                <w:kern w:val="2"/>
                <w:lang w:val="en-PH" w:eastAsia="ja-JP"/>
              </w:rPr>
              <w:t xml:space="preserve">Educational </w:t>
            </w:r>
            <w:r w:rsidR="008E5E14" w:rsidRPr="00C51CC0">
              <w:rPr>
                <w:rFonts w:ascii="Arial" w:eastAsia="Yu Gothic" w:hAnsi="Arial" w:cs="Arial"/>
                <w:b/>
                <w:color w:val="000000"/>
                <w:kern w:val="2"/>
                <w:lang w:val="en-PH" w:eastAsia="ja-JP"/>
              </w:rPr>
              <w:t>Level</w:t>
            </w:r>
          </w:p>
        </w:tc>
      </w:tr>
      <w:tr w:rsidR="008E5E14" w:rsidRPr="00204C4A" w14:paraId="64A1EDB6" w14:textId="77777777" w:rsidTr="00E90A1C">
        <w:trPr>
          <w:trHeight w:val="144"/>
        </w:trPr>
        <w:tc>
          <w:tcPr>
            <w:tcW w:w="2357" w:type="pct"/>
          </w:tcPr>
          <w:p w14:paraId="26F64FFD" w14:textId="13B515EA"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Undergraduate</w:t>
            </w:r>
          </w:p>
        </w:tc>
        <w:tc>
          <w:tcPr>
            <w:tcW w:w="1157" w:type="pct"/>
            <w:noWrap/>
          </w:tcPr>
          <w:p w14:paraId="52677134" w14:textId="6B3F69AD"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165</w:t>
            </w:r>
          </w:p>
        </w:tc>
        <w:tc>
          <w:tcPr>
            <w:tcW w:w="1485" w:type="pct"/>
            <w:noWrap/>
          </w:tcPr>
          <w:p w14:paraId="656EBEFD" w14:textId="1A399F49"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67.07</w:t>
            </w:r>
          </w:p>
        </w:tc>
      </w:tr>
      <w:tr w:rsidR="008E5E14" w:rsidRPr="00204C4A" w14:paraId="662A1590" w14:textId="77777777" w:rsidTr="00E90A1C">
        <w:trPr>
          <w:trHeight w:val="144"/>
        </w:trPr>
        <w:tc>
          <w:tcPr>
            <w:tcW w:w="2357" w:type="pct"/>
          </w:tcPr>
          <w:p w14:paraId="33295E59" w14:textId="38654D42"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Graduate</w:t>
            </w:r>
          </w:p>
        </w:tc>
        <w:tc>
          <w:tcPr>
            <w:tcW w:w="1157" w:type="pct"/>
            <w:noWrap/>
          </w:tcPr>
          <w:p w14:paraId="55154024" w14:textId="53D164C6"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79</w:t>
            </w:r>
          </w:p>
        </w:tc>
        <w:tc>
          <w:tcPr>
            <w:tcW w:w="1485" w:type="pct"/>
            <w:noWrap/>
          </w:tcPr>
          <w:p w14:paraId="2B4A8DAE" w14:textId="4CC6DE87"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32.11</w:t>
            </w:r>
          </w:p>
        </w:tc>
      </w:tr>
      <w:tr w:rsidR="008E5E14" w:rsidRPr="00204C4A" w14:paraId="4BF66501" w14:textId="77777777" w:rsidTr="00E90A1C">
        <w:trPr>
          <w:trHeight w:val="144"/>
        </w:trPr>
        <w:tc>
          <w:tcPr>
            <w:tcW w:w="2357" w:type="pct"/>
          </w:tcPr>
          <w:p w14:paraId="778A2ED8" w14:textId="1EAA99F2" w:rsidR="008E5E14" w:rsidRPr="00C51CC0" w:rsidRDefault="008E5E14" w:rsidP="008E5E14">
            <w:pPr>
              <w:ind w:firstLine="720"/>
              <w:rPr>
                <w:rFonts w:ascii="Arial" w:eastAsia="Yu Gothic" w:hAnsi="Arial" w:cs="Arial"/>
                <w:color w:val="000000"/>
                <w:kern w:val="2"/>
                <w:lang w:eastAsia="ja-JP"/>
              </w:rPr>
            </w:pPr>
            <w:r w:rsidRPr="00C51CC0">
              <w:rPr>
                <w:rFonts w:ascii="Arial" w:hAnsi="Arial" w:cs="Arial"/>
              </w:rPr>
              <w:t>Post Graduate</w:t>
            </w:r>
          </w:p>
        </w:tc>
        <w:tc>
          <w:tcPr>
            <w:tcW w:w="1157" w:type="pct"/>
            <w:noWrap/>
          </w:tcPr>
          <w:p w14:paraId="0B340623" w14:textId="6DE6F077"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2</w:t>
            </w:r>
          </w:p>
        </w:tc>
        <w:tc>
          <w:tcPr>
            <w:tcW w:w="1485" w:type="pct"/>
            <w:noWrap/>
          </w:tcPr>
          <w:p w14:paraId="65DC3552" w14:textId="5EC26F7D" w:rsidR="008E5E14" w:rsidRPr="00C51CC0" w:rsidRDefault="008E5E14" w:rsidP="008E5E14">
            <w:pPr>
              <w:jc w:val="center"/>
              <w:rPr>
                <w:rFonts w:ascii="Arial" w:eastAsia="Yu Gothic" w:hAnsi="Arial" w:cs="Arial"/>
                <w:color w:val="000000"/>
                <w:kern w:val="2"/>
                <w:lang w:eastAsia="ja-JP"/>
              </w:rPr>
            </w:pPr>
            <w:r w:rsidRPr="00C51CC0">
              <w:rPr>
                <w:rFonts w:ascii="Arial" w:hAnsi="Arial" w:cs="Arial"/>
              </w:rPr>
              <w:t>0.81</w:t>
            </w:r>
          </w:p>
        </w:tc>
      </w:tr>
      <w:tr w:rsidR="00A86158" w:rsidRPr="00204C4A" w14:paraId="5D2C5CE7" w14:textId="77777777" w:rsidTr="00E90A1C">
        <w:trPr>
          <w:trHeight w:val="90"/>
        </w:trPr>
        <w:tc>
          <w:tcPr>
            <w:tcW w:w="2357" w:type="pct"/>
          </w:tcPr>
          <w:p w14:paraId="1866BA0F" w14:textId="18C01D29" w:rsidR="00A86158" w:rsidRPr="00C51CC0" w:rsidRDefault="00A86158" w:rsidP="00A86158">
            <w:pPr>
              <w:ind w:firstLine="720"/>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Total</w:t>
            </w:r>
          </w:p>
        </w:tc>
        <w:tc>
          <w:tcPr>
            <w:tcW w:w="1157" w:type="pct"/>
            <w:noWrap/>
          </w:tcPr>
          <w:p w14:paraId="37FC9A35" w14:textId="4E42E604" w:rsidR="00A86158" w:rsidRPr="00C51CC0" w:rsidRDefault="008E5E14" w:rsidP="00A86158">
            <w:pPr>
              <w:jc w:val="center"/>
              <w:rPr>
                <w:rFonts w:ascii="Arial" w:eastAsia="Yu Gothic" w:hAnsi="Arial" w:cs="Arial"/>
                <w:b/>
                <w:bCs/>
                <w:color w:val="000000"/>
                <w:kern w:val="2"/>
                <w:lang w:val="en-PH" w:eastAsia="ja-JP"/>
              </w:rPr>
            </w:pPr>
            <w:r w:rsidRPr="00C51CC0">
              <w:rPr>
                <w:rFonts w:ascii="Arial" w:eastAsia="Yu Gothic" w:hAnsi="Arial" w:cs="Arial"/>
                <w:b/>
                <w:bCs/>
                <w:color w:val="000000"/>
                <w:kern w:val="2"/>
                <w:lang w:val="en-PH" w:eastAsia="ja-JP"/>
              </w:rPr>
              <w:t>246</w:t>
            </w:r>
          </w:p>
        </w:tc>
        <w:tc>
          <w:tcPr>
            <w:tcW w:w="1485" w:type="pct"/>
            <w:noWrap/>
          </w:tcPr>
          <w:p w14:paraId="70B4A50A" w14:textId="23465691" w:rsidR="00A86158" w:rsidRPr="00C51CC0" w:rsidRDefault="00A86158" w:rsidP="00A86158">
            <w:pPr>
              <w:jc w:val="center"/>
              <w:rPr>
                <w:rFonts w:ascii="Arial" w:eastAsia="Yu Gothic" w:hAnsi="Arial" w:cs="Arial"/>
                <w:b/>
                <w:bCs/>
                <w:color w:val="000000"/>
                <w:kern w:val="2"/>
                <w:lang w:val="en-PH" w:eastAsia="ja-JP"/>
              </w:rPr>
            </w:pPr>
            <w:r w:rsidRPr="00C51CC0">
              <w:rPr>
                <w:rFonts w:ascii="Arial" w:eastAsia="Yu Gothic" w:hAnsi="Arial" w:cs="Arial"/>
                <w:b/>
                <w:bCs/>
                <w:color w:val="000000"/>
                <w:kern w:val="2"/>
                <w:lang w:eastAsia="ja-JP"/>
              </w:rPr>
              <w:t>100.00</w:t>
            </w:r>
          </w:p>
        </w:tc>
      </w:tr>
      <w:tr w:rsidR="008E5E14" w:rsidRPr="00204C4A" w14:paraId="53ED28D3" w14:textId="77777777" w:rsidTr="00E90A1C">
        <w:trPr>
          <w:trHeight w:val="90"/>
        </w:trPr>
        <w:tc>
          <w:tcPr>
            <w:tcW w:w="2357" w:type="pct"/>
          </w:tcPr>
          <w:p w14:paraId="2CF0496D" w14:textId="4361F5F5" w:rsidR="008E5E14" w:rsidRPr="00C51CC0" w:rsidRDefault="008E5E14" w:rsidP="008E5E14">
            <w:pPr>
              <w:rPr>
                <w:rFonts w:ascii="Arial" w:eastAsia="Yu Gothic" w:hAnsi="Arial" w:cs="Arial"/>
                <w:b/>
                <w:bCs/>
                <w:color w:val="000000"/>
                <w:kern w:val="2"/>
                <w:lang w:eastAsia="ja-JP"/>
              </w:rPr>
            </w:pPr>
            <w:r w:rsidRPr="00C51CC0">
              <w:rPr>
                <w:rFonts w:ascii="Arial" w:eastAsia="Yu Gothic" w:hAnsi="Arial" w:cs="Arial"/>
                <w:b/>
                <w:bCs/>
                <w:color w:val="000000"/>
                <w:kern w:val="2"/>
                <w:lang w:eastAsia="ja-JP"/>
              </w:rPr>
              <w:t>Type of Mobile Payment</w:t>
            </w:r>
          </w:p>
        </w:tc>
        <w:tc>
          <w:tcPr>
            <w:tcW w:w="1157" w:type="pct"/>
            <w:noWrap/>
          </w:tcPr>
          <w:p w14:paraId="193DB051" w14:textId="77777777" w:rsidR="008E5E14" w:rsidRPr="00C51CC0" w:rsidRDefault="008E5E14" w:rsidP="00A86158">
            <w:pPr>
              <w:jc w:val="center"/>
              <w:rPr>
                <w:rFonts w:ascii="Arial" w:eastAsia="Yu Gothic" w:hAnsi="Arial" w:cs="Arial"/>
                <w:b/>
                <w:bCs/>
                <w:color w:val="000000"/>
                <w:kern w:val="2"/>
                <w:lang w:eastAsia="ja-JP"/>
              </w:rPr>
            </w:pPr>
          </w:p>
        </w:tc>
        <w:tc>
          <w:tcPr>
            <w:tcW w:w="1485" w:type="pct"/>
            <w:noWrap/>
          </w:tcPr>
          <w:p w14:paraId="6EA1E578" w14:textId="77777777" w:rsidR="008E5E14" w:rsidRPr="00C51CC0" w:rsidRDefault="008E5E14" w:rsidP="00A86158">
            <w:pPr>
              <w:jc w:val="center"/>
              <w:rPr>
                <w:rFonts w:ascii="Arial" w:eastAsia="Yu Gothic" w:hAnsi="Arial" w:cs="Arial"/>
                <w:b/>
                <w:bCs/>
                <w:color w:val="000000"/>
                <w:kern w:val="2"/>
                <w:lang w:eastAsia="ja-JP"/>
              </w:rPr>
            </w:pPr>
          </w:p>
        </w:tc>
      </w:tr>
      <w:tr w:rsidR="008E5E14" w:rsidRPr="00204C4A" w14:paraId="22B616B6" w14:textId="77777777" w:rsidTr="00E90A1C">
        <w:trPr>
          <w:trHeight w:val="90"/>
        </w:trPr>
        <w:tc>
          <w:tcPr>
            <w:tcW w:w="2357" w:type="pct"/>
          </w:tcPr>
          <w:p w14:paraId="623EA5B9" w14:textId="765DB4B0" w:rsidR="008E5E14" w:rsidRPr="00C51CC0" w:rsidRDefault="008E5E14" w:rsidP="008E5E14">
            <w:pPr>
              <w:ind w:left="720"/>
              <w:rPr>
                <w:rFonts w:ascii="Arial" w:eastAsia="Yu Gothic" w:hAnsi="Arial" w:cs="Arial"/>
                <w:b/>
                <w:bCs/>
                <w:color w:val="000000"/>
                <w:kern w:val="2"/>
                <w:lang w:eastAsia="ja-JP"/>
              </w:rPr>
            </w:pPr>
            <w:proofErr w:type="spellStart"/>
            <w:r w:rsidRPr="00C51CC0">
              <w:rPr>
                <w:rFonts w:ascii="Arial" w:hAnsi="Arial" w:cs="Arial"/>
              </w:rPr>
              <w:t>Gcash</w:t>
            </w:r>
            <w:proofErr w:type="spellEnd"/>
          </w:p>
        </w:tc>
        <w:tc>
          <w:tcPr>
            <w:tcW w:w="1157" w:type="pct"/>
            <w:noWrap/>
          </w:tcPr>
          <w:p w14:paraId="18688D91" w14:textId="03E9C545"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245</w:t>
            </w:r>
          </w:p>
        </w:tc>
        <w:tc>
          <w:tcPr>
            <w:tcW w:w="1485" w:type="pct"/>
            <w:noWrap/>
          </w:tcPr>
          <w:p w14:paraId="7E0BB89B" w14:textId="3A4188F6"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99.59</w:t>
            </w:r>
          </w:p>
        </w:tc>
      </w:tr>
      <w:tr w:rsidR="008E5E14" w:rsidRPr="00204C4A" w14:paraId="244AFE60" w14:textId="77777777" w:rsidTr="00E90A1C">
        <w:trPr>
          <w:trHeight w:val="90"/>
        </w:trPr>
        <w:tc>
          <w:tcPr>
            <w:tcW w:w="2357" w:type="pct"/>
          </w:tcPr>
          <w:p w14:paraId="1396C7F7" w14:textId="7F30153D" w:rsidR="008E5E14" w:rsidRPr="00C51CC0" w:rsidRDefault="008E5E14" w:rsidP="008E5E14">
            <w:pPr>
              <w:ind w:left="720"/>
              <w:rPr>
                <w:rFonts w:ascii="Arial" w:eastAsia="Yu Gothic" w:hAnsi="Arial" w:cs="Arial"/>
                <w:b/>
                <w:bCs/>
                <w:color w:val="000000"/>
                <w:kern w:val="2"/>
                <w:lang w:eastAsia="ja-JP"/>
              </w:rPr>
            </w:pPr>
            <w:proofErr w:type="spellStart"/>
            <w:r w:rsidRPr="00C51CC0">
              <w:rPr>
                <w:rFonts w:ascii="Arial" w:hAnsi="Arial" w:cs="Arial"/>
              </w:rPr>
              <w:t>Paymaya</w:t>
            </w:r>
            <w:proofErr w:type="spellEnd"/>
          </w:p>
        </w:tc>
        <w:tc>
          <w:tcPr>
            <w:tcW w:w="1157" w:type="pct"/>
            <w:noWrap/>
          </w:tcPr>
          <w:p w14:paraId="1A8214CB" w14:textId="72ABB720"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1</w:t>
            </w:r>
          </w:p>
        </w:tc>
        <w:tc>
          <w:tcPr>
            <w:tcW w:w="1485" w:type="pct"/>
            <w:noWrap/>
          </w:tcPr>
          <w:p w14:paraId="0B645CDB" w14:textId="409D2B1B"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0.41</w:t>
            </w:r>
          </w:p>
        </w:tc>
      </w:tr>
      <w:tr w:rsidR="008E5E14" w:rsidRPr="00204C4A" w14:paraId="7515466D" w14:textId="77777777" w:rsidTr="00E90A1C">
        <w:trPr>
          <w:trHeight w:val="90"/>
        </w:trPr>
        <w:tc>
          <w:tcPr>
            <w:tcW w:w="2357" w:type="pct"/>
          </w:tcPr>
          <w:p w14:paraId="34BF2ACD" w14:textId="688B749C" w:rsidR="008E5E14" w:rsidRPr="00C51CC0" w:rsidRDefault="008E5E14" w:rsidP="008E5E14">
            <w:pPr>
              <w:ind w:left="720"/>
              <w:rPr>
                <w:rFonts w:ascii="Arial" w:eastAsia="Yu Gothic" w:hAnsi="Arial" w:cs="Arial"/>
                <w:b/>
                <w:bCs/>
                <w:color w:val="000000"/>
                <w:kern w:val="2"/>
                <w:lang w:eastAsia="ja-JP"/>
              </w:rPr>
            </w:pPr>
            <w:r w:rsidRPr="00C51CC0">
              <w:rPr>
                <w:rFonts w:ascii="Arial" w:hAnsi="Arial" w:cs="Arial"/>
              </w:rPr>
              <w:t>PayPal</w:t>
            </w:r>
          </w:p>
        </w:tc>
        <w:tc>
          <w:tcPr>
            <w:tcW w:w="1157" w:type="pct"/>
            <w:noWrap/>
          </w:tcPr>
          <w:p w14:paraId="24D9C4BB" w14:textId="490581A7"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0</w:t>
            </w:r>
          </w:p>
        </w:tc>
        <w:tc>
          <w:tcPr>
            <w:tcW w:w="1485" w:type="pct"/>
            <w:noWrap/>
          </w:tcPr>
          <w:p w14:paraId="515CEDA2" w14:textId="734BBC9B"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rPr>
              <w:t>0.00</w:t>
            </w:r>
          </w:p>
        </w:tc>
      </w:tr>
      <w:tr w:rsidR="008E5E14" w:rsidRPr="008E5E14" w14:paraId="0B3C3F28" w14:textId="77777777" w:rsidTr="00E90A1C">
        <w:trPr>
          <w:trHeight w:val="90"/>
        </w:trPr>
        <w:tc>
          <w:tcPr>
            <w:tcW w:w="2357" w:type="pct"/>
            <w:tcBorders>
              <w:bottom w:val="single" w:sz="4" w:space="0" w:color="auto"/>
            </w:tcBorders>
          </w:tcPr>
          <w:p w14:paraId="41372EA4" w14:textId="3B8F7773" w:rsidR="008E5E14" w:rsidRPr="00C51CC0" w:rsidRDefault="008E5E14" w:rsidP="008E5E14">
            <w:pPr>
              <w:ind w:left="720"/>
              <w:rPr>
                <w:rFonts w:ascii="Arial" w:eastAsia="Yu Gothic" w:hAnsi="Arial" w:cs="Arial"/>
                <w:b/>
                <w:bCs/>
                <w:color w:val="000000"/>
                <w:kern w:val="2"/>
                <w:lang w:eastAsia="ja-JP"/>
              </w:rPr>
            </w:pPr>
            <w:r w:rsidRPr="00C51CC0">
              <w:rPr>
                <w:rFonts w:ascii="Arial" w:hAnsi="Arial" w:cs="Arial"/>
                <w:b/>
                <w:bCs/>
              </w:rPr>
              <w:t>Total</w:t>
            </w:r>
          </w:p>
        </w:tc>
        <w:tc>
          <w:tcPr>
            <w:tcW w:w="1157" w:type="pct"/>
            <w:tcBorders>
              <w:bottom w:val="single" w:sz="4" w:space="0" w:color="auto"/>
            </w:tcBorders>
            <w:noWrap/>
          </w:tcPr>
          <w:p w14:paraId="7D0515A0" w14:textId="09E65B69"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b/>
                <w:bCs/>
              </w:rPr>
              <w:t>246</w:t>
            </w:r>
          </w:p>
        </w:tc>
        <w:tc>
          <w:tcPr>
            <w:tcW w:w="1485" w:type="pct"/>
            <w:tcBorders>
              <w:bottom w:val="single" w:sz="4" w:space="0" w:color="auto"/>
            </w:tcBorders>
            <w:noWrap/>
          </w:tcPr>
          <w:p w14:paraId="471BA957" w14:textId="654D7C72" w:rsidR="008E5E14" w:rsidRPr="00C51CC0" w:rsidRDefault="008E5E14" w:rsidP="008E5E14">
            <w:pPr>
              <w:jc w:val="center"/>
              <w:rPr>
                <w:rFonts w:ascii="Arial" w:eastAsia="Yu Gothic" w:hAnsi="Arial" w:cs="Arial"/>
                <w:b/>
                <w:bCs/>
                <w:color w:val="000000"/>
                <w:kern w:val="2"/>
                <w:lang w:eastAsia="ja-JP"/>
              </w:rPr>
            </w:pPr>
            <w:r w:rsidRPr="00C51CC0">
              <w:rPr>
                <w:rFonts w:ascii="Arial" w:hAnsi="Arial" w:cs="Arial"/>
                <w:b/>
                <w:bCs/>
              </w:rPr>
              <w:t>100.00</w:t>
            </w:r>
          </w:p>
        </w:tc>
      </w:tr>
    </w:tbl>
    <w:p w14:paraId="45E4931C" w14:textId="77777777" w:rsidR="00B6322E" w:rsidRPr="008E5E14" w:rsidRDefault="00B6322E" w:rsidP="00851412">
      <w:pPr>
        <w:pStyle w:val="Body"/>
        <w:spacing w:after="0"/>
        <w:rPr>
          <w:rFonts w:ascii="Arial" w:hAnsi="Arial" w:cs="Arial"/>
          <w:b/>
          <w:bCs/>
          <w:sz w:val="22"/>
        </w:rPr>
      </w:pPr>
    </w:p>
    <w:p w14:paraId="359D267B" w14:textId="140731A3" w:rsidR="004208F9"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.2 </w:t>
      </w:r>
      <w:r w:rsidR="00851412" w:rsidRPr="00851412">
        <w:rPr>
          <w:rFonts w:ascii="Arial" w:hAnsi="Arial" w:cs="Arial"/>
          <w:b/>
          <w:sz w:val="22"/>
        </w:rPr>
        <w:t xml:space="preserve">Level of Influence of </w:t>
      </w:r>
      <w:r w:rsidR="008E5E14" w:rsidRPr="008E5E14">
        <w:rPr>
          <w:rFonts w:ascii="Arial" w:hAnsi="Arial" w:cs="Arial"/>
          <w:b/>
          <w:sz w:val="22"/>
        </w:rPr>
        <w:t xml:space="preserve">Each Factor on the Intention to Use Mobile Payment Services in </w:t>
      </w:r>
      <w:proofErr w:type="spellStart"/>
      <w:r w:rsidR="008E5E14" w:rsidRPr="008E5E14">
        <w:rPr>
          <w:rFonts w:ascii="Arial" w:hAnsi="Arial" w:cs="Arial"/>
          <w:b/>
          <w:sz w:val="22"/>
        </w:rPr>
        <w:t>Poblacion</w:t>
      </w:r>
      <w:proofErr w:type="spellEnd"/>
      <w:r w:rsidR="008E5E14" w:rsidRPr="008E5E14">
        <w:rPr>
          <w:rFonts w:ascii="Arial" w:hAnsi="Arial" w:cs="Arial"/>
          <w:b/>
          <w:sz w:val="22"/>
        </w:rPr>
        <w:t xml:space="preserve">, </w:t>
      </w:r>
      <w:proofErr w:type="spellStart"/>
      <w:r w:rsidR="008E5E14" w:rsidRPr="008E5E14">
        <w:rPr>
          <w:rFonts w:ascii="Arial" w:hAnsi="Arial" w:cs="Arial"/>
          <w:b/>
          <w:sz w:val="22"/>
        </w:rPr>
        <w:t>Cateel</w:t>
      </w:r>
      <w:proofErr w:type="spellEnd"/>
      <w:r w:rsidR="008E5E14" w:rsidRPr="008E5E14">
        <w:rPr>
          <w:rFonts w:ascii="Arial" w:hAnsi="Arial" w:cs="Arial"/>
          <w:b/>
          <w:sz w:val="22"/>
        </w:rPr>
        <w:t>, Davao Oriental, in terms of Convenience of Mobility</w:t>
      </w:r>
    </w:p>
    <w:p w14:paraId="7307EDD6" w14:textId="77777777" w:rsidR="004C4C0F" w:rsidRDefault="004C4C0F" w:rsidP="00851412">
      <w:pPr>
        <w:pStyle w:val="Body"/>
        <w:spacing w:after="0"/>
        <w:rPr>
          <w:rFonts w:ascii="Arial" w:hAnsi="Arial" w:cs="Arial"/>
          <w:b/>
          <w:sz w:val="22"/>
        </w:rPr>
      </w:pPr>
    </w:p>
    <w:p w14:paraId="7BAF6689" w14:textId="44E5B6EF" w:rsidR="002216A3" w:rsidRPr="002216A3" w:rsidRDefault="002216A3" w:rsidP="002216A3">
      <w:pPr>
        <w:pStyle w:val="Body"/>
        <w:rPr>
          <w:rFonts w:ascii="Arial" w:hAnsi="Arial" w:cs="Arial"/>
        </w:rPr>
      </w:pPr>
      <w:r w:rsidRPr="002216A3">
        <w:rPr>
          <w:rFonts w:ascii="Arial" w:hAnsi="Arial" w:cs="Arial"/>
        </w:rPr>
        <w:t xml:space="preserve">Table 2 shows a high level of agreement among respondents regarding the convenience of mobile payment services, with an overall mean of 4.11 and a standard deviation of 0.51. The </w:t>
      </w:r>
      <w:r w:rsidRPr="002216A3">
        <w:rPr>
          <w:rFonts w:ascii="Arial" w:hAnsi="Arial" w:cs="Arial"/>
        </w:rPr>
        <w:lastRenderedPageBreak/>
        <w:t xml:space="preserve">highest-rated item “Mobile payment is convenient because you always carry a mobile phone” received a mean of 4.24, indicating strong agreement. Most statements scored above 4.00, reflecting respondents’ perception that mobile payments are practical, simple, and highly flexible in terms of time and location. These results support the idea that convenience is a central element of mobile payment usage, aligning with studies showing that users adopt mobile payment systems when they offer time-saving, mobility-based advantages </w:t>
      </w:r>
      <w:r w:rsidR="00572726">
        <w:rPr>
          <w:rFonts w:ascii="Arial" w:hAnsi="Arial" w:cs="Arial"/>
        </w:rPr>
        <w:t>(</w:t>
      </w:r>
      <w:r w:rsidRPr="002216A3">
        <w:rPr>
          <w:rFonts w:ascii="Arial" w:hAnsi="Arial" w:cs="Arial"/>
        </w:rPr>
        <w:t xml:space="preserve">Jun et al., </w:t>
      </w:r>
      <w:r w:rsidR="00572726">
        <w:rPr>
          <w:rFonts w:ascii="Arial" w:hAnsi="Arial" w:cs="Arial"/>
        </w:rPr>
        <w:t>(</w:t>
      </w:r>
      <w:r w:rsidRPr="002216A3">
        <w:rPr>
          <w:rFonts w:ascii="Arial" w:hAnsi="Arial" w:cs="Arial"/>
        </w:rPr>
        <w:t>2018). The high scores in Table 2 highlight that respondents view mobile payment services as seamlessly fitting into their daily routines.</w:t>
      </w:r>
    </w:p>
    <w:p w14:paraId="1623412B" w14:textId="7C448184" w:rsidR="00AB00E6" w:rsidRDefault="002216A3" w:rsidP="002216A3">
      <w:pPr>
        <w:pStyle w:val="Body"/>
        <w:spacing w:after="0"/>
        <w:rPr>
          <w:rFonts w:ascii="Arial" w:hAnsi="Arial" w:cs="Arial"/>
        </w:rPr>
      </w:pPr>
      <w:r w:rsidRPr="002216A3">
        <w:rPr>
          <w:rFonts w:ascii="Arial" w:hAnsi="Arial" w:cs="Arial"/>
        </w:rPr>
        <w:t>The findings also reinforce the established relationship between perceived value, perceived usefulness, and convenience in mobile payment adoption. Prior studies emphasize that mobile payment systems are more likely to be adopted and continuously used when they align with users’ expectations of efficiency and ease</w:t>
      </w:r>
      <w:r w:rsidR="00572726">
        <w:rPr>
          <w:rFonts w:ascii="Arial" w:hAnsi="Arial" w:cs="Arial"/>
        </w:rPr>
        <w:t xml:space="preserve">. </w:t>
      </w:r>
      <w:r w:rsidRPr="002216A3">
        <w:rPr>
          <w:rFonts w:ascii="Arial" w:hAnsi="Arial" w:cs="Arial"/>
        </w:rPr>
        <w:t>The high mean ratings support this claim, suggesting that perceived convenience enhances perceived value and strengthens continuance intentions. Furthermore, perceived usefulness identified by Yan and Yang (2014) and Cao et al. (2016) as a key predictor of adoption appears strongly reflected in respondents’ positive evaluations of mobile payment practicality. External factors, such as government support, network benefits, and infrastructural readiness, also contribute to adoption trends, particularly in developing contexts (Chen et al., 2019; Pal et al., 2020; Nguyen et al., 2023). Overall, the high convenience scores in the table illustrate that users perceive mobile payments as efficient, trustworthy, and compatible with their everyday financial behaviors.</w:t>
      </w:r>
    </w:p>
    <w:p w14:paraId="09A91523" w14:textId="77777777" w:rsidR="002216A3" w:rsidRDefault="002216A3" w:rsidP="002216A3">
      <w:pPr>
        <w:pStyle w:val="Body"/>
        <w:spacing w:after="0"/>
        <w:rPr>
          <w:rFonts w:ascii="Arial" w:hAnsi="Arial" w:cs="Arial"/>
        </w:rPr>
      </w:pPr>
    </w:p>
    <w:p w14:paraId="7513DD33" w14:textId="26C13862" w:rsidR="00AB00E6" w:rsidRPr="00895E56" w:rsidRDefault="00AB00E6" w:rsidP="00AB00E6">
      <w:pPr>
        <w:tabs>
          <w:tab w:val="left" w:pos="1080"/>
        </w:tabs>
        <w:jc w:val="both"/>
        <w:rPr>
          <w:rFonts w:ascii="Arial" w:hAnsi="Arial"/>
          <w:b/>
          <w:color w:val="000000" w:themeColor="text1"/>
        </w:rPr>
      </w:pPr>
      <w:r>
        <w:rPr>
          <w:rFonts w:ascii="Arial" w:hAnsi="Arial"/>
          <w:b/>
        </w:rPr>
        <w:t>Table 2.</w:t>
      </w:r>
      <w:r w:rsidR="00630082">
        <w:rPr>
          <w:rFonts w:ascii="Arial" w:hAnsi="Arial"/>
          <w:b/>
        </w:rPr>
        <w:tab/>
      </w:r>
      <w:r w:rsidR="00941416" w:rsidRPr="00941416">
        <w:rPr>
          <w:rFonts w:ascii="Arial" w:hAnsi="Arial"/>
          <w:b/>
          <w:color w:val="000000" w:themeColor="text1"/>
        </w:rPr>
        <w:t>Level of influence of each factor on the intention to use mobile payment services in terms of the convenience of mobility</w:t>
      </w:r>
    </w:p>
    <w:p w14:paraId="2AED8FA8" w14:textId="77777777" w:rsidR="00AB00E6" w:rsidRDefault="00AB00E6" w:rsidP="00AB00E6">
      <w:pPr>
        <w:tabs>
          <w:tab w:val="left" w:pos="1080"/>
        </w:tabs>
        <w:jc w:val="both"/>
        <w:rPr>
          <w:rFonts w:ascii="Arial" w:hAnsi="Arial"/>
          <w:bCs/>
          <w:color w:val="000000" w:themeColor="text1"/>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AB00E6" w:rsidRPr="00AB00E6" w14:paraId="54CD9C57" w14:textId="77777777" w:rsidTr="00AB00E6">
        <w:trPr>
          <w:trHeight w:val="20"/>
        </w:trPr>
        <w:tc>
          <w:tcPr>
            <w:tcW w:w="2990" w:type="pct"/>
            <w:tcBorders>
              <w:top w:val="single" w:sz="4" w:space="0" w:color="auto"/>
              <w:bottom w:val="single" w:sz="4" w:space="0" w:color="auto"/>
            </w:tcBorders>
            <w:vAlign w:val="center"/>
            <w:hideMark/>
          </w:tcPr>
          <w:p w14:paraId="608CCD13" w14:textId="689B7C4D" w:rsidR="00AB00E6" w:rsidRPr="00C51CC0" w:rsidRDefault="00941416" w:rsidP="00AB00E6">
            <w:pPr>
              <w:jc w:val="center"/>
              <w:rPr>
                <w:rFonts w:ascii="Arial" w:eastAsia="Yu Mincho" w:hAnsi="Arial" w:cs="Arial"/>
                <w:b/>
                <w:bCs/>
                <w:color w:val="000000"/>
                <w:kern w:val="2"/>
                <w:lang w:eastAsia="ja-JP"/>
              </w:rPr>
            </w:pPr>
            <w:bookmarkStart w:id="1" w:name="_Hlk215827282"/>
            <w:r w:rsidRPr="00C51CC0">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14A42DEB" w14:textId="77777777" w:rsidR="00AB00E6" w:rsidRPr="00C51CC0" w:rsidRDefault="00AB00E6" w:rsidP="00AB00E6">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798245F1" w14:textId="77777777" w:rsidR="00AB00E6" w:rsidRPr="00C51CC0" w:rsidRDefault="00AB00E6" w:rsidP="00AB00E6">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15C229E3" w14:textId="77777777" w:rsidR="00AB00E6" w:rsidRPr="00C51CC0" w:rsidRDefault="00AB00E6" w:rsidP="00AB00E6">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Interpretation</w:t>
            </w:r>
          </w:p>
        </w:tc>
      </w:tr>
      <w:tr w:rsidR="00AB00E6" w:rsidRPr="00AB00E6" w14:paraId="12BE63F9" w14:textId="77777777" w:rsidTr="00AB00E6">
        <w:trPr>
          <w:trHeight w:val="20"/>
        </w:trPr>
        <w:tc>
          <w:tcPr>
            <w:tcW w:w="5000" w:type="pct"/>
            <w:gridSpan w:val="4"/>
            <w:tcBorders>
              <w:top w:val="single" w:sz="4" w:space="0" w:color="auto"/>
              <w:left w:val="nil"/>
            </w:tcBorders>
          </w:tcPr>
          <w:p w14:paraId="6EF39C41" w14:textId="3CEB79B2" w:rsidR="00AB00E6" w:rsidRPr="00C51CC0" w:rsidRDefault="00941416" w:rsidP="00AB00E6">
            <w:pP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Convenience of Mobility</w:t>
            </w:r>
          </w:p>
        </w:tc>
      </w:tr>
      <w:tr w:rsidR="00941416" w:rsidRPr="00AB00E6" w14:paraId="01DFDC2A" w14:textId="77777777" w:rsidTr="00AB00E6">
        <w:trPr>
          <w:trHeight w:val="20"/>
        </w:trPr>
        <w:tc>
          <w:tcPr>
            <w:tcW w:w="2990" w:type="pct"/>
            <w:tcBorders>
              <w:left w:val="nil"/>
              <w:bottom w:val="nil"/>
              <w:right w:val="nil"/>
            </w:tcBorders>
            <w:hideMark/>
          </w:tcPr>
          <w:p w14:paraId="2D0E12C3" w14:textId="52975F74"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 is independent of time.</w:t>
            </w:r>
          </w:p>
        </w:tc>
        <w:tc>
          <w:tcPr>
            <w:tcW w:w="598" w:type="pct"/>
            <w:noWrap/>
            <w:hideMark/>
          </w:tcPr>
          <w:p w14:paraId="0FF28B60" w14:textId="6E764323"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4.05</w:t>
            </w:r>
          </w:p>
        </w:tc>
        <w:tc>
          <w:tcPr>
            <w:tcW w:w="598" w:type="pct"/>
            <w:noWrap/>
            <w:hideMark/>
          </w:tcPr>
          <w:p w14:paraId="66D98EC1" w14:textId="2925FA6F"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0.61</w:t>
            </w:r>
          </w:p>
        </w:tc>
        <w:tc>
          <w:tcPr>
            <w:tcW w:w="814" w:type="pct"/>
            <w:noWrap/>
            <w:hideMark/>
          </w:tcPr>
          <w:p w14:paraId="43467ABF" w14:textId="303EB957"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High</w:t>
            </w:r>
          </w:p>
        </w:tc>
      </w:tr>
      <w:tr w:rsidR="00941416" w:rsidRPr="00AB00E6" w14:paraId="69254DC6" w14:textId="77777777" w:rsidTr="00AB00E6">
        <w:trPr>
          <w:trHeight w:val="20"/>
        </w:trPr>
        <w:tc>
          <w:tcPr>
            <w:tcW w:w="2990" w:type="pct"/>
            <w:tcBorders>
              <w:top w:val="nil"/>
              <w:left w:val="nil"/>
              <w:bottom w:val="nil"/>
              <w:right w:val="nil"/>
            </w:tcBorders>
            <w:hideMark/>
          </w:tcPr>
          <w:p w14:paraId="040DE485" w14:textId="016D8634"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 is independent of place.</w:t>
            </w:r>
          </w:p>
        </w:tc>
        <w:tc>
          <w:tcPr>
            <w:tcW w:w="598" w:type="pct"/>
            <w:noWrap/>
            <w:hideMark/>
          </w:tcPr>
          <w:p w14:paraId="24046AB5" w14:textId="70976A8B"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4.00</w:t>
            </w:r>
          </w:p>
        </w:tc>
        <w:tc>
          <w:tcPr>
            <w:tcW w:w="598" w:type="pct"/>
            <w:noWrap/>
            <w:hideMark/>
          </w:tcPr>
          <w:p w14:paraId="587E688D" w14:textId="41530B41"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0.64</w:t>
            </w:r>
          </w:p>
        </w:tc>
        <w:tc>
          <w:tcPr>
            <w:tcW w:w="814" w:type="pct"/>
            <w:noWrap/>
            <w:hideMark/>
          </w:tcPr>
          <w:p w14:paraId="047DCCC5" w14:textId="1CFE1B92"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High</w:t>
            </w:r>
          </w:p>
        </w:tc>
      </w:tr>
      <w:tr w:rsidR="00941416" w:rsidRPr="00AB00E6" w14:paraId="491A6A43" w14:textId="77777777" w:rsidTr="00AB00E6">
        <w:trPr>
          <w:trHeight w:val="20"/>
        </w:trPr>
        <w:tc>
          <w:tcPr>
            <w:tcW w:w="2990" w:type="pct"/>
            <w:tcBorders>
              <w:top w:val="nil"/>
              <w:left w:val="nil"/>
              <w:bottom w:val="nil"/>
              <w:right w:val="nil"/>
            </w:tcBorders>
            <w:hideMark/>
          </w:tcPr>
          <w:p w14:paraId="57258536" w14:textId="1E0BAEBE"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Can use mobile payment whenever needed.</w:t>
            </w:r>
          </w:p>
        </w:tc>
        <w:tc>
          <w:tcPr>
            <w:tcW w:w="598" w:type="pct"/>
            <w:noWrap/>
            <w:hideMark/>
          </w:tcPr>
          <w:p w14:paraId="5574521E" w14:textId="2318624E"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4.11</w:t>
            </w:r>
          </w:p>
        </w:tc>
        <w:tc>
          <w:tcPr>
            <w:tcW w:w="598" w:type="pct"/>
            <w:noWrap/>
            <w:hideMark/>
          </w:tcPr>
          <w:p w14:paraId="6A7F1925" w14:textId="41917FB2"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0.77</w:t>
            </w:r>
          </w:p>
        </w:tc>
        <w:tc>
          <w:tcPr>
            <w:tcW w:w="814" w:type="pct"/>
            <w:noWrap/>
            <w:hideMark/>
          </w:tcPr>
          <w:p w14:paraId="28F48EE3" w14:textId="7D3D0D15"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High</w:t>
            </w:r>
          </w:p>
        </w:tc>
      </w:tr>
      <w:tr w:rsidR="00941416" w:rsidRPr="00AB00E6" w14:paraId="6DBFE3C0" w14:textId="77777777" w:rsidTr="00AB00E6">
        <w:trPr>
          <w:trHeight w:val="20"/>
        </w:trPr>
        <w:tc>
          <w:tcPr>
            <w:tcW w:w="2990" w:type="pct"/>
            <w:tcBorders>
              <w:top w:val="nil"/>
              <w:left w:val="nil"/>
              <w:bottom w:val="nil"/>
              <w:right w:val="nil"/>
            </w:tcBorders>
            <w:hideMark/>
          </w:tcPr>
          <w:p w14:paraId="156B7757" w14:textId="71A890C2"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 is convenient because everyone always carries a mobile phone.</w:t>
            </w:r>
          </w:p>
        </w:tc>
        <w:tc>
          <w:tcPr>
            <w:tcW w:w="598" w:type="pct"/>
            <w:noWrap/>
            <w:hideMark/>
          </w:tcPr>
          <w:p w14:paraId="56CE06C4" w14:textId="5748E471"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4.24</w:t>
            </w:r>
          </w:p>
        </w:tc>
        <w:tc>
          <w:tcPr>
            <w:tcW w:w="598" w:type="pct"/>
            <w:noWrap/>
            <w:hideMark/>
          </w:tcPr>
          <w:p w14:paraId="38E675F4" w14:textId="58C08026"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0.75</w:t>
            </w:r>
          </w:p>
        </w:tc>
        <w:tc>
          <w:tcPr>
            <w:tcW w:w="814" w:type="pct"/>
            <w:noWrap/>
            <w:hideMark/>
          </w:tcPr>
          <w:p w14:paraId="7C47E8EE" w14:textId="01E02B52"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Very High</w:t>
            </w:r>
          </w:p>
        </w:tc>
      </w:tr>
      <w:tr w:rsidR="00941416" w:rsidRPr="00AB00E6" w14:paraId="31E52C1A" w14:textId="77777777" w:rsidTr="00AB00E6">
        <w:trPr>
          <w:trHeight w:val="20"/>
        </w:trPr>
        <w:tc>
          <w:tcPr>
            <w:tcW w:w="2990" w:type="pct"/>
            <w:tcBorders>
              <w:top w:val="nil"/>
              <w:left w:val="nil"/>
              <w:bottom w:val="nil"/>
              <w:right w:val="nil"/>
            </w:tcBorders>
            <w:hideMark/>
          </w:tcPr>
          <w:p w14:paraId="75912F2A" w14:textId="366E2EE5"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payments are convenient because they can be used at any time and from anywhere.</w:t>
            </w:r>
          </w:p>
        </w:tc>
        <w:tc>
          <w:tcPr>
            <w:tcW w:w="598" w:type="pct"/>
            <w:noWrap/>
            <w:hideMark/>
          </w:tcPr>
          <w:p w14:paraId="5DCB462F" w14:textId="6224A06A"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4.23</w:t>
            </w:r>
          </w:p>
        </w:tc>
        <w:tc>
          <w:tcPr>
            <w:tcW w:w="598" w:type="pct"/>
            <w:noWrap/>
            <w:hideMark/>
          </w:tcPr>
          <w:p w14:paraId="5A505084" w14:textId="3173B295"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0.77</w:t>
            </w:r>
          </w:p>
        </w:tc>
        <w:tc>
          <w:tcPr>
            <w:tcW w:w="814" w:type="pct"/>
            <w:noWrap/>
            <w:hideMark/>
          </w:tcPr>
          <w:p w14:paraId="562DB0D1" w14:textId="3ACB8392"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Very High</w:t>
            </w:r>
          </w:p>
        </w:tc>
      </w:tr>
      <w:tr w:rsidR="00941416" w:rsidRPr="00AB00E6" w14:paraId="19279311" w14:textId="77777777" w:rsidTr="00941416">
        <w:trPr>
          <w:trHeight w:val="20"/>
        </w:trPr>
        <w:tc>
          <w:tcPr>
            <w:tcW w:w="2990" w:type="pct"/>
            <w:tcBorders>
              <w:top w:val="nil"/>
              <w:left w:val="nil"/>
              <w:bottom w:val="nil"/>
              <w:right w:val="nil"/>
            </w:tcBorders>
            <w:hideMark/>
          </w:tcPr>
          <w:p w14:paraId="3FD9A3AF" w14:textId="42BE2F5F"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 is convenient because it can be used in any condition.</w:t>
            </w:r>
          </w:p>
        </w:tc>
        <w:tc>
          <w:tcPr>
            <w:tcW w:w="598" w:type="pct"/>
            <w:noWrap/>
            <w:hideMark/>
          </w:tcPr>
          <w:p w14:paraId="1B6939EE" w14:textId="58A025DC"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4.07</w:t>
            </w:r>
          </w:p>
        </w:tc>
        <w:tc>
          <w:tcPr>
            <w:tcW w:w="598" w:type="pct"/>
            <w:noWrap/>
            <w:hideMark/>
          </w:tcPr>
          <w:p w14:paraId="2EE032A2" w14:textId="35E58D5D"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0.82</w:t>
            </w:r>
          </w:p>
        </w:tc>
        <w:tc>
          <w:tcPr>
            <w:tcW w:w="814" w:type="pct"/>
            <w:noWrap/>
            <w:hideMark/>
          </w:tcPr>
          <w:p w14:paraId="6A033C27" w14:textId="69A8F5B4"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High</w:t>
            </w:r>
          </w:p>
        </w:tc>
      </w:tr>
      <w:tr w:rsidR="00941416" w:rsidRPr="00AB00E6" w14:paraId="006E783F" w14:textId="77777777" w:rsidTr="00D96452">
        <w:trPr>
          <w:trHeight w:val="20"/>
        </w:trPr>
        <w:tc>
          <w:tcPr>
            <w:tcW w:w="2990" w:type="pct"/>
            <w:tcBorders>
              <w:top w:val="nil"/>
              <w:left w:val="nil"/>
              <w:right w:val="nil"/>
            </w:tcBorders>
          </w:tcPr>
          <w:p w14:paraId="5A9365BB" w14:textId="11E6DBF3" w:rsidR="00941416" w:rsidRPr="00C51CC0" w:rsidRDefault="00941416">
            <w:pPr>
              <w:numPr>
                <w:ilvl w:val="0"/>
                <w:numId w:val="2"/>
              </w:numPr>
              <w:spacing w:after="160"/>
              <w:contextualSpacing/>
              <w:rPr>
                <w:rFonts w:ascii="Arial" w:eastAsia="Yu Mincho" w:hAnsi="Arial" w:cs="Arial"/>
                <w:color w:val="000000"/>
                <w:kern w:val="2"/>
                <w:lang w:eastAsia="ja-JP"/>
              </w:rPr>
            </w:pPr>
            <w:r w:rsidRPr="00C51CC0">
              <w:rPr>
                <w:rFonts w:ascii="Arial" w:hAnsi="Arial" w:cs="Arial"/>
              </w:rPr>
              <w:t>Mobile payment is convenient because the mobile payment service is not complicated.</w:t>
            </w:r>
          </w:p>
        </w:tc>
        <w:tc>
          <w:tcPr>
            <w:tcW w:w="598" w:type="pct"/>
            <w:noWrap/>
          </w:tcPr>
          <w:p w14:paraId="63B2A5C0" w14:textId="6090BFC9"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4.04</w:t>
            </w:r>
          </w:p>
        </w:tc>
        <w:tc>
          <w:tcPr>
            <w:tcW w:w="598" w:type="pct"/>
            <w:noWrap/>
          </w:tcPr>
          <w:p w14:paraId="578DA964" w14:textId="2C1A58F0"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0.79</w:t>
            </w:r>
          </w:p>
        </w:tc>
        <w:tc>
          <w:tcPr>
            <w:tcW w:w="814" w:type="pct"/>
            <w:noWrap/>
          </w:tcPr>
          <w:p w14:paraId="70A837B8" w14:textId="09D2BDA4" w:rsidR="00941416" w:rsidRPr="00C51CC0" w:rsidRDefault="00941416" w:rsidP="00941416">
            <w:pPr>
              <w:jc w:val="center"/>
              <w:rPr>
                <w:rFonts w:ascii="Arial" w:eastAsia="Yu Mincho" w:hAnsi="Arial" w:cs="Arial"/>
                <w:color w:val="000000"/>
                <w:kern w:val="2"/>
                <w:lang w:eastAsia="ja-JP"/>
              </w:rPr>
            </w:pPr>
            <w:r w:rsidRPr="00C51CC0">
              <w:rPr>
                <w:rFonts w:ascii="Arial" w:hAnsi="Arial" w:cs="Arial"/>
              </w:rPr>
              <w:t>High</w:t>
            </w:r>
          </w:p>
        </w:tc>
      </w:tr>
      <w:tr w:rsidR="00941416" w:rsidRPr="00AB00E6" w14:paraId="220339FA" w14:textId="77777777" w:rsidTr="00D96452">
        <w:trPr>
          <w:trHeight w:val="20"/>
        </w:trPr>
        <w:tc>
          <w:tcPr>
            <w:tcW w:w="2990" w:type="pct"/>
            <w:tcBorders>
              <w:top w:val="nil"/>
              <w:left w:val="nil"/>
              <w:bottom w:val="single" w:sz="4" w:space="0" w:color="auto"/>
              <w:right w:val="nil"/>
            </w:tcBorders>
          </w:tcPr>
          <w:p w14:paraId="40626B66" w14:textId="74C1F6DF" w:rsidR="00941416" w:rsidRPr="00C51CC0" w:rsidRDefault="00941416" w:rsidP="00941416">
            <w:pPr>
              <w:spacing w:after="160"/>
              <w:contextualSpacing/>
              <w:jc w:val="center"/>
              <w:rPr>
                <w:rFonts w:ascii="Arial" w:eastAsia="Yu Mincho" w:hAnsi="Arial" w:cs="Arial"/>
                <w:b/>
                <w:bCs/>
                <w:color w:val="000000"/>
                <w:kern w:val="2"/>
                <w:lang w:eastAsia="ja-JP"/>
              </w:rPr>
            </w:pPr>
            <w:r w:rsidRPr="00C51CC0">
              <w:rPr>
                <w:rFonts w:ascii="Arial" w:hAnsi="Arial" w:cs="Arial"/>
                <w:b/>
                <w:bCs/>
              </w:rPr>
              <w:t>Average</w:t>
            </w:r>
          </w:p>
        </w:tc>
        <w:tc>
          <w:tcPr>
            <w:tcW w:w="598" w:type="pct"/>
            <w:tcBorders>
              <w:bottom w:val="single" w:sz="4" w:space="0" w:color="auto"/>
            </w:tcBorders>
            <w:noWrap/>
          </w:tcPr>
          <w:p w14:paraId="1ABEEF04" w14:textId="5028AEFD" w:rsidR="00941416" w:rsidRPr="00C51CC0" w:rsidRDefault="00941416" w:rsidP="00941416">
            <w:pPr>
              <w:jc w:val="center"/>
              <w:rPr>
                <w:rFonts w:ascii="Arial" w:eastAsia="Yu Mincho" w:hAnsi="Arial" w:cs="Arial"/>
                <w:b/>
                <w:bCs/>
                <w:color w:val="000000"/>
                <w:kern w:val="2"/>
                <w:lang w:eastAsia="ja-JP"/>
              </w:rPr>
            </w:pPr>
            <w:r w:rsidRPr="00C51CC0">
              <w:rPr>
                <w:rFonts w:ascii="Arial" w:hAnsi="Arial" w:cs="Arial"/>
                <w:b/>
                <w:bCs/>
              </w:rPr>
              <w:t>4.11</w:t>
            </w:r>
          </w:p>
        </w:tc>
        <w:tc>
          <w:tcPr>
            <w:tcW w:w="598" w:type="pct"/>
            <w:tcBorders>
              <w:bottom w:val="single" w:sz="4" w:space="0" w:color="auto"/>
            </w:tcBorders>
            <w:noWrap/>
          </w:tcPr>
          <w:p w14:paraId="29E42074" w14:textId="43CE01FE" w:rsidR="00941416" w:rsidRPr="00C51CC0" w:rsidRDefault="00941416" w:rsidP="00941416">
            <w:pPr>
              <w:jc w:val="center"/>
              <w:rPr>
                <w:rFonts w:ascii="Arial" w:eastAsia="Yu Mincho" w:hAnsi="Arial" w:cs="Arial"/>
                <w:b/>
                <w:bCs/>
                <w:color w:val="000000"/>
                <w:kern w:val="2"/>
                <w:lang w:eastAsia="ja-JP"/>
              </w:rPr>
            </w:pPr>
            <w:r w:rsidRPr="00C51CC0">
              <w:rPr>
                <w:rFonts w:ascii="Arial" w:hAnsi="Arial" w:cs="Arial"/>
                <w:b/>
                <w:bCs/>
              </w:rPr>
              <w:t>0.51</w:t>
            </w:r>
          </w:p>
        </w:tc>
        <w:tc>
          <w:tcPr>
            <w:tcW w:w="814" w:type="pct"/>
            <w:tcBorders>
              <w:bottom w:val="single" w:sz="4" w:space="0" w:color="auto"/>
            </w:tcBorders>
            <w:noWrap/>
          </w:tcPr>
          <w:p w14:paraId="2FBDDE3B" w14:textId="512F3E32" w:rsidR="00941416" w:rsidRPr="00C51CC0" w:rsidRDefault="00941416" w:rsidP="00941416">
            <w:pPr>
              <w:jc w:val="center"/>
              <w:rPr>
                <w:rFonts w:ascii="Arial" w:eastAsia="Yu Mincho" w:hAnsi="Arial" w:cs="Arial"/>
                <w:b/>
                <w:bCs/>
                <w:color w:val="000000"/>
                <w:kern w:val="2"/>
                <w:lang w:eastAsia="ja-JP"/>
              </w:rPr>
            </w:pPr>
            <w:r w:rsidRPr="00C51CC0">
              <w:rPr>
                <w:rFonts w:ascii="Arial" w:hAnsi="Arial" w:cs="Arial"/>
                <w:b/>
                <w:bCs/>
              </w:rPr>
              <w:t>High</w:t>
            </w:r>
          </w:p>
        </w:tc>
      </w:tr>
      <w:bookmarkEnd w:id="1"/>
    </w:tbl>
    <w:p w14:paraId="4602A52E" w14:textId="77777777" w:rsidR="004C4C0F" w:rsidRDefault="004C4C0F" w:rsidP="00080CA4">
      <w:pPr>
        <w:tabs>
          <w:tab w:val="left" w:pos="1080"/>
        </w:tabs>
        <w:jc w:val="both"/>
        <w:rPr>
          <w:rFonts w:ascii="Arial" w:hAnsi="Arial"/>
          <w:b/>
        </w:rPr>
      </w:pPr>
    </w:p>
    <w:p w14:paraId="58F5878D" w14:textId="77777777" w:rsidR="00080CA4" w:rsidRDefault="00080CA4" w:rsidP="00080CA4">
      <w:pPr>
        <w:tabs>
          <w:tab w:val="left" w:pos="1080"/>
        </w:tabs>
        <w:jc w:val="both"/>
        <w:rPr>
          <w:rFonts w:ascii="Arial" w:hAnsi="Arial"/>
          <w:b/>
          <w:color w:val="000000" w:themeColor="text1"/>
        </w:rPr>
      </w:pPr>
    </w:p>
    <w:p w14:paraId="65A1AC32" w14:textId="58D66D98" w:rsidR="002216A3" w:rsidRPr="00C51CC0" w:rsidRDefault="002216A3" w:rsidP="00630082">
      <w:pPr>
        <w:spacing w:after="160" w:line="259" w:lineRule="auto"/>
        <w:jc w:val="both"/>
        <w:rPr>
          <w:rFonts w:ascii="Arial" w:hAnsi="Arial" w:cs="Arial"/>
        </w:rPr>
      </w:pPr>
      <w:r w:rsidRPr="00C51CC0">
        <w:rPr>
          <w:rFonts w:ascii="Arial" w:hAnsi="Arial" w:cs="Arial"/>
        </w:rPr>
        <w:t>Table 3 shows that respondents perceive mobile payment services as highly compatible with their daily activities and existing technologies, with an overall mean of 4.11 and a standard deviation of 0.52. Respondents agree that mobile payment systems are compatible with current technology (mean = 4.13), other mobile services (mean = 4.17), and their daily routines (mean = 4.01). Compatibility is widely recognized as a key determinant of mobile payment adoption, as systems are more readily accepted when they fit users’ values, habits, and technological environments (Li et al., 2014; Moroni et al., 2015). The consistency of high ratings supports findings that compatibility positively influences users’ adoption intentions for NFC-enabled and digital payment technologies</w:t>
      </w:r>
      <w:r w:rsidR="000B74DF">
        <w:rPr>
          <w:rFonts w:ascii="Arial" w:hAnsi="Arial" w:cs="Arial"/>
        </w:rPr>
        <w:t>.</w:t>
      </w:r>
    </w:p>
    <w:p w14:paraId="0D1CE944" w14:textId="77777777" w:rsidR="004C3553" w:rsidRDefault="002216A3" w:rsidP="004C3553">
      <w:pPr>
        <w:tabs>
          <w:tab w:val="left" w:pos="1080"/>
        </w:tabs>
        <w:jc w:val="both"/>
        <w:rPr>
          <w:rFonts w:ascii="Arial" w:hAnsi="Arial"/>
          <w:b/>
        </w:rPr>
      </w:pPr>
      <w:r w:rsidRPr="00C51CC0">
        <w:rPr>
          <w:rFonts w:ascii="Arial" w:hAnsi="Arial" w:cs="Arial"/>
        </w:rPr>
        <w:lastRenderedPageBreak/>
        <w:t xml:space="preserve">Beyond technological fit, compatibility also extends to alignment with lifestyle preferences and cultural norms. Studies show that mobile payment systems gain greater acceptance when they integrate seamlessly into consumers’ everyday routines and complement related technologies such as loyalty programs or digital receipts (Augsburg &amp; </w:t>
      </w:r>
      <w:proofErr w:type="spellStart"/>
      <w:r w:rsidRPr="00C51CC0">
        <w:rPr>
          <w:rFonts w:ascii="Arial" w:hAnsi="Arial" w:cs="Arial"/>
        </w:rPr>
        <w:t>Hedman</w:t>
      </w:r>
      <w:proofErr w:type="spellEnd"/>
      <w:r w:rsidRPr="00C51CC0">
        <w:rPr>
          <w:rFonts w:ascii="Arial" w:hAnsi="Arial" w:cs="Arial"/>
        </w:rPr>
        <w:t xml:space="preserve">, 2014; Moroni et al., 2015). Dastan and </w:t>
      </w:r>
      <w:proofErr w:type="spellStart"/>
      <w:r w:rsidRPr="00C51CC0">
        <w:rPr>
          <w:rFonts w:ascii="Arial" w:hAnsi="Arial" w:cs="Arial"/>
        </w:rPr>
        <w:t>Gürler</w:t>
      </w:r>
      <w:proofErr w:type="spellEnd"/>
      <w:r w:rsidRPr="00C51CC0">
        <w:rPr>
          <w:rFonts w:ascii="Arial" w:hAnsi="Arial" w:cs="Arial"/>
        </w:rPr>
        <w:t xml:space="preserve"> (2016) further emphasize that users adopt mobile payments more readily when these systems match their lifestyle patterns, a concept illustrated by Japan’s Mobile </w:t>
      </w:r>
      <w:proofErr w:type="spellStart"/>
      <w:r w:rsidRPr="00C51CC0">
        <w:rPr>
          <w:rFonts w:ascii="Arial" w:hAnsi="Arial" w:cs="Arial"/>
        </w:rPr>
        <w:t>Suica</w:t>
      </w:r>
      <w:proofErr w:type="spellEnd"/>
      <w:r w:rsidRPr="00C51CC0">
        <w:rPr>
          <w:rFonts w:ascii="Arial" w:hAnsi="Arial" w:cs="Arial"/>
        </w:rPr>
        <w:t xml:space="preserve"> system, which succeeded due to its strong compatibility with transportation practices (</w:t>
      </w:r>
      <w:proofErr w:type="spellStart"/>
      <w:r w:rsidRPr="00C51CC0">
        <w:rPr>
          <w:rFonts w:ascii="Arial" w:hAnsi="Arial" w:cs="Arial"/>
        </w:rPr>
        <w:t>Magnier</w:t>
      </w:r>
      <w:proofErr w:type="spellEnd"/>
      <w:r w:rsidRPr="00C51CC0">
        <w:rPr>
          <w:rFonts w:ascii="Arial" w:hAnsi="Arial" w:cs="Arial"/>
        </w:rPr>
        <w:t>-Watanabe, 2014). In emerging markets, compatibility is particularly significant, as adoption depends on both technological accessibility and alignment with local behaviors (</w:t>
      </w:r>
      <w:proofErr w:type="spellStart"/>
      <w:r w:rsidRPr="00C51CC0">
        <w:rPr>
          <w:rFonts w:ascii="Arial" w:hAnsi="Arial" w:cs="Arial"/>
        </w:rPr>
        <w:t>Kshetri</w:t>
      </w:r>
      <w:proofErr w:type="spellEnd"/>
      <w:r w:rsidRPr="00C51CC0">
        <w:rPr>
          <w:rFonts w:ascii="Arial" w:hAnsi="Arial" w:cs="Arial"/>
        </w:rPr>
        <w:t xml:space="preserve"> &amp; Acharya, 2014; Singh et al., 2018). Choi et al. (2020) add that compatibility must also extend to service features such as assurance policies and loyalty programs to enhance trust and perceived usefulness. Overall, the high compatibility ratings in Table 3 suggest strong potential for continued adoption, especially in contexts with widespread mobile device use.</w:t>
      </w:r>
      <w:r w:rsidR="004C3553" w:rsidRPr="004C3553">
        <w:rPr>
          <w:rFonts w:ascii="Arial" w:hAnsi="Arial"/>
          <w:b/>
        </w:rPr>
        <w:t xml:space="preserve"> </w:t>
      </w:r>
    </w:p>
    <w:p w14:paraId="7F52F217" w14:textId="77777777" w:rsidR="004C3553" w:rsidRDefault="004C3553" w:rsidP="004C3553">
      <w:pPr>
        <w:tabs>
          <w:tab w:val="left" w:pos="1080"/>
        </w:tabs>
        <w:jc w:val="both"/>
        <w:rPr>
          <w:rFonts w:ascii="Arial" w:hAnsi="Arial"/>
          <w:b/>
        </w:rPr>
      </w:pPr>
    </w:p>
    <w:p w14:paraId="09EE126C" w14:textId="7B6F7E73" w:rsidR="004C3553" w:rsidRDefault="004C3553" w:rsidP="004C3553">
      <w:pPr>
        <w:tabs>
          <w:tab w:val="left" w:pos="1080"/>
        </w:tabs>
        <w:jc w:val="both"/>
        <w:rPr>
          <w:rFonts w:ascii="Arial" w:hAnsi="Arial"/>
          <w:b/>
          <w:color w:val="000000" w:themeColor="text1"/>
        </w:rPr>
      </w:pPr>
      <w:r>
        <w:rPr>
          <w:rFonts w:ascii="Arial" w:hAnsi="Arial"/>
          <w:b/>
        </w:rPr>
        <w:t>Table 3.</w:t>
      </w:r>
      <w:r w:rsidRPr="00DC3180">
        <w:rPr>
          <w:rFonts w:ascii="Arial" w:hAnsi="Arial"/>
          <w:b/>
        </w:rPr>
        <w:tab/>
      </w:r>
      <w:r w:rsidRPr="00080CA4">
        <w:rPr>
          <w:rFonts w:ascii="Arial" w:hAnsi="Arial"/>
          <w:b/>
          <w:color w:val="000000" w:themeColor="text1"/>
        </w:rPr>
        <w:t xml:space="preserve">Level of Influence of Each Factor on the Intention to Use Mobile Payment Services in </w:t>
      </w:r>
      <w:proofErr w:type="spellStart"/>
      <w:r w:rsidRPr="00080CA4">
        <w:rPr>
          <w:rFonts w:ascii="Arial" w:hAnsi="Arial"/>
          <w:b/>
          <w:color w:val="000000" w:themeColor="text1"/>
        </w:rPr>
        <w:t>Poblacion</w:t>
      </w:r>
      <w:proofErr w:type="spellEnd"/>
      <w:r w:rsidRPr="00080CA4">
        <w:rPr>
          <w:rFonts w:ascii="Arial" w:hAnsi="Arial"/>
          <w:b/>
          <w:color w:val="000000" w:themeColor="text1"/>
        </w:rPr>
        <w:t xml:space="preserve">, </w:t>
      </w:r>
      <w:proofErr w:type="spellStart"/>
      <w:r w:rsidRPr="00080CA4">
        <w:rPr>
          <w:rFonts w:ascii="Arial" w:hAnsi="Arial"/>
          <w:b/>
          <w:color w:val="000000" w:themeColor="text1"/>
        </w:rPr>
        <w:t>Cateel</w:t>
      </w:r>
      <w:proofErr w:type="spellEnd"/>
      <w:r w:rsidRPr="00080CA4">
        <w:rPr>
          <w:rFonts w:ascii="Arial" w:hAnsi="Arial"/>
          <w:b/>
          <w:color w:val="000000" w:themeColor="text1"/>
        </w:rPr>
        <w:t>, Davao Oriental, in terms of Compatibility</w:t>
      </w:r>
    </w:p>
    <w:p w14:paraId="7727B92B" w14:textId="0D456BF7" w:rsidR="00080CA4" w:rsidRPr="00C51CC0" w:rsidRDefault="00080CA4" w:rsidP="00630082">
      <w:pPr>
        <w:spacing w:after="160" w:line="259" w:lineRule="auto"/>
        <w:jc w:val="both"/>
        <w:rPr>
          <w:rFonts w:ascii="Arial" w:hAnsi="Arial" w:cs="Arial"/>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080CA4" w:rsidRPr="00AB00E6" w14:paraId="0301E831" w14:textId="77777777" w:rsidTr="00C56124">
        <w:trPr>
          <w:trHeight w:val="20"/>
        </w:trPr>
        <w:tc>
          <w:tcPr>
            <w:tcW w:w="2990" w:type="pct"/>
            <w:tcBorders>
              <w:top w:val="single" w:sz="4" w:space="0" w:color="auto"/>
              <w:bottom w:val="single" w:sz="4" w:space="0" w:color="auto"/>
            </w:tcBorders>
            <w:vAlign w:val="center"/>
            <w:hideMark/>
          </w:tcPr>
          <w:p w14:paraId="67D8DC2E" w14:textId="77777777" w:rsidR="00080CA4" w:rsidRPr="00C51CC0" w:rsidRDefault="00080CA4" w:rsidP="00C56124">
            <w:pPr>
              <w:jc w:val="center"/>
              <w:rPr>
                <w:rFonts w:ascii="Arial" w:eastAsia="Yu Mincho" w:hAnsi="Arial" w:cs="Arial"/>
                <w:b/>
                <w:bCs/>
                <w:color w:val="000000"/>
                <w:kern w:val="2"/>
                <w:lang w:eastAsia="ja-JP"/>
              </w:rPr>
            </w:pPr>
            <w:bookmarkStart w:id="2" w:name="_Hlk215827489"/>
            <w:r w:rsidRPr="00C51CC0">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0583B651"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28F60098"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00817F6B"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Interpretation</w:t>
            </w:r>
          </w:p>
        </w:tc>
      </w:tr>
      <w:tr w:rsidR="00080CA4" w:rsidRPr="00AB00E6" w14:paraId="490D795A" w14:textId="77777777" w:rsidTr="00C56124">
        <w:trPr>
          <w:trHeight w:val="20"/>
        </w:trPr>
        <w:tc>
          <w:tcPr>
            <w:tcW w:w="5000" w:type="pct"/>
            <w:gridSpan w:val="4"/>
            <w:tcBorders>
              <w:top w:val="single" w:sz="4" w:space="0" w:color="auto"/>
              <w:left w:val="nil"/>
            </w:tcBorders>
          </w:tcPr>
          <w:p w14:paraId="7B355BBE" w14:textId="779FD69A" w:rsidR="00080CA4" w:rsidRPr="00C51CC0" w:rsidRDefault="00080CA4" w:rsidP="00C56124">
            <w:pP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Compatibility</w:t>
            </w:r>
          </w:p>
        </w:tc>
      </w:tr>
      <w:tr w:rsidR="00080CA4" w:rsidRPr="00AB00E6" w14:paraId="2D7FCF1F" w14:textId="77777777" w:rsidTr="00C56124">
        <w:trPr>
          <w:trHeight w:val="20"/>
        </w:trPr>
        <w:tc>
          <w:tcPr>
            <w:tcW w:w="2990" w:type="pct"/>
            <w:tcBorders>
              <w:left w:val="nil"/>
              <w:bottom w:val="nil"/>
              <w:right w:val="nil"/>
            </w:tcBorders>
            <w:hideMark/>
          </w:tcPr>
          <w:p w14:paraId="24F53D73" w14:textId="136114DD" w:rsidR="00080CA4" w:rsidRPr="00C51CC0" w:rsidRDefault="00080CA4">
            <w:pPr>
              <w:numPr>
                <w:ilvl w:val="0"/>
                <w:numId w:val="6"/>
              </w:numPr>
              <w:spacing w:after="160"/>
              <w:contextualSpacing/>
              <w:rPr>
                <w:rFonts w:ascii="Arial" w:eastAsia="Yu Mincho" w:hAnsi="Arial" w:cs="Arial"/>
                <w:color w:val="000000"/>
                <w:kern w:val="2"/>
                <w:lang w:eastAsia="ja-JP"/>
              </w:rPr>
            </w:pPr>
            <w:r w:rsidRPr="00C51CC0">
              <w:rPr>
                <w:rFonts w:ascii="Arial" w:hAnsi="Arial" w:cs="Arial"/>
              </w:rPr>
              <w:t>Mobile payment is compatible with current technology</w:t>
            </w:r>
          </w:p>
        </w:tc>
        <w:tc>
          <w:tcPr>
            <w:tcW w:w="598" w:type="pct"/>
            <w:noWrap/>
            <w:hideMark/>
          </w:tcPr>
          <w:p w14:paraId="6F4330C1" w14:textId="169B0DF9"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4.13</w:t>
            </w:r>
          </w:p>
        </w:tc>
        <w:tc>
          <w:tcPr>
            <w:tcW w:w="598" w:type="pct"/>
            <w:noWrap/>
            <w:hideMark/>
          </w:tcPr>
          <w:p w14:paraId="7FB23CFE" w14:textId="544F0C8E"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0.68</w:t>
            </w:r>
          </w:p>
        </w:tc>
        <w:tc>
          <w:tcPr>
            <w:tcW w:w="814" w:type="pct"/>
            <w:noWrap/>
            <w:hideMark/>
          </w:tcPr>
          <w:p w14:paraId="73DAD73A" w14:textId="0B805750"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3A123FA0" w14:textId="77777777" w:rsidTr="00C56124">
        <w:trPr>
          <w:trHeight w:val="20"/>
        </w:trPr>
        <w:tc>
          <w:tcPr>
            <w:tcW w:w="2990" w:type="pct"/>
            <w:tcBorders>
              <w:top w:val="nil"/>
              <w:left w:val="nil"/>
              <w:bottom w:val="nil"/>
              <w:right w:val="nil"/>
            </w:tcBorders>
            <w:hideMark/>
          </w:tcPr>
          <w:p w14:paraId="1B39A644" w14:textId="4FB42DBC" w:rsidR="00080CA4" w:rsidRPr="00C51CC0" w:rsidRDefault="00080CA4">
            <w:pPr>
              <w:numPr>
                <w:ilvl w:val="0"/>
                <w:numId w:val="6"/>
              </w:numPr>
              <w:spacing w:after="160"/>
              <w:contextualSpacing/>
              <w:rPr>
                <w:rFonts w:ascii="Arial" w:eastAsia="Yu Mincho" w:hAnsi="Arial" w:cs="Arial"/>
                <w:color w:val="000000"/>
                <w:kern w:val="2"/>
                <w:lang w:eastAsia="ja-JP"/>
              </w:rPr>
            </w:pPr>
            <w:r w:rsidRPr="00C51CC0">
              <w:rPr>
                <w:rFonts w:ascii="Arial" w:hAnsi="Arial" w:cs="Arial"/>
              </w:rPr>
              <w:t>Mobile payment is compatible with other mobile services provided</w:t>
            </w:r>
          </w:p>
        </w:tc>
        <w:tc>
          <w:tcPr>
            <w:tcW w:w="598" w:type="pct"/>
            <w:noWrap/>
            <w:hideMark/>
          </w:tcPr>
          <w:p w14:paraId="0DAC358E" w14:textId="3B73E010"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4.17</w:t>
            </w:r>
          </w:p>
        </w:tc>
        <w:tc>
          <w:tcPr>
            <w:tcW w:w="598" w:type="pct"/>
            <w:noWrap/>
            <w:hideMark/>
          </w:tcPr>
          <w:p w14:paraId="228F3A91" w14:textId="0A9BBB6B"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0.67</w:t>
            </w:r>
          </w:p>
        </w:tc>
        <w:tc>
          <w:tcPr>
            <w:tcW w:w="814" w:type="pct"/>
            <w:noWrap/>
            <w:hideMark/>
          </w:tcPr>
          <w:p w14:paraId="6BC68612" w14:textId="08A51F94"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24A33F7F" w14:textId="77777777" w:rsidTr="004C0E88">
        <w:trPr>
          <w:trHeight w:val="20"/>
        </w:trPr>
        <w:tc>
          <w:tcPr>
            <w:tcW w:w="2990" w:type="pct"/>
            <w:tcBorders>
              <w:top w:val="nil"/>
              <w:left w:val="nil"/>
              <w:right w:val="nil"/>
            </w:tcBorders>
            <w:hideMark/>
          </w:tcPr>
          <w:p w14:paraId="691FA3EE" w14:textId="78FA95CF" w:rsidR="00080CA4" w:rsidRPr="00C51CC0" w:rsidRDefault="00080CA4">
            <w:pPr>
              <w:numPr>
                <w:ilvl w:val="0"/>
                <w:numId w:val="6"/>
              </w:numPr>
              <w:spacing w:after="160"/>
              <w:contextualSpacing/>
              <w:rPr>
                <w:rFonts w:ascii="Arial" w:eastAsia="Yu Mincho" w:hAnsi="Arial" w:cs="Arial"/>
                <w:color w:val="000000"/>
                <w:kern w:val="2"/>
                <w:lang w:eastAsia="ja-JP"/>
              </w:rPr>
            </w:pPr>
            <w:r w:rsidRPr="00C51CC0">
              <w:rPr>
                <w:rFonts w:ascii="Arial" w:hAnsi="Arial" w:cs="Arial"/>
              </w:rPr>
              <w:t>Mobile payment is compatible with daily routine activities</w:t>
            </w:r>
          </w:p>
        </w:tc>
        <w:tc>
          <w:tcPr>
            <w:tcW w:w="598" w:type="pct"/>
            <w:noWrap/>
            <w:hideMark/>
          </w:tcPr>
          <w:p w14:paraId="7DE0D43F" w14:textId="2B054A41"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4.01</w:t>
            </w:r>
          </w:p>
        </w:tc>
        <w:tc>
          <w:tcPr>
            <w:tcW w:w="598" w:type="pct"/>
            <w:noWrap/>
            <w:hideMark/>
          </w:tcPr>
          <w:p w14:paraId="353B7F94" w14:textId="2C47C536"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0.70</w:t>
            </w:r>
          </w:p>
        </w:tc>
        <w:tc>
          <w:tcPr>
            <w:tcW w:w="814" w:type="pct"/>
            <w:noWrap/>
            <w:hideMark/>
          </w:tcPr>
          <w:p w14:paraId="469A32FF" w14:textId="446DEC2D"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3ABEA942" w14:textId="77777777" w:rsidTr="004C0E88">
        <w:trPr>
          <w:trHeight w:val="20"/>
        </w:trPr>
        <w:tc>
          <w:tcPr>
            <w:tcW w:w="2990" w:type="pct"/>
            <w:tcBorders>
              <w:top w:val="nil"/>
              <w:left w:val="nil"/>
              <w:bottom w:val="single" w:sz="4" w:space="0" w:color="auto"/>
              <w:right w:val="nil"/>
            </w:tcBorders>
          </w:tcPr>
          <w:p w14:paraId="2F03A7B2" w14:textId="77777777" w:rsidR="00080CA4" w:rsidRPr="00C51CC0" w:rsidRDefault="00080CA4" w:rsidP="00C56124">
            <w:pPr>
              <w:spacing w:after="160"/>
              <w:contextualSpacing/>
              <w:jc w:val="center"/>
              <w:rPr>
                <w:rFonts w:ascii="Arial" w:eastAsia="Yu Mincho" w:hAnsi="Arial" w:cs="Arial"/>
                <w:b/>
                <w:bCs/>
                <w:color w:val="000000"/>
                <w:kern w:val="2"/>
                <w:lang w:eastAsia="ja-JP"/>
              </w:rPr>
            </w:pPr>
            <w:r w:rsidRPr="00C51CC0">
              <w:rPr>
                <w:rFonts w:ascii="Arial" w:hAnsi="Arial" w:cs="Arial"/>
                <w:b/>
                <w:bCs/>
              </w:rPr>
              <w:t>Average</w:t>
            </w:r>
          </w:p>
        </w:tc>
        <w:tc>
          <w:tcPr>
            <w:tcW w:w="598" w:type="pct"/>
            <w:tcBorders>
              <w:bottom w:val="single" w:sz="4" w:space="0" w:color="auto"/>
            </w:tcBorders>
            <w:noWrap/>
          </w:tcPr>
          <w:p w14:paraId="3A4524FE"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4.11</w:t>
            </w:r>
          </w:p>
        </w:tc>
        <w:tc>
          <w:tcPr>
            <w:tcW w:w="598" w:type="pct"/>
            <w:tcBorders>
              <w:bottom w:val="single" w:sz="4" w:space="0" w:color="auto"/>
            </w:tcBorders>
            <w:noWrap/>
          </w:tcPr>
          <w:p w14:paraId="09A8E923" w14:textId="051987AE"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0.52</w:t>
            </w:r>
          </w:p>
        </w:tc>
        <w:tc>
          <w:tcPr>
            <w:tcW w:w="814" w:type="pct"/>
            <w:tcBorders>
              <w:bottom w:val="single" w:sz="4" w:space="0" w:color="auto"/>
            </w:tcBorders>
            <w:noWrap/>
          </w:tcPr>
          <w:p w14:paraId="3004946B"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High</w:t>
            </w:r>
          </w:p>
        </w:tc>
      </w:tr>
      <w:bookmarkEnd w:id="2"/>
    </w:tbl>
    <w:p w14:paraId="517EC08A" w14:textId="77777777" w:rsidR="00080CA4" w:rsidRDefault="00080CA4" w:rsidP="00AB00E6">
      <w:pPr>
        <w:pStyle w:val="Body"/>
        <w:spacing w:after="0"/>
        <w:rPr>
          <w:rFonts w:ascii="Arial" w:hAnsi="Arial" w:cs="Arial"/>
          <w:b/>
          <w:sz w:val="22"/>
        </w:rPr>
      </w:pPr>
    </w:p>
    <w:p w14:paraId="0B9952E2" w14:textId="77777777" w:rsidR="00080CA4" w:rsidRDefault="00080CA4" w:rsidP="00080CA4">
      <w:pPr>
        <w:tabs>
          <w:tab w:val="left" w:pos="1080"/>
        </w:tabs>
        <w:jc w:val="both"/>
        <w:rPr>
          <w:rFonts w:ascii="Arial" w:hAnsi="Arial"/>
          <w:b/>
          <w:color w:val="000000" w:themeColor="text1"/>
        </w:rPr>
      </w:pPr>
    </w:p>
    <w:p w14:paraId="405DE631" w14:textId="77777777" w:rsidR="002216A3" w:rsidRPr="00C51CC0" w:rsidRDefault="002216A3" w:rsidP="00630082">
      <w:pPr>
        <w:spacing w:after="160" w:line="259" w:lineRule="auto"/>
        <w:jc w:val="both"/>
        <w:rPr>
          <w:rFonts w:ascii="Arial" w:hAnsi="Arial" w:cs="Arial"/>
        </w:rPr>
      </w:pPr>
      <w:r w:rsidRPr="00C51CC0">
        <w:rPr>
          <w:rFonts w:ascii="Arial" w:hAnsi="Arial" w:cs="Arial"/>
        </w:rPr>
        <w:t>Table 4 demonstrates that respondents possess strong knowledge and confidence in using mobile payment services (MPS), as shown by the overall mean of 4.10 and standard deviation of 0.56. The highest-rated item, “Will use mobile payments easily and effectively” (mean = 4.20), indicates respondents’ readiness to use mobile payments with minimal difficulty. Similar agreement is shown in statements related to using mobile payments for purchasing goods and services (mean = 4.06) and confidence in mobile banking transactions (mean = 4.05). These results align with Liu and Tai (2016), who highlight perceived ease of use and perceived usefulness as major predictors of mobile payment adoption. The findings also support the notion that when users find m-payment systems easy and effective, their intention to adopt and continuously use them strengthens, consistent with literature emphasizing the role of system usability in adoption behavior.</w:t>
      </w:r>
    </w:p>
    <w:p w14:paraId="1DA0BEE4" w14:textId="77777777" w:rsidR="004C3553" w:rsidRDefault="002216A3" w:rsidP="004C3553">
      <w:pPr>
        <w:tabs>
          <w:tab w:val="left" w:pos="1080"/>
        </w:tabs>
        <w:jc w:val="both"/>
        <w:rPr>
          <w:rFonts w:ascii="Arial" w:hAnsi="Arial"/>
          <w:b/>
        </w:rPr>
      </w:pPr>
      <w:r w:rsidRPr="00C51CC0">
        <w:rPr>
          <w:rFonts w:ascii="Arial" w:hAnsi="Arial" w:cs="Arial"/>
        </w:rPr>
        <w:t xml:space="preserve">Beyond ease of use, user attributes such as personal innovativeness and mobile payment knowledge significantly influence adoption. The respondents’ confidence in performing financial transactions reflects this, reinforcing arguments by Jung et al. (2020) and Liu &amp; Tai (2016) that knowledge enhances perceived usefulness and ease of use, thereby increasing adoption intentions. Increased familiarity with MPS also helps mitigate trust issues and perceived risks, leading to higher satisfaction and stronger continuance intentions (Park et al., 2017). Additionally, system characteristics like mobility, convenience, and compatibility further shape positive perceptions of usefulness and usability (Liu &amp; Tai, 2016). </w:t>
      </w:r>
      <w:proofErr w:type="spellStart"/>
      <w:r w:rsidRPr="00C51CC0">
        <w:rPr>
          <w:rFonts w:ascii="Arial" w:hAnsi="Arial" w:cs="Arial"/>
        </w:rPr>
        <w:t>Phonthanukitithaworn</w:t>
      </w:r>
      <w:proofErr w:type="spellEnd"/>
      <w:r w:rsidRPr="00C51CC0">
        <w:rPr>
          <w:rFonts w:ascii="Arial" w:hAnsi="Arial" w:cs="Arial"/>
        </w:rPr>
        <w:t xml:space="preserve"> et al. (2016) further distinguish that current users prioritize trust and cost, while potential users focus more on ease of use and perceived risk consistent with the high confidence levels </w:t>
      </w:r>
      <w:r w:rsidRPr="00C51CC0">
        <w:rPr>
          <w:rFonts w:ascii="Arial" w:hAnsi="Arial" w:cs="Arial"/>
        </w:rPr>
        <w:lastRenderedPageBreak/>
        <w:t>reflected in respondents’ ratings. Overall, the findings suggest that strong knowledge and comfort with MPS contribute significantly to positive adoption intentions</w:t>
      </w:r>
      <w:r w:rsidR="004C4C0F" w:rsidRPr="00C51CC0">
        <w:rPr>
          <w:rFonts w:ascii="Arial" w:hAnsi="Arial" w:cs="Arial"/>
        </w:rPr>
        <w:t>.</w:t>
      </w:r>
      <w:r w:rsidR="004C3553" w:rsidRPr="004C3553">
        <w:rPr>
          <w:rFonts w:ascii="Arial" w:hAnsi="Arial"/>
          <w:b/>
        </w:rPr>
        <w:t xml:space="preserve"> </w:t>
      </w:r>
    </w:p>
    <w:p w14:paraId="65852E12" w14:textId="77777777" w:rsidR="004C3553" w:rsidRDefault="004C3553" w:rsidP="004C3553">
      <w:pPr>
        <w:tabs>
          <w:tab w:val="left" w:pos="1080"/>
        </w:tabs>
        <w:jc w:val="both"/>
        <w:rPr>
          <w:rFonts w:ascii="Arial" w:hAnsi="Arial"/>
          <w:b/>
        </w:rPr>
      </w:pPr>
    </w:p>
    <w:p w14:paraId="11D8B9E7" w14:textId="12125CF7" w:rsidR="004C3553" w:rsidRDefault="004C3553" w:rsidP="004C3553">
      <w:pPr>
        <w:tabs>
          <w:tab w:val="left" w:pos="1080"/>
        </w:tabs>
        <w:jc w:val="both"/>
        <w:rPr>
          <w:rFonts w:ascii="Arial" w:hAnsi="Arial"/>
          <w:b/>
          <w:color w:val="000000" w:themeColor="text1"/>
        </w:rPr>
      </w:pPr>
      <w:r>
        <w:rPr>
          <w:rFonts w:ascii="Arial" w:hAnsi="Arial"/>
          <w:b/>
        </w:rPr>
        <w:t>Table 4.</w:t>
      </w:r>
      <w:r w:rsidRPr="00DC3180">
        <w:rPr>
          <w:rFonts w:ascii="Arial" w:hAnsi="Arial"/>
          <w:b/>
        </w:rPr>
        <w:tab/>
      </w:r>
      <w:r w:rsidRPr="00080CA4">
        <w:rPr>
          <w:rFonts w:ascii="Arial" w:hAnsi="Arial"/>
          <w:b/>
          <w:color w:val="000000" w:themeColor="text1"/>
        </w:rPr>
        <w:t xml:space="preserve">Level of Influence of Each Factor on the Intention to Use Mobile Payment Services in </w:t>
      </w:r>
      <w:proofErr w:type="spellStart"/>
      <w:r w:rsidRPr="00080CA4">
        <w:rPr>
          <w:rFonts w:ascii="Arial" w:hAnsi="Arial"/>
          <w:b/>
          <w:color w:val="000000" w:themeColor="text1"/>
        </w:rPr>
        <w:t>Poblacion</w:t>
      </w:r>
      <w:proofErr w:type="spellEnd"/>
      <w:r w:rsidRPr="00080CA4">
        <w:rPr>
          <w:rFonts w:ascii="Arial" w:hAnsi="Arial"/>
          <w:b/>
          <w:color w:val="000000" w:themeColor="text1"/>
        </w:rPr>
        <w:t xml:space="preserve">, </w:t>
      </w:r>
      <w:proofErr w:type="spellStart"/>
      <w:r w:rsidRPr="00080CA4">
        <w:rPr>
          <w:rFonts w:ascii="Arial" w:hAnsi="Arial"/>
          <w:b/>
          <w:color w:val="000000" w:themeColor="text1"/>
        </w:rPr>
        <w:t>Cateel</w:t>
      </w:r>
      <w:proofErr w:type="spellEnd"/>
      <w:r w:rsidRPr="00080CA4">
        <w:rPr>
          <w:rFonts w:ascii="Arial" w:hAnsi="Arial"/>
          <w:b/>
          <w:color w:val="000000" w:themeColor="text1"/>
        </w:rPr>
        <w:t>, Davao Oriental, in terms of M-Payment Knowledge</w:t>
      </w:r>
    </w:p>
    <w:p w14:paraId="67FA18A0" w14:textId="426098D4" w:rsidR="00080CA4" w:rsidRPr="00C51CC0" w:rsidRDefault="00080CA4" w:rsidP="00630082">
      <w:pPr>
        <w:spacing w:after="160" w:line="259" w:lineRule="auto"/>
        <w:jc w:val="both"/>
        <w:rPr>
          <w:rFonts w:ascii="Arial" w:hAnsi="Arial" w:cs="Arial"/>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080CA4" w:rsidRPr="00AB00E6" w14:paraId="1F829D78" w14:textId="77777777" w:rsidTr="00C56124">
        <w:trPr>
          <w:trHeight w:val="20"/>
        </w:trPr>
        <w:tc>
          <w:tcPr>
            <w:tcW w:w="2990" w:type="pct"/>
            <w:tcBorders>
              <w:top w:val="single" w:sz="4" w:space="0" w:color="auto"/>
              <w:bottom w:val="single" w:sz="4" w:space="0" w:color="auto"/>
            </w:tcBorders>
            <w:vAlign w:val="center"/>
            <w:hideMark/>
          </w:tcPr>
          <w:p w14:paraId="7EAFAA1B" w14:textId="77777777" w:rsidR="00080CA4" w:rsidRPr="00C51CC0" w:rsidRDefault="00080CA4" w:rsidP="00C56124">
            <w:pPr>
              <w:jc w:val="center"/>
              <w:rPr>
                <w:rFonts w:ascii="Arial" w:eastAsia="Yu Mincho" w:hAnsi="Arial" w:cs="Arial"/>
                <w:b/>
                <w:bCs/>
                <w:color w:val="000000"/>
                <w:kern w:val="2"/>
                <w:lang w:eastAsia="ja-JP"/>
              </w:rPr>
            </w:pPr>
            <w:bookmarkStart w:id="3" w:name="_Hlk215827621"/>
            <w:r w:rsidRPr="00C51CC0">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341DCBC4"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761EDEB7"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1952FB62"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Interpretation</w:t>
            </w:r>
          </w:p>
        </w:tc>
      </w:tr>
      <w:tr w:rsidR="00080CA4" w:rsidRPr="00AB00E6" w14:paraId="53ECE1F5" w14:textId="77777777" w:rsidTr="00C56124">
        <w:trPr>
          <w:trHeight w:val="20"/>
        </w:trPr>
        <w:tc>
          <w:tcPr>
            <w:tcW w:w="5000" w:type="pct"/>
            <w:gridSpan w:val="4"/>
            <w:tcBorders>
              <w:top w:val="single" w:sz="4" w:space="0" w:color="auto"/>
              <w:left w:val="nil"/>
            </w:tcBorders>
          </w:tcPr>
          <w:p w14:paraId="70DFC747" w14:textId="4557E918" w:rsidR="00080CA4" w:rsidRPr="00C51CC0" w:rsidRDefault="00080CA4" w:rsidP="00C56124">
            <w:pP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M-Payment Knowledge</w:t>
            </w:r>
          </w:p>
        </w:tc>
      </w:tr>
      <w:tr w:rsidR="00080CA4" w:rsidRPr="00AB00E6" w14:paraId="10ACB89A" w14:textId="77777777" w:rsidTr="00C56124">
        <w:trPr>
          <w:trHeight w:val="20"/>
        </w:trPr>
        <w:tc>
          <w:tcPr>
            <w:tcW w:w="2990" w:type="pct"/>
            <w:tcBorders>
              <w:left w:val="nil"/>
              <w:bottom w:val="nil"/>
              <w:right w:val="nil"/>
            </w:tcBorders>
            <w:hideMark/>
          </w:tcPr>
          <w:p w14:paraId="41A554E3" w14:textId="38E4B26E" w:rsidR="00080CA4" w:rsidRPr="00C51CC0" w:rsidRDefault="00080CA4">
            <w:pPr>
              <w:numPr>
                <w:ilvl w:val="0"/>
                <w:numId w:val="7"/>
              </w:numPr>
              <w:spacing w:after="160"/>
              <w:contextualSpacing/>
              <w:rPr>
                <w:rFonts w:ascii="Arial" w:eastAsia="Yu Mincho" w:hAnsi="Arial" w:cs="Arial"/>
                <w:color w:val="000000"/>
                <w:kern w:val="2"/>
                <w:lang w:eastAsia="ja-JP"/>
              </w:rPr>
            </w:pPr>
            <w:r w:rsidRPr="00C51CC0">
              <w:rPr>
                <w:rFonts w:ascii="Arial" w:hAnsi="Arial" w:cs="Arial"/>
              </w:rPr>
              <w:t>Will use mobile payments easily and effectively</w:t>
            </w:r>
          </w:p>
        </w:tc>
        <w:tc>
          <w:tcPr>
            <w:tcW w:w="598" w:type="pct"/>
            <w:noWrap/>
            <w:hideMark/>
          </w:tcPr>
          <w:p w14:paraId="7EB65CFB" w14:textId="1D46515C"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4.20</w:t>
            </w:r>
          </w:p>
        </w:tc>
        <w:tc>
          <w:tcPr>
            <w:tcW w:w="598" w:type="pct"/>
            <w:noWrap/>
            <w:hideMark/>
          </w:tcPr>
          <w:p w14:paraId="351A0531" w14:textId="379AA9D5"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0.67</w:t>
            </w:r>
          </w:p>
        </w:tc>
        <w:tc>
          <w:tcPr>
            <w:tcW w:w="814" w:type="pct"/>
            <w:noWrap/>
            <w:hideMark/>
          </w:tcPr>
          <w:p w14:paraId="4245F3F4" w14:textId="09F923FD"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5A1F6BFD" w14:textId="77777777" w:rsidTr="00C56124">
        <w:trPr>
          <w:trHeight w:val="20"/>
        </w:trPr>
        <w:tc>
          <w:tcPr>
            <w:tcW w:w="2990" w:type="pct"/>
            <w:tcBorders>
              <w:top w:val="nil"/>
              <w:left w:val="nil"/>
              <w:bottom w:val="nil"/>
              <w:right w:val="nil"/>
            </w:tcBorders>
            <w:hideMark/>
          </w:tcPr>
          <w:p w14:paraId="4D32A112" w14:textId="633149C0" w:rsidR="00080CA4" w:rsidRPr="00C51CC0" w:rsidRDefault="00080CA4">
            <w:pPr>
              <w:numPr>
                <w:ilvl w:val="0"/>
                <w:numId w:val="7"/>
              </w:numPr>
              <w:spacing w:after="160"/>
              <w:contextualSpacing/>
              <w:rPr>
                <w:rFonts w:ascii="Arial" w:eastAsia="Yu Mincho" w:hAnsi="Arial" w:cs="Arial"/>
                <w:color w:val="000000"/>
                <w:kern w:val="2"/>
                <w:lang w:eastAsia="ja-JP"/>
              </w:rPr>
            </w:pPr>
            <w:r w:rsidRPr="00C51CC0">
              <w:rPr>
                <w:rFonts w:ascii="Arial" w:hAnsi="Arial" w:cs="Arial"/>
              </w:rPr>
              <w:t>Mainly use mobile payments to purchase goods or services through a mobile phone</w:t>
            </w:r>
          </w:p>
        </w:tc>
        <w:tc>
          <w:tcPr>
            <w:tcW w:w="598" w:type="pct"/>
            <w:noWrap/>
            <w:hideMark/>
          </w:tcPr>
          <w:p w14:paraId="2A5A0110" w14:textId="674D4EA8"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4.06</w:t>
            </w:r>
          </w:p>
        </w:tc>
        <w:tc>
          <w:tcPr>
            <w:tcW w:w="598" w:type="pct"/>
            <w:noWrap/>
            <w:hideMark/>
          </w:tcPr>
          <w:p w14:paraId="59E78E44" w14:textId="008901E4"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0.76</w:t>
            </w:r>
          </w:p>
        </w:tc>
        <w:tc>
          <w:tcPr>
            <w:tcW w:w="814" w:type="pct"/>
            <w:noWrap/>
            <w:hideMark/>
          </w:tcPr>
          <w:p w14:paraId="23499D2C" w14:textId="3F0340C9"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7D78572A" w14:textId="77777777" w:rsidTr="005333E5">
        <w:trPr>
          <w:trHeight w:val="20"/>
        </w:trPr>
        <w:tc>
          <w:tcPr>
            <w:tcW w:w="2990" w:type="pct"/>
            <w:tcBorders>
              <w:top w:val="nil"/>
              <w:left w:val="nil"/>
              <w:right w:val="nil"/>
            </w:tcBorders>
            <w:hideMark/>
          </w:tcPr>
          <w:p w14:paraId="027E9BEF" w14:textId="7CAA5792" w:rsidR="00080CA4" w:rsidRPr="00C51CC0" w:rsidRDefault="00080CA4">
            <w:pPr>
              <w:numPr>
                <w:ilvl w:val="0"/>
                <w:numId w:val="7"/>
              </w:numPr>
              <w:spacing w:after="160"/>
              <w:contextualSpacing/>
              <w:rPr>
                <w:rFonts w:ascii="Arial" w:eastAsia="Yu Mincho" w:hAnsi="Arial" w:cs="Arial"/>
                <w:color w:val="000000"/>
                <w:kern w:val="2"/>
                <w:lang w:eastAsia="ja-JP"/>
              </w:rPr>
            </w:pPr>
            <w:r w:rsidRPr="00C51CC0">
              <w:rPr>
                <w:rFonts w:ascii="Arial" w:hAnsi="Arial" w:cs="Arial"/>
              </w:rPr>
              <w:t>Will be confident to use mobile banking services for financial transactions</w:t>
            </w:r>
          </w:p>
        </w:tc>
        <w:tc>
          <w:tcPr>
            <w:tcW w:w="598" w:type="pct"/>
            <w:noWrap/>
            <w:hideMark/>
          </w:tcPr>
          <w:p w14:paraId="4E30DD31" w14:textId="2DE54D84"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4.05</w:t>
            </w:r>
          </w:p>
        </w:tc>
        <w:tc>
          <w:tcPr>
            <w:tcW w:w="598" w:type="pct"/>
            <w:noWrap/>
            <w:hideMark/>
          </w:tcPr>
          <w:p w14:paraId="43A27193" w14:textId="146C484F"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0.72</w:t>
            </w:r>
          </w:p>
        </w:tc>
        <w:tc>
          <w:tcPr>
            <w:tcW w:w="814" w:type="pct"/>
            <w:noWrap/>
            <w:hideMark/>
          </w:tcPr>
          <w:p w14:paraId="49EBFDE7" w14:textId="4A1C14B8"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AB00E6" w14:paraId="462F2CFD" w14:textId="77777777" w:rsidTr="005333E5">
        <w:trPr>
          <w:trHeight w:val="288"/>
        </w:trPr>
        <w:tc>
          <w:tcPr>
            <w:tcW w:w="2990" w:type="pct"/>
            <w:tcBorders>
              <w:top w:val="nil"/>
              <w:left w:val="nil"/>
              <w:bottom w:val="single" w:sz="4" w:space="0" w:color="auto"/>
              <w:right w:val="nil"/>
            </w:tcBorders>
          </w:tcPr>
          <w:p w14:paraId="0CB4D4B5" w14:textId="77777777" w:rsidR="00080CA4" w:rsidRPr="00C51CC0" w:rsidRDefault="00080CA4" w:rsidP="00C56124">
            <w:pPr>
              <w:spacing w:after="160"/>
              <w:contextualSpacing/>
              <w:jc w:val="center"/>
              <w:rPr>
                <w:rFonts w:ascii="Arial" w:eastAsia="Yu Mincho" w:hAnsi="Arial" w:cs="Arial"/>
                <w:b/>
                <w:bCs/>
                <w:color w:val="000000"/>
                <w:kern w:val="2"/>
                <w:lang w:eastAsia="ja-JP"/>
              </w:rPr>
            </w:pPr>
            <w:r w:rsidRPr="00C51CC0">
              <w:rPr>
                <w:rFonts w:ascii="Arial" w:hAnsi="Arial" w:cs="Arial"/>
                <w:b/>
                <w:bCs/>
              </w:rPr>
              <w:t>Average</w:t>
            </w:r>
          </w:p>
        </w:tc>
        <w:tc>
          <w:tcPr>
            <w:tcW w:w="598" w:type="pct"/>
            <w:tcBorders>
              <w:bottom w:val="single" w:sz="4" w:space="0" w:color="auto"/>
            </w:tcBorders>
            <w:noWrap/>
          </w:tcPr>
          <w:p w14:paraId="1050CD58" w14:textId="53988CCD"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4.10</w:t>
            </w:r>
          </w:p>
        </w:tc>
        <w:tc>
          <w:tcPr>
            <w:tcW w:w="598" w:type="pct"/>
            <w:tcBorders>
              <w:bottom w:val="single" w:sz="4" w:space="0" w:color="auto"/>
            </w:tcBorders>
            <w:noWrap/>
          </w:tcPr>
          <w:p w14:paraId="06E2552E" w14:textId="01940470"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0.56</w:t>
            </w:r>
          </w:p>
        </w:tc>
        <w:tc>
          <w:tcPr>
            <w:tcW w:w="814" w:type="pct"/>
            <w:tcBorders>
              <w:bottom w:val="single" w:sz="4" w:space="0" w:color="auto"/>
            </w:tcBorders>
            <w:noWrap/>
          </w:tcPr>
          <w:p w14:paraId="33EA7FA2"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High</w:t>
            </w:r>
          </w:p>
        </w:tc>
      </w:tr>
      <w:bookmarkEnd w:id="3"/>
    </w:tbl>
    <w:p w14:paraId="05D4FC8F" w14:textId="77777777" w:rsidR="00080CA4" w:rsidRDefault="00080CA4" w:rsidP="00AB00E6">
      <w:pPr>
        <w:pStyle w:val="Body"/>
        <w:spacing w:after="0"/>
        <w:rPr>
          <w:rFonts w:ascii="Arial" w:hAnsi="Arial" w:cs="Arial"/>
          <w:b/>
          <w:sz w:val="22"/>
        </w:rPr>
      </w:pPr>
    </w:p>
    <w:p w14:paraId="2F35A8FC" w14:textId="77777777" w:rsidR="00080CA4" w:rsidRDefault="00080CA4" w:rsidP="00AB00E6">
      <w:pPr>
        <w:pStyle w:val="Body"/>
        <w:spacing w:after="0"/>
        <w:rPr>
          <w:rFonts w:ascii="Arial" w:hAnsi="Arial" w:cs="Arial"/>
          <w:b/>
          <w:sz w:val="22"/>
        </w:rPr>
      </w:pPr>
    </w:p>
    <w:p w14:paraId="729B2A55" w14:textId="77777777" w:rsidR="002216A3" w:rsidRPr="00C51CC0" w:rsidRDefault="002216A3" w:rsidP="00630082">
      <w:pPr>
        <w:spacing w:after="160" w:line="259" w:lineRule="auto"/>
        <w:jc w:val="both"/>
        <w:rPr>
          <w:rFonts w:ascii="Arial" w:hAnsi="Arial" w:cs="Arial"/>
        </w:rPr>
      </w:pPr>
      <w:r w:rsidRPr="00C51CC0">
        <w:rPr>
          <w:rFonts w:ascii="Arial" w:hAnsi="Arial" w:cs="Arial"/>
        </w:rPr>
        <w:t>Table 5 shows that respondents generally perceive mobile payment services as easy to use, with an overall mean of 3.71 and a standard deviation of 0.56. The highest-rated statement, “Interaction with mobile payment is clear and understandable” (mean = 4.02), indicates that users find the interface intuitive and easy to navigate. Scores for “It is easy to use mobile payment to do what you want to do” (mean = 3.99) further support this perception of usability. However, the lower mean of 3.11 for “Interaction with mobile payments does not require mental effort” suggests that users still perceive some cognitive effort involved. These findings align with Liu and Tai (2016) and Shankar and Datta (2018), who emphasize perceived ease of use as a key determinant of mobile payment adoption. Although ease of use strongly supports adoption, the moderate mental-effort rating echoes Cao et al. (2016), who argue that ease of use remains secondary to trust in driving user acceptance.</w:t>
      </w:r>
    </w:p>
    <w:p w14:paraId="3BD64409" w14:textId="77777777" w:rsidR="004C3553" w:rsidRDefault="002216A3" w:rsidP="004C3553">
      <w:pPr>
        <w:tabs>
          <w:tab w:val="left" w:pos="1080"/>
        </w:tabs>
        <w:jc w:val="both"/>
        <w:rPr>
          <w:rFonts w:ascii="Arial" w:hAnsi="Arial"/>
          <w:b/>
        </w:rPr>
      </w:pPr>
      <w:r w:rsidRPr="00C51CC0">
        <w:rPr>
          <w:rFonts w:ascii="Arial" w:hAnsi="Arial" w:cs="Arial"/>
        </w:rPr>
        <w:t>Ease of use continues to be a central factor influencing mobile payment adoption, as it affects both acceptance and continued usage (</w:t>
      </w:r>
      <w:proofErr w:type="spellStart"/>
      <w:r w:rsidRPr="00C51CC0">
        <w:rPr>
          <w:rFonts w:ascii="Arial" w:hAnsi="Arial" w:cs="Arial"/>
        </w:rPr>
        <w:t>Susanti</w:t>
      </w:r>
      <w:proofErr w:type="spellEnd"/>
      <w:r w:rsidRPr="00C51CC0">
        <w:rPr>
          <w:rFonts w:ascii="Arial" w:hAnsi="Arial" w:cs="Arial"/>
        </w:rPr>
        <w:t xml:space="preserve"> et al., 2022; Gan, 2016). When users find platforms simple and convenient, perceived usefulness increases, which further supports sustained engagement (Shankar &amp; Datta, 2018; Yan &amp; Yang, 2014). A user-friendly interface also fosters trust, reduces perceived barriers, and enhances system stability factors essential for adoption, especially in developing contexts (Chen &amp; Lai, 2022; Pal et al., 2020). Studies show that intuitive design and clear navigation improve </w:t>
      </w:r>
      <w:proofErr w:type="spellStart"/>
      <w:r w:rsidRPr="00C51CC0">
        <w:rPr>
          <w:rFonts w:ascii="Arial" w:hAnsi="Arial" w:cs="Arial"/>
        </w:rPr>
        <w:t>users’perceived</w:t>
      </w:r>
      <w:proofErr w:type="spellEnd"/>
      <w:r w:rsidRPr="00C51CC0">
        <w:rPr>
          <w:rFonts w:ascii="Arial" w:hAnsi="Arial" w:cs="Arial"/>
        </w:rPr>
        <w:t xml:space="preserve"> control and satisfaction, encouraging continuous use (Chen &amp; Li, 2017; Jun et al., 2018; Zhang et al., 2019). Overall, the results in Table 5 support the literature, indicating that simplifying mobile payment interactions and minimizing cognitive effort are crucial strategies for enhancing both adoption and long-term usage.</w:t>
      </w:r>
      <w:bookmarkStart w:id="4" w:name="_Hlk215827685"/>
      <w:r w:rsidR="004C3553" w:rsidRPr="004C3553">
        <w:rPr>
          <w:rFonts w:ascii="Arial" w:hAnsi="Arial"/>
          <w:b/>
        </w:rPr>
        <w:t xml:space="preserve"> </w:t>
      </w:r>
    </w:p>
    <w:p w14:paraId="40A94531" w14:textId="77777777" w:rsidR="004C3553" w:rsidRDefault="004C3553" w:rsidP="004C3553">
      <w:pPr>
        <w:tabs>
          <w:tab w:val="left" w:pos="1080"/>
        </w:tabs>
        <w:jc w:val="both"/>
        <w:rPr>
          <w:rFonts w:ascii="Arial" w:hAnsi="Arial"/>
          <w:b/>
        </w:rPr>
      </w:pPr>
    </w:p>
    <w:p w14:paraId="6C916C6C" w14:textId="773ED61E" w:rsidR="004C3553" w:rsidRDefault="004C3553" w:rsidP="004C3553">
      <w:pPr>
        <w:tabs>
          <w:tab w:val="left" w:pos="1080"/>
        </w:tabs>
        <w:jc w:val="both"/>
        <w:rPr>
          <w:rFonts w:ascii="Arial" w:hAnsi="Arial"/>
          <w:b/>
          <w:color w:val="000000" w:themeColor="text1"/>
        </w:rPr>
      </w:pPr>
      <w:r>
        <w:rPr>
          <w:rFonts w:ascii="Arial" w:hAnsi="Arial"/>
          <w:b/>
        </w:rPr>
        <w:t>Table 5.</w:t>
      </w:r>
      <w:r w:rsidRPr="00DC3180">
        <w:rPr>
          <w:rFonts w:ascii="Arial" w:hAnsi="Arial"/>
          <w:b/>
        </w:rPr>
        <w:tab/>
      </w:r>
      <w:r w:rsidRPr="00080CA4">
        <w:rPr>
          <w:rFonts w:ascii="Arial" w:hAnsi="Arial"/>
          <w:b/>
          <w:color w:val="000000" w:themeColor="text1"/>
        </w:rPr>
        <w:t xml:space="preserve">Level of Influence of Each Factor on the Intention to Use Mobile Payment Services in </w:t>
      </w:r>
      <w:proofErr w:type="spellStart"/>
      <w:r w:rsidRPr="00080CA4">
        <w:rPr>
          <w:rFonts w:ascii="Arial" w:hAnsi="Arial"/>
          <w:b/>
          <w:color w:val="000000" w:themeColor="text1"/>
        </w:rPr>
        <w:t>Poblacion</w:t>
      </w:r>
      <w:proofErr w:type="spellEnd"/>
      <w:r w:rsidRPr="00080CA4">
        <w:rPr>
          <w:rFonts w:ascii="Arial" w:hAnsi="Arial"/>
          <w:b/>
          <w:color w:val="000000" w:themeColor="text1"/>
        </w:rPr>
        <w:t xml:space="preserve">, </w:t>
      </w:r>
      <w:proofErr w:type="spellStart"/>
      <w:r w:rsidRPr="00080CA4">
        <w:rPr>
          <w:rFonts w:ascii="Arial" w:hAnsi="Arial"/>
          <w:b/>
          <w:color w:val="000000" w:themeColor="text1"/>
        </w:rPr>
        <w:t>Cateel</w:t>
      </w:r>
      <w:proofErr w:type="spellEnd"/>
      <w:r w:rsidRPr="00080CA4">
        <w:rPr>
          <w:rFonts w:ascii="Arial" w:hAnsi="Arial"/>
          <w:b/>
          <w:color w:val="000000" w:themeColor="text1"/>
        </w:rPr>
        <w:t>, Davao Oriental, in terms of Ease to Use</w:t>
      </w:r>
    </w:p>
    <w:bookmarkEnd w:id="4"/>
    <w:p w14:paraId="1F71AB38" w14:textId="21F94F0B" w:rsidR="002216A3" w:rsidRPr="00C51CC0" w:rsidRDefault="002216A3" w:rsidP="00630082">
      <w:pPr>
        <w:spacing w:after="160" w:line="259" w:lineRule="auto"/>
        <w:jc w:val="both"/>
        <w:rPr>
          <w:rFonts w:ascii="Arial" w:hAnsi="Arial" w:cs="Arial"/>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080CA4" w:rsidRPr="00C51CC0" w14:paraId="3EDCB5F6" w14:textId="77777777" w:rsidTr="00C56124">
        <w:trPr>
          <w:trHeight w:val="20"/>
        </w:trPr>
        <w:tc>
          <w:tcPr>
            <w:tcW w:w="2990" w:type="pct"/>
            <w:tcBorders>
              <w:top w:val="single" w:sz="4" w:space="0" w:color="auto"/>
              <w:bottom w:val="single" w:sz="4" w:space="0" w:color="auto"/>
            </w:tcBorders>
            <w:vAlign w:val="center"/>
            <w:hideMark/>
          </w:tcPr>
          <w:p w14:paraId="04607B39"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0463F92D"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0A5AE10F"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5B78A848"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Interpretation</w:t>
            </w:r>
          </w:p>
        </w:tc>
      </w:tr>
      <w:tr w:rsidR="00080CA4" w:rsidRPr="00C51CC0" w14:paraId="34E8DE8C" w14:textId="77777777" w:rsidTr="00C56124">
        <w:trPr>
          <w:trHeight w:val="20"/>
        </w:trPr>
        <w:tc>
          <w:tcPr>
            <w:tcW w:w="5000" w:type="pct"/>
            <w:gridSpan w:val="4"/>
            <w:tcBorders>
              <w:top w:val="single" w:sz="4" w:space="0" w:color="auto"/>
              <w:left w:val="nil"/>
            </w:tcBorders>
          </w:tcPr>
          <w:p w14:paraId="343D761C" w14:textId="0B276F76" w:rsidR="00080CA4" w:rsidRPr="00C51CC0" w:rsidRDefault="00080CA4" w:rsidP="00C56124">
            <w:pP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Ease to Use</w:t>
            </w:r>
          </w:p>
        </w:tc>
      </w:tr>
      <w:tr w:rsidR="00080CA4" w:rsidRPr="00C51CC0" w14:paraId="70C2D118" w14:textId="77777777" w:rsidTr="00C56124">
        <w:trPr>
          <w:trHeight w:val="20"/>
        </w:trPr>
        <w:tc>
          <w:tcPr>
            <w:tcW w:w="2990" w:type="pct"/>
            <w:tcBorders>
              <w:left w:val="nil"/>
              <w:bottom w:val="nil"/>
              <w:right w:val="nil"/>
            </w:tcBorders>
            <w:hideMark/>
          </w:tcPr>
          <w:p w14:paraId="64AE7A8C" w14:textId="1C496BC9" w:rsidR="00080CA4" w:rsidRPr="00C51CC0" w:rsidRDefault="00080CA4">
            <w:pPr>
              <w:numPr>
                <w:ilvl w:val="0"/>
                <w:numId w:val="8"/>
              </w:numPr>
              <w:spacing w:after="160"/>
              <w:contextualSpacing/>
              <w:rPr>
                <w:rFonts w:ascii="Arial" w:eastAsia="Yu Mincho" w:hAnsi="Arial" w:cs="Arial"/>
                <w:color w:val="000000"/>
                <w:kern w:val="2"/>
                <w:lang w:eastAsia="ja-JP"/>
              </w:rPr>
            </w:pPr>
            <w:r w:rsidRPr="00C51CC0">
              <w:rPr>
                <w:rFonts w:ascii="Arial" w:hAnsi="Arial" w:cs="Arial"/>
              </w:rPr>
              <w:t>Interaction with mobile payment is clear and understandable</w:t>
            </w:r>
          </w:p>
        </w:tc>
        <w:tc>
          <w:tcPr>
            <w:tcW w:w="598" w:type="pct"/>
            <w:noWrap/>
            <w:hideMark/>
          </w:tcPr>
          <w:p w14:paraId="14A036F6" w14:textId="1358C87E"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4.02</w:t>
            </w:r>
          </w:p>
        </w:tc>
        <w:tc>
          <w:tcPr>
            <w:tcW w:w="598" w:type="pct"/>
            <w:noWrap/>
            <w:hideMark/>
          </w:tcPr>
          <w:p w14:paraId="616936A2" w14:textId="162C25BC"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0.75</w:t>
            </w:r>
          </w:p>
        </w:tc>
        <w:tc>
          <w:tcPr>
            <w:tcW w:w="814" w:type="pct"/>
            <w:noWrap/>
            <w:hideMark/>
          </w:tcPr>
          <w:p w14:paraId="1C61D8B1" w14:textId="1BD225CC"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C51CC0" w14:paraId="3DAA5705" w14:textId="77777777" w:rsidTr="00C56124">
        <w:trPr>
          <w:trHeight w:val="20"/>
        </w:trPr>
        <w:tc>
          <w:tcPr>
            <w:tcW w:w="2990" w:type="pct"/>
            <w:tcBorders>
              <w:top w:val="nil"/>
              <w:left w:val="nil"/>
              <w:bottom w:val="nil"/>
              <w:right w:val="nil"/>
            </w:tcBorders>
            <w:hideMark/>
          </w:tcPr>
          <w:p w14:paraId="7CDC7AE7" w14:textId="019405B3" w:rsidR="00080CA4" w:rsidRPr="00C51CC0" w:rsidRDefault="00080CA4">
            <w:pPr>
              <w:numPr>
                <w:ilvl w:val="0"/>
                <w:numId w:val="8"/>
              </w:numPr>
              <w:spacing w:after="160"/>
              <w:contextualSpacing/>
              <w:rPr>
                <w:rFonts w:ascii="Arial" w:eastAsia="Yu Mincho" w:hAnsi="Arial" w:cs="Arial"/>
                <w:color w:val="000000"/>
                <w:kern w:val="2"/>
                <w:lang w:eastAsia="ja-JP"/>
              </w:rPr>
            </w:pPr>
            <w:r w:rsidRPr="00C51CC0">
              <w:rPr>
                <w:rFonts w:ascii="Arial" w:hAnsi="Arial" w:cs="Arial"/>
              </w:rPr>
              <w:t>Interaction with mobile payments does not require mental effort</w:t>
            </w:r>
          </w:p>
        </w:tc>
        <w:tc>
          <w:tcPr>
            <w:tcW w:w="598" w:type="pct"/>
            <w:noWrap/>
            <w:hideMark/>
          </w:tcPr>
          <w:p w14:paraId="3163F36B" w14:textId="148855B7"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3.11</w:t>
            </w:r>
          </w:p>
        </w:tc>
        <w:tc>
          <w:tcPr>
            <w:tcW w:w="598" w:type="pct"/>
            <w:noWrap/>
            <w:hideMark/>
          </w:tcPr>
          <w:p w14:paraId="627E2151" w14:textId="1E6E15A4"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1.03</w:t>
            </w:r>
          </w:p>
        </w:tc>
        <w:tc>
          <w:tcPr>
            <w:tcW w:w="814" w:type="pct"/>
            <w:noWrap/>
            <w:hideMark/>
          </w:tcPr>
          <w:p w14:paraId="1BD10B47" w14:textId="54DC9537"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Moderate</w:t>
            </w:r>
          </w:p>
        </w:tc>
      </w:tr>
      <w:tr w:rsidR="00080CA4" w:rsidRPr="00C51CC0" w14:paraId="074D1BF4" w14:textId="77777777" w:rsidTr="004C0E88">
        <w:trPr>
          <w:trHeight w:val="20"/>
        </w:trPr>
        <w:tc>
          <w:tcPr>
            <w:tcW w:w="2990" w:type="pct"/>
            <w:tcBorders>
              <w:top w:val="nil"/>
              <w:left w:val="nil"/>
              <w:right w:val="nil"/>
            </w:tcBorders>
            <w:hideMark/>
          </w:tcPr>
          <w:p w14:paraId="4AD92572" w14:textId="399CCE68" w:rsidR="00080CA4" w:rsidRPr="00C51CC0" w:rsidRDefault="00080CA4">
            <w:pPr>
              <w:numPr>
                <w:ilvl w:val="0"/>
                <w:numId w:val="8"/>
              </w:numPr>
              <w:spacing w:after="160"/>
              <w:contextualSpacing/>
              <w:rPr>
                <w:rFonts w:ascii="Arial" w:eastAsia="Yu Mincho" w:hAnsi="Arial" w:cs="Arial"/>
                <w:color w:val="000000"/>
                <w:kern w:val="2"/>
                <w:lang w:eastAsia="ja-JP"/>
              </w:rPr>
            </w:pPr>
            <w:r w:rsidRPr="00C51CC0">
              <w:rPr>
                <w:rFonts w:ascii="Arial" w:hAnsi="Arial" w:cs="Arial"/>
              </w:rPr>
              <w:lastRenderedPageBreak/>
              <w:t>It is easy to use mobile payment to do what is wanted to do</w:t>
            </w:r>
          </w:p>
        </w:tc>
        <w:tc>
          <w:tcPr>
            <w:tcW w:w="598" w:type="pct"/>
            <w:noWrap/>
            <w:hideMark/>
          </w:tcPr>
          <w:p w14:paraId="077E5CF6" w14:textId="609985C0"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3.99</w:t>
            </w:r>
          </w:p>
        </w:tc>
        <w:tc>
          <w:tcPr>
            <w:tcW w:w="598" w:type="pct"/>
            <w:noWrap/>
            <w:hideMark/>
          </w:tcPr>
          <w:p w14:paraId="15C0F4FA" w14:textId="125739DE"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0.71</w:t>
            </w:r>
          </w:p>
        </w:tc>
        <w:tc>
          <w:tcPr>
            <w:tcW w:w="814" w:type="pct"/>
            <w:noWrap/>
            <w:hideMark/>
          </w:tcPr>
          <w:p w14:paraId="2682E9B9" w14:textId="1EF4C402" w:rsidR="00080CA4" w:rsidRPr="00C51CC0" w:rsidRDefault="00080CA4" w:rsidP="00080CA4">
            <w:pPr>
              <w:jc w:val="center"/>
              <w:rPr>
                <w:rFonts w:ascii="Arial" w:eastAsia="Yu Mincho" w:hAnsi="Arial" w:cs="Arial"/>
                <w:color w:val="000000"/>
                <w:kern w:val="2"/>
                <w:lang w:eastAsia="ja-JP"/>
              </w:rPr>
            </w:pPr>
            <w:r w:rsidRPr="00C51CC0">
              <w:rPr>
                <w:rFonts w:ascii="Arial" w:hAnsi="Arial" w:cs="Arial"/>
              </w:rPr>
              <w:t>High</w:t>
            </w:r>
          </w:p>
        </w:tc>
      </w:tr>
      <w:tr w:rsidR="00080CA4" w:rsidRPr="00C51CC0" w14:paraId="6B5DA632" w14:textId="77777777" w:rsidTr="004C0E88">
        <w:trPr>
          <w:trHeight w:val="20"/>
        </w:trPr>
        <w:tc>
          <w:tcPr>
            <w:tcW w:w="2990" w:type="pct"/>
            <w:tcBorders>
              <w:top w:val="nil"/>
              <w:left w:val="nil"/>
              <w:bottom w:val="single" w:sz="4" w:space="0" w:color="auto"/>
              <w:right w:val="nil"/>
            </w:tcBorders>
          </w:tcPr>
          <w:p w14:paraId="34360688" w14:textId="77777777" w:rsidR="00080CA4" w:rsidRPr="00C51CC0" w:rsidRDefault="00080CA4" w:rsidP="00C56124">
            <w:pPr>
              <w:spacing w:after="160"/>
              <w:contextualSpacing/>
              <w:jc w:val="center"/>
              <w:rPr>
                <w:rFonts w:ascii="Arial" w:eastAsia="Yu Mincho" w:hAnsi="Arial" w:cs="Arial"/>
                <w:b/>
                <w:bCs/>
                <w:color w:val="000000"/>
                <w:kern w:val="2"/>
                <w:lang w:eastAsia="ja-JP"/>
              </w:rPr>
            </w:pPr>
            <w:r w:rsidRPr="00C51CC0">
              <w:rPr>
                <w:rFonts w:ascii="Arial" w:hAnsi="Arial" w:cs="Arial"/>
                <w:b/>
                <w:bCs/>
              </w:rPr>
              <w:t>Average</w:t>
            </w:r>
          </w:p>
        </w:tc>
        <w:tc>
          <w:tcPr>
            <w:tcW w:w="598" w:type="pct"/>
            <w:tcBorders>
              <w:bottom w:val="single" w:sz="4" w:space="0" w:color="auto"/>
            </w:tcBorders>
            <w:noWrap/>
          </w:tcPr>
          <w:p w14:paraId="17A54D4D" w14:textId="38EEDF3E"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3.71</w:t>
            </w:r>
          </w:p>
        </w:tc>
        <w:tc>
          <w:tcPr>
            <w:tcW w:w="598" w:type="pct"/>
            <w:tcBorders>
              <w:bottom w:val="single" w:sz="4" w:space="0" w:color="auto"/>
            </w:tcBorders>
            <w:noWrap/>
          </w:tcPr>
          <w:p w14:paraId="3B9337CC"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0.56</w:t>
            </w:r>
          </w:p>
        </w:tc>
        <w:tc>
          <w:tcPr>
            <w:tcW w:w="814" w:type="pct"/>
            <w:tcBorders>
              <w:bottom w:val="single" w:sz="4" w:space="0" w:color="auto"/>
            </w:tcBorders>
            <w:noWrap/>
          </w:tcPr>
          <w:p w14:paraId="19D06920"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High</w:t>
            </w:r>
          </w:p>
        </w:tc>
      </w:tr>
    </w:tbl>
    <w:p w14:paraId="38AD5BC6" w14:textId="77777777" w:rsidR="00080CA4" w:rsidRDefault="00080CA4" w:rsidP="00AB00E6">
      <w:pPr>
        <w:pStyle w:val="Body"/>
        <w:spacing w:after="0"/>
        <w:rPr>
          <w:rFonts w:ascii="Arial" w:hAnsi="Arial" w:cs="Arial"/>
          <w:b/>
          <w:sz w:val="22"/>
        </w:rPr>
      </w:pPr>
    </w:p>
    <w:p w14:paraId="2E8B5188" w14:textId="77777777" w:rsidR="00080CA4" w:rsidRDefault="00080CA4" w:rsidP="00AB00E6">
      <w:pPr>
        <w:pStyle w:val="Body"/>
        <w:spacing w:after="0"/>
        <w:rPr>
          <w:rFonts w:ascii="Arial" w:hAnsi="Arial" w:cs="Arial"/>
          <w:b/>
          <w:sz w:val="22"/>
        </w:rPr>
      </w:pPr>
    </w:p>
    <w:p w14:paraId="686BF302" w14:textId="77777777" w:rsidR="002216A3" w:rsidRPr="00C51CC0" w:rsidRDefault="002216A3" w:rsidP="00630082">
      <w:pPr>
        <w:spacing w:after="160" w:line="259" w:lineRule="auto"/>
        <w:jc w:val="both"/>
        <w:rPr>
          <w:rFonts w:ascii="Arial" w:hAnsi="Arial" w:cs="Arial"/>
        </w:rPr>
      </w:pPr>
      <w:r w:rsidRPr="00C51CC0">
        <w:rPr>
          <w:rFonts w:ascii="Arial" w:hAnsi="Arial" w:cs="Arial"/>
        </w:rPr>
        <w:t>Table 6 indicates that respondents generally trust mobile payment services, with an overall mean of 3.49 and a standard deviation of 0.47. High ratings for accurate (mean = 3.87), reliable (mean = 3.79), and safe services (mean = 3.86) suggest strong confidence in service providers’ ability to deliver secure financial transactions. These findings support Cao et al. (2016), who identified accuracy and perceived usefulness as major predictors of trust and adoption. However, moderate scores regarding the risk of information abuse specifically for personal data (mean = 2.85) and billing data (mean = 2.79) reflect lingering concerns about data privacy. This aligns with Xin et al. (2013) and Yan and Yang (2015), who noted that perceived risk and structural assurance significantly shape user trust. Despite these concerns, respondents still highly favor secure mobile payment options (mean = 3.77), indicating that overall trust remains strong, especially in terms of service quality and safety.</w:t>
      </w:r>
    </w:p>
    <w:p w14:paraId="547C0445" w14:textId="7A62C5B4" w:rsidR="004C3553" w:rsidRDefault="002216A3" w:rsidP="004C3553">
      <w:pPr>
        <w:pStyle w:val="Body"/>
        <w:spacing w:after="0"/>
        <w:rPr>
          <w:rFonts w:ascii="Arial" w:hAnsi="Arial" w:cs="Arial"/>
          <w:b/>
          <w:szCs w:val="18"/>
        </w:rPr>
      </w:pPr>
      <w:r w:rsidRPr="00C51CC0">
        <w:rPr>
          <w:rFonts w:ascii="Arial" w:hAnsi="Arial" w:cs="Arial"/>
        </w:rPr>
        <w:t xml:space="preserve">Trust in mobile payments is also reinforced by ease of use, social influence, and system usability. Liu and Tai (2016) and Yan and Yang (2015) emphasized that ease of use and security form the foundation of user trust, while Chen and Li (2017) showed that intuitive navigation promotes continued usage by enhancing perceived usefulness. The mixed responses in this study mirror findings by Dastan and </w:t>
      </w:r>
      <w:proofErr w:type="spellStart"/>
      <w:r w:rsidRPr="00C51CC0">
        <w:rPr>
          <w:rFonts w:ascii="Arial" w:hAnsi="Arial" w:cs="Arial"/>
        </w:rPr>
        <w:t>Gürler</w:t>
      </w:r>
      <w:proofErr w:type="spellEnd"/>
      <w:r w:rsidRPr="00C51CC0">
        <w:rPr>
          <w:rFonts w:ascii="Arial" w:hAnsi="Arial" w:cs="Arial"/>
        </w:rPr>
        <w:t xml:space="preserve"> (2016), who argued that environmental risks and brand reputation influence trust, explaining why users feel mobile payments are generally safe yet remain cautious about privacy. Social influence also plays a vital role: Aslam et al. (2017) found that collectivist cultures strengthen trust through community endorsement. Together, these studies suggest that trust in mobile payments is shaped not only by system reliability and security but also by social dynamics and user experience, which collectively encourage adoption and continued use.</w:t>
      </w:r>
      <w:bookmarkStart w:id="5" w:name="_Hlk215827999"/>
      <w:r w:rsidR="004C3553" w:rsidRPr="004C3553">
        <w:rPr>
          <w:rFonts w:ascii="Arial" w:hAnsi="Arial" w:cs="Arial"/>
          <w:b/>
          <w:szCs w:val="18"/>
        </w:rPr>
        <w:t xml:space="preserve"> </w:t>
      </w:r>
    </w:p>
    <w:p w14:paraId="44ED736E" w14:textId="77777777" w:rsidR="004C3553" w:rsidRDefault="004C3553" w:rsidP="004C3553">
      <w:pPr>
        <w:pStyle w:val="Body"/>
        <w:spacing w:after="0"/>
        <w:rPr>
          <w:rFonts w:ascii="Arial" w:hAnsi="Arial" w:cs="Arial"/>
          <w:b/>
          <w:szCs w:val="18"/>
        </w:rPr>
      </w:pPr>
    </w:p>
    <w:p w14:paraId="70F596AD" w14:textId="7C28D12C" w:rsidR="004C3553" w:rsidRPr="00C51CC0" w:rsidRDefault="004C3553" w:rsidP="004C3553">
      <w:pPr>
        <w:pStyle w:val="Body"/>
        <w:spacing w:after="0"/>
        <w:rPr>
          <w:rFonts w:ascii="Arial" w:hAnsi="Arial" w:cs="Arial"/>
          <w:b/>
          <w:szCs w:val="18"/>
        </w:rPr>
      </w:pPr>
      <w:r w:rsidRPr="00C51CC0">
        <w:rPr>
          <w:rFonts w:ascii="Arial" w:hAnsi="Arial" w:cs="Arial"/>
          <w:b/>
          <w:szCs w:val="18"/>
        </w:rPr>
        <w:t>Table 6.</w:t>
      </w:r>
      <w:r w:rsidRPr="00C51CC0">
        <w:rPr>
          <w:rFonts w:ascii="Arial" w:hAnsi="Arial" w:cs="Arial"/>
          <w:b/>
          <w:szCs w:val="18"/>
        </w:rPr>
        <w:tab/>
        <w:t xml:space="preserve">Level of Influence of Each Factor on the Intention to Use Mobile Payment Services in </w:t>
      </w:r>
      <w:proofErr w:type="spellStart"/>
      <w:r w:rsidRPr="00C51CC0">
        <w:rPr>
          <w:rFonts w:ascii="Arial" w:hAnsi="Arial" w:cs="Arial"/>
          <w:b/>
          <w:szCs w:val="18"/>
        </w:rPr>
        <w:t>Poblacion</w:t>
      </w:r>
      <w:proofErr w:type="spellEnd"/>
      <w:r w:rsidRPr="00C51CC0">
        <w:rPr>
          <w:rFonts w:ascii="Arial" w:hAnsi="Arial" w:cs="Arial"/>
          <w:b/>
          <w:szCs w:val="18"/>
        </w:rPr>
        <w:t xml:space="preserve">, </w:t>
      </w:r>
      <w:proofErr w:type="spellStart"/>
      <w:r w:rsidRPr="00C51CC0">
        <w:rPr>
          <w:rFonts w:ascii="Arial" w:hAnsi="Arial" w:cs="Arial"/>
          <w:b/>
          <w:szCs w:val="18"/>
        </w:rPr>
        <w:t>Cateel</w:t>
      </w:r>
      <w:proofErr w:type="spellEnd"/>
      <w:r w:rsidRPr="00C51CC0">
        <w:rPr>
          <w:rFonts w:ascii="Arial" w:hAnsi="Arial" w:cs="Arial"/>
          <w:b/>
          <w:szCs w:val="18"/>
        </w:rPr>
        <w:t>, Davao Oriental, in terms of Trust of Safe to Use</w:t>
      </w:r>
    </w:p>
    <w:bookmarkEnd w:id="5"/>
    <w:p w14:paraId="11623A91" w14:textId="18A25F4A" w:rsidR="00080CA4" w:rsidRPr="00C51CC0" w:rsidRDefault="00080CA4" w:rsidP="00630082">
      <w:pPr>
        <w:spacing w:after="160" w:line="259" w:lineRule="auto"/>
        <w:jc w:val="both"/>
        <w:rPr>
          <w:rFonts w:ascii="Arial" w:hAnsi="Arial" w:cs="Arial"/>
        </w:rPr>
      </w:pP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080CA4" w:rsidRPr="00C51CC0" w14:paraId="030393B4" w14:textId="77777777" w:rsidTr="00C56124">
        <w:trPr>
          <w:trHeight w:val="20"/>
        </w:trPr>
        <w:tc>
          <w:tcPr>
            <w:tcW w:w="2990" w:type="pct"/>
            <w:tcBorders>
              <w:top w:val="single" w:sz="4" w:space="0" w:color="auto"/>
              <w:bottom w:val="single" w:sz="4" w:space="0" w:color="auto"/>
            </w:tcBorders>
            <w:vAlign w:val="center"/>
            <w:hideMark/>
          </w:tcPr>
          <w:p w14:paraId="7DDA5A20"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3CC06F71"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3D801898"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763C5130"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color w:val="000000"/>
                <w:kern w:val="2"/>
                <w:lang w:eastAsia="ja-JP"/>
              </w:rPr>
              <w:t>Interpretation</w:t>
            </w:r>
          </w:p>
        </w:tc>
      </w:tr>
      <w:tr w:rsidR="00080CA4" w:rsidRPr="00C51CC0" w14:paraId="0C01AB7B" w14:textId="77777777" w:rsidTr="00C56124">
        <w:trPr>
          <w:trHeight w:val="20"/>
        </w:trPr>
        <w:tc>
          <w:tcPr>
            <w:tcW w:w="5000" w:type="pct"/>
            <w:gridSpan w:val="4"/>
            <w:tcBorders>
              <w:top w:val="single" w:sz="4" w:space="0" w:color="auto"/>
              <w:left w:val="nil"/>
            </w:tcBorders>
          </w:tcPr>
          <w:p w14:paraId="3B461E35" w14:textId="4108212E" w:rsidR="00080CA4" w:rsidRPr="00C51CC0" w:rsidRDefault="00EE5273" w:rsidP="00C56124">
            <w:pP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Trust of Safe to Use</w:t>
            </w:r>
          </w:p>
        </w:tc>
      </w:tr>
      <w:tr w:rsidR="00EE5273" w:rsidRPr="00C51CC0" w14:paraId="6C373485" w14:textId="77777777" w:rsidTr="00C56124">
        <w:trPr>
          <w:trHeight w:val="20"/>
        </w:trPr>
        <w:tc>
          <w:tcPr>
            <w:tcW w:w="2990" w:type="pct"/>
            <w:tcBorders>
              <w:left w:val="nil"/>
              <w:bottom w:val="nil"/>
              <w:right w:val="nil"/>
            </w:tcBorders>
            <w:hideMark/>
          </w:tcPr>
          <w:p w14:paraId="371C3818" w14:textId="4B8EDA94" w:rsidR="00EE5273" w:rsidRPr="00C51CC0" w:rsidRDefault="00EE5273">
            <w:pPr>
              <w:numPr>
                <w:ilvl w:val="0"/>
                <w:numId w:val="9"/>
              </w:numPr>
              <w:spacing w:after="160"/>
              <w:contextualSpacing/>
              <w:rPr>
                <w:rFonts w:ascii="Arial" w:eastAsia="Yu Mincho" w:hAnsi="Arial" w:cs="Arial"/>
                <w:color w:val="000000"/>
                <w:kern w:val="2"/>
                <w:lang w:eastAsia="ja-JP"/>
              </w:rPr>
            </w:pPr>
            <w:r w:rsidRPr="00C51CC0">
              <w:rPr>
                <w:rFonts w:ascii="Arial" w:hAnsi="Arial" w:cs="Arial"/>
              </w:rPr>
              <w:t>Service providers always provide accurate financial services</w:t>
            </w:r>
          </w:p>
        </w:tc>
        <w:tc>
          <w:tcPr>
            <w:tcW w:w="598" w:type="pct"/>
            <w:noWrap/>
            <w:hideMark/>
          </w:tcPr>
          <w:p w14:paraId="50A0C337" w14:textId="1B952EE1"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3.87</w:t>
            </w:r>
          </w:p>
        </w:tc>
        <w:tc>
          <w:tcPr>
            <w:tcW w:w="598" w:type="pct"/>
            <w:noWrap/>
            <w:hideMark/>
          </w:tcPr>
          <w:p w14:paraId="426DEE4C" w14:textId="7BA05003"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0.71</w:t>
            </w:r>
          </w:p>
        </w:tc>
        <w:tc>
          <w:tcPr>
            <w:tcW w:w="814" w:type="pct"/>
            <w:noWrap/>
            <w:hideMark/>
          </w:tcPr>
          <w:p w14:paraId="0E5BA0DF" w14:textId="08B9B47B"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High</w:t>
            </w:r>
          </w:p>
        </w:tc>
      </w:tr>
      <w:tr w:rsidR="00EE5273" w:rsidRPr="00C51CC0" w14:paraId="3A862860" w14:textId="77777777" w:rsidTr="00C56124">
        <w:trPr>
          <w:trHeight w:val="20"/>
        </w:trPr>
        <w:tc>
          <w:tcPr>
            <w:tcW w:w="2990" w:type="pct"/>
            <w:tcBorders>
              <w:top w:val="nil"/>
              <w:left w:val="nil"/>
              <w:bottom w:val="nil"/>
              <w:right w:val="nil"/>
            </w:tcBorders>
            <w:hideMark/>
          </w:tcPr>
          <w:p w14:paraId="1CE6C449" w14:textId="5548B73F" w:rsidR="00EE5273" w:rsidRPr="00C51CC0" w:rsidRDefault="00EE5273">
            <w:pPr>
              <w:numPr>
                <w:ilvl w:val="0"/>
                <w:numId w:val="9"/>
              </w:numPr>
              <w:spacing w:after="160"/>
              <w:contextualSpacing/>
              <w:rPr>
                <w:rFonts w:ascii="Arial" w:eastAsia="Yu Mincho" w:hAnsi="Arial" w:cs="Arial"/>
                <w:color w:val="000000"/>
                <w:kern w:val="2"/>
                <w:lang w:eastAsia="ja-JP"/>
              </w:rPr>
            </w:pPr>
            <w:r w:rsidRPr="00C51CC0">
              <w:rPr>
                <w:rFonts w:ascii="Arial" w:hAnsi="Arial" w:cs="Arial"/>
              </w:rPr>
              <w:t>Service providers always provide reliable financial services</w:t>
            </w:r>
          </w:p>
        </w:tc>
        <w:tc>
          <w:tcPr>
            <w:tcW w:w="598" w:type="pct"/>
            <w:noWrap/>
            <w:hideMark/>
          </w:tcPr>
          <w:p w14:paraId="5C04E2A2" w14:textId="6F002749"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3.79</w:t>
            </w:r>
          </w:p>
        </w:tc>
        <w:tc>
          <w:tcPr>
            <w:tcW w:w="598" w:type="pct"/>
            <w:noWrap/>
            <w:hideMark/>
          </w:tcPr>
          <w:p w14:paraId="427750F2" w14:textId="58AA3079"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0.80</w:t>
            </w:r>
          </w:p>
        </w:tc>
        <w:tc>
          <w:tcPr>
            <w:tcW w:w="814" w:type="pct"/>
            <w:noWrap/>
            <w:hideMark/>
          </w:tcPr>
          <w:p w14:paraId="7669238F" w14:textId="25111C81"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High</w:t>
            </w:r>
          </w:p>
        </w:tc>
      </w:tr>
      <w:tr w:rsidR="00EE5273" w:rsidRPr="00C51CC0" w14:paraId="51EBDD9B" w14:textId="77777777" w:rsidTr="00C56124">
        <w:trPr>
          <w:trHeight w:val="20"/>
        </w:trPr>
        <w:tc>
          <w:tcPr>
            <w:tcW w:w="2990" w:type="pct"/>
            <w:tcBorders>
              <w:top w:val="nil"/>
              <w:left w:val="nil"/>
              <w:bottom w:val="nil"/>
              <w:right w:val="nil"/>
            </w:tcBorders>
          </w:tcPr>
          <w:p w14:paraId="489CF301" w14:textId="1C7F3BAF" w:rsidR="00EE5273" w:rsidRPr="00C51CC0" w:rsidRDefault="00EE5273">
            <w:pPr>
              <w:numPr>
                <w:ilvl w:val="0"/>
                <w:numId w:val="9"/>
              </w:numPr>
              <w:spacing w:after="160"/>
              <w:contextualSpacing/>
              <w:rPr>
                <w:rFonts w:ascii="Arial" w:hAnsi="Arial" w:cs="Arial"/>
              </w:rPr>
            </w:pPr>
            <w:r w:rsidRPr="00C51CC0">
              <w:rPr>
                <w:rFonts w:ascii="Arial" w:hAnsi="Arial" w:cs="Arial"/>
              </w:rPr>
              <w:t>The risk of abuse of users' information (e.g., names of business partners, payment amount) is low when using mobile payment services</w:t>
            </w:r>
          </w:p>
        </w:tc>
        <w:tc>
          <w:tcPr>
            <w:tcW w:w="598" w:type="pct"/>
            <w:noWrap/>
          </w:tcPr>
          <w:p w14:paraId="48234C5F" w14:textId="5821729A" w:rsidR="00EE5273" w:rsidRPr="00C51CC0" w:rsidRDefault="00EE5273" w:rsidP="00EE5273">
            <w:pPr>
              <w:jc w:val="center"/>
              <w:rPr>
                <w:rFonts w:ascii="Arial" w:hAnsi="Arial" w:cs="Arial"/>
              </w:rPr>
            </w:pPr>
            <w:r w:rsidRPr="00C51CC0">
              <w:rPr>
                <w:rFonts w:ascii="Arial" w:hAnsi="Arial" w:cs="Arial"/>
              </w:rPr>
              <w:t>2.85</w:t>
            </w:r>
          </w:p>
        </w:tc>
        <w:tc>
          <w:tcPr>
            <w:tcW w:w="598" w:type="pct"/>
            <w:noWrap/>
          </w:tcPr>
          <w:p w14:paraId="0D35BEA4" w14:textId="16366978" w:rsidR="00EE5273" w:rsidRPr="00C51CC0" w:rsidRDefault="00EE5273" w:rsidP="00EE5273">
            <w:pPr>
              <w:jc w:val="center"/>
              <w:rPr>
                <w:rFonts w:ascii="Arial" w:hAnsi="Arial" w:cs="Arial"/>
              </w:rPr>
            </w:pPr>
            <w:r w:rsidRPr="00C51CC0">
              <w:rPr>
                <w:rFonts w:ascii="Arial" w:hAnsi="Arial" w:cs="Arial"/>
              </w:rPr>
              <w:t>0.94</w:t>
            </w:r>
          </w:p>
        </w:tc>
        <w:tc>
          <w:tcPr>
            <w:tcW w:w="814" w:type="pct"/>
            <w:noWrap/>
          </w:tcPr>
          <w:p w14:paraId="61DF6328" w14:textId="4078ED2C" w:rsidR="00EE5273" w:rsidRPr="00C51CC0" w:rsidRDefault="00EE5273" w:rsidP="00EE5273">
            <w:pPr>
              <w:jc w:val="center"/>
              <w:rPr>
                <w:rFonts w:ascii="Arial" w:hAnsi="Arial" w:cs="Arial"/>
              </w:rPr>
            </w:pPr>
            <w:r w:rsidRPr="00C51CC0">
              <w:rPr>
                <w:rFonts w:ascii="Arial" w:hAnsi="Arial" w:cs="Arial"/>
              </w:rPr>
              <w:t>Moderate</w:t>
            </w:r>
          </w:p>
        </w:tc>
      </w:tr>
      <w:tr w:rsidR="00EE5273" w:rsidRPr="00C51CC0" w14:paraId="2F3004B6" w14:textId="77777777" w:rsidTr="00C56124">
        <w:trPr>
          <w:trHeight w:val="20"/>
        </w:trPr>
        <w:tc>
          <w:tcPr>
            <w:tcW w:w="2990" w:type="pct"/>
            <w:tcBorders>
              <w:top w:val="nil"/>
              <w:left w:val="nil"/>
              <w:bottom w:val="nil"/>
              <w:right w:val="nil"/>
            </w:tcBorders>
          </w:tcPr>
          <w:p w14:paraId="253D7CFE" w14:textId="6375C6CE" w:rsidR="00EE5273" w:rsidRPr="00C51CC0" w:rsidRDefault="00EE5273">
            <w:pPr>
              <w:numPr>
                <w:ilvl w:val="0"/>
                <w:numId w:val="9"/>
              </w:numPr>
              <w:spacing w:after="160"/>
              <w:contextualSpacing/>
              <w:rPr>
                <w:rFonts w:ascii="Arial" w:hAnsi="Arial" w:cs="Arial"/>
              </w:rPr>
            </w:pPr>
            <w:r w:rsidRPr="00C51CC0">
              <w:rPr>
                <w:rFonts w:ascii="Arial" w:hAnsi="Arial" w:cs="Arial"/>
              </w:rPr>
              <w:t>The risk of abuse of billing information (e.g., credit card number, bank account data) is low when using mobile payment services</w:t>
            </w:r>
          </w:p>
        </w:tc>
        <w:tc>
          <w:tcPr>
            <w:tcW w:w="598" w:type="pct"/>
            <w:noWrap/>
          </w:tcPr>
          <w:p w14:paraId="42F0D97D" w14:textId="38BA5727" w:rsidR="00EE5273" w:rsidRPr="00C51CC0" w:rsidRDefault="00630082" w:rsidP="00EE5273">
            <w:pPr>
              <w:jc w:val="center"/>
              <w:rPr>
                <w:rFonts w:ascii="Arial" w:hAnsi="Arial" w:cs="Arial"/>
              </w:rPr>
            </w:pPr>
            <w:r>
              <w:rPr>
                <w:rFonts w:ascii="Arial" w:hAnsi="Arial" w:cs="Arial"/>
              </w:rPr>
              <w:t>2.79</w:t>
            </w:r>
          </w:p>
        </w:tc>
        <w:tc>
          <w:tcPr>
            <w:tcW w:w="598" w:type="pct"/>
            <w:noWrap/>
          </w:tcPr>
          <w:p w14:paraId="2CD4799C" w14:textId="2E2D98C5" w:rsidR="00EE5273" w:rsidRPr="00C51CC0" w:rsidRDefault="00630082" w:rsidP="00EE5273">
            <w:pPr>
              <w:jc w:val="center"/>
              <w:rPr>
                <w:rFonts w:ascii="Arial" w:hAnsi="Arial" w:cs="Arial"/>
              </w:rPr>
            </w:pPr>
            <w:r>
              <w:rPr>
                <w:rFonts w:ascii="Arial" w:hAnsi="Arial" w:cs="Arial"/>
              </w:rPr>
              <w:t>0.88</w:t>
            </w:r>
          </w:p>
        </w:tc>
        <w:tc>
          <w:tcPr>
            <w:tcW w:w="814" w:type="pct"/>
            <w:noWrap/>
          </w:tcPr>
          <w:p w14:paraId="6E4A3068" w14:textId="6BA235BC" w:rsidR="00EE5273" w:rsidRPr="00C51CC0" w:rsidRDefault="00630082" w:rsidP="00EE5273">
            <w:pPr>
              <w:jc w:val="center"/>
              <w:rPr>
                <w:rFonts w:ascii="Arial" w:hAnsi="Arial" w:cs="Arial"/>
              </w:rPr>
            </w:pPr>
            <w:r>
              <w:rPr>
                <w:rFonts w:ascii="Arial" w:hAnsi="Arial" w:cs="Arial"/>
              </w:rPr>
              <w:t>Moderate</w:t>
            </w:r>
          </w:p>
        </w:tc>
      </w:tr>
      <w:tr w:rsidR="00EE5273" w:rsidRPr="00C51CC0" w14:paraId="3A8F3A05" w14:textId="77777777" w:rsidTr="00C56124">
        <w:trPr>
          <w:trHeight w:val="20"/>
        </w:trPr>
        <w:tc>
          <w:tcPr>
            <w:tcW w:w="2990" w:type="pct"/>
            <w:tcBorders>
              <w:top w:val="nil"/>
              <w:left w:val="nil"/>
              <w:bottom w:val="nil"/>
              <w:right w:val="nil"/>
            </w:tcBorders>
          </w:tcPr>
          <w:p w14:paraId="61F6DE42" w14:textId="530B3D01" w:rsidR="00EE5273" w:rsidRPr="00C51CC0" w:rsidRDefault="00EE5273">
            <w:pPr>
              <w:numPr>
                <w:ilvl w:val="0"/>
                <w:numId w:val="9"/>
              </w:numPr>
              <w:spacing w:after="160"/>
              <w:contextualSpacing/>
              <w:rPr>
                <w:rFonts w:ascii="Arial" w:hAnsi="Arial" w:cs="Arial"/>
              </w:rPr>
            </w:pPr>
            <w:r w:rsidRPr="00C51CC0">
              <w:rPr>
                <w:rFonts w:ascii="Arial" w:hAnsi="Arial" w:cs="Arial"/>
              </w:rPr>
              <w:t>Would find a more secure mobile payment to conduct payment transactions</w:t>
            </w:r>
          </w:p>
        </w:tc>
        <w:tc>
          <w:tcPr>
            <w:tcW w:w="598" w:type="pct"/>
            <w:noWrap/>
          </w:tcPr>
          <w:p w14:paraId="56B9829C" w14:textId="5E5370F3" w:rsidR="00EE5273" w:rsidRPr="00C51CC0" w:rsidRDefault="00EE5273" w:rsidP="00EE5273">
            <w:pPr>
              <w:jc w:val="center"/>
              <w:rPr>
                <w:rFonts w:ascii="Arial" w:hAnsi="Arial" w:cs="Arial"/>
              </w:rPr>
            </w:pPr>
            <w:r w:rsidRPr="00C51CC0">
              <w:rPr>
                <w:rFonts w:ascii="Arial" w:hAnsi="Arial" w:cs="Arial"/>
              </w:rPr>
              <w:t>3.77</w:t>
            </w:r>
          </w:p>
        </w:tc>
        <w:tc>
          <w:tcPr>
            <w:tcW w:w="598" w:type="pct"/>
            <w:noWrap/>
          </w:tcPr>
          <w:p w14:paraId="25D48572" w14:textId="09B4415C" w:rsidR="00EE5273" w:rsidRPr="00C51CC0" w:rsidRDefault="00EE5273" w:rsidP="00EE5273">
            <w:pPr>
              <w:jc w:val="center"/>
              <w:rPr>
                <w:rFonts w:ascii="Arial" w:hAnsi="Arial" w:cs="Arial"/>
              </w:rPr>
            </w:pPr>
            <w:r w:rsidRPr="00C51CC0">
              <w:rPr>
                <w:rFonts w:ascii="Arial" w:hAnsi="Arial" w:cs="Arial"/>
              </w:rPr>
              <w:t>0.78</w:t>
            </w:r>
          </w:p>
        </w:tc>
        <w:tc>
          <w:tcPr>
            <w:tcW w:w="814" w:type="pct"/>
            <w:noWrap/>
          </w:tcPr>
          <w:p w14:paraId="65103A08" w14:textId="164F807C" w:rsidR="00EE5273" w:rsidRPr="00C51CC0" w:rsidRDefault="00EE5273" w:rsidP="00EE5273">
            <w:pPr>
              <w:jc w:val="center"/>
              <w:rPr>
                <w:rFonts w:ascii="Arial" w:hAnsi="Arial" w:cs="Arial"/>
              </w:rPr>
            </w:pPr>
            <w:r w:rsidRPr="00C51CC0">
              <w:rPr>
                <w:rFonts w:ascii="Arial" w:hAnsi="Arial" w:cs="Arial"/>
              </w:rPr>
              <w:t>High</w:t>
            </w:r>
          </w:p>
        </w:tc>
      </w:tr>
      <w:tr w:rsidR="00EE5273" w:rsidRPr="00C51CC0" w14:paraId="6CC5E9D3" w14:textId="77777777" w:rsidTr="004C0E88">
        <w:trPr>
          <w:trHeight w:val="20"/>
        </w:trPr>
        <w:tc>
          <w:tcPr>
            <w:tcW w:w="2990" w:type="pct"/>
            <w:tcBorders>
              <w:top w:val="nil"/>
              <w:left w:val="nil"/>
              <w:right w:val="nil"/>
            </w:tcBorders>
            <w:hideMark/>
          </w:tcPr>
          <w:p w14:paraId="47C7B56E" w14:textId="51B77BBA" w:rsidR="00EE5273" w:rsidRPr="00C51CC0" w:rsidRDefault="00EE5273">
            <w:pPr>
              <w:numPr>
                <w:ilvl w:val="0"/>
                <w:numId w:val="9"/>
              </w:numPr>
              <w:spacing w:after="160"/>
              <w:contextualSpacing/>
              <w:rPr>
                <w:rFonts w:ascii="Arial" w:eastAsia="Yu Mincho" w:hAnsi="Arial" w:cs="Arial"/>
                <w:color w:val="000000"/>
                <w:kern w:val="2"/>
                <w:lang w:eastAsia="ja-JP"/>
              </w:rPr>
            </w:pPr>
            <w:r w:rsidRPr="00C51CC0">
              <w:rPr>
                <w:rFonts w:ascii="Arial" w:hAnsi="Arial" w:cs="Arial"/>
              </w:rPr>
              <w:t>Service providers always provide safe financial services</w:t>
            </w:r>
          </w:p>
        </w:tc>
        <w:tc>
          <w:tcPr>
            <w:tcW w:w="598" w:type="pct"/>
            <w:noWrap/>
            <w:hideMark/>
          </w:tcPr>
          <w:p w14:paraId="53880C89" w14:textId="6B390A6B"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3.86</w:t>
            </w:r>
          </w:p>
        </w:tc>
        <w:tc>
          <w:tcPr>
            <w:tcW w:w="598" w:type="pct"/>
            <w:noWrap/>
            <w:hideMark/>
          </w:tcPr>
          <w:p w14:paraId="2555B9DD" w14:textId="0162A02D"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0.76</w:t>
            </w:r>
          </w:p>
        </w:tc>
        <w:tc>
          <w:tcPr>
            <w:tcW w:w="814" w:type="pct"/>
            <w:noWrap/>
            <w:hideMark/>
          </w:tcPr>
          <w:p w14:paraId="64C821CF" w14:textId="18225964" w:rsidR="00EE5273" w:rsidRPr="00C51CC0" w:rsidRDefault="00EE5273" w:rsidP="00EE5273">
            <w:pPr>
              <w:jc w:val="center"/>
              <w:rPr>
                <w:rFonts w:ascii="Arial" w:eastAsia="Yu Mincho" w:hAnsi="Arial" w:cs="Arial"/>
                <w:color w:val="000000"/>
                <w:kern w:val="2"/>
                <w:lang w:eastAsia="ja-JP"/>
              </w:rPr>
            </w:pPr>
            <w:r w:rsidRPr="00C51CC0">
              <w:rPr>
                <w:rFonts w:ascii="Arial" w:hAnsi="Arial" w:cs="Arial"/>
              </w:rPr>
              <w:t>High</w:t>
            </w:r>
          </w:p>
        </w:tc>
      </w:tr>
      <w:tr w:rsidR="00080CA4" w:rsidRPr="00C51CC0" w14:paraId="754E0336" w14:textId="77777777" w:rsidTr="004C0E88">
        <w:trPr>
          <w:trHeight w:val="20"/>
        </w:trPr>
        <w:tc>
          <w:tcPr>
            <w:tcW w:w="2990" w:type="pct"/>
            <w:tcBorders>
              <w:top w:val="nil"/>
              <w:left w:val="nil"/>
              <w:bottom w:val="single" w:sz="4" w:space="0" w:color="auto"/>
              <w:right w:val="nil"/>
            </w:tcBorders>
          </w:tcPr>
          <w:p w14:paraId="7FA82581" w14:textId="77777777" w:rsidR="00080CA4" w:rsidRPr="00C51CC0" w:rsidRDefault="00080CA4" w:rsidP="00C56124">
            <w:pPr>
              <w:spacing w:after="160"/>
              <w:contextualSpacing/>
              <w:jc w:val="center"/>
              <w:rPr>
                <w:rFonts w:ascii="Arial" w:eastAsia="Yu Mincho" w:hAnsi="Arial" w:cs="Arial"/>
                <w:b/>
                <w:bCs/>
                <w:color w:val="000000"/>
                <w:kern w:val="2"/>
                <w:lang w:eastAsia="ja-JP"/>
              </w:rPr>
            </w:pPr>
            <w:r w:rsidRPr="00C51CC0">
              <w:rPr>
                <w:rFonts w:ascii="Arial" w:hAnsi="Arial" w:cs="Arial"/>
                <w:b/>
                <w:bCs/>
              </w:rPr>
              <w:t>Average</w:t>
            </w:r>
          </w:p>
        </w:tc>
        <w:tc>
          <w:tcPr>
            <w:tcW w:w="598" w:type="pct"/>
            <w:tcBorders>
              <w:bottom w:val="single" w:sz="4" w:space="0" w:color="auto"/>
            </w:tcBorders>
            <w:noWrap/>
          </w:tcPr>
          <w:p w14:paraId="70B3CEC1" w14:textId="02C4613F" w:rsidR="00080CA4" w:rsidRPr="00C51CC0" w:rsidRDefault="00080CA4" w:rsidP="00C56124">
            <w:pPr>
              <w:jc w:val="center"/>
              <w:rPr>
                <w:rFonts w:ascii="Arial" w:eastAsia="Yu Mincho" w:hAnsi="Arial" w:cs="Arial"/>
                <w:b/>
                <w:bCs/>
                <w:color w:val="000000"/>
                <w:kern w:val="2"/>
                <w:lang w:eastAsia="ja-JP"/>
              </w:rPr>
            </w:pPr>
            <w:r w:rsidRPr="00C51CC0">
              <w:rPr>
                <w:rFonts w:ascii="Arial" w:eastAsia="Yu Mincho" w:hAnsi="Arial" w:cs="Arial"/>
                <w:b/>
                <w:bCs/>
                <w:color w:val="000000"/>
                <w:kern w:val="2"/>
                <w:lang w:eastAsia="ja-JP"/>
              </w:rPr>
              <w:t>3.</w:t>
            </w:r>
            <w:r w:rsidR="00EE5273" w:rsidRPr="00C51CC0">
              <w:rPr>
                <w:rFonts w:ascii="Arial" w:eastAsia="Yu Mincho" w:hAnsi="Arial" w:cs="Arial"/>
                <w:b/>
                <w:bCs/>
                <w:color w:val="000000"/>
                <w:kern w:val="2"/>
                <w:lang w:eastAsia="ja-JP"/>
              </w:rPr>
              <w:t>49</w:t>
            </w:r>
          </w:p>
        </w:tc>
        <w:tc>
          <w:tcPr>
            <w:tcW w:w="598" w:type="pct"/>
            <w:tcBorders>
              <w:bottom w:val="single" w:sz="4" w:space="0" w:color="auto"/>
            </w:tcBorders>
            <w:noWrap/>
          </w:tcPr>
          <w:p w14:paraId="3D0FBCEC" w14:textId="30218778"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0.</w:t>
            </w:r>
            <w:r w:rsidR="00EE5273" w:rsidRPr="00C51CC0">
              <w:rPr>
                <w:rFonts w:ascii="Arial" w:hAnsi="Arial" w:cs="Arial"/>
                <w:b/>
                <w:bCs/>
              </w:rPr>
              <w:t>47</w:t>
            </w:r>
          </w:p>
        </w:tc>
        <w:tc>
          <w:tcPr>
            <w:tcW w:w="814" w:type="pct"/>
            <w:tcBorders>
              <w:bottom w:val="single" w:sz="4" w:space="0" w:color="auto"/>
            </w:tcBorders>
            <w:noWrap/>
          </w:tcPr>
          <w:p w14:paraId="1FCF787C" w14:textId="77777777" w:rsidR="00080CA4" w:rsidRPr="00C51CC0" w:rsidRDefault="00080CA4" w:rsidP="00C56124">
            <w:pPr>
              <w:jc w:val="center"/>
              <w:rPr>
                <w:rFonts w:ascii="Arial" w:eastAsia="Yu Mincho" w:hAnsi="Arial" w:cs="Arial"/>
                <w:b/>
                <w:bCs/>
                <w:color w:val="000000"/>
                <w:kern w:val="2"/>
                <w:lang w:eastAsia="ja-JP"/>
              </w:rPr>
            </w:pPr>
            <w:r w:rsidRPr="00C51CC0">
              <w:rPr>
                <w:rFonts w:ascii="Arial" w:hAnsi="Arial" w:cs="Arial"/>
                <w:b/>
                <w:bCs/>
              </w:rPr>
              <w:t>High</w:t>
            </w:r>
          </w:p>
        </w:tc>
      </w:tr>
    </w:tbl>
    <w:p w14:paraId="4FCB5F84" w14:textId="77777777" w:rsidR="00EE5273" w:rsidRDefault="00EE5273" w:rsidP="00AB00E6">
      <w:pPr>
        <w:pStyle w:val="Body"/>
        <w:spacing w:after="0"/>
        <w:rPr>
          <w:rFonts w:ascii="Arial" w:hAnsi="Arial" w:cs="Arial"/>
          <w:b/>
          <w:sz w:val="22"/>
        </w:rPr>
      </w:pPr>
    </w:p>
    <w:p w14:paraId="511D2921" w14:textId="77777777" w:rsidR="002216A3" w:rsidRPr="00630082" w:rsidRDefault="002216A3" w:rsidP="00630082">
      <w:pPr>
        <w:spacing w:after="160" w:line="259" w:lineRule="auto"/>
        <w:jc w:val="both"/>
        <w:rPr>
          <w:rFonts w:ascii="Arial" w:hAnsi="Arial" w:cs="Arial"/>
        </w:rPr>
      </w:pPr>
      <w:r w:rsidRPr="00630082">
        <w:rPr>
          <w:rFonts w:ascii="Arial" w:hAnsi="Arial" w:cs="Arial"/>
        </w:rPr>
        <w:lastRenderedPageBreak/>
        <w:t>Table 7 shows that respondents perceive mobile payment services as highly useful, with an overall mean of 4.23 and a standard deviation of 0.62, indicating strong agreement with the convenience and efficiency these systems provide. Respondents strongly agree that mobile payments allow faster payments (mean = 4.25), make transactions easier (mean = 4.24), and are useful for paying for services (mean = 4.21). These findings are consistent with research by Liu and Tai (2016) and Cao et al. (2016), who identified perceived usefulness as one of the strongest predictors of mobile payment adoption. Cao et al. (2016) also emphasized that usefulness interacts with trust, ease of use, and perceived enjoyment to shape adoption intentions, aligning with the consistently high usefulness scores in Table 7. Despite potential security concerns noted in prior studies, respondents in this study did not express strong apprehension, suggesting that perceived usefulness may outweigh perceived risks an outcome supported by Choi et al. (2020), who argue that service attributes such as assurance policies and loyalty programs enhance both usefulness and trust.</w:t>
      </w:r>
    </w:p>
    <w:p w14:paraId="4146BB97" w14:textId="180AA6C5" w:rsidR="004C3553" w:rsidRDefault="002216A3" w:rsidP="00630082">
      <w:pPr>
        <w:spacing w:after="160" w:line="259" w:lineRule="auto"/>
        <w:jc w:val="both"/>
        <w:rPr>
          <w:rFonts w:ascii="Arial" w:hAnsi="Arial" w:cs="Arial"/>
          <w:b/>
          <w:szCs w:val="18"/>
        </w:rPr>
      </w:pPr>
      <w:r w:rsidRPr="00630082">
        <w:rPr>
          <w:rFonts w:ascii="Arial" w:hAnsi="Arial" w:cs="Arial"/>
        </w:rPr>
        <w:t xml:space="preserve">While perceived usefulness </w:t>
      </w:r>
      <w:proofErr w:type="gramStart"/>
      <w:r w:rsidRPr="00630082">
        <w:rPr>
          <w:rFonts w:ascii="Arial" w:hAnsi="Arial" w:cs="Arial"/>
        </w:rPr>
        <w:t>remains</w:t>
      </w:r>
      <w:proofErr w:type="gramEnd"/>
      <w:r w:rsidRPr="00630082">
        <w:rPr>
          <w:rFonts w:ascii="Arial" w:hAnsi="Arial" w:cs="Arial"/>
        </w:rPr>
        <w:t xml:space="preserve"> a dominant factor influencing adoption, the findings also highlight the importance of complementary factors such as ease of use, trust, and social influence. Liu and Tai (2016) and Chen and Li (2017) note that when mobile payment platforms are easy to navigate, perceived usefulness increases, strengthening intentions for continued use. Similarly, Yan and Yang (2014) emphasize that recognizing the practical benefits of efficiency and convenience boosts user willingness to adopt mobile payments. Perceived usefulness also plays a strong role in user retention, particularly among existing users who continue using systems that meet their needs (</w:t>
      </w:r>
      <w:proofErr w:type="spellStart"/>
      <w:r w:rsidRPr="00630082">
        <w:rPr>
          <w:rFonts w:ascii="Arial" w:hAnsi="Arial" w:cs="Arial"/>
        </w:rPr>
        <w:t>Phonthanukitithaworn</w:t>
      </w:r>
      <w:proofErr w:type="spellEnd"/>
      <w:r w:rsidRPr="00630082">
        <w:rPr>
          <w:rFonts w:ascii="Arial" w:hAnsi="Arial" w:cs="Arial"/>
        </w:rPr>
        <w:t xml:space="preserve"> et al., 2016). Additional research shows that user-friendly interfaces enhance satisfaction and long-term engagement (Jun et al., 2018). Collectively, these studies and the results in Table 7 demonstrate that perceived usefulness supported by ease of use, trust, and social reinforcement is essential for both adoption and continued use of mobile payment services.</w:t>
      </w:r>
      <w:r w:rsidR="004C3553" w:rsidRPr="004C3553">
        <w:rPr>
          <w:rFonts w:ascii="Arial" w:hAnsi="Arial" w:cs="Arial"/>
          <w:b/>
          <w:szCs w:val="18"/>
        </w:rPr>
        <w:t xml:space="preserve"> </w:t>
      </w:r>
    </w:p>
    <w:p w14:paraId="08A105F1" w14:textId="71F78F70" w:rsidR="00EE5273" w:rsidRPr="00630082" w:rsidRDefault="004C3553" w:rsidP="00630082">
      <w:pPr>
        <w:spacing w:after="160" w:line="259" w:lineRule="auto"/>
        <w:jc w:val="both"/>
        <w:rPr>
          <w:rFonts w:ascii="Arial" w:hAnsi="Arial" w:cs="Arial"/>
        </w:rPr>
      </w:pPr>
      <w:r w:rsidRPr="00630082">
        <w:rPr>
          <w:rFonts w:ascii="Arial" w:hAnsi="Arial" w:cs="Arial"/>
          <w:b/>
          <w:szCs w:val="18"/>
        </w:rPr>
        <w:t>Table 7.</w:t>
      </w:r>
      <w:r w:rsidRPr="00630082">
        <w:rPr>
          <w:rFonts w:ascii="Arial" w:hAnsi="Arial" w:cs="Arial"/>
          <w:b/>
          <w:szCs w:val="18"/>
        </w:rPr>
        <w:tab/>
        <w:t xml:space="preserve">Level of Influence of Each Factor on the Intention to Use Mobile Payment Services in </w:t>
      </w:r>
      <w:proofErr w:type="spellStart"/>
      <w:r w:rsidRPr="00630082">
        <w:rPr>
          <w:rFonts w:ascii="Arial" w:hAnsi="Arial" w:cs="Arial"/>
          <w:b/>
          <w:szCs w:val="18"/>
        </w:rPr>
        <w:t>Poblacion</w:t>
      </w:r>
      <w:proofErr w:type="spellEnd"/>
      <w:r w:rsidRPr="00630082">
        <w:rPr>
          <w:rFonts w:ascii="Arial" w:hAnsi="Arial" w:cs="Arial"/>
          <w:b/>
          <w:szCs w:val="18"/>
        </w:rPr>
        <w:t xml:space="preserve">, </w:t>
      </w:r>
      <w:proofErr w:type="spellStart"/>
      <w:r w:rsidRPr="00630082">
        <w:rPr>
          <w:rFonts w:ascii="Arial" w:hAnsi="Arial" w:cs="Arial"/>
          <w:b/>
          <w:szCs w:val="18"/>
        </w:rPr>
        <w:t>Cateel</w:t>
      </w:r>
      <w:proofErr w:type="spellEnd"/>
      <w:r w:rsidRPr="00630082">
        <w:rPr>
          <w:rFonts w:ascii="Arial" w:hAnsi="Arial" w:cs="Arial"/>
          <w:b/>
          <w:szCs w:val="18"/>
        </w:rPr>
        <w:t>, Davao Oriental, in terms of Usefulness</w:t>
      </w:r>
    </w:p>
    <w:tbl>
      <w:tblPr>
        <w:tblW w:w="5000" w:type="pct"/>
        <w:tblLayout w:type="fixed"/>
        <w:tblCellMar>
          <w:left w:w="0" w:type="dxa"/>
          <w:right w:w="0" w:type="dxa"/>
        </w:tblCellMar>
        <w:tblLook w:val="04A0" w:firstRow="1" w:lastRow="0" w:firstColumn="1" w:lastColumn="0" w:noHBand="0" w:noVBand="1"/>
      </w:tblPr>
      <w:tblGrid>
        <w:gridCol w:w="4908"/>
        <w:gridCol w:w="982"/>
        <w:gridCol w:w="982"/>
        <w:gridCol w:w="1336"/>
      </w:tblGrid>
      <w:tr w:rsidR="00EE5273" w:rsidRPr="00630082" w14:paraId="1EB4C9BC" w14:textId="77777777" w:rsidTr="00C56124">
        <w:trPr>
          <w:trHeight w:val="20"/>
        </w:trPr>
        <w:tc>
          <w:tcPr>
            <w:tcW w:w="2990" w:type="pct"/>
            <w:tcBorders>
              <w:top w:val="single" w:sz="4" w:space="0" w:color="auto"/>
              <w:bottom w:val="single" w:sz="4" w:space="0" w:color="auto"/>
            </w:tcBorders>
            <w:vAlign w:val="center"/>
            <w:hideMark/>
          </w:tcPr>
          <w:p w14:paraId="7D752B72" w14:textId="77777777" w:rsidR="00EE5273" w:rsidRPr="00630082" w:rsidRDefault="00EE5273" w:rsidP="00C56124">
            <w:pPr>
              <w:jc w:val="center"/>
              <w:rPr>
                <w:rFonts w:ascii="Arial" w:eastAsia="Yu Mincho" w:hAnsi="Arial" w:cs="Arial"/>
                <w:b/>
                <w:bCs/>
                <w:color w:val="000000"/>
                <w:kern w:val="2"/>
                <w:lang w:eastAsia="ja-JP"/>
              </w:rPr>
            </w:pPr>
            <w:r w:rsidRPr="00630082">
              <w:rPr>
                <w:rFonts w:ascii="Arial" w:eastAsia="Yu Mincho" w:hAnsi="Arial" w:cs="Arial"/>
                <w:b/>
                <w:bCs/>
                <w:color w:val="000000"/>
                <w:kern w:val="2"/>
                <w:lang w:eastAsia="ja-JP"/>
              </w:rPr>
              <w:t>Statements</w:t>
            </w:r>
          </w:p>
        </w:tc>
        <w:tc>
          <w:tcPr>
            <w:tcW w:w="598" w:type="pct"/>
            <w:tcBorders>
              <w:top w:val="single" w:sz="4" w:space="0" w:color="auto"/>
              <w:bottom w:val="single" w:sz="4" w:space="0" w:color="auto"/>
            </w:tcBorders>
            <w:vAlign w:val="center"/>
            <w:hideMark/>
          </w:tcPr>
          <w:p w14:paraId="1310BBBD" w14:textId="77777777" w:rsidR="00EE5273" w:rsidRPr="00630082" w:rsidRDefault="00EE5273" w:rsidP="00C56124">
            <w:pPr>
              <w:jc w:val="center"/>
              <w:rPr>
                <w:rFonts w:ascii="Arial" w:eastAsia="Yu Mincho" w:hAnsi="Arial" w:cs="Arial"/>
                <w:b/>
                <w:bCs/>
                <w:color w:val="000000"/>
                <w:kern w:val="2"/>
                <w:lang w:eastAsia="ja-JP"/>
              </w:rPr>
            </w:pPr>
            <w:r w:rsidRPr="00630082">
              <w:rPr>
                <w:rFonts w:ascii="Arial" w:eastAsia="Yu Mincho" w:hAnsi="Arial" w:cs="Arial"/>
                <w:b/>
                <w:color w:val="000000"/>
                <w:kern w:val="2"/>
                <w:lang w:eastAsia="ja-JP"/>
              </w:rPr>
              <w:t>Mean</w:t>
            </w:r>
          </w:p>
        </w:tc>
        <w:tc>
          <w:tcPr>
            <w:tcW w:w="598" w:type="pct"/>
            <w:tcBorders>
              <w:top w:val="single" w:sz="4" w:space="0" w:color="auto"/>
              <w:bottom w:val="single" w:sz="4" w:space="0" w:color="auto"/>
            </w:tcBorders>
            <w:vAlign w:val="center"/>
            <w:hideMark/>
          </w:tcPr>
          <w:p w14:paraId="03FEF6F0" w14:textId="77777777" w:rsidR="00EE5273" w:rsidRPr="00630082" w:rsidRDefault="00EE5273" w:rsidP="00C56124">
            <w:pPr>
              <w:jc w:val="center"/>
              <w:rPr>
                <w:rFonts w:ascii="Arial" w:eastAsia="Yu Mincho" w:hAnsi="Arial" w:cs="Arial"/>
                <w:b/>
                <w:bCs/>
                <w:color w:val="000000"/>
                <w:kern w:val="2"/>
                <w:lang w:eastAsia="ja-JP"/>
              </w:rPr>
            </w:pPr>
            <w:r w:rsidRPr="00630082">
              <w:rPr>
                <w:rFonts w:ascii="Arial" w:eastAsia="Yu Mincho" w:hAnsi="Arial" w:cs="Arial"/>
                <w:b/>
                <w:color w:val="000000"/>
                <w:kern w:val="2"/>
                <w:lang w:eastAsia="ja-JP"/>
              </w:rPr>
              <w:t>Std. Deviation</w:t>
            </w:r>
          </w:p>
        </w:tc>
        <w:tc>
          <w:tcPr>
            <w:tcW w:w="814" w:type="pct"/>
            <w:tcBorders>
              <w:top w:val="single" w:sz="4" w:space="0" w:color="auto"/>
              <w:bottom w:val="single" w:sz="4" w:space="0" w:color="auto"/>
            </w:tcBorders>
            <w:noWrap/>
            <w:vAlign w:val="center"/>
            <w:hideMark/>
          </w:tcPr>
          <w:p w14:paraId="67540E48" w14:textId="77777777" w:rsidR="00EE5273" w:rsidRPr="00630082" w:rsidRDefault="00EE5273" w:rsidP="00C56124">
            <w:pPr>
              <w:jc w:val="center"/>
              <w:rPr>
                <w:rFonts w:ascii="Arial" w:eastAsia="Yu Mincho" w:hAnsi="Arial" w:cs="Arial"/>
                <w:b/>
                <w:bCs/>
                <w:color w:val="000000"/>
                <w:kern w:val="2"/>
                <w:lang w:eastAsia="ja-JP"/>
              </w:rPr>
            </w:pPr>
            <w:r w:rsidRPr="00630082">
              <w:rPr>
                <w:rFonts w:ascii="Arial" w:eastAsia="Yu Mincho" w:hAnsi="Arial" w:cs="Arial"/>
                <w:b/>
                <w:color w:val="000000"/>
                <w:kern w:val="2"/>
                <w:lang w:eastAsia="ja-JP"/>
              </w:rPr>
              <w:t>Interpretation</w:t>
            </w:r>
          </w:p>
        </w:tc>
      </w:tr>
      <w:tr w:rsidR="00EE5273" w:rsidRPr="00630082" w14:paraId="150FB622" w14:textId="77777777" w:rsidTr="00C56124">
        <w:trPr>
          <w:trHeight w:val="20"/>
        </w:trPr>
        <w:tc>
          <w:tcPr>
            <w:tcW w:w="5000" w:type="pct"/>
            <w:gridSpan w:val="4"/>
            <w:tcBorders>
              <w:top w:val="single" w:sz="4" w:space="0" w:color="auto"/>
              <w:left w:val="nil"/>
            </w:tcBorders>
          </w:tcPr>
          <w:p w14:paraId="18ABE227" w14:textId="750E2C80" w:rsidR="00EE5273" w:rsidRPr="00630082" w:rsidRDefault="00EE5273" w:rsidP="00C56124">
            <w:pPr>
              <w:rPr>
                <w:rFonts w:ascii="Arial" w:eastAsia="Yu Mincho" w:hAnsi="Arial" w:cs="Arial"/>
                <w:b/>
                <w:bCs/>
                <w:color w:val="000000"/>
                <w:kern w:val="2"/>
                <w:lang w:eastAsia="ja-JP"/>
              </w:rPr>
            </w:pPr>
            <w:r w:rsidRPr="00630082">
              <w:rPr>
                <w:rFonts w:ascii="Arial" w:hAnsi="Arial" w:cs="Arial"/>
                <w:b/>
              </w:rPr>
              <w:t>Usefulness</w:t>
            </w:r>
          </w:p>
        </w:tc>
      </w:tr>
      <w:tr w:rsidR="00EE5273" w:rsidRPr="00630082" w14:paraId="0D8507D6" w14:textId="77777777" w:rsidTr="00C56124">
        <w:trPr>
          <w:trHeight w:val="20"/>
        </w:trPr>
        <w:tc>
          <w:tcPr>
            <w:tcW w:w="2990" w:type="pct"/>
            <w:tcBorders>
              <w:left w:val="nil"/>
              <w:bottom w:val="nil"/>
              <w:right w:val="nil"/>
            </w:tcBorders>
            <w:hideMark/>
          </w:tcPr>
          <w:p w14:paraId="16CAE02A" w14:textId="76B97167" w:rsidR="00EE5273" w:rsidRPr="00630082" w:rsidRDefault="00EE5273">
            <w:pPr>
              <w:numPr>
                <w:ilvl w:val="0"/>
                <w:numId w:val="10"/>
              </w:numPr>
              <w:spacing w:after="160"/>
              <w:contextualSpacing/>
              <w:rPr>
                <w:rFonts w:ascii="Arial" w:eastAsia="Yu Mincho" w:hAnsi="Arial" w:cs="Arial"/>
                <w:color w:val="000000"/>
                <w:kern w:val="2"/>
                <w:lang w:eastAsia="ja-JP"/>
              </w:rPr>
            </w:pPr>
            <w:r w:rsidRPr="00630082">
              <w:rPr>
                <w:rFonts w:ascii="Arial" w:hAnsi="Arial" w:cs="Arial"/>
              </w:rPr>
              <w:t>Using mobile payments will allow to pay faster</w:t>
            </w:r>
          </w:p>
        </w:tc>
        <w:tc>
          <w:tcPr>
            <w:tcW w:w="598" w:type="pct"/>
            <w:noWrap/>
            <w:hideMark/>
          </w:tcPr>
          <w:p w14:paraId="00066C60" w14:textId="18F7542C"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4.25</w:t>
            </w:r>
          </w:p>
        </w:tc>
        <w:tc>
          <w:tcPr>
            <w:tcW w:w="598" w:type="pct"/>
            <w:noWrap/>
            <w:hideMark/>
          </w:tcPr>
          <w:p w14:paraId="11784C6F" w14:textId="2D3B5642"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0.70</w:t>
            </w:r>
          </w:p>
        </w:tc>
        <w:tc>
          <w:tcPr>
            <w:tcW w:w="814" w:type="pct"/>
            <w:noWrap/>
            <w:hideMark/>
          </w:tcPr>
          <w:p w14:paraId="4F190296" w14:textId="4A38E4A5"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Very High</w:t>
            </w:r>
          </w:p>
        </w:tc>
      </w:tr>
      <w:tr w:rsidR="00EE5273" w:rsidRPr="00630082" w14:paraId="608743B8" w14:textId="77777777" w:rsidTr="00C56124">
        <w:trPr>
          <w:trHeight w:val="20"/>
        </w:trPr>
        <w:tc>
          <w:tcPr>
            <w:tcW w:w="2990" w:type="pct"/>
            <w:tcBorders>
              <w:top w:val="nil"/>
              <w:left w:val="nil"/>
              <w:bottom w:val="nil"/>
              <w:right w:val="nil"/>
            </w:tcBorders>
            <w:hideMark/>
          </w:tcPr>
          <w:p w14:paraId="438A47C0" w14:textId="71DB3035" w:rsidR="00EE5273" w:rsidRPr="00630082" w:rsidRDefault="00EE5273">
            <w:pPr>
              <w:numPr>
                <w:ilvl w:val="0"/>
                <w:numId w:val="10"/>
              </w:numPr>
              <w:spacing w:after="160"/>
              <w:contextualSpacing/>
              <w:rPr>
                <w:rFonts w:ascii="Arial" w:eastAsia="Yu Mincho" w:hAnsi="Arial" w:cs="Arial"/>
                <w:color w:val="000000"/>
                <w:kern w:val="2"/>
                <w:lang w:eastAsia="ja-JP"/>
              </w:rPr>
            </w:pPr>
            <w:r w:rsidRPr="00630082">
              <w:rPr>
                <w:rFonts w:ascii="Arial" w:hAnsi="Arial" w:cs="Arial"/>
              </w:rPr>
              <w:t>Using mobile payments makes it easier to carry out transactions</w:t>
            </w:r>
          </w:p>
        </w:tc>
        <w:tc>
          <w:tcPr>
            <w:tcW w:w="598" w:type="pct"/>
            <w:noWrap/>
            <w:hideMark/>
          </w:tcPr>
          <w:p w14:paraId="2AEF74A2" w14:textId="15F16CB4"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4.24</w:t>
            </w:r>
          </w:p>
        </w:tc>
        <w:tc>
          <w:tcPr>
            <w:tcW w:w="598" w:type="pct"/>
            <w:noWrap/>
            <w:hideMark/>
          </w:tcPr>
          <w:p w14:paraId="3F5A2333" w14:textId="690FF6CF"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0.71</w:t>
            </w:r>
          </w:p>
        </w:tc>
        <w:tc>
          <w:tcPr>
            <w:tcW w:w="814" w:type="pct"/>
            <w:noWrap/>
            <w:hideMark/>
          </w:tcPr>
          <w:p w14:paraId="000525C9" w14:textId="509433E5"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Very High</w:t>
            </w:r>
          </w:p>
        </w:tc>
      </w:tr>
      <w:tr w:rsidR="00EE5273" w:rsidRPr="00630082" w14:paraId="6AD173CF" w14:textId="77777777" w:rsidTr="004C0E88">
        <w:trPr>
          <w:trHeight w:val="20"/>
        </w:trPr>
        <w:tc>
          <w:tcPr>
            <w:tcW w:w="2990" w:type="pct"/>
            <w:tcBorders>
              <w:top w:val="nil"/>
              <w:left w:val="nil"/>
              <w:right w:val="nil"/>
            </w:tcBorders>
            <w:hideMark/>
          </w:tcPr>
          <w:p w14:paraId="403DD06C" w14:textId="37114905" w:rsidR="00EE5273" w:rsidRPr="00630082" w:rsidRDefault="00EE5273">
            <w:pPr>
              <w:numPr>
                <w:ilvl w:val="0"/>
                <w:numId w:val="10"/>
              </w:numPr>
              <w:spacing w:after="160"/>
              <w:contextualSpacing/>
              <w:rPr>
                <w:rFonts w:ascii="Arial" w:eastAsia="Yu Mincho" w:hAnsi="Arial" w:cs="Arial"/>
                <w:color w:val="000000"/>
                <w:kern w:val="2"/>
                <w:lang w:eastAsia="ja-JP"/>
              </w:rPr>
            </w:pPr>
            <w:r w:rsidRPr="00630082">
              <w:rPr>
                <w:rFonts w:ascii="Arial" w:hAnsi="Arial" w:cs="Arial"/>
              </w:rPr>
              <w:t>Will find a useful mobile payment to pay for services</w:t>
            </w:r>
          </w:p>
        </w:tc>
        <w:tc>
          <w:tcPr>
            <w:tcW w:w="598" w:type="pct"/>
            <w:noWrap/>
            <w:hideMark/>
          </w:tcPr>
          <w:p w14:paraId="1E719A20" w14:textId="66A36E79"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4.21</w:t>
            </w:r>
          </w:p>
        </w:tc>
        <w:tc>
          <w:tcPr>
            <w:tcW w:w="598" w:type="pct"/>
            <w:noWrap/>
            <w:hideMark/>
          </w:tcPr>
          <w:p w14:paraId="07327DC4" w14:textId="6326E363"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0.73</w:t>
            </w:r>
          </w:p>
        </w:tc>
        <w:tc>
          <w:tcPr>
            <w:tcW w:w="814" w:type="pct"/>
            <w:noWrap/>
            <w:hideMark/>
          </w:tcPr>
          <w:p w14:paraId="370F8E43" w14:textId="7DF44BC1" w:rsidR="00EE5273" w:rsidRPr="00630082" w:rsidRDefault="00EE5273" w:rsidP="00EE5273">
            <w:pPr>
              <w:jc w:val="center"/>
              <w:rPr>
                <w:rFonts w:ascii="Arial" w:eastAsia="Yu Mincho" w:hAnsi="Arial" w:cs="Arial"/>
                <w:color w:val="000000"/>
                <w:kern w:val="2"/>
                <w:lang w:eastAsia="ja-JP"/>
              </w:rPr>
            </w:pPr>
            <w:r w:rsidRPr="00630082">
              <w:rPr>
                <w:rFonts w:ascii="Arial" w:hAnsi="Arial" w:cs="Arial"/>
              </w:rPr>
              <w:t>Very High</w:t>
            </w:r>
          </w:p>
        </w:tc>
      </w:tr>
      <w:tr w:rsidR="00EE5273" w:rsidRPr="00630082" w14:paraId="4BC7D9EA" w14:textId="77777777" w:rsidTr="004C0E88">
        <w:trPr>
          <w:trHeight w:val="20"/>
        </w:trPr>
        <w:tc>
          <w:tcPr>
            <w:tcW w:w="2990" w:type="pct"/>
            <w:tcBorders>
              <w:top w:val="nil"/>
              <w:left w:val="nil"/>
              <w:bottom w:val="single" w:sz="4" w:space="0" w:color="auto"/>
              <w:right w:val="nil"/>
            </w:tcBorders>
          </w:tcPr>
          <w:p w14:paraId="0054B361" w14:textId="77777777" w:rsidR="00EE5273" w:rsidRPr="00630082" w:rsidRDefault="00EE5273" w:rsidP="00C56124">
            <w:pPr>
              <w:spacing w:after="160"/>
              <w:contextualSpacing/>
              <w:jc w:val="center"/>
              <w:rPr>
                <w:rFonts w:ascii="Arial" w:eastAsia="Yu Mincho" w:hAnsi="Arial" w:cs="Arial"/>
                <w:b/>
                <w:bCs/>
                <w:color w:val="000000"/>
                <w:kern w:val="2"/>
                <w:lang w:eastAsia="ja-JP"/>
              </w:rPr>
            </w:pPr>
            <w:r w:rsidRPr="00630082">
              <w:rPr>
                <w:rFonts w:ascii="Arial" w:hAnsi="Arial" w:cs="Arial"/>
                <w:b/>
                <w:bCs/>
              </w:rPr>
              <w:t>Average</w:t>
            </w:r>
          </w:p>
        </w:tc>
        <w:tc>
          <w:tcPr>
            <w:tcW w:w="598" w:type="pct"/>
            <w:tcBorders>
              <w:bottom w:val="single" w:sz="4" w:space="0" w:color="auto"/>
            </w:tcBorders>
            <w:noWrap/>
          </w:tcPr>
          <w:p w14:paraId="4C72485C" w14:textId="27B7C105" w:rsidR="00EE5273" w:rsidRPr="00630082" w:rsidRDefault="00EE5273" w:rsidP="00C56124">
            <w:pPr>
              <w:jc w:val="center"/>
              <w:rPr>
                <w:rFonts w:ascii="Arial" w:eastAsia="Yu Mincho" w:hAnsi="Arial" w:cs="Arial"/>
                <w:b/>
                <w:bCs/>
                <w:color w:val="000000"/>
                <w:kern w:val="2"/>
                <w:lang w:eastAsia="ja-JP"/>
              </w:rPr>
            </w:pPr>
            <w:r w:rsidRPr="00630082">
              <w:rPr>
                <w:rFonts w:ascii="Arial" w:eastAsia="Yu Mincho" w:hAnsi="Arial" w:cs="Arial"/>
                <w:b/>
                <w:bCs/>
                <w:color w:val="000000"/>
                <w:kern w:val="2"/>
                <w:lang w:eastAsia="ja-JP"/>
              </w:rPr>
              <w:t>4.23</w:t>
            </w:r>
          </w:p>
        </w:tc>
        <w:tc>
          <w:tcPr>
            <w:tcW w:w="598" w:type="pct"/>
            <w:tcBorders>
              <w:bottom w:val="single" w:sz="4" w:space="0" w:color="auto"/>
            </w:tcBorders>
            <w:noWrap/>
          </w:tcPr>
          <w:p w14:paraId="574ECD22" w14:textId="267940AD" w:rsidR="00EE5273" w:rsidRPr="00630082" w:rsidRDefault="00EE5273" w:rsidP="00C56124">
            <w:pPr>
              <w:jc w:val="center"/>
              <w:rPr>
                <w:rFonts w:ascii="Arial" w:eastAsia="Yu Mincho" w:hAnsi="Arial" w:cs="Arial"/>
                <w:b/>
                <w:bCs/>
                <w:color w:val="000000"/>
                <w:kern w:val="2"/>
                <w:lang w:eastAsia="ja-JP"/>
              </w:rPr>
            </w:pPr>
            <w:r w:rsidRPr="00630082">
              <w:rPr>
                <w:rFonts w:ascii="Arial" w:hAnsi="Arial" w:cs="Arial"/>
                <w:b/>
                <w:bCs/>
              </w:rPr>
              <w:t>0.62</w:t>
            </w:r>
          </w:p>
        </w:tc>
        <w:tc>
          <w:tcPr>
            <w:tcW w:w="814" w:type="pct"/>
            <w:tcBorders>
              <w:bottom w:val="single" w:sz="4" w:space="0" w:color="auto"/>
            </w:tcBorders>
            <w:noWrap/>
          </w:tcPr>
          <w:p w14:paraId="0520862B" w14:textId="61109349" w:rsidR="00EE5273" w:rsidRPr="00630082" w:rsidRDefault="00EE5273" w:rsidP="00C56124">
            <w:pPr>
              <w:jc w:val="center"/>
              <w:rPr>
                <w:rFonts w:ascii="Arial" w:eastAsia="Yu Mincho" w:hAnsi="Arial" w:cs="Arial"/>
                <w:b/>
                <w:bCs/>
                <w:color w:val="000000"/>
                <w:kern w:val="2"/>
                <w:lang w:eastAsia="ja-JP"/>
              </w:rPr>
            </w:pPr>
            <w:r w:rsidRPr="00630082">
              <w:rPr>
                <w:rFonts w:ascii="Arial" w:hAnsi="Arial" w:cs="Arial"/>
                <w:b/>
                <w:bCs/>
              </w:rPr>
              <w:t>Very High</w:t>
            </w:r>
          </w:p>
        </w:tc>
      </w:tr>
    </w:tbl>
    <w:p w14:paraId="25773BB9" w14:textId="77777777" w:rsidR="00080CA4" w:rsidRDefault="00080CA4" w:rsidP="00AB00E6">
      <w:pPr>
        <w:pStyle w:val="Body"/>
        <w:spacing w:after="0"/>
        <w:rPr>
          <w:rFonts w:ascii="Arial" w:hAnsi="Arial" w:cs="Arial"/>
          <w:b/>
          <w:sz w:val="22"/>
        </w:rPr>
      </w:pPr>
    </w:p>
    <w:p w14:paraId="15846E05" w14:textId="313FAA9A" w:rsidR="00D16330" w:rsidRDefault="00D16330" w:rsidP="00AB00E6">
      <w:pPr>
        <w:pStyle w:val="Body"/>
        <w:spacing w:after="0"/>
        <w:rPr>
          <w:rFonts w:ascii="Arial" w:hAnsi="Arial" w:cs="Arial"/>
          <w:b/>
          <w:sz w:val="22"/>
        </w:rPr>
      </w:pPr>
      <w:r w:rsidRPr="00D16330">
        <w:rPr>
          <w:rFonts w:ascii="Arial" w:hAnsi="Arial" w:cs="Arial"/>
          <w:b/>
          <w:sz w:val="22"/>
        </w:rPr>
        <w:t>3.</w:t>
      </w:r>
      <w:r>
        <w:rPr>
          <w:rFonts w:ascii="Arial" w:hAnsi="Arial" w:cs="Arial"/>
          <w:b/>
          <w:sz w:val="22"/>
        </w:rPr>
        <w:t>3</w:t>
      </w:r>
      <w:r w:rsidRPr="00D16330">
        <w:rPr>
          <w:rFonts w:ascii="Arial" w:hAnsi="Arial" w:cs="Arial"/>
          <w:b/>
          <w:sz w:val="22"/>
        </w:rPr>
        <w:t xml:space="preserve"> Relationship Between the Factors Influencing the Intention to Use Mobile Payment Services and the Overall Intention to Adopt MPS in Población, </w:t>
      </w:r>
      <w:proofErr w:type="spellStart"/>
      <w:r w:rsidRPr="00D16330">
        <w:rPr>
          <w:rFonts w:ascii="Arial" w:hAnsi="Arial" w:cs="Arial"/>
          <w:b/>
          <w:sz w:val="22"/>
        </w:rPr>
        <w:t>Cateel</w:t>
      </w:r>
      <w:proofErr w:type="spellEnd"/>
      <w:r w:rsidRPr="00D16330">
        <w:rPr>
          <w:rFonts w:ascii="Arial" w:hAnsi="Arial" w:cs="Arial"/>
          <w:b/>
          <w:sz w:val="22"/>
        </w:rPr>
        <w:t>, Davao Oriental</w:t>
      </w:r>
    </w:p>
    <w:p w14:paraId="5A5E8A72" w14:textId="77777777" w:rsidR="00D16330" w:rsidRDefault="00D16330" w:rsidP="00AB00E6">
      <w:pPr>
        <w:pStyle w:val="Body"/>
        <w:spacing w:after="0"/>
        <w:rPr>
          <w:rFonts w:ascii="Arial" w:hAnsi="Arial" w:cs="Arial"/>
          <w:b/>
          <w:sz w:val="22"/>
        </w:rPr>
      </w:pPr>
    </w:p>
    <w:p w14:paraId="657C13DF" w14:textId="4E9BB3A3" w:rsidR="003607F0" w:rsidRPr="00630082" w:rsidRDefault="003607F0" w:rsidP="003607F0">
      <w:pPr>
        <w:pStyle w:val="Body"/>
        <w:rPr>
          <w:rFonts w:ascii="Arial" w:hAnsi="Arial" w:cs="Arial"/>
          <w:bCs/>
          <w:szCs w:val="18"/>
        </w:rPr>
      </w:pPr>
      <w:r w:rsidRPr="00630082">
        <w:rPr>
          <w:rFonts w:ascii="Arial" w:hAnsi="Arial" w:cs="Arial"/>
          <w:bCs/>
          <w:szCs w:val="18"/>
        </w:rPr>
        <w:t xml:space="preserve">The results indicate that several factors have a significant influence on the intention to use mobile payment services (MPS) in </w:t>
      </w:r>
      <w:proofErr w:type="spellStart"/>
      <w:r w:rsidRPr="00630082">
        <w:rPr>
          <w:rFonts w:ascii="Arial" w:hAnsi="Arial" w:cs="Arial"/>
          <w:bCs/>
          <w:szCs w:val="18"/>
        </w:rPr>
        <w:t>Poblacion</w:t>
      </w:r>
      <w:proofErr w:type="spellEnd"/>
      <w:r w:rsidRPr="00630082">
        <w:rPr>
          <w:rFonts w:ascii="Arial" w:hAnsi="Arial" w:cs="Arial"/>
          <w:bCs/>
          <w:szCs w:val="18"/>
        </w:rPr>
        <w:t xml:space="preserve">, </w:t>
      </w:r>
      <w:proofErr w:type="spellStart"/>
      <w:r w:rsidRPr="00630082">
        <w:rPr>
          <w:rFonts w:ascii="Arial" w:hAnsi="Arial" w:cs="Arial"/>
          <w:bCs/>
          <w:szCs w:val="18"/>
        </w:rPr>
        <w:t>Cateel</w:t>
      </w:r>
      <w:proofErr w:type="spellEnd"/>
      <w:r w:rsidRPr="00630082">
        <w:rPr>
          <w:rFonts w:ascii="Arial" w:hAnsi="Arial" w:cs="Arial"/>
          <w:bCs/>
          <w:szCs w:val="18"/>
        </w:rPr>
        <w:t xml:space="preserve">, Davao Oriental. Convenience and mobility, compatibility, mobile payment knowledge, and perceived usefulness all show moderate and significant relationships with adoption intention, with mobile payment knowledge emerging as the strongest predictor. These findings suggest that users are more inclined to adopt MPS when they understand how the technology works, perceive it as useful, and find it convenient and compatible with their existing habits. In contrast, ease of use shows </w:t>
      </w:r>
      <w:r w:rsidRPr="00630082">
        <w:rPr>
          <w:rFonts w:ascii="Arial" w:hAnsi="Arial" w:cs="Arial"/>
          <w:bCs/>
          <w:szCs w:val="18"/>
        </w:rPr>
        <w:lastRenderedPageBreak/>
        <w:t>only a weak but significant relationship, while trust in the safe use of MPS has a negligible and non-significant relationship, indicating that safety concerns may not strongly affect adoption decisions in this context.</w:t>
      </w:r>
    </w:p>
    <w:p w14:paraId="31AC72DA" w14:textId="64133AFC" w:rsidR="00D16330" w:rsidRPr="00630082" w:rsidRDefault="003607F0" w:rsidP="003607F0">
      <w:pPr>
        <w:pStyle w:val="Body"/>
        <w:spacing w:after="0"/>
        <w:rPr>
          <w:rFonts w:ascii="Arial" w:hAnsi="Arial" w:cs="Arial"/>
          <w:bCs/>
          <w:szCs w:val="18"/>
        </w:rPr>
      </w:pPr>
      <w:r w:rsidRPr="00630082">
        <w:rPr>
          <w:rFonts w:ascii="Arial" w:hAnsi="Arial" w:cs="Arial"/>
          <w:bCs/>
          <w:szCs w:val="18"/>
        </w:rPr>
        <w:t xml:space="preserve">These results are generally consistent with prior studies emphasizing the role of perceived ease of use and usefulness in technology adoption (Cao et al., 2016; Shankar &amp; Datta, 2018). The moderate influence of convenience mobility and usefulness aligns with earlier findings that users value the speed, accessibility, and efficiency offered by mobile payment systems. However, the negligible effect of trust contrasts with previous research that identifies trust as a critical determinant of adoption (Cao et al., 2016; Shankar &amp; Datta, 2018), suggesting that its importance may vary across locations and user demographics. Additionally, the significant role of compatibility supports the findings of </w:t>
      </w:r>
      <w:proofErr w:type="spellStart"/>
      <w:r w:rsidRPr="00630082">
        <w:rPr>
          <w:rFonts w:ascii="Arial" w:hAnsi="Arial" w:cs="Arial"/>
          <w:bCs/>
          <w:szCs w:val="18"/>
        </w:rPr>
        <w:t>Phonthanukitithaworn</w:t>
      </w:r>
      <w:proofErr w:type="spellEnd"/>
      <w:r w:rsidRPr="00630082">
        <w:rPr>
          <w:rFonts w:ascii="Arial" w:hAnsi="Arial" w:cs="Arial"/>
          <w:bCs/>
          <w:szCs w:val="18"/>
        </w:rPr>
        <w:t xml:space="preserve"> et al. (2016), who emphasized the need for mobile payment services to align with users’ lifestyles and existing technologies. Overall, the study underscores the importance of focusing on usability, perceived benefits, and system compatibility to enhance MPS adoption, particularly in developing regions (Chen &amp; Li, 2017; Pal et al., 2020).</w:t>
      </w:r>
    </w:p>
    <w:p w14:paraId="4FA4586F" w14:textId="77777777" w:rsidR="00D16330" w:rsidRDefault="00D16330" w:rsidP="00AB00E6">
      <w:pPr>
        <w:pStyle w:val="Body"/>
        <w:spacing w:after="0"/>
        <w:rPr>
          <w:rFonts w:ascii="Arial" w:hAnsi="Arial" w:cs="Arial"/>
          <w:b/>
          <w:sz w:val="22"/>
        </w:rPr>
      </w:pPr>
    </w:p>
    <w:p w14:paraId="1DA60F47" w14:textId="182E4B6B" w:rsidR="004F241A" w:rsidRPr="00630082" w:rsidRDefault="004F241A" w:rsidP="003607F0">
      <w:pPr>
        <w:tabs>
          <w:tab w:val="left" w:pos="1080"/>
        </w:tabs>
        <w:jc w:val="both"/>
        <w:rPr>
          <w:rFonts w:ascii="Arial" w:hAnsi="Arial"/>
          <w:b/>
          <w:color w:val="000000" w:themeColor="text1"/>
        </w:rPr>
      </w:pPr>
      <w:r w:rsidRPr="00630082">
        <w:rPr>
          <w:rFonts w:ascii="Arial" w:hAnsi="Arial"/>
          <w:b/>
        </w:rPr>
        <w:t xml:space="preserve">Table </w:t>
      </w:r>
      <w:r w:rsidR="004C4C0F" w:rsidRPr="00630082">
        <w:rPr>
          <w:rFonts w:ascii="Arial" w:hAnsi="Arial"/>
          <w:b/>
        </w:rPr>
        <w:t>8</w:t>
      </w:r>
      <w:r w:rsidRPr="00630082">
        <w:rPr>
          <w:rFonts w:ascii="Arial" w:hAnsi="Arial"/>
          <w:b/>
        </w:rPr>
        <w:t>.</w:t>
      </w:r>
      <w:r w:rsidRPr="00630082">
        <w:rPr>
          <w:rFonts w:ascii="Arial" w:hAnsi="Arial"/>
          <w:b/>
        </w:rPr>
        <w:tab/>
      </w:r>
      <w:r w:rsidR="003607F0" w:rsidRPr="00630082">
        <w:rPr>
          <w:rFonts w:ascii="Arial" w:hAnsi="Arial"/>
          <w:b/>
          <w:color w:val="000000" w:themeColor="text1"/>
        </w:rPr>
        <w:t>Correlation between the factors influencing the intention to use mobile payment services and the overall intention to adopt MPS</w:t>
      </w:r>
    </w:p>
    <w:p w14:paraId="7FBAC9EB" w14:textId="77777777" w:rsidR="004F241A" w:rsidRPr="00630082" w:rsidRDefault="004F241A" w:rsidP="004F241A">
      <w:pPr>
        <w:tabs>
          <w:tab w:val="left" w:pos="1080"/>
        </w:tabs>
        <w:jc w:val="both"/>
        <w:rPr>
          <w:rFonts w:ascii="Arial" w:hAnsi="Arial"/>
          <w:b/>
          <w:color w:val="000000" w:themeColor="text1"/>
          <w:sz w:val="18"/>
          <w:szCs w:val="18"/>
        </w:rPr>
      </w:pPr>
    </w:p>
    <w:tbl>
      <w:tblPr>
        <w:tblW w:w="5000" w:type="pct"/>
        <w:tblBorders>
          <w:bottom w:val="single" w:sz="4" w:space="0" w:color="auto"/>
          <w:insideH w:val="single" w:sz="4" w:space="0" w:color="auto"/>
        </w:tblBorders>
        <w:tblLook w:val="04A0" w:firstRow="1" w:lastRow="0" w:firstColumn="1" w:lastColumn="0" w:noHBand="0" w:noVBand="1"/>
      </w:tblPr>
      <w:tblGrid>
        <w:gridCol w:w="1523"/>
        <w:gridCol w:w="2246"/>
        <w:gridCol w:w="1728"/>
        <w:gridCol w:w="2711"/>
      </w:tblGrid>
      <w:tr w:rsidR="009B0884" w:rsidRPr="009B0884" w14:paraId="7FA1BF48" w14:textId="77777777" w:rsidTr="009B0884">
        <w:trPr>
          <w:trHeight w:val="300"/>
        </w:trPr>
        <w:tc>
          <w:tcPr>
            <w:tcW w:w="2299" w:type="pct"/>
            <w:gridSpan w:val="2"/>
            <w:tcBorders>
              <w:top w:val="single" w:sz="4" w:space="0" w:color="auto"/>
            </w:tcBorders>
            <w:noWrap/>
            <w:vAlign w:val="center"/>
            <w:hideMark/>
          </w:tcPr>
          <w:p w14:paraId="123EC470" w14:textId="77777777" w:rsidR="009B0884" w:rsidRPr="009B0884" w:rsidRDefault="009B0884" w:rsidP="009B0884">
            <w:pPr>
              <w:jc w:val="center"/>
              <w:rPr>
                <w:rFonts w:ascii="Arial" w:hAnsi="Arial" w:cs="Arial"/>
                <w:b/>
                <w:bCs/>
                <w:color w:val="000000"/>
                <w:lang w:val="en-PH" w:eastAsia="ja-JP"/>
              </w:rPr>
            </w:pPr>
            <w:bookmarkStart w:id="6" w:name="_Hlk215829008"/>
            <w:r w:rsidRPr="009B0884">
              <w:rPr>
                <w:rFonts w:ascii="Arial" w:hAnsi="Arial" w:cs="Arial"/>
                <w:b/>
                <w:bCs/>
                <w:color w:val="000000"/>
                <w:lang w:val="en-PH" w:eastAsia="ja-JP"/>
              </w:rPr>
              <w:t>Factors</w:t>
            </w:r>
          </w:p>
        </w:tc>
        <w:tc>
          <w:tcPr>
            <w:tcW w:w="1047" w:type="pct"/>
            <w:tcBorders>
              <w:top w:val="single" w:sz="4" w:space="0" w:color="auto"/>
            </w:tcBorders>
            <w:noWrap/>
            <w:vAlign w:val="center"/>
            <w:hideMark/>
          </w:tcPr>
          <w:p w14:paraId="0D02AB12" w14:textId="77777777" w:rsidR="009B0884" w:rsidRPr="009B0884" w:rsidRDefault="009B0884" w:rsidP="009B0884">
            <w:pPr>
              <w:jc w:val="center"/>
              <w:rPr>
                <w:rFonts w:ascii="Arial" w:hAnsi="Arial" w:cs="Arial"/>
                <w:b/>
                <w:bCs/>
                <w:color w:val="000000"/>
                <w:lang w:val="en-PH" w:eastAsia="ja-JP"/>
              </w:rPr>
            </w:pPr>
            <w:r w:rsidRPr="009B0884">
              <w:rPr>
                <w:rFonts w:ascii="Arial" w:hAnsi="Arial" w:cs="Arial"/>
                <w:b/>
                <w:bCs/>
                <w:color w:val="000000"/>
                <w:lang w:val="en-PH" w:eastAsia="ja-JP"/>
              </w:rPr>
              <w:t>Intention to Use</w:t>
            </w:r>
          </w:p>
        </w:tc>
        <w:tc>
          <w:tcPr>
            <w:tcW w:w="1654" w:type="pct"/>
            <w:tcBorders>
              <w:top w:val="single" w:sz="4" w:space="0" w:color="auto"/>
            </w:tcBorders>
            <w:noWrap/>
            <w:vAlign w:val="center"/>
            <w:hideMark/>
          </w:tcPr>
          <w:p w14:paraId="3A6995B9" w14:textId="77777777" w:rsidR="009B0884" w:rsidRPr="009B0884" w:rsidRDefault="009B0884" w:rsidP="009B0884">
            <w:pPr>
              <w:jc w:val="center"/>
              <w:rPr>
                <w:rFonts w:ascii="Arial" w:hAnsi="Arial" w:cs="Arial"/>
                <w:b/>
                <w:bCs/>
                <w:color w:val="000000"/>
                <w:lang w:val="en-PH" w:eastAsia="ja-JP"/>
              </w:rPr>
            </w:pPr>
            <w:r w:rsidRPr="009B0884">
              <w:rPr>
                <w:rFonts w:ascii="Arial" w:hAnsi="Arial" w:cs="Arial"/>
                <w:b/>
                <w:bCs/>
                <w:color w:val="000000"/>
                <w:lang w:val="en-PH" w:eastAsia="ja-JP"/>
              </w:rPr>
              <w:t>Degree of Relationship</w:t>
            </w:r>
          </w:p>
        </w:tc>
      </w:tr>
      <w:tr w:rsidR="009B0884" w:rsidRPr="009B0884" w14:paraId="0CA211F9" w14:textId="77777777" w:rsidTr="009B0884">
        <w:trPr>
          <w:trHeight w:val="285"/>
        </w:trPr>
        <w:tc>
          <w:tcPr>
            <w:tcW w:w="930" w:type="pct"/>
            <w:vMerge w:val="restart"/>
            <w:vAlign w:val="center"/>
            <w:hideMark/>
          </w:tcPr>
          <w:p w14:paraId="7B342EA1"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Convenience Mobility</w:t>
            </w:r>
          </w:p>
        </w:tc>
        <w:tc>
          <w:tcPr>
            <w:tcW w:w="1370" w:type="pct"/>
            <w:noWrap/>
            <w:vAlign w:val="center"/>
            <w:hideMark/>
          </w:tcPr>
          <w:p w14:paraId="1BEDD1E6"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0D9A1E54"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0.607</w:t>
            </w:r>
          </w:p>
        </w:tc>
        <w:tc>
          <w:tcPr>
            <w:tcW w:w="1654" w:type="pct"/>
            <w:vMerge w:val="restart"/>
            <w:vAlign w:val="center"/>
            <w:hideMark/>
          </w:tcPr>
          <w:p w14:paraId="6C8A31B6"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moderate relationship</w:t>
            </w:r>
          </w:p>
        </w:tc>
      </w:tr>
      <w:tr w:rsidR="009B0884" w:rsidRPr="009B0884" w14:paraId="78C432F8" w14:textId="77777777" w:rsidTr="009B0884">
        <w:trPr>
          <w:trHeight w:val="285"/>
        </w:trPr>
        <w:tc>
          <w:tcPr>
            <w:tcW w:w="930" w:type="pct"/>
            <w:vMerge/>
            <w:vAlign w:val="center"/>
            <w:hideMark/>
          </w:tcPr>
          <w:p w14:paraId="409844DD"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2C96B019"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2BEE7272"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75A93E33" w14:textId="77777777" w:rsidR="009B0884" w:rsidRPr="009B0884" w:rsidRDefault="009B0884" w:rsidP="009B0884">
            <w:pPr>
              <w:rPr>
                <w:rFonts w:ascii="Arial" w:hAnsi="Arial" w:cs="Arial"/>
                <w:color w:val="000000"/>
                <w:lang w:val="en-PH" w:eastAsia="ja-JP"/>
              </w:rPr>
            </w:pPr>
          </w:p>
        </w:tc>
      </w:tr>
      <w:tr w:rsidR="009B0884" w:rsidRPr="009B0884" w14:paraId="6650BF67" w14:textId="77777777" w:rsidTr="009B0884">
        <w:trPr>
          <w:trHeight w:val="285"/>
        </w:trPr>
        <w:tc>
          <w:tcPr>
            <w:tcW w:w="930" w:type="pct"/>
            <w:vMerge w:val="restart"/>
            <w:vAlign w:val="center"/>
            <w:hideMark/>
          </w:tcPr>
          <w:p w14:paraId="19E44B75"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Compatibility</w:t>
            </w:r>
          </w:p>
        </w:tc>
        <w:tc>
          <w:tcPr>
            <w:tcW w:w="1370" w:type="pct"/>
            <w:noWrap/>
            <w:vAlign w:val="center"/>
            <w:hideMark/>
          </w:tcPr>
          <w:p w14:paraId="662F889D"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4898E951"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0.559</w:t>
            </w:r>
          </w:p>
        </w:tc>
        <w:tc>
          <w:tcPr>
            <w:tcW w:w="1654" w:type="pct"/>
            <w:vMerge w:val="restart"/>
            <w:vAlign w:val="center"/>
            <w:hideMark/>
          </w:tcPr>
          <w:p w14:paraId="2D3BB30D"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moderate relationship</w:t>
            </w:r>
          </w:p>
        </w:tc>
      </w:tr>
      <w:tr w:rsidR="009B0884" w:rsidRPr="009B0884" w14:paraId="39F9437C" w14:textId="77777777" w:rsidTr="009B0884">
        <w:trPr>
          <w:trHeight w:val="285"/>
        </w:trPr>
        <w:tc>
          <w:tcPr>
            <w:tcW w:w="930" w:type="pct"/>
            <w:vMerge/>
            <w:vAlign w:val="center"/>
            <w:hideMark/>
          </w:tcPr>
          <w:p w14:paraId="42CBCFC6"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1FEEB45A"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238996DF"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706DA8FF" w14:textId="77777777" w:rsidR="009B0884" w:rsidRPr="009B0884" w:rsidRDefault="009B0884" w:rsidP="009B0884">
            <w:pPr>
              <w:rPr>
                <w:rFonts w:ascii="Arial" w:hAnsi="Arial" w:cs="Arial"/>
                <w:color w:val="000000"/>
                <w:lang w:val="en-PH" w:eastAsia="ja-JP"/>
              </w:rPr>
            </w:pPr>
          </w:p>
        </w:tc>
      </w:tr>
      <w:tr w:rsidR="009B0884" w:rsidRPr="009B0884" w14:paraId="6FC8119D" w14:textId="77777777" w:rsidTr="009B0884">
        <w:trPr>
          <w:trHeight w:val="285"/>
        </w:trPr>
        <w:tc>
          <w:tcPr>
            <w:tcW w:w="930" w:type="pct"/>
            <w:vMerge w:val="restart"/>
            <w:vAlign w:val="center"/>
            <w:hideMark/>
          </w:tcPr>
          <w:p w14:paraId="2A9EC7D6"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Mobile Payment Knowledge</w:t>
            </w:r>
          </w:p>
        </w:tc>
        <w:tc>
          <w:tcPr>
            <w:tcW w:w="1370" w:type="pct"/>
            <w:noWrap/>
            <w:vAlign w:val="center"/>
            <w:hideMark/>
          </w:tcPr>
          <w:p w14:paraId="286523C7"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4B1A4443"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0.643</w:t>
            </w:r>
          </w:p>
        </w:tc>
        <w:tc>
          <w:tcPr>
            <w:tcW w:w="1654" w:type="pct"/>
            <w:vMerge w:val="restart"/>
            <w:vAlign w:val="center"/>
            <w:hideMark/>
          </w:tcPr>
          <w:p w14:paraId="49B9964E"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moderate relationship</w:t>
            </w:r>
          </w:p>
        </w:tc>
      </w:tr>
      <w:tr w:rsidR="009B0884" w:rsidRPr="009B0884" w14:paraId="5D7780E0" w14:textId="77777777" w:rsidTr="009B0884">
        <w:trPr>
          <w:trHeight w:val="285"/>
        </w:trPr>
        <w:tc>
          <w:tcPr>
            <w:tcW w:w="930" w:type="pct"/>
            <w:vMerge/>
            <w:vAlign w:val="center"/>
            <w:hideMark/>
          </w:tcPr>
          <w:p w14:paraId="6958A7B9"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09274F6F"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441F0607"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753716ED" w14:textId="77777777" w:rsidR="009B0884" w:rsidRPr="009B0884" w:rsidRDefault="009B0884" w:rsidP="009B0884">
            <w:pPr>
              <w:rPr>
                <w:rFonts w:ascii="Arial" w:hAnsi="Arial" w:cs="Arial"/>
                <w:color w:val="000000"/>
                <w:lang w:val="en-PH" w:eastAsia="ja-JP"/>
              </w:rPr>
            </w:pPr>
          </w:p>
        </w:tc>
      </w:tr>
      <w:tr w:rsidR="009B0884" w:rsidRPr="009B0884" w14:paraId="66720AF0" w14:textId="77777777" w:rsidTr="009B0884">
        <w:trPr>
          <w:trHeight w:val="285"/>
        </w:trPr>
        <w:tc>
          <w:tcPr>
            <w:tcW w:w="930" w:type="pct"/>
            <w:vMerge w:val="restart"/>
            <w:vAlign w:val="center"/>
            <w:hideMark/>
          </w:tcPr>
          <w:p w14:paraId="4C97F81A"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Ease of Use</w:t>
            </w:r>
          </w:p>
        </w:tc>
        <w:tc>
          <w:tcPr>
            <w:tcW w:w="1370" w:type="pct"/>
            <w:noWrap/>
            <w:vAlign w:val="center"/>
            <w:hideMark/>
          </w:tcPr>
          <w:p w14:paraId="7D15D868"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4A1BFB40"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0.222</w:t>
            </w:r>
          </w:p>
        </w:tc>
        <w:tc>
          <w:tcPr>
            <w:tcW w:w="1654" w:type="pct"/>
            <w:vMerge w:val="restart"/>
            <w:vAlign w:val="center"/>
            <w:hideMark/>
          </w:tcPr>
          <w:p w14:paraId="2E82AEA0"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weak relationship</w:t>
            </w:r>
          </w:p>
        </w:tc>
      </w:tr>
      <w:tr w:rsidR="009B0884" w:rsidRPr="009B0884" w14:paraId="1E53F875" w14:textId="77777777" w:rsidTr="009B0884">
        <w:trPr>
          <w:trHeight w:val="285"/>
        </w:trPr>
        <w:tc>
          <w:tcPr>
            <w:tcW w:w="930" w:type="pct"/>
            <w:vMerge/>
            <w:vAlign w:val="center"/>
            <w:hideMark/>
          </w:tcPr>
          <w:p w14:paraId="401A78B9"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52961B63"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63A5780F"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5DFBC225" w14:textId="77777777" w:rsidR="009B0884" w:rsidRPr="009B0884" w:rsidRDefault="009B0884" w:rsidP="009B0884">
            <w:pPr>
              <w:rPr>
                <w:rFonts w:ascii="Arial" w:hAnsi="Arial" w:cs="Arial"/>
                <w:color w:val="000000"/>
                <w:lang w:val="en-PH" w:eastAsia="ja-JP"/>
              </w:rPr>
            </w:pPr>
          </w:p>
        </w:tc>
      </w:tr>
      <w:tr w:rsidR="009B0884" w:rsidRPr="009B0884" w14:paraId="1A225B3A" w14:textId="77777777" w:rsidTr="009B0884">
        <w:trPr>
          <w:trHeight w:val="285"/>
        </w:trPr>
        <w:tc>
          <w:tcPr>
            <w:tcW w:w="930" w:type="pct"/>
            <w:vMerge w:val="restart"/>
            <w:vAlign w:val="center"/>
            <w:hideMark/>
          </w:tcPr>
          <w:p w14:paraId="166F7361"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Trust of Safe to Use</w:t>
            </w:r>
          </w:p>
        </w:tc>
        <w:tc>
          <w:tcPr>
            <w:tcW w:w="1370" w:type="pct"/>
            <w:noWrap/>
            <w:vAlign w:val="center"/>
            <w:hideMark/>
          </w:tcPr>
          <w:p w14:paraId="4CA9FFAB"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30C21C23"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-0.030</w:t>
            </w:r>
          </w:p>
        </w:tc>
        <w:tc>
          <w:tcPr>
            <w:tcW w:w="1654" w:type="pct"/>
            <w:vMerge w:val="restart"/>
            <w:vAlign w:val="center"/>
            <w:hideMark/>
          </w:tcPr>
          <w:p w14:paraId="21BE3C77"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Not significantly negligible relationship</w:t>
            </w:r>
          </w:p>
        </w:tc>
      </w:tr>
      <w:tr w:rsidR="009B0884" w:rsidRPr="009B0884" w14:paraId="6820096E" w14:textId="77777777" w:rsidTr="009B0884">
        <w:trPr>
          <w:trHeight w:val="285"/>
        </w:trPr>
        <w:tc>
          <w:tcPr>
            <w:tcW w:w="930" w:type="pct"/>
            <w:vMerge/>
            <w:vAlign w:val="center"/>
            <w:hideMark/>
          </w:tcPr>
          <w:p w14:paraId="33128A2D"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694BAC79"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17248CC7"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0.641</w:t>
            </w:r>
          </w:p>
        </w:tc>
        <w:tc>
          <w:tcPr>
            <w:tcW w:w="1654" w:type="pct"/>
            <w:vMerge/>
            <w:vAlign w:val="center"/>
            <w:hideMark/>
          </w:tcPr>
          <w:p w14:paraId="70397A91" w14:textId="77777777" w:rsidR="009B0884" w:rsidRPr="009B0884" w:rsidRDefault="009B0884" w:rsidP="009B0884">
            <w:pPr>
              <w:rPr>
                <w:rFonts w:ascii="Arial" w:hAnsi="Arial" w:cs="Arial"/>
                <w:color w:val="000000"/>
                <w:lang w:val="en-PH" w:eastAsia="ja-JP"/>
              </w:rPr>
            </w:pPr>
          </w:p>
        </w:tc>
      </w:tr>
      <w:tr w:rsidR="009B0884" w:rsidRPr="009B0884" w14:paraId="32AECEDA" w14:textId="77777777" w:rsidTr="009B0884">
        <w:trPr>
          <w:trHeight w:val="285"/>
        </w:trPr>
        <w:tc>
          <w:tcPr>
            <w:tcW w:w="930" w:type="pct"/>
            <w:vMerge w:val="restart"/>
            <w:vAlign w:val="center"/>
            <w:hideMark/>
          </w:tcPr>
          <w:p w14:paraId="3016AB6F"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Measuring Usefulness</w:t>
            </w:r>
          </w:p>
        </w:tc>
        <w:tc>
          <w:tcPr>
            <w:tcW w:w="1370" w:type="pct"/>
            <w:noWrap/>
            <w:vAlign w:val="center"/>
            <w:hideMark/>
          </w:tcPr>
          <w:p w14:paraId="70BB9F6E"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68E0448E"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0.630</w:t>
            </w:r>
          </w:p>
        </w:tc>
        <w:tc>
          <w:tcPr>
            <w:tcW w:w="1654" w:type="pct"/>
            <w:vMerge w:val="restart"/>
            <w:vAlign w:val="center"/>
            <w:hideMark/>
          </w:tcPr>
          <w:p w14:paraId="7EB2F6B1"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moderate relationship</w:t>
            </w:r>
          </w:p>
        </w:tc>
      </w:tr>
      <w:tr w:rsidR="009B0884" w:rsidRPr="009B0884" w14:paraId="781F3723" w14:textId="77777777" w:rsidTr="009B0884">
        <w:trPr>
          <w:trHeight w:val="285"/>
        </w:trPr>
        <w:tc>
          <w:tcPr>
            <w:tcW w:w="930" w:type="pct"/>
            <w:vMerge/>
            <w:vAlign w:val="center"/>
            <w:hideMark/>
          </w:tcPr>
          <w:p w14:paraId="7742400F"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43A06880"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7BD5C373"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52B80185" w14:textId="77777777" w:rsidR="009B0884" w:rsidRPr="009B0884" w:rsidRDefault="009B0884" w:rsidP="009B0884">
            <w:pPr>
              <w:rPr>
                <w:rFonts w:ascii="Arial" w:hAnsi="Arial" w:cs="Arial"/>
                <w:color w:val="000000"/>
                <w:lang w:val="en-PH" w:eastAsia="ja-JP"/>
              </w:rPr>
            </w:pPr>
          </w:p>
        </w:tc>
      </w:tr>
      <w:tr w:rsidR="009B0884" w:rsidRPr="009B0884" w14:paraId="412214FD" w14:textId="77777777" w:rsidTr="009B0884">
        <w:trPr>
          <w:trHeight w:val="285"/>
        </w:trPr>
        <w:tc>
          <w:tcPr>
            <w:tcW w:w="930" w:type="pct"/>
            <w:vMerge w:val="restart"/>
            <w:vAlign w:val="center"/>
            <w:hideMark/>
          </w:tcPr>
          <w:p w14:paraId="6093222A"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Overall</w:t>
            </w:r>
          </w:p>
        </w:tc>
        <w:tc>
          <w:tcPr>
            <w:tcW w:w="1370" w:type="pct"/>
            <w:noWrap/>
            <w:vAlign w:val="center"/>
            <w:hideMark/>
          </w:tcPr>
          <w:p w14:paraId="07928731"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Pearson Correlation</w:t>
            </w:r>
          </w:p>
        </w:tc>
        <w:tc>
          <w:tcPr>
            <w:tcW w:w="1047" w:type="pct"/>
            <w:noWrap/>
            <w:vAlign w:val="center"/>
            <w:hideMark/>
          </w:tcPr>
          <w:p w14:paraId="1B5925CA"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0.650</w:t>
            </w:r>
          </w:p>
        </w:tc>
        <w:tc>
          <w:tcPr>
            <w:tcW w:w="1654" w:type="pct"/>
            <w:vMerge w:val="restart"/>
            <w:vAlign w:val="center"/>
            <w:hideMark/>
          </w:tcPr>
          <w:p w14:paraId="460B78B2"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Significantly moderate relationship</w:t>
            </w:r>
          </w:p>
        </w:tc>
      </w:tr>
      <w:tr w:rsidR="009B0884" w:rsidRPr="009B0884" w14:paraId="4A4BBD50" w14:textId="77777777" w:rsidTr="009B0884">
        <w:trPr>
          <w:trHeight w:val="285"/>
        </w:trPr>
        <w:tc>
          <w:tcPr>
            <w:tcW w:w="930" w:type="pct"/>
            <w:vMerge/>
            <w:vAlign w:val="center"/>
            <w:hideMark/>
          </w:tcPr>
          <w:p w14:paraId="538BFCF5" w14:textId="77777777" w:rsidR="009B0884" w:rsidRPr="009B0884" w:rsidRDefault="009B0884" w:rsidP="009B0884">
            <w:pPr>
              <w:rPr>
                <w:rFonts w:ascii="Arial" w:hAnsi="Arial" w:cs="Arial"/>
                <w:color w:val="000000"/>
                <w:lang w:val="en-PH" w:eastAsia="ja-JP"/>
              </w:rPr>
            </w:pPr>
          </w:p>
        </w:tc>
        <w:tc>
          <w:tcPr>
            <w:tcW w:w="1370" w:type="pct"/>
            <w:noWrap/>
            <w:vAlign w:val="center"/>
            <w:hideMark/>
          </w:tcPr>
          <w:p w14:paraId="3C74350C"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Sig. (2-tailed)</w:t>
            </w:r>
          </w:p>
        </w:tc>
        <w:tc>
          <w:tcPr>
            <w:tcW w:w="1047" w:type="pct"/>
            <w:noWrap/>
            <w:vAlign w:val="center"/>
            <w:hideMark/>
          </w:tcPr>
          <w:p w14:paraId="5123D25E" w14:textId="77777777" w:rsidR="009B0884" w:rsidRPr="009B0884" w:rsidRDefault="009B0884" w:rsidP="009B0884">
            <w:pPr>
              <w:jc w:val="center"/>
              <w:rPr>
                <w:rFonts w:ascii="Arial" w:hAnsi="Arial" w:cs="Arial"/>
                <w:color w:val="000000"/>
                <w:lang w:val="en-PH" w:eastAsia="ja-JP"/>
              </w:rPr>
            </w:pPr>
            <w:r w:rsidRPr="009B0884">
              <w:rPr>
                <w:rFonts w:ascii="Arial" w:hAnsi="Arial" w:cs="Arial"/>
                <w:color w:val="000000"/>
                <w:lang w:val="en-PH" w:eastAsia="ja-JP"/>
              </w:rPr>
              <w:t>0.000</w:t>
            </w:r>
          </w:p>
        </w:tc>
        <w:tc>
          <w:tcPr>
            <w:tcW w:w="1654" w:type="pct"/>
            <w:vMerge/>
            <w:vAlign w:val="center"/>
            <w:hideMark/>
          </w:tcPr>
          <w:p w14:paraId="664A4526" w14:textId="77777777" w:rsidR="009B0884" w:rsidRPr="009B0884" w:rsidRDefault="009B0884" w:rsidP="009B0884">
            <w:pPr>
              <w:rPr>
                <w:rFonts w:ascii="Arial" w:hAnsi="Arial" w:cs="Arial"/>
                <w:color w:val="000000"/>
                <w:lang w:val="en-PH" w:eastAsia="ja-JP"/>
              </w:rPr>
            </w:pPr>
          </w:p>
        </w:tc>
      </w:tr>
    </w:tbl>
    <w:p w14:paraId="01F8D08B" w14:textId="77777777" w:rsidR="009B0884" w:rsidRDefault="009B0884" w:rsidP="00851412">
      <w:pPr>
        <w:pStyle w:val="Body"/>
        <w:spacing w:after="0"/>
        <w:rPr>
          <w:rFonts w:ascii="Arial" w:hAnsi="Arial" w:cs="Arial"/>
          <w:b/>
          <w:sz w:val="22"/>
        </w:rPr>
      </w:pPr>
    </w:p>
    <w:p w14:paraId="6ACC6338" w14:textId="065B91E6"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.4 </w:t>
      </w:r>
      <w:r w:rsidR="000224F3" w:rsidRPr="000224F3">
        <w:rPr>
          <w:rFonts w:ascii="Arial" w:hAnsi="Arial" w:cs="Arial"/>
          <w:b/>
          <w:sz w:val="22"/>
        </w:rPr>
        <w:t>Implications for Mobile Payment Services (MPS) Providers</w:t>
      </w:r>
    </w:p>
    <w:p w14:paraId="2C470D3D" w14:textId="77777777" w:rsidR="00792B91" w:rsidRDefault="00792B91" w:rsidP="00851412">
      <w:pPr>
        <w:pStyle w:val="Body"/>
        <w:spacing w:after="0"/>
        <w:rPr>
          <w:rFonts w:ascii="Arial" w:hAnsi="Arial" w:cs="Arial"/>
          <w:b/>
          <w:sz w:val="22"/>
        </w:rPr>
      </w:pPr>
    </w:p>
    <w:bookmarkEnd w:id="6"/>
    <w:p w14:paraId="111DDC2A" w14:textId="436CFF90" w:rsidR="00792B91" w:rsidRPr="00792B91" w:rsidRDefault="00792B91" w:rsidP="00792B91">
      <w:pPr>
        <w:pStyle w:val="Body"/>
        <w:rPr>
          <w:rFonts w:ascii="Arial" w:hAnsi="Arial" w:cs="Arial"/>
          <w:color w:val="000000" w:themeColor="text1"/>
        </w:rPr>
      </w:pPr>
      <w:r w:rsidRPr="00792B91">
        <w:rPr>
          <w:rFonts w:ascii="Arial" w:hAnsi="Arial" w:cs="Arial"/>
          <w:color w:val="000000" w:themeColor="text1"/>
        </w:rPr>
        <w:t>The findings of this study highlight several key factors that influence the intention</w:t>
      </w:r>
      <w:r>
        <w:rPr>
          <w:rFonts w:ascii="Arial" w:hAnsi="Arial" w:cs="Arial"/>
          <w:color w:val="000000" w:themeColor="text1"/>
        </w:rPr>
        <w:t xml:space="preserve"> </w:t>
      </w:r>
      <w:r w:rsidRPr="00792B91">
        <w:rPr>
          <w:rFonts w:ascii="Arial" w:hAnsi="Arial" w:cs="Arial"/>
          <w:color w:val="000000" w:themeColor="text1"/>
        </w:rPr>
        <w:t xml:space="preserve">to use mobile payment services (MPS) in </w:t>
      </w:r>
      <w:proofErr w:type="spellStart"/>
      <w:r w:rsidRPr="00792B91">
        <w:rPr>
          <w:rFonts w:ascii="Arial" w:hAnsi="Arial" w:cs="Arial"/>
          <w:color w:val="000000" w:themeColor="text1"/>
        </w:rPr>
        <w:t>Poblacion</w:t>
      </w:r>
      <w:proofErr w:type="spellEnd"/>
      <w:r w:rsidRPr="00792B91">
        <w:rPr>
          <w:rFonts w:ascii="Arial" w:hAnsi="Arial" w:cs="Arial"/>
          <w:color w:val="000000" w:themeColor="text1"/>
        </w:rPr>
        <w:t xml:space="preserve">, </w:t>
      </w:r>
      <w:proofErr w:type="spellStart"/>
      <w:r w:rsidRPr="00792B91">
        <w:rPr>
          <w:rFonts w:ascii="Arial" w:hAnsi="Arial" w:cs="Arial"/>
          <w:color w:val="000000" w:themeColor="text1"/>
        </w:rPr>
        <w:t>Cateel</w:t>
      </w:r>
      <w:proofErr w:type="spellEnd"/>
      <w:r w:rsidRPr="00792B91">
        <w:rPr>
          <w:rFonts w:ascii="Arial" w:hAnsi="Arial" w:cs="Arial"/>
          <w:color w:val="000000" w:themeColor="text1"/>
        </w:rPr>
        <w:t>, Davao Oriental. Notably,</w:t>
      </w:r>
      <w:r>
        <w:rPr>
          <w:rFonts w:ascii="Arial" w:hAnsi="Arial" w:cs="Arial"/>
          <w:color w:val="000000" w:themeColor="text1"/>
        </w:rPr>
        <w:t xml:space="preserve"> </w:t>
      </w:r>
      <w:r w:rsidRPr="00792B91">
        <w:rPr>
          <w:rFonts w:ascii="Arial" w:hAnsi="Arial" w:cs="Arial"/>
          <w:color w:val="000000" w:themeColor="text1"/>
        </w:rPr>
        <w:t>perceived usefulness and convenience mobility emerge as significant drivers of adoption.</w:t>
      </w:r>
      <w:r>
        <w:rPr>
          <w:rFonts w:ascii="Arial" w:hAnsi="Arial" w:cs="Arial"/>
          <w:color w:val="000000" w:themeColor="text1"/>
        </w:rPr>
        <w:t xml:space="preserve"> </w:t>
      </w:r>
      <w:r w:rsidRPr="00792B91">
        <w:rPr>
          <w:rFonts w:ascii="Arial" w:hAnsi="Arial" w:cs="Arial"/>
          <w:color w:val="000000" w:themeColor="text1"/>
        </w:rPr>
        <w:t>This suggests that users are primarily motivated by the practical benefits and ease that</w:t>
      </w:r>
      <w:r>
        <w:rPr>
          <w:rFonts w:ascii="Arial" w:hAnsi="Arial" w:cs="Arial"/>
          <w:color w:val="000000" w:themeColor="text1"/>
        </w:rPr>
        <w:t xml:space="preserve"> </w:t>
      </w:r>
      <w:r w:rsidRPr="00792B91">
        <w:rPr>
          <w:rFonts w:ascii="Arial" w:hAnsi="Arial" w:cs="Arial"/>
          <w:color w:val="000000" w:themeColor="text1"/>
        </w:rPr>
        <w:t>mobile payments bring to their daily transactions. Providers should focus on enhancing</w:t>
      </w:r>
      <w:r>
        <w:rPr>
          <w:rFonts w:ascii="Arial" w:hAnsi="Arial" w:cs="Arial"/>
          <w:color w:val="000000" w:themeColor="text1"/>
        </w:rPr>
        <w:t xml:space="preserve"> </w:t>
      </w:r>
      <w:r w:rsidRPr="00792B91">
        <w:rPr>
          <w:rFonts w:ascii="Arial" w:hAnsi="Arial" w:cs="Arial"/>
          <w:color w:val="000000" w:themeColor="text1"/>
        </w:rPr>
        <w:t>these aspects to ensure that the services are fast, efficient, and tailored to the specific</w:t>
      </w:r>
      <w:r>
        <w:rPr>
          <w:rFonts w:ascii="Arial" w:hAnsi="Arial" w:cs="Arial"/>
          <w:color w:val="000000" w:themeColor="text1"/>
        </w:rPr>
        <w:t xml:space="preserve"> </w:t>
      </w:r>
      <w:r w:rsidRPr="00792B91">
        <w:rPr>
          <w:rFonts w:ascii="Arial" w:hAnsi="Arial" w:cs="Arial"/>
          <w:color w:val="000000" w:themeColor="text1"/>
        </w:rPr>
        <w:t>needs of users in this area.</w:t>
      </w:r>
    </w:p>
    <w:p w14:paraId="7B0514A8" w14:textId="0FE26A70" w:rsidR="00792B91" w:rsidRPr="00792B91" w:rsidRDefault="00792B91" w:rsidP="00792B91">
      <w:pPr>
        <w:pStyle w:val="Body"/>
        <w:rPr>
          <w:rFonts w:ascii="Arial" w:hAnsi="Arial" w:cs="Arial"/>
          <w:color w:val="000000" w:themeColor="text1"/>
        </w:rPr>
      </w:pPr>
      <w:r w:rsidRPr="00792B91">
        <w:rPr>
          <w:rFonts w:ascii="Arial" w:hAnsi="Arial" w:cs="Arial"/>
          <w:color w:val="000000" w:themeColor="text1"/>
        </w:rPr>
        <w:t>While ease of use also plays a role in adoption, its impact is not as strong as</w:t>
      </w:r>
      <w:r>
        <w:rPr>
          <w:rFonts w:ascii="Arial" w:hAnsi="Arial" w:cs="Arial"/>
          <w:color w:val="000000" w:themeColor="text1"/>
        </w:rPr>
        <w:t xml:space="preserve"> </w:t>
      </w:r>
      <w:r w:rsidRPr="00792B91">
        <w:rPr>
          <w:rFonts w:ascii="Arial" w:hAnsi="Arial" w:cs="Arial"/>
          <w:color w:val="000000" w:themeColor="text1"/>
        </w:rPr>
        <w:t>perceived usefulness and convenience. This suggests that, while user-friendliness is</w:t>
      </w:r>
      <w:r>
        <w:rPr>
          <w:rFonts w:ascii="Arial" w:hAnsi="Arial" w:cs="Arial"/>
          <w:color w:val="000000" w:themeColor="text1"/>
        </w:rPr>
        <w:t xml:space="preserve"> </w:t>
      </w:r>
      <w:r w:rsidRPr="00792B91">
        <w:rPr>
          <w:rFonts w:ascii="Arial" w:hAnsi="Arial" w:cs="Arial"/>
          <w:color w:val="000000" w:themeColor="text1"/>
        </w:rPr>
        <w:t>important for mobile payment platforms, the primary concern for users is the extent to</w:t>
      </w:r>
      <w:r>
        <w:rPr>
          <w:rFonts w:ascii="Arial" w:hAnsi="Arial" w:cs="Arial"/>
          <w:color w:val="000000" w:themeColor="text1"/>
        </w:rPr>
        <w:t xml:space="preserve"> </w:t>
      </w:r>
      <w:r w:rsidRPr="00792B91">
        <w:rPr>
          <w:rFonts w:ascii="Arial" w:hAnsi="Arial" w:cs="Arial"/>
          <w:color w:val="000000" w:themeColor="text1"/>
        </w:rPr>
        <w:t xml:space="preserve">which the service </w:t>
      </w:r>
      <w:r w:rsidRPr="00792B91">
        <w:rPr>
          <w:rFonts w:ascii="Arial" w:hAnsi="Arial" w:cs="Arial"/>
          <w:color w:val="000000" w:themeColor="text1"/>
        </w:rPr>
        <w:lastRenderedPageBreak/>
        <w:t>enhances their convenience and overall experience. Ensuring the</w:t>
      </w:r>
      <w:r>
        <w:rPr>
          <w:rFonts w:ascii="Arial" w:hAnsi="Arial" w:cs="Arial"/>
          <w:color w:val="000000" w:themeColor="text1"/>
        </w:rPr>
        <w:t xml:space="preserve"> </w:t>
      </w:r>
      <w:r w:rsidRPr="00792B91">
        <w:rPr>
          <w:rFonts w:ascii="Arial" w:hAnsi="Arial" w:cs="Arial"/>
          <w:color w:val="000000" w:themeColor="text1"/>
        </w:rPr>
        <w:t>platform is intuitive and easy to navigate will remain crucial, especially for those unfamiliar</w:t>
      </w:r>
      <w:r>
        <w:rPr>
          <w:rFonts w:ascii="Arial" w:hAnsi="Arial" w:cs="Arial"/>
          <w:color w:val="000000" w:themeColor="text1"/>
        </w:rPr>
        <w:t xml:space="preserve"> </w:t>
      </w:r>
      <w:r w:rsidRPr="00792B91">
        <w:rPr>
          <w:rFonts w:ascii="Arial" w:hAnsi="Arial" w:cs="Arial"/>
          <w:color w:val="000000" w:themeColor="text1"/>
        </w:rPr>
        <w:t>with digital payment systems.</w:t>
      </w:r>
    </w:p>
    <w:p w14:paraId="14FB81EA" w14:textId="65380683" w:rsidR="00792B91" w:rsidRPr="00792B91" w:rsidRDefault="00792B91" w:rsidP="00792B91">
      <w:pPr>
        <w:pStyle w:val="Body"/>
        <w:rPr>
          <w:rFonts w:ascii="Arial" w:hAnsi="Arial" w:cs="Arial"/>
          <w:color w:val="000000" w:themeColor="text1"/>
        </w:rPr>
      </w:pPr>
      <w:r w:rsidRPr="00792B91">
        <w:rPr>
          <w:rFonts w:ascii="Arial" w:hAnsi="Arial" w:cs="Arial"/>
          <w:color w:val="000000" w:themeColor="text1"/>
        </w:rPr>
        <w:t>Interestingly, trust in safety does not significantly influence the adoption of mobile</w:t>
      </w:r>
      <w:r>
        <w:rPr>
          <w:rFonts w:ascii="Arial" w:hAnsi="Arial" w:cs="Arial"/>
          <w:color w:val="000000" w:themeColor="text1"/>
        </w:rPr>
        <w:t xml:space="preserve"> </w:t>
      </w:r>
      <w:r w:rsidRPr="00792B91">
        <w:rPr>
          <w:rFonts w:ascii="Arial" w:hAnsi="Arial" w:cs="Arial"/>
          <w:color w:val="000000" w:themeColor="text1"/>
        </w:rPr>
        <w:t xml:space="preserve">payments in this context. This could imply that users in </w:t>
      </w:r>
      <w:proofErr w:type="spellStart"/>
      <w:r w:rsidRPr="00792B91">
        <w:rPr>
          <w:rFonts w:ascii="Arial" w:hAnsi="Arial" w:cs="Arial"/>
          <w:color w:val="000000" w:themeColor="text1"/>
        </w:rPr>
        <w:t>Poblacion</w:t>
      </w:r>
      <w:proofErr w:type="spellEnd"/>
      <w:r w:rsidRPr="00792B91">
        <w:rPr>
          <w:rFonts w:ascii="Arial" w:hAnsi="Arial" w:cs="Arial"/>
          <w:color w:val="000000" w:themeColor="text1"/>
        </w:rPr>
        <w:t xml:space="preserve">, </w:t>
      </w:r>
      <w:proofErr w:type="spellStart"/>
      <w:r w:rsidRPr="00792B91">
        <w:rPr>
          <w:rFonts w:ascii="Arial" w:hAnsi="Arial" w:cs="Arial"/>
          <w:color w:val="000000" w:themeColor="text1"/>
        </w:rPr>
        <w:t>Cateel</w:t>
      </w:r>
      <w:proofErr w:type="spellEnd"/>
      <w:r w:rsidRPr="00792B91">
        <w:rPr>
          <w:rFonts w:ascii="Arial" w:hAnsi="Arial" w:cs="Arial"/>
          <w:color w:val="000000" w:themeColor="text1"/>
        </w:rPr>
        <w:t>, Davao Oriental</w:t>
      </w:r>
      <w:r>
        <w:rPr>
          <w:rFonts w:ascii="Arial" w:hAnsi="Arial" w:cs="Arial"/>
          <w:color w:val="000000" w:themeColor="text1"/>
        </w:rPr>
        <w:t xml:space="preserve"> </w:t>
      </w:r>
      <w:r w:rsidRPr="00792B91">
        <w:rPr>
          <w:rFonts w:ascii="Arial" w:hAnsi="Arial" w:cs="Arial"/>
          <w:color w:val="000000" w:themeColor="text1"/>
        </w:rPr>
        <w:t>are less concerned with security risks at the point of adoption. However, even though trust</w:t>
      </w:r>
      <w:r>
        <w:rPr>
          <w:rFonts w:ascii="Arial" w:hAnsi="Arial" w:cs="Arial"/>
          <w:color w:val="000000" w:themeColor="text1"/>
        </w:rPr>
        <w:t xml:space="preserve"> </w:t>
      </w:r>
      <w:r w:rsidRPr="00792B91">
        <w:rPr>
          <w:rFonts w:ascii="Arial" w:hAnsi="Arial" w:cs="Arial"/>
          <w:color w:val="000000" w:themeColor="text1"/>
        </w:rPr>
        <w:t>does not play a major role in initial usage, MPS providers must maintain high security</w:t>
      </w:r>
      <w:r>
        <w:rPr>
          <w:rFonts w:ascii="Arial" w:hAnsi="Arial" w:cs="Arial"/>
          <w:color w:val="000000" w:themeColor="text1"/>
        </w:rPr>
        <w:t xml:space="preserve"> </w:t>
      </w:r>
      <w:r w:rsidRPr="00792B91">
        <w:rPr>
          <w:rFonts w:ascii="Arial" w:hAnsi="Arial" w:cs="Arial"/>
          <w:color w:val="000000" w:themeColor="text1"/>
        </w:rPr>
        <w:t>standards to ensure long-term usage and to build customer loyalty over time.</w:t>
      </w:r>
    </w:p>
    <w:p w14:paraId="28629F5A" w14:textId="3F95187A" w:rsidR="00792B91" w:rsidRPr="00792B91" w:rsidRDefault="00792B91" w:rsidP="00792B91">
      <w:pPr>
        <w:pStyle w:val="Body"/>
        <w:rPr>
          <w:rFonts w:ascii="Arial" w:hAnsi="Arial" w:cs="Arial"/>
          <w:color w:val="000000" w:themeColor="text1"/>
        </w:rPr>
      </w:pPr>
      <w:r w:rsidRPr="00792B91">
        <w:rPr>
          <w:rFonts w:ascii="Arial" w:hAnsi="Arial" w:cs="Arial"/>
          <w:color w:val="000000" w:themeColor="text1"/>
        </w:rPr>
        <w:t>In conclusion, mobile payment service providers should prioritize enhancing the</w:t>
      </w:r>
      <w:r>
        <w:rPr>
          <w:rFonts w:ascii="Arial" w:hAnsi="Arial" w:cs="Arial"/>
          <w:color w:val="000000" w:themeColor="text1"/>
        </w:rPr>
        <w:t xml:space="preserve"> </w:t>
      </w:r>
      <w:r w:rsidRPr="00792B91">
        <w:rPr>
          <w:rFonts w:ascii="Arial" w:hAnsi="Arial" w:cs="Arial"/>
          <w:color w:val="000000" w:themeColor="text1"/>
        </w:rPr>
        <w:t>convenience and usability of their services to align with users' expectations. Additionally,</w:t>
      </w:r>
      <w:r>
        <w:rPr>
          <w:rFonts w:ascii="Arial" w:hAnsi="Arial" w:cs="Arial"/>
          <w:color w:val="000000" w:themeColor="text1"/>
        </w:rPr>
        <w:t xml:space="preserve"> </w:t>
      </w:r>
      <w:r w:rsidRPr="00792B91">
        <w:rPr>
          <w:rFonts w:ascii="Arial" w:hAnsi="Arial" w:cs="Arial"/>
          <w:color w:val="000000" w:themeColor="text1"/>
        </w:rPr>
        <w:t>making the platform simple and easy to use will help attract a broader range of users.</w:t>
      </w:r>
      <w:r>
        <w:rPr>
          <w:rFonts w:ascii="Arial" w:hAnsi="Arial" w:cs="Arial"/>
          <w:color w:val="000000" w:themeColor="text1"/>
        </w:rPr>
        <w:t xml:space="preserve"> </w:t>
      </w:r>
      <w:r w:rsidRPr="00792B91">
        <w:rPr>
          <w:rFonts w:ascii="Arial" w:hAnsi="Arial" w:cs="Arial"/>
          <w:color w:val="000000" w:themeColor="text1"/>
        </w:rPr>
        <w:t>Although security concerns are not as pressing at the adoption stage, they should not be</w:t>
      </w:r>
      <w:r>
        <w:rPr>
          <w:rFonts w:ascii="Arial" w:hAnsi="Arial" w:cs="Arial"/>
          <w:color w:val="000000" w:themeColor="text1"/>
        </w:rPr>
        <w:t xml:space="preserve"> </w:t>
      </w:r>
      <w:r w:rsidRPr="00792B91">
        <w:rPr>
          <w:rFonts w:ascii="Arial" w:hAnsi="Arial" w:cs="Arial"/>
          <w:color w:val="000000" w:themeColor="text1"/>
        </w:rPr>
        <w:t>overlooked, and providers should continue to ensure the safety of transactions as the user</w:t>
      </w:r>
      <w:r>
        <w:rPr>
          <w:rFonts w:ascii="Arial" w:hAnsi="Arial" w:cs="Arial"/>
          <w:color w:val="000000" w:themeColor="text1"/>
        </w:rPr>
        <w:t xml:space="preserve"> </w:t>
      </w:r>
      <w:r w:rsidRPr="00792B91">
        <w:rPr>
          <w:rFonts w:ascii="Arial" w:hAnsi="Arial" w:cs="Arial"/>
          <w:color w:val="000000" w:themeColor="text1"/>
        </w:rPr>
        <w:t>base grows. By focusing on these factors, MPS providers can increase adoption rates and</w:t>
      </w:r>
      <w:r>
        <w:rPr>
          <w:rFonts w:ascii="Arial" w:hAnsi="Arial" w:cs="Arial"/>
          <w:color w:val="000000" w:themeColor="text1"/>
        </w:rPr>
        <w:t xml:space="preserve"> </w:t>
      </w:r>
      <w:r w:rsidRPr="00792B91">
        <w:rPr>
          <w:rFonts w:ascii="Arial" w:hAnsi="Arial" w:cs="Arial"/>
          <w:color w:val="000000" w:themeColor="text1"/>
        </w:rPr>
        <w:t>foster sustained usage in the community.</w:t>
      </w:r>
    </w:p>
    <w:p w14:paraId="2D4EB7D0" w14:textId="4981DA45" w:rsidR="00B01FCD" w:rsidRDefault="00000F8F" w:rsidP="00441B6F">
      <w:pPr>
        <w:pStyle w:val="ConcHead"/>
        <w:spacing w:after="0"/>
        <w:jc w:val="both"/>
        <w:rPr>
          <w:rFonts w:ascii="Arial" w:hAnsi="Arial" w:cs="Arial"/>
        </w:rPr>
      </w:pPr>
      <w:r>
        <w:rPr>
          <w:rFonts w:ascii="Arial" w:hAnsi="Arial" w:cs="Arial"/>
        </w:rPr>
        <w:t xml:space="preserve">4. </w:t>
      </w:r>
      <w:r w:rsidR="00A802A4" w:rsidRPr="00A802A4">
        <w:rPr>
          <w:rFonts w:ascii="Arial" w:hAnsi="Arial" w:cs="Arial"/>
        </w:rPr>
        <w:t>CONCLUSION</w:t>
      </w:r>
      <w:r w:rsidR="00D90F61">
        <w:rPr>
          <w:rFonts w:ascii="Arial" w:hAnsi="Arial" w:cs="Arial"/>
        </w:rPr>
        <w:t>S</w:t>
      </w:r>
      <w:r w:rsidR="00A802A4" w:rsidRPr="00A802A4">
        <w:rPr>
          <w:rFonts w:ascii="Arial" w:hAnsi="Arial" w:cs="Arial"/>
        </w:rPr>
        <w:t xml:space="preserve"> AND RECOMMENDATIONS</w:t>
      </w:r>
    </w:p>
    <w:p w14:paraId="7BCAF046" w14:textId="77777777" w:rsidR="009D4DFF" w:rsidRDefault="009D4DFF" w:rsidP="00441B6F">
      <w:pPr>
        <w:pStyle w:val="ConcHead"/>
        <w:spacing w:after="0"/>
        <w:jc w:val="both"/>
        <w:rPr>
          <w:rFonts w:ascii="Arial" w:hAnsi="Arial" w:cs="Arial"/>
        </w:rPr>
      </w:pPr>
    </w:p>
    <w:p w14:paraId="2F4AF49F" w14:textId="4DCAF076" w:rsidR="009D4DFF" w:rsidRDefault="009D4DFF" w:rsidP="00441B6F">
      <w:pPr>
        <w:pStyle w:val="ConcHead"/>
        <w:spacing w:after="0"/>
        <w:jc w:val="both"/>
        <w:rPr>
          <w:rFonts w:ascii="Arial" w:hAnsi="Arial" w:cs="Arial"/>
        </w:rPr>
      </w:pPr>
      <w:r>
        <w:rPr>
          <w:rFonts w:ascii="Arial" w:hAnsi="Arial" w:cs="Arial"/>
        </w:rPr>
        <w:t>4.1</w:t>
      </w:r>
      <w:r w:rsidRPr="009D4DFF">
        <w:rPr>
          <w:rFonts w:ascii="Arial" w:hAnsi="Arial" w:cs="Arial"/>
        </w:rPr>
        <w:t xml:space="preserve"> </w:t>
      </w:r>
      <w:r w:rsidRPr="009D4DFF">
        <w:rPr>
          <w:rFonts w:ascii="Arial" w:hAnsi="Arial" w:cs="Arial"/>
          <w:caps w:val="0"/>
        </w:rPr>
        <w:t>Conclusion</w:t>
      </w:r>
      <w:r w:rsidR="00D90F61">
        <w:rPr>
          <w:rFonts w:ascii="Arial" w:hAnsi="Arial" w:cs="Arial"/>
          <w:caps w:val="0"/>
        </w:rPr>
        <w:t>s</w:t>
      </w:r>
    </w:p>
    <w:p w14:paraId="3FEE8280" w14:textId="77777777" w:rsidR="00790ADA" w:rsidRPr="00FB3A86" w:rsidRDefault="00790ADA" w:rsidP="00441B6F">
      <w:pPr>
        <w:pStyle w:val="ConcHead"/>
        <w:spacing w:after="0"/>
        <w:jc w:val="both"/>
        <w:rPr>
          <w:rFonts w:ascii="Arial" w:hAnsi="Arial" w:cs="Arial"/>
        </w:rPr>
      </w:pPr>
    </w:p>
    <w:p w14:paraId="3172F7F5" w14:textId="42E1D528" w:rsidR="00392DB8" w:rsidRPr="00392DB8" w:rsidRDefault="00392DB8" w:rsidP="00752077">
      <w:pPr>
        <w:pStyle w:val="Body"/>
        <w:rPr>
          <w:rFonts w:ascii="Arial" w:hAnsi="Arial" w:cs="Arial"/>
          <w:color w:val="000000" w:themeColor="text1"/>
        </w:rPr>
      </w:pPr>
      <w:r w:rsidRPr="00392DB8">
        <w:rPr>
          <w:rFonts w:ascii="Arial" w:hAnsi="Arial" w:cs="Arial"/>
          <w:color w:val="000000" w:themeColor="text1"/>
        </w:rPr>
        <w:t xml:space="preserve">The findings indicate that mobile payment services (MPS) have achieved widespread acceptance in rural areas like </w:t>
      </w:r>
      <w:proofErr w:type="spellStart"/>
      <w:r w:rsidRPr="00392DB8">
        <w:rPr>
          <w:rFonts w:ascii="Arial" w:hAnsi="Arial" w:cs="Arial"/>
          <w:color w:val="000000" w:themeColor="text1"/>
        </w:rPr>
        <w:t>Cateel</w:t>
      </w:r>
      <w:proofErr w:type="spellEnd"/>
      <w:r w:rsidRPr="00392DB8">
        <w:rPr>
          <w:rFonts w:ascii="Arial" w:hAnsi="Arial" w:cs="Arial"/>
          <w:color w:val="000000" w:themeColor="text1"/>
        </w:rPr>
        <w:t xml:space="preserve">, Davao Oriental, particularly among female undergraduates from lower-income backgrounds earning Php 20,000 or less. A striking 99.59% of these respondents prefer </w:t>
      </w:r>
      <w:proofErr w:type="spellStart"/>
      <w:r w:rsidRPr="00392DB8">
        <w:rPr>
          <w:rFonts w:ascii="Arial" w:hAnsi="Arial" w:cs="Arial"/>
          <w:color w:val="000000" w:themeColor="text1"/>
        </w:rPr>
        <w:t>GCash</w:t>
      </w:r>
      <w:proofErr w:type="spellEnd"/>
      <w:r w:rsidRPr="00392DB8">
        <w:rPr>
          <w:rFonts w:ascii="Arial" w:hAnsi="Arial" w:cs="Arial"/>
          <w:color w:val="000000" w:themeColor="text1"/>
        </w:rPr>
        <w:t>, highlighting its dominance as the primary financial tool for younger, economically active users. This high adoption rate is primarily driven by how well the technology integrates into their lives; factors such as convenience of mobility, perceived usefulness, compatibility with existing routines, and overall knowledge of the platform serve as significant catalysts for adoption. Essentially, when a service is viewed as practical and aligned with daily needs, rural users are highly likely to embrace it.</w:t>
      </w:r>
    </w:p>
    <w:p w14:paraId="478D58B4" w14:textId="1490C4CA" w:rsidR="007622CA" w:rsidRDefault="00392DB8" w:rsidP="00752077">
      <w:pPr>
        <w:pStyle w:val="Body"/>
        <w:rPr>
          <w:rFonts w:ascii="Arial" w:hAnsi="Arial" w:cs="Arial"/>
          <w:color w:val="000000" w:themeColor="text1"/>
        </w:rPr>
      </w:pPr>
      <w:r w:rsidRPr="00392DB8">
        <w:rPr>
          <w:rFonts w:ascii="Arial" w:hAnsi="Arial" w:cs="Arial"/>
          <w:color w:val="000000" w:themeColor="text1"/>
        </w:rPr>
        <w:t>Interestingly, the study reveals that traditional barriers like security concerns and interface complexity play a secondary role in this specific demographic. While ease of use showed only a weak relationship with the intention to adopt, trust in safety was found to be non-significant. This suggests that for users in this context, the tangible benefits of utility and accessibility outweigh the perceived risks or the need for a simplified user interface. Consequently, the decision to adopt mobile payments in these communities is governed more by the service’s ability to solve immediate, practical problems than by its security features or aesthetic simplicity.</w:t>
      </w:r>
    </w:p>
    <w:p w14:paraId="317F0A8E" w14:textId="11C3F6DD" w:rsidR="009D4DFF" w:rsidRPr="007622CA" w:rsidRDefault="007622CA" w:rsidP="008E5247">
      <w:pPr>
        <w:pStyle w:val="ConcHead"/>
        <w:spacing w:after="0"/>
        <w:jc w:val="both"/>
        <w:rPr>
          <w:rFonts w:ascii="Arial" w:hAnsi="Arial" w:cs="Arial"/>
          <w:szCs w:val="22"/>
        </w:rPr>
      </w:pPr>
      <w:r w:rsidRPr="007622CA">
        <w:rPr>
          <w:rFonts w:ascii="Arial" w:hAnsi="Arial" w:cs="Arial"/>
          <w:caps w:val="0"/>
          <w:szCs w:val="22"/>
        </w:rPr>
        <w:t xml:space="preserve">4.2 </w:t>
      </w:r>
      <w:r w:rsidR="009D4DFF" w:rsidRPr="007622CA">
        <w:rPr>
          <w:rFonts w:ascii="Arial" w:hAnsi="Arial" w:cs="Arial"/>
          <w:caps w:val="0"/>
          <w:szCs w:val="22"/>
        </w:rPr>
        <w:t>Recommendations</w:t>
      </w:r>
    </w:p>
    <w:p w14:paraId="71C4A706" w14:textId="77777777" w:rsidR="009D4DFF" w:rsidRPr="00630082" w:rsidRDefault="009D4DFF" w:rsidP="009D4DFF">
      <w:pPr>
        <w:pStyle w:val="ConcHead"/>
        <w:spacing w:after="0"/>
        <w:jc w:val="both"/>
        <w:rPr>
          <w:rFonts w:ascii="Arial" w:hAnsi="Arial" w:cs="Arial"/>
          <w:sz w:val="20"/>
        </w:rPr>
      </w:pPr>
    </w:p>
    <w:p w14:paraId="7EAC2657" w14:textId="7602D234" w:rsidR="00E76A47" w:rsidRPr="00630082" w:rsidRDefault="00E76A47">
      <w:pPr>
        <w:pStyle w:val="Body"/>
        <w:numPr>
          <w:ilvl w:val="0"/>
          <w:numId w:val="4"/>
        </w:numPr>
        <w:rPr>
          <w:rFonts w:ascii="Arial" w:hAnsi="Arial" w:cs="Arial"/>
          <w:color w:val="000000" w:themeColor="text1"/>
        </w:rPr>
      </w:pPr>
      <w:r w:rsidRPr="00630082">
        <w:rPr>
          <w:rFonts w:ascii="Arial" w:hAnsi="Arial" w:cs="Arial"/>
          <w:color w:val="000000" w:themeColor="text1"/>
        </w:rPr>
        <w:t xml:space="preserve">To enhance the practical value of mobile payment services (MPS), providers may develop features that increase convenience and usefulness, aligning with users' daily routines. This may include integrated payment solutions for local businesses, transportation, or public services, enabling faster and more efficient transactions that meet the specific needs of rural communities, such as </w:t>
      </w:r>
      <w:proofErr w:type="spellStart"/>
      <w:r w:rsidRPr="00630082">
        <w:rPr>
          <w:rFonts w:ascii="Arial" w:hAnsi="Arial" w:cs="Arial"/>
          <w:color w:val="000000" w:themeColor="text1"/>
        </w:rPr>
        <w:t>Cateel</w:t>
      </w:r>
      <w:proofErr w:type="spellEnd"/>
      <w:r w:rsidRPr="00630082">
        <w:rPr>
          <w:rFonts w:ascii="Arial" w:hAnsi="Arial" w:cs="Arial"/>
          <w:color w:val="000000" w:themeColor="text1"/>
        </w:rPr>
        <w:t>.</w:t>
      </w:r>
    </w:p>
    <w:p w14:paraId="39A2176A" w14:textId="79D69F78" w:rsidR="00E76A47" w:rsidRPr="00630082" w:rsidRDefault="00E76A47">
      <w:pPr>
        <w:pStyle w:val="Body"/>
        <w:numPr>
          <w:ilvl w:val="0"/>
          <w:numId w:val="4"/>
        </w:numPr>
        <w:rPr>
          <w:rFonts w:ascii="Arial" w:hAnsi="Arial" w:cs="Arial"/>
          <w:color w:val="000000" w:themeColor="text1"/>
        </w:rPr>
      </w:pPr>
      <w:r w:rsidRPr="00630082">
        <w:rPr>
          <w:rFonts w:ascii="Arial" w:hAnsi="Arial" w:cs="Arial"/>
          <w:color w:val="000000" w:themeColor="text1"/>
        </w:rPr>
        <w:t>To address the knowledge gap, MPS providers may implement targeted user education campaigns that simplify the learning curve for mobile payments. These may take the form of community-based workshops, digital literacy programs, or localized information drives, particularly targeting populations with limited exposure to financial technologies.</w:t>
      </w:r>
    </w:p>
    <w:p w14:paraId="2B51E25A" w14:textId="705BA467" w:rsidR="00E76A47" w:rsidRPr="00630082" w:rsidRDefault="00E76A47">
      <w:pPr>
        <w:pStyle w:val="Body"/>
        <w:numPr>
          <w:ilvl w:val="0"/>
          <w:numId w:val="4"/>
        </w:numPr>
        <w:rPr>
          <w:rFonts w:ascii="Arial" w:hAnsi="Arial" w:cs="Arial"/>
          <w:color w:val="000000" w:themeColor="text1"/>
        </w:rPr>
      </w:pPr>
      <w:r w:rsidRPr="00630082">
        <w:rPr>
          <w:rFonts w:ascii="Arial" w:hAnsi="Arial" w:cs="Arial"/>
          <w:color w:val="000000" w:themeColor="text1"/>
        </w:rPr>
        <w:lastRenderedPageBreak/>
        <w:t>To improve accessibility, providers may continue to enhance user-friendly and intuitive interfaces, ensuring that individuals with low technological literacy can use the platform with ease. A simplified layout, clear navigation, and language localization may help drive sustained user engagement, especially among older or less tech-savvy users.</w:t>
      </w:r>
    </w:p>
    <w:p w14:paraId="2224A407" w14:textId="77777777" w:rsidR="00E76A47" w:rsidRPr="00630082" w:rsidRDefault="00E76A47">
      <w:pPr>
        <w:pStyle w:val="Body"/>
        <w:numPr>
          <w:ilvl w:val="0"/>
          <w:numId w:val="4"/>
        </w:numPr>
        <w:rPr>
          <w:rFonts w:ascii="Arial" w:hAnsi="Arial" w:cs="Arial"/>
          <w:color w:val="000000" w:themeColor="text1"/>
        </w:rPr>
      </w:pPr>
      <w:r w:rsidRPr="00630082">
        <w:rPr>
          <w:rFonts w:ascii="Arial" w:hAnsi="Arial" w:cs="Arial"/>
          <w:color w:val="000000" w:themeColor="text1"/>
        </w:rPr>
        <w:t xml:space="preserve">To sustain long-term adoption, providers may prioritize security and privacy measures that protect users' personal and financial information. Although trust was not identified as a major barrier in this study, proactive communication about data protection, fraud prevention, and account safety may be essential in maintaining user confidence and building customer loyalty over time. </w:t>
      </w:r>
    </w:p>
    <w:p w14:paraId="24C2D47D" w14:textId="50D7F24F" w:rsidR="00E76A47" w:rsidRPr="00630082" w:rsidRDefault="00E76A47">
      <w:pPr>
        <w:pStyle w:val="Body"/>
        <w:numPr>
          <w:ilvl w:val="0"/>
          <w:numId w:val="4"/>
        </w:numPr>
        <w:rPr>
          <w:rFonts w:ascii="Arial" w:hAnsi="Arial" w:cs="Arial"/>
          <w:color w:val="000000" w:themeColor="text1"/>
        </w:rPr>
      </w:pPr>
      <w:r w:rsidRPr="00630082">
        <w:rPr>
          <w:rFonts w:ascii="Arial" w:hAnsi="Arial" w:cs="Arial"/>
          <w:color w:val="000000" w:themeColor="text1"/>
        </w:rPr>
        <w:t>For future research, it may be beneficial to explore the influence of socio-demographic variables—such as income, age, and educational attainment—on mobile payment adoption in rural areas. Using mixed-method research (quantitative and qualitative) may yield richer insights into user behavior, attitudes, and motivations, further informing the development of inclusive and context-specific mobile payment solutions</w:t>
      </w:r>
    </w:p>
    <w:p w14:paraId="316F7119" w14:textId="77777777" w:rsidR="00E0142C" w:rsidRDefault="00E0142C" w:rsidP="00E76A47">
      <w:pPr>
        <w:pStyle w:val="AcknHead"/>
        <w:spacing w:after="0"/>
        <w:jc w:val="both"/>
        <w:rPr>
          <w:rFonts w:ascii="Arial" w:hAnsi="Arial" w:cs="Arial"/>
        </w:rPr>
      </w:pPr>
      <w:r w:rsidRPr="00E0142C">
        <w:rPr>
          <w:rFonts w:ascii="Arial" w:hAnsi="Arial" w:cs="Arial"/>
        </w:rPr>
        <w:t>DISCLAIMER (ARTIFICIAL INTELLIGENCE)</w:t>
      </w:r>
    </w:p>
    <w:p w14:paraId="6ABFF9E9" w14:textId="77777777" w:rsidR="00E0142C" w:rsidRPr="00FB3A86" w:rsidRDefault="00E0142C" w:rsidP="00E0142C">
      <w:pPr>
        <w:pStyle w:val="AcknHead"/>
        <w:spacing w:after="0"/>
        <w:jc w:val="both"/>
        <w:rPr>
          <w:rFonts w:ascii="Arial" w:hAnsi="Arial" w:cs="Arial"/>
        </w:rPr>
      </w:pPr>
    </w:p>
    <w:p w14:paraId="50902C83" w14:textId="6749D195" w:rsidR="00E0142C" w:rsidRPr="00E0142C" w:rsidRDefault="00E0142C" w:rsidP="00E0142C">
      <w:pPr>
        <w:pStyle w:val="AcknHead"/>
        <w:jc w:val="both"/>
        <w:rPr>
          <w:rFonts w:ascii="Arial" w:hAnsi="Arial" w:cs="Arial"/>
          <w:b w:val="0"/>
          <w:caps w:val="0"/>
          <w:color w:val="000000" w:themeColor="text1"/>
          <w:sz w:val="20"/>
        </w:rPr>
      </w:pPr>
      <w:r w:rsidRPr="00E0142C">
        <w:rPr>
          <w:rFonts w:ascii="Arial" w:hAnsi="Arial" w:cs="Arial"/>
          <w:b w:val="0"/>
          <w:caps w:val="0"/>
          <w:color w:val="000000" w:themeColor="text1"/>
          <w:sz w:val="20"/>
        </w:rPr>
        <w:t>The author(s) hereby declare that generative AI technologies, specifically large language models, were used during the preparation of this manuscript.</w:t>
      </w:r>
    </w:p>
    <w:p w14:paraId="50082F8B" w14:textId="04C30420" w:rsidR="00E0142C" w:rsidRPr="00E0142C" w:rsidRDefault="00E0142C" w:rsidP="00E0142C">
      <w:pPr>
        <w:pStyle w:val="AcknHead"/>
        <w:jc w:val="both"/>
        <w:rPr>
          <w:rFonts w:ascii="Arial" w:hAnsi="Arial" w:cs="Arial"/>
          <w:bCs/>
          <w:caps w:val="0"/>
          <w:color w:val="000000" w:themeColor="text1"/>
          <w:sz w:val="20"/>
        </w:rPr>
      </w:pPr>
      <w:r w:rsidRPr="00E0142C">
        <w:rPr>
          <w:rFonts w:ascii="Arial" w:hAnsi="Arial" w:cs="Arial"/>
          <w:bCs/>
          <w:caps w:val="0"/>
          <w:color w:val="000000" w:themeColor="text1"/>
          <w:sz w:val="20"/>
        </w:rPr>
        <w:t>The details of AI usage are as follows:</w:t>
      </w:r>
    </w:p>
    <w:p w14:paraId="69244815" w14:textId="3484B050" w:rsidR="00E0142C" w:rsidRPr="00E0142C" w:rsidRDefault="00E0142C">
      <w:pPr>
        <w:pStyle w:val="AcknHead"/>
        <w:numPr>
          <w:ilvl w:val="0"/>
          <w:numId w:val="5"/>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 xml:space="preserve">AI Tools Used: </w:t>
      </w:r>
      <w:proofErr w:type="spellStart"/>
      <w:r w:rsidRPr="00E0142C">
        <w:rPr>
          <w:rFonts w:ascii="Arial" w:hAnsi="Arial" w:cs="Arial"/>
          <w:b w:val="0"/>
          <w:caps w:val="0"/>
          <w:color w:val="000000" w:themeColor="text1"/>
          <w:sz w:val="20"/>
        </w:rPr>
        <w:t>ChatGPT</w:t>
      </w:r>
      <w:proofErr w:type="spellEnd"/>
      <w:r w:rsidRPr="00E0142C">
        <w:rPr>
          <w:rFonts w:ascii="Arial" w:hAnsi="Arial" w:cs="Arial"/>
          <w:b w:val="0"/>
          <w:caps w:val="0"/>
          <w:color w:val="000000" w:themeColor="text1"/>
          <w:sz w:val="20"/>
        </w:rPr>
        <w:t xml:space="preserve">, developed by </w:t>
      </w:r>
      <w:proofErr w:type="spellStart"/>
      <w:r w:rsidRPr="00E0142C">
        <w:rPr>
          <w:rFonts w:ascii="Arial" w:hAnsi="Arial" w:cs="Arial"/>
          <w:b w:val="0"/>
          <w:caps w:val="0"/>
          <w:color w:val="000000" w:themeColor="text1"/>
          <w:sz w:val="20"/>
        </w:rPr>
        <w:t>OpenAI</w:t>
      </w:r>
      <w:proofErr w:type="spellEnd"/>
      <w:r w:rsidRPr="00E0142C">
        <w:rPr>
          <w:rFonts w:ascii="Arial" w:hAnsi="Arial" w:cs="Arial"/>
          <w:b w:val="0"/>
          <w:caps w:val="0"/>
          <w:color w:val="000000" w:themeColor="text1"/>
          <w:sz w:val="20"/>
        </w:rPr>
        <w:t>, and Copilot, developed by Microsoft.</w:t>
      </w:r>
    </w:p>
    <w:p w14:paraId="632A01B0" w14:textId="57DA8CBC" w:rsidR="00E0142C" w:rsidRPr="00E0142C" w:rsidRDefault="00E0142C">
      <w:pPr>
        <w:pStyle w:val="AcknHead"/>
        <w:numPr>
          <w:ilvl w:val="0"/>
          <w:numId w:val="5"/>
        </w:numPr>
        <w:jc w:val="both"/>
        <w:rPr>
          <w:rFonts w:ascii="Arial" w:hAnsi="Arial" w:cs="Arial"/>
          <w:b w:val="0"/>
          <w:caps w:val="0"/>
          <w:color w:val="000000" w:themeColor="text1"/>
          <w:sz w:val="20"/>
        </w:rPr>
      </w:pPr>
      <w:r w:rsidRPr="00E0142C">
        <w:rPr>
          <w:rFonts w:ascii="Arial" w:hAnsi="Arial" w:cs="Arial"/>
          <w:b w:val="0"/>
          <w:caps w:val="0"/>
          <w:color w:val="000000" w:themeColor="text1"/>
          <w:sz w:val="20"/>
        </w:rPr>
        <w:t>Purpose of Use: These tools were utilized to assist in language refinement, grammar correction, structural editing, and improving clarity in sections such as the Abstract, Introduction, Objectives, Methods, Conclusion, and Recommendations.</w:t>
      </w:r>
    </w:p>
    <w:p w14:paraId="3152AFB4" w14:textId="4811ECAB" w:rsidR="00E0142C" w:rsidRDefault="00E0142C">
      <w:pPr>
        <w:pStyle w:val="AcknHead"/>
        <w:numPr>
          <w:ilvl w:val="0"/>
          <w:numId w:val="5"/>
        </w:numPr>
        <w:spacing w:after="0"/>
        <w:jc w:val="both"/>
        <w:rPr>
          <w:rFonts w:ascii="Arial" w:hAnsi="Arial" w:cs="Arial"/>
          <w:b w:val="0"/>
          <w:caps w:val="0"/>
          <w:color w:val="000000" w:themeColor="text1"/>
          <w:sz w:val="20"/>
        </w:rPr>
      </w:pPr>
      <w:r w:rsidRPr="00E0142C">
        <w:rPr>
          <w:rFonts w:ascii="Arial" w:hAnsi="Arial" w:cs="Arial"/>
          <w:b w:val="0"/>
          <w:caps w:val="0"/>
          <w:color w:val="000000" w:themeColor="text1"/>
          <w:sz w:val="20"/>
        </w:rPr>
        <w:t xml:space="preserve">Extent of Use: All research design, data collection, statistical analysis, and interpretation were conducted solely by the authors. The AI tools were used only to enhance the readability and presentation of the manuscript, without influencing the originality or integrity of the research findings. </w:t>
      </w:r>
    </w:p>
    <w:p w14:paraId="26E39026" w14:textId="77777777" w:rsidR="00E0142C" w:rsidRPr="00E0142C" w:rsidRDefault="00E0142C" w:rsidP="00E0142C">
      <w:pPr>
        <w:pStyle w:val="AcknHead"/>
        <w:spacing w:after="0"/>
        <w:jc w:val="both"/>
        <w:rPr>
          <w:rFonts w:ascii="Arial" w:hAnsi="Arial" w:cs="Arial"/>
          <w:b w:val="0"/>
          <w:caps w:val="0"/>
          <w:color w:val="000000" w:themeColor="text1"/>
          <w:sz w:val="20"/>
        </w:rPr>
      </w:pPr>
    </w:p>
    <w:p w14:paraId="27A01C02" w14:textId="77777777" w:rsidR="00E0142C" w:rsidRPr="00315186" w:rsidRDefault="00E0142C" w:rsidP="00B80966">
      <w:pPr>
        <w:jc w:val="both"/>
      </w:pPr>
    </w:p>
    <w:p w14:paraId="44598199" w14:textId="77777777"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8CDB07C" w14:textId="77777777" w:rsidR="002B685A" w:rsidRPr="002B685A" w:rsidRDefault="002B685A" w:rsidP="00441B6F">
      <w:pPr>
        <w:pStyle w:val="ReferHead"/>
        <w:spacing w:after="0"/>
        <w:jc w:val="both"/>
        <w:rPr>
          <w:rFonts w:ascii="Arial" w:hAnsi="Arial" w:cs="Arial"/>
          <w:bCs/>
        </w:rPr>
      </w:pPr>
    </w:p>
    <w:p w14:paraId="5779391F" w14:textId="6E10EE49" w:rsidR="005C784C" w:rsidRPr="00D077DD" w:rsidRDefault="00D077DD" w:rsidP="00441B6F">
      <w:pPr>
        <w:pStyle w:val="ReferHead"/>
        <w:spacing w:after="0"/>
        <w:jc w:val="both"/>
        <w:rPr>
          <w:rFonts w:ascii="Arial" w:hAnsi="Arial" w:cs="Arial"/>
          <w:b w:val="0"/>
          <w:caps w:val="0"/>
          <w:color w:val="000000" w:themeColor="text1"/>
          <w:sz w:val="20"/>
        </w:rPr>
      </w:pPr>
      <w:r w:rsidRPr="00D077DD">
        <w:rPr>
          <w:rFonts w:ascii="Arial" w:hAnsi="Arial" w:cs="Arial"/>
          <w:b w:val="0"/>
          <w:caps w:val="0"/>
          <w:color w:val="000000" w:themeColor="text1"/>
          <w:sz w:val="20"/>
        </w:rPr>
        <w:t>As per international standards or university standards, Participants’ written consent has been collected and preserved by the author(s).</w:t>
      </w:r>
    </w:p>
    <w:p w14:paraId="26E19FB2" w14:textId="77777777" w:rsidR="00D077DD" w:rsidRDefault="00D077DD" w:rsidP="00441B6F">
      <w:pPr>
        <w:pStyle w:val="ReferHead"/>
        <w:spacing w:after="0"/>
        <w:jc w:val="both"/>
        <w:rPr>
          <w:rFonts w:ascii="Arial" w:hAnsi="Arial" w:cs="Arial"/>
          <w:b w:val="0"/>
          <w:caps w:val="0"/>
          <w:sz w:val="20"/>
        </w:rPr>
      </w:pPr>
    </w:p>
    <w:p w14:paraId="60913F30"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F3207FA" w14:textId="77777777" w:rsidR="005C784C" w:rsidRPr="002B685A" w:rsidRDefault="005C784C" w:rsidP="00441B6F">
      <w:pPr>
        <w:pStyle w:val="ReferHead"/>
        <w:spacing w:after="0"/>
        <w:jc w:val="both"/>
        <w:rPr>
          <w:rFonts w:ascii="Arial" w:hAnsi="Arial" w:cs="Arial"/>
          <w:bCs/>
        </w:rPr>
      </w:pPr>
    </w:p>
    <w:p w14:paraId="6E3FAC10" w14:textId="1A90CC52" w:rsidR="00860000" w:rsidRDefault="00D077DD" w:rsidP="00441B6F">
      <w:pPr>
        <w:pStyle w:val="ReferHead"/>
        <w:spacing w:after="0"/>
        <w:jc w:val="both"/>
        <w:rPr>
          <w:rFonts w:ascii="Arial" w:hAnsi="Arial" w:cs="Arial"/>
          <w:b w:val="0"/>
          <w:caps w:val="0"/>
          <w:color w:val="000000" w:themeColor="text1"/>
          <w:sz w:val="20"/>
        </w:rPr>
      </w:pPr>
      <w:r w:rsidRPr="00D077DD">
        <w:rPr>
          <w:rFonts w:ascii="Arial" w:hAnsi="Arial" w:cs="Arial"/>
          <w:b w:val="0"/>
          <w:caps w:val="0"/>
          <w:color w:val="000000" w:themeColor="text1"/>
          <w:sz w:val="20"/>
        </w:rPr>
        <w:t>As per international standards or university standards written ethical approval has been collected and preserved by the author(s).</w:t>
      </w:r>
    </w:p>
    <w:p w14:paraId="5CD08BEE" w14:textId="77777777" w:rsidR="00CD4090" w:rsidRDefault="00CD4090" w:rsidP="00441B6F">
      <w:pPr>
        <w:pStyle w:val="ReferHead"/>
        <w:spacing w:after="0"/>
        <w:jc w:val="both"/>
        <w:rPr>
          <w:rFonts w:ascii="Arial" w:hAnsi="Arial" w:cs="Arial"/>
          <w:b w:val="0"/>
          <w:caps w:val="0"/>
          <w:color w:val="000000" w:themeColor="text1"/>
          <w:sz w:val="20"/>
        </w:rPr>
      </w:pPr>
    </w:p>
    <w:p w14:paraId="230CB2AE" w14:textId="77777777" w:rsidR="00CD4090" w:rsidRDefault="00CD4090" w:rsidP="00441B6F">
      <w:pPr>
        <w:pStyle w:val="ReferHead"/>
        <w:spacing w:after="0"/>
        <w:jc w:val="both"/>
        <w:rPr>
          <w:rFonts w:ascii="Arial" w:hAnsi="Arial" w:cs="Arial"/>
          <w:b w:val="0"/>
          <w:caps w:val="0"/>
          <w:color w:val="000000" w:themeColor="text1"/>
          <w:sz w:val="20"/>
        </w:rPr>
      </w:pPr>
    </w:p>
    <w:p w14:paraId="2B979C60" w14:textId="77777777" w:rsidR="00CD4090" w:rsidRPr="00CD4090" w:rsidRDefault="00CD4090" w:rsidP="00CD4090">
      <w:pPr>
        <w:pStyle w:val="ReferHead"/>
        <w:jc w:val="both"/>
        <w:rPr>
          <w:rFonts w:ascii="Arial" w:hAnsi="Arial" w:cs="Arial"/>
          <w:b w:val="0"/>
          <w:caps w:val="0"/>
          <w:color w:val="000000" w:themeColor="text1"/>
          <w:sz w:val="20"/>
        </w:rPr>
      </w:pPr>
      <w:r w:rsidRPr="00CD4090">
        <w:rPr>
          <w:rFonts w:ascii="Arial" w:hAnsi="Arial" w:cs="Arial"/>
          <w:b w:val="0"/>
          <w:caps w:val="0"/>
          <w:color w:val="000000" w:themeColor="text1"/>
          <w:sz w:val="20"/>
        </w:rPr>
        <w:t>COMPETING INTERESTS DISCLAIMER:</w:t>
      </w:r>
    </w:p>
    <w:p w14:paraId="4DAF6672" w14:textId="7256CB1D" w:rsidR="00CD4090" w:rsidRPr="00D077DD" w:rsidRDefault="00CD4090" w:rsidP="00CD4090">
      <w:pPr>
        <w:pStyle w:val="ReferHead"/>
        <w:spacing w:after="0"/>
        <w:jc w:val="both"/>
        <w:rPr>
          <w:rFonts w:ascii="Arial" w:hAnsi="Arial" w:cs="Arial"/>
          <w:b w:val="0"/>
          <w:caps w:val="0"/>
          <w:color w:val="000000" w:themeColor="text1"/>
          <w:sz w:val="20"/>
        </w:rPr>
      </w:pPr>
      <w:r w:rsidRPr="00CD4090">
        <w:rPr>
          <w:rFonts w:ascii="Arial" w:hAnsi="Arial" w:cs="Arial"/>
          <w:b w:val="0"/>
          <w:caps w:val="0"/>
          <w:color w:val="000000" w:themeColor="text1"/>
          <w:sz w:val="20"/>
        </w:rPr>
        <w:t>Authors have declared that they have no known competing financial interests OR non-financial interests OR personal relationships that could have appeared to influence the work reported in this paper.</w:t>
      </w:r>
    </w:p>
    <w:p w14:paraId="05C77D3A" w14:textId="77777777" w:rsidR="00D077DD" w:rsidRDefault="00D077DD" w:rsidP="00441B6F">
      <w:pPr>
        <w:pStyle w:val="ReferHead"/>
        <w:spacing w:after="0"/>
        <w:jc w:val="both"/>
        <w:rPr>
          <w:rFonts w:ascii="Arial" w:hAnsi="Arial" w:cs="Arial"/>
        </w:rPr>
      </w:pPr>
    </w:p>
    <w:p w14:paraId="1BB8CC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87AA73" w14:textId="77777777" w:rsidR="00790ADA" w:rsidRPr="00FB3A86" w:rsidRDefault="00790ADA" w:rsidP="00441B6F">
      <w:pPr>
        <w:pStyle w:val="ReferHead"/>
        <w:spacing w:after="0"/>
        <w:jc w:val="both"/>
        <w:rPr>
          <w:rFonts w:ascii="Arial" w:hAnsi="Arial" w:cs="Arial"/>
        </w:rPr>
      </w:pPr>
    </w:p>
    <w:p w14:paraId="4801A169" w14:textId="3B41D1AE" w:rsidR="009A1BB8" w:rsidRDefault="009A1BB8" w:rsidP="00392DB8">
      <w:pPr>
        <w:pStyle w:val="Body"/>
        <w:ind w:left="284" w:hanging="284"/>
      </w:pPr>
      <w:proofErr w:type="spellStart"/>
      <w:r w:rsidRPr="009A1BB8">
        <w:t>Ariffin</w:t>
      </w:r>
      <w:proofErr w:type="spellEnd"/>
      <w:r w:rsidRPr="009A1BB8">
        <w:t xml:space="preserve">, S. K., &amp; Lim, K. T. (2020). Investigating Factors Affecting Intention to Use Mobile Payment Among Young Professionals in Malaysia. Proceedings of the First ASEAN Business, Environment, and Technology Symposium (ABEATS 2019). Atlantis Press. </w:t>
      </w:r>
      <w:hyperlink r:id="rId14" w:history="1">
        <w:r w:rsidRPr="00884FD2">
          <w:rPr>
            <w:rStyle w:val="Hyperlink"/>
          </w:rPr>
          <w:t>https://doi.org/10.2991/aebmr.k.200514.002</w:t>
        </w:r>
      </w:hyperlink>
    </w:p>
    <w:p w14:paraId="7720EC4E" w14:textId="77777777" w:rsidR="009A1BB8" w:rsidRDefault="009A1BB8" w:rsidP="00392DB8">
      <w:pPr>
        <w:pStyle w:val="Body"/>
        <w:ind w:left="284" w:hanging="284"/>
      </w:pPr>
      <w:r w:rsidRPr="009A1BB8">
        <w:t xml:space="preserve">Augsburg, C., &amp; </w:t>
      </w:r>
      <w:proofErr w:type="spellStart"/>
      <w:r w:rsidRPr="009A1BB8">
        <w:t>Hedman</w:t>
      </w:r>
      <w:proofErr w:type="spellEnd"/>
      <w:r w:rsidRPr="009A1BB8">
        <w:t xml:space="preserve">, J. (2014). Value Added Services and Adoption of Mobile Payments. ICEC '14: Proceedings of the Sixteenth International Conference on Electronic Commerce </w:t>
      </w:r>
      <w:hyperlink r:id="rId15" w:history="1">
        <w:r w:rsidRPr="00884FD2">
          <w:rPr>
            <w:rStyle w:val="Hyperlink"/>
          </w:rPr>
          <w:t>https://doi.org/10.1145/2617848.2617851</w:t>
        </w:r>
      </w:hyperlink>
      <w:r>
        <w:t xml:space="preserve"> </w:t>
      </w:r>
    </w:p>
    <w:p w14:paraId="5B591113" w14:textId="545C61CE" w:rsidR="00392DB8" w:rsidRDefault="00392DB8" w:rsidP="00392DB8">
      <w:pPr>
        <w:pStyle w:val="Body"/>
        <w:ind w:left="284" w:hanging="284"/>
      </w:pPr>
      <w:r>
        <w:t xml:space="preserve">Aslam, W., Ham, M., &amp; </w:t>
      </w:r>
      <w:proofErr w:type="spellStart"/>
      <w:r>
        <w:t>Arif</w:t>
      </w:r>
      <w:proofErr w:type="spellEnd"/>
      <w:r>
        <w:t>, I. (2017). Consumer Behavioral Intentions towards Mobile Payment Services: An Empirical Analysis in Pakistan. https://doi.org/10.22598/MT%2F2017.29.2.161</w:t>
      </w:r>
    </w:p>
    <w:p w14:paraId="3E363A35" w14:textId="77777777" w:rsidR="009A1BB8" w:rsidRDefault="009A1BB8" w:rsidP="00392DB8">
      <w:pPr>
        <w:pStyle w:val="Body"/>
        <w:ind w:left="284" w:hanging="284"/>
      </w:pPr>
      <w:r w:rsidRPr="009A1BB8">
        <w:t xml:space="preserve">Banerjee, A. K., &amp; Pradhan, H. K. (2024). Influence of demographic profiles in adoption of digital payment system in India: a multigroup invariance analysis. Technology Analysis &amp; Strategic Management. </w:t>
      </w:r>
      <w:hyperlink r:id="rId16" w:history="1">
        <w:r w:rsidRPr="00884FD2">
          <w:rPr>
            <w:rStyle w:val="Hyperlink"/>
          </w:rPr>
          <w:t>https://doi.org/10.1080/09537325.2022.2132928</w:t>
        </w:r>
      </w:hyperlink>
      <w:r>
        <w:t xml:space="preserve"> </w:t>
      </w:r>
    </w:p>
    <w:p w14:paraId="369127C4" w14:textId="77777777" w:rsidR="009A1BB8" w:rsidRDefault="009A1BB8" w:rsidP="00392DB8">
      <w:pPr>
        <w:pStyle w:val="Body"/>
        <w:ind w:left="284" w:hanging="284"/>
      </w:pPr>
      <w:r w:rsidRPr="009A1BB8">
        <w:t xml:space="preserve">Carter, S., &amp; Yeo, A.C. (2016). Mobile apps usage by Malaysian business undergraduates and postgraduates: Implications for consumer </w:t>
      </w:r>
      <w:proofErr w:type="spellStart"/>
      <w:r w:rsidRPr="009A1BB8">
        <w:t>behaviour</w:t>
      </w:r>
      <w:proofErr w:type="spellEnd"/>
      <w:r w:rsidRPr="009A1BB8">
        <w:t xml:space="preserve"> theory and marketing practice. Internet Research, 26, 733-757. </w:t>
      </w:r>
      <w:hyperlink r:id="rId17" w:history="1">
        <w:r w:rsidRPr="00884FD2">
          <w:rPr>
            <w:rStyle w:val="Hyperlink"/>
          </w:rPr>
          <w:t>https://doi.org/10.1108/IntR-10-2014-0273</w:t>
        </w:r>
      </w:hyperlink>
      <w:r>
        <w:t xml:space="preserve"> </w:t>
      </w:r>
    </w:p>
    <w:p w14:paraId="4692E08D" w14:textId="77777777" w:rsidR="009A1BB8" w:rsidRDefault="009A1BB8" w:rsidP="00392DB8">
      <w:pPr>
        <w:pStyle w:val="Body"/>
        <w:ind w:left="284" w:hanging="284"/>
      </w:pPr>
      <w:r w:rsidRPr="009A1BB8">
        <w:t xml:space="preserve">Cao, T. K., Dang, P. L., &amp; Nguyen, H. A. (2016). Predicting Consumer Intention to Use Mobile Payment Services: Empirical Evidence from Vietnam. International Journal of Marketing Studies. </w:t>
      </w:r>
      <w:hyperlink r:id="rId18" w:history="1">
        <w:r w:rsidRPr="00884FD2">
          <w:rPr>
            <w:rStyle w:val="Hyperlink"/>
          </w:rPr>
          <w:t>https://doi.org/10.5539/ijms.v8n1p117</w:t>
        </w:r>
      </w:hyperlink>
      <w:r>
        <w:t xml:space="preserve"> </w:t>
      </w:r>
    </w:p>
    <w:p w14:paraId="04D38895" w14:textId="77777777" w:rsidR="009A1BB8" w:rsidRDefault="009A1BB8" w:rsidP="00392DB8">
      <w:pPr>
        <w:pStyle w:val="Body"/>
        <w:ind w:left="284" w:hanging="284"/>
      </w:pPr>
      <w:r w:rsidRPr="009A1BB8">
        <w:t xml:space="preserve">Chen, W.-C., Chen, C.-W., &amp; Chen, W.-K. (2019). Drivers of Mobile Payment Acceptance in China: An Empirical Investigation. Information, 10(12), 384. </w:t>
      </w:r>
      <w:hyperlink r:id="rId19" w:history="1">
        <w:r w:rsidRPr="00884FD2">
          <w:rPr>
            <w:rStyle w:val="Hyperlink"/>
          </w:rPr>
          <w:t>https://doi.org/10.3390/info10120384</w:t>
        </w:r>
      </w:hyperlink>
      <w:r>
        <w:t xml:space="preserve"> </w:t>
      </w:r>
    </w:p>
    <w:p w14:paraId="2785C663" w14:textId="77777777" w:rsidR="009A1BB8" w:rsidRDefault="009A1BB8" w:rsidP="00392DB8">
      <w:pPr>
        <w:pStyle w:val="Body"/>
        <w:ind w:left="284" w:hanging="284"/>
      </w:pPr>
      <w:r w:rsidRPr="009A1BB8">
        <w:t xml:space="preserve">Chen, C.-L., &amp; Lai, W.-H. (2023). Exploring the impact of perceived risk on user’s mobile payment adoption. *Review of Integrative Business and Economics Research*, *12*(1), 1-20. </w:t>
      </w:r>
      <w:hyperlink r:id="rId20" w:history="1">
        <w:r w:rsidRPr="00884FD2">
          <w:rPr>
            <w:rStyle w:val="Hyperlink"/>
          </w:rPr>
          <w:t>https://buscompress.com/uploads/3/4/9/8/34980536/riber_12-1_01_m21-1201_1-20.pdf</w:t>
        </w:r>
      </w:hyperlink>
      <w:r>
        <w:t xml:space="preserve"> </w:t>
      </w:r>
    </w:p>
    <w:p w14:paraId="60D6BFB4" w14:textId="77777777" w:rsidR="009A1BB8" w:rsidRDefault="009A1BB8" w:rsidP="00392DB8">
      <w:pPr>
        <w:pStyle w:val="Body"/>
        <w:ind w:left="284" w:hanging="284"/>
      </w:pPr>
      <w:r w:rsidRPr="009A1BB8">
        <w:lastRenderedPageBreak/>
        <w:t xml:space="preserve">Chen, X., &amp; Li, S. (2017). Understanding Continuance Intention of Mobile Payment Services: An Empirical Study. Journal of Computer Information Systems, 57, 287-298. </w:t>
      </w:r>
      <w:hyperlink r:id="rId21" w:history="1">
        <w:r w:rsidRPr="00884FD2">
          <w:rPr>
            <w:rStyle w:val="Hyperlink"/>
          </w:rPr>
          <w:t>https://doi.org/10.1080/08874417.2016.1180649</w:t>
        </w:r>
      </w:hyperlink>
      <w:r>
        <w:t xml:space="preserve"> </w:t>
      </w:r>
    </w:p>
    <w:p w14:paraId="63D89344" w14:textId="732B57DD" w:rsidR="00392DB8" w:rsidRDefault="00392DB8" w:rsidP="00392DB8">
      <w:pPr>
        <w:pStyle w:val="Body"/>
        <w:ind w:left="284" w:hanging="284"/>
      </w:pPr>
      <w:r>
        <w:t xml:space="preserve">Choi, R.H., &amp; Kwon, O. (2022). Factors affecting the continuance intention of mobile payment services: a product-service systems perspective. Int. J. Mob. </w:t>
      </w:r>
      <w:proofErr w:type="spellStart"/>
      <w:r>
        <w:t>Commun</w:t>
      </w:r>
      <w:proofErr w:type="spellEnd"/>
      <w:r>
        <w:t>., 20, 150-173. 10.1504/ijmc.2022.121449 https://doi.org/10.1504/IJMC.2022.121449</w:t>
      </w:r>
    </w:p>
    <w:p w14:paraId="069689BD" w14:textId="0B274B67" w:rsidR="00392DB8" w:rsidRDefault="00392DB8" w:rsidP="00392DB8">
      <w:pPr>
        <w:pStyle w:val="Body"/>
        <w:ind w:left="284" w:hanging="284"/>
      </w:pPr>
      <w:r>
        <w:t xml:space="preserve">Choi, H., Park, J., Kim, J., &amp; Jung, Y. (2020). Consumer preferences of attributes of mobile payment services in South Korea. Telematics Informatics, 51, 101397. </w:t>
      </w:r>
      <w:hyperlink r:id="rId22" w:history="1">
        <w:r w:rsidR="009A1BB8" w:rsidRPr="00884FD2">
          <w:rPr>
            <w:rStyle w:val="Hyperlink"/>
          </w:rPr>
          <w:t>https://doi.org/10.1016/j.tele.2020.101397</w:t>
        </w:r>
      </w:hyperlink>
      <w:r w:rsidR="009A1BB8">
        <w:t xml:space="preserve"> </w:t>
      </w:r>
    </w:p>
    <w:p w14:paraId="38BB5E81" w14:textId="77777777" w:rsidR="009A1BB8" w:rsidRDefault="009A1BB8" w:rsidP="00392DB8">
      <w:pPr>
        <w:pStyle w:val="Body"/>
        <w:ind w:left="284" w:hanging="284"/>
      </w:pPr>
      <w:r w:rsidRPr="009A1BB8">
        <w:t xml:space="preserve">Dastan, I., &amp; </w:t>
      </w:r>
      <w:proofErr w:type="spellStart"/>
      <w:r w:rsidRPr="009A1BB8">
        <w:t>Gürler</w:t>
      </w:r>
      <w:proofErr w:type="spellEnd"/>
      <w:r w:rsidRPr="009A1BB8">
        <w:t xml:space="preserve">, C. (2016). Factors Affecting the Adoption of Mobile Payment Systems: An Empirical Analysis. Emerging Markets Journal, 6, 17-24. </w:t>
      </w:r>
      <w:hyperlink r:id="rId23" w:history="1">
        <w:r w:rsidRPr="00884FD2">
          <w:rPr>
            <w:rStyle w:val="Hyperlink"/>
          </w:rPr>
          <w:t>https://doi.org/10.5195/emaj.2016.95</w:t>
        </w:r>
      </w:hyperlink>
      <w:r>
        <w:t xml:space="preserve"> </w:t>
      </w:r>
    </w:p>
    <w:p w14:paraId="4B45FCF9" w14:textId="77777777" w:rsidR="009A1BB8" w:rsidRDefault="009A1BB8" w:rsidP="00392DB8">
      <w:pPr>
        <w:pStyle w:val="Body"/>
        <w:ind w:left="284" w:hanging="284"/>
      </w:pPr>
      <w:r w:rsidRPr="009A1BB8">
        <w:t xml:space="preserve">Gan, C. (2016). The impact of use context on mobile payment user adoption: An empirical study in China. Wuhan International Conference on E-Business. </w:t>
      </w:r>
      <w:hyperlink r:id="rId24" w:history="1">
        <w:r w:rsidRPr="00884FD2">
          <w:rPr>
            <w:rStyle w:val="Hyperlink"/>
          </w:rPr>
          <w:t>http://aisel.aisnet.org/whiceb2016/31</w:t>
        </w:r>
      </w:hyperlink>
      <w:r>
        <w:t xml:space="preserve"> </w:t>
      </w:r>
    </w:p>
    <w:p w14:paraId="617C2F92" w14:textId="77777777" w:rsidR="009A1BB8" w:rsidRDefault="009A1BB8" w:rsidP="00392DB8">
      <w:pPr>
        <w:pStyle w:val="Body"/>
        <w:ind w:left="284" w:hanging="284"/>
      </w:pPr>
      <w:proofErr w:type="spellStart"/>
      <w:r w:rsidRPr="009A1BB8">
        <w:t>Humbani</w:t>
      </w:r>
      <w:proofErr w:type="spellEnd"/>
      <w:r w:rsidRPr="009A1BB8">
        <w:t xml:space="preserve">, M., &amp; Wiese, M. (2017). A Cashless Society for All: Determining Consumers' Readiness to Adopt Mobile Payment Services. Journal of African Business, 19(3), 409–429. </w:t>
      </w:r>
      <w:hyperlink r:id="rId25" w:history="1">
        <w:r w:rsidRPr="00884FD2">
          <w:rPr>
            <w:rStyle w:val="Hyperlink"/>
          </w:rPr>
          <w:t>https://doi.org/10.1080/15228916.2017.1396792</w:t>
        </w:r>
      </w:hyperlink>
      <w:r>
        <w:t xml:space="preserve"> </w:t>
      </w:r>
    </w:p>
    <w:p w14:paraId="45B49FDA" w14:textId="77777777" w:rsidR="009A1BB8" w:rsidRDefault="009A1BB8" w:rsidP="00392DB8">
      <w:pPr>
        <w:pStyle w:val="Body"/>
        <w:ind w:left="284" w:hanging="284"/>
      </w:pPr>
      <w:r w:rsidRPr="009A1BB8">
        <w:t xml:space="preserve">Jun, J., Cho, I., &amp; Park, H. (2018). Factors influencing continued use of mobile easy payment service: an empirical investigation. Total Quality Management &amp; Business Excellence. </w:t>
      </w:r>
      <w:hyperlink r:id="rId26" w:history="1">
        <w:r w:rsidRPr="00884FD2">
          <w:rPr>
            <w:rStyle w:val="Hyperlink"/>
          </w:rPr>
          <w:t>https://doi.org/10.1080/14783363.2018.1486550</w:t>
        </w:r>
      </w:hyperlink>
      <w:r>
        <w:t xml:space="preserve"> </w:t>
      </w:r>
    </w:p>
    <w:p w14:paraId="2E6B7FEE" w14:textId="77777777" w:rsidR="009A1BB8" w:rsidRDefault="009A1BB8" w:rsidP="00392DB8">
      <w:pPr>
        <w:pStyle w:val="Body"/>
        <w:ind w:left="284" w:hanging="284"/>
      </w:pPr>
      <w:r w:rsidRPr="009A1BB8">
        <w:t xml:space="preserve">Jung, J.-H., Kwon, E., &amp; Kim, D. H. (2020). Mobile payment service usage: U.S. consumers’ motivations and intentions. Computers in Human Behavior Reports. </w:t>
      </w:r>
      <w:hyperlink r:id="rId27" w:history="1">
        <w:r w:rsidRPr="00884FD2">
          <w:rPr>
            <w:rStyle w:val="Hyperlink"/>
          </w:rPr>
          <w:t>https://doi.org/10.1016/j.chbr.2020.100008</w:t>
        </w:r>
      </w:hyperlink>
      <w:r>
        <w:t xml:space="preserve"> </w:t>
      </w:r>
    </w:p>
    <w:p w14:paraId="6B343853" w14:textId="77777777" w:rsidR="009A1BB8" w:rsidRDefault="009A1BB8" w:rsidP="00392DB8">
      <w:pPr>
        <w:pStyle w:val="Body"/>
        <w:ind w:left="284" w:hanging="284"/>
      </w:pPr>
      <w:proofErr w:type="spellStart"/>
      <w:r w:rsidRPr="009A1BB8">
        <w:t>Kalinić</w:t>
      </w:r>
      <w:proofErr w:type="spellEnd"/>
      <w:r w:rsidRPr="009A1BB8">
        <w:t>, Z., Liébana-</w:t>
      </w:r>
      <w:proofErr w:type="spellStart"/>
      <w:r w:rsidRPr="009A1BB8">
        <w:t>Cabanillas</w:t>
      </w:r>
      <w:proofErr w:type="spellEnd"/>
      <w:r w:rsidRPr="009A1BB8">
        <w:t>, F. J., Muñoz-</w:t>
      </w:r>
      <w:proofErr w:type="spellStart"/>
      <w:r w:rsidRPr="009A1BB8">
        <w:t>Leiva</w:t>
      </w:r>
      <w:proofErr w:type="spellEnd"/>
      <w:r w:rsidRPr="009A1BB8">
        <w:t xml:space="preserve">, F., &amp; </w:t>
      </w:r>
      <w:proofErr w:type="spellStart"/>
      <w:r w:rsidRPr="009A1BB8">
        <w:t>Marinković</w:t>
      </w:r>
      <w:proofErr w:type="spellEnd"/>
      <w:r w:rsidRPr="009A1BB8">
        <w:t xml:space="preserve">, V. (2019). The moderating impact of gender on the acceptance of peer-to-peer mobile payment systems. International Journal of Bank Marketing, 38(1), 138–158. </w:t>
      </w:r>
      <w:hyperlink r:id="rId28" w:history="1">
        <w:r w:rsidRPr="00884FD2">
          <w:rPr>
            <w:rStyle w:val="Hyperlink"/>
          </w:rPr>
          <w:t>https://doi.org/10.1108/ijbm-01-2019-0012</w:t>
        </w:r>
      </w:hyperlink>
      <w:r>
        <w:t xml:space="preserve"> </w:t>
      </w:r>
    </w:p>
    <w:p w14:paraId="270ED34D" w14:textId="35A738A1" w:rsidR="00392DB8" w:rsidRDefault="00392DB8" w:rsidP="00392DB8">
      <w:pPr>
        <w:pStyle w:val="Body"/>
        <w:ind w:left="284" w:hanging="284"/>
      </w:pPr>
      <w:proofErr w:type="spellStart"/>
      <w:r>
        <w:t>Kshetri</w:t>
      </w:r>
      <w:proofErr w:type="spellEnd"/>
      <w:r>
        <w:t xml:space="preserve">, N., &amp; Acharya, S. (2012). Mobile Payment in Emerging Markets. Emerging Markets Economics: Industrial Policy &amp; Regulation </w:t>
      </w:r>
      <w:proofErr w:type="spellStart"/>
      <w:r>
        <w:t>eJournal</w:t>
      </w:r>
      <w:proofErr w:type="spellEnd"/>
      <w:r>
        <w:t>. http://libres.uncg.edu/ir/uncg/f/N_Kshetri_Mobile_2012.pdf</w:t>
      </w:r>
    </w:p>
    <w:p w14:paraId="53164147" w14:textId="77777777" w:rsidR="009A1BB8" w:rsidRDefault="009A1BB8" w:rsidP="00392DB8">
      <w:pPr>
        <w:pStyle w:val="Body"/>
        <w:ind w:left="284" w:hanging="284"/>
      </w:pPr>
      <w:r w:rsidRPr="009A1BB8">
        <w:t xml:space="preserve">Lin, K., Wang, Y., &amp; Huang, T. K. (2020). Exploring the antecedents of mobile payment service usage: Perspectives based on cost–benefit theory, perceived value, and social influences. Online Information Review, 44(1), 299–318. </w:t>
      </w:r>
      <w:hyperlink r:id="rId29" w:history="1">
        <w:r w:rsidRPr="00884FD2">
          <w:rPr>
            <w:rStyle w:val="Hyperlink"/>
          </w:rPr>
          <w:t>https://doi.org/10.1108/OIR-05-2018-0175</w:t>
        </w:r>
      </w:hyperlink>
      <w:r>
        <w:t xml:space="preserve"> </w:t>
      </w:r>
    </w:p>
    <w:p w14:paraId="524E5860" w14:textId="77777777" w:rsidR="009A1BB8" w:rsidRDefault="009A1BB8" w:rsidP="00392DB8">
      <w:pPr>
        <w:pStyle w:val="Body"/>
        <w:ind w:left="284" w:hanging="284"/>
      </w:pPr>
      <w:r w:rsidRPr="009A1BB8">
        <w:t xml:space="preserve">Li, H., Liu, Y., &amp; </w:t>
      </w:r>
      <w:proofErr w:type="spellStart"/>
      <w:r w:rsidRPr="009A1BB8">
        <w:t>Heikkilä</w:t>
      </w:r>
      <w:proofErr w:type="spellEnd"/>
      <w:r w:rsidRPr="009A1BB8">
        <w:t xml:space="preserve">, J. (2014). Understanding the factors driving NFC-enabled mobile payment adoption: An empirical investigation. PACIS 2014 Proceedings. </w:t>
      </w:r>
      <w:hyperlink r:id="rId30" w:history="1">
        <w:r w:rsidRPr="00884FD2">
          <w:rPr>
            <w:rStyle w:val="Hyperlink"/>
          </w:rPr>
          <w:t>https://aisel.aisnet.org/pacis2014/231</w:t>
        </w:r>
      </w:hyperlink>
      <w:r>
        <w:t xml:space="preserve"> </w:t>
      </w:r>
    </w:p>
    <w:p w14:paraId="46E6DF91" w14:textId="77777777" w:rsidR="009A1BB8" w:rsidRDefault="009A1BB8" w:rsidP="00392DB8">
      <w:pPr>
        <w:pStyle w:val="Body"/>
        <w:ind w:left="284" w:hanging="284"/>
      </w:pPr>
      <w:r w:rsidRPr="009A1BB8">
        <w:t xml:space="preserve">Liu, G. S., &amp; Tai, P. T. (2016). A study of factors affecting the intention to use mobile payment services in Vietnam. Economics World, 4(6), 249-273. </w:t>
      </w:r>
      <w:hyperlink r:id="rId31" w:history="1">
        <w:r w:rsidRPr="00884FD2">
          <w:rPr>
            <w:rStyle w:val="Hyperlink"/>
          </w:rPr>
          <w:t>https://doi.org/10.17265/2328-7144/2016.06.001</w:t>
        </w:r>
      </w:hyperlink>
      <w:r>
        <w:t xml:space="preserve"> </w:t>
      </w:r>
    </w:p>
    <w:p w14:paraId="09A7BA96" w14:textId="0FAC2B35" w:rsidR="009A1BB8" w:rsidRDefault="009A1BB8" w:rsidP="00392DB8">
      <w:pPr>
        <w:pStyle w:val="Body"/>
        <w:ind w:left="284" w:hanging="284"/>
      </w:pPr>
      <w:r w:rsidRPr="009A1BB8">
        <w:lastRenderedPageBreak/>
        <w:t xml:space="preserve">Lee, E. Y., Shin, C., &amp; </w:t>
      </w:r>
      <w:proofErr w:type="spellStart"/>
      <w:r w:rsidRPr="009A1BB8">
        <w:t>Baatdawa</w:t>
      </w:r>
      <w:proofErr w:type="spellEnd"/>
      <w:r w:rsidRPr="009A1BB8">
        <w:t xml:space="preserve">, B. (2020). A study on the factors affecting the usage and diffusion of mobile easy payment services. The International Journal of Advanced Culture Technology. </w:t>
      </w:r>
      <w:hyperlink r:id="rId32" w:history="1">
        <w:r w:rsidRPr="00884FD2">
          <w:rPr>
            <w:rStyle w:val="Hyperlink"/>
          </w:rPr>
          <w:t>https://doi.org/10.17703/ijact.2020.8.1.38</w:t>
        </w:r>
      </w:hyperlink>
    </w:p>
    <w:p w14:paraId="4B3309D1" w14:textId="0D6C2A84" w:rsidR="00392DB8" w:rsidRDefault="00392DB8" w:rsidP="00392DB8">
      <w:pPr>
        <w:pStyle w:val="Body"/>
        <w:ind w:left="284" w:hanging="284"/>
      </w:pPr>
      <w:proofErr w:type="spellStart"/>
      <w:r>
        <w:t>Magnier</w:t>
      </w:r>
      <w:proofErr w:type="spellEnd"/>
      <w:r>
        <w:t>-Watanabe, R. (2014). An Institutional Perspective of Mobile Payment Adoption: The Case of Japan. 2014 47th Hawaii International Conference on System Sciences, 1043-1052. https://doi.org/10.1109/HICSS.2014.136</w:t>
      </w:r>
    </w:p>
    <w:p w14:paraId="7FC0639B" w14:textId="77777777" w:rsidR="009A1BB8" w:rsidRDefault="009A1BB8" w:rsidP="00392DB8">
      <w:pPr>
        <w:pStyle w:val="Body"/>
        <w:ind w:left="284" w:hanging="284"/>
      </w:pPr>
      <w:r w:rsidRPr="009A1BB8">
        <w:t xml:space="preserve">Moroni, A., </w:t>
      </w:r>
      <w:proofErr w:type="spellStart"/>
      <w:r w:rsidRPr="009A1BB8">
        <w:t>Talamo</w:t>
      </w:r>
      <w:proofErr w:type="spellEnd"/>
      <w:r w:rsidRPr="009A1BB8">
        <w:t xml:space="preserve">, M., &amp; Dimitri, A. (2015). Adoption factors of NFC Mobile Proximity Payments in Italy. Proceedings of the 17th International Conference on Human-Computer Interaction with Mobile Devices and Services </w:t>
      </w:r>
      <w:hyperlink r:id="rId33" w:history="1">
        <w:r w:rsidRPr="00884FD2">
          <w:rPr>
            <w:rStyle w:val="Hyperlink"/>
          </w:rPr>
          <w:t>https://doi.org/10.1145/2785830.2785874</w:t>
        </w:r>
      </w:hyperlink>
      <w:r>
        <w:t xml:space="preserve"> </w:t>
      </w:r>
    </w:p>
    <w:p w14:paraId="636D6A17" w14:textId="77777777" w:rsidR="009A1BB8" w:rsidRDefault="009A1BB8" w:rsidP="00392DB8">
      <w:pPr>
        <w:pStyle w:val="Body"/>
        <w:ind w:left="284" w:hanging="284"/>
      </w:pPr>
      <w:r w:rsidRPr="009A1BB8">
        <w:t xml:space="preserve">Nguyen, X. H., Nguyen, H. D., Le, B. T. H., Tran, T. T. M., &amp; Nguyen, T. M. P. (2023). Factors Affecting Mobile Payment Adoption: A Systematic Literature Review and Some Future Research Directions. International Journal of Research and Review. </w:t>
      </w:r>
      <w:hyperlink r:id="rId34" w:history="1">
        <w:r w:rsidRPr="00884FD2">
          <w:rPr>
            <w:rStyle w:val="Hyperlink"/>
          </w:rPr>
          <w:t>https://doi.org/10.52403/ijrr.20230447</w:t>
        </w:r>
      </w:hyperlink>
      <w:r>
        <w:t xml:space="preserve"> </w:t>
      </w:r>
    </w:p>
    <w:p w14:paraId="044E48A7" w14:textId="77777777" w:rsidR="009A1BB8" w:rsidRDefault="009A1BB8" w:rsidP="00392DB8">
      <w:pPr>
        <w:pStyle w:val="Body"/>
        <w:ind w:left="284" w:hanging="284"/>
      </w:pPr>
      <w:r w:rsidRPr="009A1BB8">
        <w:t xml:space="preserve">Pal, A., </w:t>
      </w:r>
      <w:proofErr w:type="spellStart"/>
      <w:r w:rsidRPr="009A1BB8">
        <w:t>Herath</w:t>
      </w:r>
      <w:proofErr w:type="spellEnd"/>
      <w:r w:rsidRPr="009A1BB8">
        <w:t xml:space="preserve">, T. C., De', R., &amp; Rao, H. R. (2020). Contextual facilitators and barriers influencing the continued use of mobile payment services in a developing country: insights from adopters in India. Information Technology for Development, 26, 394-420. </w:t>
      </w:r>
      <w:hyperlink r:id="rId35" w:history="1">
        <w:r w:rsidRPr="00884FD2">
          <w:rPr>
            <w:rStyle w:val="Hyperlink"/>
          </w:rPr>
          <w:t>https://doi.org/10.1080/02681102.2019.1701969</w:t>
        </w:r>
      </w:hyperlink>
      <w:r>
        <w:t xml:space="preserve"> </w:t>
      </w:r>
    </w:p>
    <w:p w14:paraId="57B9CD3E" w14:textId="77777777" w:rsidR="009A1BB8" w:rsidRDefault="009A1BB8" w:rsidP="00392DB8">
      <w:pPr>
        <w:pStyle w:val="Body"/>
        <w:ind w:left="284" w:hanging="284"/>
      </w:pPr>
      <w:r w:rsidRPr="009A1BB8">
        <w:t xml:space="preserve">Park, M., Jun, J., &amp; Park, H. (2017). Understanding Mobile Payment Service Continuous Use Intention: An Expectation - Confirmation Model and Inertia. Quality, Innovation, Prosperity, 21, 78-94. </w:t>
      </w:r>
      <w:hyperlink r:id="rId36" w:history="1">
        <w:r w:rsidRPr="00884FD2">
          <w:rPr>
            <w:rStyle w:val="Hyperlink"/>
          </w:rPr>
          <w:t>https://doi.org/10.12776/QIP.V21I3.983</w:t>
        </w:r>
      </w:hyperlink>
      <w:r>
        <w:t xml:space="preserve"> </w:t>
      </w:r>
    </w:p>
    <w:p w14:paraId="647A484C" w14:textId="282DDE04" w:rsidR="00392DB8" w:rsidRDefault="00392DB8" w:rsidP="00392DB8">
      <w:pPr>
        <w:pStyle w:val="Body"/>
        <w:ind w:left="284" w:hanging="284"/>
      </w:pPr>
      <w:proofErr w:type="spellStart"/>
      <w:r>
        <w:t>Phonthanukitithaworn</w:t>
      </w:r>
      <w:proofErr w:type="spellEnd"/>
      <w:r>
        <w:t xml:space="preserve">, C., </w:t>
      </w:r>
      <w:proofErr w:type="spellStart"/>
      <w:r>
        <w:t>Sellitto</w:t>
      </w:r>
      <w:proofErr w:type="spellEnd"/>
      <w:r>
        <w:t xml:space="preserve">, C., &amp; Fong, M.W. (2016). A Comparative Study of Current and Potential Users of Mobile Payment Services. SAGE Open, 6. </w:t>
      </w:r>
      <w:hyperlink r:id="rId37" w:history="1">
        <w:r w:rsidR="009A1BB8" w:rsidRPr="00884FD2">
          <w:rPr>
            <w:rStyle w:val="Hyperlink"/>
          </w:rPr>
          <w:t>https://doi.org/10.1177/2158244016675397</w:t>
        </w:r>
      </w:hyperlink>
      <w:r w:rsidR="009A1BB8">
        <w:t xml:space="preserve"> </w:t>
      </w:r>
    </w:p>
    <w:p w14:paraId="42347FF9" w14:textId="46680405" w:rsidR="00392DB8" w:rsidRDefault="00392DB8" w:rsidP="00392DB8">
      <w:pPr>
        <w:pStyle w:val="Body"/>
        <w:ind w:left="284" w:hanging="284"/>
      </w:pPr>
      <w:r>
        <w:t xml:space="preserve">Prakash, N., </w:t>
      </w:r>
      <w:proofErr w:type="spellStart"/>
      <w:r>
        <w:t>Alagarsamy</w:t>
      </w:r>
      <w:proofErr w:type="spellEnd"/>
      <w:r>
        <w:t xml:space="preserve">, S., &amp; </w:t>
      </w:r>
      <w:proofErr w:type="spellStart"/>
      <w:r>
        <w:t>Hawaldar</w:t>
      </w:r>
      <w:proofErr w:type="spellEnd"/>
      <w:r>
        <w:t xml:space="preserve">, A. (2022). Managerial finance. Managerial Finance. </w:t>
      </w:r>
      <w:hyperlink r:id="rId38" w:history="1">
        <w:r w:rsidR="009A1BB8" w:rsidRPr="00884FD2">
          <w:rPr>
            <w:rStyle w:val="Hyperlink"/>
          </w:rPr>
          <w:t>https://doi.org/10.1108/mf-09-2021-0466</w:t>
        </w:r>
      </w:hyperlink>
      <w:r w:rsidR="009A1BB8">
        <w:t xml:space="preserve"> </w:t>
      </w:r>
    </w:p>
    <w:p w14:paraId="731E50AA" w14:textId="71A4EC6E" w:rsidR="00392DB8" w:rsidRDefault="00392DB8" w:rsidP="00392DB8">
      <w:pPr>
        <w:pStyle w:val="Body"/>
        <w:ind w:left="284" w:hanging="284"/>
      </w:pPr>
      <w:proofErr w:type="spellStart"/>
      <w:r>
        <w:t>Salubi</w:t>
      </w:r>
      <w:proofErr w:type="spellEnd"/>
      <w:r>
        <w:t xml:space="preserve">, O.G. (2021). Access and Use of Networked Electronic Devices for Educational Information Management by Undergraduates in South Africa. </w:t>
      </w:r>
      <w:hyperlink r:id="rId39" w:history="1">
        <w:r w:rsidR="009A1BB8" w:rsidRPr="00884FD2">
          <w:rPr>
            <w:rStyle w:val="Hyperlink"/>
          </w:rPr>
          <w:t>https://doi.org/10.4018/978-1-7998-6618-3.ch010</w:t>
        </w:r>
      </w:hyperlink>
      <w:r w:rsidR="009A1BB8">
        <w:t xml:space="preserve"> </w:t>
      </w:r>
    </w:p>
    <w:p w14:paraId="6D098876" w14:textId="6BB0851B" w:rsidR="00392DB8" w:rsidRDefault="00392DB8" w:rsidP="00392DB8">
      <w:pPr>
        <w:pStyle w:val="Body"/>
        <w:ind w:left="284" w:hanging="284"/>
      </w:pPr>
      <w:r>
        <w:t xml:space="preserve">Sari, R.L., Habibi, A.B., &amp; </w:t>
      </w:r>
      <w:proofErr w:type="spellStart"/>
      <w:r>
        <w:t>Hayuningputri</w:t>
      </w:r>
      <w:proofErr w:type="spellEnd"/>
      <w:r>
        <w:t xml:space="preserve">, E.P. (2022). Impact of Attitude, Perceived Ease of Use, Convenience, and Social Benefit on Intention to Use Mobile Payment. Asia Pacific Management and Business Application. 10.21776/ub.apmba.2022.011.02.2 DOI: </w:t>
      </w:r>
      <w:hyperlink r:id="rId40" w:history="1">
        <w:r w:rsidR="009A1BB8" w:rsidRPr="00884FD2">
          <w:rPr>
            <w:rStyle w:val="Hyperlink"/>
          </w:rPr>
          <w:t>https://doi.org/10.21776/ub.apmba.2022.011.02.2</w:t>
        </w:r>
      </w:hyperlink>
      <w:r w:rsidR="009A1BB8">
        <w:t xml:space="preserve"> </w:t>
      </w:r>
    </w:p>
    <w:p w14:paraId="21C4F6B4" w14:textId="4D8E1D95" w:rsidR="00392DB8" w:rsidRDefault="00392DB8" w:rsidP="00392DB8">
      <w:pPr>
        <w:pStyle w:val="Body"/>
        <w:ind w:left="284" w:hanging="284"/>
      </w:pPr>
      <w:r>
        <w:t xml:space="preserve">Shankar, A., &amp; Datta, B.K. (2018). Factors Affecting Mobile Payment Adoption Intention: An Indian Perspective. Global Business Review, 19, S72 - S89. </w:t>
      </w:r>
      <w:hyperlink r:id="rId41" w:history="1">
        <w:r w:rsidR="009A1BB8" w:rsidRPr="00884FD2">
          <w:rPr>
            <w:rStyle w:val="Hyperlink"/>
          </w:rPr>
          <w:t>https://doi.org/10.1177/0972150918757870</w:t>
        </w:r>
      </w:hyperlink>
      <w:r w:rsidR="009A1BB8">
        <w:t xml:space="preserve"> </w:t>
      </w:r>
    </w:p>
    <w:p w14:paraId="1C391728" w14:textId="1BD4A75A" w:rsidR="00392DB8" w:rsidRDefault="00392DB8" w:rsidP="00392DB8">
      <w:pPr>
        <w:pStyle w:val="Body"/>
        <w:ind w:left="284" w:hanging="284"/>
      </w:pPr>
      <w:r>
        <w:t xml:space="preserve">Sun, Y., &amp; </w:t>
      </w:r>
      <w:proofErr w:type="spellStart"/>
      <w:r>
        <w:t>Havidz</w:t>
      </w:r>
      <w:proofErr w:type="spellEnd"/>
      <w:r>
        <w:t>, S.A. (2019). Factors Impacting the Intention to Use M-Payment. 2019 International Conference on Information Management and Technology (</w:t>
      </w:r>
      <w:proofErr w:type="spellStart"/>
      <w:r>
        <w:t>ICIMTech</w:t>
      </w:r>
      <w:proofErr w:type="spellEnd"/>
      <w:r>
        <w:t xml:space="preserve">), 1, 290-294. </w:t>
      </w:r>
      <w:hyperlink r:id="rId42" w:history="1">
        <w:r w:rsidR="009A1BB8" w:rsidRPr="00884FD2">
          <w:rPr>
            <w:rStyle w:val="Hyperlink"/>
          </w:rPr>
          <w:t>https://ieeexplore.ieee.org/abstract/document/8843758/</w:t>
        </w:r>
      </w:hyperlink>
      <w:r w:rsidR="009A1BB8">
        <w:t xml:space="preserve"> </w:t>
      </w:r>
    </w:p>
    <w:p w14:paraId="553A231C" w14:textId="77777777" w:rsidR="00392DB8" w:rsidRDefault="00392DB8" w:rsidP="00392DB8">
      <w:pPr>
        <w:pStyle w:val="Body"/>
        <w:ind w:left="284" w:hanging="284"/>
      </w:pPr>
      <w:proofErr w:type="spellStart"/>
      <w:r>
        <w:t>Susanti</w:t>
      </w:r>
      <w:proofErr w:type="spellEnd"/>
      <w:r>
        <w:t xml:space="preserve">, L., </w:t>
      </w:r>
      <w:proofErr w:type="spellStart"/>
      <w:r>
        <w:t>Alamsyah</w:t>
      </w:r>
      <w:proofErr w:type="spellEnd"/>
      <w:r>
        <w:t xml:space="preserve">, D.P., &amp; </w:t>
      </w:r>
      <w:proofErr w:type="spellStart"/>
      <w:r>
        <w:t>Setiadi</w:t>
      </w:r>
      <w:proofErr w:type="spellEnd"/>
      <w:r>
        <w:t>, A. (2022). The Mobility and Its Impact on Mobile Payment Adoption. 2022 8th International Conference on Wireless and Telematics (ICWT), 1-5. https://doi.org/10.1109/ICWT55831.2022.9935133</w:t>
      </w:r>
    </w:p>
    <w:p w14:paraId="1F832318" w14:textId="77777777" w:rsidR="009A1BB8" w:rsidRDefault="009A1BB8" w:rsidP="00392DB8">
      <w:pPr>
        <w:pStyle w:val="Body"/>
        <w:ind w:left="284" w:hanging="284"/>
      </w:pPr>
      <w:r w:rsidRPr="009A1BB8">
        <w:lastRenderedPageBreak/>
        <w:t xml:space="preserve">Singh, S., Casado-Aranda, L.-A., &amp; Ramos de Luna, I. (2020). Assessing the Antecedents of User Intention to Use Mobile Payment Services in the Context of Emerging Markets. In Impact of Mobile Services on Business Development and E-Commerce. </w:t>
      </w:r>
      <w:hyperlink r:id="rId43" w:history="1">
        <w:r w:rsidRPr="00884FD2">
          <w:rPr>
            <w:rStyle w:val="Hyperlink"/>
          </w:rPr>
          <w:t>https://doi.org/10.4018/978-1-7998-0050-7.ch008</w:t>
        </w:r>
      </w:hyperlink>
      <w:r>
        <w:t xml:space="preserve"> </w:t>
      </w:r>
    </w:p>
    <w:p w14:paraId="6DA54330" w14:textId="42A097A4" w:rsidR="00392DB8" w:rsidRDefault="00392DB8" w:rsidP="00392DB8">
      <w:pPr>
        <w:pStyle w:val="Body"/>
        <w:ind w:left="284" w:hanging="284"/>
      </w:pPr>
      <w:r>
        <w:t xml:space="preserve">Xin, H., </w:t>
      </w:r>
      <w:proofErr w:type="spellStart"/>
      <w:r>
        <w:t>Techatassanasoontorn</w:t>
      </w:r>
      <w:proofErr w:type="spellEnd"/>
      <w:r>
        <w:t xml:space="preserve">, A.A., &amp; Tan, F.B. (2013). Exploring the Influence of Trust on Mobile Payment Adoption. Pacific Asia Conference on Information Systems. </w:t>
      </w:r>
      <w:hyperlink r:id="rId44" w:history="1">
        <w:r w:rsidR="009A1BB8" w:rsidRPr="00884FD2">
          <w:rPr>
            <w:rStyle w:val="Hyperlink"/>
          </w:rPr>
          <w:t>http://www.pacis-net.org/file/2013/PACIS2013-143</w:t>
        </w:r>
      </w:hyperlink>
      <w:r w:rsidR="009A1BB8">
        <w:t xml:space="preserve"> </w:t>
      </w:r>
    </w:p>
    <w:p w14:paraId="512ACA42" w14:textId="77777777" w:rsidR="009A1BB8" w:rsidRDefault="009A1BB8" w:rsidP="00392DB8">
      <w:pPr>
        <w:pStyle w:val="Body"/>
        <w:spacing w:after="0"/>
        <w:ind w:left="284" w:hanging="284"/>
        <w:jc w:val="left"/>
      </w:pPr>
      <w:r w:rsidRPr="009A1BB8">
        <w:t xml:space="preserve">Yan, H., &amp; Yang, Z. (2014). An Empirical Examination of User Adoption Mobile Payment. 2014 International Conference on Management of e-Commerce and e-Government. </w:t>
      </w:r>
      <w:hyperlink r:id="rId45" w:history="1">
        <w:r w:rsidRPr="00884FD2">
          <w:rPr>
            <w:rStyle w:val="Hyperlink"/>
          </w:rPr>
          <w:t>https://doi.org/10.1109/ICMECG.2014.40</w:t>
        </w:r>
      </w:hyperlink>
      <w:r>
        <w:t xml:space="preserve"> </w:t>
      </w:r>
    </w:p>
    <w:p w14:paraId="2905D7F1" w14:textId="726E6DF3" w:rsidR="00790ADA" w:rsidRPr="00FB3A86" w:rsidRDefault="009A1BB8" w:rsidP="00441B6F">
      <w:pPr>
        <w:pStyle w:val="Body"/>
        <w:spacing w:after="0"/>
        <w:rPr>
          <w:rFonts w:ascii="Arial" w:hAnsi="Arial" w:cs="Arial"/>
        </w:rPr>
      </w:pPr>
      <w:r w:rsidRPr="009A1BB8">
        <w:t xml:space="preserve">Zhang, J., </w:t>
      </w:r>
      <w:proofErr w:type="spellStart"/>
      <w:r w:rsidRPr="009A1BB8">
        <w:t>Luximon</w:t>
      </w:r>
      <w:proofErr w:type="spellEnd"/>
      <w:r w:rsidRPr="009A1BB8">
        <w:t xml:space="preserve">, Y., &amp; Song, Y. (2019). The role of consumers' perceived security, perceived control, interface design features, and conscientiousness in continuous use of mobile payment services. Sustainability. </w:t>
      </w:r>
      <w:hyperlink r:id="rId46" w:history="1">
        <w:r w:rsidRPr="00884FD2">
          <w:rPr>
            <w:rStyle w:val="Hyperlink"/>
          </w:rPr>
          <w:t>https://doi.org/10.3390/su11236843</w:t>
        </w:r>
      </w:hyperlink>
      <w:r>
        <w:t xml:space="preserve"> </w:t>
      </w:r>
    </w:p>
    <w:p w14:paraId="6039FB4F" w14:textId="0EB97E67" w:rsidR="004D4277" w:rsidRPr="00FB3A86" w:rsidRDefault="004D4277" w:rsidP="00441B6F">
      <w:pPr>
        <w:pStyle w:val="Appendix"/>
        <w:spacing w:after="0"/>
        <w:jc w:val="both"/>
        <w:rPr>
          <w:rFonts w:ascii="Arial" w:hAnsi="Arial" w:cs="Arial"/>
          <w:b w:val="0"/>
        </w:rPr>
        <w:sectPr w:rsidR="004D4277" w:rsidRPr="00FB3A86" w:rsidSect="004F05C3">
          <w:headerReference w:type="even" r:id="rId47"/>
          <w:headerReference w:type="default" r:id="rId48"/>
          <w:footerReference w:type="default" r:id="rId49"/>
          <w:headerReference w:type="first" r:id="rId50"/>
          <w:type w:val="continuous"/>
          <w:pgSz w:w="12240" w:h="15840"/>
          <w:pgMar w:top="1440" w:right="2016" w:bottom="2016" w:left="2016" w:header="720" w:footer="1123" w:gutter="0"/>
          <w:cols w:space="720"/>
          <w:docGrid w:linePitch="272"/>
        </w:sectPr>
      </w:pPr>
    </w:p>
    <w:p w14:paraId="2B6AFFD5" w14:textId="77777777" w:rsidR="00B01FCD" w:rsidRPr="00FB3A86" w:rsidRDefault="00B01FCD" w:rsidP="00441B6F">
      <w:pPr>
        <w:pStyle w:val="Appendix"/>
        <w:spacing w:after="0"/>
        <w:jc w:val="both"/>
        <w:rPr>
          <w:rFonts w:ascii="Arial" w:hAnsi="Arial" w:cs="Arial"/>
          <w:b w:val="0"/>
        </w:rPr>
      </w:pPr>
    </w:p>
    <w:sectPr w:rsidR="00B01FCD" w:rsidRPr="00FB3A86" w:rsidSect="004F05C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7ECB7" w14:textId="77777777" w:rsidR="00A02122" w:rsidRDefault="00A02122" w:rsidP="00C37E61">
      <w:r>
        <w:separator/>
      </w:r>
    </w:p>
  </w:endnote>
  <w:endnote w:type="continuationSeparator" w:id="0">
    <w:p w14:paraId="560CE40F" w14:textId="77777777" w:rsidR="00A02122" w:rsidRDefault="00A021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AC79" w14:textId="77777777" w:rsidR="004F05C3" w:rsidRDefault="004F0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0268" w14:textId="77777777" w:rsidR="004F05C3" w:rsidRDefault="004F0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598C" w14:textId="7BEF7FE0" w:rsidR="00754C9A" w:rsidRPr="004F05C3" w:rsidRDefault="00754C9A" w:rsidP="004F05C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7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BAF2E" w14:textId="77777777" w:rsidR="00A02122" w:rsidRDefault="00A02122" w:rsidP="00C37E61">
      <w:r>
        <w:separator/>
      </w:r>
    </w:p>
  </w:footnote>
  <w:footnote w:type="continuationSeparator" w:id="0">
    <w:p w14:paraId="087C3DA5" w14:textId="77777777" w:rsidR="00A02122" w:rsidRDefault="00A021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B89F" w14:textId="618CB5BD" w:rsidR="004F05C3" w:rsidRDefault="004F05C3">
    <w:pPr>
      <w:pStyle w:val="Header"/>
    </w:pPr>
    <w:r>
      <w:rPr>
        <w:noProof/>
      </w:rPr>
      <w:pict w14:anchorId="5B763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3384" w14:textId="793267CB" w:rsidR="004F05C3" w:rsidRDefault="004F05C3">
    <w:pPr>
      <w:pStyle w:val="Header"/>
    </w:pPr>
    <w:r>
      <w:rPr>
        <w:noProof/>
      </w:rPr>
      <w:pict w14:anchorId="6E84D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B49" w14:textId="5E0B91AC" w:rsidR="00296529" w:rsidRPr="00296529" w:rsidRDefault="004F05C3" w:rsidP="00296529">
    <w:pPr>
      <w:ind w:left="2160"/>
      <w:jc w:val="center"/>
      <w:rPr>
        <w:rFonts w:ascii="Times New Roman" w:eastAsia="Calibri" w:hAnsi="Times New Roman"/>
        <w:i/>
        <w:sz w:val="18"/>
        <w:szCs w:val="22"/>
      </w:rPr>
    </w:pPr>
    <w:r>
      <w:rPr>
        <w:noProof/>
      </w:rPr>
      <w:pict w14:anchorId="4C2C6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EEA7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9383B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06FD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040A" w14:textId="156C5A66" w:rsidR="004F05C3" w:rsidRDefault="004F05C3">
    <w:pPr>
      <w:pStyle w:val="Header"/>
    </w:pPr>
    <w:r>
      <w:rPr>
        <w:noProof/>
      </w:rPr>
      <w:pict w14:anchorId="38FB2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47F9" w14:textId="03A56A66" w:rsidR="004F05C3" w:rsidRDefault="004F05C3">
    <w:pPr>
      <w:pStyle w:val="Header"/>
    </w:pPr>
    <w:r>
      <w:rPr>
        <w:noProof/>
      </w:rPr>
      <w:pict w14:anchorId="57697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67CF" w14:textId="26F8B6D5" w:rsidR="004F05C3" w:rsidRDefault="004F05C3">
    <w:pPr>
      <w:pStyle w:val="Header"/>
    </w:pPr>
    <w:r>
      <w:rPr>
        <w:noProof/>
      </w:rPr>
      <w:pict w14:anchorId="7E47E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997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9D0"/>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1D3102"/>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C94E48"/>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D5307E"/>
    <w:multiLevelType w:val="hybridMultilevel"/>
    <w:tmpl w:val="FB64D6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AE70CFB"/>
    <w:multiLevelType w:val="multilevel"/>
    <w:tmpl w:val="397E26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A55E47"/>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AD69A7"/>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01600E"/>
    <w:multiLevelType w:val="hybridMultilevel"/>
    <w:tmpl w:val="79CAA4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C6B21A3"/>
    <w:multiLevelType w:val="hybridMultilevel"/>
    <w:tmpl w:val="582E69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21274BC"/>
    <w:multiLevelType w:val="hybridMultilevel"/>
    <w:tmpl w:val="2D5C9E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3"/>
  </w:num>
  <w:num w:numId="5">
    <w:abstractNumId w:val="10"/>
  </w:num>
  <w:num w:numId="6">
    <w:abstractNumId w:val="6"/>
  </w:num>
  <w:num w:numId="7">
    <w:abstractNumId w:val="2"/>
  </w:num>
  <w:num w:numId="8">
    <w:abstractNumId w:val="1"/>
  </w:num>
  <w:num w:numId="9">
    <w:abstractNumId w:val="0"/>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2A3"/>
    <w:rsid w:val="000224F3"/>
    <w:rsid w:val="00030174"/>
    <w:rsid w:val="0003240B"/>
    <w:rsid w:val="0004579C"/>
    <w:rsid w:val="00080CA4"/>
    <w:rsid w:val="00084C83"/>
    <w:rsid w:val="000A47FA"/>
    <w:rsid w:val="000A65D3"/>
    <w:rsid w:val="000B1E33"/>
    <w:rsid w:val="000B74DF"/>
    <w:rsid w:val="000C53F7"/>
    <w:rsid w:val="000D2E0E"/>
    <w:rsid w:val="000D689F"/>
    <w:rsid w:val="000E7B7B"/>
    <w:rsid w:val="000E7D62"/>
    <w:rsid w:val="000F363C"/>
    <w:rsid w:val="00103357"/>
    <w:rsid w:val="00103862"/>
    <w:rsid w:val="0011550D"/>
    <w:rsid w:val="00123C9F"/>
    <w:rsid w:val="00126190"/>
    <w:rsid w:val="00130F17"/>
    <w:rsid w:val="001320BF"/>
    <w:rsid w:val="00163BC4"/>
    <w:rsid w:val="001751F4"/>
    <w:rsid w:val="00183EE3"/>
    <w:rsid w:val="00191062"/>
    <w:rsid w:val="001914C7"/>
    <w:rsid w:val="00192B72"/>
    <w:rsid w:val="00192C02"/>
    <w:rsid w:val="00196C6D"/>
    <w:rsid w:val="001A29D8"/>
    <w:rsid w:val="001A5CAA"/>
    <w:rsid w:val="001B0427"/>
    <w:rsid w:val="001B0AA4"/>
    <w:rsid w:val="001B2A82"/>
    <w:rsid w:val="001C70F4"/>
    <w:rsid w:val="001D3A51"/>
    <w:rsid w:val="001D48CA"/>
    <w:rsid w:val="001E10D2"/>
    <w:rsid w:val="001E25B4"/>
    <w:rsid w:val="001E3517"/>
    <w:rsid w:val="001E4464"/>
    <w:rsid w:val="001E44FE"/>
    <w:rsid w:val="00200595"/>
    <w:rsid w:val="002007C6"/>
    <w:rsid w:val="00204835"/>
    <w:rsid w:val="00204C4A"/>
    <w:rsid w:val="002216A3"/>
    <w:rsid w:val="0022554F"/>
    <w:rsid w:val="00231920"/>
    <w:rsid w:val="0023195C"/>
    <w:rsid w:val="00235D89"/>
    <w:rsid w:val="00235D8C"/>
    <w:rsid w:val="0024282C"/>
    <w:rsid w:val="002460DC"/>
    <w:rsid w:val="00250985"/>
    <w:rsid w:val="00253D62"/>
    <w:rsid w:val="002556F6"/>
    <w:rsid w:val="00271202"/>
    <w:rsid w:val="00282DC4"/>
    <w:rsid w:val="00283105"/>
    <w:rsid w:val="00284C4C"/>
    <w:rsid w:val="00287E68"/>
    <w:rsid w:val="00296529"/>
    <w:rsid w:val="002A1033"/>
    <w:rsid w:val="002B27FB"/>
    <w:rsid w:val="002B685A"/>
    <w:rsid w:val="002C2357"/>
    <w:rsid w:val="002C57D2"/>
    <w:rsid w:val="002E0D56"/>
    <w:rsid w:val="002F64E3"/>
    <w:rsid w:val="003101A5"/>
    <w:rsid w:val="00315186"/>
    <w:rsid w:val="003308E3"/>
    <w:rsid w:val="0033343E"/>
    <w:rsid w:val="00344803"/>
    <w:rsid w:val="003512C2"/>
    <w:rsid w:val="00357687"/>
    <w:rsid w:val="003607F0"/>
    <w:rsid w:val="0036557D"/>
    <w:rsid w:val="00365D42"/>
    <w:rsid w:val="00371FB6"/>
    <w:rsid w:val="003745CD"/>
    <w:rsid w:val="003763C1"/>
    <w:rsid w:val="00376BBE"/>
    <w:rsid w:val="00384677"/>
    <w:rsid w:val="0039224F"/>
    <w:rsid w:val="00392DB8"/>
    <w:rsid w:val="003A1D7A"/>
    <w:rsid w:val="003A43A4"/>
    <w:rsid w:val="003A4A75"/>
    <w:rsid w:val="003A7E18"/>
    <w:rsid w:val="003C4C86"/>
    <w:rsid w:val="003C6258"/>
    <w:rsid w:val="003E2904"/>
    <w:rsid w:val="00401927"/>
    <w:rsid w:val="0041027F"/>
    <w:rsid w:val="00412475"/>
    <w:rsid w:val="00417724"/>
    <w:rsid w:val="004208F9"/>
    <w:rsid w:val="00421CC7"/>
    <w:rsid w:val="00423789"/>
    <w:rsid w:val="00440F43"/>
    <w:rsid w:val="00441B6F"/>
    <w:rsid w:val="00446221"/>
    <w:rsid w:val="00450E62"/>
    <w:rsid w:val="00450EB1"/>
    <w:rsid w:val="004539DB"/>
    <w:rsid w:val="00471A80"/>
    <w:rsid w:val="00494B66"/>
    <w:rsid w:val="004A6FD4"/>
    <w:rsid w:val="004B3EC9"/>
    <w:rsid w:val="004C01A7"/>
    <w:rsid w:val="004C0E88"/>
    <w:rsid w:val="004C3553"/>
    <w:rsid w:val="004C4C0F"/>
    <w:rsid w:val="004D2947"/>
    <w:rsid w:val="004D305E"/>
    <w:rsid w:val="004D4277"/>
    <w:rsid w:val="004F02E5"/>
    <w:rsid w:val="004F05C3"/>
    <w:rsid w:val="004F241A"/>
    <w:rsid w:val="004F28BA"/>
    <w:rsid w:val="00502516"/>
    <w:rsid w:val="00505F06"/>
    <w:rsid w:val="00506828"/>
    <w:rsid w:val="00514701"/>
    <w:rsid w:val="0053056E"/>
    <w:rsid w:val="00532E90"/>
    <w:rsid w:val="005333E5"/>
    <w:rsid w:val="00550972"/>
    <w:rsid w:val="00554FDA"/>
    <w:rsid w:val="00572726"/>
    <w:rsid w:val="0057535D"/>
    <w:rsid w:val="00581549"/>
    <w:rsid w:val="005A7976"/>
    <w:rsid w:val="005B0B28"/>
    <w:rsid w:val="005B2F8B"/>
    <w:rsid w:val="005C784C"/>
    <w:rsid w:val="005D17F6"/>
    <w:rsid w:val="005D391C"/>
    <w:rsid w:val="005E5539"/>
    <w:rsid w:val="005F15A6"/>
    <w:rsid w:val="00602BF5"/>
    <w:rsid w:val="00614AA8"/>
    <w:rsid w:val="00617FDD"/>
    <w:rsid w:val="00620878"/>
    <w:rsid w:val="006246C5"/>
    <w:rsid w:val="00630082"/>
    <w:rsid w:val="00633614"/>
    <w:rsid w:val="00633F68"/>
    <w:rsid w:val="00636EB2"/>
    <w:rsid w:val="006375B8"/>
    <w:rsid w:val="00644DF2"/>
    <w:rsid w:val="0066510A"/>
    <w:rsid w:val="00673F9F"/>
    <w:rsid w:val="00686190"/>
    <w:rsid w:val="00686547"/>
    <w:rsid w:val="00686953"/>
    <w:rsid w:val="00687DEA"/>
    <w:rsid w:val="00687E67"/>
    <w:rsid w:val="006967F7"/>
    <w:rsid w:val="006A250C"/>
    <w:rsid w:val="006A3873"/>
    <w:rsid w:val="006B21D3"/>
    <w:rsid w:val="006B57D0"/>
    <w:rsid w:val="006C06FF"/>
    <w:rsid w:val="006D30FF"/>
    <w:rsid w:val="006D64C5"/>
    <w:rsid w:val="006D6940"/>
    <w:rsid w:val="006F11EC"/>
    <w:rsid w:val="0070082C"/>
    <w:rsid w:val="007225B9"/>
    <w:rsid w:val="00723EFD"/>
    <w:rsid w:val="007310CE"/>
    <w:rsid w:val="007369E6"/>
    <w:rsid w:val="00746E59"/>
    <w:rsid w:val="00747E2B"/>
    <w:rsid w:val="00752077"/>
    <w:rsid w:val="00754C9A"/>
    <w:rsid w:val="00755212"/>
    <w:rsid w:val="0075599A"/>
    <w:rsid w:val="00761D52"/>
    <w:rsid w:val="007622CA"/>
    <w:rsid w:val="0077718D"/>
    <w:rsid w:val="0077749E"/>
    <w:rsid w:val="00790ADA"/>
    <w:rsid w:val="00790B5C"/>
    <w:rsid w:val="00792B91"/>
    <w:rsid w:val="007A6922"/>
    <w:rsid w:val="007B21FC"/>
    <w:rsid w:val="007B535D"/>
    <w:rsid w:val="007D11F2"/>
    <w:rsid w:val="007D19C3"/>
    <w:rsid w:val="007D2288"/>
    <w:rsid w:val="007E088F"/>
    <w:rsid w:val="007E6D8F"/>
    <w:rsid w:val="007F7B32"/>
    <w:rsid w:val="00804BC2"/>
    <w:rsid w:val="00812951"/>
    <w:rsid w:val="0081431A"/>
    <w:rsid w:val="0083216F"/>
    <w:rsid w:val="00843C44"/>
    <w:rsid w:val="00851412"/>
    <w:rsid w:val="00854971"/>
    <w:rsid w:val="00856264"/>
    <w:rsid w:val="00860000"/>
    <w:rsid w:val="00863BD3"/>
    <w:rsid w:val="008641ED"/>
    <w:rsid w:val="00866D66"/>
    <w:rsid w:val="008671C6"/>
    <w:rsid w:val="00867871"/>
    <w:rsid w:val="00875803"/>
    <w:rsid w:val="00895E56"/>
    <w:rsid w:val="008B459E"/>
    <w:rsid w:val="008E0D8D"/>
    <w:rsid w:val="008E13AE"/>
    <w:rsid w:val="008E1506"/>
    <w:rsid w:val="008E5247"/>
    <w:rsid w:val="008E5E14"/>
    <w:rsid w:val="008E710C"/>
    <w:rsid w:val="008F69D6"/>
    <w:rsid w:val="00902823"/>
    <w:rsid w:val="00915CA6"/>
    <w:rsid w:val="00926511"/>
    <w:rsid w:val="00927834"/>
    <w:rsid w:val="00936460"/>
    <w:rsid w:val="00941416"/>
    <w:rsid w:val="00945BCC"/>
    <w:rsid w:val="009500A6"/>
    <w:rsid w:val="00957C18"/>
    <w:rsid w:val="009659BA"/>
    <w:rsid w:val="00971077"/>
    <w:rsid w:val="00983040"/>
    <w:rsid w:val="00986217"/>
    <w:rsid w:val="009A1BB8"/>
    <w:rsid w:val="009B0884"/>
    <w:rsid w:val="009B3FB9"/>
    <w:rsid w:val="009C1614"/>
    <w:rsid w:val="009C2465"/>
    <w:rsid w:val="009D35A0"/>
    <w:rsid w:val="009D4DFF"/>
    <w:rsid w:val="009D7EB7"/>
    <w:rsid w:val="009E048A"/>
    <w:rsid w:val="009E08E9"/>
    <w:rsid w:val="009E3DB9"/>
    <w:rsid w:val="009E6E35"/>
    <w:rsid w:val="009F0EDA"/>
    <w:rsid w:val="00A02122"/>
    <w:rsid w:val="00A03B96"/>
    <w:rsid w:val="00A0571C"/>
    <w:rsid w:val="00A05B19"/>
    <w:rsid w:val="00A10D07"/>
    <w:rsid w:val="00A1134E"/>
    <w:rsid w:val="00A24E7E"/>
    <w:rsid w:val="00A258C3"/>
    <w:rsid w:val="00A27DAA"/>
    <w:rsid w:val="00A30060"/>
    <w:rsid w:val="00A347C0"/>
    <w:rsid w:val="00A4790D"/>
    <w:rsid w:val="00A51431"/>
    <w:rsid w:val="00A539AD"/>
    <w:rsid w:val="00A55194"/>
    <w:rsid w:val="00A55EE2"/>
    <w:rsid w:val="00A62DA2"/>
    <w:rsid w:val="00A642AE"/>
    <w:rsid w:val="00A802A4"/>
    <w:rsid w:val="00A86158"/>
    <w:rsid w:val="00A94063"/>
    <w:rsid w:val="00AA4430"/>
    <w:rsid w:val="00AA6219"/>
    <w:rsid w:val="00AA74E0"/>
    <w:rsid w:val="00AB00E6"/>
    <w:rsid w:val="00AB65BC"/>
    <w:rsid w:val="00AB703F"/>
    <w:rsid w:val="00AC601D"/>
    <w:rsid w:val="00AC6BB8"/>
    <w:rsid w:val="00AD53E0"/>
    <w:rsid w:val="00AE008F"/>
    <w:rsid w:val="00AE1448"/>
    <w:rsid w:val="00AE692E"/>
    <w:rsid w:val="00AE7FEC"/>
    <w:rsid w:val="00B01FCD"/>
    <w:rsid w:val="00B067C3"/>
    <w:rsid w:val="00B1776C"/>
    <w:rsid w:val="00B35299"/>
    <w:rsid w:val="00B47687"/>
    <w:rsid w:val="00B52583"/>
    <w:rsid w:val="00B52896"/>
    <w:rsid w:val="00B62479"/>
    <w:rsid w:val="00B6322E"/>
    <w:rsid w:val="00B80966"/>
    <w:rsid w:val="00B95236"/>
    <w:rsid w:val="00B95731"/>
    <w:rsid w:val="00B96BD9"/>
    <w:rsid w:val="00BA1B01"/>
    <w:rsid w:val="00BA2641"/>
    <w:rsid w:val="00BA27E0"/>
    <w:rsid w:val="00BB37AA"/>
    <w:rsid w:val="00BC53A0"/>
    <w:rsid w:val="00BC63A6"/>
    <w:rsid w:val="00BE62AD"/>
    <w:rsid w:val="00BF121F"/>
    <w:rsid w:val="00BF1F80"/>
    <w:rsid w:val="00BF5B74"/>
    <w:rsid w:val="00C166EF"/>
    <w:rsid w:val="00C17EB0"/>
    <w:rsid w:val="00C27F5F"/>
    <w:rsid w:val="00C30A0F"/>
    <w:rsid w:val="00C37E61"/>
    <w:rsid w:val="00C45C18"/>
    <w:rsid w:val="00C51CC0"/>
    <w:rsid w:val="00C521A3"/>
    <w:rsid w:val="00C70F1B"/>
    <w:rsid w:val="00C71A47"/>
    <w:rsid w:val="00C71BC0"/>
    <w:rsid w:val="00C7464C"/>
    <w:rsid w:val="00C85588"/>
    <w:rsid w:val="00C85F03"/>
    <w:rsid w:val="00CA100B"/>
    <w:rsid w:val="00CB4199"/>
    <w:rsid w:val="00CD4090"/>
    <w:rsid w:val="00CD6755"/>
    <w:rsid w:val="00CD6856"/>
    <w:rsid w:val="00CD6CCA"/>
    <w:rsid w:val="00CD7D0A"/>
    <w:rsid w:val="00CE0089"/>
    <w:rsid w:val="00CE356C"/>
    <w:rsid w:val="00CE3589"/>
    <w:rsid w:val="00CE3BED"/>
    <w:rsid w:val="00CE793C"/>
    <w:rsid w:val="00CF193C"/>
    <w:rsid w:val="00D05B95"/>
    <w:rsid w:val="00D0695E"/>
    <w:rsid w:val="00D077DD"/>
    <w:rsid w:val="00D1148A"/>
    <w:rsid w:val="00D16330"/>
    <w:rsid w:val="00D173F1"/>
    <w:rsid w:val="00D21CE6"/>
    <w:rsid w:val="00D25BED"/>
    <w:rsid w:val="00D56B0C"/>
    <w:rsid w:val="00D74CB0"/>
    <w:rsid w:val="00D7585A"/>
    <w:rsid w:val="00D81FE0"/>
    <w:rsid w:val="00D8295D"/>
    <w:rsid w:val="00D90F61"/>
    <w:rsid w:val="00D96452"/>
    <w:rsid w:val="00DA0EA3"/>
    <w:rsid w:val="00DA350C"/>
    <w:rsid w:val="00DA6E47"/>
    <w:rsid w:val="00DB2999"/>
    <w:rsid w:val="00DB6C64"/>
    <w:rsid w:val="00DC2A65"/>
    <w:rsid w:val="00DE00A8"/>
    <w:rsid w:val="00DE15F0"/>
    <w:rsid w:val="00DE5663"/>
    <w:rsid w:val="00DE78AA"/>
    <w:rsid w:val="00E0142C"/>
    <w:rsid w:val="00E03CF5"/>
    <w:rsid w:val="00E053D0"/>
    <w:rsid w:val="00E07C43"/>
    <w:rsid w:val="00E15994"/>
    <w:rsid w:val="00E215A6"/>
    <w:rsid w:val="00E253E0"/>
    <w:rsid w:val="00E3114E"/>
    <w:rsid w:val="00E3197F"/>
    <w:rsid w:val="00E31A70"/>
    <w:rsid w:val="00E35B02"/>
    <w:rsid w:val="00E4187D"/>
    <w:rsid w:val="00E52F91"/>
    <w:rsid w:val="00E66496"/>
    <w:rsid w:val="00E66B35"/>
    <w:rsid w:val="00E66E10"/>
    <w:rsid w:val="00E702D5"/>
    <w:rsid w:val="00E769F6"/>
    <w:rsid w:val="00E76A47"/>
    <w:rsid w:val="00E8407C"/>
    <w:rsid w:val="00E84F3C"/>
    <w:rsid w:val="00E87B96"/>
    <w:rsid w:val="00E90A1C"/>
    <w:rsid w:val="00E94178"/>
    <w:rsid w:val="00E9438E"/>
    <w:rsid w:val="00EA012C"/>
    <w:rsid w:val="00EC1B25"/>
    <w:rsid w:val="00EC6A55"/>
    <w:rsid w:val="00ED0288"/>
    <w:rsid w:val="00EE4A63"/>
    <w:rsid w:val="00EE5273"/>
    <w:rsid w:val="00EE52CB"/>
    <w:rsid w:val="00EF581D"/>
    <w:rsid w:val="00EF7FD8"/>
    <w:rsid w:val="00F06F59"/>
    <w:rsid w:val="00F1113F"/>
    <w:rsid w:val="00F17988"/>
    <w:rsid w:val="00F20867"/>
    <w:rsid w:val="00F4433B"/>
    <w:rsid w:val="00F469F0"/>
    <w:rsid w:val="00F53273"/>
    <w:rsid w:val="00F5786E"/>
    <w:rsid w:val="00F755E4"/>
    <w:rsid w:val="00F77D02"/>
    <w:rsid w:val="00F832DC"/>
    <w:rsid w:val="00F93702"/>
    <w:rsid w:val="00F97755"/>
    <w:rsid w:val="00FB0E71"/>
    <w:rsid w:val="00FB3A86"/>
    <w:rsid w:val="00FC7B34"/>
    <w:rsid w:val="00FD36C8"/>
    <w:rsid w:val="00FD6C2A"/>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1C24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CA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539/ijms.v8n1p117" TargetMode="External"/><Relationship Id="rId26" Type="http://schemas.openxmlformats.org/officeDocument/2006/relationships/hyperlink" Target="https://doi.org/10.1080/14783363.2018.1486550" TargetMode="External"/><Relationship Id="rId39" Type="http://schemas.openxmlformats.org/officeDocument/2006/relationships/hyperlink" Target="https://doi.org/10.4018/978-1-7998-6618-3.ch010" TargetMode="External"/><Relationship Id="rId21" Type="http://schemas.openxmlformats.org/officeDocument/2006/relationships/hyperlink" Target="https://doi.org/10.1080/08874417.2016.1180649" TargetMode="External"/><Relationship Id="rId34" Type="http://schemas.openxmlformats.org/officeDocument/2006/relationships/hyperlink" Target="https://doi.org/10.52403/ijrr.20230447" TargetMode="External"/><Relationship Id="rId42" Type="http://schemas.openxmlformats.org/officeDocument/2006/relationships/hyperlink" Target="https://ieeexplore.ieee.org/abstract/document/8843758/"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9537325.2022.2132928" TargetMode="External"/><Relationship Id="rId29" Type="http://schemas.openxmlformats.org/officeDocument/2006/relationships/hyperlink" Target="https://doi.org/10.1108/OIR-05-2018-0175" TargetMode="External"/><Relationship Id="rId11" Type="http://schemas.openxmlformats.org/officeDocument/2006/relationships/footer" Target="footer2.xml"/><Relationship Id="rId24" Type="http://schemas.openxmlformats.org/officeDocument/2006/relationships/hyperlink" Target="http://aisel.aisnet.org/whiceb2016/31" TargetMode="External"/><Relationship Id="rId32" Type="http://schemas.openxmlformats.org/officeDocument/2006/relationships/hyperlink" Target="https://doi.org/10.17703/ijact.2020.8.1.38" TargetMode="External"/><Relationship Id="rId37" Type="http://schemas.openxmlformats.org/officeDocument/2006/relationships/hyperlink" Target="https://doi.org/10.1177/2158244016675397" TargetMode="External"/><Relationship Id="rId40" Type="http://schemas.openxmlformats.org/officeDocument/2006/relationships/hyperlink" Target="https://doi.org/10.21776/ub.apmba.2022.011.02.2" TargetMode="External"/><Relationship Id="rId45" Type="http://schemas.openxmlformats.org/officeDocument/2006/relationships/hyperlink" Target="https://doi.org/10.1109/ICMECG.2014.40" TargetMode="External"/><Relationship Id="rId5" Type="http://schemas.openxmlformats.org/officeDocument/2006/relationships/webSettings" Target="webSettings.xml"/><Relationship Id="rId15" Type="http://schemas.openxmlformats.org/officeDocument/2006/relationships/hyperlink" Target="https://doi.org/10.1145/2617848.2617851" TargetMode="External"/><Relationship Id="rId23" Type="http://schemas.openxmlformats.org/officeDocument/2006/relationships/hyperlink" Target="https://doi.org/10.5195/emaj.2016.95" TargetMode="External"/><Relationship Id="rId28" Type="http://schemas.openxmlformats.org/officeDocument/2006/relationships/hyperlink" Target="https://doi.org/10.1108/ijbm-01-2019-0012" TargetMode="External"/><Relationship Id="rId36" Type="http://schemas.openxmlformats.org/officeDocument/2006/relationships/hyperlink" Target="https://doi.org/10.12776/QIP.V21I3.983"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90/info10120384" TargetMode="External"/><Relationship Id="rId31" Type="http://schemas.openxmlformats.org/officeDocument/2006/relationships/hyperlink" Target="https://doi.org/10.17265/2328-7144/2016.06.001" TargetMode="External"/><Relationship Id="rId44" Type="http://schemas.openxmlformats.org/officeDocument/2006/relationships/hyperlink" Target="http://www.pacis-net.org/file/2013/PACIS2013-14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991/aebmr.k.200514.002" TargetMode="External"/><Relationship Id="rId22" Type="http://schemas.openxmlformats.org/officeDocument/2006/relationships/hyperlink" Target="https://doi.org/10.1016/j.tele.2020.101397" TargetMode="External"/><Relationship Id="rId27" Type="http://schemas.openxmlformats.org/officeDocument/2006/relationships/hyperlink" Target="https://doi.org/10.1016/j.chbr.2020.100008" TargetMode="External"/><Relationship Id="rId30" Type="http://schemas.openxmlformats.org/officeDocument/2006/relationships/hyperlink" Target="https://aisel.aisnet.org/pacis2014/231" TargetMode="External"/><Relationship Id="rId35" Type="http://schemas.openxmlformats.org/officeDocument/2006/relationships/hyperlink" Target="https://doi.org/10.1080/02681102.2019.1701969" TargetMode="External"/><Relationship Id="rId43" Type="http://schemas.openxmlformats.org/officeDocument/2006/relationships/hyperlink" Target="https://doi.org/10.4018/978-1-7998-0050-7.ch008"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8/IntR-10-2014-0273" TargetMode="External"/><Relationship Id="rId25" Type="http://schemas.openxmlformats.org/officeDocument/2006/relationships/hyperlink" Target="https://doi.org/10.1080/15228916.2017.1396792" TargetMode="External"/><Relationship Id="rId33" Type="http://schemas.openxmlformats.org/officeDocument/2006/relationships/hyperlink" Target="https://doi.org/10.1145/2785830.2785874" TargetMode="External"/><Relationship Id="rId38" Type="http://schemas.openxmlformats.org/officeDocument/2006/relationships/hyperlink" Target="https://doi.org/10.1108/mf-09-2021-0466" TargetMode="External"/><Relationship Id="rId46" Type="http://schemas.openxmlformats.org/officeDocument/2006/relationships/hyperlink" Target="https://doi.org/10.3390/su11236843" TargetMode="External"/><Relationship Id="rId20" Type="http://schemas.openxmlformats.org/officeDocument/2006/relationships/hyperlink" Target="https://buscompress.com/uploads/3/4/9/8/34980536/riber_12-1_01_m21-1201_1-20.pdf" TargetMode="External"/><Relationship Id="rId41" Type="http://schemas.openxmlformats.org/officeDocument/2006/relationships/hyperlink" Target="https://doi.org/10.1177/097215091875787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D4BE-DE6A-48BE-B6CC-42577F90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16</Pages>
  <Words>7242</Words>
  <Characters>41285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48431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2025-12-21T13:41:00Z</dcterms:created>
  <dcterms:modified xsi:type="dcterms:W3CDTF">2025-12-29T10:19:00Z</dcterms:modified>
</cp:coreProperties>
</file>