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294E3E" w14:textId="6AC4A7F4" w:rsidR="00754C9A" w:rsidRDefault="00570971" w:rsidP="00441B6F">
      <w:pPr>
        <w:pStyle w:val="Title"/>
        <w:spacing w:after="0"/>
        <w:jc w:val="both"/>
        <w:rPr>
          <w:rFonts w:ascii="Arial" w:hAnsi="Arial" w:cs="Arial"/>
        </w:rPr>
      </w:pPr>
      <w:r w:rsidRPr="00570971">
        <w:rPr>
          <w:rFonts w:ascii="Arial" w:hAnsi="Arial" w:cs="Arial"/>
        </w:rPr>
        <w:t>Original research paper</w:t>
      </w:r>
    </w:p>
    <w:p w14:paraId="3C491FFB" w14:textId="77777777" w:rsidR="00570971" w:rsidRPr="00662607" w:rsidRDefault="00570971" w:rsidP="00441B6F">
      <w:pPr>
        <w:pStyle w:val="Title"/>
        <w:spacing w:after="0"/>
        <w:jc w:val="both"/>
        <w:rPr>
          <w:rFonts w:ascii="Arial" w:hAnsi="Arial" w:cs="Arial"/>
        </w:rPr>
      </w:pPr>
    </w:p>
    <w:p w14:paraId="12AB938B" w14:textId="77777777" w:rsidR="00163BC4" w:rsidRPr="00E65610" w:rsidRDefault="00766B56" w:rsidP="00441B6F">
      <w:pPr>
        <w:pStyle w:val="Author"/>
        <w:spacing w:line="240" w:lineRule="auto"/>
        <w:rPr>
          <w:rFonts w:ascii="Arial" w:hAnsi="Arial" w:cs="Arial"/>
          <w:bCs/>
          <w:iCs/>
          <w:kern w:val="28"/>
          <w:sz w:val="36"/>
        </w:rPr>
      </w:pPr>
      <w:r w:rsidRPr="00E65610">
        <w:rPr>
          <w:rFonts w:ascii="Arial" w:hAnsi="Arial" w:cs="Arial"/>
          <w:bCs/>
          <w:iCs/>
          <w:kern w:val="28"/>
          <w:sz w:val="36"/>
        </w:rPr>
        <w:t>Household Carbon Footprints and Climate Change Vulnerability in Maharashtra</w:t>
      </w:r>
    </w:p>
    <w:p w14:paraId="5B47E814" w14:textId="77777777" w:rsidR="00A258C3" w:rsidRPr="00E65610" w:rsidRDefault="00A258C3" w:rsidP="00441B6F">
      <w:pPr>
        <w:pStyle w:val="Author"/>
        <w:spacing w:line="240" w:lineRule="auto"/>
        <w:jc w:val="both"/>
        <w:rPr>
          <w:rFonts w:ascii="Arial" w:hAnsi="Arial" w:cs="Arial"/>
          <w:sz w:val="36"/>
        </w:rPr>
      </w:pPr>
    </w:p>
    <w:p w14:paraId="208BF51A" w14:textId="77777777" w:rsidR="002C57D2" w:rsidRPr="00E65610" w:rsidRDefault="002C57D2" w:rsidP="00441B6F">
      <w:pPr>
        <w:pStyle w:val="Affiliation"/>
        <w:spacing w:after="0" w:line="240" w:lineRule="auto"/>
        <w:jc w:val="both"/>
        <w:rPr>
          <w:rFonts w:ascii="Arial" w:hAnsi="Arial" w:cs="Arial"/>
        </w:rPr>
      </w:pPr>
    </w:p>
    <w:p w14:paraId="34469CD8" w14:textId="77777777" w:rsidR="00B01FCD" w:rsidRPr="00E65610" w:rsidRDefault="00CF0EBC" w:rsidP="00441B6F">
      <w:pPr>
        <w:pStyle w:val="Copyright"/>
        <w:spacing w:after="0" w:line="240" w:lineRule="auto"/>
        <w:jc w:val="both"/>
        <w:rPr>
          <w:rFonts w:ascii="Arial" w:hAnsi="Arial" w:cs="Arial"/>
        </w:rPr>
        <w:sectPr w:rsidR="00B01FCD" w:rsidRPr="00E65610" w:rsidSect="00183F5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274E522">
          <v:shapetype id="_x0000_t32" coordsize="21600,21600" o:spt="32" o:oned="t" path="m,l21600,21600e" filled="f">
            <v:path arrowok="t" fillok="f" o:connecttype="none"/>
            <o:lock v:ext="edit" shapetype="t"/>
          </v:shapetype>
          <v:shape id="_x0000_s1085"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E65610">
        <w:rPr>
          <w:rFonts w:ascii="Arial" w:hAnsi="Arial" w:cs="Arial"/>
        </w:rPr>
        <w:t>.</w:t>
      </w:r>
    </w:p>
    <w:p w14:paraId="13FBDF5E" w14:textId="77777777" w:rsidR="00B01FCD" w:rsidRPr="00E65610" w:rsidRDefault="00B01FCD" w:rsidP="00E07732">
      <w:pPr>
        <w:pStyle w:val="AbstHead"/>
        <w:spacing w:after="0"/>
        <w:rPr>
          <w:rFonts w:ascii="Arial" w:hAnsi="Arial" w:cs="Arial"/>
        </w:rPr>
      </w:pPr>
      <w:r w:rsidRPr="00E65610">
        <w:rPr>
          <w:rFonts w:ascii="Arial" w:hAnsi="Arial" w:cs="Arial"/>
        </w:rPr>
        <w:t>ABSTRACT</w:t>
      </w:r>
      <w:r w:rsidR="0066510A" w:rsidRPr="00E65610">
        <w:rPr>
          <w:rFonts w:ascii="Arial" w:hAnsi="Arial" w:cs="Arial"/>
        </w:rPr>
        <w:t xml:space="preserve"> </w:t>
      </w:r>
    </w:p>
    <w:p w14:paraId="40B4C4E8" w14:textId="77777777" w:rsidR="00790ADA" w:rsidRPr="00E65610"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E65610" w14:paraId="0BE6BBC4" w14:textId="77777777" w:rsidTr="001E44FE">
        <w:tc>
          <w:tcPr>
            <w:tcW w:w="9576" w:type="dxa"/>
            <w:shd w:val="clear" w:color="auto" w:fill="F2F2F2"/>
          </w:tcPr>
          <w:p w14:paraId="71F2D51D" w14:textId="77777777" w:rsidR="00505F06" w:rsidRPr="00E65610" w:rsidRDefault="00E07732" w:rsidP="00441B6F">
            <w:pPr>
              <w:pStyle w:val="Body"/>
              <w:spacing w:after="0"/>
              <w:rPr>
                <w:rFonts w:ascii="Arial" w:eastAsia="Calibri" w:hAnsi="Arial" w:cs="Arial"/>
                <w:szCs w:val="22"/>
              </w:rPr>
            </w:pPr>
            <w:r w:rsidRPr="00E65610">
              <w:rPr>
                <w:rFonts w:ascii="Arial" w:eastAsia="Calibri" w:hAnsi="Arial" w:cs="Arial"/>
                <w:szCs w:val="22"/>
              </w:rPr>
              <w:t>This study presents a comprehensive analysis of the relationship between household carbon emissions and economic vulnerability to climate change across Maharashtra, India. Using a stratified survey of</w:t>
            </w:r>
            <w:r w:rsidR="0051559C" w:rsidRPr="00E65610">
              <w:rPr>
                <w:rFonts w:ascii="Arial" w:eastAsia="Calibri" w:hAnsi="Arial" w:cs="Arial"/>
                <w:szCs w:val="22"/>
              </w:rPr>
              <w:t xml:space="preserve"> 1000 households across 123 villages and cities in Maharashtra between August 2022 and March 2023</w:t>
            </w:r>
            <w:r w:rsidRPr="00E65610">
              <w:rPr>
                <w:rFonts w:ascii="Arial" w:eastAsia="Calibri" w:hAnsi="Arial" w:cs="Arial"/>
                <w:szCs w:val="22"/>
              </w:rPr>
              <w:t xml:space="preserve"> from tribal, rural, urban, and metropolitan regions</w:t>
            </w:r>
            <w:r w:rsidR="0051559C" w:rsidRPr="00E65610">
              <w:rPr>
                <w:rFonts w:ascii="Arial" w:eastAsia="Calibri" w:hAnsi="Arial" w:cs="Arial"/>
                <w:szCs w:val="22"/>
              </w:rPr>
              <w:t>.</w:t>
            </w:r>
            <w:r w:rsidRPr="00E65610">
              <w:rPr>
                <w:rFonts w:ascii="Arial" w:eastAsia="Calibri" w:hAnsi="Arial" w:cs="Arial"/>
                <w:szCs w:val="22"/>
              </w:rPr>
              <w:t xml:space="preserve"> </w:t>
            </w:r>
            <w:r w:rsidR="0051559C" w:rsidRPr="00E65610">
              <w:rPr>
                <w:rFonts w:ascii="Arial" w:eastAsia="Calibri" w:hAnsi="Arial" w:cs="Arial"/>
                <w:szCs w:val="22"/>
              </w:rPr>
              <w:t>W</w:t>
            </w:r>
            <w:r w:rsidRPr="00E65610">
              <w:rPr>
                <w:rFonts w:ascii="Arial" w:eastAsia="Calibri" w:hAnsi="Arial" w:cs="Arial"/>
                <w:szCs w:val="22"/>
              </w:rPr>
              <w:t xml:space="preserve">e quantified households' Carbon Footprint and assessed economic losses due to climate related extremes, including floods, droughts, cyclones, and erratic rainfall. Carbon footprints were estimated using </w:t>
            </w:r>
            <w:proofErr w:type="gramStart"/>
            <w:r w:rsidRPr="00E65610">
              <w:rPr>
                <w:rFonts w:ascii="Arial" w:eastAsia="Calibri" w:hAnsi="Arial" w:cs="Arial"/>
                <w:szCs w:val="22"/>
              </w:rPr>
              <w:t>activity</w:t>
            </w:r>
            <w:r w:rsidR="00FF7AB4" w:rsidRPr="00E65610">
              <w:rPr>
                <w:rFonts w:ascii="Arial" w:eastAsia="Calibri" w:hAnsi="Arial" w:cs="Arial"/>
                <w:szCs w:val="22"/>
              </w:rPr>
              <w:t xml:space="preserve"> </w:t>
            </w:r>
            <w:r w:rsidRPr="00E65610">
              <w:rPr>
                <w:rFonts w:ascii="Arial" w:eastAsia="Calibri" w:hAnsi="Arial" w:cs="Arial"/>
                <w:szCs w:val="22"/>
              </w:rPr>
              <w:t>based</w:t>
            </w:r>
            <w:proofErr w:type="gramEnd"/>
            <w:r w:rsidRPr="00E65610">
              <w:rPr>
                <w:rFonts w:ascii="Arial" w:eastAsia="Calibri" w:hAnsi="Arial" w:cs="Arial"/>
                <w:szCs w:val="22"/>
              </w:rPr>
              <w:t xml:space="preserve"> emission factors, while economic vulnerability was assessed through a household loss index and comparative statistical analysis across regions. The results reveal a notable disparity: metropolitan households exhibit the highest emissions, primarily from electricity (42%) and transport (37%), followed by urban households with significant contributions from transport (40%) and electricity (30%). In contrast, rural (biomass 38%) and tribal biomass (57%) households, while having lower overall emissions, are more economically vulnerable. Tribal communities also show increasing emissions due to the continued reliance on biomass for cooking and household activities. This inverse relationship between emissions and vulnerability highlights a pressing climate justice issue. Rural and tribal communities, dependent on climate sensitive livelihoods, are disproportionately affected, whereas high emission urban centers benefit from diversified economies and resilient infrastructure. These findings underscore the urgent need for region specific climate policies that not only mitigate emissions but also enhance the adaptive capacity of the most vulnerable. By presenting strong empirical evidence of unequal climate impacts, this research calls for a just, inclusive, and context responsive approach to sustainable development in Maharashtra.</w:t>
            </w:r>
          </w:p>
        </w:tc>
      </w:tr>
    </w:tbl>
    <w:p w14:paraId="2DBDF5FE" w14:textId="77777777" w:rsidR="00636EB2" w:rsidRPr="00E65610" w:rsidRDefault="00636EB2" w:rsidP="00441B6F">
      <w:pPr>
        <w:pStyle w:val="Body"/>
        <w:spacing w:after="0"/>
        <w:rPr>
          <w:rFonts w:ascii="Arial" w:hAnsi="Arial" w:cs="Arial"/>
          <w:i/>
        </w:rPr>
      </w:pPr>
    </w:p>
    <w:p w14:paraId="6B92D60E" w14:textId="77777777" w:rsidR="00505F06" w:rsidRPr="00E65610" w:rsidRDefault="00A24E7E" w:rsidP="00441B6F">
      <w:pPr>
        <w:pStyle w:val="Body"/>
        <w:spacing w:after="0"/>
        <w:rPr>
          <w:rFonts w:ascii="Arial" w:hAnsi="Arial" w:cs="Arial"/>
          <w:i/>
        </w:rPr>
      </w:pPr>
      <w:r w:rsidRPr="00E65610">
        <w:rPr>
          <w:rFonts w:ascii="Arial" w:hAnsi="Arial" w:cs="Arial"/>
          <w:i/>
        </w:rPr>
        <w:t xml:space="preserve">Keywords: </w:t>
      </w:r>
      <w:r w:rsidR="0051559C" w:rsidRPr="00E65610">
        <w:rPr>
          <w:rFonts w:ascii="Arial" w:hAnsi="Arial" w:cs="Arial"/>
          <w:i/>
        </w:rPr>
        <w:t xml:space="preserve">Climate Change, Household Carbon </w:t>
      </w:r>
      <w:proofErr w:type="spellStart"/>
      <w:r w:rsidR="0051559C" w:rsidRPr="00E65610">
        <w:rPr>
          <w:rFonts w:ascii="Arial" w:hAnsi="Arial" w:cs="Arial"/>
          <w:i/>
        </w:rPr>
        <w:t>Footprin</w:t>
      </w:r>
      <w:proofErr w:type="spellEnd"/>
      <w:r w:rsidR="0051559C" w:rsidRPr="00E65610">
        <w:rPr>
          <w:rFonts w:ascii="Arial" w:hAnsi="Arial" w:cs="Arial"/>
          <w:i/>
        </w:rPr>
        <w:t>, Climate Justice, Climate Vulnerability, Maharashtra</w:t>
      </w:r>
    </w:p>
    <w:p w14:paraId="7B2ACD8B" w14:textId="77777777" w:rsidR="007F7B32" w:rsidRPr="00E65610" w:rsidRDefault="00902823" w:rsidP="0051559C">
      <w:pPr>
        <w:pStyle w:val="AbstHead"/>
        <w:spacing w:after="0"/>
        <w:rPr>
          <w:rFonts w:ascii="Arial" w:hAnsi="Arial" w:cs="Arial"/>
        </w:rPr>
      </w:pPr>
      <w:r w:rsidRPr="00E65610">
        <w:rPr>
          <w:rFonts w:ascii="Arial" w:hAnsi="Arial" w:cs="Arial"/>
        </w:rPr>
        <w:t xml:space="preserve">1. </w:t>
      </w:r>
      <w:r w:rsidR="00B01FCD" w:rsidRPr="00E65610">
        <w:rPr>
          <w:rFonts w:ascii="Arial" w:hAnsi="Arial" w:cs="Arial"/>
        </w:rPr>
        <w:t>INTRODUCTION</w:t>
      </w:r>
      <w:r w:rsidR="007F7B32" w:rsidRPr="00E65610">
        <w:rPr>
          <w:rFonts w:ascii="Arial" w:hAnsi="Arial" w:cs="Arial"/>
        </w:rPr>
        <w:t xml:space="preserve"> </w:t>
      </w:r>
    </w:p>
    <w:p w14:paraId="341C5471" w14:textId="77777777" w:rsidR="00790ADA" w:rsidRPr="00E65610" w:rsidRDefault="00790ADA" w:rsidP="00441B6F">
      <w:pPr>
        <w:pStyle w:val="AbstHead"/>
        <w:spacing w:after="0"/>
        <w:jc w:val="both"/>
        <w:rPr>
          <w:rFonts w:ascii="Arial" w:hAnsi="Arial" w:cs="Arial"/>
        </w:rPr>
      </w:pPr>
    </w:p>
    <w:p w14:paraId="3DE05223" w14:textId="77777777" w:rsidR="00B95236" w:rsidRPr="00E65610" w:rsidRDefault="0051559C" w:rsidP="00441B6F">
      <w:pPr>
        <w:pStyle w:val="Body"/>
        <w:spacing w:after="0"/>
        <w:rPr>
          <w:rFonts w:ascii="Arial" w:hAnsi="Arial" w:cs="Arial"/>
        </w:rPr>
      </w:pPr>
      <w:r w:rsidRPr="00E65610">
        <w:rPr>
          <w:rFonts w:ascii="Arial" w:hAnsi="Arial" w:cs="Arial"/>
        </w:rPr>
        <w:t>Climate change refers to long term shifts in temperature and weather patterns across the globe, largely triggered by anthropogenic activities (</w:t>
      </w:r>
      <w:proofErr w:type="spellStart"/>
      <w:r w:rsidRPr="00E65610">
        <w:rPr>
          <w:rFonts w:ascii="Arial" w:hAnsi="Arial" w:cs="Arial"/>
        </w:rPr>
        <w:t>Shivanna</w:t>
      </w:r>
      <w:proofErr w:type="spellEnd"/>
      <w:r w:rsidRPr="00E65610">
        <w:rPr>
          <w:rFonts w:ascii="Arial" w:hAnsi="Arial" w:cs="Arial"/>
        </w:rPr>
        <w:t xml:space="preserve">, 2022). Uncontrolled sources like transportation, fossil fuel combustion, industrial emissions, and deforestation are major contributors, releasing greenhouse gases (GHGs) that drive climate change (Kumar </w:t>
      </w:r>
      <w:r w:rsidRPr="00E65610">
        <w:rPr>
          <w:rFonts w:ascii="Arial" w:hAnsi="Arial" w:cs="Arial"/>
          <w:i/>
          <w:iCs/>
        </w:rPr>
        <w:t>et al</w:t>
      </w:r>
      <w:r w:rsidRPr="00E65610">
        <w:rPr>
          <w:rFonts w:ascii="Arial" w:hAnsi="Arial" w:cs="Arial"/>
        </w:rPr>
        <w:t xml:space="preserve">., 2021). These GHGs can be tracked through carbon footprint, which (Engström </w:t>
      </w:r>
      <w:r w:rsidRPr="00E65610">
        <w:rPr>
          <w:rFonts w:ascii="Arial" w:hAnsi="Arial" w:cs="Arial"/>
          <w:i/>
          <w:iCs/>
        </w:rPr>
        <w:t>et al</w:t>
      </w:r>
      <w:r w:rsidRPr="00E65610">
        <w:rPr>
          <w:rFonts w:ascii="Arial" w:hAnsi="Arial" w:cs="Arial"/>
        </w:rPr>
        <w:t xml:space="preserve">., 2024) defined as “A measure of the total emission of carbon dioxide (and other greenhouse gases such as nitrous oxide and methane) caused by a particular product throughout its life cycle.” Measuring carbon footprint helps identify how GHGs are produced through human activities (Fitzpatrick </w:t>
      </w:r>
      <w:r w:rsidRPr="00E65610">
        <w:rPr>
          <w:rFonts w:ascii="Arial" w:hAnsi="Arial" w:cs="Arial"/>
          <w:i/>
          <w:iCs/>
        </w:rPr>
        <w:t>et al</w:t>
      </w:r>
      <w:r w:rsidRPr="00E65610">
        <w:rPr>
          <w:rFonts w:ascii="Arial" w:hAnsi="Arial" w:cs="Arial"/>
        </w:rPr>
        <w:t xml:space="preserve">., 2015). Global studies have examined how climate change affects social, economic, and environmental systems (Clemens </w:t>
      </w:r>
      <w:r w:rsidRPr="00E65610">
        <w:rPr>
          <w:rFonts w:ascii="Arial" w:hAnsi="Arial" w:cs="Arial"/>
          <w:i/>
          <w:iCs/>
        </w:rPr>
        <w:t>et al</w:t>
      </w:r>
      <w:r w:rsidRPr="00E65610">
        <w:rPr>
          <w:rFonts w:ascii="Arial" w:hAnsi="Arial" w:cs="Arial"/>
        </w:rPr>
        <w:t xml:space="preserve">., 2022). Events like droughts, floods, and rising sea levels have led to crop failures, inflation, and disruptions in livelihoods (Kabir </w:t>
      </w:r>
      <w:r w:rsidRPr="00E65610">
        <w:rPr>
          <w:rFonts w:ascii="Arial" w:hAnsi="Arial" w:cs="Arial"/>
          <w:i/>
          <w:iCs/>
        </w:rPr>
        <w:t>et al</w:t>
      </w:r>
      <w:r w:rsidRPr="00E65610">
        <w:rPr>
          <w:rFonts w:ascii="Arial" w:hAnsi="Arial" w:cs="Arial"/>
        </w:rPr>
        <w:t xml:space="preserve">., 2023). Individual lifestyle choices also contribute significantly. (Koide, </w:t>
      </w:r>
      <w:r w:rsidRPr="00E65610">
        <w:rPr>
          <w:rFonts w:ascii="Arial" w:hAnsi="Arial" w:cs="Arial"/>
          <w:i/>
          <w:iCs/>
        </w:rPr>
        <w:t>et al</w:t>
      </w:r>
      <w:r w:rsidRPr="00E65610">
        <w:rPr>
          <w:rFonts w:ascii="Arial" w:hAnsi="Arial" w:cs="Arial"/>
        </w:rPr>
        <w:t xml:space="preserve">., 2021) found that household consumption patterns are linked to unsustainable living and high GHG </w:t>
      </w:r>
      <w:r w:rsidRPr="00E65610">
        <w:rPr>
          <w:rFonts w:ascii="Arial" w:hAnsi="Arial" w:cs="Arial"/>
        </w:rPr>
        <w:lastRenderedPageBreak/>
        <w:t xml:space="preserve">emissions. In India, (Ahmad </w:t>
      </w:r>
      <w:r w:rsidRPr="00E65610">
        <w:rPr>
          <w:rFonts w:ascii="Arial" w:hAnsi="Arial" w:cs="Arial"/>
          <w:i/>
          <w:iCs/>
        </w:rPr>
        <w:t>et al</w:t>
      </w:r>
      <w:r w:rsidRPr="00E65610">
        <w:rPr>
          <w:rFonts w:ascii="Arial" w:hAnsi="Arial" w:cs="Arial"/>
        </w:rPr>
        <w:t xml:space="preserve">., 2015) household GHG emissions are influenced by income, family size, and consumption of services like water, electricity, and LPG. Many rural families, however, still rely on solid fuels such as wood and coal due to income disparities (Sharma &amp; Dash, 2022). States with high urbanization and economic activity contribute more to India’s carbon footprint, prompting the question who is more responsible and vulnerable? (Halder </w:t>
      </w:r>
      <w:r w:rsidRPr="00E65610">
        <w:rPr>
          <w:rFonts w:ascii="Arial" w:hAnsi="Arial" w:cs="Arial"/>
          <w:i/>
          <w:iCs/>
        </w:rPr>
        <w:t>et</w:t>
      </w:r>
      <w:r w:rsidR="00FF2629" w:rsidRPr="00E65610">
        <w:rPr>
          <w:rFonts w:ascii="Arial" w:hAnsi="Arial" w:cs="Arial"/>
          <w:i/>
          <w:iCs/>
        </w:rPr>
        <w:t xml:space="preserve"> </w:t>
      </w:r>
      <w:r w:rsidRPr="00E65610">
        <w:rPr>
          <w:rFonts w:ascii="Arial" w:hAnsi="Arial" w:cs="Arial"/>
          <w:i/>
          <w:iCs/>
        </w:rPr>
        <w:t>al</w:t>
      </w:r>
      <w:r w:rsidRPr="00E65610">
        <w:rPr>
          <w:rFonts w:ascii="Arial" w:hAnsi="Arial" w:cs="Arial"/>
        </w:rPr>
        <w:t>., 2012) highlighted that underdeveloped region, where people depend on agriculture and forests, are highly exposed. Urban centers like Mumbai and Chennai also face severe effects, including intense monsoons and rising sea levels (</w:t>
      </w:r>
      <w:proofErr w:type="spellStart"/>
      <w:r w:rsidRPr="00E65610">
        <w:rPr>
          <w:rFonts w:ascii="Arial" w:hAnsi="Arial" w:cs="Arial"/>
        </w:rPr>
        <w:t>Yenneti</w:t>
      </w:r>
      <w:proofErr w:type="spellEnd"/>
      <w:r w:rsidRPr="00E65610">
        <w:rPr>
          <w:rFonts w:ascii="Arial" w:hAnsi="Arial" w:cs="Arial"/>
        </w:rPr>
        <w:t xml:space="preserve"> </w:t>
      </w:r>
      <w:r w:rsidRPr="00E65610">
        <w:rPr>
          <w:rFonts w:ascii="Arial" w:hAnsi="Arial" w:cs="Arial"/>
          <w:i/>
          <w:iCs/>
        </w:rPr>
        <w:t>et al</w:t>
      </w:r>
      <w:r w:rsidRPr="00E65610">
        <w:rPr>
          <w:rFonts w:ascii="Arial" w:hAnsi="Arial" w:cs="Arial"/>
        </w:rPr>
        <w:t xml:space="preserve">., 2016). Central Indian cities report increased heatwaves and shifting rainfall patterns (Subramanian </w:t>
      </w:r>
      <w:r w:rsidRPr="00E65610">
        <w:rPr>
          <w:rFonts w:ascii="Arial" w:hAnsi="Arial" w:cs="Arial"/>
          <w:i/>
          <w:iCs/>
        </w:rPr>
        <w:t>et al</w:t>
      </w:r>
      <w:r w:rsidRPr="00E65610">
        <w:rPr>
          <w:rFonts w:ascii="Arial" w:hAnsi="Arial" w:cs="Arial"/>
        </w:rPr>
        <w:t xml:space="preserve">., 2023). Maharashtra, India’s richest state and home to Mumbai, spans 720 km of coastline and features diverse topographies across regions like Western Maharashtra, Konkan, </w:t>
      </w:r>
      <w:proofErr w:type="spellStart"/>
      <w:r w:rsidRPr="00E65610">
        <w:rPr>
          <w:rFonts w:ascii="Arial" w:hAnsi="Arial" w:cs="Arial"/>
        </w:rPr>
        <w:t>Khandesh</w:t>
      </w:r>
      <w:proofErr w:type="spellEnd"/>
      <w:r w:rsidRPr="00E65610">
        <w:rPr>
          <w:rFonts w:ascii="Arial" w:hAnsi="Arial" w:cs="Arial"/>
        </w:rPr>
        <w:t xml:space="preserve">, Vidarbha, and Marathwada (Kelkar </w:t>
      </w:r>
      <w:r w:rsidRPr="00E65610">
        <w:rPr>
          <w:rFonts w:ascii="Arial" w:hAnsi="Arial" w:cs="Arial"/>
          <w:i/>
          <w:iCs/>
        </w:rPr>
        <w:t>et al.</w:t>
      </w:r>
      <w:r w:rsidRPr="00E65610">
        <w:rPr>
          <w:rFonts w:ascii="Arial" w:hAnsi="Arial" w:cs="Arial"/>
        </w:rPr>
        <w:t>, 2020). According to the India GHG Platform, Uttar Pradesh leads in total emissions, followed by Maharashtra and Gujarat. Odisha tops energy sector emissions, while Gujarat leads in industrial emissions. Uttar Pradesh ranks highest in agriculture and forestry emissions, with Maharashtra sixth. In the waste sector, Maharashtra holds the second position.</w:t>
      </w:r>
      <w:r w:rsidR="00B95236" w:rsidRPr="00E65610">
        <w:rPr>
          <w:rFonts w:ascii="Arial" w:hAnsi="Arial" w:cs="Arial"/>
        </w:rPr>
        <w:t xml:space="preserve"> </w:t>
      </w:r>
    </w:p>
    <w:p w14:paraId="61BBCF72" w14:textId="77777777" w:rsidR="00505F06" w:rsidRPr="00E65610" w:rsidRDefault="00505F06" w:rsidP="00441B6F">
      <w:pPr>
        <w:pStyle w:val="Body"/>
        <w:spacing w:after="0"/>
        <w:rPr>
          <w:rFonts w:ascii="Arial" w:hAnsi="Arial" w:cs="Arial"/>
        </w:rPr>
      </w:pPr>
    </w:p>
    <w:p w14:paraId="7D12343C" w14:textId="77777777" w:rsidR="00B01FCD" w:rsidRPr="00E65610" w:rsidRDefault="0051559C" w:rsidP="00441B6F">
      <w:pPr>
        <w:pStyle w:val="Body"/>
        <w:spacing w:after="0"/>
        <w:rPr>
          <w:rFonts w:ascii="Arial" w:hAnsi="Arial" w:cs="Arial"/>
        </w:rPr>
      </w:pPr>
      <w:r w:rsidRPr="00E65610">
        <w:rPr>
          <w:rFonts w:ascii="Arial" w:hAnsi="Arial" w:cs="Arial"/>
        </w:rPr>
        <w:t xml:space="preserve">This study focuses on understanding the impact of climate change across tribal, rural, urban, and metropolitan areas of Maharashtra by </w:t>
      </w:r>
      <w:proofErr w:type="spellStart"/>
      <w:r w:rsidRPr="00E65610">
        <w:rPr>
          <w:rFonts w:ascii="Arial" w:hAnsi="Arial" w:cs="Arial"/>
        </w:rPr>
        <w:t>analysing</w:t>
      </w:r>
      <w:proofErr w:type="spellEnd"/>
      <w:r w:rsidRPr="00E65610">
        <w:rPr>
          <w:rFonts w:ascii="Arial" w:hAnsi="Arial" w:cs="Arial"/>
        </w:rPr>
        <w:t xml:space="preserve"> major sources of household carbon emissions, estimating and comparing carbon footprints based on lifestyle differences, and assessing the economic impacts on livelihoods. By calculating family level GHG emissions, the research aims to raise awareness and encourage sustainable practices that can help mitigate climate change. Awareness of carbon footprints enables people to understand how their choices affect the environment and promotes a shift toward sustainability (Ramachandra </w:t>
      </w:r>
      <w:r w:rsidRPr="00E65610">
        <w:rPr>
          <w:rFonts w:ascii="Arial" w:hAnsi="Arial" w:cs="Arial"/>
          <w:i/>
          <w:iCs/>
        </w:rPr>
        <w:t>et al</w:t>
      </w:r>
      <w:r w:rsidRPr="00E65610">
        <w:rPr>
          <w:rFonts w:ascii="Arial" w:hAnsi="Arial" w:cs="Arial"/>
        </w:rPr>
        <w:t>., 2014).</w:t>
      </w:r>
    </w:p>
    <w:p w14:paraId="3E6ACA3F" w14:textId="77777777" w:rsidR="00790ADA" w:rsidRPr="00E65610" w:rsidRDefault="00790ADA" w:rsidP="00441B6F">
      <w:pPr>
        <w:pStyle w:val="Body"/>
        <w:spacing w:after="0"/>
        <w:rPr>
          <w:rFonts w:ascii="Arial" w:hAnsi="Arial" w:cs="Arial"/>
        </w:rPr>
      </w:pPr>
    </w:p>
    <w:p w14:paraId="21DDB4D2" w14:textId="77777777" w:rsidR="007F7B32" w:rsidRPr="00E65610" w:rsidRDefault="00902823" w:rsidP="00FF2629">
      <w:pPr>
        <w:pStyle w:val="AbstHead"/>
        <w:spacing w:after="0"/>
        <w:rPr>
          <w:rFonts w:ascii="Arial" w:hAnsi="Arial" w:cs="Arial"/>
        </w:rPr>
      </w:pPr>
      <w:r w:rsidRPr="00E65610">
        <w:rPr>
          <w:rFonts w:ascii="Arial" w:hAnsi="Arial" w:cs="Arial"/>
        </w:rPr>
        <w:t xml:space="preserve">2. </w:t>
      </w:r>
      <w:r w:rsidR="006B57D0" w:rsidRPr="00E65610">
        <w:rPr>
          <w:rFonts w:ascii="Arial" w:hAnsi="Arial" w:cs="Arial"/>
        </w:rPr>
        <w:t>methodology</w:t>
      </w:r>
      <w:r w:rsidR="007F7B32" w:rsidRPr="00E65610">
        <w:rPr>
          <w:rFonts w:ascii="Arial" w:hAnsi="Arial" w:cs="Arial"/>
        </w:rPr>
        <w:t xml:space="preserve"> </w:t>
      </w:r>
    </w:p>
    <w:p w14:paraId="516E9F46" w14:textId="77777777" w:rsidR="00790ADA" w:rsidRPr="00E65610" w:rsidRDefault="00790ADA" w:rsidP="00441B6F">
      <w:pPr>
        <w:pStyle w:val="AbstHead"/>
        <w:spacing w:after="0"/>
        <w:jc w:val="both"/>
        <w:rPr>
          <w:rFonts w:ascii="Arial" w:hAnsi="Arial" w:cs="Arial"/>
        </w:rPr>
      </w:pPr>
    </w:p>
    <w:p w14:paraId="1BE1291B" w14:textId="77777777" w:rsidR="008140EA" w:rsidRPr="00E65610" w:rsidRDefault="00FF2629" w:rsidP="00896D28">
      <w:pPr>
        <w:pStyle w:val="Body"/>
        <w:rPr>
          <w:rFonts w:ascii="Arial" w:hAnsi="Arial" w:cs="Arial"/>
        </w:rPr>
      </w:pPr>
      <w:r w:rsidRPr="00E65610">
        <w:rPr>
          <w:rFonts w:ascii="Arial" w:hAnsi="Arial" w:cs="Arial"/>
        </w:rPr>
        <w:lastRenderedPageBreak/>
        <w:t xml:space="preserve">Maharashtra (Fig. 1), located between 15.59°N to 22.05°N latitude and 72.68°E to 80.88°E longitude, exhibits diverse geographical and climatic conditions influencing household consumption patterns and their contribution to greenhouse gas (GHG) emissions. This study employed a randomized survey approach, conducting door-to-door interviews using a structured questionnaire to assess these patterns (Bhoyar </w:t>
      </w:r>
      <w:r w:rsidRPr="00E65610">
        <w:rPr>
          <w:rFonts w:ascii="Arial" w:hAnsi="Arial" w:cs="Arial"/>
          <w:i/>
          <w:iCs/>
        </w:rPr>
        <w:t>et al</w:t>
      </w:r>
      <w:r w:rsidRPr="00E65610">
        <w:rPr>
          <w:rFonts w:ascii="Arial" w:hAnsi="Arial" w:cs="Arial"/>
        </w:rPr>
        <w:t xml:space="preserve">., 2014). Data were collected from 1000 households across 123 villages and cities in Maharashtra between August 2022 and March 2023 (Fig. 2). The survey was stratified by settlement type, with 200 responses per region and 50 per category - tribal, rural, urban, and metropolitan areas. To strengthen the analysis, secondary data from government sources, academic journals, and relevant articles were also incorporated. The methodological framework of this study strategically categorized the diverse human settlements of Maharashtra into four distinct types: Tribal areas, encompassing nomadic and scheduled tribe populations; Rural areas, defined as villages exclusive of the aforementioned tribal groups; Urban areas, including towns and </w:t>
      </w:r>
      <w:r w:rsidRPr="00E65610">
        <w:rPr>
          <w:rFonts w:ascii="Arial" w:hAnsi="Arial" w:cs="Arial"/>
        </w:rPr>
        <w:lastRenderedPageBreak/>
        <w:t xml:space="preserve">cities with populations under one million, represented by Nagar Panchayats, Nagar Parishads, and smaller </w:t>
      </w:r>
      <w:proofErr w:type="spellStart"/>
      <w:r w:rsidRPr="00E65610">
        <w:rPr>
          <w:rFonts w:ascii="Arial" w:hAnsi="Arial" w:cs="Arial"/>
        </w:rPr>
        <w:t>Mahanagar</w:t>
      </w:r>
      <w:proofErr w:type="spellEnd"/>
      <w:r w:rsidRPr="00E65610">
        <w:rPr>
          <w:rFonts w:ascii="Arial" w:hAnsi="Arial" w:cs="Arial"/>
        </w:rPr>
        <w:t xml:space="preserve"> </w:t>
      </w:r>
      <w:proofErr w:type="spellStart"/>
      <w:r w:rsidRPr="00E65610">
        <w:rPr>
          <w:rFonts w:ascii="Arial" w:hAnsi="Arial" w:cs="Arial"/>
        </w:rPr>
        <w:t>Palikas</w:t>
      </w:r>
      <w:proofErr w:type="spellEnd"/>
      <w:r w:rsidRPr="00E65610">
        <w:rPr>
          <w:rFonts w:ascii="Arial" w:hAnsi="Arial" w:cs="Arial"/>
        </w:rPr>
        <w:t xml:space="preserve">, and Metropolitan cities, characterized by populations ranging from one to five million. To ensure comprehensive geographical representation, data collection was conducted across the five principal geographical divisions of Maharashtra: Konkan, Western Maharashtra, </w:t>
      </w:r>
      <w:proofErr w:type="spellStart"/>
      <w:r w:rsidRPr="00E65610">
        <w:rPr>
          <w:rFonts w:ascii="Arial" w:hAnsi="Arial" w:cs="Arial"/>
        </w:rPr>
        <w:t>Khandesh</w:t>
      </w:r>
      <w:proofErr w:type="spellEnd"/>
      <w:r w:rsidRPr="00E65610">
        <w:rPr>
          <w:rFonts w:ascii="Arial" w:hAnsi="Arial" w:cs="Arial"/>
        </w:rPr>
        <w:t xml:space="preserve">, Marathwada, and Vidarbha, thereby capturing the socio economic and ecological variations inherent within the state. This stratified site selection aimed to provide a nuanced understanding of carbon footprints and climate change impacts across a spectrum of settlement characteristics and </w:t>
      </w:r>
      <w:r w:rsidR="00CF0EBC">
        <w:rPr>
          <w:rFonts w:ascii="Arial" w:hAnsi="Arial" w:cs="Arial"/>
          <w:noProof/>
        </w:rPr>
        <w:pict w14:anchorId="2986F363">
          <v:group id="Group 45" o:spid="_x0000_s1037" style="position:absolute;left:0;text-align:left;margin-left:0;margin-top:150.35pt;width:314.9pt;height:241.25pt;z-index:251656192;mso-position-horizontal-relative:margin;mso-position-vertical-relative:text" coordsize="39992,306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38" type="#_x0000_t75" style="position:absolute;width:39992;height:27279;visibility:visible;mso-wrap-style:square;mso-position-horizontal:left;mso-position-horizontal-relative:margin">
              <v:imagedata r:id="rId14" o:title="" croptop="1878f" cropbottom="1691f" cropleft="745f" cropright="562f"/>
            </v:shape>
            <v:shapetype id="_x0000_t202" coordsize="21600,21600" o:spt="202" path="m,l,21600r21600,l21600,xe">
              <v:stroke joinstyle="miter"/>
              <v:path gradientshapeok="t" o:connecttype="rect"/>
            </v:shapetype>
            <v:shape id="Text Box 1" o:spid="_x0000_s1039" type="#_x0000_t202" style="position:absolute;top:27908;width:39992;height:2730;visibility:visible;mso-wrap-style:square;v-text-anchor:top" stroked="f">
              <v:textbox style="mso-next-textbox:#Text Box 1;mso-fit-shape-to-text:t" inset="0,0,0,0">
                <w:txbxContent>
                  <w:p w14:paraId="4F29653B" w14:textId="6B141BA3" w:rsidR="00FF2629" w:rsidRPr="002353DD" w:rsidRDefault="00FF2629" w:rsidP="00FF2629">
                    <w:pPr>
                      <w:pStyle w:val="Caption"/>
                      <w:jc w:val="center"/>
                      <w:rPr>
                        <w:rFonts w:ascii="Arial" w:hAnsi="Arial" w:cs="Arial"/>
                        <w:b/>
                        <w:bCs/>
                        <w:i w:val="0"/>
                        <w:iCs w:val="0"/>
                        <w:color w:val="auto"/>
                        <w:sz w:val="28"/>
                        <w:szCs w:val="24"/>
                      </w:rPr>
                    </w:pPr>
                    <w:r w:rsidRPr="002353DD">
                      <w:rPr>
                        <w:rFonts w:ascii="Arial" w:hAnsi="Arial" w:cs="Arial"/>
                        <w:b/>
                        <w:bCs/>
                        <w:i w:val="0"/>
                        <w:iCs w:val="0"/>
                        <w:color w:val="auto"/>
                        <w:sz w:val="20"/>
                        <w:szCs w:val="18"/>
                      </w:rPr>
                      <w:t>Fig</w:t>
                    </w:r>
                    <w:r w:rsidR="00896D28" w:rsidRPr="002353DD">
                      <w:rPr>
                        <w:rFonts w:ascii="Arial" w:hAnsi="Arial" w:cs="Arial"/>
                        <w:b/>
                        <w:bCs/>
                        <w:i w:val="0"/>
                        <w:iCs w:val="0"/>
                        <w:color w:val="auto"/>
                        <w:sz w:val="20"/>
                        <w:szCs w:val="18"/>
                      </w:rPr>
                      <w:t>.</w:t>
                    </w:r>
                    <w:r w:rsidRPr="002353DD">
                      <w:rPr>
                        <w:rFonts w:ascii="Arial" w:hAnsi="Arial" w:cs="Arial"/>
                        <w:b/>
                        <w:bCs/>
                        <w:i w:val="0"/>
                        <w:iCs w:val="0"/>
                        <w:color w:val="auto"/>
                        <w:sz w:val="20"/>
                        <w:szCs w:val="18"/>
                      </w:rPr>
                      <w:t xml:space="preserve"> </w:t>
                    </w:r>
                    <w:r w:rsidRPr="002353DD">
                      <w:rPr>
                        <w:rFonts w:ascii="Arial" w:hAnsi="Arial" w:cs="Arial"/>
                        <w:b/>
                        <w:bCs/>
                        <w:i w:val="0"/>
                        <w:iCs w:val="0"/>
                        <w:color w:val="auto"/>
                        <w:sz w:val="20"/>
                        <w:szCs w:val="18"/>
                      </w:rPr>
                      <w:fldChar w:fldCharType="begin"/>
                    </w:r>
                    <w:r w:rsidRPr="002353DD">
                      <w:rPr>
                        <w:rFonts w:ascii="Arial" w:hAnsi="Arial" w:cs="Arial"/>
                        <w:b/>
                        <w:bCs/>
                        <w:i w:val="0"/>
                        <w:iCs w:val="0"/>
                        <w:color w:val="auto"/>
                        <w:sz w:val="20"/>
                        <w:szCs w:val="18"/>
                      </w:rPr>
                      <w:instrText xml:space="preserve"> SEQ Figure \* ARABIC </w:instrText>
                    </w:r>
                    <w:r w:rsidRPr="002353DD">
                      <w:rPr>
                        <w:rFonts w:ascii="Arial" w:hAnsi="Arial" w:cs="Arial"/>
                        <w:b/>
                        <w:bCs/>
                        <w:i w:val="0"/>
                        <w:iCs w:val="0"/>
                        <w:color w:val="auto"/>
                        <w:sz w:val="20"/>
                        <w:szCs w:val="18"/>
                      </w:rPr>
                      <w:fldChar w:fldCharType="separate"/>
                    </w:r>
                    <w:r w:rsidR="004C4B37">
                      <w:rPr>
                        <w:rFonts w:ascii="Arial" w:hAnsi="Arial" w:cs="Arial"/>
                        <w:b/>
                        <w:bCs/>
                        <w:i w:val="0"/>
                        <w:iCs w:val="0"/>
                        <w:noProof/>
                        <w:color w:val="auto"/>
                        <w:sz w:val="20"/>
                        <w:szCs w:val="18"/>
                      </w:rPr>
                      <w:t>1</w:t>
                    </w:r>
                    <w:r w:rsidRPr="002353DD">
                      <w:rPr>
                        <w:rFonts w:ascii="Arial" w:hAnsi="Arial" w:cs="Arial"/>
                        <w:b/>
                        <w:bCs/>
                        <w:i w:val="0"/>
                        <w:iCs w:val="0"/>
                        <w:color w:val="auto"/>
                        <w:sz w:val="20"/>
                        <w:szCs w:val="18"/>
                      </w:rPr>
                      <w:fldChar w:fldCharType="end"/>
                    </w:r>
                    <w:r w:rsidR="00896D28" w:rsidRPr="002353DD">
                      <w:rPr>
                        <w:rFonts w:ascii="Arial" w:hAnsi="Arial" w:cs="Arial"/>
                        <w:b/>
                        <w:bCs/>
                        <w:i w:val="0"/>
                        <w:iCs w:val="0"/>
                        <w:color w:val="auto"/>
                        <w:sz w:val="20"/>
                        <w:szCs w:val="18"/>
                      </w:rPr>
                      <w:t>.</w:t>
                    </w:r>
                    <w:r w:rsidRPr="002353DD">
                      <w:rPr>
                        <w:rFonts w:ascii="Arial" w:hAnsi="Arial" w:cs="Arial"/>
                        <w:b/>
                        <w:bCs/>
                        <w:i w:val="0"/>
                        <w:iCs w:val="0"/>
                        <w:color w:val="auto"/>
                        <w:sz w:val="20"/>
                        <w:szCs w:val="18"/>
                      </w:rPr>
                      <w:t xml:space="preserve"> Map Showing the Study Area of Maharashtra</w:t>
                    </w:r>
                  </w:p>
                </w:txbxContent>
              </v:textbox>
            </v:shape>
            <w10:wrap type="topAndBottom" anchorx="margin"/>
          </v:group>
        </w:pict>
      </w:r>
      <w:r w:rsidR="00CF0EBC">
        <w:rPr>
          <w:rFonts w:ascii="Arial" w:hAnsi="Arial" w:cs="Arial"/>
          <w:noProof/>
        </w:rPr>
        <w:pict w14:anchorId="3933F2FC">
          <v:group id="Group 46" o:spid="_x0000_s1043" style="position:absolute;left:0;text-align:left;margin-left:0;margin-top:391.05pt;width:314.9pt;height:246.85pt;z-index:251657216;mso-position-horizontal-relative:margin;mso-position-vertical-relative:text" coordsize="39992,31349">
            <v:shape id="Picture 4" o:spid="_x0000_s1044" type="#_x0000_t75" style="position:absolute;width:39992;height:28111;visibility:visible;mso-wrap-style:square;mso-position-horizontal:left;mso-position-horizontal-relative:margin;mso-position-vertical:center;mso-position-vertical-relative:margin">
              <v:imagedata r:id="rId15" o:title="" gain="1.25" blacklevel="-6554f"/>
            </v:shape>
            <v:shape id="Text Box 5" o:spid="_x0000_s1045" type="#_x0000_t202" style="position:absolute;top:28619;width:39992;height:2730;visibility:visible;mso-wrap-style:square;v-text-anchor:top" stroked="f">
              <v:textbox style="mso-next-textbox:#Text Box 5;mso-fit-shape-to-text:t" inset="0,0,0,0">
                <w:txbxContent>
                  <w:p w14:paraId="3AB1FBBA" w14:textId="6ABB2440" w:rsidR="008140EA" w:rsidRPr="002353DD" w:rsidRDefault="008140EA" w:rsidP="008140EA">
                    <w:pPr>
                      <w:pStyle w:val="Caption"/>
                      <w:jc w:val="center"/>
                      <w:rPr>
                        <w:rFonts w:ascii="Arial" w:hAnsi="Arial" w:cs="Arial"/>
                        <w:b/>
                        <w:bCs/>
                        <w:i w:val="0"/>
                        <w:iCs w:val="0"/>
                        <w:color w:val="auto"/>
                        <w:sz w:val="20"/>
                        <w:szCs w:val="18"/>
                      </w:rPr>
                    </w:pPr>
                    <w:r w:rsidRPr="002353DD">
                      <w:rPr>
                        <w:rFonts w:ascii="Arial" w:hAnsi="Arial" w:cs="Arial"/>
                        <w:b/>
                        <w:bCs/>
                        <w:i w:val="0"/>
                        <w:iCs w:val="0"/>
                        <w:color w:val="auto"/>
                        <w:sz w:val="20"/>
                        <w:szCs w:val="18"/>
                      </w:rPr>
                      <w:t>Fig</w:t>
                    </w:r>
                    <w:r w:rsidR="00896D28" w:rsidRPr="002353DD">
                      <w:rPr>
                        <w:rFonts w:ascii="Arial" w:hAnsi="Arial" w:cs="Arial"/>
                        <w:b/>
                        <w:bCs/>
                        <w:i w:val="0"/>
                        <w:iCs w:val="0"/>
                        <w:color w:val="auto"/>
                        <w:sz w:val="20"/>
                        <w:szCs w:val="18"/>
                      </w:rPr>
                      <w:t>.</w:t>
                    </w:r>
                    <w:r w:rsidRPr="002353DD">
                      <w:rPr>
                        <w:rFonts w:ascii="Arial" w:hAnsi="Arial" w:cs="Arial"/>
                        <w:b/>
                        <w:bCs/>
                        <w:i w:val="0"/>
                        <w:iCs w:val="0"/>
                        <w:color w:val="auto"/>
                        <w:sz w:val="20"/>
                        <w:szCs w:val="18"/>
                      </w:rPr>
                      <w:t xml:space="preserve"> </w:t>
                    </w:r>
                    <w:r w:rsidRPr="002353DD">
                      <w:rPr>
                        <w:rFonts w:ascii="Arial" w:hAnsi="Arial" w:cs="Arial"/>
                        <w:b/>
                        <w:bCs/>
                        <w:i w:val="0"/>
                        <w:iCs w:val="0"/>
                        <w:color w:val="auto"/>
                        <w:sz w:val="20"/>
                        <w:szCs w:val="18"/>
                      </w:rPr>
                      <w:fldChar w:fldCharType="begin"/>
                    </w:r>
                    <w:r w:rsidRPr="002353DD">
                      <w:rPr>
                        <w:rFonts w:ascii="Arial" w:hAnsi="Arial" w:cs="Arial"/>
                        <w:b/>
                        <w:bCs/>
                        <w:i w:val="0"/>
                        <w:iCs w:val="0"/>
                        <w:color w:val="auto"/>
                        <w:sz w:val="20"/>
                        <w:szCs w:val="18"/>
                      </w:rPr>
                      <w:instrText xml:space="preserve"> SEQ Figure \* ARABIC </w:instrText>
                    </w:r>
                    <w:r w:rsidRPr="002353DD">
                      <w:rPr>
                        <w:rFonts w:ascii="Arial" w:hAnsi="Arial" w:cs="Arial"/>
                        <w:b/>
                        <w:bCs/>
                        <w:i w:val="0"/>
                        <w:iCs w:val="0"/>
                        <w:color w:val="auto"/>
                        <w:sz w:val="20"/>
                        <w:szCs w:val="18"/>
                      </w:rPr>
                      <w:fldChar w:fldCharType="separate"/>
                    </w:r>
                    <w:r w:rsidR="004C4B37">
                      <w:rPr>
                        <w:rFonts w:ascii="Arial" w:hAnsi="Arial" w:cs="Arial"/>
                        <w:b/>
                        <w:bCs/>
                        <w:i w:val="0"/>
                        <w:iCs w:val="0"/>
                        <w:noProof/>
                        <w:color w:val="auto"/>
                        <w:sz w:val="20"/>
                        <w:szCs w:val="18"/>
                      </w:rPr>
                      <w:t>2</w:t>
                    </w:r>
                    <w:r w:rsidRPr="002353DD">
                      <w:rPr>
                        <w:rFonts w:ascii="Arial" w:hAnsi="Arial" w:cs="Arial"/>
                        <w:b/>
                        <w:bCs/>
                        <w:i w:val="0"/>
                        <w:iCs w:val="0"/>
                        <w:color w:val="auto"/>
                        <w:sz w:val="20"/>
                        <w:szCs w:val="18"/>
                      </w:rPr>
                      <w:fldChar w:fldCharType="end"/>
                    </w:r>
                    <w:r w:rsidR="00896D28" w:rsidRPr="002353DD">
                      <w:rPr>
                        <w:rFonts w:ascii="Arial" w:hAnsi="Arial" w:cs="Arial"/>
                        <w:b/>
                        <w:bCs/>
                        <w:i w:val="0"/>
                        <w:iCs w:val="0"/>
                        <w:color w:val="auto"/>
                        <w:sz w:val="20"/>
                        <w:szCs w:val="18"/>
                      </w:rPr>
                      <w:t>.</w:t>
                    </w:r>
                    <w:r w:rsidRPr="002353DD">
                      <w:rPr>
                        <w:rFonts w:ascii="Arial" w:hAnsi="Arial" w:cs="Arial"/>
                        <w:b/>
                        <w:bCs/>
                        <w:i w:val="0"/>
                        <w:iCs w:val="0"/>
                        <w:color w:val="auto"/>
                        <w:sz w:val="20"/>
                        <w:szCs w:val="18"/>
                      </w:rPr>
                      <w:t xml:space="preserve"> Map Showing the Study Sites of Maharashtra</w:t>
                    </w:r>
                  </w:p>
                </w:txbxContent>
              </v:textbox>
            </v:shape>
            <w10:wrap type="topAndBottom" anchorx="margin" anchory="margin"/>
          </v:group>
        </w:pict>
      </w:r>
      <w:r w:rsidRPr="00E65610">
        <w:rPr>
          <w:rFonts w:ascii="Arial" w:hAnsi="Arial" w:cs="Arial"/>
        </w:rPr>
        <w:t>regional contexts.</w:t>
      </w:r>
    </w:p>
    <w:p w14:paraId="27F2C122" w14:textId="77777777" w:rsidR="00AA74E0" w:rsidRPr="00E65610" w:rsidRDefault="00AA74E0" w:rsidP="00896D28">
      <w:pPr>
        <w:pStyle w:val="Body"/>
        <w:spacing w:after="0"/>
        <w:rPr>
          <w:rFonts w:ascii="Arial" w:hAnsi="Arial" w:cs="Arial"/>
          <w:b/>
          <w:caps/>
          <w:sz w:val="22"/>
        </w:rPr>
      </w:pPr>
      <w:r w:rsidRPr="00E65610">
        <w:rPr>
          <w:rFonts w:ascii="Arial" w:hAnsi="Arial" w:cs="Arial"/>
          <w:b/>
          <w:caps/>
          <w:sz w:val="22"/>
        </w:rPr>
        <w:t xml:space="preserve">2.1 </w:t>
      </w:r>
      <w:r w:rsidR="00896D28" w:rsidRPr="00E65610">
        <w:rPr>
          <w:rFonts w:ascii="Arial" w:hAnsi="Arial" w:cs="Arial"/>
          <w:b/>
          <w:sz w:val="22"/>
        </w:rPr>
        <w:t>Carbon Footprint Calculation</w:t>
      </w:r>
    </w:p>
    <w:p w14:paraId="26E80467" w14:textId="77777777" w:rsidR="00896D28" w:rsidRPr="00E65610" w:rsidRDefault="00896D28" w:rsidP="00896D28">
      <w:pPr>
        <w:pStyle w:val="Body"/>
        <w:spacing w:after="0"/>
        <w:rPr>
          <w:rFonts w:ascii="Arial" w:hAnsi="Arial" w:cs="Arial"/>
        </w:rPr>
      </w:pPr>
    </w:p>
    <w:p w14:paraId="2DFDAF19" w14:textId="77777777" w:rsidR="00896D28" w:rsidRPr="00E65610" w:rsidRDefault="00896D28" w:rsidP="00896D28">
      <w:pPr>
        <w:pStyle w:val="Body"/>
        <w:spacing w:after="0"/>
        <w:rPr>
          <w:rFonts w:ascii="Arial" w:hAnsi="Arial" w:cs="Arial"/>
        </w:rPr>
      </w:pPr>
      <w:r w:rsidRPr="00E65610">
        <w:rPr>
          <w:rFonts w:ascii="Arial" w:hAnsi="Arial" w:cs="Arial"/>
        </w:rPr>
        <w:lastRenderedPageBreak/>
        <w:t>The household carbon footprint was determined using:</w:t>
      </w:r>
    </w:p>
    <w:p w14:paraId="78331716" w14:textId="77777777" w:rsidR="00896D28" w:rsidRPr="00E65610" w:rsidRDefault="002B11FC" w:rsidP="00896D28">
      <w:pPr>
        <w:pStyle w:val="Body"/>
        <w:spacing w:after="0"/>
        <w:rPr>
          <w:rFonts w:ascii="Arial" w:hAnsi="Arial" w:cs="Arial"/>
        </w:rPr>
      </w:pPr>
      <m:oMath>
        <m:r>
          <w:rPr>
            <w:rFonts w:ascii="Cambria Math" w:eastAsia="Cambria Math" w:hAnsi="Cambria Math" w:cs="Arial"/>
          </w:rPr>
          <m:t>GHG emission= Activity data × Emission factor</m:t>
        </m:r>
      </m:oMath>
      <w:r w:rsidRPr="00E65610">
        <w:rPr>
          <w:rFonts w:ascii="Arial" w:hAnsi="Arial" w:cs="Arial"/>
        </w:rPr>
        <w:t xml:space="preserve"> </w:t>
      </w:r>
    </w:p>
    <w:p w14:paraId="5B09B25C" w14:textId="77777777" w:rsidR="002B11FC" w:rsidRPr="00E65610" w:rsidRDefault="002B11FC" w:rsidP="00896D28">
      <w:pPr>
        <w:pStyle w:val="Body"/>
        <w:spacing w:after="0"/>
        <w:rPr>
          <w:rFonts w:ascii="Arial" w:hAnsi="Arial" w:cs="Arial"/>
        </w:rPr>
      </w:pPr>
      <w:r w:rsidRPr="00E65610">
        <w:rPr>
          <w:rFonts w:ascii="Arial" w:hAnsi="Arial" w:cs="Arial"/>
        </w:rPr>
        <w:t xml:space="preserve">where activity data includes fuel use, transport, electricity, and food consumption. Emissions were standardized in </w:t>
      </w:r>
      <w:proofErr w:type="spellStart"/>
      <w:r w:rsidRPr="00E65610">
        <w:rPr>
          <w:rFonts w:ascii="Arial" w:hAnsi="Arial" w:cs="Arial"/>
        </w:rPr>
        <w:t>CO</w:t>
      </w:r>
      <w:r w:rsidRPr="00E65610">
        <w:rPr>
          <w:rFonts w:ascii="Cambria Math" w:hAnsi="Cambria Math" w:cs="Cambria Math"/>
        </w:rPr>
        <w:t>₂</w:t>
      </w:r>
      <w:r w:rsidRPr="00E65610">
        <w:rPr>
          <w:rFonts w:ascii="Arial" w:hAnsi="Arial" w:cs="Arial"/>
        </w:rPr>
        <w:t>e</w:t>
      </w:r>
      <w:proofErr w:type="spellEnd"/>
      <w:r w:rsidRPr="00E65610">
        <w:rPr>
          <w:rFonts w:ascii="Arial" w:hAnsi="Arial" w:cs="Arial"/>
        </w:rPr>
        <w:t>, following Fong (2014) and India GHG Program.</w:t>
      </w:r>
    </w:p>
    <w:p w14:paraId="1E0C4792" w14:textId="77777777" w:rsidR="002B11FC" w:rsidRPr="00E65610" w:rsidRDefault="002B11FC" w:rsidP="00896D28">
      <w:pPr>
        <w:pStyle w:val="Body"/>
        <w:spacing w:after="0"/>
        <w:rPr>
          <w:rFonts w:ascii="Arial" w:hAnsi="Arial" w:cs="Arial"/>
        </w:rPr>
      </w:pPr>
    </w:p>
    <w:p w14:paraId="58225ED7" w14:textId="77777777" w:rsidR="002B11FC" w:rsidRPr="00E65610" w:rsidRDefault="002B11FC" w:rsidP="002B11FC">
      <w:pPr>
        <w:pStyle w:val="Body"/>
        <w:spacing w:after="0"/>
        <w:rPr>
          <w:rFonts w:ascii="Arial" w:hAnsi="Arial" w:cs="Arial"/>
          <w:b/>
          <w:sz w:val="22"/>
        </w:rPr>
      </w:pPr>
      <w:r w:rsidRPr="00E65610">
        <w:rPr>
          <w:rFonts w:ascii="Arial" w:hAnsi="Arial" w:cs="Arial"/>
          <w:b/>
          <w:caps/>
          <w:sz w:val="22"/>
        </w:rPr>
        <w:t xml:space="preserve">2.2 </w:t>
      </w:r>
      <w:r w:rsidRPr="00E65610">
        <w:rPr>
          <w:rFonts w:ascii="Arial" w:hAnsi="Arial" w:cs="Arial"/>
          <w:b/>
          <w:sz w:val="22"/>
        </w:rPr>
        <w:t>CO</w:t>
      </w:r>
      <w:r w:rsidRPr="00E65610">
        <w:rPr>
          <w:rFonts w:ascii="Cambria Math" w:hAnsi="Cambria Math" w:cs="Cambria Math"/>
          <w:b/>
          <w:sz w:val="22"/>
        </w:rPr>
        <w:t>₂</w:t>
      </w:r>
      <w:r w:rsidRPr="00E65610">
        <w:rPr>
          <w:rFonts w:ascii="Arial" w:hAnsi="Arial" w:cs="Arial"/>
          <w:b/>
          <w:sz w:val="22"/>
        </w:rPr>
        <w:t xml:space="preserve"> Equivalent Emission Factors</w:t>
      </w:r>
    </w:p>
    <w:p w14:paraId="399D3DCA" w14:textId="77777777" w:rsidR="002B11FC" w:rsidRPr="00E65610" w:rsidRDefault="002B11FC" w:rsidP="002B11FC">
      <w:pPr>
        <w:pStyle w:val="Body"/>
        <w:spacing w:after="0"/>
        <w:rPr>
          <w:rFonts w:ascii="Arial" w:hAnsi="Arial" w:cs="Arial"/>
          <w:b/>
          <w:caps/>
          <w:sz w:val="22"/>
        </w:rPr>
      </w:pPr>
    </w:p>
    <w:p w14:paraId="6058467F" w14:textId="77777777" w:rsidR="00790ADA" w:rsidRPr="00E65610" w:rsidRDefault="002B11FC" w:rsidP="00441B6F">
      <w:pPr>
        <w:pStyle w:val="Body"/>
        <w:spacing w:after="0"/>
        <w:rPr>
          <w:rFonts w:ascii="Arial" w:hAnsi="Arial" w:cs="Arial"/>
        </w:rPr>
      </w:pPr>
      <w:r w:rsidRPr="00E65610">
        <w:rPr>
          <w:rFonts w:ascii="Arial" w:hAnsi="Arial" w:cs="Arial"/>
        </w:rPr>
        <w:t>Greenhouse gas (GHG) emissions were converted to CO</w:t>
      </w:r>
      <w:r w:rsidRPr="00E65610">
        <w:rPr>
          <w:rFonts w:ascii="Cambria Math" w:hAnsi="Cambria Math" w:cs="Cambria Math"/>
        </w:rPr>
        <w:t>₂</w:t>
      </w:r>
      <w:r w:rsidRPr="00E65610">
        <w:rPr>
          <w:rFonts w:ascii="Arial" w:hAnsi="Arial" w:cs="Arial"/>
        </w:rPr>
        <w:t>-equivalent (</w:t>
      </w:r>
      <w:proofErr w:type="spellStart"/>
      <w:r w:rsidRPr="00E65610">
        <w:rPr>
          <w:rFonts w:ascii="Arial" w:hAnsi="Arial" w:cs="Arial"/>
        </w:rPr>
        <w:t>CO</w:t>
      </w:r>
      <w:r w:rsidRPr="00E65610">
        <w:rPr>
          <w:rFonts w:ascii="Cambria Math" w:hAnsi="Cambria Math" w:cs="Cambria Math"/>
        </w:rPr>
        <w:t>₂</w:t>
      </w:r>
      <w:r w:rsidRPr="00E65610">
        <w:rPr>
          <w:rFonts w:ascii="Arial" w:hAnsi="Arial" w:cs="Arial"/>
        </w:rPr>
        <w:t>e</w:t>
      </w:r>
      <w:proofErr w:type="spellEnd"/>
      <w:r w:rsidRPr="00E65610">
        <w:rPr>
          <w:rFonts w:ascii="Arial" w:hAnsi="Arial" w:cs="Arial"/>
        </w:rPr>
        <w:t>) using Global Warming Potential (GWP). Emission factors were sourced from peer reviewed literature and government database (Table 1).</w:t>
      </w:r>
    </w:p>
    <w:tbl>
      <w:tblPr>
        <w:tblStyle w:val="GridTable2"/>
        <w:tblpPr w:leftFromText="180" w:rightFromText="180" w:vertAnchor="page" w:horzAnchor="margin" w:tblpY="49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1"/>
        <w:gridCol w:w="1622"/>
        <w:gridCol w:w="1697"/>
        <w:gridCol w:w="2069"/>
        <w:gridCol w:w="1875"/>
      </w:tblGrid>
      <w:tr w:rsidR="002B11FC" w:rsidRPr="00E65610" w14:paraId="31E02243" w14:textId="77777777" w:rsidTr="006963A4">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161" w:type="dxa"/>
            <w:tcBorders>
              <w:top w:val="none" w:sz="0" w:space="0" w:color="auto"/>
              <w:bottom w:val="none" w:sz="0" w:space="0" w:color="auto"/>
              <w:right w:val="none" w:sz="0" w:space="0" w:color="auto"/>
            </w:tcBorders>
            <w:vAlign w:val="center"/>
          </w:tcPr>
          <w:p w14:paraId="3595675B" w14:textId="77777777" w:rsidR="002B11FC" w:rsidRPr="00E65610" w:rsidRDefault="002B11FC" w:rsidP="006963A4">
            <w:pPr>
              <w:jc w:val="center"/>
              <w:rPr>
                <w:rFonts w:ascii="Arial" w:eastAsia="Times New Roman" w:hAnsi="Arial" w:cs="Arial"/>
                <w:sz w:val="20"/>
              </w:rPr>
            </w:pPr>
            <w:bookmarkStart w:id="1" w:name="_Hlk213512650"/>
            <w:r w:rsidRPr="00E65610">
              <w:rPr>
                <w:rFonts w:ascii="Arial" w:eastAsia="Times New Roman" w:hAnsi="Arial" w:cs="Arial"/>
                <w:sz w:val="20"/>
              </w:rPr>
              <w:t>Source Type</w:t>
            </w:r>
          </w:p>
        </w:tc>
        <w:tc>
          <w:tcPr>
            <w:tcW w:w="1622" w:type="dxa"/>
            <w:tcBorders>
              <w:top w:val="none" w:sz="0" w:space="0" w:color="auto"/>
              <w:left w:val="none" w:sz="0" w:space="0" w:color="auto"/>
              <w:bottom w:val="none" w:sz="0" w:space="0" w:color="auto"/>
              <w:right w:val="none" w:sz="0" w:space="0" w:color="auto"/>
            </w:tcBorders>
            <w:vAlign w:val="center"/>
          </w:tcPr>
          <w:p w14:paraId="3FAAD325" w14:textId="77777777" w:rsidR="002B11FC" w:rsidRPr="00E65610" w:rsidRDefault="002B11FC" w:rsidP="006963A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rPr>
            </w:pPr>
            <w:r w:rsidRPr="00E65610">
              <w:rPr>
                <w:rFonts w:ascii="Arial" w:eastAsia="Times New Roman" w:hAnsi="Arial" w:cs="Arial"/>
                <w:sz w:val="20"/>
              </w:rPr>
              <w:t>Source</w:t>
            </w:r>
          </w:p>
        </w:tc>
        <w:tc>
          <w:tcPr>
            <w:tcW w:w="1697" w:type="dxa"/>
            <w:tcBorders>
              <w:top w:val="none" w:sz="0" w:space="0" w:color="auto"/>
              <w:left w:val="none" w:sz="0" w:space="0" w:color="auto"/>
              <w:bottom w:val="none" w:sz="0" w:space="0" w:color="auto"/>
              <w:right w:val="none" w:sz="0" w:space="0" w:color="auto"/>
            </w:tcBorders>
            <w:vAlign w:val="center"/>
          </w:tcPr>
          <w:p w14:paraId="1772F80D" w14:textId="77777777" w:rsidR="002B11FC" w:rsidRPr="00E65610" w:rsidRDefault="002B11FC" w:rsidP="006963A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rPr>
            </w:pPr>
            <w:proofErr w:type="spellStart"/>
            <w:r w:rsidRPr="00E65610">
              <w:rPr>
                <w:rFonts w:ascii="Arial" w:eastAsia="Times New Roman" w:hAnsi="Arial" w:cs="Arial"/>
                <w:sz w:val="20"/>
              </w:rPr>
              <w:t>CO</w:t>
            </w:r>
            <w:r w:rsidRPr="00E65610">
              <w:rPr>
                <w:rFonts w:ascii="Cambria Math" w:eastAsia="Times New Roman" w:hAnsi="Cambria Math" w:cs="Cambria Math"/>
                <w:sz w:val="20"/>
              </w:rPr>
              <w:t>₂</w:t>
            </w:r>
            <w:r w:rsidRPr="00E65610">
              <w:rPr>
                <w:rFonts w:ascii="Arial" w:eastAsia="Times New Roman" w:hAnsi="Arial" w:cs="Arial"/>
                <w:sz w:val="20"/>
              </w:rPr>
              <w:t>e</w:t>
            </w:r>
            <w:proofErr w:type="spellEnd"/>
            <w:r w:rsidRPr="00E65610">
              <w:rPr>
                <w:rFonts w:ascii="Arial" w:eastAsia="Times New Roman" w:hAnsi="Arial" w:cs="Arial"/>
                <w:sz w:val="20"/>
              </w:rPr>
              <w:t xml:space="preserve"> Emission Factor</w:t>
            </w:r>
          </w:p>
        </w:tc>
        <w:tc>
          <w:tcPr>
            <w:tcW w:w="2069" w:type="dxa"/>
            <w:tcBorders>
              <w:top w:val="none" w:sz="0" w:space="0" w:color="auto"/>
              <w:left w:val="none" w:sz="0" w:space="0" w:color="auto"/>
              <w:bottom w:val="none" w:sz="0" w:space="0" w:color="auto"/>
              <w:right w:val="none" w:sz="0" w:space="0" w:color="auto"/>
            </w:tcBorders>
            <w:vAlign w:val="center"/>
          </w:tcPr>
          <w:p w14:paraId="30A2DABF" w14:textId="77777777" w:rsidR="002B11FC" w:rsidRPr="00E65610" w:rsidRDefault="002B11FC" w:rsidP="006963A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rPr>
            </w:pPr>
            <w:r w:rsidRPr="00E65610">
              <w:rPr>
                <w:rFonts w:ascii="Arial" w:eastAsia="Times New Roman" w:hAnsi="Arial" w:cs="Arial"/>
                <w:sz w:val="20"/>
              </w:rPr>
              <w:t>Unit</w:t>
            </w:r>
          </w:p>
        </w:tc>
        <w:tc>
          <w:tcPr>
            <w:tcW w:w="1875" w:type="dxa"/>
            <w:tcBorders>
              <w:top w:val="none" w:sz="0" w:space="0" w:color="auto"/>
              <w:left w:val="none" w:sz="0" w:space="0" w:color="auto"/>
              <w:bottom w:val="none" w:sz="0" w:space="0" w:color="auto"/>
            </w:tcBorders>
            <w:vAlign w:val="center"/>
          </w:tcPr>
          <w:p w14:paraId="72AEAAEC" w14:textId="77777777" w:rsidR="002B11FC" w:rsidRPr="00E65610" w:rsidRDefault="002B11FC" w:rsidP="006963A4">
            <w:pPr>
              <w:ind w:right="31"/>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rPr>
            </w:pPr>
            <w:r w:rsidRPr="00E65610">
              <w:rPr>
                <w:rFonts w:ascii="Arial" w:eastAsia="Times New Roman" w:hAnsi="Arial" w:cs="Arial"/>
                <w:sz w:val="20"/>
              </w:rPr>
              <w:t>Reference</w:t>
            </w:r>
          </w:p>
        </w:tc>
      </w:tr>
      <w:tr w:rsidR="002B11FC" w:rsidRPr="00E65610" w14:paraId="7B4191B0" w14:textId="77777777" w:rsidTr="006963A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61" w:type="dxa"/>
            <w:vAlign w:val="center"/>
          </w:tcPr>
          <w:p w14:paraId="7E8F27FF" w14:textId="77777777" w:rsidR="002B11FC" w:rsidRPr="00E65610" w:rsidRDefault="002B11FC" w:rsidP="006963A4">
            <w:pPr>
              <w:jc w:val="center"/>
              <w:rPr>
                <w:rFonts w:ascii="Arial" w:eastAsia="Times New Roman" w:hAnsi="Arial" w:cs="Arial"/>
                <w:sz w:val="20"/>
              </w:rPr>
            </w:pPr>
            <w:r w:rsidRPr="00E65610">
              <w:rPr>
                <w:rFonts w:ascii="Arial" w:eastAsia="Times New Roman" w:hAnsi="Arial" w:cs="Arial"/>
                <w:b w:val="0"/>
                <w:sz w:val="20"/>
              </w:rPr>
              <w:t>Liquid Fuels</w:t>
            </w:r>
          </w:p>
        </w:tc>
        <w:tc>
          <w:tcPr>
            <w:tcW w:w="1622" w:type="dxa"/>
            <w:vAlign w:val="center"/>
          </w:tcPr>
          <w:p w14:paraId="54FE62AA" w14:textId="77777777" w:rsidR="002B11FC" w:rsidRPr="00E65610" w:rsidRDefault="002B11FC" w:rsidP="006963A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r w:rsidRPr="00E65610">
              <w:rPr>
                <w:rFonts w:ascii="Arial" w:eastAsia="Times New Roman" w:hAnsi="Arial" w:cs="Arial"/>
                <w:sz w:val="20"/>
              </w:rPr>
              <w:t>Petrol</w:t>
            </w:r>
          </w:p>
        </w:tc>
        <w:tc>
          <w:tcPr>
            <w:tcW w:w="1697" w:type="dxa"/>
            <w:vAlign w:val="center"/>
          </w:tcPr>
          <w:p w14:paraId="3E1BE581" w14:textId="77777777" w:rsidR="002B11FC" w:rsidRPr="00E65610" w:rsidRDefault="002B11FC" w:rsidP="006963A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r w:rsidRPr="00E65610">
              <w:rPr>
                <w:rFonts w:ascii="Arial" w:eastAsia="Times New Roman" w:hAnsi="Arial" w:cs="Arial"/>
                <w:sz w:val="20"/>
              </w:rPr>
              <w:t>2.27193</w:t>
            </w:r>
          </w:p>
        </w:tc>
        <w:tc>
          <w:tcPr>
            <w:tcW w:w="2069" w:type="dxa"/>
            <w:vAlign w:val="center"/>
          </w:tcPr>
          <w:p w14:paraId="4F406638" w14:textId="77777777" w:rsidR="002B11FC" w:rsidRPr="00E65610" w:rsidRDefault="002B11FC" w:rsidP="006963A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r w:rsidRPr="00E65610">
              <w:rPr>
                <w:rFonts w:ascii="Arial" w:eastAsia="Times New Roman" w:hAnsi="Arial" w:cs="Arial"/>
                <w:sz w:val="20"/>
              </w:rPr>
              <w:t xml:space="preserve">kg </w:t>
            </w:r>
            <w:proofErr w:type="spellStart"/>
            <w:r w:rsidRPr="00E65610">
              <w:rPr>
                <w:rFonts w:ascii="Arial" w:eastAsia="Times New Roman" w:hAnsi="Arial" w:cs="Arial"/>
                <w:sz w:val="20"/>
              </w:rPr>
              <w:t>CO</w:t>
            </w:r>
            <w:r w:rsidRPr="00E65610">
              <w:rPr>
                <w:rFonts w:ascii="Cambria Math" w:eastAsia="Times New Roman" w:hAnsi="Cambria Math" w:cs="Cambria Math"/>
                <w:sz w:val="20"/>
              </w:rPr>
              <w:t>₂</w:t>
            </w:r>
            <w:r w:rsidRPr="00E65610">
              <w:rPr>
                <w:rFonts w:ascii="Arial" w:eastAsia="Times New Roman" w:hAnsi="Arial" w:cs="Arial"/>
                <w:sz w:val="20"/>
              </w:rPr>
              <w:t>e</w:t>
            </w:r>
            <w:proofErr w:type="spellEnd"/>
            <w:r w:rsidRPr="00E65610">
              <w:rPr>
                <w:rFonts w:ascii="Arial" w:eastAsia="Times New Roman" w:hAnsi="Arial" w:cs="Arial"/>
                <w:sz w:val="20"/>
              </w:rPr>
              <w:t>/L</w:t>
            </w:r>
          </w:p>
        </w:tc>
        <w:tc>
          <w:tcPr>
            <w:tcW w:w="1875" w:type="dxa"/>
            <w:vAlign w:val="center"/>
          </w:tcPr>
          <w:p w14:paraId="749E62CF" w14:textId="77777777" w:rsidR="002B11FC" w:rsidRPr="00E65610" w:rsidRDefault="002B11FC" w:rsidP="006963A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r w:rsidRPr="00E65610">
              <w:rPr>
                <w:rFonts w:ascii="Arial" w:eastAsia="Times New Roman" w:hAnsi="Arial" w:cs="Arial"/>
                <w:sz w:val="20"/>
              </w:rPr>
              <w:t>India GHG Program</w:t>
            </w:r>
          </w:p>
        </w:tc>
      </w:tr>
      <w:tr w:rsidR="002B11FC" w:rsidRPr="00E65610" w14:paraId="760DC468" w14:textId="77777777" w:rsidTr="006963A4">
        <w:trPr>
          <w:trHeight w:val="442"/>
        </w:trPr>
        <w:tc>
          <w:tcPr>
            <w:cnfStyle w:val="001000000000" w:firstRow="0" w:lastRow="0" w:firstColumn="1" w:lastColumn="0" w:oddVBand="0" w:evenVBand="0" w:oddHBand="0" w:evenHBand="0" w:firstRowFirstColumn="0" w:firstRowLastColumn="0" w:lastRowFirstColumn="0" w:lastRowLastColumn="0"/>
            <w:tcW w:w="1161" w:type="dxa"/>
            <w:vAlign w:val="center"/>
          </w:tcPr>
          <w:p w14:paraId="1D7EFBC2" w14:textId="77777777" w:rsidR="002B11FC" w:rsidRPr="00E65610" w:rsidRDefault="002B11FC" w:rsidP="006963A4">
            <w:pPr>
              <w:jc w:val="center"/>
              <w:rPr>
                <w:rFonts w:ascii="Arial" w:eastAsia="Times New Roman" w:hAnsi="Arial" w:cs="Arial"/>
                <w:sz w:val="20"/>
              </w:rPr>
            </w:pPr>
          </w:p>
        </w:tc>
        <w:tc>
          <w:tcPr>
            <w:tcW w:w="1622" w:type="dxa"/>
            <w:vAlign w:val="center"/>
          </w:tcPr>
          <w:p w14:paraId="2B8D0DD4" w14:textId="77777777" w:rsidR="002B11FC" w:rsidRPr="00E65610" w:rsidRDefault="002B11FC" w:rsidP="006963A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rPr>
            </w:pPr>
            <w:r w:rsidRPr="00E65610">
              <w:rPr>
                <w:rFonts w:ascii="Arial" w:eastAsia="Times New Roman" w:hAnsi="Arial" w:cs="Arial"/>
                <w:sz w:val="20"/>
              </w:rPr>
              <w:t>Diesel</w:t>
            </w:r>
          </w:p>
        </w:tc>
        <w:tc>
          <w:tcPr>
            <w:tcW w:w="1697" w:type="dxa"/>
            <w:vAlign w:val="center"/>
          </w:tcPr>
          <w:p w14:paraId="5D585B60" w14:textId="77777777" w:rsidR="002B11FC" w:rsidRPr="00E65610" w:rsidRDefault="002B11FC" w:rsidP="006963A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rPr>
            </w:pPr>
            <w:r w:rsidRPr="00E65610">
              <w:rPr>
                <w:rFonts w:ascii="Arial" w:eastAsia="Times New Roman" w:hAnsi="Arial" w:cs="Arial"/>
                <w:sz w:val="20"/>
              </w:rPr>
              <w:t>2.6444</w:t>
            </w:r>
          </w:p>
        </w:tc>
        <w:tc>
          <w:tcPr>
            <w:tcW w:w="2069" w:type="dxa"/>
            <w:vAlign w:val="center"/>
          </w:tcPr>
          <w:p w14:paraId="21B65827" w14:textId="77777777" w:rsidR="002B11FC" w:rsidRPr="00E65610" w:rsidRDefault="002B11FC" w:rsidP="006963A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rPr>
            </w:pPr>
            <w:r w:rsidRPr="00E65610">
              <w:rPr>
                <w:rFonts w:ascii="Arial" w:eastAsia="Times New Roman" w:hAnsi="Arial" w:cs="Arial"/>
                <w:sz w:val="20"/>
              </w:rPr>
              <w:t xml:space="preserve">kg </w:t>
            </w:r>
            <w:proofErr w:type="spellStart"/>
            <w:r w:rsidRPr="00E65610">
              <w:rPr>
                <w:rFonts w:ascii="Arial" w:eastAsia="Times New Roman" w:hAnsi="Arial" w:cs="Arial"/>
                <w:sz w:val="20"/>
              </w:rPr>
              <w:t>CO</w:t>
            </w:r>
            <w:r w:rsidRPr="00E65610">
              <w:rPr>
                <w:rFonts w:ascii="Cambria Math" w:eastAsia="Times New Roman" w:hAnsi="Cambria Math" w:cs="Cambria Math"/>
                <w:sz w:val="20"/>
              </w:rPr>
              <w:t>₂</w:t>
            </w:r>
            <w:r w:rsidRPr="00E65610">
              <w:rPr>
                <w:rFonts w:ascii="Arial" w:eastAsia="Times New Roman" w:hAnsi="Arial" w:cs="Arial"/>
                <w:sz w:val="20"/>
              </w:rPr>
              <w:t>e</w:t>
            </w:r>
            <w:proofErr w:type="spellEnd"/>
            <w:r w:rsidRPr="00E65610">
              <w:rPr>
                <w:rFonts w:ascii="Arial" w:eastAsia="Times New Roman" w:hAnsi="Arial" w:cs="Arial"/>
                <w:sz w:val="20"/>
              </w:rPr>
              <w:t>/L</w:t>
            </w:r>
          </w:p>
        </w:tc>
        <w:tc>
          <w:tcPr>
            <w:tcW w:w="1875" w:type="dxa"/>
            <w:vAlign w:val="center"/>
          </w:tcPr>
          <w:p w14:paraId="6B60A7AF" w14:textId="77777777" w:rsidR="002B11FC" w:rsidRPr="00E65610" w:rsidRDefault="002B11FC" w:rsidP="006963A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rPr>
            </w:pPr>
            <w:r w:rsidRPr="00E65610">
              <w:rPr>
                <w:rFonts w:ascii="Arial" w:eastAsia="Times New Roman" w:hAnsi="Arial" w:cs="Arial"/>
                <w:sz w:val="20"/>
              </w:rPr>
              <w:t>India GHG Program</w:t>
            </w:r>
          </w:p>
        </w:tc>
      </w:tr>
      <w:tr w:rsidR="002B11FC" w:rsidRPr="00E65610" w14:paraId="0875E73C" w14:textId="77777777" w:rsidTr="006963A4">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161" w:type="dxa"/>
            <w:vAlign w:val="center"/>
          </w:tcPr>
          <w:p w14:paraId="0934AFEA" w14:textId="77777777" w:rsidR="002B11FC" w:rsidRPr="00E65610" w:rsidRDefault="002B11FC" w:rsidP="006963A4">
            <w:pPr>
              <w:jc w:val="center"/>
              <w:rPr>
                <w:rFonts w:ascii="Arial" w:eastAsia="Times New Roman" w:hAnsi="Arial" w:cs="Arial"/>
                <w:sz w:val="20"/>
              </w:rPr>
            </w:pPr>
            <w:r w:rsidRPr="00E65610">
              <w:rPr>
                <w:rFonts w:ascii="Arial" w:eastAsia="Times New Roman" w:hAnsi="Arial" w:cs="Arial"/>
                <w:b w:val="0"/>
                <w:sz w:val="20"/>
              </w:rPr>
              <w:t>Other Fuels</w:t>
            </w:r>
          </w:p>
        </w:tc>
        <w:tc>
          <w:tcPr>
            <w:tcW w:w="1622" w:type="dxa"/>
            <w:vAlign w:val="center"/>
          </w:tcPr>
          <w:p w14:paraId="454D474D" w14:textId="77777777" w:rsidR="002B11FC" w:rsidRPr="00E65610" w:rsidRDefault="002B11FC" w:rsidP="006963A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r w:rsidRPr="00E65610">
              <w:rPr>
                <w:rFonts w:ascii="Arial" w:eastAsia="Times New Roman" w:hAnsi="Arial" w:cs="Arial"/>
                <w:sz w:val="20"/>
              </w:rPr>
              <w:t>LPG</w:t>
            </w:r>
          </w:p>
        </w:tc>
        <w:tc>
          <w:tcPr>
            <w:tcW w:w="1697" w:type="dxa"/>
            <w:vAlign w:val="center"/>
          </w:tcPr>
          <w:p w14:paraId="40B51DA7" w14:textId="77777777" w:rsidR="002B11FC" w:rsidRPr="00E65610" w:rsidRDefault="002B11FC" w:rsidP="006963A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r w:rsidRPr="00E65610">
              <w:rPr>
                <w:rFonts w:ascii="Arial" w:eastAsia="Times New Roman" w:hAnsi="Arial" w:cs="Arial"/>
                <w:sz w:val="20"/>
              </w:rPr>
              <w:t>2.985</w:t>
            </w:r>
          </w:p>
        </w:tc>
        <w:tc>
          <w:tcPr>
            <w:tcW w:w="2069" w:type="dxa"/>
            <w:vAlign w:val="center"/>
          </w:tcPr>
          <w:p w14:paraId="7F3F70D9" w14:textId="77777777" w:rsidR="002B11FC" w:rsidRPr="00E65610" w:rsidRDefault="002B11FC" w:rsidP="006963A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r w:rsidRPr="00E65610">
              <w:rPr>
                <w:rFonts w:ascii="Arial" w:eastAsia="Times New Roman" w:hAnsi="Arial" w:cs="Arial"/>
                <w:sz w:val="20"/>
              </w:rPr>
              <w:t xml:space="preserve">kg </w:t>
            </w:r>
            <w:proofErr w:type="spellStart"/>
            <w:r w:rsidRPr="00E65610">
              <w:rPr>
                <w:rFonts w:ascii="Arial" w:eastAsia="Times New Roman" w:hAnsi="Arial" w:cs="Arial"/>
                <w:sz w:val="20"/>
              </w:rPr>
              <w:t>CO</w:t>
            </w:r>
            <w:r w:rsidRPr="00E65610">
              <w:rPr>
                <w:rFonts w:ascii="Cambria Math" w:eastAsia="Times New Roman" w:hAnsi="Cambria Math" w:cs="Cambria Math"/>
                <w:sz w:val="20"/>
              </w:rPr>
              <w:t>₂</w:t>
            </w:r>
            <w:r w:rsidRPr="00E65610">
              <w:rPr>
                <w:rFonts w:ascii="Arial" w:eastAsia="Times New Roman" w:hAnsi="Arial" w:cs="Arial"/>
                <w:sz w:val="20"/>
              </w:rPr>
              <w:t>e</w:t>
            </w:r>
            <w:proofErr w:type="spellEnd"/>
            <w:r w:rsidRPr="00E65610">
              <w:rPr>
                <w:rFonts w:ascii="Arial" w:eastAsia="Times New Roman" w:hAnsi="Arial" w:cs="Arial"/>
                <w:sz w:val="20"/>
              </w:rPr>
              <w:t>/kg</w:t>
            </w:r>
          </w:p>
        </w:tc>
        <w:tc>
          <w:tcPr>
            <w:tcW w:w="1875" w:type="dxa"/>
            <w:vAlign w:val="center"/>
          </w:tcPr>
          <w:p w14:paraId="3FD9253A" w14:textId="77777777" w:rsidR="002B11FC" w:rsidRPr="00E65610" w:rsidRDefault="002B11FC" w:rsidP="006963A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r w:rsidRPr="00E65610">
              <w:rPr>
                <w:rFonts w:ascii="Arial" w:eastAsia="Times New Roman" w:hAnsi="Arial" w:cs="Arial"/>
                <w:sz w:val="20"/>
              </w:rPr>
              <w:t xml:space="preserve">Bhoyar </w:t>
            </w:r>
            <w:r w:rsidR="00DE27C9" w:rsidRPr="00E65610">
              <w:rPr>
                <w:rFonts w:ascii="Arial" w:eastAsia="Times New Roman" w:hAnsi="Arial" w:cs="Arial"/>
                <w:i/>
                <w:iCs/>
                <w:sz w:val="20"/>
              </w:rPr>
              <w:t>et</w:t>
            </w:r>
            <w:r w:rsidRPr="00E65610">
              <w:rPr>
                <w:rFonts w:ascii="Arial" w:eastAsia="Times New Roman" w:hAnsi="Arial" w:cs="Arial"/>
                <w:i/>
                <w:iCs/>
                <w:sz w:val="20"/>
              </w:rPr>
              <w:t xml:space="preserve"> al</w:t>
            </w:r>
            <w:r w:rsidRPr="00E65610">
              <w:rPr>
                <w:rFonts w:ascii="Arial" w:eastAsia="Times New Roman" w:hAnsi="Arial" w:cs="Arial"/>
                <w:sz w:val="20"/>
              </w:rPr>
              <w:t>.,</w:t>
            </w:r>
          </w:p>
        </w:tc>
      </w:tr>
      <w:tr w:rsidR="002B11FC" w:rsidRPr="00E65610" w14:paraId="35B3C75F" w14:textId="77777777" w:rsidTr="006963A4">
        <w:trPr>
          <w:trHeight w:val="233"/>
        </w:trPr>
        <w:tc>
          <w:tcPr>
            <w:cnfStyle w:val="001000000000" w:firstRow="0" w:lastRow="0" w:firstColumn="1" w:lastColumn="0" w:oddVBand="0" w:evenVBand="0" w:oddHBand="0" w:evenHBand="0" w:firstRowFirstColumn="0" w:firstRowLastColumn="0" w:lastRowFirstColumn="0" w:lastRowLastColumn="0"/>
            <w:tcW w:w="1161" w:type="dxa"/>
            <w:vAlign w:val="center"/>
          </w:tcPr>
          <w:p w14:paraId="2E348F03" w14:textId="77777777" w:rsidR="002B11FC" w:rsidRPr="00E65610" w:rsidRDefault="002B11FC" w:rsidP="006963A4">
            <w:pPr>
              <w:jc w:val="center"/>
              <w:rPr>
                <w:rFonts w:ascii="Arial" w:eastAsia="Times New Roman" w:hAnsi="Arial" w:cs="Arial"/>
                <w:sz w:val="20"/>
              </w:rPr>
            </w:pPr>
          </w:p>
        </w:tc>
        <w:tc>
          <w:tcPr>
            <w:tcW w:w="1622" w:type="dxa"/>
            <w:vAlign w:val="center"/>
          </w:tcPr>
          <w:p w14:paraId="315F31FE" w14:textId="77777777" w:rsidR="002B11FC" w:rsidRPr="00E65610" w:rsidRDefault="002B11FC" w:rsidP="006963A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rPr>
            </w:pPr>
            <w:r w:rsidRPr="00E65610">
              <w:rPr>
                <w:rFonts w:ascii="Arial" w:eastAsia="Times New Roman" w:hAnsi="Arial" w:cs="Arial"/>
                <w:sz w:val="20"/>
              </w:rPr>
              <w:t>Biomass Burning</w:t>
            </w:r>
          </w:p>
        </w:tc>
        <w:tc>
          <w:tcPr>
            <w:tcW w:w="1697" w:type="dxa"/>
            <w:vAlign w:val="center"/>
          </w:tcPr>
          <w:p w14:paraId="2C0DB730" w14:textId="77777777" w:rsidR="002B11FC" w:rsidRPr="00E65610" w:rsidRDefault="002B11FC" w:rsidP="006963A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rPr>
            </w:pPr>
            <w:r w:rsidRPr="00E65610">
              <w:rPr>
                <w:rFonts w:ascii="Arial" w:eastAsia="Times New Roman" w:hAnsi="Arial" w:cs="Arial"/>
                <w:sz w:val="20"/>
              </w:rPr>
              <w:t>1.597</w:t>
            </w:r>
          </w:p>
        </w:tc>
        <w:tc>
          <w:tcPr>
            <w:tcW w:w="2069" w:type="dxa"/>
            <w:vAlign w:val="center"/>
          </w:tcPr>
          <w:p w14:paraId="25398514" w14:textId="77777777" w:rsidR="002B11FC" w:rsidRPr="00E65610" w:rsidRDefault="002B11FC" w:rsidP="006963A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rPr>
            </w:pPr>
            <w:r w:rsidRPr="00E65610">
              <w:rPr>
                <w:rFonts w:ascii="Arial" w:eastAsia="Times New Roman" w:hAnsi="Arial" w:cs="Arial"/>
                <w:sz w:val="20"/>
              </w:rPr>
              <w:t xml:space="preserve">kg </w:t>
            </w:r>
            <w:proofErr w:type="spellStart"/>
            <w:r w:rsidRPr="00E65610">
              <w:rPr>
                <w:rFonts w:ascii="Arial" w:eastAsia="Times New Roman" w:hAnsi="Arial" w:cs="Arial"/>
                <w:sz w:val="20"/>
              </w:rPr>
              <w:t>CO</w:t>
            </w:r>
            <w:r w:rsidRPr="00E65610">
              <w:rPr>
                <w:rFonts w:ascii="Cambria Math" w:eastAsia="Times New Roman" w:hAnsi="Cambria Math" w:cs="Cambria Math"/>
                <w:sz w:val="20"/>
              </w:rPr>
              <w:t>₂</w:t>
            </w:r>
            <w:r w:rsidRPr="00E65610">
              <w:rPr>
                <w:rFonts w:ascii="Arial" w:eastAsia="Times New Roman" w:hAnsi="Arial" w:cs="Arial"/>
                <w:sz w:val="20"/>
              </w:rPr>
              <w:t>e</w:t>
            </w:r>
            <w:proofErr w:type="spellEnd"/>
            <w:r w:rsidRPr="00E65610">
              <w:rPr>
                <w:rFonts w:ascii="Arial" w:eastAsia="Times New Roman" w:hAnsi="Arial" w:cs="Arial"/>
                <w:sz w:val="20"/>
              </w:rPr>
              <w:t>/kg</w:t>
            </w:r>
          </w:p>
        </w:tc>
        <w:tc>
          <w:tcPr>
            <w:tcW w:w="1875" w:type="dxa"/>
            <w:vAlign w:val="center"/>
          </w:tcPr>
          <w:p w14:paraId="2AB32589" w14:textId="77777777" w:rsidR="002B11FC" w:rsidRPr="00E65610" w:rsidRDefault="002B11FC" w:rsidP="006963A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rPr>
            </w:pPr>
            <w:r w:rsidRPr="00E65610">
              <w:rPr>
                <w:rFonts w:ascii="Arial" w:eastAsia="Times New Roman" w:hAnsi="Arial" w:cs="Arial"/>
                <w:sz w:val="20"/>
              </w:rPr>
              <w:t xml:space="preserve">Bhattacharya </w:t>
            </w:r>
            <w:r w:rsidRPr="00E65610">
              <w:rPr>
                <w:rFonts w:ascii="Arial" w:eastAsia="Times New Roman" w:hAnsi="Arial" w:cs="Arial"/>
                <w:i/>
                <w:iCs/>
                <w:sz w:val="20"/>
              </w:rPr>
              <w:t>et al</w:t>
            </w:r>
            <w:r w:rsidRPr="00E65610">
              <w:rPr>
                <w:rFonts w:ascii="Arial" w:eastAsia="Times New Roman" w:hAnsi="Arial" w:cs="Arial"/>
                <w:sz w:val="20"/>
              </w:rPr>
              <w:t>.,</w:t>
            </w:r>
          </w:p>
        </w:tc>
      </w:tr>
      <w:tr w:rsidR="002B11FC" w:rsidRPr="00E65610" w14:paraId="2264C250" w14:textId="77777777" w:rsidTr="006963A4">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161" w:type="dxa"/>
            <w:vAlign w:val="center"/>
          </w:tcPr>
          <w:p w14:paraId="4CF44FBE" w14:textId="77777777" w:rsidR="002B11FC" w:rsidRPr="00E65610" w:rsidRDefault="002B11FC" w:rsidP="006963A4">
            <w:pPr>
              <w:jc w:val="center"/>
              <w:rPr>
                <w:rFonts w:ascii="Arial" w:eastAsia="Times New Roman" w:hAnsi="Arial" w:cs="Arial"/>
                <w:sz w:val="20"/>
              </w:rPr>
            </w:pPr>
            <w:r w:rsidRPr="00E65610">
              <w:rPr>
                <w:rFonts w:ascii="Arial" w:eastAsia="Times New Roman" w:hAnsi="Arial" w:cs="Arial"/>
                <w:b w:val="0"/>
                <w:sz w:val="20"/>
              </w:rPr>
              <w:t>Travel</w:t>
            </w:r>
          </w:p>
        </w:tc>
        <w:tc>
          <w:tcPr>
            <w:tcW w:w="1622" w:type="dxa"/>
            <w:vAlign w:val="center"/>
          </w:tcPr>
          <w:p w14:paraId="53A409C2" w14:textId="77777777" w:rsidR="002B11FC" w:rsidRPr="00E65610" w:rsidRDefault="002B11FC" w:rsidP="006963A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r w:rsidRPr="00E65610">
              <w:rPr>
                <w:rFonts w:ascii="Arial" w:eastAsia="Times New Roman" w:hAnsi="Arial" w:cs="Arial"/>
                <w:sz w:val="20"/>
              </w:rPr>
              <w:t>Air travel</w:t>
            </w:r>
          </w:p>
        </w:tc>
        <w:tc>
          <w:tcPr>
            <w:tcW w:w="1697" w:type="dxa"/>
            <w:vAlign w:val="center"/>
          </w:tcPr>
          <w:p w14:paraId="57173A3B" w14:textId="77777777" w:rsidR="002B11FC" w:rsidRPr="00E65610" w:rsidRDefault="002B11FC" w:rsidP="006963A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r w:rsidRPr="00E65610">
              <w:rPr>
                <w:rFonts w:ascii="Arial" w:eastAsia="Times New Roman" w:hAnsi="Arial" w:cs="Arial"/>
                <w:sz w:val="20"/>
              </w:rPr>
              <w:t>0.121</w:t>
            </w:r>
          </w:p>
        </w:tc>
        <w:tc>
          <w:tcPr>
            <w:tcW w:w="2069" w:type="dxa"/>
            <w:vAlign w:val="center"/>
          </w:tcPr>
          <w:p w14:paraId="3121D2B6" w14:textId="77777777" w:rsidR="002B11FC" w:rsidRPr="00E65610" w:rsidRDefault="002B11FC" w:rsidP="006963A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r w:rsidRPr="00E65610">
              <w:rPr>
                <w:rFonts w:ascii="Arial" w:eastAsia="Times New Roman" w:hAnsi="Arial" w:cs="Arial"/>
                <w:sz w:val="20"/>
              </w:rPr>
              <w:t xml:space="preserve">kg </w:t>
            </w:r>
            <w:proofErr w:type="spellStart"/>
            <w:r w:rsidRPr="00E65610">
              <w:rPr>
                <w:rFonts w:ascii="Arial" w:eastAsia="Times New Roman" w:hAnsi="Arial" w:cs="Arial"/>
                <w:sz w:val="20"/>
              </w:rPr>
              <w:t>CO</w:t>
            </w:r>
            <w:r w:rsidRPr="00E65610">
              <w:rPr>
                <w:rFonts w:ascii="Cambria Math" w:eastAsia="Times New Roman" w:hAnsi="Cambria Math" w:cs="Cambria Math"/>
                <w:sz w:val="20"/>
              </w:rPr>
              <w:t>₂</w:t>
            </w:r>
            <w:r w:rsidRPr="00E65610">
              <w:rPr>
                <w:rFonts w:ascii="Arial" w:eastAsia="Times New Roman" w:hAnsi="Arial" w:cs="Arial"/>
                <w:sz w:val="20"/>
              </w:rPr>
              <w:t>e</w:t>
            </w:r>
            <w:proofErr w:type="spellEnd"/>
            <w:r w:rsidRPr="00E65610">
              <w:rPr>
                <w:rFonts w:ascii="Arial" w:eastAsia="Times New Roman" w:hAnsi="Arial" w:cs="Arial"/>
                <w:sz w:val="20"/>
              </w:rPr>
              <w:t>/passenger-km</w:t>
            </w:r>
          </w:p>
        </w:tc>
        <w:tc>
          <w:tcPr>
            <w:tcW w:w="1875" w:type="dxa"/>
            <w:vAlign w:val="center"/>
          </w:tcPr>
          <w:p w14:paraId="799D4B75" w14:textId="77777777" w:rsidR="002B11FC" w:rsidRPr="00E65610" w:rsidRDefault="002B11FC" w:rsidP="006963A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r w:rsidRPr="00E65610">
              <w:rPr>
                <w:rFonts w:ascii="Arial" w:eastAsia="Times New Roman" w:hAnsi="Arial" w:cs="Arial"/>
                <w:sz w:val="20"/>
              </w:rPr>
              <w:t>India GHG Program</w:t>
            </w:r>
          </w:p>
        </w:tc>
      </w:tr>
      <w:tr w:rsidR="002B11FC" w:rsidRPr="00E65610" w14:paraId="1186D0B6" w14:textId="77777777" w:rsidTr="006963A4">
        <w:trPr>
          <w:trHeight w:val="442"/>
        </w:trPr>
        <w:tc>
          <w:tcPr>
            <w:cnfStyle w:val="001000000000" w:firstRow="0" w:lastRow="0" w:firstColumn="1" w:lastColumn="0" w:oddVBand="0" w:evenVBand="0" w:oddHBand="0" w:evenHBand="0" w:firstRowFirstColumn="0" w:firstRowLastColumn="0" w:lastRowFirstColumn="0" w:lastRowLastColumn="0"/>
            <w:tcW w:w="1161" w:type="dxa"/>
            <w:vAlign w:val="center"/>
          </w:tcPr>
          <w:p w14:paraId="0E7F45D1" w14:textId="77777777" w:rsidR="002B11FC" w:rsidRPr="00E65610" w:rsidRDefault="002B11FC" w:rsidP="006963A4">
            <w:pPr>
              <w:jc w:val="center"/>
              <w:rPr>
                <w:rFonts w:ascii="Arial" w:eastAsia="Times New Roman" w:hAnsi="Arial" w:cs="Arial"/>
                <w:sz w:val="20"/>
              </w:rPr>
            </w:pPr>
          </w:p>
        </w:tc>
        <w:tc>
          <w:tcPr>
            <w:tcW w:w="1622" w:type="dxa"/>
            <w:vAlign w:val="center"/>
          </w:tcPr>
          <w:p w14:paraId="43A612BB" w14:textId="77777777" w:rsidR="002B11FC" w:rsidRPr="00E65610" w:rsidRDefault="002B11FC" w:rsidP="006963A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rPr>
            </w:pPr>
            <w:r w:rsidRPr="00E65610">
              <w:rPr>
                <w:rFonts w:ascii="Arial" w:eastAsia="Times New Roman" w:hAnsi="Arial" w:cs="Arial"/>
                <w:sz w:val="20"/>
              </w:rPr>
              <w:t>Bus travel</w:t>
            </w:r>
          </w:p>
        </w:tc>
        <w:tc>
          <w:tcPr>
            <w:tcW w:w="1697" w:type="dxa"/>
            <w:vAlign w:val="center"/>
          </w:tcPr>
          <w:p w14:paraId="5529656D" w14:textId="77777777" w:rsidR="002B11FC" w:rsidRPr="00E65610" w:rsidRDefault="002B11FC" w:rsidP="006963A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rPr>
            </w:pPr>
            <w:r w:rsidRPr="00E65610">
              <w:rPr>
                <w:rFonts w:ascii="Arial" w:eastAsia="Times New Roman" w:hAnsi="Arial" w:cs="Arial"/>
                <w:sz w:val="20"/>
              </w:rPr>
              <w:t>0.0151</w:t>
            </w:r>
          </w:p>
        </w:tc>
        <w:tc>
          <w:tcPr>
            <w:tcW w:w="2069" w:type="dxa"/>
            <w:vAlign w:val="center"/>
          </w:tcPr>
          <w:p w14:paraId="3024EA1B" w14:textId="77777777" w:rsidR="002B11FC" w:rsidRPr="00E65610" w:rsidRDefault="002B11FC" w:rsidP="006963A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rPr>
            </w:pPr>
            <w:r w:rsidRPr="00E65610">
              <w:rPr>
                <w:rFonts w:ascii="Arial" w:eastAsia="Times New Roman" w:hAnsi="Arial" w:cs="Arial"/>
                <w:sz w:val="20"/>
              </w:rPr>
              <w:t xml:space="preserve">kg </w:t>
            </w:r>
            <w:proofErr w:type="spellStart"/>
            <w:r w:rsidRPr="00E65610">
              <w:rPr>
                <w:rFonts w:ascii="Arial" w:eastAsia="Times New Roman" w:hAnsi="Arial" w:cs="Arial"/>
                <w:sz w:val="20"/>
              </w:rPr>
              <w:t>CO</w:t>
            </w:r>
            <w:r w:rsidRPr="00E65610">
              <w:rPr>
                <w:rFonts w:ascii="Cambria Math" w:eastAsia="Times New Roman" w:hAnsi="Cambria Math" w:cs="Cambria Math"/>
                <w:sz w:val="20"/>
              </w:rPr>
              <w:t>₂</w:t>
            </w:r>
            <w:r w:rsidRPr="00E65610">
              <w:rPr>
                <w:rFonts w:ascii="Arial" w:eastAsia="Times New Roman" w:hAnsi="Arial" w:cs="Arial"/>
                <w:sz w:val="20"/>
              </w:rPr>
              <w:t>e</w:t>
            </w:r>
            <w:proofErr w:type="spellEnd"/>
            <w:r w:rsidRPr="00E65610">
              <w:rPr>
                <w:rFonts w:ascii="Arial" w:eastAsia="Times New Roman" w:hAnsi="Arial" w:cs="Arial"/>
                <w:sz w:val="20"/>
              </w:rPr>
              <w:t>/passenger-km</w:t>
            </w:r>
          </w:p>
        </w:tc>
        <w:tc>
          <w:tcPr>
            <w:tcW w:w="1875" w:type="dxa"/>
            <w:vAlign w:val="center"/>
          </w:tcPr>
          <w:p w14:paraId="1335C9AE" w14:textId="77777777" w:rsidR="002B11FC" w:rsidRPr="00E65610" w:rsidRDefault="002B11FC" w:rsidP="006963A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rPr>
            </w:pPr>
            <w:r w:rsidRPr="00E65610">
              <w:rPr>
                <w:rFonts w:ascii="Arial" w:eastAsia="Times New Roman" w:hAnsi="Arial" w:cs="Arial"/>
                <w:sz w:val="20"/>
              </w:rPr>
              <w:t>India GHG Program</w:t>
            </w:r>
          </w:p>
        </w:tc>
      </w:tr>
      <w:tr w:rsidR="002B11FC" w:rsidRPr="00E65610" w14:paraId="305FF686" w14:textId="77777777" w:rsidTr="006963A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61" w:type="dxa"/>
            <w:vAlign w:val="center"/>
          </w:tcPr>
          <w:p w14:paraId="7C0187F1" w14:textId="77777777" w:rsidR="002B11FC" w:rsidRPr="00E65610" w:rsidRDefault="002B11FC" w:rsidP="006963A4">
            <w:pPr>
              <w:jc w:val="center"/>
              <w:rPr>
                <w:rFonts w:ascii="Arial" w:eastAsia="Times New Roman" w:hAnsi="Arial" w:cs="Arial"/>
                <w:sz w:val="20"/>
              </w:rPr>
            </w:pPr>
            <w:r w:rsidRPr="00E65610">
              <w:rPr>
                <w:rFonts w:ascii="Arial" w:eastAsia="Times New Roman" w:hAnsi="Arial" w:cs="Arial"/>
                <w:b w:val="0"/>
                <w:sz w:val="20"/>
              </w:rPr>
              <w:t>Energy</w:t>
            </w:r>
          </w:p>
        </w:tc>
        <w:tc>
          <w:tcPr>
            <w:tcW w:w="1622" w:type="dxa"/>
            <w:vAlign w:val="center"/>
          </w:tcPr>
          <w:p w14:paraId="61C920BC" w14:textId="77777777" w:rsidR="002B11FC" w:rsidRPr="00E65610" w:rsidRDefault="002B11FC" w:rsidP="006963A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r w:rsidRPr="00E65610">
              <w:rPr>
                <w:rFonts w:ascii="Arial" w:eastAsia="Times New Roman" w:hAnsi="Arial" w:cs="Arial"/>
                <w:sz w:val="20"/>
              </w:rPr>
              <w:t>Grid electricity</w:t>
            </w:r>
          </w:p>
        </w:tc>
        <w:tc>
          <w:tcPr>
            <w:tcW w:w="1697" w:type="dxa"/>
            <w:vAlign w:val="center"/>
          </w:tcPr>
          <w:p w14:paraId="7BF9B39F" w14:textId="77777777" w:rsidR="002B11FC" w:rsidRPr="00E65610" w:rsidRDefault="002B11FC" w:rsidP="006963A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r w:rsidRPr="00E65610">
              <w:rPr>
                <w:rFonts w:ascii="Arial" w:eastAsia="Times New Roman" w:hAnsi="Arial" w:cs="Arial"/>
                <w:sz w:val="20"/>
              </w:rPr>
              <w:t>0.91</w:t>
            </w:r>
          </w:p>
        </w:tc>
        <w:tc>
          <w:tcPr>
            <w:tcW w:w="2069" w:type="dxa"/>
            <w:vAlign w:val="center"/>
          </w:tcPr>
          <w:p w14:paraId="356CC71C" w14:textId="77777777" w:rsidR="002B11FC" w:rsidRPr="00E65610" w:rsidRDefault="002B11FC" w:rsidP="006963A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r w:rsidRPr="00E65610">
              <w:rPr>
                <w:rFonts w:ascii="Arial" w:eastAsia="Times New Roman" w:hAnsi="Arial" w:cs="Arial"/>
                <w:sz w:val="20"/>
              </w:rPr>
              <w:t xml:space="preserve">kg </w:t>
            </w:r>
            <w:proofErr w:type="spellStart"/>
            <w:r w:rsidRPr="00E65610">
              <w:rPr>
                <w:rFonts w:ascii="Arial" w:eastAsia="Times New Roman" w:hAnsi="Arial" w:cs="Arial"/>
                <w:sz w:val="20"/>
              </w:rPr>
              <w:t>CO</w:t>
            </w:r>
            <w:r w:rsidRPr="00E65610">
              <w:rPr>
                <w:rFonts w:ascii="Cambria Math" w:eastAsia="Times New Roman" w:hAnsi="Cambria Math" w:cs="Cambria Math"/>
                <w:sz w:val="20"/>
              </w:rPr>
              <w:t>₂</w:t>
            </w:r>
            <w:r w:rsidRPr="00E65610">
              <w:rPr>
                <w:rFonts w:ascii="Arial" w:eastAsia="Times New Roman" w:hAnsi="Arial" w:cs="Arial"/>
                <w:sz w:val="20"/>
              </w:rPr>
              <w:t>e</w:t>
            </w:r>
            <w:proofErr w:type="spellEnd"/>
            <w:r w:rsidRPr="00E65610">
              <w:rPr>
                <w:rFonts w:ascii="Arial" w:eastAsia="Times New Roman" w:hAnsi="Arial" w:cs="Arial"/>
                <w:sz w:val="20"/>
              </w:rPr>
              <w:t>/kWh</w:t>
            </w:r>
          </w:p>
        </w:tc>
        <w:tc>
          <w:tcPr>
            <w:tcW w:w="1875" w:type="dxa"/>
            <w:vAlign w:val="center"/>
          </w:tcPr>
          <w:p w14:paraId="291F49D3" w14:textId="77777777" w:rsidR="002B11FC" w:rsidRPr="00E65610" w:rsidRDefault="002B11FC" w:rsidP="006963A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r w:rsidRPr="00E65610">
              <w:rPr>
                <w:rFonts w:ascii="Arial" w:eastAsia="Times New Roman" w:hAnsi="Arial" w:cs="Arial"/>
                <w:sz w:val="20"/>
              </w:rPr>
              <w:t>GHG Inventory Report</w:t>
            </w:r>
          </w:p>
        </w:tc>
      </w:tr>
      <w:tr w:rsidR="002B11FC" w:rsidRPr="00E65610" w14:paraId="47155B30" w14:textId="77777777" w:rsidTr="006963A4">
        <w:trPr>
          <w:trHeight w:val="221"/>
        </w:trPr>
        <w:tc>
          <w:tcPr>
            <w:cnfStyle w:val="001000000000" w:firstRow="0" w:lastRow="0" w:firstColumn="1" w:lastColumn="0" w:oddVBand="0" w:evenVBand="0" w:oddHBand="0" w:evenHBand="0" w:firstRowFirstColumn="0" w:firstRowLastColumn="0" w:lastRowFirstColumn="0" w:lastRowLastColumn="0"/>
            <w:tcW w:w="1161" w:type="dxa"/>
            <w:vAlign w:val="center"/>
          </w:tcPr>
          <w:p w14:paraId="6C814878" w14:textId="77777777" w:rsidR="002B11FC" w:rsidRPr="00E65610" w:rsidRDefault="002B11FC" w:rsidP="006963A4">
            <w:pPr>
              <w:jc w:val="center"/>
              <w:rPr>
                <w:rFonts w:ascii="Arial" w:eastAsia="Times New Roman" w:hAnsi="Arial" w:cs="Arial"/>
                <w:sz w:val="20"/>
              </w:rPr>
            </w:pPr>
            <w:r w:rsidRPr="00E65610">
              <w:rPr>
                <w:rFonts w:ascii="Arial" w:eastAsia="Times New Roman" w:hAnsi="Arial" w:cs="Arial"/>
                <w:b w:val="0"/>
                <w:sz w:val="20"/>
              </w:rPr>
              <w:t>Food</w:t>
            </w:r>
          </w:p>
        </w:tc>
        <w:tc>
          <w:tcPr>
            <w:tcW w:w="1622" w:type="dxa"/>
            <w:vAlign w:val="center"/>
          </w:tcPr>
          <w:p w14:paraId="36C622F9" w14:textId="77777777" w:rsidR="002B11FC" w:rsidRPr="00E65610" w:rsidRDefault="002B11FC" w:rsidP="006963A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rPr>
            </w:pPr>
            <w:r w:rsidRPr="00E65610">
              <w:rPr>
                <w:rFonts w:ascii="Arial" w:eastAsia="Times New Roman" w:hAnsi="Arial" w:cs="Arial"/>
                <w:sz w:val="20"/>
              </w:rPr>
              <w:t>Rice</w:t>
            </w:r>
          </w:p>
        </w:tc>
        <w:tc>
          <w:tcPr>
            <w:tcW w:w="1697" w:type="dxa"/>
            <w:vAlign w:val="center"/>
          </w:tcPr>
          <w:p w14:paraId="6A387C34" w14:textId="77777777" w:rsidR="002B11FC" w:rsidRPr="00E65610" w:rsidRDefault="002B11FC" w:rsidP="006963A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rPr>
            </w:pPr>
            <w:r w:rsidRPr="00E65610">
              <w:rPr>
                <w:rFonts w:ascii="Arial" w:eastAsia="Times New Roman" w:hAnsi="Arial" w:cs="Arial"/>
                <w:sz w:val="20"/>
              </w:rPr>
              <w:t>1.220</w:t>
            </w:r>
          </w:p>
        </w:tc>
        <w:tc>
          <w:tcPr>
            <w:tcW w:w="2069" w:type="dxa"/>
            <w:vAlign w:val="center"/>
          </w:tcPr>
          <w:p w14:paraId="1401B740" w14:textId="77777777" w:rsidR="002B11FC" w:rsidRPr="00E65610" w:rsidRDefault="002B11FC" w:rsidP="006963A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rPr>
            </w:pPr>
            <w:r w:rsidRPr="00E65610">
              <w:rPr>
                <w:rFonts w:ascii="Arial" w:eastAsia="Times New Roman" w:hAnsi="Arial" w:cs="Arial"/>
                <w:sz w:val="20"/>
              </w:rPr>
              <w:t xml:space="preserve">kg </w:t>
            </w:r>
            <w:proofErr w:type="spellStart"/>
            <w:r w:rsidRPr="00E65610">
              <w:rPr>
                <w:rFonts w:ascii="Arial" w:eastAsia="Times New Roman" w:hAnsi="Arial" w:cs="Arial"/>
                <w:sz w:val="20"/>
              </w:rPr>
              <w:t>CO</w:t>
            </w:r>
            <w:r w:rsidRPr="00E65610">
              <w:rPr>
                <w:rFonts w:ascii="Cambria Math" w:eastAsia="Times New Roman" w:hAnsi="Cambria Math" w:cs="Cambria Math"/>
                <w:sz w:val="20"/>
              </w:rPr>
              <w:t>₂</w:t>
            </w:r>
            <w:r w:rsidRPr="00E65610">
              <w:rPr>
                <w:rFonts w:ascii="Arial" w:eastAsia="Times New Roman" w:hAnsi="Arial" w:cs="Arial"/>
                <w:sz w:val="20"/>
              </w:rPr>
              <w:t>e</w:t>
            </w:r>
            <w:proofErr w:type="spellEnd"/>
            <w:r w:rsidRPr="00E65610">
              <w:rPr>
                <w:rFonts w:ascii="Arial" w:eastAsia="Times New Roman" w:hAnsi="Arial" w:cs="Arial"/>
                <w:sz w:val="20"/>
              </w:rPr>
              <w:t>/kg</w:t>
            </w:r>
          </w:p>
        </w:tc>
        <w:tc>
          <w:tcPr>
            <w:tcW w:w="1875" w:type="dxa"/>
            <w:vAlign w:val="center"/>
          </w:tcPr>
          <w:p w14:paraId="20DFDC5B" w14:textId="77777777" w:rsidR="002B11FC" w:rsidRPr="00E65610" w:rsidRDefault="002B11FC" w:rsidP="006963A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rPr>
            </w:pPr>
            <w:r w:rsidRPr="00E65610">
              <w:rPr>
                <w:rFonts w:ascii="Arial" w:eastAsia="Times New Roman" w:hAnsi="Arial" w:cs="Arial"/>
                <w:sz w:val="20"/>
              </w:rPr>
              <w:t xml:space="preserve">Bhoyar </w:t>
            </w:r>
            <w:r w:rsidR="00DE27C9" w:rsidRPr="00E65610">
              <w:rPr>
                <w:rFonts w:ascii="Arial" w:eastAsia="Times New Roman" w:hAnsi="Arial" w:cs="Arial"/>
                <w:i/>
                <w:iCs/>
                <w:sz w:val="20"/>
              </w:rPr>
              <w:t>et</w:t>
            </w:r>
            <w:r w:rsidRPr="00E65610">
              <w:rPr>
                <w:rFonts w:ascii="Arial" w:eastAsia="Times New Roman" w:hAnsi="Arial" w:cs="Arial"/>
                <w:i/>
                <w:iCs/>
                <w:sz w:val="20"/>
              </w:rPr>
              <w:t xml:space="preserve"> al</w:t>
            </w:r>
            <w:r w:rsidRPr="00E65610">
              <w:rPr>
                <w:rFonts w:ascii="Arial" w:eastAsia="Times New Roman" w:hAnsi="Arial" w:cs="Arial"/>
                <w:sz w:val="20"/>
              </w:rPr>
              <w:t>.,</w:t>
            </w:r>
          </w:p>
        </w:tc>
      </w:tr>
      <w:tr w:rsidR="002B11FC" w:rsidRPr="00E65610" w14:paraId="4DCDCA71" w14:textId="77777777" w:rsidTr="006963A4">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161" w:type="dxa"/>
            <w:vAlign w:val="center"/>
          </w:tcPr>
          <w:p w14:paraId="195808E5" w14:textId="77777777" w:rsidR="002B11FC" w:rsidRPr="00E65610" w:rsidRDefault="002B11FC" w:rsidP="006963A4">
            <w:pPr>
              <w:jc w:val="center"/>
              <w:rPr>
                <w:rFonts w:ascii="Arial" w:eastAsia="Times New Roman" w:hAnsi="Arial" w:cs="Arial"/>
                <w:sz w:val="20"/>
              </w:rPr>
            </w:pPr>
          </w:p>
        </w:tc>
        <w:tc>
          <w:tcPr>
            <w:tcW w:w="1622" w:type="dxa"/>
            <w:vAlign w:val="center"/>
          </w:tcPr>
          <w:p w14:paraId="615A0577" w14:textId="77777777" w:rsidR="002B11FC" w:rsidRPr="00E65610" w:rsidRDefault="002B11FC" w:rsidP="006963A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r w:rsidRPr="00E65610">
              <w:rPr>
                <w:rFonts w:ascii="Arial" w:eastAsia="Times New Roman" w:hAnsi="Arial" w:cs="Arial"/>
                <w:sz w:val="20"/>
              </w:rPr>
              <w:t>Wheat</w:t>
            </w:r>
          </w:p>
        </w:tc>
        <w:tc>
          <w:tcPr>
            <w:tcW w:w="1697" w:type="dxa"/>
            <w:vAlign w:val="center"/>
          </w:tcPr>
          <w:p w14:paraId="5590A2FC" w14:textId="77777777" w:rsidR="002B11FC" w:rsidRPr="00E65610" w:rsidRDefault="002B11FC" w:rsidP="006963A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r w:rsidRPr="00E65610">
              <w:rPr>
                <w:rFonts w:ascii="Arial" w:eastAsia="Times New Roman" w:hAnsi="Arial" w:cs="Arial"/>
                <w:sz w:val="20"/>
              </w:rPr>
              <w:t>0.12</w:t>
            </w:r>
          </w:p>
        </w:tc>
        <w:tc>
          <w:tcPr>
            <w:tcW w:w="2069" w:type="dxa"/>
            <w:vAlign w:val="center"/>
          </w:tcPr>
          <w:p w14:paraId="28C987F2" w14:textId="77777777" w:rsidR="002B11FC" w:rsidRPr="00E65610" w:rsidRDefault="002B11FC" w:rsidP="006963A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r w:rsidRPr="00E65610">
              <w:rPr>
                <w:rFonts w:ascii="Arial" w:eastAsia="Times New Roman" w:hAnsi="Arial" w:cs="Arial"/>
                <w:sz w:val="20"/>
              </w:rPr>
              <w:t xml:space="preserve">kg </w:t>
            </w:r>
            <w:proofErr w:type="spellStart"/>
            <w:r w:rsidRPr="00E65610">
              <w:rPr>
                <w:rFonts w:ascii="Arial" w:eastAsia="Times New Roman" w:hAnsi="Arial" w:cs="Arial"/>
                <w:sz w:val="20"/>
              </w:rPr>
              <w:t>CO</w:t>
            </w:r>
            <w:r w:rsidRPr="00E65610">
              <w:rPr>
                <w:rFonts w:ascii="Cambria Math" w:eastAsia="Times New Roman" w:hAnsi="Cambria Math" w:cs="Cambria Math"/>
                <w:sz w:val="20"/>
              </w:rPr>
              <w:t>₂</w:t>
            </w:r>
            <w:r w:rsidRPr="00E65610">
              <w:rPr>
                <w:rFonts w:ascii="Arial" w:eastAsia="Times New Roman" w:hAnsi="Arial" w:cs="Arial"/>
                <w:sz w:val="20"/>
              </w:rPr>
              <w:t>e</w:t>
            </w:r>
            <w:proofErr w:type="spellEnd"/>
            <w:r w:rsidRPr="00E65610">
              <w:rPr>
                <w:rFonts w:ascii="Arial" w:eastAsia="Times New Roman" w:hAnsi="Arial" w:cs="Arial"/>
                <w:sz w:val="20"/>
              </w:rPr>
              <w:t>/kg</w:t>
            </w:r>
          </w:p>
        </w:tc>
        <w:tc>
          <w:tcPr>
            <w:tcW w:w="1875" w:type="dxa"/>
            <w:vAlign w:val="center"/>
          </w:tcPr>
          <w:p w14:paraId="5671260E" w14:textId="77777777" w:rsidR="002B11FC" w:rsidRPr="00E65610" w:rsidRDefault="002B11FC" w:rsidP="006963A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rPr>
            </w:pPr>
            <w:r w:rsidRPr="00E65610">
              <w:rPr>
                <w:rFonts w:ascii="Arial" w:eastAsia="Times New Roman" w:hAnsi="Arial" w:cs="Arial"/>
                <w:sz w:val="20"/>
              </w:rPr>
              <w:t xml:space="preserve">Bhoyar </w:t>
            </w:r>
            <w:r w:rsidR="00DE27C9" w:rsidRPr="00E65610">
              <w:rPr>
                <w:rFonts w:ascii="Arial" w:eastAsia="Times New Roman" w:hAnsi="Arial" w:cs="Arial"/>
                <w:i/>
                <w:iCs/>
                <w:sz w:val="20"/>
              </w:rPr>
              <w:t>et</w:t>
            </w:r>
            <w:r w:rsidRPr="00E65610">
              <w:rPr>
                <w:rFonts w:ascii="Arial" w:eastAsia="Times New Roman" w:hAnsi="Arial" w:cs="Arial"/>
                <w:i/>
                <w:iCs/>
                <w:sz w:val="20"/>
              </w:rPr>
              <w:t xml:space="preserve"> al</w:t>
            </w:r>
            <w:r w:rsidRPr="00E65610">
              <w:rPr>
                <w:rFonts w:ascii="Arial" w:eastAsia="Times New Roman" w:hAnsi="Arial" w:cs="Arial"/>
                <w:sz w:val="20"/>
              </w:rPr>
              <w:t>.,</w:t>
            </w:r>
          </w:p>
        </w:tc>
      </w:tr>
      <w:tr w:rsidR="002B11FC" w:rsidRPr="00E65610" w14:paraId="1817C302" w14:textId="77777777" w:rsidTr="006963A4">
        <w:trPr>
          <w:trHeight w:val="442"/>
        </w:trPr>
        <w:tc>
          <w:tcPr>
            <w:cnfStyle w:val="001000000000" w:firstRow="0" w:lastRow="0" w:firstColumn="1" w:lastColumn="0" w:oddVBand="0" w:evenVBand="0" w:oddHBand="0" w:evenHBand="0" w:firstRowFirstColumn="0" w:firstRowLastColumn="0" w:lastRowFirstColumn="0" w:lastRowLastColumn="0"/>
            <w:tcW w:w="1161" w:type="dxa"/>
            <w:vAlign w:val="center"/>
          </w:tcPr>
          <w:p w14:paraId="6ADC2558" w14:textId="77777777" w:rsidR="002B11FC" w:rsidRPr="00E65610" w:rsidRDefault="002B11FC" w:rsidP="006963A4">
            <w:pPr>
              <w:jc w:val="center"/>
              <w:rPr>
                <w:rFonts w:ascii="Arial" w:eastAsia="Times New Roman" w:hAnsi="Arial" w:cs="Arial"/>
                <w:sz w:val="20"/>
              </w:rPr>
            </w:pPr>
          </w:p>
        </w:tc>
        <w:tc>
          <w:tcPr>
            <w:tcW w:w="1622" w:type="dxa"/>
            <w:vAlign w:val="center"/>
          </w:tcPr>
          <w:p w14:paraId="1A918813" w14:textId="77777777" w:rsidR="002B11FC" w:rsidRPr="00E65610" w:rsidRDefault="002B11FC" w:rsidP="006963A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rPr>
            </w:pPr>
            <w:r w:rsidRPr="00E65610">
              <w:rPr>
                <w:rFonts w:ascii="Arial" w:eastAsia="Times New Roman" w:hAnsi="Arial" w:cs="Arial"/>
                <w:sz w:val="20"/>
              </w:rPr>
              <w:t>Non-vegetarian food</w:t>
            </w:r>
          </w:p>
        </w:tc>
        <w:tc>
          <w:tcPr>
            <w:tcW w:w="1697" w:type="dxa"/>
            <w:vAlign w:val="center"/>
          </w:tcPr>
          <w:p w14:paraId="5C1DF1FB" w14:textId="77777777" w:rsidR="002B11FC" w:rsidRPr="00E65610" w:rsidRDefault="002B11FC" w:rsidP="006963A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rPr>
            </w:pPr>
            <w:r w:rsidRPr="00E65610">
              <w:rPr>
                <w:rFonts w:ascii="Arial" w:eastAsia="Times New Roman" w:hAnsi="Arial" w:cs="Arial"/>
                <w:sz w:val="20"/>
              </w:rPr>
              <w:t>0.78</w:t>
            </w:r>
          </w:p>
        </w:tc>
        <w:tc>
          <w:tcPr>
            <w:tcW w:w="2069" w:type="dxa"/>
            <w:vAlign w:val="center"/>
          </w:tcPr>
          <w:p w14:paraId="03D9030D" w14:textId="77777777" w:rsidR="002B11FC" w:rsidRPr="00E65610" w:rsidRDefault="002B11FC" w:rsidP="006963A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rPr>
            </w:pPr>
            <w:r w:rsidRPr="00E65610">
              <w:rPr>
                <w:rFonts w:ascii="Arial" w:eastAsia="Times New Roman" w:hAnsi="Arial" w:cs="Arial"/>
                <w:sz w:val="20"/>
              </w:rPr>
              <w:t xml:space="preserve">kg </w:t>
            </w:r>
            <w:proofErr w:type="spellStart"/>
            <w:r w:rsidRPr="00E65610">
              <w:rPr>
                <w:rFonts w:ascii="Arial" w:eastAsia="Times New Roman" w:hAnsi="Arial" w:cs="Arial"/>
                <w:sz w:val="20"/>
              </w:rPr>
              <w:t>CO</w:t>
            </w:r>
            <w:r w:rsidRPr="00E65610">
              <w:rPr>
                <w:rFonts w:ascii="Cambria Math" w:eastAsia="Times New Roman" w:hAnsi="Cambria Math" w:cs="Cambria Math"/>
                <w:sz w:val="20"/>
              </w:rPr>
              <w:t>₂</w:t>
            </w:r>
            <w:r w:rsidRPr="00E65610">
              <w:rPr>
                <w:rFonts w:ascii="Arial" w:eastAsia="Times New Roman" w:hAnsi="Arial" w:cs="Arial"/>
                <w:sz w:val="20"/>
              </w:rPr>
              <w:t>e</w:t>
            </w:r>
            <w:proofErr w:type="spellEnd"/>
            <w:r w:rsidRPr="00E65610">
              <w:rPr>
                <w:rFonts w:ascii="Arial" w:eastAsia="Times New Roman" w:hAnsi="Arial" w:cs="Arial"/>
                <w:sz w:val="20"/>
              </w:rPr>
              <w:t>/kg</w:t>
            </w:r>
          </w:p>
        </w:tc>
        <w:tc>
          <w:tcPr>
            <w:tcW w:w="1875" w:type="dxa"/>
            <w:vAlign w:val="center"/>
          </w:tcPr>
          <w:p w14:paraId="3756CD89" w14:textId="77777777" w:rsidR="002B11FC" w:rsidRPr="00E65610" w:rsidRDefault="002B11FC" w:rsidP="006963A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rPr>
            </w:pPr>
            <w:r w:rsidRPr="00E65610">
              <w:rPr>
                <w:rFonts w:ascii="Arial" w:eastAsia="Times New Roman" w:hAnsi="Arial" w:cs="Arial"/>
                <w:sz w:val="20"/>
              </w:rPr>
              <w:t xml:space="preserve">Bhoyar </w:t>
            </w:r>
            <w:r w:rsidR="00DE27C9" w:rsidRPr="00E65610">
              <w:rPr>
                <w:rFonts w:ascii="Arial" w:eastAsia="Times New Roman" w:hAnsi="Arial" w:cs="Arial"/>
                <w:i/>
                <w:iCs/>
                <w:sz w:val="20"/>
              </w:rPr>
              <w:t>et</w:t>
            </w:r>
            <w:r w:rsidRPr="00E65610">
              <w:rPr>
                <w:rFonts w:ascii="Arial" w:eastAsia="Times New Roman" w:hAnsi="Arial" w:cs="Arial"/>
                <w:i/>
                <w:iCs/>
                <w:sz w:val="20"/>
              </w:rPr>
              <w:t xml:space="preserve"> al</w:t>
            </w:r>
            <w:r w:rsidRPr="00E65610">
              <w:rPr>
                <w:rFonts w:ascii="Arial" w:eastAsia="Times New Roman" w:hAnsi="Arial" w:cs="Arial"/>
                <w:sz w:val="20"/>
              </w:rPr>
              <w:t>.,</w:t>
            </w:r>
          </w:p>
        </w:tc>
      </w:tr>
      <w:bookmarkEnd w:id="1"/>
    </w:tbl>
    <w:p w14:paraId="62A0ED14" w14:textId="77777777" w:rsidR="002B11FC" w:rsidRPr="00E65610" w:rsidRDefault="002B11FC" w:rsidP="00441B6F">
      <w:pPr>
        <w:pStyle w:val="Body"/>
        <w:spacing w:after="0"/>
        <w:rPr>
          <w:rFonts w:ascii="Arial" w:hAnsi="Arial" w:cs="Arial"/>
        </w:rPr>
      </w:pPr>
    </w:p>
    <w:p w14:paraId="52B411CC" w14:textId="321C9990" w:rsidR="002B11FC" w:rsidRPr="00E65610" w:rsidRDefault="006963A4" w:rsidP="00431DB5">
      <w:pPr>
        <w:pStyle w:val="Caption"/>
        <w:keepNext/>
        <w:jc w:val="center"/>
        <w:rPr>
          <w:rFonts w:ascii="Arial" w:hAnsi="Arial" w:cs="Arial"/>
          <w:b/>
          <w:bCs/>
          <w:i w:val="0"/>
          <w:iCs w:val="0"/>
          <w:color w:val="auto"/>
          <w:sz w:val="20"/>
          <w:szCs w:val="18"/>
        </w:rPr>
      </w:pPr>
      <w:r w:rsidRPr="00E65610">
        <w:rPr>
          <w:rFonts w:ascii="Arial" w:hAnsi="Arial" w:cs="Arial"/>
          <w:b/>
          <w:bCs/>
          <w:i w:val="0"/>
          <w:iCs w:val="0"/>
          <w:color w:val="auto"/>
          <w:sz w:val="20"/>
          <w:szCs w:val="18"/>
        </w:rPr>
        <w:t xml:space="preserve">Table </w:t>
      </w:r>
      <w:r w:rsidRPr="00E65610">
        <w:rPr>
          <w:rFonts w:ascii="Arial" w:hAnsi="Arial" w:cs="Arial"/>
          <w:b/>
          <w:bCs/>
          <w:i w:val="0"/>
          <w:iCs w:val="0"/>
          <w:color w:val="auto"/>
          <w:sz w:val="20"/>
          <w:szCs w:val="18"/>
        </w:rPr>
        <w:fldChar w:fldCharType="begin"/>
      </w:r>
      <w:r w:rsidRPr="00E65610">
        <w:rPr>
          <w:rFonts w:ascii="Arial" w:hAnsi="Arial" w:cs="Arial"/>
          <w:b/>
          <w:bCs/>
          <w:i w:val="0"/>
          <w:iCs w:val="0"/>
          <w:color w:val="auto"/>
          <w:sz w:val="20"/>
          <w:szCs w:val="18"/>
        </w:rPr>
        <w:instrText xml:space="preserve"> SEQ Table \* ARABIC </w:instrText>
      </w:r>
      <w:r w:rsidRPr="00E65610">
        <w:rPr>
          <w:rFonts w:ascii="Arial" w:hAnsi="Arial" w:cs="Arial"/>
          <w:b/>
          <w:bCs/>
          <w:i w:val="0"/>
          <w:iCs w:val="0"/>
          <w:color w:val="auto"/>
          <w:sz w:val="20"/>
          <w:szCs w:val="18"/>
        </w:rPr>
        <w:fldChar w:fldCharType="separate"/>
      </w:r>
      <w:r w:rsidR="004C4B37" w:rsidRPr="00E65610">
        <w:rPr>
          <w:rFonts w:ascii="Arial" w:hAnsi="Arial" w:cs="Arial"/>
          <w:b/>
          <w:bCs/>
          <w:i w:val="0"/>
          <w:iCs w:val="0"/>
          <w:noProof/>
          <w:color w:val="auto"/>
          <w:sz w:val="20"/>
          <w:szCs w:val="18"/>
        </w:rPr>
        <w:t>1</w:t>
      </w:r>
      <w:r w:rsidRPr="00E65610">
        <w:rPr>
          <w:rFonts w:ascii="Arial" w:hAnsi="Arial" w:cs="Arial"/>
          <w:b/>
          <w:bCs/>
          <w:i w:val="0"/>
          <w:iCs w:val="0"/>
          <w:color w:val="auto"/>
          <w:sz w:val="20"/>
          <w:szCs w:val="18"/>
        </w:rPr>
        <w:fldChar w:fldCharType="end"/>
      </w:r>
      <w:r w:rsidRPr="00E65610">
        <w:rPr>
          <w:rFonts w:ascii="Arial" w:hAnsi="Arial" w:cs="Arial"/>
          <w:b/>
          <w:bCs/>
          <w:i w:val="0"/>
          <w:iCs w:val="0"/>
          <w:color w:val="auto"/>
          <w:sz w:val="20"/>
          <w:szCs w:val="18"/>
        </w:rPr>
        <w:t>. CO</w:t>
      </w:r>
      <w:r w:rsidRPr="00E65610">
        <w:rPr>
          <w:rFonts w:ascii="Cambria Math" w:hAnsi="Cambria Math" w:cs="Cambria Math"/>
          <w:b/>
          <w:bCs/>
          <w:i w:val="0"/>
          <w:iCs w:val="0"/>
          <w:color w:val="auto"/>
          <w:sz w:val="20"/>
          <w:szCs w:val="18"/>
        </w:rPr>
        <w:t>₂</w:t>
      </w:r>
      <w:r w:rsidRPr="00E65610">
        <w:rPr>
          <w:rFonts w:ascii="Arial" w:hAnsi="Arial" w:cs="Arial"/>
          <w:b/>
          <w:bCs/>
          <w:i w:val="0"/>
          <w:iCs w:val="0"/>
          <w:color w:val="auto"/>
          <w:sz w:val="20"/>
          <w:szCs w:val="18"/>
        </w:rPr>
        <w:t xml:space="preserve"> Equivalent Emission Factors for Various Sources</w:t>
      </w:r>
    </w:p>
    <w:p w14:paraId="611BB0C6" w14:textId="77777777" w:rsidR="002353DD" w:rsidRPr="00E65610" w:rsidRDefault="002353DD" w:rsidP="00431DB5">
      <w:pPr>
        <w:pStyle w:val="Body"/>
        <w:spacing w:after="0"/>
        <w:rPr>
          <w:rFonts w:ascii="Arial" w:hAnsi="Arial" w:cs="Arial"/>
          <w:b/>
          <w:caps/>
          <w:sz w:val="22"/>
        </w:rPr>
      </w:pPr>
    </w:p>
    <w:p w14:paraId="7E598AD2" w14:textId="77777777" w:rsidR="00431DB5" w:rsidRPr="00E65610" w:rsidRDefault="00431DB5" w:rsidP="00431DB5">
      <w:pPr>
        <w:pStyle w:val="Body"/>
        <w:spacing w:after="0"/>
        <w:rPr>
          <w:rFonts w:ascii="Arial" w:hAnsi="Arial" w:cs="Arial"/>
          <w:b/>
          <w:sz w:val="22"/>
        </w:rPr>
      </w:pPr>
      <w:r w:rsidRPr="00E65610">
        <w:rPr>
          <w:rFonts w:ascii="Arial" w:hAnsi="Arial" w:cs="Arial"/>
          <w:b/>
          <w:caps/>
          <w:sz w:val="22"/>
        </w:rPr>
        <w:t xml:space="preserve">2.3 </w:t>
      </w:r>
      <w:r w:rsidRPr="00E65610">
        <w:rPr>
          <w:rFonts w:ascii="Arial" w:hAnsi="Arial" w:cs="Arial"/>
          <w:b/>
          <w:sz w:val="22"/>
        </w:rPr>
        <w:t>Monetary Impact Calculation</w:t>
      </w:r>
    </w:p>
    <w:p w14:paraId="4C2F93E6" w14:textId="77777777" w:rsidR="00431DB5" w:rsidRPr="00E65610" w:rsidRDefault="00431DB5" w:rsidP="00431DB5">
      <w:pPr>
        <w:pStyle w:val="Body"/>
        <w:spacing w:after="0"/>
        <w:rPr>
          <w:rFonts w:ascii="Arial" w:hAnsi="Arial" w:cs="Arial"/>
          <w:b/>
          <w:caps/>
          <w:sz w:val="22"/>
        </w:rPr>
      </w:pPr>
    </w:p>
    <w:p w14:paraId="5849B0E6" w14:textId="77777777" w:rsidR="00431DB5" w:rsidRPr="00E65610" w:rsidRDefault="00431DB5" w:rsidP="00431DB5">
      <w:pPr>
        <w:pStyle w:val="Body"/>
        <w:spacing w:after="0"/>
        <w:rPr>
          <w:rFonts w:ascii="Arial" w:hAnsi="Arial" w:cs="Arial"/>
        </w:rPr>
      </w:pPr>
      <w:r w:rsidRPr="00E65610">
        <w:rPr>
          <w:rFonts w:ascii="Arial" w:hAnsi="Arial" w:cs="Arial"/>
        </w:rPr>
        <w:t xml:space="preserve">This study evaluates the monetary impact of extreme climatic events cyclones, floods, droughts, erratic rainfall, unseasonal rainfall, and hailstorms on agriculture, livelihoods, businesses, and household income in Maharashtra (2018-2023). Using primary survey data, economic losses are quantified using normalized units of 0.5/10,000. Adapting the framework of Singh </w:t>
      </w:r>
      <w:r w:rsidRPr="00E65610">
        <w:rPr>
          <w:rFonts w:ascii="Arial" w:hAnsi="Arial" w:cs="Arial"/>
          <w:i/>
          <w:iCs/>
        </w:rPr>
        <w:t>et al</w:t>
      </w:r>
      <w:r w:rsidRPr="00E65610">
        <w:rPr>
          <w:rFonts w:ascii="Arial" w:hAnsi="Arial" w:cs="Arial"/>
        </w:rPr>
        <w:t>.</w:t>
      </w:r>
      <w:r w:rsidR="00DE27C9" w:rsidRPr="00E65610">
        <w:rPr>
          <w:rFonts w:ascii="Arial" w:hAnsi="Arial" w:cs="Arial"/>
        </w:rPr>
        <w:t>,</w:t>
      </w:r>
      <w:r w:rsidRPr="00E65610">
        <w:rPr>
          <w:rFonts w:ascii="Arial" w:hAnsi="Arial" w:cs="Arial"/>
        </w:rPr>
        <w:t xml:space="preserve"> (2012), the study examines both direct and indirect economic effects. Normalized losses are compared with carbon footprint metrics, highlighting regional disparities in climate vulnerability and the link between emissions and economic impacts.</w:t>
      </w:r>
    </w:p>
    <w:p w14:paraId="1E14594C" w14:textId="77777777" w:rsidR="00431DB5" w:rsidRPr="00E65610" w:rsidRDefault="00431DB5" w:rsidP="00431DB5">
      <w:pPr>
        <w:pStyle w:val="Body"/>
        <w:spacing w:after="0"/>
        <w:rPr>
          <w:rFonts w:ascii="Arial" w:hAnsi="Arial" w:cs="Arial"/>
        </w:rPr>
      </w:pPr>
    </w:p>
    <w:p w14:paraId="0DB2881D" w14:textId="77777777" w:rsidR="00431DB5" w:rsidRPr="00E65610" w:rsidRDefault="00431DB5" w:rsidP="00431DB5">
      <w:pPr>
        <w:pStyle w:val="Body"/>
        <w:spacing w:after="0"/>
        <w:rPr>
          <w:rFonts w:ascii="Arial" w:hAnsi="Arial" w:cs="Arial"/>
          <w:b/>
          <w:sz w:val="22"/>
        </w:rPr>
      </w:pPr>
      <w:r w:rsidRPr="00E65610">
        <w:rPr>
          <w:rFonts w:ascii="Arial" w:hAnsi="Arial" w:cs="Arial"/>
          <w:b/>
          <w:caps/>
          <w:sz w:val="22"/>
        </w:rPr>
        <w:t xml:space="preserve">2.4 </w:t>
      </w:r>
      <w:r w:rsidRPr="00E65610">
        <w:rPr>
          <w:rFonts w:ascii="Arial" w:hAnsi="Arial" w:cs="Arial"/>
          <w:b/>
          <w:sz w:val="22"/>
        </w:rPr>
        <w:t>Limitations of Study</w:t>
      </w:r>
    </w:p>
    <w:p w14:paraId="151C694D" w14:textId="77777777" w:rsidR="00431DB5" w:rsidRPr="00E65610" w:rsidRDefault="00431DB5" w:rsidP="00431DB5">
      <w:pPr>
        <w:pStyle w:val="Body"/>
        <w:spacing w:after="0"/>
        <w:rPr>
          <w:rFonts w:ascii="Arial" w:hAnsi="Arial" w:cs="Arial"/>
          <w:b/>
          <w:caps/>
          <w:sz w:val="22"/>
        </w:rPr>
      </w:pPr>
    </w:p>
    <w:p w14:paraId="7E005B40" w14:textId="77777777" w:rsidR="00431DB5" w:rsidRPr="00E65610" w:rsidRDefault="00431DB5" w:rsidP="00431DB5">
      <w:pPr>
        <w:pStyle w:val="Body"/>
        <w:spacing w:after="0"/>
        <w:rPr>
          <w:rFonts w:ascii="Arial" w:hAnsi="Arial" w:cs="Arial"/>
        </w:rPr>
      </w:pPr>
      <w:r w:rsidRPr="00E65610">
        <w:rPr>
          <w:rFonts w:ascii="Arial" w:hAnsi="Arial" w:cs="Arial"/>
        </w:rPr>
        <w:t xml:space="preserve">This study is primarily based on primary data collected through household interviews, which introduces certain limitations due to incomplete or inconsistent information provided by respondents. Emissions related to workplaces or occupational activities were not considered, as assessing them involves complex variations across different work environments and job profiles. Additionally, lifecycle emissions from housing infrastructure, </w:t>
      </w:r>
      <w:r w:rsidRPr="00E65610">
        <w:rPr>
          <w:rFonts w:ascii="Arial" w:hAnsi="Arial" w:cs="Arial"/>
        </w:rPr>
        <w:lastRenderedPageBreak/>
        <w:t>household waste generation, and household appliances were excluded from the scope of this study.</w:t>
      </w:r>
    </w:p>
    <w:p w14:paraId="6EB9B3DD" w14:textId="77777777" w:rsidR="00431DB5" w:rsidRPr="00E65610" w:rsidRDefault="00431DB5" w:rsidP="00431DB5">
      <w:pPr>
        <w:pStyle w:val="Body"/>
        <w:spacing w:after="0"/>
        <w:rPr>
          <w:rFonts w:ascii="Arial" w:hAnsi="Arial" w:cs="Arial"/>
        </w:rPr>
      </w:pPr>
    </w:p>
    <w:p w14:paraId="65360AD0" w14:textId="77777777" w:rsidR="00902823" w:rsidRPr="00E65610" w:rsidRDefault="00000F8F" w:rsidP="00441B6F">
      <w:pPr>
        <w:pStyle w:val="Head1"/>
        <w:spacing w:after="0"/>
        <w:jc w:val="both"/>
        <w:rPr>
          <w:rFonts w:ascii="Arial" w:hAnsi="Arial" w:cs="Arial"/>
        </w:rPr>
      </w:pPr>
      <w:r w:rsidRPr="00E65610">
        <w:rPr>
          <w:rFonts w:ascii="Arial" w:hAnsi="Arial" w:cs="Arial"/>
        </w:rPr>
        <w:t>3</w:t>
      </w:r>
      <w:r w:rsidR="00902823" w:rsidRPr="00E65610">
        <w:rPr>
          <w:rFonts w:ascii="Arial" w:hAnsi="Arial" w:cs="Arial"/>
        </w:rPr>
        <w:t xml:space="preserve">. </w:t>
      </w:r>
      <w:r w:rsidRPr="00E65610">
        <w:rPr>
          <w:rFonts w:ascii="Arial" w:hAnsi="Arial" w:cs="Arial"/>
        </w:rPr>
        <w:t>results and discussion</w:t>
      </w:r>
    </w:p>
    <w:p w14:paraId="6549AC32" w14:textId="77777777" w:rsidR="00790ADA" w:rsidRPr="00E65610" w:rsidRDefault="00790ADA" w:rsidP="00441B6F">
      <w:pPr>
        <w:pStyle w:val="Head1"/>
        <w:spacing w:after="0"/>
        <w:jc w:val="both"/>
        <w:rPr>
          <w:rFonts w:ascii="Arial" w:hAnsi="Arial" w:cs="Arial"/>
        </w:rPr>
      </w:pPr>
    </w:p>
    <w:p w14:paraId="565FE3D0" w14:textId="77777777" w:rsidR="002353DD" w:rsidRPr="00E65610" w:rsidRDefault="00C30A0F" w:rsidP="002353DD">
      <w:pPr>
        <w:pStyle w:val="Body"/>
        <w:spacing w:after="0"/>
        <w:jc w:val="left"/>
        <w:rPr>
          <w:rFonts w:ascii="Arial" w:hAnsi="Arial" w:cs="Arial"/>
        </w:rPr>
      </w:pPr>
      <w:r w:rsidRPr="00E65610">
        <w:rPr>
          <w:rFonts w:ascii="Arial" w:hAnsi="Arial" w:cs="Arial"/>
          <w:b/>
          <w:caps/>
          <w:sz w:val="22"/>
        </w:rPr>
        <w:t xml:space="preserve">3.1 </w:t>
      </w:r>
      <w:r w:rsidR="00431DB5" w:rsidRPr="00E65610">
        <w:rPr>
          <w:rFonts w:ascii="Arial" w:hAnsi="Arial" w:cs="Arial"/>
          <w:b/>
          <w:sz w:val="22"/>
        </w:rPr>
        <w:t>Metro Cities: High Carbon Footprint, Low Economic Vulnerability</w:t>
      </w:r>
      <w:r w:rsidRPr="00E65610">
        <w:rPr>
          <w:rFonts w:ascii="Arial" w:hAnsi="Arial" w:cs="Arial"/>
        </w:rPr>
        <w:t>.</w:t>
      </w:r>
    </w:p>
    <w:p w14:paraId="37B380C0" w14:textId="77777777" w:rsidR="00674480" w:rsidRPr="00E65610" w:rsidRDefault="00674480" w:rsidP="002353DD">
      <w:pPr>
        <w:pStyle w:val="Body"/>
        <w:spacing w:after="0"/>
        <w:jc w:val="left"/>
        <w:rPr>
          <w:rFonts w:ascii="Arial" w:hAnsi="Arial" w:cs="Arial"/>
        </w:rPr>
      </w:pPr>
    </w:p>
    <w:p w14:paraId="7C5F0596" w14:textId="77777777" w:rsidR="00AC2CAA" w:rsidRPr="00E65610" w:rsidRDefault="002353DD" w:rsidP="002353DD">
      <w:pPr>
        <w:pStyle w:val="Body"/>
        <w:spacing w:after="0"/>
        <w:rPr>
          <w:rFonts w:ascii="Arial" w:hAnsi="Arial" w:cs="Arial"/>
        </w:rPr>
      </w:pPr>
      <w:r w:rsidRPr="00E65610">
        <w:rPr>
          <w:rFonts w:ascii="Arial" w:hAnsi="Arial" w:cs="Arial"/>
        </w:rPr>
        <w:t xml:space="preserve">Metropolitan households exhibited the highest carbon footprint, primarily driven by electricity consumption (42%), transportation (37%), LPG usage (13%), and food consumption (8%) (Figure 4 (A)). The extensive dependence on electrical appliances, air-conditioning systems, and private vehicles substantially elevates household emissions. This pattern mirrors global findings that associate urban affluence with higher per capita energy demand and increased greenhouse gas (GHG) emissions (IEA, 2023). Maharashtra’s metropolitan centers, notably Mumbai and Pune, function as major economic and industrial hubs characterized by dense populations, high mobility, and continuous energy requirements for commercial and residential operations. Similar studies across Indian districts confirm that per capita emissions are markedly higher in metropolitan areas than in semi-urban or rural districts, highlighting how economic growth and consumption intensity directly translate into elevated emission levels (Lee </w:t>
      </w:r>
      <w:r w:rsidRPr="00E65610">
        <w:rPr>
          <w:rFonts w:ascii="Arial" w:hAnsi="Arial" w:cs="Arial"/>
          <w:i/>
          <w:iCs/>
        </w:rPr>
        <w:t>et al</w:t>
      </w:r>
      <w:r w:rsidRPr="00E65610">
        <w:rPr>
          <w:rFonts w:ascii="Arial" w:hAnsi="Arial" w:cs="Arial"/>
        </w:rPr>
        <w:t xml:space="preserve">., 2021). The concentration of commercial activities, digital infrastructure, and transport networks in metropolitan regions amplifies the energy intensity of daily life. High-rise housing complexes, widespread use of personal vehicles, and the growing demand for consumer electronics create a consistent upward trend in household energy use (Kaul </w:t>
      </w:r>
      <w:r w:rsidRPr="00E65610">
        <w:rPr>
          <w:rFonts w:ascii="Arial" w:hAnsi="Arial" w:cs="Arial"/>
          <w:i/>
          <w:iCs/>
        </w:rPr>
        <w:t>et al</w:t>
      </w:r>
      <w:r w:rsidRPr="00E65610">
        <w:rPr>
          <w:rFonts w:ascii="Arial" w:hAnsi="Arial" w:cs="Arial"/>
        </w:rPr>
        <w:t xml:space="preserve">., 2020). Additionally, the proliferation of lifestyle-related energy consumption such as home entertainment systems, refrigerated storage, and online delivery logistics further compounds the carbon burden of metropolitan living. Urban expansion and the increase in built-up areas also result in reduced carbon sequestration capacity due to the loss of vegetation and permeable land surfaces, exacerbating the urban heat island effect (Rizwan </w:t>
      </w:r>
      <w:r w:rsidRPr="00E65610">
        <w:rPr>
          <w:rFonts w:ascii="Arial" w:hAnsi="Arial" w:cs="Arial"/>
          <w:i/>
          <w:iCs/>
        </w:rPr>
        <w:t>et al</w:t>
      </w:r>
      <w:r w:rsidRPr="00E65610">
        <w:rPr>
          <w:rFonts w:ascii="Arial" w:hAnsi="Arial" w:cs="Arial"/>
        </w:rPr>
        <w:t>., 2008). Despite their high emissions, metropolitan households reported relatively low economic losses from climate-induced events (Figure 3 (A)). This apparent resilience can be attributed to strong economic diversification, robust infrastructure, and limited dependence on climate-sensitive sectors such as agriculture. The availability of insurance systems, early warning mechanisms, and rapid emergency responses in these regions further mitigates direct economic impacts. However, localized vulnerabilities persist particularly in flood-prone urban zones and informal settlements where inadequate drainage and unplanned construction intensify the impact of extreme rainfall events. Field data revealed that households in Mumbai and Pune reported recurrent losses from urban flooding, including damage to electrical equipment, temporary displacement, and income disruption. This duality high emissions but relatively low vulnerability illustrates a broader climate inequality embedded in urban systems. Wealthier urban populations not only contribute disproportionately to GHG emissions but also possess greater adaptive capacity to shield themselves from the resulting climate risks (</w:t>
      </w:r>
      <w:proofErr w:type="spellStart"/>
      <w:r w:rsidRPr="00E65610">
        <w:rPr>
          <w:rFonts w:ascii="Arial" w:hAnsi="Arial" w:cs="Arial"/>
        </w:rPr>
        <w:t>Hallegatte</w:t>
      </w:r>
      <w:proofErr w:type="spellEnd"/>
      <w:r w:rsidRPr="00E65610">
        <w:rPr>
          <w:rFonts w:ascii="Arial" w:hAnsi="Arial" w:cs="Arial"/>
        </w:rPr>
        <w:t xml:space="preserve"> </w:t>
      </w:r>
      <w:r w:rsidRPr="00E65610">
        <w:rPr>
          <w:rFonts w:ascii="Arial" w:hAnsi="Arial" w:cs="Arial"/>
          <w:i/>
          <w:iCs/>
        </w:rPr>
        <w:t>et al</w:t>
      </w:r>
      <w:r w:rsidRPr="00E65610">
        <w:rPr>
          <w:rFonts w:ascii="Arial" w:hAnsi="Arial" w:cs="Arial"/>
        </w:rPr>
        <w:t>., 2013).</w:t>
      </w:r>
    </w:p>
    <w:p w14:paraId="64664267" w14:textId="77777777" w:rsidR="00AC2CAA" w:rsidRPr="00E65610" w:rsidRDefault="00AC2CAA" w:rsidP="002353DD">
      <w:pPr>
        <w:pStyle w:val="Body"/>
        <w:spacing w:after="0"/>
        <w:rPr>
          <w:rFonts w:ascii="Arial" w:hAnsi="Arial" w:cs="Arial"/>
        </w:rPr>
      </w:pPr>
    </w:p>
    <w:p w14:paraId="420E4D73" w14:textId="77777777" w:rsidR="00AC2CAA" w:rsidRPr="00E65610" w:rsidRDefault="00AC2CAA" w:rsidP="002353DD">
      <w:pPr>
        <w:pStyle w:val="Body"/>
        <w:spacing w:after="0"/>
        <w:rPr>
          <w:rFonts w:ascii="Arial" w:hAnsi="Arial" w:cs="Arial"/>
          <w:b/>
          <w:bCs/>
          <w:sz w:val="22"/>
          <w:szCs w:val="22"/>
        </w:rPr>
      </w:pPr>
      <w:r w:rsidRPr="00E65610">
        <w:rPr>
          <w:rFonts w:ascii="Arial" w:hAnsi="Arial" w:cs="Arial"/>
          <w:b/>
          <w:bCs/>
          <w:sz w:val="22"/>
          <w:szCs w:val="22"/>
        </w:rPr>
        <w:t>3.2 Urban Areas: High Carbon Footprint, Moderate Economic Vulnerability</w:t>
      </w:r>
    </w:p>
    <w:p w14:paraId="39BDFB10" w14:textId="77777777" w:rsidR="00674480" w:rsidRPr="00E65610" w:rsidRDefault="00674480" w:rsidP="002353DD">
      <w:pPr>
        <w:pStyle w:val="Body"/>
        <w:spacing w:after="0"/>
        <w:rPr>
          <w:rFonts w:ascii="Arial" w:hAnsi="Arial" w:cs="Arial"/>
          <w:b/>
          <w:bCs/>
          <w:sz w:val="22"/>
          <w:szCs w:val="22"/>
        </w:rPr>
      </w:pPr>
    </w:p>
    <w:p w14:paraId="485556D3" w14:textId="77777777" w:rsidR="00AC2CAA" w:rsidRPr="00E65610" w:rsidRDefault="00AC2CAA" w:rsidP="002353DD">
      <w:pPr>
        <w:pStyle w:val="Body"/>
        <w:spacing w:after="0"/>
        <w:rPr>
          <w:rFonts w:ascii="Arial" w:hAnsi="Arial" w:cs="Arial"/>
        </w:rPr>
      </w:pPr>
      <w:r w:rsidRPr="00E65610">
        <w:rPr>
          <w:rFonts w:ascii="Arial" w:hAnsi="Arial" w:cs="Arial"/>
        </w:rPr>
        <w:t xml:space="preserve">Urban households exhibited a high carbon footprint, with transportation (40%) and electricity (30%) as the major contributors, followed by LPG (12%), biomass (10%), and food (8%) (Figure 4 (B)). The increased dependence on private vehicles, exacerbated by inadequate public transportation, is a key factor driving emissions. This aligns with literature identifying private vehicle expansion as a major contributor to urban carbon emissions (Sims </w:t>
      </w:r>
      <w:r w:rsidRPr="00E65610">
        <w:rPr>
          <w:rFonts w:ascii="Arial" w:hAnsi="Arial" w:cs="Arial"/>
          <w:i/>
          <w:iCs/>
        </w:rPr>
        <w:t>et al</w:t>
      </w:r>
      <w:r w:rsidRPr="00E65610">
        <w:rPr>
          <w:rFonts w:ascii="Arial" w:hAnsi="Arial" w:cs="Arial"/>
        </w:rPr>
        <w:t xml:space="preserve">., 2014). Specifically focusing on urban flooding in Maharashtra, reports following the severe floods of 2019 and 2021 in regions like </w:t>
      </w:r>
      <w:proofErr w:type="spellStart"/>
      <w:r w:rsidRPr="00E65610">
        <w:rPr>
          <w:rFonts w:ascii="Arial" w:hAnsi="Arial" w:cs="Arial"/>
        </w:rPr>
        <w:t>Sangli</w:t>
      </w:r>
      <w:proofErr w:type="spellEnd"/>
      <w:r w:rsidRPr="00E65610">
        <w:rPr>
          <w:rFonts w:ascii="Arial" w:hAnsi="Arial" w:cs="Arial"/>
        </w:rPr>
        <w:t xml:space="preserve"> and Kolhapur have documented substantial economic losses (Figure 3 (B)). These losses include damage to infrastructure (e.g., roads and power supply), forced business closures due to inundation, and significant damage to </w:t>
      </w:r>
      <w:r w:rsidRPr="00E65610">
        <w:rPr>
          <w:rFonts w:ascii="Arial" w:hAnsi="Arial" w:cs="Arial"/>
        </w:rPr>
        <w:lastRenderedPageBreak/>
        <w:t>residential properties (Economic Survey of Maharashtra, 2021–2022; Down To Earth, 2019). The disruption to transportation and communication networks further exacerbates these economic impacts. Furthermore, studies on disaster risk reduction and climate change adaptation in urban areas of Maharashtra emphasize the increasing frequency and intensity of extreme weather events, including floods, and their disproportionate impact on urban economies (TERI, 2014).</w:t>
      </w:r>
    </w:p>
    <w:p w14:paraId="0CF0B778" w14:textId="77777777" w:rsidR="00AC2CAA" w:rsidRPr="00E65610" w:rsidRDefault="00AC2CAA" w:rsidP="002353DD">
      <w:pPr>
        <w:pStyle w:val="Body"/>
        <w:spacing w:after="0"/>
        <w:rPr>
          <w:rFonts w:ascii="Arial" w:hAnsi="Arial" w:cs="Arial"/>
          <w:sz w:val="22"/>
          <w:szCs w:val="22"/>
        </w:rPr>
      </w:pPr>
    </w:p>
    <w:p w14:paraId="09BB2FC5" w14:textId="77777777" w:rsidR="00AC2CAA" w:rsidRPr="00E65610" w:rsidRDefault="00AC2CAA" w:rsidP="002353DD">
      <w:pPr>
        <w:pStyle w:val="Body"/>
        <w:spacing w:after="0"/>
        <w:rPr>
          <w:rFonts w:ascii="Arial" w:hAnsi="Arial" w:cs="Arial"/>
          <w:b/>
          <w:bCs/>
          <w:sz w:val="22"/>
          <w:szCs w:val="22"/>
        </w:rPr>
      </w:pPr>
      <w:r w:rsidRPr="00E65610">
        <w:rPr>
          <w:rFonts w:ascii="Arial" w:hAnsi="Arial" w:cs="Arial"/>
          <w:b/>
          <w:bCs/>
          <w:sz w:val="22"/>
          <w:szCs w:val="22"/>
        </w:rPr>
        <w:t>3.3 Rural Areas: Low Carbon Footprint, High Economic Vulnerability</w:t>
      </w:r>
    </w:p>
    <w:p w14:paraId="6D243C61" w14:textId="77777777" w:rsidR="00674480" w:rsidRPr="00E65610" w:rsidRDefault="00674480" w:rsidP="002353DD">
      <w:pPr>
        <w:pStyle w:val="Body"/>
        <w:spacing w:after="0"/>
        <w:rPr>
          <w:rFonts w:ascii="Arial" w:hAnsi="Arial" w:cs="Arial"/>
          <w:b/>
          <w:bCs/>
          <w:sz w:val="22"/>
          <w:szCs w:val="22"/>
        </w:rPr>
      </w:pPr>
    </w:p>
    <w:p w14:paraId="222D4EB3" w14:textId="77777777" w:rsidR="006C0EDB" w:rsidRPr="00E65610" w:rsidRDefault="006C0EDB" w:rsidP="002353DD">
      <w:pPr>
        <w:pStyle w:val="Body"/>
        <w:spacing w:after="0"/>
        <w:rPr>
          <w:rFonts w:ascii="Arial" w:hAnsi="Arial" w:cs="Arial"/>
        </w:rPr>
      </w:pPr>
      <w:r w:rsidRPr="00E65610">
        <w:rPr>
          <w:rFonts w:ascii="Arial" w:hAnsi="Arial" w:cs="Arial"/>
        </w:rPr>
        <w:t xml:space="preserve">Rural households had the lowest carbon footprint, largely due to lower electricity consumption. Biomass fuel usage for cooking (38%) was the dominant contributor, followed by transportation (21%), electricity (18%), food (12%), and LPG (11%) (Figure 4 (C)). The persistent reliance on traditional biomass aligns with previous findings that rural energy consumption patterns remain a significant yet often overlooked contributor to emissions (Smith </w:t>
      </w:r>
      <w:r w:rsidRPr="00E65610">
        <w:rPr>
          <w:rFonts w:ascii="Arial" w:hAnsi="Arial" w:cs="Arial"/>
          <w:i/>
          <w:iCs/>
        </w:rPr>
        <w:t>et al</w:t>
      </w:r>
      <w:r w:rsidRPr="00E65610">
        <w:rPr>
          <w:rFonts w:ascii="Arial" w:hAnsi="Arial" w:cs="Arial"/>
        </w:rPr>
        <w:t xml:space="preserve">., 2014). Rural areas exhibited the highest economic vulnerability, given their dependence on agriculture, which is highly sensitive to climate variability. Climate related events Including cyclones, floods, droughts, and unseasonal rainfall have led to significant crop failures, soil degradation, and damage to agricultural infrastructure (Figure 3 (C)). Furthermore, the prevalence of monocropping exacerbates financial risks by limiting adaptability to extreme weather fluctuations (Altieri, 1999). The economic implications of these events reinforce the need for climate resilient agricultural practices (Porter </w:t>
      </w:r>
      <w:r w:rsidRPr="00E65610">
        <w:rPr>
          <w:rFonts w:ascii="Arial" w:hAnsi="Arial" w:cs="Arial"/>
          <w:i/>
          <w:iCs/>
        </w:rPr>
        <w:t>et al</w:t>
      </w:r>
      <w:r w:rsidRPr="00E65610">
        <w:rPr>
          <w:rFonts w:ascii="Arial" w:hAnsi="Arial" w:cs="Arial"/>
        </w:rPr>
        <w:t xml:space="preserve">., 2014). The vulnerability of rural farmers in Maharashtra to climate change driven by their reliance on monocropping and exposure to extreme events such as cyclones, floods, hailstorms, unseasonal rainfall, and drought aligns with findings from earlier studies. Monocropping amplifies climate-related agricultural risks by diminishing biodiversity, exhausting soil nutrients, and heightening susceptibility to pests and diseases, thereby reducing the overall resilience of farming systems to climatic variability (Bera </w:t>
      </w:r>
      <w:r w:rsidRPr="00E65610">
        <w:rPr>
          <w:rFonts w:ascii="Arial" w:hAnsi="Arial" w:cs="Arial"/>
          <w:i/>
          <w:iCs/>
        </w:rPr>
        <w:t>et al</w:t>
      </w:r>
      <w:r w:rsidRPr="00E65610">
        <w:rPr>
          <w:rFonts w:ascii="Arial" w:hAnsi="Arial" w:cs="Arial"/>
        </w:rPr>
        <w:t xml:space="preserve">., 2022). The lack of crop diversity diminishes the system's resilience to extreme weather events like droughts and floods, as different crops have varying tolerances to such stresses (Food Tank, 2021). The impact of cyclones in the Konkan region, which cause long-term economic displacement due to the destruction of mature orchards and structural damage, underscores the vulnerability of coastal agricultural communities to increasingly intense extreme weather events (Hindustan Times, 2023). Climate change is projected to increase the intensity of cyclones in the Arabian Sea, further threatening these regions (IPCC, 2021). Similarly, the findings of floods, hailstorms, and unseasonal rainfall causing crop failures and soil loss in Western Maharashtra and </w:t>
      </w:r>
      <w:proofErr w:type="spellStart"/>
      <w:r w:rsidRPr="00E65610">
        <w:rPr>
          <w:rFonts w:ascii="Arial" w:hAnsi="Arial" w:cs="Arial"/>
        </w:rPr>
        <w:t>Khandesh</w:t>
      </w:r>
      <w:proofErr w:type="spellEnd"/>
      <w:r w:rsidRPr="00E65610">
        <w:rPr>
          <w:rFonts w:ascii="Arial" w:hAnsi="Arial" w:cs="Arial"/>
        </w:rPr>
        <w:t xml:space="preserve"> align with research indicating increased erratic rainfall patterns and extreme precipitation events due to climate change, which are detrimental to agricultural productivity. The drought conditions in Marathwada and Vidarbha, exacerbated by erratic monsoons and declining groundwater levels, are well documented consequences of climate change in semi-arid regions of India (</w:t>
      </w:r>
      <w:proofErr w:type="spellStart"/>
      <w:r w:rsidRPr="00E65610">
        <w:rPr>
          <w:rFonts w:ascii="Arial" w:hAnsi="Arial" w:cs="Arial"/>
        </w:rPr>
        <w:t>Kuchimanchi</w:t>
      </w:r>
      <w:proofErr w:type="spellEnd"/>
      <w:r w:rsidRPr="00E65610">
        <w:rPr>
          <w:rFonts w:ascii="Arial" w:hAnsi="Arial" w:cs="Arial"/>
        </w:rPr>
        <w:t xml:space="preserve"> </w:t>
      </w:r>
      <w:r w:rsidRPr="00E65610">
        <w:rPr>
          <w:rFonts w:ascii="Arial" w:hAnsi="Arial" w:cs="Arial"/>
          <w:i/>
          <w:iCs/>
        </w:rPr>
        <w:t>et al</w:t>
      </w:r>
      <w:r w:rsidRPr="00E65610">
        <w:rPr>
          <w:rFonts w:ascii="Arial" w:hAnsi="Arial" w:cs="Arial"/>
        </w:rPr>
        <w:t>., 2019). The dependence on rain fed agriculture and the intensification of water stress due to changing climate patterns make these regions particularly vulnerable (</w:t>
      </w:r>
      <w:proofErr w:type="spellStart"/>
      <w:r w:rsidRPr="00E65610">
        <w:rPr>
          <w:rFonts w:ascii="Arial" w:hAnsi="Arial" w:cs="Arial"/>
        </w:rPr>
        <w:t>Bhagawat</w:t>
      </w:r>
      <w:proofErr w:type="spellEnd"/>
      <w:r w:rsidRPr="00E65610">
        <w:rPr>
          <w:rFonts w:ascii="Arial" w:hAnsi="Arial" w:cs="Arial"/>
        </w:rPr>
        <w:t xml:space="preserve"> </w:t>
      </w:r>
      <w:r w:rsidRPr="00E65610">
        <w:rPr>
          <w:rFonts w:ascii="Arial" w:hAnsi="Arial" w:cs="Arial"/>
          <w:i/>
          <w:iCs/>
        </w:rPr>
        <w:t>et al</w:t>
      </w:r>
      <w:r w:rsidRPr="00E65610">
        <w:rPr>
          <w:rFonts w:ascii="Arial" w:hAnsi="Arial" w:cs="Arial"/>
        </w:rPr>
        <w:t>., 2021).</w:t>
      </w:r>
    </w:p>
    <w:p w14:paraId="3F30ED70" w14:textId="77777777" w:rsidR="006C0EDB" w:rsidRPr="00E65610" w:rsidRDefault="006C0EDB" w:rsidP="002353DD">
      <w:pPr>
        <w:pStyle w:val="Body"/>
        <w:spacing w:after="0"/>
        <w:rPr>
          <w:rFonts w:ascii="Arial" w:hAnsi="Arial" w:cs="Arial"/>
        </w:rPr>
      </w:pPr>
    </w:p>
    <w:p w14:paraId="5311B54E" w14:textId="77777777" w:rsidR="006C0EDB" w:rsidRPr="00E65610" w:rsidRDefault="006C0EDB" w:rsidP="002353DD">
      <w:pPr>
        <w:pStyle w:val="Body"/>
        <w:spacing w:after="0"/>
        <w:rPr>
          <w:rFonts w:ascii="Arial" w:hAnsi="Arial" w:cs="Arial"/>
          <w:b/>
          <w:bCs/>
          <w:sz w:val="22"/>
          <w:szCs w:val="22"/>
        </w:rPr>
      </w:pPr>
      <w:r w:rsidRPr="00E65610">
        <w:rPr>
          <w:rFonts w:ascii="Arial" w:hAnsi="Arial" w:cs="Arial"/>
          <w:b/>
          <w:bCs/>
          <w:sz w:val="22"/>
          <w:szCs w:val="22"/>
        </w:rPr>
        <w:t>3.4 Tribal Areas: Moderate Carbon Footprint, High Economic Vulnerability</w:t>
      </w:r>
    </w:p>
    <w:p w14:paraId="69656672" w14:textId="77777777" w:rsidR="00674480" w:rsidRPr="00E65610" w:rsidRDefault="00674480" w:rsidP="002353DD">
      <w:pPr>
        <w:pStyle w:val="Body"/>
        <w:spacing w:after="0"/>
        <w:rPr>
          <w:rFonts w:ascii="Arial" w:hAnsi="Arial" w:cs="Arial"/>
          <w:b/>
          <w:bCs/>
          <w:sz w:val="22"/>
          <w:szCs w:val="22"/>
        </w:rPr>
      </w:pPr>
    </w:p>
    <w:p w14:paraId="72181FF1" w14:textId="77777777" w:rsidR="00AC2CAA" w:rsidRPr="00E65610" w:rsidRDefault="006C0EDB" w:rsidP="000D6175">
      <w:pPr>
        <w:pStyle w:val="Body"/>
        <w:spacing w:after="0"/>
        <w:rPr>
          <w:rFonts w:ascii="Arial" w:hAnsi="Arial" w:cs="Arial"/>
        </w:rPr>
      </w:pPr>
      <w:r w:rsidRPr="00E65610">
        <w:rPr>
          <w:rFonts w:ascii="Arial" w:hAnsi="Arial" w:cs="Arial"/>
        </w:rPr>
        <w:t xml:space="preserve">Tribal households exhibited the second highest carbon footprint, primarily due to biomass burning (57%), followed by electricity and food consumption (13% each), transportation (11%), and LPG use (6%) (Figure 4 (D)). The continued reliance on biomass for energy needs contributes significantly to emissions, consistent with previous findings on traditional energy usage in marginalized communities (IEA, 2022). Tribal regions, while exhibiting diversified livelihood strategies including non-timber forest product (NTFP) collection, handicrafts, and subsistence farming remain highly vulnerable to climate induced economic losses. Poor healthcare access, weak infrastructure, and frequent losses of homes and </w:t>
      </w:r>
      <w:r w:rsidRPr="00E65610">
        <w:rPr>
          <w:rFonts w:ascii="Arial" w:hAnsi="Arial" w:cs="Arial"/>
        </w:rPr>
        <w:lastRenderedPageBreak/>
        <w:t>livestock due to extreme weather events contribute to persistent economic instability (Figure 3 (D)). While diversification enhances resilience, the lack of basic services and disaster preparedness leaves tribal communities highly susceptible to climate induced hardships (Ellis, 2000). During the survey, tribal households reported that although they had received LPG connections under the PM Ujjwala Scheme, the lack of nearby refilling stations, often located 30 to 40 km away and forced them to continue relying on biomass as their primary</w:t>
      </w:r>
      <w:r w:rsidR="00674480" w:rsidRPr="00E65610">
        <w:rPr>
          <w:rFonts w:ascii="Arial" w:hAnsi="Arial" w:cs="Arial"/>
        </w:rPr>
        <w:t xml:space="preserve"> </w:t>
      </w:r>
      <w:r w:rsidRPr="00E65610">
        <w:rPr>
          <w:rFonts w:ascii="Arial" w:hAnsi="Arial" w:cs="Arial"/>
        </w:rPr>
        <w:t xml:space="preserve">cooking fuel. This logistical barrier contributes to rising carbon emissions in these areas </w:t>
      </w:r>
      <w:r w:rsidR="007660C0" w:rsidRPr="00E65610">
        <w:rPr>
          <w:rFonts w:ascii="Arial" w:hAnsi="Arial" w:cs="Arial"/>
          <w:b/>
          <w:bCs/>
          <w:noProof/>
        </w:rPr>
        <w:drawing>
          <wp:anchor distT="0" distB="0" distL="114300" distR="114300" simplePos="0" relativeHeight="251654144" behindDoc="0" locked="0" layoutInCell="1" allowOverlap="1" wp14:anchorId="18FD751B" wp14:editId="4E825231">
            <wp:simplePos x="0" y="0"/>
            <wp:positionH relativeFrom="margin">
              <wp:posOffset>-650875</wp:posOffset>
            </wp:positionH>
            <wp:positionV relativeFrom="paragraph">
              <wp:posOffset>6281420</wp:posOffset>
            </wp:positionV>
            <wp:extent cx="5839460" cy="2042160"/>
            <wp:effectExtent l="0" t="0" r="0" b="0"/>
            <wp:wrapThrough wrapText="bothSides">
              <wp:wrapPolygon edited="0">
                <wp:start x="0" y="0"/>
                <wp:lineTo x="0" y="21358"/>
                <wp:lineTo x="21562" y="21358"/>
                <wp:lineTo x="21562"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hqprint">
                      <a:lum bright="-20000" contrast="40000"/>
                      <a:extLst>
                        <a:ext uri="{28A0092B-C50C-407E-A947-70E740481C1C}">
                          <a14:useLocalDpi xmlns:a14="http://schemas.microsoft.com/office/drawing/2010/main"/>
                        </a:ext>
                      </a:extLst>
                    </a:blip>
                    <a:srcRect l="871" t="1314" r="845" b="2267"/>
                    <a:stretch/>
                  </pic:blipFill>
                  <pic:spPr bwMode="auto">
                    <a:xfrm>
                      <a:off x="0" y="0"/>
                      <a:ext cx="5839460" cy="2042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60C0" w:rsidRPr="00E65610">
        <w:rPr>
          <w:rFonts w:ascii="Arial" w:hAnsi="Arial" w:cs="Arial"/>
          <w:noProof/>
        </w:rPr>
        <w:drawing>
          <wp:anchor distT="0" distB="0" distL="114300" distR="114300" simplePos="0" relativeHeight="251652096" behindDoc="0" locked="0" layoutInCell="1" allowOverlap="1" wp14:anchorId="78980348" wp14:editId="7AC2C70E">
            <wp:simplePos x="0" y="0"/>
            <wp:positionH relativeFrom="margin">
              <wp:posOffset>-650875</wp:posOffset>
            </wp:positionH>
            <wp:positionV relativeFrom="paragraph">
              <wp:posOffset>1493520</wp:posOffset>
            </wp:positionV>
            <wp:extent cx="5875020" cy="2035175"/>
            <wp:effectExtent l="0" t="0" r="0" b="0"/>
            <wp:wrapThrough wrapText="bothSides">
              <wp:wrapPolygon edited="0">
                <wp:start x="0" y="0"/>
                <wp:lineTo x="0" y="21432"/>
                <wp:lineTo x="21502" y="21432"/>
                <wp:lineTo x="21502"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hqprint">
                      <a:lum bright="-20000" contrast="40000"/>
                      <a:extLst>
                        <a:ext uri="{28A0092B-C50C-407E-A947-70E740481C1C}">
                          <a14:useLocalDpi xmlns:a14="http://schemas.microsoft.com/office/drawing/2010/main"/>
                        </a:ext>
                      </a:extLst>
                    </a:blip>
                    <a:srcRect l="487" t="1373" r="657" b="2084"/>
                    <a:stretch/>
                  </pic:blipFill>
                  <pic:spPr bwMode="auto">
                    <a:xfrm>
                      <a:off x="0" y="0"/>
                      <a:ext cx="5875020" cy="2035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65610">
        <w:rPr>
          <w:rFonts w:ascii="Arial" w:hAnsi="Arial" w:cs="Arial"/>
        </w:rPr>
        <w:t>despite access to clean energy infrastructure.</w:t>
      </w:r>
    </w:p>
    <w:p w14:paraId="228E5C69" w14:textId="77777777" w:rsidR="00E053D0" w:rsidRPr="00E65610" w:rsidRDefault="00CF0EBC" w:rsidP="006C0EDB">
      <w:pPr>
        <w:pStyle w:val="Body"/>
        <w:spacing w:after="0"/>
        <w:rPr>
          <w:rFonts w:ascii="Arial" w:hAnsi="Arial" w:cs="Arial"/>
          <w:b/>
          <w:bCs/>
        </w:rPr>
      </w:pPr>
      <w:r>
        <w:rPr>
          <w:rFonts w:ascii="Arial" w:hAnsi="Arial" w:cs="Arial"/>
          <w:b/>
          <w:bCs/>
          <w:noProof/>
        </w:rPr>
        <w:pict w14:anchorId="1D5B657D">
          <v:shape id="_x0000_s1047" type="#_x0000_t202" style="position:absolute;left:0;text-align:left;margin-left:0;margin-top:368.05pt;width:462.3pt;height:14.15pt;z-index:251659264;mso-position-horizontal:center;mso-position-horizontal-relative:margin;mso-position-vertical-relative:text" wrapcoords="-35 0 -35 20829 21600 20829 21600 0 -35 0" stroked="f">
            <v:textbox style="mso-next-textbox:#_x0000_s1047" inset="0,0,0,0">
              <w:txbxContent>
                <w:p w14:paraId="424BD0C6" w14:textId="77777777" w:rsidR="002353DD" w:rsidRPr="00AC2CAA" w:rsidRDefault="002353DD" w:rsidP="006C0EDB">
                  <w:pPr>
                    <w:pStyle w:val="Caption"/>
                    <w:jc w:val="center"/>
                    <w:rPr>
                      <w:rFonts w:ascii="Arial" w:eastAsia="Times New Roman" w:hAnsi="Arial" w:cs="Arial"/>
                      <w:b/>
                      <w:bCs/>
                      <w:i w:val="0"/>
                      <w:iCs w:val="0"/>
                      <w:noProof/>
                      <w:color w:val="auto"/>
                      <w:sz w:val="22"/>
                      <w:szCs w:val="18"/>
                      <w:lang w:bidi="ar-SA"/>
                    </w:rPr>
                  </w:pPr>
                  <w:r w:rsidRPr="00AC2CAA">
                    <w:rPr>
                      <w:rFonts w:ascii="Arial" w:hAnsi="Arial" w:cs="Arial"/>
                      <w:b/>
                      <w:bCs/>
                      <w:i w:val="0"/>
                      <w:iCs w:val="0"/>
                      <w:color w:val="auto"/>
                      <w:sz w:val="20"/>
                      <w:szCs w:val="18"/>
                    </w:rPr>
                    <w:t>Fig. 3. (B) Urban Area</w:t>
                  </w:r>
                </w:p>
              </w:txbxContent>
            </v:textbox>
            <w10:wrap type="through" anchorx="margin"/>
          </v:shape>
        </w:pict>
      </w:r>
      <w:r w:rsidR="00C23DDA" w:rsidRPr="00E65610">
        <w:rPr>
          <w:rFonts w:ascii="Arial" w:hAnsi="Arial" w:cs="Arial"/>
          <w:b/>
          <w:bCs/>
          <w:noProof/>
        </w:rPr>
        <w:drawing>
          <wp:anchor distT="0" distB="0" distL="114300" distR="114300" simplePos="0" relativeHeight="251653120" behindDoc="0" locked="0" layoutInCell="1" allowOverlap="1" wp14:anchorId="56513A8F" wp14:editId="05406B1A">
            <wp:simplePos x="0" y="0"/>
            <wp:positionH relativeFrom="margin">
              <wp:posOffset>-650875</wp:posOffset>
            </wp:positionH>
            <wp:positionV relativeFrom="paragraph">
              <wp:posOffset>2568262</wp:posOffset>
            </wp:positionV>
            <wp:extent cx="5871210" cy="2051050"/>
            <wp:effectExtent l="0" t="0" r="0"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hqprint">
                      <a:lum bright="-20000" contrast="40000"/>
                      <a:extLst>
                        <a:ext uri="{28A0092B-C50C-407E-A947-70E740481C1C}">
                          <a14:useLocalDpi xmlns:a14="http://schemas.microsoft.com/office/drawing/2010/main"/>
                        </a:ext>
                      </a:extLst>
                    </a:blip>
                    <a:srcRect l="403" t="1320" r="790" b="1309"/>
                    <a:stretch/>
                  </pic:blipFill>
                  <pic:spPr bwMode="auto">
                    <a:xfrm>
                      <a:off x="0" y="0"/>
                      <a:ext cx="5871210" cy="2051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bCs/>
          <w:noProof/>
        </w:rPr>
        <w:pict w14:anchorId="13596E2F">
          <v:shape id="_x0000_s1048" type="#_x0000_t202" style="position:absolute;left:0;text-align:left;margin-left:0;margin-top:555.4pt;width:459.8pt;height:14.15pt;z-index:251660288;mso-position-horizontal:center;mso-position-horizontal-relative:margin;mso-position-vertical-relative:text" wrapcoords="-35 0 -35 20160 21600 20160 21600 0 -35 0" stroked="f">
            <v:textbox style="mso-next-textbox:#_x0000_s1048" inset="0,0,0,0">
              <w:txbxContent>
                <w:p w14:paraId="7D3AB1B6" w14:textId="77777777" w:rsidR="00AC2CAA" w:rsidRPr="00AC2CAA" w:rsidRDefault="00AC2CAA" w:rsidP="00AC2CAA">
                  <w:pPr>
                    <w:pStyle w:val="Caption"/>
                    <w:jc w:val="center"/>
                    <w:rPr>
                      <w:rFonts w:ascii="Arial" w:eastAsia="Times New Roman" w:hAnsi="Arial" w:cs="Arial"/>
                      <w:b/>
                      <w:bCs/>
                      <w:i w:val="0"/>
                      <w:iCs w:val="0"/>
                      <w:noProof/>
                      <w:color w:val="auto"/>
                      <w:sz w:val="22"/>
                      <w:szCs w:val="18"/>
                      <w:lang w:bidi="ar-SA"/>
                    </w:rPr>
                  </w:pPr>
                  <w:r w:rsidRPr="00AC2CAA">
                    <w:rPr>
                      <w:rFonts w:ascii="Arial" w:hAnsi="Arial" w:cs="Arial"/>
                      <w:b/>
                      <w:bCs/>
                      <w:i w:val="0"/>
                      <w:iCs w:val="0"/>
                      <w:color w:val="auto"/>
                      <w:sz w:val="20"/>
                      <w:szCs w:val="18"/>
                    </w:rPr>
                    <w:t>Fig. 3. (C) Rural Area</w:t>
                  </w:r>
                </w:p>
              </w:txbxContent>
            </v:textbox>
            <w10:wrap type="through" anchorx="margin"/>
          </v:shape>
        </w:pict>
      </w:r>
      <w:r>
        <w:rPr>
          <w:rFonts w:ascii="Arial" w:hAnsi="Arial" w:cs="Arial"/>
          <w:noProof/>
        </w:rPr>
        <w:pict w14:anchorId="68E4BB37">
          <v:shape id="_x0000_s1046" type="#_x0000_t202" style="position:absolute;left:0;text-align:left;margin-left:0;margin-top:182.25pt;width:462.6pt;height:14.15pt;z-index:251658240;mso-position-horizontal:center;mso-position-horizontal-relative:margin;mso-position-vertical-relative:text" wrapcoords="-35 0 -35 20160 21600 20160 21600 0 -35 0" stroked="f">
            <v:textbox style="mso-next-textbox:#_x0000_s1046" inset="0,0,0,0">
              <w:txbxContent>
                <w:p w14:paraId="2AC0B873" w14:textId="4A9B1615" w:rsidR="002353DD" w:rsidRPr="006C0EDB" w:rsidRDefault="002353DD" w:rsidP="002353DD">
                  <w:pPr>
                    <w:pStyle w:val="Caption"/>
                    <w:jc w:val="center"/>
                    <w:rPr>
                      <w:rFonts w:ascii="Arial" w:eastAsia="Times New Roman" w:hAnsi="Arial" w:cs="Arial"/>
                      <w:b/>
                      <w:bCs/>
                      <w:i w:val="0"/>
                      <w:iCs w:val="0"/>
                      <w:noProof/>
                      <w:color w:val="auto"/>
                      <w:sz w:val="20"/>
                      <w:szCs w:val="20"/>
                      <w:lang w:bidi="ar-SA"/>
                    </w:rPr>
                  </w:pPr>
                  <w:r w:rsidRPr="006C0EDB">
                    <w:rPr>
                      <w:rFonts w:ascii="Arial" w:hAnsi="Arial" w:cs="Arial"/>
                      <w:b/>
                      <w:bCs/>
                      <w:i w:val="0"/>
                      <w:iCs w:val="0"/>
                      <w:color w:val="auto"/>
                      <w:sz w:val="20"/>
                      <w:szCs w:val="20"/>
                    </w:rPr>
                    <w:t xml:space="preserve">Fig. </w:t>
                  </w:r>
                  <w:r w:rsidRPr="006C0EDB">
                    <w:rPr>
                      <w:rFonts w:ascii="Arial" w:hAnsi="Arial" w:cs="Arial"/>
                      <w:b/>
                      <w:bCs/>
                      <w:i w:val="0"/>
                      <w:iCs w:val="0"/>
                      <w:color w:val="auto"/>
                      <w:sz w:val="20"/>
                      <w:szCs w:val="20"/>
                    </w:rPr>
                    <w:fldChar w:fldCharType="begin"/>
                  </w:r>
                  <w:r w:rsidRPr="006C0EDB">
                    <w:rPr>
                      <w:rFonts w:ascii="Arial" w:hAnsi="Arial" w:cs="Arial"/>
                      <w:b/>
                      <w:bCs/>
                      <w:i w:val="0"/>
                      <w:iCs w:val="0"/>
                      <w:color w:val="auto"/>
                      <w:sz w:val="20"/>
                      <w:szCs w:val="20"/>
                    </w:rPr>
                    <w:instrText xml:space="preserve"> SEQ Figure \* ARABIC </w:instrText>
                  </w:r>
                  <w:r w:rsidRPr="006C0EDB">
                    <w:rPr>
                      <w:rFonts w:ascii="Arial" w:hAnsi="Arial" w:cs="Arial"/>
                      <w:b/>
                      <w:bCs/>
                      <w:i w:val="0"/>
                      <w:iCs w:val="0"/>
                      <w:color w:val="auto"/>
                      <w:sz w:val="20"/>
                      <w:szCs w:val="20"/>
                    </w:rPr>
                    <w:fldChar w:fldCharType="separate"/>
                  </w:r>
                  <w:r w:rsidR="004C4B37">
                    <w:rPr>
                      <w:rFonts w:ascii="Arial" w:hAnsi="Arial" w:cs="Arial"/>
                      <w:b/>
                      <w:bCs/>
                      <w:i w:val="0"/>
                      <w:iCs w:val="0"/>
                      <w:noProof/>
                      <w:color w:val="auto"/>
                      <w:sz w:val="20"/>
                      <w:szCs w:val="20"/>
                    </w:rPr>
                    <w:t>3</w:t>
                  </w:r>
                  <w:r w:rsidRPr="006C0EDB">
                    <w:rPr>
                      <w:rFonts w:ascii="Arial" w:hAnsi="Arial" w:cs="Arial"/>
                      <w:b/>
                      <w:bCs/>
                      <w:i w:val="0"/>
                      <w:iCs w:val="0"/>
                      <w:color w:val="auto"/>
                      <w:sz w:val="20"/>
                      <w:szCs w:val="20"/>
                    </w:rPr>
                    <w:fldChar w:fldCharType="end"/>
                  </w:r>
                  <w:r w:rsidRPr="006C0EDB">
                    <w:rPr>
                      <w:rFonts w:ascii="Arial" w:hAnsi="Arial" w:cs="Arial"/>
                      <w:b/>
                      <w:bCs/>
                      <w:i w:val="0"/>
                      <w:iCs w:val="0"/>
                      <w:color w:val="auto"/>
                      <w:sz w:val="20"/>
                      <w:szCs w:val="20"/>
                    </w:rPr>
                    <w:t>. (A) Metropolitan Area</w:t>
                  </w:r>
                </w:p>
              </w:txbxContent>
            </v:textbox>
            <w10:wrap type="through" anchorx="margin"/>
          </v:shape>
        </w:pict>
      </w:r>
    </w:p>
    <w:p w14:paraId="4A7BE55C" w14:textId="77777777" w:rsidR="00AC2CAA" w:rsidRPr="00E65610" w:rsidRDefault="00CF0EBC" w:rsidP="00C23DDA">
      <w:pPr>
        <w:pStyle w:val="Body"/>
        <w:spacing w:after="0"/>
        <w:jc w:val="center"/>
        <w:rPr>
          <w:rFonts w:ascii="Arial" w:hAnsi="Arial" w:cs="Arial"/>
          <w:b/>
          <w:bCs/>
        </w:rPr>
      </w:pPr>
      <w:r>
        <w:rPr>
          <w:rFonts w:ascii="Arial" w:hAnsi="Arial" w:cs="Arial"/>
          <w:b/>
          <w:bCs/>
          <w:noProof/>
        </w:rPr>
        <w:lastRenderedPageBreak/>
        <w:pict w14:anchorId="29EF2B63">
          <v:shape id="_x0000_s1052" type="#_x0000_t202" style="position:absolute;left:0;text-align:left;margin-left:0;margin-top:136.25pt;width:468pt;height:14.15pt;z-index:251661312;mso-position-horizontal:center;mso-position-horizontal-relative:margin;mso-position-vertical-relative:text" wrapcoords="-35 0 -35 20160 21600 20160 21600 0 -35 0" stroked="f">
            <v:textbox style="mso-next-textbox:#_x0000_s1052" inset="0,0,0,0">
              <w:txbxContent>
                <w:p w14:paraId="0C2505E9" w14:textId="77777777" w:rsidR="006C0EDB" w:rsidRPr="00AC2CAA" w:rsidRDefault="006C0EDB" w:rsidP="006C0EDB">
                  <w:pPr>
                    <w:pStyle w:val="Caption"/>
                    <w:jc w:val="center"/>
                    <w:rPr>
                      <w:rFonts w:ascii="Arial" w:eastAsia="Times New Roman" w:hAnsi="Arial" w:cs="Arial"/>
                      <w:b/>
                      <w:bCs/>
                      <w:i w:val="0"/>
                      <w:iCs w:val="0"/>
                      <w:noProof/>
                      <w:color w:val="auto"/>
                      <w:sz w:val="22"/>
                      <w:szCs w:val="18"/>
                      <w:lang w:bidi="ar-SA"/>
                    </w:rPr>
                  </w:pPr>
                  <w:r w:rsidRPr="00AC2CAA">
                    <w:rPr>
                      <w:rFonts w:ascii="Arial" w:hAnsi="Arial" w:cs="Arial"/>
                      <w:b/>
                      <w:bCs/>
                      <w:i w:val="0"/>
                      <w:iCs w:val="0"/>
                      <w:color w:val="auto"/>
                      <w:sz w:val="20"/>
                      <w:szCs w:val="18"/>
                    </w:rPr>
                    <w:t>Fig. 3. (D) Tribal Area</w:t>
                  </w:r>
                </w:p>
              </w:txbxContent>
            </v:textbox>
            <w10:wrap type="through" anchorx="margin"/>
          </v:shape>
        </w:pict>
      </w:r>
      <w:r w:rsidR="00015F11" w:rsidRPr="00E65610">
        <w:rPr>
          <w:rFonts w:ascii="Arial" w:hAnsi="Arial" w:cs="Arial"/>
          <w:b/>
          <w:bCs/>
          <w:noProof/>
        </w:rPr>
        <w:drawing>
          <wp:anchor distT="0" distB="0" distL="114300" distR="114300" simplePos="0" relativeHeight="251655168" behindDoc="0" locked="0" layoutInCell="1" allowOverlap="1" wp14:anchorId="576038D9" wp14:editId="2171CC67">
            <wp:simplePos x="0" y="0"/>
            <wp:positionH relativeFrom="margin">
              <wp:posOffset>-488950</wp:posOffset>
            </wp:positionH>
            <wp:positionV relativeFrom="margin">
              <wp:posOffset>-452187</wp:posOffset>
            </wp:positionV>
            <wp:extent cx="5943600" cy="2159635"/>
            <wp:effectExtent l="0" t="0" r="0" b="0"/>
            <wp:wrapThrough wrapText="bothSides">
              <wp:wrapPolygon edited="0">
                <wp:start x="0" y="0"/>
                <wp:lineTo x="0" y="21340"/>
                <wp:lineTo x="21531" y="21340"/>
                <wp:lineTo x="21531"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hqprint">
                      <a:lum bright="-20000" contrast="40000"/>
                      <a:extLst>
                        <a:ext uri="{28A0092B-C50C-407E-A947-70E740481C1C}">
                          <a14:useLocalDpi xmlns:a14="http://schemas.microsoft.com/office/drawing/2010/main"/>
                        </a:ext>
                      </a:extLst>
                    </a:blip>
                    <a:srcRect/>
                    <a:stretch>
                      <a:fillRect/>
                    </a:stretch>
                  </pic:blipFill>
                  <pic:spPr bwMode="auto">
                    <a:xfrm>
                      <a:off x="0" y="0"/>
                      <a:ext cx="5943600" cy="2159635"/>
                    </a:xfrm>
                    <a:prstGeom prst="rect">
                      <a:avLst/>
                    </a:prstGeom>
                    <a:noFill/>
                    <a:ln>
                      <a:noFill/>
                    </a:ln>
                  </pic:spPr>
                </pic:pic>
              </a:graphicData>
            </a:graphic>
          </wp:anchor>
        </w:drawing>
      </w:r>
      <w:r w:rsidR="00AF7882" w:rsidRPr="00E65610">
        <w:rPr>
          <w:rFonts w:ascii="Arial" w:hAnsi="Arial" w:cs="Arial"/>
          <w:b/>
          <w:bCs/>
        </w:rPr>
        <w:t>Fig. 3. Breakdown of Average Household Carbon Footprints Source</w:t>
      </w:r>
    </w:p>
    <w:p w14:paraId="0E1AE3A0" w14:textId="77777777" w:rsidR="00C23DDA" w:rsidRPr="00E65610" w:rsidRDefault="00CF0EBC" w:rsidP="00C23DDA">
      <w:pPr>
        <w:pStyle w:val="Body"/>
        <w:spacing w:after="0"/>
        <w:rPr>
          <w:rFonts w:ascii="Arial" w:hAnsi="Arial" w:cs="Arial"/>
          <w:b/>
          <w:bCs/>
        </w:rPr>
      </w:pPr>
      <w:r>
        <w:rPr>
          <w:rFonts w:ascii="Arial" w:hAnsi="Arial" w:cs="Arial"/>
          <w:b/>
          <w:bCs/>
          <w:noProof/>
        </w:rPr>
        <w:pict w14:anchorId="25BB50A7">
          <v:group id="Group 2137037128" o:spid="_x0000_s1070" style="position:absolute;left:0;text-align:left;margin-left:0;margin-top:195.55pt;width:439.7pt;height:473.9pt;z-index:251662336;mso-position-horizontal:center;mso-position-horizontal-relative:margin;mso-position-vertical-relative:margin" coordsize="55844,60185" wrapcoords="-37 0 -37 19661 9768 20137 10800 20137 -37 20477 -37 21566 21600 21566 21600 20477 10800 20137 12496 20137 21600 19695 21600 9933 10800 9797 21600 9729 21600 0 -37 0">
            <v:group id="Group 58" o:spid="_x0000_s1071" style="position:absolute;width:55844;height:55105" coordsize="55844,55105">
              <v:group id="Group 59" o:spid="_x0000_s1072" style="position:absolute;width:27254;height:27254" coordsize="27254,27254">
                <v:shape id="Graphic 60" o:spid="_x0000_s1073" type="#_x0000_t75" style="position:absolute;width:27254;height:27254;visibility:visible;mso-wrap-style:square;mso-position-horizontal:center">
                  <v:imagedata r:id="rId20" o:title="" cropleft="2711f" cropright="2711f"/>
                </v:shape>
                <v:shape id="Text Box 61" o:spid="_x0000_s1074" type="#_x0000_t202" style="position:absolute;top:24003;width:27254;height:2730;visibility:visible;mso-wrap-style:square;v-text-anchor:top" stroked="f">
                  <v:textbox style="mso-next-textbox:#Text Box 61;mso-fit-shape-to-text:t" inset="0,0,0,0">
                    <w:txbxContent>
                      <w:p w14:paraId="2859C9FE" w14:textId="77777777" w:rsidR="00C23DDA" w:rsidRPr="00015F11" w:rsidRDefault="00C23DDA" w:rsidP="00C23DDA">
                        <w:pPr>
                          <w:pStyle w:val="Caption"/>
                          <w:jc w:val="center"/>
                          <w:rPr>
                            <w:rFonts w:ascii="Arial" w:hAnsi="Arial" w:cs="Arial"/>
                            <w:b/>
                            <w:bCs/>
                            <w:i w:val="0"/>
                            <w:iCs w:val="0"/>
                            <w:noProof/>
                            <w:color w:val="auto"/>
                            <w:sz w:val="20"/>
                            <w:szCs w:val="18"/>
                          </w:rPr>
                        </w:pPr>
                        <w:r w:rsidRPr="00015F11">
                          <w:rPr>
                            <w:rFonts w:ascii="Arial" w:hAnsi="Arial" w:cs="Arial"/>
                            <w:b/>
                            <w:bCs/>
                            <w:i w:val="0"/>
                            <w:iCs w:val="0"/>
                            <w:color w:val="auto"/>
                            <w:sz w:val="20"/>
                            <w:szCs w:val="18"/>
                          </w:rPr>
                          <w:t>Fig. 4. (A) Metropolitan Area</w:t>
                        </w:r>
                      </w:p>
                    </w:txbxContent>
                  </v:textbox>
                </v:shape>
              </v:group>
              <v:group id="Group 62" o:spid="_x0000_s1075" style="position:absolute;left:28495;width:27349;height:27247" coordsize="27349,27247">
                <v:shape id="Graphic 63" o:spid="_x0000_s1076" type="#_x0000_t75" style="position:absolute;width:27247;height:27247;visibility:visible;mso-wrap-style:square;mso-position-horizontal:center;mso-position-horizontal-relative:margin">
                  <v:imagedata r:id="rId21" o:title="" cropleft="2710f" cropright="2710f"/>
                </v:shape>
                <v:shape id="Text Box 2137037120" o:spid="_x0000_s1077" type="#_x0000_t202" style="position:absolute;left:95;top:24098;width:27254;height:2730;visibility:visible;mso-wrap-style:square;v-text-anchor:top" stroked="f">
                  <v:textbox style="mso-next-textbox:#Text Box 2137037120;mso-fit-shape-to-text:t" inset="0,0,0,0">
                    <w:txbxContent>
                      <w:p w14:paraId="770E0149" w14:textId="77777777" w:rsidR="00C23DDA" w:rsidRPr="00015F11" w:rsidRDefault="00C23DDA" w:rsidP="00C23DDA">
                        <w:pPr>
                          <w:pStyle w:val="Caption"/>
                          <w:jc w:val="center"/>
                          <w:rPr>
                            <w:rFonts w:ascii="Arial" w:hAnsi="Arial" w:cs="Arial"/>
                            <w:b/>
                            <w:bCs/>
                            <w:i w:val="0"/>
                            <w:iCs w:val="0"/>
                            <w:noProof/>
                            <w:color w:val="auto"/>
                            <w:sz w:val="20"/>
                            <w:szCs w:val="18"/>
                          </w:rPr>
                        </w:pPr>
                        <w:r w:rsidRPr="00015F11">
                          <w:rPr>
                            <w:rFonts w:ascii="Arial" w:hAnsi="Arial" w:cs="Arial"/>
                            <w:b/>
                            <w:bCs/>
                            <w:i w:val="0"/>
                            <w:iCs w:val="0"/>
                            <w:color w:val="auto"/>
                            <w:sz w:val="20"/>
                            <w:szCs w:val="18"/>
                          </w:rPr>
                          <w:t>Fig. 4. (B) Urban Area</w:t>
                        </w:r>
                      </w:p>
                    </w:txbxContent>
                  </v:textbox>
                </v:shape>
              </v:group>
              <v:group id="Group 2137037121" o:spid="_x0000_s1078" style="position:absolute;top:27750;width:27254;height:27248" coordsize="27254,27247">
                <v:shape id="Graphic 2137037122" o:spid="_x0000_s1079" type="#_x0000_t75" style="position:absolute;width:27247;height:27247;visibility:visible;mso-wrap-style:square">
                  <v:imagedata r:id="rId22" o:title="" cropleft="2710f" cropright="2710f"/>
                </v:shape>
                <v:shape id="Text Box 2137037123" o:spid="_x0000_s1080" type="#_x0000_t202" style="position:absolute;top:23983;width:27254;height:2731;visibility:visible;mso-wrap-style:square;v-text-anchor:top" stroked="f">
                  <v:textbox style="mso-next-textbox:#Text Box 2137037123;mso-fit-shape-to-text:t" inset="0,0,0,0">
                    <w:txbxContent>
                      <w:p w14:paraId="0FFA26BF" w14:textId="77777777" w:rsidR="00C23DDA" w:rsidRPr="00AF7882" w:rsidRDefault="00C23DDA" w:rsidP="00C23DDA">
                        <w:pPr>
                          <w:pStyle w:val="Caption"/>
                          <w:jc w:val="center"/>
                          <w:rPr>
                            <w:rFonts w:ascii="Arial" w:hAnsi="Arial" w:cs="Arial"/>
                            <w:b/>
                            <w:bCs/>
                            <w:i w:val="0"/>
                            <w:iCs w:val="0"/>
                            <w:noProof/>
                            <w:color w:val="auto"/>
                            <w:sz w:val="20"/>
                            <w:szCs w:val="18"/>
                          </w:rPr>
                        </w:pPr>
                        <w:r w:rsidRPr="00AF7882">
                          <w:rPr>
                            <w:rFonts w:ascii="Arial" w:hAnsi="Arial" w:cs="Arial"/>
                            <w:b/>
                            <w:bCs/>
                            <w:i w:val="0"/>
                            <w:iCs w:val="0"/>
                            <w:color w:val="auto"/>
                            <w:sz w:val="20"/>
                            <w:szCs w:val="18"/>
                          </w:rPr>
                          <w:t>Fig. 4. (</w:t>
                        </w:r>
                        <w:r>
                          <w:rPr>
                            <w:rFonts w:ascii="Arial" w:hAnsi="Arial" w:cs="Arial"/>
                            <w:b/>
                            <w:bCs/>
                            <w:i w:val="0"/>
                            <w:iCs w:val="0"/>
                            <w:color w:val="auto"/>
                            <w:sz w:val="20"/>
                            <w:szCs w:val="18"/>
                          </w:rPr>
                          <w:t>C</w:t>
                        </w:r>
                        <w:r w:rsidRPr="00AF7882">
                          <w:rPr>
                            <w:rFonts w:ascii="Arial" w:hAnsi="Arial" w:cs="Arial"/>
                            <w:b/>
                            <w:bCs/>
                            <w:i w:val="0"/>
                            <w:iCs w:val="0"/>
                            <w:color w:val="auto"/>
                            <w:sz w:val="20"/>
                            <w:szCs w:val="18"/>
                          </w:rPr>
                          <w:t xml:space="preserve">) </w:t>
                        </w:r>
                        <w:r>
                          <w:rPr>
                            <w:rFonts w:ascii="Arial" w:hAnsi="Arial" w:cs="Arial"/>
                            <w:b/>
                            <w:bCs/>
                            <w:i w:val="0"/>
                            <w:iCs w:val="0"/>
                            <w:color w:val="auto"/>
                            <w:sz w:val="20"/>
                            <w:szCs w:val="18"/>
                          </w:rPr>
                          <w:t>Rural</w:t>
                        </w:r>
                        <w:r w:rsidRPr="00AF7882">
                          <w:rPr>
                            <w:rFonts w:ascii="Arial" w:hAnsi="Arial" w:cs="Arial"/>
                            <w:b/>
                            <w:bCs/>
                            <w:i w:val="0"/>
                            <w:iCs w:val="0"/>
                            <w:color w:val="auto"/>
                            <w:sz w:val="20"/>
                            <w:szCs w:val="18"/>
                          </w:rPr>
                          <w:t xml:space="preserve"> Area</w:t>
                        </w:r>
                      </w:p>
                    </w:txbxContent>
                  </v:textbox>
                </v:shape>
              </v:group>
              <v:group id="Group 2137037124" o:spid="_x0000_s1081" style="position:absolute;left:28495;top:27857;width:27254;height:27248" coordsize="27254,27247">
                <v:shape id="Graphic 2137037125" o:spid="_x0000_s1082" type="#_x0000_t75" style="position:absolute;width:27247;height:27247;visibility:visible;mso-wrap-style:square">
                  <v:imagedata r:id="rId23" o:title="" cropleft="2710f" cropright="2710f"/>
                </v:shape>
                <v:shape id="Text Box 2137037126" o:spid="_x0000_s1083" type="#_x0000_t202" style="position:absolute;top:23920;width:27254;height:2730;visibility:visible;mso-wrap-style:square;v-text-anchor:top" stroked="f">
                  <v:textbox style="mso-next-textbox:#Text Box 2137037126;mso-fit-shape-to-text:t" inset="0,0,0,0">
                    <w:txbxContent>
                      <w:p w14:paraId="3253679C" w14:textId="77777777" w:rsidR="00C23DDA" w:rsidRPr="00015F11" w:rsidRDefault="00C23DDA" w:rsidP="00C23DDA">
                        <w:pPr>
                          <w:pStyle w:val="Caption"/>
                          <w:jc w:val="center"/>
                          <w:rPr>
                            <w:rFonts w:ascii="Arial" w:hAnsi="Arial" w:cs="Arial"/>
                            <w:b/>
                            <w:bCs/>
                            <w:i w:val="0"/>
                            <w:iCs w:val="0"/>
                            <w:noProof/>
                            <w:color w:val="auto"/>
                            <w:sz w:val="20"/>
                            <w:szCs w:val="18"/>
                          </w:rPr>
                        </w:pPr>
                        <w:r w:rsidRPr="00015F11">
                          <w:rPr>
                            <w:rFonts w:ascii="Arial" w:hAnsi="Arial" w:cs="Arial"/>
                            <w:b/>
                            <w:bCs/>
                            <w:i w:val="0"/>
                            <w:iCs w:val="0"/>
                            <w:color w:val="auto"/>
                            <w:sz w:val="20"/>
                            <w:szCs w:val="18"/>
                          </w:rPr>
                          <w:t>Fig. 4. (</w:t>
                        </w:r>
                        <w:r>
                          <w:rPr>
                            <w:rFonts w:ascii="Arial" w:hAnsi="Arial" w:cs="Arial"/>
                            <w:b/>
                            <w:bCs/>
                            <w:i w:val="0"/>
                            <w:iCs w:val="0"/>
                            <w:color w:val="auto"/>
                            <w:sz w:val="20"/>
                            <w:szCs w:val="18"/>
                          </w:rPr>
                          <w:t>D</w:t>
                        </w:r>
                        <w:r w:rsidRPr="00015F11">
                          <w:rPr>
                            <w:rFonts w:ascii="Arial" w:hAnsi="Arial" w:cs="Arial"/>
                            <w:b/>
                            <w:bCs/>
                            <w:i w:val="0"/>
                            <w:iCs w:val="0"/>
                            <w:color w:val="auto"/>
                            <w:sz w:val="20"/>
                            <w:szCs w:val="18"/>
                          </w:rPr>
                          <w:t xml:space="preserve">) </w:t>
                        </w:r>
                        <w:r>
                          <w:rPr>
                            <w:rFonts w:ascii="Arial" w:hAnsi="Arial" w:cs="Arial"/>
                            <w:b/>
                            <w:bCs/>
                            <w:i w:val="0"/>
                            <w:iCs w:val="0"/>
                            <w:color w:val="auto"/>
                            <w:sz w:val="20"/>
                            <w:szCs w:val="18"/>
                          </w:rPr>
                          <w:t>Tribal</w:t>
                        </w:r>
                        <w:r w:rsidRPr="00015F11">
                          <w:rPr>
                            <w:rFonts w:ascii="Arial" w:hAnsi="Arial" w:cs="Arial"/>
                            <w:b/>
                            <w:bCs/>
                            <w:i w:val="0"/>
                            <w:iCs w:val="0"/>
                            <w:color w:val="auto"/>
                            <w:sz w:val="20"/>
                            <w:szCs w:val="18"/>
                          </w:rPr>
                          <w:t xml:space="preserve"> Area</w:t>
                        </w:r>
                      </w:p>
                    </w:txbxContent>
                  </v:textbox>
                </v:shape>
              </v:group>
            </v:group>
            <v:shape id="Text Box 2137037127" o:spid="_x0000_s1084" type="#_x0000_t202" style="position:absolute;top:57454;width:55844;height:2731;visibility:visible;mso-wrap-style:square;v-text-anchor:top" stroked="f">
              <v:textbox style="mso-next-textbox:#Text Box 2137037127;mso-fit-shape-to-text:t" inset="0,0,0,0">
                <w:txbxContent>
                  <w:p w14:paraId="4464472E" w14:textId="77777777" w:rsidR="00C23DDA" w:rsidRPr="00AF7882" w:rsidRDefault="00C23DDA" w:rsidP="00C23DDA">
                    <w:pPr>
                      <w:pStyle w:val="Caption"/>
                      <w:jc w:val="center"/>
                      <w:rPr>
                        <w:rFonts w:ascii="Arial" w:hAnsi="Arial" w:cs="Arial"/>
                        <w:b/>
                        <w:bCs/>
                        <w:i w:val="0"/>
                        <w:iCs w:val="0"/>
                        <w:noProof/>
                        <w:color w:val="auto"/>
                        <w:sz w:val="20"/>
                        <w:szCs w:val="18"/>
                      </w:rPr>
                    </w:pPr>
                    <w:r w:rsidRPr="00AF7882">
                      <w:rPr>
                        <w:rFonts w:ascii="Arial" w:hAnsi="Arial" w:cs="Arial"/>
                        <w:b/>
                        <w:bCs/>
                        <w:i w:val="0"/>
                        <w:iCs w:val="0"/>
                        <w:color w:val="auto"/>
                        <w:sz w:val="20"/>
                        <w:szCs w:val="18"/>
                      </w:rPr>
                      <w:t>Fig. 4. Co2e emission of different factor across different Human Settlement</w:t>
                    </w:r>
                  </w:p>
                </w:txbxContent>
              </v:textbox>
            </v:shape>
            <w10:wrap type="through" anchorx="margin" anchory="margin"/>
          </v:group>
        </w:pict>
      </w:r>
    </w:p>
    <w:p w14:paraId="389B2580" w14:textId="77777777" w:rsidR="00C23DDA" w:rsidRPr="00E65610" w:rsidRDefault="00C23DDA" w:rsidP="00C23DDA">
      <w:pPr>
        <w:pStyle w:val="Body"/>
        <w:spacing w:after="0"/>
        <w:rPr>
          <w:rFonts w:ascii="Arial" w:hAnsi="Arial" w:cs="Arial"/>
          <w:b/>
          <w:bCs/>
        </w:rPr>
      </w:pPr>
    </w:p>
    <w:p w14:paraId="32FA7811" w14:textId="77777777" w:rsidR="00B01FCD" w:rsidRPr="00E65610" w:rsidRDefault="00000F8F" w:rsidP="00441B6F">
      <w:pPr>
        <w:pStyle w:val="ConcHead"/>
        <w:spacing w:after="0"/>
        <w:jc w:val="both"/>
        <w:rPr>
          <w:rFonts w:ascii="Arial" w:hAnsi="Arial" w:cs="Arial"/>
        </w:rPr>
      </w:pPr>
      <w:r w:rsidRPr="00E65610">
        <w:rPr>
          <w:rFonts w:ascii="Arial" w:hAnsi="Arial" w:cs="Arial"/>
        </w:rPr>
        <w:lastRenderedPageBreak/>
        <w:t xml:space="preserve">4. </w:t>
      </w:r>
      <w:r w:rsidR="00B01FCD" w:rsidRPr="00E65610">
        <w:rPr>
          <w:rFonts w:ascii="Arial" w:hAnsi="Arial" w:cs="Arial"/>
        </w:rPr>
        <w:t>Conclusion</w:t>
      </w:r>
    </w:p>
    <w:p w14:paraId="4DDCF27A" w14:textId="77777777" w:rsidR="00790ADA" w:rsidRPr="00E65610" w:rsidRDefault="00790ADA" w:rsidP="00441B6F">
      <w:pPr>
        <w:pStyle w:val="ConcHead"/>
        <w:spacing w:after="0"/>
        <w:jc w:val="both"/>
        <w:rPr>
          <w:rFonts w:ascii="Arial" w:hAnsi="Arial" w:cs="Arial"/>
        </w:rPr>
      </w:pPr>
    </w:p>
    <w:p w14:paraId="304F050B" w14:textId="77777777" w:rsidR="00015F11" w:rsidRPr="00E65610" w:rsidRDefault="00015F11" w:rsidP="00015F11">
      <w:pPr>
        <w:pStyle w:val="Body"/>
        <w:rPr>
          <w:rFonts w:ascii="Arial" w:hAnsi="Arial" w:cs="Arial"/>
        </w:rPr>
      </w:pPr>
      <w:r w:rsidRPr="00E65610">
        <w:rPr>
          <w:rFonts w:ascii="Arial" w:hAnsi="Arial" w:cs="Arial"/>
        </w:rPr>
        <w:t>This study highlights the unequal distribution of household carbon footprints and climate induced economic vulnerabilities across Maharashtra’s tribal, rural, urban, and metropolitan settlements. Metropolitan and urban households exhibit the highest carbon footprints, driven primarily by electricity consumption, transportation, and modern lifestyles. However, these regions display relatively low economic vulnerability owing to diversified income sources, stronger infrastructure, and improved adaptive capacity. In contrast, rural and tribal households, despite their low emissions rooted in traditional biomass use and subsistence economies, face the greatest exposure to climate-induced economic losses. This paradox underscores a clear climate injustice: communities contributing least to greenhouse gas emissions bear the heaviest burdens of climate impacts. Agricultural dependence, inadequate infrastructure, and limited access to adaptive resources exacerbate their vulnerability. The persistence of biomass reliance in tribal and rural areas despite initiatives such as the Ujjwala Scheme highlights gaps in clean energy accessibility and infrastructure planning. Meanwhile, urban centers continue to face localized risks, particularly from flooding and extreme rainfall, which disrupt economic activity and strain urban resilience systems.</w:t>
      </w:r>
    </w:p>
    <w:p w14:paraId="62813EDA" w14:textId="77777777" w:rsidR="00B01FCD" w:rsidRPr="00E65610" w:rsidRDefault="00015F11" w:rsidP="00015F11">
      <w:pPr>
        <w:pStyle w:val="Body"/>
        <w:spacing w:after="0"/>
        <w:rPr>
          <w:rFonts w:ascii="Arial" w:hAnsi="Arial" w:cs="Arial"/>
        </w:rPr>
      </w:pPr>
      <w:r w:rsidRPr="00E65610">
        <w:rPr>
          <w:rFonts w:ascii="Arial" w:hAnsi="Arial" w:cs="Arial"/>
        </w:rPr>
        <w:t>Overall, the findings demonstrate that carbon responsibility and climate vulnerability are inversely related across Maharashtra’s settlement gradient. Addressing this imbalance demands context-specific interventions that integrate emission mitigation with adaptive capacity building. Policies should prioritize equitable energy access, sustainable transportation, and climate-resilient agriculture while embedding principles of climate justice into regional planning. Without such targeted and inclusive approaches, climate change will continue to deepen existing socioeconomic inequities across Maharashtra’s diverse landscapes.</w:t>
      </w:r>
    </w:p>
    <w:p w14:paraId="13551275" w14:textId="77777777" w:rsidR="00790ADA" w:rsidRPr="00E65610" w:rsidRDefault="00790ADA" w:rsidP="00441B6F">
      <w:pPr>
        <w:pStyle w:val="Body"/>
        <w:spacing w:after="0"/>
        <w:rPr>
          <w:rFonts w:ascii="Arial" w:hAnsi="Arial" w:cs="Arial"/>
        </w:rPr>
      </w:pPr>
    </w:p>
    <w:p w14:paraId="6E063993" w14:textId="77777777" w:rsidR="00015F11" w:rsidRPr="00E65610" w:rsidRDefault="00015F11" w:rsidP="00441B6F">
      <w:pPr>
        <w:pStyle w:val="Body"/>
        <w:spacing w:after="0"/>
        <w:rPr>
          <w:rFonts w:ascii="Arial" w:hAnsi="Arial" w:cs="Arial"/>
        </w:rPr>
      </w:pPr>
    </w:p>
    <w:p w14:paraId="7FDBA838" w14:textId="77777777" w:rsidR="00015F11" w:rsidRPr="00E65610" w:rsidRDefault="00015F11" w:rsidP="00015F11">
      <w:pPr>
        <w:pStyle w:val="Body"/>
        <w:rPr>
          <w:rFonts w:ascii="Arial" w:hAnsi="Arial" w:cs="Arial"/>
          <w:b/>
          <w:bCs/>
        </w:rPr>
      </w:pPr>
      <w:r w:rsidRPr="00E65610">
        <w:rPr>
          <w:rFonts w:ascii="Arial" w:hAnsi="Arial" w:cs="Arial"/>
          <w:b/>
          <w:bCs/>
          <w:sz w:val="22"/>
          <w:szCs w:val="22"/>
        </w:rPr>
        <w:t>COMPLIANCE WITH ETHICAL STANDARDS CONFLICTS OF INTEREST</w:t>
      </w:r>
    </w:p>
    <w:p w14:paraId="28D17B3C" w14:textId="77777777" w:rsidR="00015F11" w:rsidRPr="00E65610" w:rsidRDefault="00015F11" w:rsidP="00015F11">
      <w:pPr>
        <w:pStyle w:val="Body"/>
        <w:rPr>
          <w:rFonts w:ascii="Arial" w:hAnsi="Arial" w:cs="Arial"/>
        </w:rPr>
      </w:pPr>
      <w:r w:rsidRPr="00E65610">
        <w:rPr>
          <w:rFonts w:ascii="Arial" w:hAnsi="Arial" w:cs="Arial"/>
        </w:rPr>
        <w:t>The authors have no competing interests to declare that are relevant to the content of this article.</w:t>
      </w:r>
    </w:p>
    <w:p w14:paraId="07716F43" w14:textId="77777777" w:rsidR="00015F11" w:rsidRPr="00E65610" w:rsidRDefault="00015F11" w:rsidP="00015F11">
      <w:pPr>
        <w:pStyle w:val="Body"/>
        <w:rPr>
          <w:rFonts w:ascii="Arial" w:hAnsi="Arial" w:cs="Arial"/>
          <w:b/>
          <w:bCs/>
        </w:rPr>
      </w:pPr>
      <w:r w:rsidRPr="00E65610">
        <w:rPr>
          <w:rFonts w:ascii="Arial" w:hAnsi="Arial" w:cs="Arial"/>
          <w:b/>
          <w:bCs/>
          <w:sz w:val="22"/>
          <w:szCs w:val="22"/>
        </w:rPr>
        <w:t>HUMAN AND ANIMAL RIGHTS AND INFORMED CONSENT</w:t>
      </w:r>
    </w:p>
    <w:p w14:paraId="25C6153D" w14:textId="77777777" w:rsidR="00015F11" w:rsidRPr="00E65610" w:rsidRDefault="00015F11" w:rsidP="00015F11">
      <w:pPr>
        <w:pStyle w:val="Body"/>
        <w:rPr>
          <w:rFonts w:ascii="Arial" w:hAnsi="Arial" w:cs="Arial"/>
        </w:rPr>
      </w:pPr>
      <w:r w:rsidRPr="00E65610">
        <w:rPr>
          <w:rFonts w:ascii="Arial" w:hAnsi="Arial" w:cs="Arial"/>
        </w:rPr>
        <w:t>This article contains no studies on animal subjects conducted by any of the authors. Before beginning the experiments described in this article, the authors obtained informed consent from all human participants.</w:t>
      </w:r>
    </w:p>
    <w:p w14:paraId="3B298BF8" w14:textId="77777777" w:rsidR="00015F11" w:rsidRPr="00E65610" w:rsidRDefault="00015F11" w:rsidP="00015F11">
      <w:pPr>
        <w:pStyle w:val="Body"/>
        <w:rPr>
          <w:rFonts w:ascii="Arial" w:hAnsi="Arial" w:cs="Arial"/>
          <w:b/>
          <w:bCs/>
          <w:sz w:val="22"/>
          <w:szCs w:val="22"/>
        </w:rPr>
      </w:pPr>
    </w:p>
    <w:p w14:paraId="43EB7585" w14:textId="77777777" w:rsidR="00015F11" w:rsidRPr="00E65610" w:rsidRDefault="00015F11" w:rsidP="00015F11">
      <w:pPr>
        <w:pStyle w:val="Body"/>
        <w:rPr>
          <w:rFonts w:ascii="Arial" w:hAnsi="Arial" w:cs="Arial"/>
          <w:b/>
          <w:bCs/>
          <w:sz w:val="22"/>
          <w:szCs w:val="22"/>
        </w:rPr>
      </w:pPr>
    </w:p>
    <w:p w14:paraId="3B0853A5" w14:textId="77777777" w:rsidR="00015F11" w:rsidRPr="00E65610" w:rsidRDefault="00015F11" w:rsidP="00015F11">
      <w:pPr>
        <w:pStyle w:val="Body"/>
        <w:rPr>
          <w:rFonts w:ascii="Arial" w:hAnsi="Arial" w:cs="Arial"/>
          <w:b/>
          <w:bCs/>
          <w:sz w:val="22"/>
          <w:szCs w:val="22"/>
        </w:rPr>
      </w:pPr>
      <w:r w:rsidRPr="00E65610">
        <w:rPr>
          <w:rFonts w:ascii="Arial" w:hAnsi="Arial" w:cs="Arial"/>
          <w:b/>
          <w:bCs/>
          <w:sz w:val="22"/>
          <w:szCs w:val="22"/>
        </w:rPr>
        <w:t>DECLARATIONS</w:t>
      </w:r>
    </w:p>
    <w:p w14:paraId="497DC319" w14:textId="77777777" w:rsidR="00015F11" w:rsidRPr="00E65610" w:rsidRDefault="00EC457C" w:rsidP="00015F11">
      <w:pPr>
        <w:pStyle w:val="Body"/>
        <w:rPr>
          <w:rFonts w:ascii="Arial" w:hAnsi="Arial" w:cs="Arial"/>
        </w:rPr>
      </w:pPr>
      <w:r w:rsidRPr="00E65610">
        <w:rPr>
          <w:rFonts w:ascii="Arial" w:hAnsi="Arial" w:cs="Arial"/>
        </w:rPr>
        <w:t>All authors confirm that they have read and understood the statement on the **Ethical Responsibilities of Authors** as outlined in the Instructions for Authors and have complied with these requirements where applicable. The authors further declare that no generative artificial intelligence tools, including Large Language Models such as ChatGPT, Copilot, or similar systems, and no text-to-image generation technologies were used in the writing, preparation, or editing of this manuscript.</w:t>
      </w:r>
    </w:p>
    <w:p w14:paraId="727DCB80" w14:textId="77777777" w:rsidR="00695A77" w:rsidRDefault="00695A77" w:rsidP="00373A28">
      <w:pPr>
        <w:rPr>
          <w:rFonts w:ascii="Arial" w:hAnsi="Arial" w:cs="Arial"/>
        </w:rPr>
      </w:pPr>
    </w:p>
    <w:p w14:paraId="61A2FB9A" w14:textId="77777777" w:rsidR="00695A77" w:rsidRPr="00E65610" w:rsidRDefault="00695A77" w:rsidP="00695A77">
      <w:pPr>
        <w:pStyle w:val="DefAcrHead"/>
        <w:spacing w:after="0"/>
        <w:jc w:val="both"/>
        <w:rPr>
          <w:rFonts w:ascii="Arial" w:hAnsi="Arial" w:cs="Arial"/>
        </w:rPr>
      </w:pPr>
      <w:r w:rsidRPr="00E65610">
        <w:rPr>
          <w:rFonts w:ascii="Arial" w:hAnsi="Arial" w:cs="Arial"/>
        </w:rPr>
        <w:t>Definitions, Acronyms, Abbreviations</w:t>
      </w:r>
    </w:p>
    <w:p w14:paraId="449B2B18" w14:textId="77777777" w:rsidR="00695A77" w:rsidRPr="00E65610" w:rsidRDefault="00695A77" w:rsidP="00695A77">
      <w:pPr>
        <w:pStyle w:val="Body"/>
        <w:spacing w:after="0"/>
        <w:rPr>
          <w:rFonts w:ascii="Arial" w:hAnsi="Arial" w:cs="Arial"/>
        </w:rPr>
      </w:pPr>
      <w:r w:rsidRPr="00E65610">
        <w:rPr>
          <w:rFonts w:ascii="Arial" w:hAnsi="Arial" w:cs="Arial"/>
          <w:b/>
          <w:bCs/>
        </w:rPr>
        <w:t>CO</w:t>
      </w:r>
      <w:r w:rsidRPr="00E65610">
        <w:rPr>
          <w:rFonts w:ascii="Cambria Math" w:hAnsi="Cambria Math" w:cs="Cambria Math"/>
          <w:b/>
          <w:bCs/>
        </w:rPr>
        <w:t>₂</w:t>
      </w:r>
      <w:r w:rsidRPr="00E65610">
        <w:rPr>
          <w:rFonts w:ascii="Arial" w:hAnsi="Arial" w:cs="Arial"/>
        </w:rPr>
        <w:t xml:space="preserve">: Carbon Dioxide </w:t>
      </w:r>
    </w:p>
    <w:p w14:paraId="0FD123FE" w14:textId="77777777" w:rsidR="00695A77" w:rsidRPr="00E65610" w:rsidRDefault="00695A77" w:rsidP="00695A77">
      <w:pPr>
        <w:pStyle w:val="Body"/>
        <w:spacing w:after="0"/>
        <w:rPr>
          <w:rFonts w:ascii="Arial" w:hAnsi="Arial" w:cs="Arial"/>
        </w:rPr>
      </w:pPr>
      <w:proofErr w:type="spellStart"/>
      <w:r w:rsidRPr="00E65610">
        <w:rPr>
          <w:rFonts w:ascii="Arial" w:hAnsi="Arial" w:cs="Arial"/>
          <w:b/>
          <w:bCs/>
        </w:rPr>
        <w:t>CO</w:t>
      </w:r>
      <w:r w:rsidRPr="00E65610">
        <w:rPr>
          <w:rFonts w:ascii="Cambria Math" w:hAnsi="Cambria Math" w:cs="Cambria Math"/>
          <w:b/>
          <w:bCs/>
        </w:rPr>
        <w:t>₂</w:t>
      </w:r>
      <w:r w:rsidRPr="00E65610">
        <w:rPr>
          <w:rFonts w:ascii="Arial" w:hAnsi="Arial" w:cs="Arial"/>
          <w:b/>
          <w:bCs/>
        </w:rPr>
        <w:t>e</w:t>
      </w:r>
      <w:proofErr w:type="spellEnd"/>
      <w:r w:rsidRPr="00E65610">
        <w:rPr>
          <w:rFonts w:ascii="Arial" w:hAnsi="Arial" w:cs="Arial"/>
        </w:rPr>
        <w:t xml:space="preserve">: Carbon Dioxide Equivalent </w:t>
      </w:r>
    </w:p>
    <w:p w14:paraId="655E8CCE" w14:textId="77777777" w:rsidR="00695A77" w:rsidRPr="00E65610" w:rsidRDefault="00695A77" w:rsidP="00695A77">
      <w:pPr>
        <w:pStyle w:val="Body"/>
        <w:spacing w:after="0"/>
        <w:rPr>
          <w:rFonts w:ascii="Arial" w:hAnsi="Arial" w:cs="Arial"/>
        </w:rPr>
      </w:pPr>
      <w:r w:rsidRPr="00E65610">
        <w:rPr>
          <w:rFonts w:ascii="Arial" w:hAnsi="Arial" w:cs="Arial"/>
          <w:b/>
          <w:bCs/>
        </w:rPr>
        <w:t>GHG</w:t>
      </w:r>
      <w:r w:rsidRPr="00E65610">
        <w:rPr>
          <w:rFonts w:ascii="Arial" w:hAnsi="Arial" w:cs="Arial"/>
        </w:rPr>
        <w:t xml:space="preserve">: Greenhouse Gases </w:t>
      </w:r>
    </w:p>
    <w:p w14:paraId="774CAA40" w14:textId="77777777" w:rsidR="00695A77" w:rsidRPr="00E65610" w:rsidRDefault="00695A77" w:rsidP="00695A77">
      <w:pPr>
        <w:pStyle w:val="Body"/>
        <w:spacing w:after="0"/>
        <w:rPr>
          <w:rFonts w:ascii="Arial" w:hAnsi="Arial" w:cs="Arial"/>
        </w:rPr>
      </w:pPr>
      <w:r w:rsidRPr="00E65610">
        <w:rPr>
          <w:rFonts w:ascii="Arial" w:hAnsi="Arial" w:cs="Arial"/>
          <w:b/>
          <w:bCs/>
        </w:rPr>
        <w:t>GWP</w:t>
      </w:r>
      <w:r w:rsidRPr="00E65610">
        <w:rPr>
          <w:rFonts w:ascii="Arial" w:hAnsi="Arial" w:cs="Arial"/>
        </w:rPr>
        <w:t xml:space="preserve">: Global Warming Potential </w:t>
      </w:r>
    </w:p>
    <w:p w14:paraId="532C5D46" w14:textId="77777777" w:rsidR="00695A77" w:rsidRPr="00E65610" w:rsidRDefault="00695A77" w:rsidP="00695A77">
      <w:pPr>
        <w:pStyle w:val="Body"/>
        <w:spacing w:after="0"/>
        <w:rPr>
          <w:rFonts w:ascii="Arial" w:hAnsi="Arial" w:cs="Arial"/>
        </w:rPr>
      </w:pPr>
      <w:r w:rsidRPr="00E65610">
        <w:rPr>
          <w:rFonts w:ascii="Arial" w:hAnsi="Arial" w:cs="Arial"/>
          <w:b/>
          <w:bCs/>
        </w:rPr>
        <w:t>LPG</w:t>
      </w:r>
      <w:r w:rsidRPr="00E65610">
        <w:rPr>
          <w:rFonts w:ascii="Arial" w:hAnsi="Arial" w:cs="Arial"/>
        </w:rPr>
        <w:t xml:space="preserve">: Liquefied Petroleum Gas </w:t>
      </w:r>
    </w:p>
    <w:p w14:paraId="6803225D" w14:textId="77777777" w:rsidR="00695A77" w:rsidRPr="00AF7F4A" w:rsidRDefault="00695A77" w:rsidP="00695A77">
      <w:pPr>
        <w:pStyle w:val="Body"/>
        <w:spacing w:after="0"/>
        <w:jc w:val="left"/>
        <w:rPr>
          <w:rFonts w:ascii="Arial" w:hAnsi="Arial" w:cs="Arial"/>
        </w:rPr>
        <w:sectPr w:rsidR="00695A77" w:rsidRPr="00AF7F4A" w:rsidSect="00183F53">
          <w:headerReference w:type="even" r:id="rId24"/>
          <w:headerReference w:type="default" r:id="rId25"/>
          <w:footerReference w:type="default" r:id="rId26"/>
          <w:headerReference w:type="first" r:id="rId27"/>
          <w:type w:val="continuous"/>
          <w:pgSz w:w="12240" w:h="15840"/>
          <w:pgMar w:top="1440" w:right="2016" w:bottom="2016" w:left="2016" w:header="720" w:footer="1123" w:gutter="0"/>
          <w:cols w:space="720"/>
          <w:docGrid w:linePitch="272"/>
        </w:sectPr>
      </w:pPr>
      <w:r w:rsidRPr="00E65610">
        <w:rPr>
          <w:rFonts w:ascii="Arial" w:hAnsi="Arial" w:cs="Arial"/>
          <w:b/>
          <w:bCs/>
        </w:rPr>
        <w:t>NTFP</w:t>
      </w:r>
      <w:r w:rsidRPr="00E65610">
        <w:rPr>
          <w:rFonts w:ascii="Arial" w:hAnsi="Arial" w:cs="Arial"/>
        </w:rPr>
        <w:t>: Non-Timber Forest Products</w:t>
      </w:r>
    </w:p>
    <w:p w14:paraId="5823210E" w14:textId="77777777" w:rsidR="00695A77" w:rsidRPr="00E65610" w:rsidRDefault="00695A77" w:rsidP="00373A28">
      <w:pPr>
        <w:rPr>
          <w:rFonts w:ascii="Arial" w:hAnsi="Arial" w:cs="Arial"/>
        </w:rPr>
      </w:pPr>
    </w:p>
    <w:p w14:paraId="01489773" w14:textId="77777777" w:rsidR="00373A28" w:rsidRPr="00E65610" w:rsidRDefault="00373A28" w:rsidP="00373A28">
      <w:pPr>
        <w:rPr>
          <w:rFonts w:ascii="Arial" w:hAnsi="Arial" w:cs="Arial"/>
          <w:b/>
          <w:bCs/>
          <w:sz w:val="22"/>
          <w:szCs w:val="22"/>
        </w:rPr>
      </w:pPr>
    </w:p>
    <w:p w14:paraId="3B6DB258" w14:textId="77777777" w:rsidR="00695A77" w:rsidRDefault="00695A77" w:rsidP="00441B6F">
      <w:pPr>
        <w:pStyle w:val="ReferHead"/>
        <w:spacing w:after="0"/>
        <w:jc w:val="both"/>
        <w:rPr>
          <w:rFonts w:ascii="Arial" w:hAnsi="Arial" w:cs="Arial"/>
        </w:rPr>
      </w:pPr>
    </w:p>
    <w:p w14:paraId="0BF55E4B" w14:textId="77777777" w:rsidR="00695A77" w:rsidRDefault="00695A77" w:rsidP="00441B6F">
      <w:pPr>
        <w:pStyle w:val="ReferHead"/>
        <w:spacing w:after="0"/>
        <w:jc w:val="both"/>
        <w:rPr>
          <w:rFonts w:ascii="Arial" w:hAnsi="Arial" w:cs="Arial"/>
        </w:rPr>
      </w:pPr>
    </w:p>
    <w:p w14:paraId="48F66EDC" w14:textId="77777777" w:rsidR="00695A77" w:rsidRDefault="00695A77" w:rsidP="00441B6F">
      <w:pPr>
        <w:pStyle w:val="ReferHead"/>
        <w:spacing w:after="0"/>
        <w:jc w:val="both"/>
        <w:rPr>
          <w:rFonts w:ascii="Arial" w:hAnsi="Arial" w:cs="Arial"/>
        </w:rPr>
      </w:pPr>
    </w:p>
    <w:p w14:paraId="39926DF7" w14:textId="77777777" w:rsidR="00695A77" w:rsidRDefault="00695A77" w:rsidP="00441B6F">
      <w:pPr>
        <w:pStyle w:val="ReferHead"/>
        <w:spacing w:after="0"/>
        <w:jc w:val="both"/>
        <w:rPr>
          <w:rFonts w:ascii="Arial" w:hAnsi="Arial" w:cs="Arial"/>
        </w:rPr>
      </w:pPr>
    </w:p>
    <w:p w14:paraId="174601C2" w14:textId="77777777" w:rsidR="00695A77" w:rsidRDefault="00695A77" w:rsidP="00441B6F">
      <w:pPr>
        <w:pStyle w:val="ReferHead"/>
        <w:spacing w:after="0"/>
        <w:jc w:val="both"/>
        <w:rPr>
          <w:rFonts w:ascii="Arial" w:hAnsi="Arial" w:cs="Arial"/>
        </w:rPr>
      </w:pPr>
    </w:p>
    <w:p w14:paraId="18B855D8" w14:textId="7E5B7FE2" w:rsidR="00B01FCD" w:rsidRPr="00E65610" w:rsidRDefault="00B01FCD" w:rsidP="00441B6F">
      <w:pPr>
        <w:pStyle w:val="ReferHead"/>
        <w:spacing w:after="0"/>
        <w:jc w:val="both"/>
        <w:rPr>
          <w:rFonts w:ascii="Arial" w:hAnsi="Arial" w:cs="Arial"/>
        </w:rPr>
      </w:pPr>
      <w:r w:rsidRPr="00E65610">
        <w:rPr>
          <w:rFonts w:ascii="Arial" w:hAnsi="Arial" w:cs="Arial"/>
        </w:rPr>
        <w:t>References</w:t>
      </w:r>
    </w:p>
    <w:p w14:paraId="72C20719" w14:textId="77777777" w:rsidR="00790ADA" w:rsidRPr="00E65610" w:rsidRDefault="00790ADA" w:rsidP="00441B6F">
      <w:pPr>
        <w:pStyle w:val="ReferHead"/>
        <w:spacing w:after="0"/>
        <w:jc w:val="both"/>
        <w:rPr>
          <w:rFonts w:ascii="Arial" w:hAnsi="Arial" w:cs="Arial"/>
        </w:rPr>
      </w:pPr>
    </w:p>
    <w:p w14:paraId="18973CCD" w14:textId="5FF79E6E" w:rsidR="00204730" w:rsidRPr="00E65610" w:rsidRDefault="00B0162D" w:rsidP="00204730">
      <w:pPr>
        <w:pStyle w:val="ListParagraph"/>
        <w:numPr>
          <w:ilvl w:val="0"/>
          <w:numId w:val="31"/>
        </w:numPr>
        <w:ind w:left="142"/>
        <w:jc w:val="both"/>
        <w:rPr>
          <w:rFonts w:ascii="Arial" w:hAnsi="Arial" w:cs="Arial"/>
          <w:szCs w:val="18"/>
        </w:rPr>
      </w:pPr>
      <w:r w:rsidRPr="00E65610">
        <w:rPr>
          <w:rFonts w:ascii="Arial" w:hAnsi="Arial" w:cs="Arial"/>
          <w:szCs w:val="18"/>
        </w:rPr>
        <w:t xml:space="preserve">Ahmad, S., Baiocchi, G., &amp; </w:t>
      </w:r>
      <w:proofErr w:type="spellStart"/>
      <w:r w:rsidRPr="00E65610">
        <w:rPr>
          <w:rFonts w:ascii="Arial" w:hAnsi="Arial" w:cs="Arial"/>
          <w:szCs w:val="18"/>
        </w:rPr>
        <w:t>Creutzig</w:t>
      </w:r>
      <w:proofErr w:type="spellEnd"/>
      <w:r w:rsidRPr="00E65610">
        <w:rPr>
          <w:rFonts w:ascii="Arial" w:hAnsi="Arial" w:cs="Arial"/>
          <w:szCs w:val="18"/>
        </w:rPr>
        <w:t xml:space="preserve">, F. (2015). </w:t>
      </w:r>
      <w:r w:rsidRPr="00E65610">
        <w:rPr>
          <w:rFonts w:ascii="Arial" w:hAnsi="Arial" w:cs="Arial"/>
          <w:i/>
          <w:iCs/>
          <w:szCs w:val="18"/>
        </w:rPr>
        <w:t>CO</w:t>
      </w:r>
      <w:r w:rsidRPr="00E65610">
        <w:rPr>
          <w:rFonts w:ascii="Cambria Math" w:hAnsi="Cambria Math" w:cs="Cambria Math"/>
          <w:i/>
          <w:iCs/>
          <w:szCs w:val="18"/>
        </w:rPr>
        <w:t>₂</w:t>
      </w:r>
      <w:r w:rsidRPr="00E65610">
        <w:rPr>
          <w:rFonts w:ascii="Arial" w:hAnsi="Arial" w:cs="Arial"/>
          <w:i/>
          <w:iCs/>
          <w:szCs w:val="18"/>
        </w:rPr>
        <w:t xml:space="preserve"> emissions from direct energy use of urban households in India</w:t>
      </w:r>
      <w:r w:rsidRPr="00E65610">
        <w:rPr>
          <w:rFonts w:ascii="Arial" w:hAnsi="Arial" w:cs="Arial"/>
          <w:szCs w:val="18"/>
        </w:rPr>
        <w:t>. Environmental Science &amp; Technology, 49(19), 11312–11320.</w:t>
      </w:r>
    </w:p>
    <w:p w14:paraId="7D043B8B" w14:textId="0C9AAABC" w:rsidR="00204730" w:rsidRPr="00E65610" w:rsidRDefault="00B0162D" w:rsidP="00204730">
      <w:pPr>
        <w:pStyle w:val="ListParagraph"/>
        <w:numPr>
          <w:ilvl w:val="0"/>
          <w:numId w:val="31"/>
        </w:numPr>
        <w:ind w:left="142"/>
        <w:jc w:val="both"/>
        <w:rPr>
          <w:rFonts w:ascii="Arial" w:hAnsi="Arial" w:cs="Arial"/>
          <w:szCs w:val="18"/>
        </w:rPr>
      </w:pPr>
      <w:r w:rsidRPr="00E65610">
        <w:rPr>
          <w:rFonts w:ascii="Arial" w:hAnsi="Arial" w:cs="Arial"/>
          <w:szCs w:val="18"/>
        </w:rPr>
        <w:t xml:space="preserve">Altieri, M. A. (1995). </w:t>
      </w:r>
      <w:r w:rsidRPr="00E65610">
        <w:rPr>
          <w:rFonts w:ascii="Arial" w:hAnsi="Arial" w:cs="Arial"/>
          <w:i/>
          <w:iCs/>
          <w:szCs w:val="18"/>
        </w:rPr>
        <w:t>Agroecology: The science of sustainable agriculture</w:t>
      </w:r>
      <w:r w:rsidRPr="00E65610">
        <w:rPr>
          <w:rFonts w:ascii="Arial" w:hAnsi="Arial" w:cs="Arial"/>
          <w:szCs w:val="18"/>
        </w:rPr>
        <w:t>. Boulder, CO: Westview Press.</w:t>
      </w:r>
    </w:p>
    <w:p w14:paraId="266D30BE" w14:textId="0D0357D7" w:rsidR="00204730" w:rsidRPr="00E65610" w:rsidRDefault="00B0162D" w:rsidP="00204730">
      <w:pPr>
        <w:pStyle w:val="ListParagraph"/>
        <w:numPr>
          <w:ilvl w:val="0"/>
          <w:numId w:val="31"/>
        </w:numPr>
        <w:ind w:left="142"/>
        <w:jc w:val="both"/>
        <w:rPr>
          <w:rFonts w:ascii="Arial" w:hAnsi="Arial" w:cs="Arial"/>
          <w:szCs w:val="18"/>
        </w:rPr>
      </w:pPr>
      <w:r w:rsidRPr="00E65610">
        <w:rPr>
          <w:rFonts w:ascii="Arial" w:hAnsi="Arial" w:cs="Arial"/>
          <w:szCs w:val="18"/>
        </w:rPr>
        <w:t xml:space="preserve">Bera, M., Bose, P., &amp; Nag, P. K. (2022). </w:t>
      </w:r>
      <w:r w:rsidRPr="00E65610">
        <w:rPr>
          <w:rFonts w:ascii="Arial" w:hAnsi="Arial" w:cs="Arial"/>
          <w:i/>
          <w:iCs/>
          <w:szCs w:val="18"/>
        </w:rPr>
        <w:t>Household carbon footprint: Rural and urban community</w:t>
      </w:r>
      <w:r w:rsidRPr="00E65610">
        <w:rPr>
          <w:rFonts w:ascii="Arial" w:hAnsi="Arial" w:cs="Arial"/>
          <w:szCs w:val="18"/>
        </w:rPr>
        <w:t>. Journal of Ecology and Natural Resources, 6(2).</w:t>
      </w:r>
    </w:p>
    <w:p w14:paraId="45F3BC92" w14:textId="710C36B4" w:rsidR="00204730" w:rsidRPr="00E65610" w:rsidRDefault="00B0162D" w:rsidP="00204730">
      <w:pPr>
        <w:pStyle w:val="ListParagraph"/>
        <w:numPr>
          <w:ilvl w:val="0"/>
          <w:numId w:val="31"/>
        </w:numPr>
        <w:ind w:left="142"/>
        <w:jc w:val="both"/>
        <w:rPr>
          <w:rFonts w:ascii="Arial" w:hAnsi="Arial" w:cs="Arial"/>
          <w:szCs w:val="18"/>
        </w:rPr>
      </w:pPr>
      <w:proofErr w:type="spellStart"/>
      <w:r w:rsidRPr="00E65610">
        <w:rPr>
          <w:rFonts w:ascii="Arial" w:hAnsi="Arial" w:cs="Arial"/>
          <w:szCs w:val="18"/>
        </w:rPr>
        <w:t>Bhagawat</w:t>
      </w:r>
      <w:proofErr w:type="spellEnd"/>
      <w:r w:rsidRPr="00E65610">
        <w:rPr>
          <w:rFonts w:ascii="Arial" w:hAnsi="Arial" w:cs="Arial"/>
          <w:szCs w:val="18"/>
        </w:rPr>
        <w:t xml:space="preserve">, C. (2021). </w:t>
      </w:r>
      <w:r w:rsidRPr="00E65610">
        <w:rPr>
          <w:rFonts w:ascii="Arial" w:hAnsi="Arial" w:cs="Arial"/>
          <w:i/>
          <w:iCs/>
          <w:szCs w:val="18"/>
        </w:rPr>
        <w:t>Climate change impacts on Maharashtra agriculture</w:t>
      </w:r>
      <w:r w:rsidRPr="00E65610">
        <w:rPr>
          <w:rFonts w:ascii="Arial" w:hAnsi="Arial" w:cs="Arial"/>
          <w:szCs w:val="18"/>
        </w:rPr>
        <w:t>. Institute for Sustainable Communities.</w:t>
      </w:r>
    </w:p>
    <w:p w14:paraId="3295F4D2" w14:textId="259C4378" w:rsidR="00204730" w:rsidRPr="00E65610" w:rsidRDefault="00B0162D" w:rsidP="00204730">
      <w:pPr>
        <w:pStyle w:val="ListParagraph"/>
        <w:numPr>
          <w:ilvl w:val="0"/>
          <w:numId w:val="31"/>
        </w:numPr>
        <w:ind w:left="142"/>
        <w:jc w:val="both"/>
        <w:rPr>
          <w:rFonts w:ascii="Arial" w:hAnsi="Arial" w:cs="Arial"/>
          <w:szCs w:val="18"/>
        </w:rPr>
      </w:pPr>
      <w:r w:rsidRPr="00E65610">
        <w:rPr>
          <w:rFonts w:ascii="Arial" w:hAnsi="Arial" w:cs="Arial"/>
          <w:szCs w:val="18"/>
        </w:rPr>
        <w:t xml:space="preserve">Bhattacharya, S. C., Albina, D. O., &amp; Salam, P. A. (2002). </w:t>
      </w:r>
      <w:r w:rsidRPr="00E65610">
        <w:rPr>
          <w:rFonts w:ascii="Arial" w:hAnsi="Arial" w:cs="Arial"/>
          <w:i/>
          <w:iCs/>
          <w:szCs w:val="18"/>
        </w:rPr>
        <w:t>Emission factors of wood and charcoal-fired cookstoves</w:t>
      </w:r>
      <w:r w:rsidRPr="00E65610">
        <w:rPr>
          <w:rFonts w:ascii="Arial" w:hAnsi="Arial" w:cs="Arial"/>
          <w:szCs w:val="18"/>
        </w:rPr>
        <w:t>. Biomass and Bioenergy, 23(6), 453–469.</w:t>
      </w:r>
    </w:p>
    <w:p w14:paraId="3DDDF694" w14:textId="4999846E" w:rsidR="00204730" w:rsidRPr="00E65610" w:rsidRDefault="00B0162D" w:rsidP="00204730">
      <w:pPr>
        <w:pStyle w:val="ListParagraph"/>
        <w:numPr>
          <w:ilvl w:val="0"/>
          <w:numId w:val="31"/>
        </w:numPr>
        <w:ind w:left="142"/>
        <w:jc w:val="both"/>
        <w:rPr>
          <w:rFonts w:ascii="Arial" w:hAnsi="Arial" w:cs="Arial"/>
          <w:szCs w:val="18"/>
        </w:rPr>
      </w:pPr>
      <w:r w:rsidRPr="00E65610">
        <w:rPr>
          <w:rFonts w:ascii="Arial" w:hAnsi="Arial" w:cs="Arial"/>
          <w:szCs w:val="18"/>
        </w:rPr>
        <w:t xml:space="preserve">Bhoyar, S. P., </w:t>
      </w:r>
      <w:proofErr w:type="spellStart"/>
      <w:r w:rsidRPr="00E65610">
        <w:rPr>
          <w:rFonts w:ascii="Arial" w:hAnsi="Arial" w:cs="Arial"/>
          <w:szCs w:val="18"/>
        </w:rPr>
        <w:t>Dusad</w:t>
      </w:r>
      <w:proofErr w:type="spellEnd"/>
      <w:r w:rsidRPr="00E65610">
        <w:rPr>
          <w:rFonts w:ascii="Arial" w:hAnsi="Arial" w:cs="Arial"/>
          <w:szCs w:val="18"/>
        </w:rPr>
        <w:t xml:space="preserve">, S., Shrivastava, R., Mishra, S., Gupta, N., &amp; Rao, A. B. (2014). </w:t>
      </w:r>
      <w:r w:rsidRPr="00E65610">
        <w:rPr>
          <w:rFonts w:ascii="Arial" w:hAnsi="Arial" w:cs="Arial"/>
          <w:i/>
          <w:iCs/>
          <w:szCs w:val="18"/>
        </w:rPr>
        <w:t>Understanding the impact of lifestyle on individual carbon footprint</w:t>
      </w:r>
      <w:r w:rsidRPr="00E65610">
        <w:rPr>
          <w:rFonts w:ascii="Arial" w:hAnsi="Arial" w:cs="Arial"/>
          <w:szCs w:val="18"/>
        </w:rPr>
        <w:t>. Procedia – Social and Behavioral Sciences, 133, 47–60.</w:t>
      </w:r>
    </w:p>
    <w:p w14:paraId="074960E3" w14:textId="2B963E9B" w:rsidR="00204730" w:rsidRPr="00E65610" w:rsidRDefault="00B0162D" w:rsidP="00204730">
      <w:pPr>
        <w:pStyle w:val="ListParagraph"/>
        <w:numPr>
          <w:ilvl w:val="0"/>
          <w:numId w:val="31"/>
        </w:numPr>
        <w:ind w:left="142"/>
        <w:jc w:val="both"/>
        <w:rPr>
          <w:rFonts w:ascii="Arial" w:hAnsi="Arial" w:cs="Arial"/>
          <w:szCs w:val="18"/>
        </w:rPr>
      </w:pPr>
      <w:r w:rsidRPr="00E65610">
        <w:rPr>
          <w:rFonts w:ascii="Arial" w:hAnsi="Arial" w:cs="Arial"/>
          <w:szCs w:val="18"/>
        </w:rPr>
        <w:t xml:space="preserve">Clemens, V., von Hirschhausen, E., &amp; Fegert, J. M. (2022). </w:t>
      </w:r>
      <w:r w:rsidRPr="00E65610">
        <w:rPr>
          <w:rFonts w:ascii="Arial" w:hAnsi="Arial" w:cs="Arial"/>
          <w:i/>
          <w:iCs/>
          <w:szCs w:val="18"/>
        </w:rPr>
        <w:t>Report of the Intergovernmental Panel on Climate Change: Implications for the mental health policy of children and adolescents in Europe</w:t>
      </w:r>
      <w:r w:rsidRPr="00E65610">
        <w:rPr>
          <w:rFonts w:ascii="Arial" w:hAnsi="Arial" w:cs="Arial"/>
          <w:szCs w:val="18"/>
        </w:rPr>
        <w:t>. European Child &amp; Adolescent Psychiatry, 31(5), 701–713.</w:t>
      </w:r>
    </w:p>
    <w:p w14:paraId="2516A521" w14:textId="78CED772" w:rsidR="00204730" w:rsidRPr="00E65610" w:rsidRDefault="00B0162D" w:rsidP="00204730">
      <w:pPr>
        <w:pStyle w:val="ListParagraph"/>
        <w:numPr>
          <w:ilvl w:val="0"/>
          <w:numId w:val="31"/>
        </w:numPr>
        <w:ind w:left="142"/>
        <w:jc w:val="both"/>
        <w:rPr>
          <w:rFonts w:ascii="Arial" w:hAnsi="Arial" w:cs="Arial"/>
          <w:szCs w:val="18"/>
        </w:rPr>
      </w:pPr>
      <w:r w:rsidRPr="00E65610">
        <w:rPr>
          <w:rFonts w:ascii="Arial" w:hAnsi="Arial" w:cs="Arial"/>
          <w:szCs w:val="18"/>
        </w:rPr>
        <w:t xml:space="preserve">Ellis, F. (2000). </w:t>
      </w:r>
      <w:r w:rsidRPr="00E65610">
        <w:rPr>
          <w:rFonts w:ascii="Arial" w:hAnsi="Arial" w:cs="Arial"/>
          <w:i/>
          <w:iCs/>
          <w:szCs w:val="18"/>
        </w:rPr>
        <w:t>Rural livelihoods and diversity in developing countries</w:t>
      </w:r>
      <w:r w:rsidRPr="00E65610">
        <w:rPr>
          <w:rFonts w:ascii="Arial" w:hAnsi="Arial" w:cs="Arial"/>
          <w:szCs w:val="18"/>
        </w:rPr>
        <w:t>. Oxford: Oxford University Press.</w:t>
      </w:r>
    </w:p>
    <w:p w14:paraId="70C9B375" w14:textId="3A40264D" w:rsidR="00204730" w:rsidRPr="00E65610" w:rsidRDefault="00B0162D" w:rsidP="00204730">
      <w:pPr>
        <w:pStyle w:val="ListParagraph"/>
        <w:numPr>
          <w:ilvl w:val="0"/>
          <w:numId w:val="31"/>
        </w:numPr>
        <w:ind w:left="142"/>
        <w:jc w:val="both"/>
        <w:rPr>
          <w:rFonts w:ascii="Arial" w:hAnsi="Arial" w:cs="Arial"/>
          <w:szCs w:val="18"/>
        </w:rPr>
      </w:pPr>
      <w:r w:rsidRPr="00E65610">
        <w:rPr>
          <w:rFonts w:ascii="Arial" w:hAnsi="Arial" w:cs="Arial"/>
          <w:szCs w:val="18"/>
        </w:rPr>
        <w:t xml:space="preserve">Engström, E., Lewis, A. N., Moberg, Å., Vanhuyse, F., Dawkins, E., Lambe, F., Sendlhofer, T., &amp; Ran, Y. (2024). </w:t>
      </w:r>
      <w:r w:rsidRPr="00E65610">
        <w:rPr>
          <w:rFonts w:ascii="Arial" w:hAnsi="Arial" w:cs="Arial"/>
          <w:i/>
          <w:iCs/>
          <w:szCs w:val="18"/>
        </w:rPr>
        <w:t>Using labels to support climate-friendly lunch purchases: An in-store study</w:t>
      </w:r>
      <w:r w:rsidRPr="00E65610">
        <w:rPr>
          <w:rFonts w:ascii="Arial" w:hAnsi="Arial" w:cs="Arial"/>
          <w:szCs w:val="18"/>
        </w:rPr>
        <w:t>. Cleaner and Responsible Consumption, 15, 100239.</w:t>
      </w:r>
    </w:p>
    <w:p w14:paraId="04F692DB" w14:textId="667CCB5B" w:rsidR="00204730" w:rsidRPr="00E65610" w:rsidRDefault="00732489" w:rsidP="00204730">
      <w:pPr>
        <w:pStyle w:val="ListParagraph"/>
        <w:numPr>
          <w:ilvl w:val="0"/>
          <w:numId w:val="31"/>
        </w:numPr>
        <w:ind w:left="142"/>
        <w:jc w:val="both"/>
        <w:rPr>
          <w:rFonts w:ascii="Arial" w:hAnsi="Arial" w:cs="Arial"/>
          <w:szCs w:val="18"/>
        </w:rPr>
      </w:pPr>
      <w:r w:rsidRPr="00E65610">
        <w:rPr>
          <w:rFonts w:ascii="Arial" w:hAnsi="Arial" w:cs="Arial"/>
          <w:szCs w:val="18"/>
        </w:rPr>
        <w:t xml:space="preserve">Fitzpatrick, J.J., McCarthy, S. and Byrne, E.P., 2015. </w:t>
      </w:r>
      <w:r w:rsidRPr="00E65610">
        <w:rPr>
          <w:rFonts w:ascii="Arial" w:hAnsi="Arial" w:cs="Arial"/>
          <w:i/>
          <w:iCs/>
          <w:szCs w:val="18"/>
        </w:rPr>
        <w:t>Sustainability insights and reflections from a personal carbon footprint study: the need for quantitative and qualitative change</w:t>
      </w:r>
      <w:r w:rsidRPr="00E65610">
        <w:rPr>
          <w:rFonts w:ascii="Arial" w:hAnsi="Arial" w:cs="Arial"/>
          <w:szCs w:val="18"/>
        </w:rPr>
        <w:t>. Sustainable Production and Consumption, 1, pp.34–46.</w:t>
      </w:r>
    </w:p>
    <w:p w14:paraId="026C9F13" w14:textId="3F1D7AE1" w:rsidR="00204730" w:rsidRPr="00E65610" w:rsidRDefault="00732489" w:rsidP="00204730">
      <w:pPr>
        <w:pStyle w:val="ListParagraph"/>
        <w:numPr>
          <w:ilvl w:val="0"/>
          <w:numId w:val="31"/>
        </w:numPr>
        <w:ind w:left="142"/>
        <w:jc w:val="both"/>
        <w:rPr>
          <w:rFonts w:ascii="Arial" w:hAnsi="Arial" w:cs="Arial"/>
          <w:szCs w:val="18"/>
        </w:rPr>
      </w:pPr>
      <w:r w:rsidRPr="00E65610">
        <w:rPr>
          <w:rFonts w:ascii="Arial" w:hAnsi="Arial" w:cs="Arial"/>
          <w:szCs w:val="18"/>
        </w:rPr>
        <w:t xml:space="preserve">Fong, W.K., Kuramochi, T., </w:t>
      </w:r>
      <w:proofErr w:type="spellStart"/>
      <w:r w:rsidRPr="00E65610">
        <w:rPr>
          <w:rFonts w:ascii="Arial" w:hAnsi="Arial" w:cs="Arial"/>
          <w:szCs w:val="18"/>
        </w:rPr>
        <w:t>Roelfsema</w:t>
      </w:r>
      <w:proofErr w:type="spellEnd"/>
      <w:r w:rsidRPr="00E65610">
        <w:rPr>
          <w:rFonts w:ascii="Arial" w:hAnsi="Arial" w:cs="Arial"/>
          <w:szCs w:val="18"/>
        </w:rPr>
        <w:t xml:space="preserve">, M., et al., 2014. </w:t>
      </w:r>
      <w:r w:rsidRPr="00E65610">
        <w:rPr>
          <w:rFonts w:ascii="Arial" w:hAnsi="Arial" w:cs="Arial"/>
          <w:i/>
          <w:iCs/>
          <w:szCs w:val="18"/>
        </w:rPr>
        <w:t>Global protocol for community-scale greenhouse gas emission inventories (GPC)</w:t>
      </w:r>
      <w:r w:rsidRPr="00E65610">
        <w:rPr>
          <w:rFonts w:ascii="Arial" w:hAnsi="Arial" w:cs="Arial"/>
          <w:szCs w:val="18"/>
        </w:rPr>
        <w:t>. World Resources Institute, C40 Cities Climate Leadership Group and ICLEI.</w:t>
      </w:r>
    </w:p>
    <w:p w14:paraId="1C1F4245" w14:textId="15450E71" w:rsidR="00204730" w:rsidRPr="00E65610" w:rsidRDefault="00732489" w:rsidP="00204730">
      <w:pPr>
        <w:pStyle w:val="ListParagraph"/>
        <w:numPr>
          <w:ilvl w:val="0"/>
          <w:numId w:val="31"/>
        </w:numPr>
        <w:ind w:left="142"/>
        <w:jc w:val="both"/>
        <w:rPr>
          <w:rFonts w:ascii="Arial" w:hAnsi="Arial" w:cs="Arial"/>
          <w:szCs w:val="18"/>
        </w:rPr>
      </w:pPr>
      <w:r w:rsidRPr="00E65610">
        <w:rPr>
          <w:rFonts w:ascii="Arial" w:hAnsi="Arial" w:cs="Arial"/>
          <w:szCs w:val="18"/>
        </w:rPr>
        <w:t xml:space="preserve">Halder, P., Sharma, R. and Alam, A., 2012. </w:t>
      </w:r>
      <w:r w:rsidRPr="00E65610">
        <w:rPr>
          <w:rFonts w:ascii="Arial" w:hAnsi="Arial" w:cs="Arial"/>
          <w:i/>
          <w:iCs/>
          <w:szCs w:val="18"/>
        </w:rPr>
        <w:t>Local perceptions of and responses to climate change: experiences from natural resource-dependent communities in India</w:t>
      </w:r>
      <w:r w:rsidRPr="00E65610">
        <w:rPr>
          <w:rFonts w:ascii="Arial" w:hAnsi="Arial" w:cs="Arial"/>
          <w:szCs w:val="18"/>
        </w:rPr>
        <w:t>. Regional Environmental Change, 12, pp.665–673.</w:t>
      </w:r>
    </w:p>
    <w:p w14:paraId="763E048B" w14:textId="551787EF" w:rsidR="00204730" w:rsidRPr="00E65610" w:rsidRDefault="00732489" w:rsidP="00204730">
      <w:pPr>
        <w:pStyle w:val="ListParagraph"/>
        <w:numPr>
          <w:ilvl w:val="0"/>
          <w:numId w:val="31"/>
        </w:numPr>
        <w:ind w:left="142"/>
        <w:jc w:val="both"/>
        <w:rPr>
          <w:rFonts w:ascii="Arial" w:hAnsi="Arial" w:cs="Arial"/>
          <w:szCs w:val="18"/>
        </w:rPr>
      </w:pPr>
      <w:proofErr w:type="spellStart"/>
      <w:r w:rsidRPr="00E65610">
        <w:rPr>
          <w:rFonts w:ascii="Arial" w:hAnsi="Arial" w:cs="Arial"/>
          <w:szCs w:val="18"/>
        </w:rPr>
        <w:t>Hallegatte</w:t>
      </w:r>
      <w:proofErr w:type="spellEnd"/>
      <w:r w:rsidRPr="00E65610">
        <w:rPr>
          <w:rFonts w:ascii="Arial" w:hAnsi="Arial" w:cs="Arial"/>
          <w:szCs w:val="18"/>
        </w:rPr>
        <w:t xml:space="preserve">, S., 2016. </w:t>
      </w:r>
      <w:r w:rsidRPr="00E65610">
        <w:rPr>
          <w:rFonts w:ascii="Arial" w:hAnsi="Arial" w:cs="Arial"/>
          <w:i/>
          <w:iCs/>
          <w:szCs w:val="18"/>
        </w:rPr>
        <w:t>Shock Waves: Managing the Impacts of Climate Change on Poverty</w:t>
      </w:r>
      <w:r w:rsidRPr="00E65610">
        <w:rPr>
          <w:rFonts w:ascii="Arial" w:hAnsi="Arial" w:cs="Arial"/>
          <w:szCs w:val="18"/>
        </w:rPr>
        <w:t>. Washington, DC: World Bank Publications.</w:t>
      </w:r>
    </w:p>
    <w:p w14:paraId="4441312C" w14:textId="51418718" w:rsidR="00204730" w:rsidRPr="00E65610" w:rsidRDefault="00732489" w:rsidP="00204730">
      <w:pPr>
        <w:pStyle w:val="ListParagraph"/>
        <w:numPr>
          <w:ilvl w:val="0"/>
          <w:numId w:val="31"/>
        </w:numPr>
        <w:ind w:left="142"/>
        <w:jc w:val="both"/>
        <w:rPr>
          <w:rFonts w:ascii="Arial" w:hAnsi="Arial" w:cs="Arial"/>
          <w:szCs w:val="18"/>
        </w:rPr>
      </w:pPr>
      <w:r w:rsidRPr="00E65610">
        <w:rPr>
          <w:rFonts w:ascii="Arial" w:hAnsi="Arial" w:cs="Arial"/>
          <w:szCs w:val="18"/>
        </w:rPr>
        <w:t xml:space="preserve">International Energy Agency (IEA), 2022. </w:t>
      </w:r>
      <w:r w:rsidRPr="00E65610">
        <w:rPr>
          <w:rFonts w:ascii="Arial" w:hAnsi="Arial" w:cs="Arial"/>
          <w:i/>
          <w:iCs/>
          <w:szCs w:val="18"/>
        </w:rPr>
        <w:t>World Energy Outlook 2022</w:t>
      </w:r>
      <w:r w:rsidRPr="00E65610">
        <w:rPr>
          <w:rFonts w:ascii="Arial" w:hAnsi="Arial" w:cs="Arial"/>
          <w:szCs w:val="18"/>
        </w:rPr>
        <w:t>. Paris: IEA.</w:t>
      </w:r>
    </w:p>
    <w:p w14:paraId="14083563" w14:textId="7FA29B7D" w:rsidR="00204730" w:rsidRPr="00E65610" w:rsidRDefault="00732489" w:rsidP="00204730">
      <w:pPr>
        <w:pStyle w:val="ListParagraph"/>
        <w:numPr>
          <w:ilvl w:val="0"/>
          <w:numId w:val="31"/>
        </w:numPr>
        <w:ind w:left="142"/>
        <w:jc w:val="both"/>
        <w:rPr>
          <w:rFonts w:ascii="Arial" w:hAnsi="Arial" w:cs="Arial"/>
          <w:szCs w:val="18"/>
        </w:rPr>
      </w:pPr>
      <w:r w:rsidRPr="00E65610">
        <w:rPr>
          <w:rFonts w:ascii="Arial" w:hAnsi="Arial" w:cs="Arial"/>
          <w:szCs w:val="18"/>
        </w:rPr>
        <w:t xml:space="preserve">Kabir, M., Habiba, U.E., Khan, W., Shah, A., Rahim, S., De los Rios-Escalante, P.R., Farooqi, Z.U.R., Ali, L. and Shafiq, M., 2023. </w:t>
      </w:r>
      <w:r w:rsidRPr="00E65610">
        <w:rPr>
          <w:rFonts w:ascii="Arial" w:hAnsi="Arial" w:cs="Arial"/>
          <w:i/>
          <w:iCs/>
          <w:szCs w:val="18"/>
        </w:rPr>
        <w:t>Climate change due to increasing concentration of carbon dioxide and its impacts on environment in the 21st century: a mini review</w:t>
      </w:r>
      <w:r w:rsidRPr="00E65610">
        <w:rPr>
          <w:rFonts w:ascii="Arial" w:hAnsi="Arial" w:cs="Arial"/>
          <w:szCs w:val="18"/>
        </w:rPr>
        <w:t>. Journal of King Saud University – Science, 35(5), 102693.</w:t>
      </w:r>
    </w:p>
    <w:p w14:paraId="19F4C69F" w14:textId="62806EA6" w:rsidR="00204730" w:rsidRPr="00E65610" w:rsidRDefault="00732489" w:rsidP="00204730">
      <w:pPr>
        <w:pStyle w:val="ListParagraph"/>
        <w:numPr>
          <w:ilvl w:val="0"/>
          <w:numId w:val="31"/>
        </w:numPr>
        <w:ind w:left="142"/>
        <w:jc w:val="both"/>
        <w:rPr>
          <w:rFonts w:ascii="Arial" w:hAnsi="Arial" w:cs="Arial"/>
          <w:szCs w:val="18"/>
        </w:rPr>
      </w:pPr>
      <w:r w:rsidRPr="00E65610">
        <w:rPr>
          <w:rFonts w:ascii="Arial" w:hAnsi="Arial" w:cs="Arial"/>
          <w:szCs w:val="18"/>
        </w:rPr>
        <w:t xml:space="preserve">Kaul, M., Kulkarni, S. and </w:t>
      </w:r>
      <w:proofErr w:type="spellStart"/>
      <w:r w:rsidRPr="00E65610">
        <w:rPr>
          <w:rFonts w:ascii="Arial" w:hAnsi="Arial" w:cs="Arial"/>
          <w:szCs w:val="18"/>
        </w:rPr>
        <w:t>Chunekar</w:t>
      </w:r>
      <w:proofErr w:type="spellEnd"/>
      <w:r w:rsidRPr="00E65610">
        <w:rPr>
          <w:rFonts w:ascii="Arial" w:hAnsi="Arial" w:cs="Arial"/>
          <w:szCs w:val="18"/>
        </w:rPr>
        <w:t xml:space="preserve">, A., 2020. </w:t>
      </w:r>
      <w:r w:rsidRPr="00E65610">
        <w:rPr>
          <w:rFonts w:ascii="Arial" w:hAnsi="Arial" w:cs="Arial"/>
          <w:i/>
          <w:iCs/>
          <w:szCs w:val="18"/>
        </w:rPr>
        <w:t>Energy Consumption Patterns in Indian Households</w:t>
      </w:r>
      <w:r w:rsidRPr="00E65610">
        <w:rPr>
          <w:rFonts w:ascii="Arial" w:hAnsi="Arial" w:cs="Arial"/>
          <w:szCs w:val="18"/>
        </w:rPr>
        <w:t>. New Delhi: Prayas Energy Group.</w:t>
      </w:r>
    </w:p>
    <w:p w14:paraId="5E748951" w14:textId="5614F895" w:rsidR="00204730" w:rsidRPr="00E65610" w:rsidRDefault="00732489" w:rsidP="00204730">
      <w:pPr>
        <w:pStyle w:val="ListParagraph"/>
        <w:numPr>
          <w:ilvl w:val="0"/>
          <w:numId w:val="31"/>
        </w:numPr>
        <w:ind w:left="142"/>
        <w:jc w:val="both"/>
        <w:rPr>
          <w:rFonts w:ascii="Arial" w:hAnsi="Arial" w:cs="Arial"/>
          <w:szCs w:val="18"/>
        </w:rPr>
      </w:pPr>
      <w:r w:rsidRPr="00E65610">
        <w:rPr>
          <w:rFonts w:ascii="Arial" w:hAnsi="Arial" w:cs="Arial"/>
          <w:szCs w:val="18"/>
        </w:rPr>
        <w:t xml:space="preserve">Kelkar, S.M., Kulkarni, A. and Rao, K.K., 2020. </w:t>
      </w:r>
      <w:r w:rsidRPr="00E65610">
        <w:rPr>
          <w:rFonts w:ascii="Arial" w:hAnsi="Arial" w:cs="Arial"/>
          <w:i/>
          <w:iCs/>
          <w:szCs w:val="18"/>
        </w:rPr>
        <w:t>Impact of climate variability and change on crop production in Maharashtra, India</w:t>
      </w:r>
      <w:r w:rsidRPr="00E65610">
        <w:rPr>
          <w:rFonts w:ascii="Arial" w:hAnsi="Arial" w:cs="Arial"/>
          <w:szCs w:val="18"/>
        </w:rPr>
        <w:t>. Current Science, 118(8), pp.1235–1245.</w:t>
      </w:r>
    </w:p>
    <w:p w14:paraId="37C4D42C" w14:textId="457F119F" w:rsidR="00204730" w:rsidRPr="00E65610" w:rsidRDefault="00732489" w:rsidP="00204730">
      <w:pPr>
        <w:pStyle w:val="ListParagraph"/>
        <w:numPr>
          <w:ilvl w:val="0"/>
          <w:numId w:val="31"/>
        </w:numPr>
        <w:ind w:left="142"/>
        <w:jc w:val="both"/>
        <w:rPr>
          <w:rFonts w:ascii="Arial" w:hAnsi="Arial" w:cs="Arial"/>
          <w:szCs w:val="18"/>
        </w:rPr>
      </w:pPr>
      <w:r w:rsidRPr="00E65610">
        <w:rPr>
          <w:rFonts w:ascii="Arial" w:hAnsi="Arial" w:cs="Arial"/>
          <w:szCs w:val="18"/>
        </w:rPr>
        <w:lastRenderedPageBreak/>
        <w:t xml:space="preserve">Koide, R., </w:t>
      </w:r>
      <w:proofErr w:type="spellStart"/>
      <w:r w:rsidRPr="00E65610">
        <w:rPr>
          <w:rFonts w:ascii="Arial" w:hAnsi="Arial" w:cs="Arial"/>
          <w:szCs w:val="18"/>
        </w:rPr>
        <w:t>Lettenmeier</w:t>
      </w:r>
      <w:proofErr w:type="spellEnd"/>
      <w:r w:rsidRPr="00E65610">
        <w:rPr>
          <w:rFonts w:ascii="Arial" w:hAnsi="Arial" w:cs="Arial"/>
          <w:szCs w:val="18"/>
        </w:rPr>
        <w:t xml:space="preserve">, M., Akenji, L., </w:t>
      </w:r>
      <w:proofErr w:type="spellStart"/>
      <w:r w:rsidRPr="00E65610">
        <w:rPr>
          <w:rFonts w:ascii="Arial" w:hAnsi="Arial" w:cs="Arial"/>
          <w:szCs w:val="18"/>
        </w:rPr>
        <w:t>Toivio</w:t>
      </w:r>
      <w:proofErr w:type="spellEnd"/>
      <w:r w:rsidRPr="00E65610">
        <w:rPr>
          <w:rFonts w:ascii="Arial" w:hAnsi="Arial" w:cs="Arial"/>
          <w:szCs w:val="18"/>
        </w:rPr>
        <w:t xml:space="preserve">, V., Amellina, A., Khodke, A., Watabe, A. and Kojima, S., 2021. </w:t>
      </w:r>
      <w:r w:rsidRPr="00E65610">
        <w:rPr>
          <w:rFonts w:ascii="Arial" w:hAnsi="Arial" w:cs="Arial"/>
          <w:i/>
          <w:iCs/>
          <w:szCs w:val="18"/>
        </w:rPr>
        <w:t>Lifestyle carbon footprints and changes in lifestyles to limit global warming to 1.5 °C and ways forward for related research</w:t>
      </w:r>
      <w:r w:rsidRPr="00E65610">
        <w:rPr>
          <w:rFonts w:ascii="Arial" w:hAnsi="Arial" w:cs="Arial"/>
          <w:szCs w:val="18"/>
        </w:rPr>
        <w:t>. Sustainability Science, 16(6), pp.2087–2099.</w:t>
      </w:r>
      <w:r w:rsidR="00204730" w:rsidRPr="00E65610">
        <w:rPr>
          <w:rFonts w:ascii="Arial" w:hAnsi="Arial" w:cs="Arial"/>
          <w:szCs w:val="18"/>
        </w:rPr>
        <w:t xml:space="preserve"> </w:t>
      </w:r>
    </w:p>
    <w:p w14:paraId="150C7D78" w14:textId="7B721F08" w:rsidR="00204730" w:rsidRPr="00E65610" w:rsidRDefault="00732489" w:rsidP="00204730">
      <w:pPr>
        <w:pStyle w:val="ListParagraph"/>
        <w:numPr>
          <w:ilvl w:val="0"/>
          <w:numId w:val="31"/>
        </w:numPr>
        <w:ind w:left="142"/>
        <w:jc w:val="both"/>
        <w:rPr>
          <w:rFonts w:ascii="Arial" w:hAnsi="Arial" w:cs="Arial"/>
          <w:szCs w:val="18"/>
        </w:rPr>
      </w:pPr>
      <w:proofErr w:type="spellStart"/>
      <w:r w:rsidRPr="00E65610">
        <w:rPr>
          <w:rFonts w:ascii="Arial" w:hAnsi="Arial" w:cs="Arial"/>
          <w:szCs w:val="18"/>
        </w:rPr>
        <w:t>Kuchimanchi</w:t>
      </w:r>
      <w:proofErr w:type="spellEnd"/>
      <w:r w:rsidRPr="00E65610">
        <w:rPr>
          <w:rFonts w:ascii="Arial" w:hAnsi="Arial" w:cs="Arial"/>
          <w:szCs w:val="18"/>
        </w:rPr>
        <w:t xml:space="preserve">, B.R., Nazareth, D., </w:t>
      </w:r>
      <w:proofErr w:type="spellStart"/>
      <w:r w:rsidRPr="00E65610">
        <w:rPr>
          <w:rFonts w:ascii="Arial" w:hAnsi="Arial" w:cs="Arial"/>
          <w:szCs w:val="18"/>
        </w:rPr>
        <w:t>Bendapudi</w:t>
      </w:r>
      <w:proofErr w:type="spellEnd"/>
      <w:r w:rsidRPr="00E65610">
        <w:rPr>
          <w:rFonts w:ascii="Arial" w:hAnsi="Arial" w:cs="Arial"/>
          <w:szCs w:val="18"/>
        </w:rPr>
        <w:t xml:space="preserve">, R., Awasthi, S. and D’Souza, M., 2019. </w:t>
      </w:r>
      <w:r w:rsidRPr="00E65610">
        <w:rPr>
          <w:rFonts w:ascii="Arial" w:hAnsi="Arial" w:cs="Arial"/>
          <w:i/>
          <w:iCs/>
          <w:szCs w:val="18"/>
        </w:rPr>
        <w:t>Assessing differential vulnerability of communities in the agrarian context in two districts of Maharashtra, India</w:t>
      </w:r>
      <w:r w:rsidRPr="00E65610">
        <w:rPr>
          <w:rFonts w:ascii="Arial" w:hAnsi="Arial" w:cs="Arial"/>
          <w:szCs w:val="18"/>
        </w:rPr>
        <w:t>. Climate and Development, 11(10), pp.918–929.</w:t>
      </w:r>
    </w:p>
    <w:p w14:paraId="1B362423" w14:textId="60A71271" w:rsidR="00204730" w:rsidRPr="00E65610" w:rsidRDefault="00732489" w:rsidP="00204730">
      <w:pPr>
        <w:pStyle w:val="ListParagraph"/>
        <w:numPr>
          <w:ilvl w:val="0"/>
          <w:numId w:val="31"/>
        </w:numPr>
        <w:ind w:left="142"/>
        <w:jc w:val="both"/>
        <w:rPr>
          <w:rFonts w:ascii="Arial" w:hAnsi="Arial" w:cs="Arial"/>
          <w:szCs w:val="18"/>
        </w:rPr>
      </w:pPr>
      <w:r w:rsidRPr="00E65610">
        <w:rPr>
          <w:rFonts w:ascii="Arial" w:hAnsi="Arial" w:cs="Arial"/>
          <w:szCs w:val="18"/>
        </w:rPr>
        <w:t xml:space="preserve">Kumar, V., Ranjan, D. and Verma, K., 2021. </w:t>
      </w:r>
      <w:r w:rsidRPr="00E65610">
        <w:rPr>
          <w:rFonts w:ascii="Arial" w:hAnsi="Arial" w:cs="Arial"/>
          <w:i/>
          <w:iCs/>
          <w:szCs w:val="18"/>
        </w:rPr>
        <w:t>Global climate change: the loop between cause and impact</w:t>
      </w:r>
      <w:r w:rsidRPr="00E65610">
        <w:rPr>
          <w:rFonts w:ascii="Arial" w:hAnsi="Arial" w:cs="Arial"/>
          <w:szCs w:val="18"/>
        </w:rPr>
        <w:t>. In: Kumar, V. (ed.), Global Climate Change. Elsevier, pp.187–211.</w:t>
      </w:r>
    </w:p>
    <w:p w14:paraId="07150765" w14:textId="334026FA" w:rsidR="00204730" w:rsidRPr="00E65610" w:rsidRDefault="005426E2" w:rsidP="00204730">
      <w:pPr>
        <w:pStyle w:val="ListParagraph"/>
        <w:numPr>
          <w:ilvl w:val="0"/>
          <w:numId w:val="31"/>
        </w:numPr>
        <w:ind w:left="142"/>
        <w:jc w:val="both"/>
        <w:rPr>
          <w:rFonts w:ascii="Arial" w:hAnsi="Arial" w:cs="Arial"/>
          <w:szCs w:val="18"/>
        </w:rPr>
      </w:pPr>
      <w:r w:rsidRPr="00E65610">
        <w:rPr>
          <w:rFonts w:ascii="Arial" w:hAnsi="Arial" w:cs="Arial"/>
          <w:szCs w:val="18"/>
        </w:rPr>
        <w:t xml:space="preserve">Lee, J., </w:t>
      </w:r>
      <w:proofErr w:type="spellStart"/>
      <w:r w:rsidRPr="00E65610">
        <w:rPr>
          <w:rFonts w:ascii="Arial" w:hAnsi="Arial" w:cs="Arial"/>
          <w:szCs w:val="18"/>
        </w:rPr>
        <w:t>Taherzadeh</w:t>
      </w:r>
      <w:proofErr w:type="spellEnd"/>
      <w:r w:rsidRPr="00E65610">
        <w:rPr>
          <w:rFonts w:ascii="Arial" w:hAnsi="Arial" w:cs="Arial"/>
          <w:szCs w:val="18"/>
        </w:rPr>
        <w:t xml:space="preserve">, O. and Kanemoto, K., 2021. </w:t>
      </w:r>
      <w:r w:rsidRPr="00E65610">
        <w:rPr>
          <w:rFonts w:ascii="Arial" w:hAnsi="Arial" w:cs="Arial"/>
          <w:i/>
          <w:iCs/>
          <w:szCs w:val="18"/>
        </w:rPr>
        <w:t>The scale and drivers of carbon footprints in households, cities and regions across India</w:t>
      </w:r>
      <w:r w:rsidRPr="00E65610">
        <w:rPr>
          <w:rFonts w:ascii="Arial" w:hAnsi="Arial" w:cs="Arial"/>
          <w:szCs w:val="18"/>
        </w:rPr>
        <w:t>. Global Environmental Change, 66, 102205.</w:t>
      </w:r>
    </w:p>
    <w:p w14:paraId="4CC95567" w14:textId="56796A28" w:rsidR="00204730" w:rsidRPr="00E65610" w:rsidRDefault="005426E2" w:rsidP="00204730">
      <w:pPr>
        <w:pStyle w:val="ListParagraph"/>
        <w:numPr>
          <w:ilvl w:val="0"/>
          <w:numId w:val="31"/>
        </w:numPr>
        <w:ind w:left="142"/>
        <w:jc w:val="both"/>
        <w:rPr>
          <w:rFonts w:ascii="Arial" w:hAnsi="Arial" w:cs="Arial"/>
          <w:szCs w:val="18"/>
        </w:rPr>
      </w:pPr>
      <w:r w:rsidRPr="00E65610">
        <w:rPr>
          <w:rFonts w:ascii="Arial" w:hAnsi="Arial" w:cs="Arial"/>
          <w:szCs w:val="18"/>
        </w:rPr>
        <w:t xml:space="preserve">Porter, J., Xie, L., Challinor, A.J., Howden, M., Iqbal, M.M., Lobell, D.B. and Travasso, M.I., 2014. </w:t>
      </w:r>
      <w:r w:rsidRPr="00E65610">
        <w:rPr>
          <w:rFonts w:ascii="Arial" w:hAnsi="Arial" w:cs="Arial"/>
          <w:i/>
          <w:iCs/>
          <w:szCs w:val="18"/>
        </w:rPr>
        <w:t>Food security and food production systems</w:t>
      </w:r>
      <w:r w:rsidRPr="00E65610">
        <w:rPr>
          <w:rFonts w:ascii="Arial" w:hAnsi="Arial" w:cs="Arial"/>
          <w:szCs w:val="18"/>
        </w:rPr>
        <w:t xml:space="preserve">. In: Field, C.B. et al. (eds.), </w:t>
      </w:r>
      <w:r w:rsidRPr="00E65610">
        <w:rPr>
          <w:rFonts w:ascii="Arial" w:hAnsi="Arial" w:cs="Arial"/>
          <w:i/>
          <w:iCs/>
          <w:szCs w:val="18"/>
        </w:rPr>
        <w:t>Climate Change 2014: Impacts, Adaptation, and Vulnerability</w:t>
      </w:r>
      <w:r w:rsidRPr="00E65610">
        <w:rPr>
          <w:rFonts w:ascii="Arial" w:hAnsi="Arial" w:cs="Arial"/>
          <w:szCs w:val="18"/>
        </w:rPr>
        <w:t>. Part A: Global and Sectoral Aspects. Cambridge: Cambridge University Press, pp.485–533.</w:t>
      </w:r>
    </w:p>
    <w:p w14:paraId="62DE3498" w14:textId="227BD63A" w:rsidR="00204730" w:rsidRPr="00E65610" w:rsidRDefault="005426E2" w:rsidP="00204730">
      <w:pPr>
        <w:pStyle w:val="ListParagraph"/>
        <w:numPr>
          <w:ilvl w:val="0"/>
          <w:numId w:val="31"/>
        </w:numPr>
        <w:ind w:left="142"/>
        <w:jc w:val="both"/>
        <w:rPr>
          <w:rFonts w:ascii="Arial" w:hAnsi="Arial" w:cs="Arial"/>
          <w:szCs w:val="18"/>
        </w:rPr>
      </w:pPr>
      <w:r w:rsidRPr="00E65610">
        <w:rPr>
          <w:rFonts w:ascii="Arial" w:hAnsi="Arial" w:cs="Arial"/>
          <w:szCs w:val="18"/>
        </w:rPr>
        <w:t xml:space="preserve">Ramachandra, T.V., 2012. </w:t>
      </w:r>
      <w:proofErr w:type="spellStart"/>
      <w:r w:rsidRPr="00E65610">
        <w:rPr>
          <w:rFonts w:ascii="Arial" w:hAnsi="Arial" w:cs="Arial"/>
          <w:szCs w:val="18"/>
        </w:rPr>
        <w:t>Decentralised</w:t>
      </w:r>
      <w:proofErr w:type="spellEnd"/>
      <w:r w:rsidRPr="00E65610">
        <w:rPr>
          <w:rFonts w:ascii="Arial" w:hAnsi="Arial" w:cs="Arial"/>
          <w:szCs w:val="18"/>
        </w:rPr>
        <w:t xml:space="preserve"> </w:t>
      </w:r>
      <w:r w:rsidRPr="00E65610">
        <w:rPr>
          <w:rFonts w:ascii="Arial" w:hAnsi="Arial" w:cs="Arial"/>
          <w:i/>
          <w:iCs/>
          <w:szCs w:val="18"/>
        </w:rPr>
        <w:t>carbon footprint analysis for opting climate change mitigation strategies in India</w:t>
      </w:r>
      <w:r w:rsidRPr="00E65610">
        <w:rPr>
          <w:rFonts w:ascii="Arial" w:hAnsi="Arial" w:cs="Arial"/>
          <w:szCs w:val="18"/>
        </w:rPr>
        <w:t>. Renewable and Sustainable Energy Reviews, 16(8), pp.5820–5833.</w:t>
      </w:r>
    </w:p>
    <w:p w14:paraId="0194A5CE" w14:textId="7DC142E2" w:rsidR="00204730" w:rsidRPr="00E65610" w:rsidRDefault="005426E2" w:rsidP="00204730">
      <w:pPr>
        <w:pStyle w:val="ListParagraph"/>
        <w:numPr>
          <w:ilvl w:val="0"/>
          <w:numId w:val="31"/>
        </w:numPr>
        <w:ind w:left="142"/>
        <w:jc w:val="both"/>
        <w:rPr>
          <w:rFonts w:ascii="Arial" w:hAnsi="Arial" w:cs="Arial"/>
          <w:szCs w:val="18"/>
        </w:rPr>
      </w:pPr>
      <w:r w:rsidRPr="00E65610">
        <w:rPr>
          <w:rFonts w:ascii="Arial" w:hAnsi="Arial" w:cs="Arial"/>
          <w:szCs w:val="18"/>
        </w:rPr>
        <w:t xml:space="preserve">Ramachandra, T.V., Sreejith, K. and Bharath, H.A., 2014. </w:t>
      </w:r>
      <w:r w:rsidRPr="00E65610">
        <w:rPr>
          <w:rFonts w:ascii="Arial" w:hAnsi="Arial" w:cs="Arial"/>
          <w:i/>
          <w:iCs/>
          <w:szCs w:val="18"/>
        </w:rPr>
        <w:t>Sector-wise assessment of carbon footprint across major cities in India</w:t>
      </w:r>
      <w:r w:rsidRPr="00E65610">
        <w:rPr>
          <w:rFonts w:ascii="Arial" w:hAnsi="Arial" w:cs="Arial"/>
          <w:szCs w:val="18"/>
        </w:rPr>
        <w:t xml:space="preserve">. In: Muthu, S.S. (ed.), </w:t>
      </w:r>
      <w:r w:rsidRPr="00E65610">
        <w:rPr>
          <w:rFonts w:ascii="Arial" w:hAnsi="Arial" w:cs="Arial"/>
          <w:i/>
          <w:iCs/>
          <w:szCs w:val="18"/>
        </w:rPr>
        <w:t>Assessment of Carbon Footprint in Different Industrial Sectors, Volume 2</w:t>
      </w:r>
      <w:r w:rsidRPr="00E65610">
        <w:rPr>
          <w:rFonts w:ascii="Arial" w:hAnsi="Arial" w:cs="Arial"/>
          <w:szCs w:val="18"/>
        </w:rPr>
        <w:t>. Singapore: Springer, pp.207–267.</w:t>
      </w:r>
    </w:p>
    <w:p w14:paraId="3EA9899B" w14:textId="76BF2351" w:rsidR="00204730" w:rsidRPr="00E65610" w:rsidRDefault="005426E2" w:rsidP="00204730">
      <w:pPr>
        <w:pStyle w:val="ListParagraph"/>
        <w:numPr>
          <w:ilvl w:val="0"/>
          <w:numId w:val="31"/>
        </w:numPr>
        <w:ind w:left="142"/>
        <w:jc w:val="both"/>
        <w:rPr>
          <w:rFonts w:ascii="Arial" w:hAnsi="Arial" w:cs="Arial"/>
          <w:szCs w:val="18"/>
        </w:rPr>
      </w:pPr>
      <w:r w:rsidRPr="00E65610">
        <w:rPr>
          <w:rFonts w:ascii="Arial" w:hAnsi="Arial" w:cs="Arial"/>
          <w:szCs w:val="18"/>
        </w:rPr>
        <w:t xml:space="preserve">Sharma, V. and Dash, M., 2022. </w:t>
      </w:r>
      <w:r w:rsidRPr="00E65610">
        <w:rPr>
          <w:rFonts w:ascii="Arial" w:hAnsi="Arial" w:cs="Arial"/>
          <w:i/>
          <w:iCs/>
          <w:szCs w:val="18"/>
        </w:rPr>
        <w:t>Household energy use pattern in rural India: a path towards sustainable development</w:t>
      </w:r>
      <w:r w:rsidRPr="00E65610">
        <w:rPr>
          <w:rFonts w:ascii="Arial" w:hAnsi="Arial" w:cs="Arial"/>
          <w:szCs w:val="18"/>
        </w:rPr>
        <w:t>. Environmental Challenges, 6, 100404.</w:t>
      </w:r>
    </w:p>
    <w:p w14:paraId="0910DAE0" w14:textId="0580F65F" w:rsidR="00204730" w:rsidRPr="00E65610" w:rsidRDefault="005426E2" w:rsidP="00204730">
      <w:pPr>
        <w:pStyle w:val="ListParagraph"/>
        <w:numPr>
          <w:ilvl w:val="0"/>
          <w:numId w:val="31"/>
        </w:numPr>
        <w:ind w:left="142"/>
        <w:jc w:val="both"/>
        <w:rPr>
          <w:rFonts w:ascii="Arial" w:hAnsi="Arial" w:cs="Arial"/>
          <w:szCs w:val="18"/>
        </w:rPr>
      </w:pPr>
      <w:proofErr w:type="spellStart"/>
      <w:r w:rsidRPr="00E65610">
        <w:rPr>
          <w:rFonts w:ascii="Arial" w:hAnsi="Arial" w:cs="Arial"/>
          <w:szCs w:val="18"/>
        </w:rPr>
        <w:t>Shivanna</w:t>
      </w:r>
      <w:proofErr w:type="spellEnd"/>
      <w:r w:rsidRPr="00E65610">
        <w:rPr>
          <w:rFonts w:ascii="Arial" w:hAnsi="Arial" w:cs="Arial"/>
          <w:szCs w:val="18"/>
        </w:rPr>
        <w:t xml:space="preserve">, K.R., 2022. </w:t>
      </w:r>
      <w:r w:rsidRPr="00E65610">
        <w:rPr>
          <w:rFonts w:ascii="Arial" w:hAnsi="Arial" w:cs="Arial"/>
          <w:i/>
          <w:iCs/>
          <w:szCs w:val="18"/>
        </w:rPr>
        <w:t>Climate change and its impact on biodiversity and human welfare</w:t>
      </w:r>
      <w:r w:rsidRPr="00E65610">
        <w:rPr>
          <w:rFonts w:ascii="Arial" w:hAnsi="Arial" w:cs="Arial"/>
          <w:szCs w:val="18"/>
        </w:rPr>
        <w:t>. Proceedings of the Indian National Science Academy, 88(2), pp.160–171.</w:t>
      </w:r>
    </w:p>
    <w:p w14:paraId="66A980F7" w14:textId="35C9ED41" w:rsidR="00204730" w:rsidRPr="00E65610" w:rsidRDefault="005426E2" w:rsidP="00204730">
      <w:pPr>
        <w:pStyle w:val="ListParagraph"/>
        <w:numPr>
          <w:ilvl w:val="0"/>
          <w:numId w:val="31"/>
        </w:numPr>
        <w:ind w:left="142"/>
        <w:jc w:val="both"/>
        <w:rPr>
          <w:rFonts w:ascii="Arial" w:hAnsi="Arial" w:cs="Arial"/>
          <w:szCs w:val="18"/>
        </w:rPr>
      </w:pPr>
      <w:r w:rsidRPr="00E65610">
        <w:rPr>
          <w:rFonts w:ascii="Arial" w:hAnsi="Arial" w:cs="Arial"/>
          <w:szCs w:val="18"/>
        </w:rPr>
        <w:t xml:space="preserve">Singh, A., Patwardhan, A., Abhyankar, A. and Sarda, N.L., 2011. </w:t>
      </w:r>
      <w:r w:rsidRPr="00E65610">
        <w:rPr>
          <w:rFonts w:ascii="Arial" w:hAnsi="Arial" w:cs="Arial"/>
          <w:i/>
          <w:iCs/>
          <w:szCs w:val="18"/>
        </w:rPr>
        <w:t>Extreme Weather Events in India: A Preliminary Analysis of Impacts</w:t>
      </w:r>
      <w:r w:rsidRPr="00E65610">
        <w:rPr>
          <w:rFonts w:ascii="Arial" w:hAnsi="Arial" w:cs="Arial"/>
          <w:szCs w:val="18"/>
        </w:rPr>
        <w:t>. Mumbai: Indian Institute of Technology Bombay.</w:t>
      </w:r>
    </w:p>
    <w:p w14:paraId="0FC56969" w14:textId="29717026" w:rsidR="00204730" w:rsidRPr="00E65610" w:rsidRDefault="005426E2" w:rsidP="00204730">
      <w:pPr>
        <w:pStyle w:val="ListParagraph"/>
        <w:numPr>
          <w:ilvl w:val="0"/>
          <w:numId w:val="31"/>
        </w:numPr>
        <w:ind w:left="142"/>
        <w:jc w:val="both"/>
        <w:rPr>
          <w:rFonts w:ascii="Arial" w:hAnsi="Arial" w:cs="Arial"/>
          <w:szCs w:val="18"/>
        </w:rPr>
      </w:pPr>
      <w:r w:rsidRPr="00E65610">
        <w:rPr>
          <w:rFonts w:ascii="Arial" w:hAnsi="Arial" w:cs="Arial"/>
          <w:szCs w:val="18"/>
        </w:rPr>
        <w:t xml:space="preserve">Smith, P., Bustamante, M., Ahammad, H., Clark, H., Dong, H., </w:t>
      </w:r>
      <w:proofErr w:type="spellStart"/>
      <w:r w:rsidRPr="00E65610">
        <w:rPr>
          <w:rFonts w:ascii="Arial" w:hAnsi="Arial" w:cs="Arial"/>
          <w:szCs w:val="18"/>
        </w:rPr>
        <w:t>Elsiddig</w:t>
      </w:r>
      <w:proofErr w:type="spellEnd"/>
      <w:r w:rsidRPr="00E65610">
        <w:rPr>
          <w:rFonts w:ascii="Arial" w:hAnsi="Arial" w:cs="Arial"/>
          <w:szCs w:val="18"/>
        </w:rPr>
        <w:t xml:space="preserve">, E.A., Haberl, H., Harper, R., House, J., Jafari, M. and </w:t>
      </w:r>
      <w:proofErr w:type="spellStart"/>
      <w:r w:rsidRPr="00E65610">
        <w:rPr>
          <w:rFonts w:ascii="Arial" w:hAnsi="Arial" w:cs="Arial"/>
          <w:szCs w:val="18"/>
        </w:rPr>
        <w:t>Masera</w:t>
      </w:r>
      <w:proofErr w:type="spellEnd"/>
      <w:r w:rsidRPr="00E65610">
        <w:rPr>
          <w:rFonts w:ascii="Arial" w:hAnsi="Arial" w:cs="Arial"/>
          <w:szCs w:val="18"/>
        </w:rPr>
        <w:t xml:space="preserve">, O., 2014. </w:t>
      </w:r>
      <w:r w:rsidRPr="00E65610">
        <w:rPr>
          <w:rFonts w:ascii="Arial" w:hAnsi="Arial" w:cs="Arial"/>
          <w:i/>
          <w:iCs/>
          <w:szCs w:val="18"/>
        </w:rPr>
        <w:t>Agriculture, forestry and other land use (AFOLU)</w:t>
      </w:r>
      <w:r w:rsidRPr="00E65610">
        <w:rPr>
          <w:rFonts w:ascii="Arial" w:hAnsi="Arial" w:cs="Arial"/>
          <w:szCs w:val="18"/>
        </w:rPr>
        <w:t xml:space="preserve">. In: Edenhofer, O. et al. (eds.), </w:t>
      </w:r>
      <w:r w:rsidRPr="00E65610">
        <w:rPr>
          <w:rFonts w:ascii="Arial" w:hAnsi="Arial" w:cs="Arial"/>
          <w:i/>
          <w:iCs/>
          <w:szCs w:val="18"/>
        </w:rPr>
        <w:t>Climate Change 2014: Mitigation of Climate Change</w:t>
      </w:r>
      <w:r w:rsidRPr="00E65610">
        <w:rPr>
          <w:rFonts w:ascii="Arial" w:hAnsi="Arial" w:cs="Arial"/>
          <w:szCs w:val="18"/>
        </w:rPr>
        <w:t>. Cambridge: Cambridge University Press, pp.811–922.</w:t>
      </w:r>
    </w:p>
    <w:p w14:paraId="2369A748" w14:textId="598F9540" w:rsidR="00204730" w:rsidRPr="00E65610" w:rsidRDefault="005426E2" w:rsidP="00204730">
      <w:pPr>
        <w:pStyle w:val="ListParagraph"/>
        <w:numPr>
          <w:ilvl w:val="0"/>
          <w:numId w:val="31"/>
        </w:numPr>
        <w:ind w:left="142"/>
        <w:jc w:val="both"/>
        <w:rPr>
          <w:rFonts w:ascii="Arial" w:hAnsi="Arial" w:cs="Arial"/>
          <w:szCs w:val="18"/>
        </w:rPr>
      </w:pPr>
      <w:r w:rsidRPr="00E65610">
        <w:rPr>
          <w:rFonts w:ascii="Arial" w:hAnsi="Arial" w:cs="Arial"/>
          <w:szCs w:val="18"/>
        </w:rPr>
        <w:t xml:space="preserve">Subramanian, A., Nagarajan, A.M., Vinod, S., Chakraborty, S., Sivagami, K., Theodore, T., </w:t>
      </w:r>
      <w:proofErr w:type="spellStart"/>
      <w:r w:rsidRPr="00E65610">
        <w:rPr>
          <w:rFonts w:ascii="Arial" w:hAnsi="Arial" w:cs="Arial"/>
          <w:szCs w:val="18"/>
        </w:rPr>
        <w:t>Sathyanarayanan</w:t>
      </w:r>
      <w:proofErr w:type="spellEnd"/>
      <w:r w:rsidRPr="00E65610">
        <w:rPr>
          <w:rFonts w:ascii="Arial" w:hAnsi="Arial" w:cs="Arial"/>
          <w:szCs w:val="18"/>
        </w:rPr>
        <w:t xml:space="preserve">, S.S., </w:t>
      </w:r>
      <w:proofErr w:type="spellStart"/>
      <w:r w:rsidRPr="00E65610">
        <w:rPr>
          <w:rFonts w:ascii="Arial" w:hAnsi="Arial" w:cs="Arial"/>
          <w:szCs w:val="18"/>
        </w:rPr>
        <w:t>Tamizhdurai</w:t>
      </w:r>
      <w:proofErr w:type="spellEnd"/>
      <w:r w:rsidRPr="00E65610">
        <w:rPr>
          <w:rFonts w:ascii="Arial" w:hAnsi="Arial" w:cs="Arial"/>
          <w:szCs w:val="18"/>
        </w:rPr>
        <w:t xml:space="preserve">, P. and Mangesh, V.L., 2023. </w:t>
      </w:r>
      <w:r w:rsidRPr="00E65610">
        <w:rPr>
          <w:rFonts w:ascii="Arial" w:hAnsi="Arial" w:cs="Arial"/>
          <w:i/>
          <w:iCs/>
          <w:szCs w:val="18"/>
        </w:rPr>
        <w:t>Long-term impacts of climate change on coastal and transitional ecosystems in India: an overview of its current status, future projections, solutions and policies</w:t>
      </w:r>
      <w:r w:rsidRPr="00E65610">
        <w:rPr>
          <w:rFonts w:ascii="Arial" w:hAnsi="Arial" w:cs="Arial"/>
          <w:szCs w:val="18"/>
        </w:rPr>
        <w:t>. RSC Advances, 13(18), pp.12204–12228.</w:t>
      </w:r>
    </w:p>
    <w:p w14:paraId="2743293C" w14:textId="08E83E3C" w:rsidR="00204730" w:rsidRPr="00E65610" w:rsidRDefault="005426E2" w:rsidP="00204730">
      <w:pPr>
        <w:pStyle w:val="ListParagraph"/>
        <w:numPr>
          <w:ilvl w:val="0"/>
          <w:numId w:val="31"/>
        </w:numPr>
        <w:ind w:left="142"/>
        <w:jc w:val="both"/>
        <w:rPr>
          <w:rFonts w:ascii="Arial" w:hAnsi="Arial" w:cs="Arial"/>
          <w:szCs w:val="18"/>
        </w:rPr>
      </w:pPr>
      <w:r w:rsidRPr="00E65610">
        <w:rPr>
          <w:rFonts w:ascii="Arial" w:hAnsi="Arial" w:cs="Arial"/>
          <w:szCs w:val="18"/>
        </w:rPr>
        <w:t xml:space="preserve">TERI, 2014. </w:t>
      </w:r>
      <w:r w:rsidRPr="00E65610">
        <w:rPr>
          <w:rFonts w:ascii="Arial" w:hAnsi="Arial" w:cs="Arial"/>
          <w:i/>
          <w:iCs/>
          <w:szCs w:val="18"/>
        </w:rPr>
        <w:t>Assessing Climate Change Vulnerability and Adaptation Strategies for Maharashtra</w:t>
      </w:r>
      <w:r w:rsidRPr="00E65610">
        <w:rPr>
          <w:rFonts w:ascii="Arial" w:hAnsi="Arial" w:cs="Arial"/>
          <w:szCs w:val="18"/>
        </w:rPr>
        <w:t>. Maharashtra State Adaptation Action Plan on Climate Change (MSAAPCC). New Delhi: The Energy and Resources Institute.</w:t>
      </w:r>
    </w:p>
    <w:p w14:paraId="56919F7D" w14:textId="3D25B254" w:rsidR="00204730" w:rsidRPr="00E65610" w:rsidRDefault="005426E2" w:rsidP="00204730">
      <w:pPr>
        <w:pStyle w:val="ListParagraph"/>
        <w:numPr>
          <w:ilvl w:val="0"/>
          <w:numId w:val="31"/>
        </w:numPr>
        <w:ind w:left="142"/>
        <w:jc w:val="both"/>
        <w:rPr>
          <w:rFonts w:ascii="Arial" w:hAnsi="Arial" w:cs="Arial"/>
          <w:sz w:val="24"/>
          <w:szCs w:val="22"/>
        </w:rPr>
      </w:pPr>
      <w:proofErr w:type="spellStart"/>
      <w:r w:rsidRPr="00E65610">
        <w:rPr>
          <w:rFonts w:ascii="Arial" w:hAnsi="Arial" w:cs="Arial"/>
          <w:szCs w:val="18"/>
        </w:rPr>
        <w:t>Yenneti</w:t>
      </w:r>
      <w:proofErr w:type="spellEnd"/>
      <w:r w:rsidRPr="00E65610">
        <w:rPr>
          <w:rFonts w:ascii="Arial" w:hAnsi="Arial" w:cs="Arial"/>
          <w:szCs w:val="18"/>
        </w:rPr>
        <w:t xml:space="preserve">, K., Tripathi, S., Wei, Y.D., Chen, W. and Joshi, G., 2016. </w:t>
      </w:r>
      <w:r w:rsidRPr="00E65610">
        <w:rPr>
          <w:rFonts w:ascii="Arial" w:hAnsi="Arial" w:cs="Arial"/>
          <w:i/>
          <w:iCs/>
          <w:szCs w:val="18"/>
        </w:rPr>
        <w:t>The truly disadvantaged? Assessing social vulnerability to climate change in urban India</w:t>
      </w:r>
      <w:r w:rsidRPr="00E65610">
        <w:rPr>
          <w:rFonts w:ascii="Arial" w:hAnsi="Arial" w:cs="Arial"/>
          <w:szCs w:val="18"/>
        </w:rPr>
        <w:t>. Habitat International, 56, pp.124–135.</w:t>
      </w:r>
    </w:p>
    <w:p w14:paraId="2BA05D32" w14:textId="77777777" w:rsidR="00441B6F" w:rsidRPr="00E65610" w:rsidRDefault="00441B6F" w:rsidP="00441B6F">
      <w:pPr>
        <w:pStyle w:val="Body"/>
        <w:spacing w:after="0"/>
        <w:jc w:val="left"/>
        <w:rPr>
          <w:rFonts w:ascii="Arial" w:hAnsi="Arial" w:cs="Arial"/>
        </w:rPr>
      </w:pPr>
    </w:p>
    <w:p w14:paraId="42241863" w14:textId="77777777" w:rsidR="00B01FCD" w:rsidRPr="00E65610" w:rsidRDefault="00B01FCD" w:rsidP="00441B6F">
      <w:pPr>
        <w:pStyle w:val="Reference"/>
        <w:numPr>
          <w:ilvl w:val="0"/>
          <w:numId w:val="0"/>
        </w:numPr>
        <w:spacing w:line="240" w:lineRule="auto"/>
        <w:rPr>
          <w:rFonts w:ascii="Arial" w:hAnsi="Arial" w:cs="Arial"/>
        </w:rPr>
      </w:pPr>
    </w:p>
    <w:p w14:paraId="3A06A91E" w14:textId="77777777" w:rsidR="00B01FCD" w:rsidRPr="00662607" w:rsidRDefault="00B01FCD" w:rsidP="00AF7F4A">
      <w:pPr>
        <w:pStyle w:val="Appendix"/>
        <w:spacing w:after="0"/>
        <w:jc w:val="both"/>
        <w:rPr>
          <w:rFonts w:ascii="Arial" w:hAnsi="Arial" w:cs="Arial"/>
          <w:b w:val="0"/>
        </w:rPr>
      </w:pPr>
    </w:p>
    <w:sectPr w:rsidR="00B01FCD" w:rsidRPr="00662607" w:rsidSect="00183F53">
      <w:headerReference w:type="even" r:id="rId28"/>
      <w:headerReference w:type="default" r:id="rId29"/>
      <w:footerReference w:type="default" r:id="rId30"/>
      <w:headerReference w:type="first" r:id="rId3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D8C244" w14:textId="77777777" w:rsidR="00CF0EBC" w:rsidRDefault="00CF0EBC" w:rsidP="00C37E61">
      <w:r>
        <w:separator/>
      </w:r>
    </w:p>
  </w:endnote>
  <w:endnote w:type="continuationSeparator" w:id="0">
    <w:p w14:paraId="40073BFB" w14:textId="77777777" w:rsidR="00CF0EBC" w:rsidRDefault="00CF0EB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F1AA5" w14:textId="77777777" w:rsidR="00183F53" w:rsidRDefault="00183F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774EF" w14:textId="77777777" w:rsidR="00183F53" w:rsidRDefault="00183F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3E077" w14:textId="409E15B2" w:rsidR="00754C9A" w:rsidRPr="00183F53" w:rsidRDefault="00754C9A" w:rsidP="00183F53">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A451E" w14:textId="77777777" w:rsidR="00695A77" w:rsidRPr="00C37E61" w:rsidRDefault="00695A77" w:rsidP="00C37E6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B40D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3AC75D" w14:textId="77777777" w:rsidR="00CF0EBC" w:rsidRDefault="00CF0EBC" w:rsidP="00C37E61">
      <w:r>
        <w:separator/>
      </w:r>
    </w:p>
  </w:footnote>
  <w:footnote w:type="continuationSeparator" w:id="0">
    <w:p w14:paraId="5DA360ED" w14:textId="77777777" w:rsidR="00CF0EBC" w:rsidRDefault="00CF0EB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7841A" w14:textId="1A01AB2C" w:rsidR="00183F53" w:rsidRDefault="00183F53">
    <w:pPr>
      <w:pStyle w:val="Header"/>
    </w:pPr>
    <w:r>
      <w:rPr>
        <w:noProof/>
      </w:rPr>
      <w:pict w14:anchorId="2D4DBA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4302220"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44DCB" w14:textId="6EBFFB15" w:rsidR="00183F53" w:rsidRDefault="00183F53">
    <w:pPr>
      <w:pStyle w:val="Header"/>
    </w:pPr>
    <w:r>
      <w:rPr>
        <w:noProof/>
      </w:rPr>
      <w:pict w14:anchorId="201207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4302221"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CD456" w14:textId="538DC133" w:rsidR="00296529" w:rsidRPr="00296529" w:rsidRDefault="00183F53" w:rsidP="00296529">
    <w:pPr>
      <w:ind w:left="2160"/>
      <w:jc w:val="center"/>
      <w:rPr>
        <w:rFonts w:ascii="Times New Roman" w:eastAsia="Calibri" w:hAnsi="Times New Roman"/>
        <w:i/>
        <w:sz w:val="18"/>
        <w:szCs w:val="22"/>
      </w:rPr>
    </w:pPr>
    <w:r>
      <w:rPr>
        <w:noProof/>
      </w:rPr>
      <w:pict w14:anchorId="053B6B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4302219"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23ACD7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4E85EF7"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18FE75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8AA1A78"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0C633BA"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EBB410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A2AC2" w14:textId="2B0F02E4" w:rsidR="00183F53" w:rsidRDefault="00183F53">
    <w:pPr>
      <w:pStyle w:val="Header"/>
    </w:pPr>
    <w:r>
      <w:rPr>
        <w:noProof/>
      </w:rPr>
      <w:pict w14:anchorId="1B912A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4302223"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EAA7D" w14:textId="6B13F565" w:rsidR="00183F53" w:rsidRDefault="00183F53">
    <w:pPr>
      <w:pStyle w:val="Header"/>
    </w:pPr>
    <w:r>
      <w:rPr>
        <w:noProof/>
      </w:rPr>
      <w:pict w14:anchorId="346D95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4302224"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E39C0" w14:textId="3F74F339" w:rsidR="00183F53" w:rsidRDefault="00183F53">
    <w:pPr>
      <w:pStyle w:val="Header"/>
    </w:pPr>
    <w:r>
      <w:rPr>
        <w:noProof/>
      </w:rPr>
      <w:pict w14:anchorId="73592F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4302222"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50780" w14:textId="324A6E63" w:rsidR="00183F53" w:rsidRDefault="00183F53">
    <w:pPr>
      <w:pStyle w:val="Header"/>
    </w:pPr>
    <w:r>
      <w:rPr>
        <w:noProof/>
      </w:rPr>
      <w:pict w14:anchorId="3B4DC9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4302226" o:spid="_x0000_s2056" type="#_x0000_t136" style="position:absolute;margin-left:0;margin-top:0;width:519.9pt;height:58.6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B137D" w14:textId="0B08411B" w:rsidR="00183F53" w:rsidRDefault="00183F53">
    <w:pPr>
      <w:pStyle w:val="Header"/>
    </w:pPr>
    <w:r>
      <w:rPr>
        <w:noProof/>
      </w:rPr>
      <w:pict w14:anchorId="21B3D5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4302227" o:spid="_x0000_s2057" type="#_x0000_t136" style="position:absolute;margin-left:0;margin-top:0;width:519.9pt;height:58.65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81821" w14:textId="6B399F2A" w:rsidR="00183F53" w:rsidRDefault="00183F53">
    <w:pPr>
      <w:pStyle w:val="Header"/>
    </w:pPr>
    <w:r>
      <w:rPr>
        <w:noProof/>
      </w:rPr>
      <w:pict w14:anchorId="75CA41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4302225" o:spid="_x0000_s2055" type="#_x0000_t136" style="position:absolute;margin-left:0;margin-top:0;width:519.9pt;height:58.6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ADE7646"/>
    <w:multiLevelType w:val="hybridMultilevel"/>
    <w:tmpl w:val="C458F9B8"/>
    <w:lvl w:ilvl="0" w:tplc="A2E0D99A">
      <w:start w:val="1"/>
      <w:numFmt w:val="decimal"/>
      <w:lvlText w:val="%1."/>
      <w:lvlJc w:val="left"/>
      <w:pPr>
        <w:ind w:left="720" w:hanging="360"/>
      </w:pPr>
      <w:rPr>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9"/>
  </w:num>
  <w:num w:numId="20">
    <w:abstractNumId w:val="11"/>
  </w:num>
  <w:num w:numId="21">
    <w:abstractNumId w:val="9"/>
  </w:num>
  <w:num w:numId="22">
    <w:abstractNumId w:val="13"/>
  </w:num>
  <w:num w:numId="23">
    <w:abstractNumId w:val="19"/>
  </w:num>
  <w:num w:numId="24">
    <w:abstractNumId w:val="27"/>
  </w:num>
  <w:num w:numId="25">
    <w:abstractNumId w:val="4"/>
  </w:num>
  <w:num w:numId="26">
    <w:abstractNumId w:val="16"/>
  </w:num>
  <w:num w:numId="27">
    <w:abstractNumId w:val="20"/>
  </w:num>
  <w:num w:numId="28">
    <w:abstractNumId w:val="28"/>
  </w:num>
  <w:num w:numId="29">
    <w:abstractNumId w:val="24"/>
  </w:num>
  <w:num w:numId="30">
    <w:abstractNumId w:val="10"/>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5F11"/>
    <w:rsid w:val="00026C54"/>
    <w:rsid w:val="00030174"/>
    <w:rsid w:val="00041618"/>
    <w:rsid w:val="0004579C"/>
    <w:rsid w:val="00055530"/>
    <w:rsid w:val="000A47FA"/>
    <w:rsid w:val="000A65D3"/>
    <w:rsid w:val="000B1E33"/>
    <w:rsid w:val="000C24FB"/>
    <w:rsid w:val="000D6175"/>
    <w:rsid w:val="000D689F"/>
    <w:rsid w:val="000E7B7B"/>
    <w:rsid w:val="000E7D62"/>
    <w:rsid w:val="00103357"/>
    <w:rsid w:val="00123C9F"/>
    <w:rsid w:val="00126190"/>
    <w:rsid w:val="0012759E"/>
    <w:rsid w:val="00130F17"/>
    <w:rsid w:val="001320BF"/>
    <w:rsid w:val="00137676"/>
    <w:rsid w:val="00163BC4"/>
    <w:rsid w:val="00181DBF"/>
    <w:rsid w:val="00183F53"/>
    <w:rsid w:val="00191062"/>
    <w:rsid w:val="00192B72"/>
    <w:rsid w:val="001A29D8"/>
    <w:rsid w:val="001A5CAA"/>
    <w:rsid w:val="001B0427"/>
    <w:rsid w:val="001D3A51"/>
    <w:rsid w:val="001E10D2"/>
    <w:rsid w:val="001E25B4"/>
    <w:rsid w:val="001E44FE"/>
    <w:rsid w:val="00200595"/>
    <w:rsid w:val="00204730"/>
    <w:rsid w:val="00204835"/>
    <w:rsid w:val="00231920"/>
    <w:rsid w:val="0023195C"/>
    <w:rsid w:val="002353DD"/>
    <w:rsid w:val="0024282C"/>
    <w:rsid w:val="002460DC"/>
    <w:rsid w:val="00250985"/>
    <w:rsid w:val="002556F6"/>
    <w:rsid w:val="00283105"/>
    <w:rsid w:val="00284C4C"/>
    <w:rsid w:val="00287E68"/>
    <w:rsid w:val="00296529"/>
    <w:rsid w:val="002B11FC"/>
    <w:rsid w:val="002B27FB"/>
    <w:rsid w:val="002B685A"/>
    <w:rsid w:val="002C57D2"/>
    <w:rsid w:val="002E0D56"/>
    <w:rsid w:val="00315186"/>
    <w:rsid w:val="0033343E"/>
    <w:rsid w:val="00342C1E"/>
    <w:rsid w:val="003512C2"/>
    <w:rsid w:val="00371FB6"/>
    <w:rsid w:val="00373A28"/>
    <w:rsid w:val="003763C1"/>
    <w:rsid w:val="00376BBE"/>
    <w:rsid w:val="0039224F"/>
    <w:rsid w:val="003A43A4"/>
    <w:rsid w:val="003A7E18"/>
    <w:rsid w:val="003C4C86"/>
    <w:rsid w:val="003C6258"/>
    <w:rsid w:val="003E2904"/>
    <w:rsid w:val="00401927"/>
    <w:rsid w:val="0041027F"/>
    <w:rsid w:val="00412475"/>
    <w:rsid w:val="00423789"/>
    <w:rsid w:val="00431DB5"/>
    <w:rsid w:val="00440F43"/>
    <w:rsid w:val="00441B6F"/>
    <w:rsid w:val="00446221"/>
    <w:rsid w:val="00450E62"/>
    <w:rsid w:val="004539DB"/>
    <w:rsid w:val="00471A80"/>
    <w:rsid w:val="004C4B37"/>
    <w:rsid w:val="004D305E"/>
    <w:rsid w:val="004D4277"/>
    <w:rsid w:val="004F345E"/>
    <w:rsid w:val="00502516"/>
    <w:rsid w:val="00505F06"/>
    <w:rsid w:val="00506828"/>
    <w:rsid w:val="0051559C"/>
    <w:rsid w:val="00520288"/>
    <w:rsid w:val="0053056E"/>
    <w:rsid w:val="0054194C"/>
    <w:rsid w:val="005426E2"/>
    <w:rsid w:val="00554FDA"/>
    <w:rsid w:val="00570971"/>
    <w:rsid w:val="005C784C"/>
    <w:rsid w:val="005D17F6"/>
    <w:rsid w:val="005E5539"/>
    <w:rsid w:val="00602BF5"/>
    <w:rsid w:val="00617FDD"/>
    <w:rsid w:val="00633614"/>
    <w:rsid w:val="00633F68"/>
    <w:rsid w:val="00636EB2"/>
    <w:rsid w:val="006375B8"/>
    <w:rsid w:val="00662607"/>
    <w:rsid w:val="0066510A"/>
    <w:rsid w:val="00673F9F"/>
    <w:rsid w:val="00674480"/>
    <w:rsid w:val="00686953"/>
    <w:rsid w:val="00687DEA"/>
    <w:rsid w:val="00687E67"/>
    <w:rsid w:val="00695A77"/>
    <w:rsid w:val="006963A4"/>
    <w:rsid w:val="006967F7"/>
    <w:rsid w:val="006A250C"/>
    <w:rsid w:val="006B21D3"/>
    <w:rsid w:val="006B57D0"/>
    <w:rsid w:val="006C0EDB"/>
    <w:rsid w:val="006C4102"/>
    <w:rsid w:val="006D30FF"/>
    <w:rsid w:val="006D58ED"/>
    <w:rsid w:val="006D6940"/>
    <w:rsid w:val="006E1007"/>
    <w:rsid w:val="006E3740"/>
    <w:rsid w:val="006F11EC"/>
    <w:rsid w:val="0070082C"/>
    <w:rsid w:val="00732489"/>
    <w:rsid w:val="007369E6"/>
    <w:rsid w:val="00746E59"/>
    <w:rsid w:val="00754C9A"/>
    <w:rsid w:val="0075599A"/>
    <w:rsid w:val="00761D52"/>
    <w:rsid w:val="007660C0"/>
    <w:rsid w:val="00766B56"/>
    <w:rsid w:val="0077749E"/>
    <w:rsid w:val="00790ADA"/>
    <w:rsid w:val="007D2288"/>
    <w:rsid w:val="007E088F"/>
    <w:rsid w:val="007F7B32"/>
    <w:rsid w:val="00804BC2"/>
    <w:rsid w:val="008140EA"/>
    <w:rsid w:val="0081431A"/>
    <w:rsid w:val="0083216F"/>
    <w:rsid w:val="00860000"/>
    <w:rsid w:val="00863BD3"/>
    <w:rsid w:val="008641ED"/>
    <w:rsid w:val="00866D66"/>
    <w:rsid w:val="008671C6"/>
    <w:rsid w:val="00875803"/>
    <w:rsid w:val="00896D28"/>
    <w:rsid w:val="008B459E"/>
    <w:rsid w:val="008B4985"/>
    <w:rsid w:val="008E13AE"/>
    <w:rsid w:val="008E1506"/>
    <w:rsid w:val="008E710C"/>
    <w:rsid w:val="008F69D6"/>
    <w:rsid w:val="00902823"/>
    <w:rsid w:val="00915CA6"/>
    <w:rsid w:val="00927834"/>
    <w:rsid w:val="009500A6"/>
    <w:rsid w:val="00957C18"/>
    <w:rsid w:val="009659BA"/>
    <w:rsid w:val="00983040"/>
    <w:rsid w:val="00991BB3"/>
    <w:rsid w:val="009B3FB9"/>
    <w:rsid w:val="009C2465"/>
    <w:rsid w:val="009D2314"/>
    <w:rsid w:val="009D35A0"/>
    <w:rsid w:val="009D50BC"/>
    <w:rsid w:val="009D7EB7"/>
    <w:rsid w:val="009E048A"/>
    <w:rsid w:val="009E08E9"/>
    <w:rsid w:val="009E3DB9"/>
    <w:rsid w:val="009E6E35"/>
    <w:rsid w:val="009F0EDA"/>
    <w:rsid w:val="00A03B96"/>
    <w:rsid w:val="00A05B19"/>
    <w:rsid w:val="00A1134E"/>
    <w:rsid w:val="00A22571"/>
    <w:rsid w:val="00A24E7E"/>
    <w:rsid w:val="00A258C3"/>
    <w:rsid w:val="00A347C0"/>
    <w:rsid w:val="00A51431"/>
    <w:rsid w:val="00A539AD"/>
    <w:rsid w:val="00A94063"/>
    <w:rsid w:val="00AA6219"/>
    <w:rsid w:val="00AA74E0"/>
    <w:rsid w:val="00AB703F"/>
    <w:rsid w:val="00AC2CAA"/>
    <w:rsid w:val="00AC6BB8"/>
    <w:rsid w:val="00AE008F"/>
    <w:rsid w:val="00AE1008"/>
    <w:rsid w:val="00AF20EA"/>
    <w:rsid w:val="00AF7882"/>
    <w:rsid w:val="00AF7F4A"/>
    <w:rsid w:val="00B0162D"/>
    <w:rsid w:val="00B01FCD"/>
    <w:rsid w:val="00B1776C"/>
    <w:rsid w:val="00B52583"/>
    <w:rsid w:val="00B52896"/>
    <w:rsid w:val="00B66458"/>
    <w:rsid w:val="00B7773B"/>
    <w:rsid w:val="00B95236"/>
    <w:rsid w:val="00B96BD9"/>
    <w:rsid w:val="00BA1B01"/>
    <w:rsid w:val="00BA2641"/>
    <w:rsid w:val="00BA6799"/>
    <w:rsid w:val="00BB37AA"/>
    <w:rsid w:val="00BC53A0"/>
    <w:rsid w:val="00BE62AD"/>
    <w:rsid w:val="00BF121F"/>
    <w:rsid w:val="00BF1F80"/>
    <w:rsid w:val="00C166EF"/>
    <w:rsid w:val="00C17EB0"/>
    <w:rsid w:val="00C23DDA"/>
    <w:rsid w:val="00C27F5F"/>
    <w:rsid w:val="00C30A0F"/>
    <w:rsid w:val="00C37E61"/>
    <w:rsid w:val="00C70F1B"/>
    <w:rsid w:val="00C71A47"/>
    <w:rsid w:val="00C7464C"/>
    <w:rsid w:val="00C85588"/>
    <w:rsid w:val="00CD6755"/>
    <w:rsid w:val="00CD6856"/>
    <w:rsid w:val="00CE0089"/>
    <w:rsid w:val="00CE793C"/>
    <w:rsid w:val="00CF0EBC"/>
    <w:rsid w:val="00CF193C"/>
    <w:rsid w:val="00D03D9F"/>
    <w:rsid w:val="00D14C8C"/>
    <w:rsid w:val="00D173F1"/>
    <w:rsid w:val="00D32174"/>
    <w:rsid w:val="00D37423"/>
    <w:rsid w:val="00D74CB0"/>
    <w:rsid w:val="00D8295D"/>
    <w:rsid w:val="00DC2A65"/>
    <w:rsid w:val="00DE15F0"/>
    <w:rsid w:val="00DE27C9"/>
    <w:rsid w:val="00DE5663"/>
    <w:rsid w:val="00DE78AA"/>
    <w:rsid w:val="00E053D0"/>
    <w:rsid w:val="00E07732"/>
    <w:rsid w:val="00E15994"/>
    <w:rsid w:val="00E22A99"/>
    <w:rsid w:val="00E3114E"/>
    <w:rsid w:val="00E31A70"/>
    <w:rsid w:val="00E35B02"/>
    <w:rsid w:val="00E46043"/>
    <w:rsid w:val="00E46A24"/>
    <w:rsid w:val="00E65610"/>
    <w:rsid w:val="00E66496"/>
    <w:rsid w:val="00E66B35"/>
    <w:rsid w:val="00E66E10"/>
    <w:rsid w:val="00E769F6"/>
    <w:rsid w:val="00E8407C"/>
    <w:rsid w:val="00E84F3C"/>
    <w:rsid w:val="00EA012C"/>
    <w:rsid w:val="00EA184C"/>
    <w:rsid w:val="00EC457C"/>
    <w:rsid w:val="00EC6A55"/>
    <w:rsid w:val="00ED0288"/>
    <w:rsid w:val="00EE52CB"/>
    <w:rsid w:val="00EF581D"/>
    <w:rsid w:val="00EF7A32"/>
    <w:rsid w:val="00EF7FD8"/>
    <w:rsid w:val="00F06F59"/>
    <w:rsid w:val="00F17917"/>
    <w:rsid w:val="00F17988"/>
    <w:rsid w:val="00F469F0"/>
    <w:rsid w:val="00F53273"/>
    <w:rsid w:val="00F63AE5"/>
    <w:rsid w:val="00F755E4"/>
    <w:rsid w:val="00F77D02"/>
    <w:rsid w:val="00FB3A86"/>
    <w:rsid w:val="00FD36C8"/>
    <w:rsid w:val="00FF2629"/>
    <w:rsid w:val="00FF7AB4"/>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rules v:ext="edit">
        <o:r id="V:Rule1" type="connector" idref="#_x0000_s1085"/>
      </o:rules>
    </o:shapelayout>
  </w:shapeDefaults>
  <w:decimalSymbol w:val="."/>
  <w:listSeparator w:val=","/>
  <w14:docId w14:val="75E2D28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Caption">
    <w:name w:val="caption"/>
    <w:basedOn w:val="Normal"/>
    <w:next w:val="Normal"/>
    <w:uiPriority w:val="35"/>
    <w:unhideWhenUsed/>
    <w:qFormat/>
    <w:rsid w:val="00FF2629"/>
    <w:pPr>
      <w:spacing w:after="200"/>
    </w:pPr>
    <w:rPr>
      <w:rFonts w:asciiTheme="minorHAnsi" w:eastAsiaTheme="minorHAnsi" w:hAnsiTheme="minorHAnsi" w:cstheme="minorBidi"/>
      <w:i/>
      <w:iCs/>
      <w:color w:val="1F497D" w:themeColor="text2"/>
      <w:sz w:val="18"/>
      <w:szCs w:val="16"/>
      <w:lang w:bidi="mr-IN"/>
    </w:rPr>
  </w:style>
  <w:style w:type="table" w:styleId="GridTable2">
    <w:name w:val="Grid Table 2"/>
    <w:basedOn w:val="TableNormal"/>
    <w:uiPriority w:val="47"/>
    <w:rsid w:val="002B11FC"/>
    <w:rPr>
      <w:rFonts w:asciiTheme="minorHAnsi" w:eastAsiaTheme="minorHAnsi" w:hAnsiTheme="minorHAnsi" w:cstheme="minorBidi"/>
      <w:sz w:val="22"/>
      <w:lang w:bidi="mr-IN"/>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2047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53907175">
      <w:bodyDiv w:val="1"/>
      <w:marLeft w:val="0"/>
      <w:marRight w:val="0"/>
      <w:marTop w:val="0"/>
      <w:marBottom w:val="0"/>
      <w:divBdr>
        <w:top w:val="none" w:sz="0" w:space="0" w:color="auto"/>
        <w:left w:val="none" w:sz="0" w:space="0" w:color="auto"/>
        <w:bottom w:val="none" w:sz="0" w:space="0" w:color="auto"/>
        <w:right w:val="none" w:sz="0" w:space="0" w:color="auto"/>
      </w:divBdr>
    </w:div>
    <w:div w:id="600647025">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72775599">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header" Target="header5.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header" Target="header7.xml"/><Relationship Id="rId10" Type="http://schemas.openxmlformats.org/officeDocument/2006/relationships/footer" Target="footer1.xml"/><Relationship Id="rId19" Type="http://schemas.openxmlformats.org/officeDocument/2006/relationships/image" Target="media/image6.emf"/><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eader" Target="header6.xml"/><Relationship Id="rId30" Type="http://schemas.openxmlformats.org/officeDocument/2006/relationships/footer" Target="footer5.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518B55-E69C-4AFE-81B6-0ACD192AC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238</TotalTime>
  <Pages>12</Pages>
  <Words>4203</Words>
  <Characters>23962</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28109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45</cp:revision>
  <cp:lastPrinted>2026-03-06T10:49:00Z</cp:lastPrinted>
  <dcterms:created xsi:type="dcterms:W3CDTF">2014-10-25T14:34:00Z</dcterms:created>
  <dcterms:modified xsi:type="dcterms:W3CDTF">2026-03-07T13:38:00Z</dcterms:modified>
</cp:coreProperties>
</file>