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481F4" w14:textId="444758D1" w:rsidR="009E7585" w:rsidRDefault="004B6721" w:rsidP="00BA2917">
      <w:pPr>
        <w:jc w:val="center"/>
        <w:rPr>
          <w:b/>
          <w:bCs/>
          <w:sz w:val="26"/>
          <w:szCs w:val="26"/>
          <w:lang w:val="en-US"/>
        </w:rPr>
      </w:pPr>
      <w:r>
        <w:rPr>
          <w:b/>
          <w:bCs/>
          <w:sz w:val="26"/>
          <w:szCs w:val="26"/>
          <w:lang w:val="en-US"/>
        </w:rPr>
        <w:t xml:space="preserve"> </w:t>
      </w:r>
      <w:r w:rsidR="009E7585" w:rsidRPr="009E7585">
        <w:rPr>
          <w:b/>
          <w:bCs/>
          <w:sz w:val="26"/>
          <w:szCs w:val="26"/>
          <w:lang w:val="en-US"/>
        </w:rPr>
        <w:t xml:space="preserve">Groundwater Quality Assessment for </w:t>
      </w:r>
      <w:r w:rsidR="00D341CD">
        <w:rPr>
          <w:b/>
          <w:bCs/>
          <w:sz w:val="26"/>
          <w:szCs w:val="26"/>
          <w:lang w:val="en-US"/>
        </w:rPr>
        <w:t>D</w:t>
      </w:r>
      <w:r w:rsidR="009E7585" w:rsidRPr="009E7585">
        <w:rPr>
          <w:b/>
          <w:bCs/>
          <w:sz w:val="26"/>
          <w:szCs w:val="26"/>
          <w:lang w:val="en-US"/>
        </w:rPr>
        <w:t xml:space="preserve">omestic and </w:t>
      </w:r>
      <w:r w:rsidR="00D341CD">
        <w:rPr>
          <w:b/>
          <w:bCs/>
          <w:sz w:val="26"/>
          <w:szCs w:val="26"/>
          <w:lang w:val="en-US"/>
        </w:rPr>
        <w:t>I</w:t>
      </w:r>
      <w:r w:rsidR="009E7585" w:rsidRPr="009E7585">
        <w:rPr>
          <w:b/>
          <w:bCs/>
          <w:sz w:val="26"/>
          <w:szCs w:val="26"/>
          <w:lang w:val="en-US"/>
        </w:rPr>
        <w:t xml:space="preserve">rrigation </w:t>
      </w:r>
      <w:r w:rsidR="00D341CD">
        <w:rPr>
          <w:b/>
          <w:bCs/>
          <w:sz w:val="26"/>
          <w:szCs w:val="26"/>
          <w:lang w:val="en-US"/>
        </w:rPr>
        <w:t>p</w:t>
      </w:r>
      <w:r w:rsidR="009E7585" w:rsidRPr="009E7585">
        <w:rPr>
          <w:b/>
          <w:bCs/>
          <w:sz w:val="26"/>
          <w:szCs w:val="26"/>
          <w:lang w:val="en-US"/>
        </w:rPr>
        <w:t xml:space="preserve">urposes for Lower Papagni river basin in </w:t>
      </w:r>
      <w:proofErr w:type="spellStart"/>
      <w:r w:rsidR="009E7585">
        <w:rPr>
          <w:b/>
          <w:bCs/>
          <w:sz w:val="26"/>
          <w:szCs w:val="26"/>
          <w:lang w:val="en-US"/>
        </w:rPr>
        <w:t>C</w:t>
      </w:r>
      <w:r w:rsidR="009E7585" w:rsidRPr="009E7585">
        <w:rPr>
          <w:b/>
          <w:bCs/>
          <w:sz w:val="26"/>
          <w:szCs w:val="26"/>
          <w:lang w:val="en-US"/>
        </w:rPr>
        <w:t>hikkaballapura</w:t>
      </w:r>
      <w:proofErr w:type="spellEnd"/>
      <w:r w:rsidR="009E7585" w:rsidRPr="009E7585">
        <w:rPr>
          <w:b/>
          <w:bCs/>
          <w:sz w:val="26"/>
          <w:szCs w:val="26"/>
          <w:lang w:val="en-US"/>
        </w:rPr>
        <w:t xml:space="preserve"> </w:t>
      </w:r>
      <w:r w:rsidR="00D341CD">
        <w:rPr>
          <w:b/>
          <w:bCs/>
          <w:sz w:val="26"/>
          <w:szCs w:val="26"/>
          <w:lang w:val="en-US"/>
        </w:rPr>
        <w:t>d</w:t>
      </w:r>
      <w:r w:rsidR="009E7585" w:rsidRPr="009E7585">
        <w:rPr>
          <w:b/>
          <w:bCs/>
          <w:sz w:val="26"/>
          <w:szCs w:val="26"/>
          <w:lang w:val="en-US"/>
        </w:rPr>
        <w:t xml:space="preserve">istrict, </w:t>
      </w:r>
      <w:r w:rsidR="009E7585">
        <w:rPr>
          <w:b/>
          <w:bCs/>
          <w:sz w:val="26"/>
          <w:szCs w:val="26"/>
          <w:lang w:val="en-US"/>
        </w:rPr>
        <w:t>K</w:t>
      </w:r>
      <w:r w:rsidR="009E7585" w:rsidRPr="009E7585">
        <w:rPr>
          <w:b/>
          <w:bCs/>
          <w:sz w:val="26"/>
          <w:szCs w:val="26"/>
          <w:lang w:val="en-US"/>
        </w:rPr>
        <w:t>arnataka</w:t>
      </w:r>
      <w:r w:rsidR="00D341CD">
        <w:rPr>
          <w:b/>
          <w:bCs/>
          <w:sz w:val="26"/>
          <w:szCs w:val="26"/>
          <w:lang w:val="en-US"/>
        </w:rPr>
        <w:t>, India using Geospatial tools</w:t>
      </w:r>
    </w:p>
    <w:p w14:paraId="2A07EAC0" w14:textId="77777777" w:rsidR="00E52FFC" w:rsidRDefault="00E52FFC" w:rsidP="00BA2917">
      <w:pPr>
        <w:jc w:val="center"/>
        <w:rPr>
          <w:b/>
          <w:bCs/>
          <w:sz w:val="26"/>
          <w:szCs w:val="26"/>
          <w:lang w:val="en-US"/>
        </w:rPr>
      </w:pPr>
    </w:p>
    <w:p w14:paraId="62857A29" w14:textId="77777777" w:rsidR="006C7A8B" w:rsidRDefault="006C7A8B" w:rsidP="006F20A6">
      <w:pPr>
        <w:ind w:right="-330"/>
        <w:jc w:val="center"/>
        <w:rPr>
          <w:color w:val="156082" w:themeColor="accent1"/>
          <w:sz w:val="20"/>
          <w:szCs w:val="20"/>
        </w:rPr>
      </w:pPr>
      <w:bookmarkStart w:id="0" w:name="_GoBack"/>
      <w:bookmarkEnd w:id="0"/>
    </w:p>
    <w:p w14:paraId="2F7104A9" w14:textId="77777777" w:rsidR="006C7A8B" w:rsidRDefault="006C7A8B" w:rsidP="006F20A6">
      <w:pPr>
        <w:ind w:right="-330"/>
        <w:jc w:val="center"/>
        <w:rPr>
          <w:color w:val="156082" w:themeColor="accent1"/>
          <w:sz w:val="20"/>
          <w:szCs w:val="20"/>
        </w:rPr>
      </w:pPr>
    </w:p>
    <w:p w14:paraId="11B79452" w14:textId="77777777" w:rsidR="006C7A8B" w:rsidRPr="006F20A6" w:rsidRDefault="006C7A8B" w:rsidP="006F20A6">
      <w:pPr>
        <w:ind w:right="-330"/>
        <w:jc w:val="center"/>
        <w:rPr>
          <w:sz w:val="20"/>
          <w:szCs w:val="20"/>
        </w:rPr>
      </w:pPr>
    </w:p>
    <w:p w14:paraId="7301F352" w14:textId="5DCBE648" w:rsidR="006F20A6" w:rsidRDefault="004B6721">
      <w:pPr>
        <w:rPr>
          <w:b/>
          <w:bCs/>
          <w:sz w:val="26"/>
          <w:szCs w:val="26"/>
          <w:lang w:val="en-US"/>
        </w:rPr>
      </w:pPr>
      <w:r>
        <w:rPr>
          <w:b/>
          <w:bCs/>
          <w:sz w:val="26"/>
          <w:szCs w:val="26"/>
          <w:lang w:val="en-US"/>
        </w:rPr>
        <w:t>Abstract</w:t>
      </w:r>
    </w:p>
    <w:p w14:paraId="7950D219" w14:textId="2C99132B" w:rsidR="004B6721" w:rsidRDefault="004B6721">
      <w:pPr>
        <w:rPr>
          <w:b/>
          <w:bCs/>
          <w:sz w:val="26"/>
          <w:szCs w:val="26"/>
          <w:lang w:val="en-US"/>
        </w:rPr>
      </w:pPr>
    </w:p>
    <w:p w14:paraId="736AF951" w14:textId="6655C309" w:rsidR="004B6721" w:rsidRPr="00B85297" w:rsidRDefault="004B6721" w:rsidP="004B6721">
      <w:pPr>
        <w:pStyle w:val="NormalWeb"/>
        <w:ind w:right="-330"/>
        <w:jc w:val="both"/>
        <w:rPr>
          <w:sz w:val="20"/>
          <w:szCs w:val="20"/>
        </w:rPr>
      </w:pPr>
      <w:r w:rsidRPr="006C7A8B">
        <w:rPr>
          <w:sz w:val="20"/>
          <w:szCs w:val="20"/>
        </w:rPr>
        <w:t>Groundwater occurs mainly in weathered and fractured zones and is vulnerable to both geogenic and anthropogenic contamination. Fluoride enrichment, commonly associated with the dissolution of fluoride-bearing minerals in granitic terrains, has been widely reported in Karnataka.</w:t>
      </w:r>
      <w:r>
        <w:rPr>
          <w:sz w:val="20"/>
          <w:szCs w:val="20"/>
        </w:rPr>
        <w:t xml:space="preserve"> </w:t>
      </w:r>
      <w:r w:rsidRPr="00125A1E">
        <w:rPr>
          <w:sz w:val="20"/>
          <w:szCs w:val="20"/>
        </w:rPr>
        <w:t xml:space="preserve">Field measurements of pH, Electrical Conductivity (EC), and Total Dissolved Solids (TDS) were recorded using portable meters, while major cations and anions were </w:t>
      </w:r>
      <w:proofErr w:type="spellStart"/>
      <w:r w:rsidRPr="00125A1E">
        <w:rPr>
          <w:sz w:val="20"/>
          <w:szCs w:val="20"/>
        </w:rPr>
        <w:t>analyzed</w:t>
      </w:r>
      <w:proofErr w:type="spellEnd"/>
      <w:r w:rsidRPr="00125A1E">
        <w:rPr>
          <w:sz w:val="20"/>
          <w:szCs w:val="20"/>
        </w:rPr>
        <w:t xml:space="preserve"> in the laboratory following standard procedures</w:t>
      </w:r>
      <w:r>
        <w:rPr>
          <w:sz w:val="20"/>
          <w:szCs w:val="20"/>
        </w:rPr>
        <w:t xml:space="preserve">. </w:t>
      </w:r>
      <w:r w:rsidRPr="00B85297">
        <w:rPr>
          <w:sz w:val="20"/>
          <w:szCs w:val="20"/>
        </w:rPr>
        <w:t xml:space="preserve">The dominance of rock-weathering processes in the Gibbs diagram aligns with these elevated TDS values and indicates that the major ions originate from natural geogenic sources rather than anthropogenic pollution. Overall, the Gibbs plots confirm that groundwater chemistry is controlled primarily by </w:t>
      </w:r>
      <w:r w:rsidRPr="00B85297">
        <w:rPr>
          <w:rStyle w:val="Strong"/>
          <w:b w:val="0"/>
          <w:bCs w:val="0"/>
          <w:sz w:val="20"/>
          <w:szCs w:val="20"/>
        </w:rPr>
        <w:t>geochemical weathering</w:t>
      </w:r>
      <w:r w:rsidRPr="00B85297">
        <w:rPr>
          <w:sz w:val="20"/>
          <w:szCs w:val="20"/>
        </w:rPr>
        <w:t xml:space="preserve">, and while most samples meet </w:t>
      </w:r>
      <w:r w:rsidRPr="00B85297">
        <w:rPr>
          <w:rStyle w:val="Strong"/>
          <w:b w:val="0"/>
          <w:bCs w:val="0"/>
          <w:sz w:val="20"/>
          <w:szCs w:val="20"/>
        </w:rPr>
        <w:t>BIS and WHO permissible limits</w:t>
      </w:r>
      <w:r w:rsidRPr="00B85297">
        <w:rPr>
          <w:sz w:val="20"/>
          <w:szCs w:val="20"/>
        </w:rPr>
        <w:t>, a significant proportion exceeds desirable limits, requiring consideration for domestic suitability.</w:t>
      </w:r>
      <w:r>
        <w:rPr>
          <w:sz w:val="20"/>
          <w:szCs w:val="20"/>
        </w:rPr>
        <w:t xml:space="preserve"> </w:t>
      </w:r>
      <w:r w:rsidRPr="00B85297">
        <w:rPr>
          <w:sz w:val="20"/>
          <w:szCs w:val="20"/>
        </w:rPr>
        <w:t xml:space="preserve">A smaller portion, around </w:t>
      </w:r>
      <w:r w:rsidRPr="00B85297">
        <w:rPr>
          <w:rStyle w:val="Strong"/>
          <w:b w:val="0"/>
          <w:bCs w:val="0"/>
          <w:sz w:val="20"/>
          <w:szCs w:val="20"/>
        </w:rPr>
        <w:t>10–15%</w:t>
      </w:r>
      <w:r w:rsidRPr="00B85297">
        <w:rPr>
          <w:sz w:val="20"/>
          <w:szCs w:val="20"/>
        </w:rPr>
        <w:t xml:space="preserve">, plots toward the </w:t>
      </w:r>
      <w:r w:rsidRPr="00B85297">
        <w:rPr>
          <w:rStyle w:val="Strong"/>
          <w:b w:val="0"/>
          <w:bCs w:val="0"/>
          <w:sz w:val="20"/>
          <w:szCs w:val="20"/>
        </w:rPr>
        <w:t>precipitation dominance zone</w:t>
      </w:r>
      <w:r w:rsidRPr="00B85297">
        <w:rPr>
          <w:sz w:val="20"/>
          <w:szCs w:val="20"/>
        </w:rPr>
        <w:t xml:space="preserve">, reflecting recharge from rainfall with comparatively low mineral content. Only about </w:t>
      </w:r>
      <w:r w:rsidRPr="00B85297">
        <w:rPr>
          <w:rStyle w:val="Strong"/>
          <w:b w:val="0"/>
          <w:bCs w:val="0"/>
          <w:sz w:val="20"/>
          <w:szCs w:val="20"/>
        </w:rPr>
        <w:t>2–5% of samples</w:t>
      </w:r>
      <w:r w:rsidRPr="00B85297">
        <w:rPr>
          <w:sz w:val="20"/>
          <w:szCs w:val="20"/>
        </w:rPr>
        <w:t xml:space="preserve"> show trends toward the </w:t>
      </w:r>
      <w:r w:rsidRPr="00B85297">
        <w:rPr>
          <w:rStyle w:val="Strong"/>
          <w:b w:val="0"/>
          <w:bCs w:val="0"/>
          <w:sz w:val="20"/>
          <w:szCs w:val="20"/>
        </w:rPr>
        <w:t>evaporation dominance zone</w:t>
      </w:r>
      <w:r w:rsidRPr="00B85297">
        <w:rPr>
          <w:sz w:val="20"/>
          <w:szCs w:val="20"/>
        </w:rPr>
        <w:t>, suggesting minimal influence of evaporative concentration in the region.</w:t>
      </w:r>
      <w:r>
        <w:rPr>
          <w:sz w:val="20"/>
          <w:szCs w:val="20"/>
        </w:rPr>
        <w:t xml:space="preserve"> </w:t>
      </w:r>
    </w:p>
    <w:p w14:paraId="07811A30" w14:textId="063F71B3" w:rsidR="004B6721" w:rsidRDefault="004B6721">
      <w:pPr>
        <w:rPr>
          <w:b/>
          <w:bCs/>
          <w:sz w:val="26"/>
          <w:szCs w:val="26"/>
          <w:lang w:val="en-US"/>
        </w:rPr>
      </w:pPr>
      <w:proofErr w:type="spellStart"/>
      <w:r>
        <w:rPr>
          <w:b/>
          <w:bCs/>
          <w:sz w:val="26"/>
          <w:szCs w:val="26"/>
          <w:lang w:val="en-US"/>
        </w:rPr>
        <w:t>Keyworsds</w:t>
      </w:r>
      <w:proofErr w:type="spellEnd"/>
      <w:r>
        <w:rPr>
          <w:b/>
          <w:bCs/>
          <w:sz w:val="26"/>
          <w:szCs w:val="26"/>
          <w:lang w:val="en-US"/>
        </w:rPr>
        <w:t xml:space="preserve">: </w:t>
      </w:r>
      <w:r w:rsidRPr="006C7A8B">
        <w:rPr>
          <w:sz w:val="20"/>
          <w:szCs w:val="20"/>
        </w:rPr>
        <w:t>Groundwater</w:t>
      </w:r>
      <w:r>
        <w:rPr>
          <w:sz w:val="20"/>
          <w:szCs w:val="20"/>
        </w:rPr>
        <w:t xml:space="preserve">, Gibbs energy, </w:t>
      </w:r>
      <w:r w:rsidRPr="006C7A8B">
        <w:rPr>
          <w:sz w:val="20"/>
          <w:szCs w:val="20"/>
        </w:rPr>
        <w:t>groundwater chemistry</w:t>
      </w:r>
      <w:r>
        <w:rPr>
          <w:sz w:val="20"/>
          <w:szCs w:val="20"/>
        </w:rPr>
        <w:t>;</w:t>
      </w:r>
      <w:r w:rsidR="005B7ADF">
        <w:rPr>
          <w:sz w:val="20"/>
          <w:szCs w:val="20"/>
        </w:rPr>
        <w:t xml:space="preserve"> </w:t>
      </w:r>
      <w:r w:rsidR="005B7ADF" w:rsidRPr="006C7A8B">
        <w:rPr>
          <w:sz w:val="20"/>
          <w:szCs w:val="20"/>
        </w:rPr>
        <w:t>anthropogenic contamination</w:t>
      </w:r>
    </w:p>
    <w:p w14:paraId="11CB7C84" w14:textId="77777777" w:rsidR="00A262FD" w:rsidRDefault="00A262FD">
      <w:pPr>
        <w:rPr>
          <w:b/>
          <w:bCs/>
          <w:sz w:val="26"/>
          <w:szCs w:val="26"/>
          <w:lang w:val="en-US"/>
        </w:rPr>
      </w:pPr>
    </w:p>
    <w:p w14:paraId="7EC460E8" w14:textId="77777777" w:rsidR="00A262FD" w:rsidRDefault="00A262FD">
      <w:pPr>
        <w:rPr>
          <w:b/>
          <w:bCs/>
          <w:sz w:val="26"/>
          <w:szCs w:val="26"/>
          <w:lang w:val="en-US"/>
        </w:rPr>
      </w:pPr>
    </w:p>
    <w:p w14:paraId="34D7C3D9" w14:textId="36A1CC88" w:rsidR="00A262FD" w:rsidRPr="006C7A8B" w:rsidRDefault="006C7A8B">
      <w:pPr>
        <w:rPr>
          <w:b/>
          <w:bCs/>
          <w:lang w:val="en-US"/>
        </w:rPr>
      </w:pPr>
      <w:r w:rsidRPr="006C7A8B">
        <w:rPr>
          <w:b/>
          <w:bCs/>
          <w:lang w:val="en-US"/>
        </w:rPr>
        <w:t xml:space="preserve">INTRODUCTION </w:t>
      </w:r>
    </w:p>
    <w:p w14:paraId="4CB81E3F" w14:textId="6DE2E5E7" w:rsidR="00A262FD" w:rsidRPr="00125A1E" w:rsidRDefault="006C7A8B" w:rsidP="00DE5859">
      <w:pPr>
        <w:pStyle w:val="NormalWeb"/>
        <w:jc w:val="both"/>
        <w:rPr>
          <w:sz w:val="20"/>
          <w:szCs w:val="20"/>
        </w:rPr>
      </w:pPr>
      <w:r w:rsidRPr="006C7A8B">
        <w:rPr>
          <w:sz w:val="20"/>
          <w:szCs w:val="20"/>
        </w:rPr>
        <w:t xml:space="preserve">Groundwater is the primary source of freshwater in semi-arid hard rock regions of peninsular India, where surface water availability is limited and seasonal. Increasing demand for domestic and agricultural purposes has intensified pressure on crystalline aquifers, making systematic evaluation of groundwater quality essential. In granitic and gneissic terrains, groundwater chemistry is largely governed by rock water interaction processes such as silicate weathering, mineral dissolution, and ion exchange reactions. The Lower Papagni River Basin in </w:t>
      </w:r>
      <w:proofErr w:type="spellStart"/>
      <w:r w:rsidRPr="006C7A8B">
        <w:rPr>
          <w:sz w:val="20"/>
          <w:szCs w:val="20"/>
        </w:rPr>
        <w:t>Chikkaballapura</w:t>
      </w:r>
      <w:proofErr w:type="spellEnd"/>
      <w:r w:rsidRPr="006C7A8B">
        <w:rPr>
          <w:sz w:val="20"/>
          <w:szCs w:val="20"/>
        </w:rPr>
        <w:t xml:space="preserve"> District, Karnataka, is underlain predominantly by granites and granitic gneisses of the Peninsular Gneissic Complex . Groundwater occurs mainly in weathered and fractured zones and is vulnerable to both geogenic and anthropogenic contamination. Fluoride enrichment, commonly associated with the dissolution of fluoride-bearing minerals in granitic terrains, has been widely reported in Karnataka. In addition, nitrate contamination resulting from agricultural activities and improper waste disposal poses significant health concerns.</w:t>
      </w:r>
      <w:r>
        <w:rPr>
          <w:sz w:val="20"/>
          <w:szCs w:val="20"/>
        </w:rPr>
        <w:t xml:space="preserve"> </w:t>
      </w:r>
      <w:r w:rsidR="00A262FD" w:rsidRPr="00125A1E">
        <w:rPr>
          <w:sz w:val="20"/>
          <w:szCs w:val="20"/>
        </w:rPr>
        <w:t xml:space="preserve">The present study was carried out in the Lower Papagni River Basin located in </w:t>
      </w:r>
      <w:r w:rsidR="00A262FD" w:rsidRPr="00125A1E">
        <w:rPr>
          <w:rStyle w:val="whitespace-normal"/>
          <w:rFonts w:eastAsiaTheme="majorEastAsia"/>
          <w:sz w:val="20"/>
          <w:szCs w:val="20"/>
        </w:rPr>
        <w:t>Karnataka</w:t>
      </w:r>
      <w:r w:rsidR="00A262FD" w:rsidRPr="00125A1E">
        <w:rPr>
          <w:sz w:val="20"/>
          <w:szCs w:val="20"/>
        </w:rPr>
        <w:t xml:space="preserve">, India. The study area falls within </w:t>
      </w:r>
      <w:proofErr w:type="spellStart"/>
      <w:r w:rsidR="00A262FD" w:rsidRPr="00125A1E">
        <w:rPr>
          <w:rStyle w:val="whitespace-normal"/>
          <w:rFonts w:eastAsiaTheme="majorEastAsia"/>
          <w:sz w:val="20"/>
          <w:szCs w:val="20"/>
        </w:rPr>
        <w:t>Chikkaballapura</w:t>
      </w:r>
      <w:proofErr w:type="spellEnd"/>
      <w:r w:rsidR="00A262FD" w:rsidRPr="00125A1E">
        <w:rPr>
          <w:rStyle w:val="whitespace-normal"/>
          <w:rFonts w:eastAsiaTheme="majorEastAsia"/>
          <w:sz w:val="20"/>
          <w:szCs w:val="20"/>
        </w:rPr>
        <w:t xml:space="preserve"> district</w:t>
      </w:r>
      <w:r w:rsidR="00A262FD" w:rsidRPr="00125A1E">
        <w:rPr>
          <w:sz w:val="20"/>
          <w:szCs w:val="20"/>
        </w:rPr>
        <w:t xml:space="preserve"> and forms part of the Pennar River drainage system. Geographically, the basin is situated between approximately 77°45′E to 78°10′E longitudes and 13°25′N to 13°40′N latitudes, covering several rural settlements including </w:t>
      </w:r>
      <w:proofErr w:type="spellStart"/>
      <w:r w:rsidR="00A262FD" w:rsidRPr="00125A1E">
        <w:rPr>
          <w:sz w:val="20"/>
          <w:szCs w:val="20"/>
        </w:rPr>
        <w:t>Dibbur</w:t>
      </w:r>
      <w:proofErr w:type="spellEnd"/>
      <w:r w:rsidR="00A262FD" w:rsidRPr="00125A1E">
        <w:rPr>
          <w:sz w:val="20"/>
          <w:szCs w:val="20"/>
        </w:rPr>
        <w:t xml:space="preserve">, </w:t>
      </w:r>
      <w:proofErr w:type="spellStart"/>
      <w:r w:rsidR="00A262FD" w:rsidRPr="00125A1E">
        <w:rPr>
          <w:sz w:val="20"/>
          <w:szCs w:val="20"/>
        </w:rPr>
        <w:t>Tekalhalli</w:t>
      </w:r>
      <w:proofErr w:type="spellEnd"/>
      <w:r w:rsidR="00A262FD" w:rsidRPr="00125A1E">
        <w:rPr>
          <w:sz w:val="20"/>
          <w:szCs w:val="20"/>
        </w:rPr>
        <w:t xml:space="preserve">, </w:t>
      </w:r>
      <w:proofErr w:type="spellStart"/>
      <w:r w:rsidR="00A262FD" w:rsidRPr="00125A1E">
        <w:rPr>
          <w:sz w:val="20"/>
          <w:szCs w:val="20"/>
        </w:rPr>
        <w:t>Ganjikunte</w:t>
      </w:r>
      <w:proofErr w:type="spellEnd"/>
      <w:r w:rsidR="00A262FD" w:rsidRPr="00125A1E">
        <w:rPr>
          <w:sz w:val="20"/>
          <w:szCs w:val="20"/>
        </w:rPr>
        <w:t xml:space="preserve">, </w:t>
      </w:r>
      <w:proofErr w:type="spellStart"/>
      <w:r w:rsidR="00A262FD" w:rsidRPr="00125A1E">
        <w:rPr>
          <w:sz w:val="20"/>
          <w:szCs w:val="20"/>
        </w:rPr>
        <w:t>Kancharlahalli</w:t>
      </w:r>
      <w:proofErr w:type="spellEnd"/>
      <w:r w:rsidR="00A262FD" w:rsidRPr="00125A1E">
        <w:rPr>
          <w:sz w:val="20"/>
          <w:szCs w:val="20"/>
        </w:rPr>
        <w:t>, Siddepalli, and surrounding villages</w:t>
      </w:r>
      <w:r w:rsidR="00DE5859" w:rsidRPr="00125A1E">
        <w:rPr>
          <w:sz w:val="20"/>
          <w:szCs w:val="20"/>
        </w:rPr>
        <w:t xml:space="preserve">. </w:t>
      </w:r>
      <w:r w:rsidR="00A262FD" w:rsidRPr="00125A1E">
        <w:rPr>
          <w:sz w:val="20"/>
          <w:szCs w:val="20"/>
        </w:rPr>
        <w:t>The Papagni River, a tributary of the Pennar River, flows through the district and plays a significant role in sustaining agriculture and domestic water supply. The drainage pattern in the basin is predominantly dendritic to sub-dendritic, indicating homogeneous lithological conditions and structural control in certain segments. The area is well connected by a network of rural roads, and agriculture constitutes the primary land use.</w:t>
      </w:r>
      <w:r w:rsidR="00DE5859" w:rsidRPr="00125A1E">
        <w:rPr>
          <w:sz w:val="20"/>
          <w:szCs w:val="20"/>
        </w:rPr>
        <w:t xml:space="preserve"> </w:t>
      </w:r>
      <w:proofErr w:type="spellStart"/>
      <w:r w:rsidR="00A262FD" w:rsidRPr="00125A1E">
        <w:rPr>
          <w:sz w:val="20"/>
          <w:szCs w:val="20"/>
        </w:rPr>
        <w:t>Physiographically</w:t>
      </w:r>
      <w:proofErr w:type="spellEnd"/>
      <w:r w:rsidR="00A262FD" w:rsidRPr="00125A1E">
        <w:rPr>
          <w:sz w:val="20"/>
          <w:szCs w:val="20"/>
        </w:rPr>
        <w:t xml:space="preserve">, the Lower </w:t>
      </w:r>
      <w:proofErr w:type="spellStart"/>
      <w:r w:rsidR="00A262FD" w:rsidRPr="00125A1E">
        <w:rPr>
          <w:sz w:val="20"/>
          <w:szCs w:val="20"/>
        </w:rPr>
        <w:t>Papagni</w:t>
      </w:r>
      <w:proofErr w:type="spellEnd"/>
      <w:r w:rsidR="00A262FD" w:rsidRPr="00125A1E">
        <w:rPr>
          <w:sz w:val="20"/>
          <w:szCs w:val="20"/>
        </w:rPr>
        <w:t xml:space="preserve"> River Basin forms part of the southern granitic terrain of the </w:t>
      </w:r>
      <w:r w:rsidR="00A262FD" w:rsidRPr="00125A1E">
        <w:rPr>
          <w:rStyle w:val="whitespace-normal"/>
          <w:rFonts w:eastAsiaTheme="majorEastAsia"/>
          <w:sz w:val="20"/>
          <w:szCs w:val="20"/>
        </w:rPr>
        <w:t>Peninsular Gneissic Complex</w:t>
      </w:r>
      <w:r w:rsidR="00A262FD" w:rsidRPr="00125A1E">
        <w:rPr>
          <w:sz w:val="20"/>
          <w:szCs w:val="20"/>
        </w:rPr>
        <w:t xml:space="preserve">, representing a stable cratonic region of the Indian shield. The terrain is characterized by undulating plains interspersed with isolated rocky hills and </w:t>
      </w:r>
      <w:r w:rsidR="00DE5859" w:rsidRPr="00125A1E">
        <w:rPr>
          <w:sz w:val="20"/>
          <w:szCs w:val="20"/>
        </w:rPr>
        <w:t>pediplain</w:t>
      </w:r>
      <w:r w:rsidR="00A262FD" w:rsidRPr="00125A1E">
        <w:rPr>
          <w:sz w:val="20"/>
          <w:szCs w:val="20"/>
        </w:rPr>
        <w:t>. Elevation gradually decreases from northwest to southeast following the regional slope of the basin.</w:t>
      </w:r>
      <w:r w:rsidR="004B6721">
        <w:rPr>
          <w:sz w:val="20"/>
          <w:szCs w:val="20"/>
        </w:rPr>
        <w:t xml:space="preserve"> </w:t>
      </w:r>
    </w:p>
    <w:p w14:paraId="34E24FFF" w14:textId="77777777" w:rsidR="00125A1E" w:rsidRPr="00125A1E" w:rsidRDefault="00125A1E" w:rsidP="00125A1E">
      <w:pPr>
        <w:spacing w:before="100" w:beforeAutospacing="1" w:after="100" w:afterAutospacing="1"/>
        <w:outlineLvl w:val="1"/>
        <w:rPr>
          <w:b/>
          <w:bCs/>
          <w:sz w:val="22"/>
          <w:szCs w:val="22"/>
        </w:rPr>
      </w:pPr>
      <w:r w:rsidRPr="00125A1E">
        <w:rPr>
          <w:b/>
          <w:bCs/>
          <w:sz w:val="22"/>
          <w:szCs w:val="22"/>
        </w:rPr>
        <w:t>Methodology</w:t>
      </w:r>
    </w:p>
    <w:p w14:paraId="3D4F064B" w14:textId="3D00332E" w:rsidR="00125A1E" w:rsidRPr="00125A1E" w:rsidRDefault="00125A1E" w:rsidP="00125A1E">
      <w:pPr>
        <w:spacing w:before="100" w:beforeAutospacing="1" w:after="100" w:afterAutospacing="1"/>
        <w:jc w:val="both"/>
        <w:rPr>
          <w:sz w:val="20"/>
          <w:szCs w:val="20"/>
        </w:rPr>
      </w:pPr>
      <w:r w:rsidRPr="00125A1E">
        <w:rPr>
          <w:sz w:val="20"/>
          <w:szCs w:val="20"/>
        </w:rPr>
        <w:t xml:space="preserve">Groundwater quality assessment in the Lower Papagni River Basin was carried out through systematic sampling, laboratory analysis, and geospatial evaluation. Representative groundwater samples from borewells and open wells were collected covering different hydrogeomorphic units to ensure spatial variability. Field measurements </w:t>
      </w:r>
      <w:r w:rsidRPr="00125A1E">
        <w:rPr>
          <w:sz w:val="20"/>
          <w:szCs w:val="20"/>
        </w:rPr>
        <w:lastRenderedPageBreak/>
        <w:t xml:space="preserve">of pH, Electrical Conductivity (EC), and Total Dissolved Solids (TDS) were recorded using portable meters, while major cations and anions were </w:t>
      </w:r>
      <w:proofErr w:type="spellStart"/>
      <w:r w:rsidRPr="00125A1E">
        <w:rPr>
          <w:sz w:val="20"/>
          <w:szCs w:val="20"/>
        </w:rPr>
        <w:t>analyzed</w:t>
      </w:r>
      <w:proofErr w:type="spellEnd"/>
      <w:r w:rsidRPr="00125A1E">
        <w:rPr>
          <w:sz w:val="20"/>
          <w:szCs w:val="20"/>
        </w:rPr>
        <w:t xml:space="preserve"> in the laboratory following standard procedures recommended by the American Public Health Association (APHA, 2017). Analytical accuracy was verified through ionic balance error within ±5%, as suggested by </w:t>
      </w:r>
      <w:proofErr w:type="spellStart"/>
      <w:r w:rsidRPr="00125A1E">
        <w:rPr>
          <w:sz w:val="20"/>
          <w:szCs w:val="20"/>
        </w:rPr>
        <w:t>hydrochemical</w:t>
      </w:r>
      <w:proofErr w:type="spellEnd"/>
      <w:r w:rsidRPr="00125A1E">
        <w:rPr>
          <w:sz w:val="20"/>
          <w:szCs w:val="20"/>
        </w:rPr>
        <w:t xml:space="preserve"> studies (Hem, 1985).</w:t>
      </w:r>
      <w:r>
        <w:rPr>
          <w:sz w:val="20"/>
          <w:szCs w:val="20"/>
        </w:rPr>
        <w:t xml:space="preserve"> </w:t>
      </w:r>
      <w:r w:rsidRPr="00125A1E">
        <w:rPr>
          <w:sz w:val="20"/>
          <w:szCs w:val="20"/>
        </w:rPr>
        <w:t>The suitability of groundwater for domestic purposes was evaluated based on drinking water standards prescribed by the Bureau of Indian Standards, IS 10500:2012. Major parameters such as Ca²⁺, Mg²⁺, Na⁺, K⁺, Cl⁻, HCO₃⁻, SO₄²⁻, NO₃⁻, Fluoride, and Total Hardness were compared with acceptable and permissible limits. To provide an integrated evaluation, the Water Quality Index (WQI) was computed using the weighted arithmetic method (Brown et al., 1972), which has been widely adopted in groundwater quality studies (</w:t>
      </w:r>
      <w:proofErr w:type="spellStart"/>
      <w:r w:rsidRPr="00125A1E">
        <w:rPr>
          <w:sz w:val="20"/>
          <w:szCs w:val="20"/>
        </w:rPr>
        <w:t>Ramakrishnaiah</w:t>
      </w:r>
      <w:proofErr w:type="spellEnd"/>
      <w:r w:rsidRPr="00125A1E">
        <w:rPr>
          <w:sz w:val="20"/>
          <w:szCs w:val="20"/>
        </w:rPr>
        <w:t xml:space="preserve"> et al., 2009).</w:t>
      </w:r>
      <w:r>
        <w:rPr>
          <w:sz w:val="20"/>
          <w:szCs w:val="20"/>
        </w:rPr>
        <w:t xml:space="preserve"> </w:t>
      </w:r>
      <w:r w:rsidRPr="00125A1E">
        <w:rPr>
          <w:sz w:val="20"/>
          <w:szCs w:val="20"/>
        </w:rPr>
        <w:t xml:space="preserve">For irrigation suitability assessment, </w:t>
      </w:r>
      <w:proofErr w:type="spellStart"/>
      <w:r w:rsidRPr="00125A1E">
        <w:rPr>
          <w:sz w:val="20"/>
          <w:szCs w:val="20"/>
        </w:rPr>
        <w:t>hydrochemical</w:t>
      </w:r>
      <w:proofErr w:type="spellEnd"/>
      <w:r w:rsidRPr="00125A1E">
        <w:rPr>
          <w:sz w:val="20"/>
          <w:szCs w:val="20"/>
        </w:rPr>
        <w:t xml:space="preserve"> indices including Sodium Adsorption Ratio (SAR), Residual Sodium Carbonate (RSC), Percent Sodium (%Na), and Permeability Index (PI) were calculated following the classification proposed by Richards (1954) and Wilcox (1955). These indices help evaluate sodium hazard, alkalinity risk, and potential impacts on soil permeability and crop yield. The integration of </w:t>
      </w:r>
      <w:proofErr w:type="spellStart"/>
      <w:r w:rsidRPr="00125A1E">
        <w:rPr>
          <w:sz w:val="20"/>
          <w:szCs w:val="20"/>
        </w:rPr>
        <w:t>hydrochemical</w:t>
      </w:r>
      <w:proofErr w:type="spellEnd"/>
      <w:r w:rsidRPr="00125A1E">
        <w:rPr>
          <w:sz w:val="20"/>
          <w:szCs w:val="20"/>
        </w:rPr>
        <w:t xml:space="preserve"> analysis with GIS-based spatial </w:t>
      </w:r>
      <w:proofErr w:type="spellStart"/>
      <w:r w:rsidRPr="00125A1E">
        <w:rPr>
          <w:sz w:val="20"/>
          <w:szCs w:val="20"/>
        </w:rPr>
        <w:t>modeling</w:t>
      </w:r>
      <w:proofErr w:type="spellEnd"/>
      <w:r w:rsidRPr="00125A1E">
        <w:rPr>
          <w:sz w:val="20"/>
          <w:szCs w:val="20"/>
        </w:rPr>
        <w:t xml:space="preserve"> provides a reliable framework for groundwater quality zonation and sustainable resource management (Jha et al., 2007).</w:t>
      </w:r>
    </w:p>
    <w:p w14:paraId="6A75302C" w14:textId="60177523" w:rsidR="00125A1E" w:rsidRPr="00B85297" w:rsidRDefault="001D70D2" w:rsidP="00DE5859">
      <w:pPr>
        <w:pStyle w:val="NormalWeb"/>
        <w:jc w:val="both"/>
        <w:rPr>
          <w:b/>
          <w:bCs/>
          <w:sz w:val="20"/>
          <w:szCs w:val="20"/>
        </w:rPr>
      </w:pPr>
      <w:r w:rsidRPr="00B85297">
        <w:rPr>
          <w:b/>
          <w:bCs/>
          <w:sz w:val="20"/>
          <w:szCs w:val="20"/>
        </w:rPr>
        <w:t>RESULTS AND ANALYSIS</w:t>
      </w:r>
    </w:p>
    <w:p w14:paraId="484992B8" w14:textId="77777777" w:rsidR="001D70D2" w:rsidRPr="001D70D2" w:rsidRDefault="001D70D2" w:rsidP="00FA0FCF">
      <w:pPr>
        <w:spacing w:before="100" w:beforeAutospacing="1" w:after="100" w:afterAutospacing="1"/>
        <w:jc w:val="both"/>
        <w:outlineLvl w:val="1"/>
        <w:rPr>
          <w:b/>
          <w:bCs/>
          <w:sz w:val="22"/>
          <w:szCs w:val="22"/>
        </w:rPr>
      </w:pPr>
      <w:r w:rsidRPr="001D70D2">
        <w:rPr>
          <w:b/>
          <w:bCs/>
          <w:sz w:val="22"/>
          <w:szCs w:val="22"/>
        </w:rPr>
        <w:t>Geogenic Activity</w:t>
      </w:r>
    </w:p>
    <w:p w14:paraId="3E242AA9" w14:textId="07B39F8A" w:rsidR="001D70D2" w:rsidRPr="001D70D2" w:rsidRDefault="001D70D2" w:rsidP="00FA0FCF">
      <w:pPr>
        <w:spacing w:before="100" w:beforeAutospacing="1" w:after="100" w:afterAutospacing="1"/>
        <w:jc w:val="both"/>
        <w:rPr>
          <w:sz w:val="20"/>
          <w:szCs w:val="20"/>
        </w:rPr>
      </w:pPr>
      <w:r w:rsidRPr="001D70D2">
        <w:rPr>
          <w:sz w:val="20"/>
          <w:szCs w:val="20"/>
        </w:rPr>
        <w:t xml:space="preserve">The groundwater chemistry of the Lower Papagni River Basin in </w:t>
      </w:r>
      <w:proofErr w:type="spellStart"/>
      <w:r w:rsidRPr="001D70D2">
        <w:rPr>
          <w:sz w:val="20"/>
          <w:szCs w:val="20"/>
        </w:rPr>
        <w:t>Chikkaballapura</w:t>
      </w:r>
      <w:proofErr w:type="spellEnd"/>
      <w:r w:rsidRPr="001D70D2">
        <w:rPr>
          <w:sz w:val="20"/>
          <w:szCs w:val="20"/>
        </w:rPr>
        <w:t xml:space="preserve"> District, Karnataka, is predominantly controlled by geogenic processes associated with the weathering of crystalline rocks of the Peninsular Gneissic Complex. The basin is underlain mainly by granites, granitic gneisses, and migmatites belonging to the Archean crystalline basement. In hard rock terrains, groundwater occurs within weathered mantles and fractured zones, and its chemical composition is largely governed by rock</w:t>
      </w:r>
      <w:r w:rsidR="00FA0FCF">
        <w:rPr>
          <w:sz w:val="20"/>
          <w:szCs w:val="20"/>
        </w:rPr>
        <w:t xml:space="preserve"> </w:t>
      </w:r>
      <w:r w:rsidRPr="001D70D2">
        <w:rPr>
          <w:sz w:val="20"/>
          <w:szCs w:val="20"/>
        </w:rPr>
        <w:t>water interaction</w:t>
      </w:r>
      <w:r w:rsidR="00862659">
        <w:rPr>
          <w:sz w:val="20"/>
          <w:szCs w:val="20"/>
        </w:rPr>
        <w:t xml:space="preserve"> </w:t>
      </w:r>
      <w:r w:rsidR="00862659" w:rsidRPr="001D70D2">
        <w:rPr>
          <w:sz w:val="20"/>
          <w:szCs w:val="20"/>
        </w:rPr>
        <w:t>(</w:t>
      </w:r>
      <w:proofErr w:type="spellStart"/>
      <w:r w:rsidR="00862659" w:rsidRPr="001D70D2">
        <w:rPr>
          <w:sz w:val="20"/>
          <w:szCs w:val="20"/>
        </w:rPr>
        <w:t>i</w:t>
      </w:r>
      <w:proofErr w:type="spellEnd"/>
      <w:r w:rsidR="00862659" w:rsidRPr="001D70D2">
        <w:rPr>
          <w:sz w:val="20"/>
          <w:szCs w:val="20"/>
        </w:rPr>
        <w:t xml:space="preserve">) TDS versus Cl⁻/(Cl⁻ + HCO₃⁻) and (ii) TDS versus Na⁺/(Na⁺ + Ca²⁺), following the conceptual model proposed by R. J. Gibbs (1970). </w:t>
      </w:r>
      <w:r w:rsidRPr="001D70D2">
        <w:rPr>
          <w:sz w:val="20"/>
          <w:szCs w:val="20"/>
        </w:rPr>
        <w:t xml:space="preserve"> (Hem, 1985).</w:t>
      </w:r>
      <w:r w:rsidR="00FA0FCF">
        <w:rPr>
          <w:sz w:val="20"/>
          <w:szCs w:val="20"/>
        </w:rPr>
        <w:t xml:space="preserve"> </w:t>
      </w:r>
      <w:r w:rsidRPr="001D70D2">
        <w:rPr>
          <w:sz w:val="20"/>
          <w:szCs w:val="20"/>
        </w:rPr>
        <w:t>Fluoride enrichment in groundwater, commonly observed in granitic terrains of Karnataka, is attributed to the dissolution of fluoride-bearing minerals such as fluorite, apatite, and biotite present in the basement rocks (Handa, 1975). Similarly, elevated nitrate concentrations in certain locations may partly result from natural soil nitrification processes, though anthropogenic inputs can also contribute. The presence of lineaments and fracture zones facilitates deeper circulation of groundwater, intensifying water–rock interaction and influencing ionic concentration (</w:t>
      </w:r>
      <w:proofErr w:type="spellStart"/>
      <w:r w:rsidRPr="001D70D2">
        <w:rPr>
          <w:sz w:val="20"/>
          <w:szCs w:val="20"/>
        </w:rPr>
        <w:t>Ramakrishnaiah</w:t>
      </w:r>
      <w:proofErr w:type="spellEnd"/>
      <w:r w:rsidRPr="001D70D2">
        <w:rPr>
          <w:sz w:val="20"/>
          <w:szCs w:val="20"/>
        </w:rPr>
        <w:t xml:space="preserve"> et al., 2009).</w:t>
      </w:r>
    </w:p>
    <w:p w14:paraId="5B1D0EE0" w14:textId="77777777" w:rsidR="001D70D2" w:rsidRPr="001D70D2" w:rsidRDefault="001D70D2" w:rsidP="00FA0FCF">
      <w:pPr>
        <w:spacing w:before="100" w:beforeAutospacing="1" w:after="100" w:afterAutospacing="1"/>
        <w:jc w:val="both"/>
        <w:outlineLvl w:val="1"/>
        <w:rPr>
          <w:b/>
          <w:bCs/>
          <w:sz w:val="22"/>
          <w:szCs w:val="22"/>
        </w:rPr>
      </w:pPr>
      <w:r w:rsidRPr="001D70D2">
        <w:rPr>
          <w:b/>
          <w:bCs/>
          <w:sz w:val="22"/>
          <w:szCs w:val="22"/>
        </w:rPr>
        <w:t>Anthropogenic Influences</w:t>
      </w:r>
    </w:p>
    <w:p w14:paraId="4F0B005E" w14:textId="3DFD6DF8" w:rsidR="001D70D2" w:rsidRPr="001D70D2" w:rsidRDefault="001D70D2" w:rsidP="00FA0FCF">
      <w:pPr>
        <w:spacing w:before="100" w:beforeAutospacing="1" w:after="100" w:afterAutospacing="1"/>
        <w:jc w:val="both"/>
        <w:rPr>
          <w:sz w:val="20"/>
          <w:szCs w:val="20"/>
        </w:rPr>
      </w:pPr>
      <w:r w:rsidRPr="001D70D2">
        <w:rPr>
          <w:sz w:val="20"/>
          <w:szCs w:val="20"/>
        </w:rPr>
        <w:t xml:space="preserve">In addition to geogenic controls, groundwater quality in the Lower Papagni River Basin is significantly influenced by anthropogenic activities associated with agriculture, domestic settlements, and land use changes. Rapid expansion of irrigated agriculture in parts of </w:t>
      </w:r>
      <w:r w:rsidR="00FA0FCF">
        <w:rPr>
          <w:sz w:val="20"/>
          <w:szCs w:val="20"/>
        </w:rPr>
        <w:t>Study area</w:t>
      </w:r>
      <w:r w:rsidRPr="001D70D2">
        <w:rPr>
          <w:sz w:val="20"/>
          <w:szCs w:val="20"/>
        </w:rPr>
        <w:t xml:space="preserve"> has led to increased application of chemical fertilizers and pesticides, which contribute to elevated concentrations of nitrate (NO₃⁻), chloride (Cl⁻), and other dissolved constituents in groundwater through leaching processes (Subba Rao, 2006). Nitrate contamination is particularly common in semi-arid agricultural regions where intensive cultivation and improper fertilizer management prevail.</w:t>
      </w:r>
      <w:r w:rsidR="00862659">
        <w:rPr>
          <w:sz w:val="20"/>
          <w:szCs w:val="20"/>
        </w:rPr>
        <w:t xml:space="preserve"> </w:t>
      </w:r>
      <w:r w:rsidRPr="001D70D2">
        <w:rPr>
          <w:sz w:val="20"/>
          <w:szCs w:val="20"/>
        </w:rPr>
        <w:t xml:space="preserve">Unregulated groundwater extraction for irrigation and domestic use has also altered the natural </w:t>
      </w:r>
      <w:proofErr w:type="spellStart"/>
      <w:r w:rsidRPr="001D70D2">
        <w:rPr>
          <w:sz w:val="20"/>
          <w:szCs w:val="20"/>
        </w:rPr>
        <w:t>hydrochemical</w:t>
      </w:r>
      <w:proofErr w:type="spellEnd"/>
      <w:r w:rsidRPr="001D70D2">
        <w:rPr>
          <w:sz w:val="20"/>
          <w:szCs w:val="20"/>
        </w:rPr>
        <w:t xml:space="preserve"> regime of the aquifer. Over-exploitation increases groundwater residence time and enhances water–rock interaction, which may lead to higher salinity and hardness levels (Todd and Mays, 2005). Declining water levels can further concentrate dissolved ions, affecting both drinking and irrigation suitability</w:t>
      </w:r>
      <w:r w:rsidRPr="001D70D2">
        <w:t>.</w:t>
      </w:r>
    </w:p>
    <w:p w14:paraId="39AC567C" w14:textId="442A1315" w:rsidR="009F01C1" w:rsidRPr="00E74400" w:rsidRDefault="00E74400" w:rsidP="004A784B">
      <w:pPr>
        <w:pStyle w:val="NormalWeb"/>
        <w:jc w:val="both"/>
        <w:rPr>
          <w:b/>
          <w:bCs/>
          <w:sz w:val="20"/>
          <w:szCs w:val="20"/>
        </w:rPr>
      </w:pPr>
      <w:r w:rsidRPr="00E74400">
        <w:rPr>
          <w:b/>
          <w:bCs/>
          <w:sz w:val="20"/>
          <w:szCs w:val="20"/>
        </w:rPr>
        <w:t>Groundwater Quality Assessment for Drinking Use</w:t>
      </w:r>
    </w:p>
    <w:p w14:paraId="6D6DD585" w14:textId="25C8E997" w:rsidR="00F33C66" w:rsidRPr="00F33C66" w:rsidRDefault="00F33C66" w:rsidP="00F33C66">
      <w:pPr>
        <w:spacing w:before="100" w:beforeAutospacing="1" w:after="100" w:afterAutospacing="1"/>
        <w:outlineLvl w:val="3"/>
        <w:rPr>
          <w:b/>
          <w:bCs/>
          <w:sz w:val="20"/>
          <w:szCs w:val="20"/>
        </w:rPr>
      </w:pPr>
      <w:proofErr w:type="spellStart"/>
      <w:r w:rsidRPr="00F33C66">
        <w:rPr>
          <w:b/>
          <w:bCs/>
          <w:sz w:val="20"/>
          <w:szCs w:val="20"/>
        </w:rPr>
        <w:t>Hydrochemical</w:t>
      </w:r>
      <w:proofErr w:type="spellEnd"/>
      <w:r w:rsidRPr="00F33C66">
        <w:rPr>
          <w:b/>
          <w:bCs/>
          <w:sz w:val="20"/>
          <w:szCs w:val="20"/>
        </w:rPr>
        <w:t xml:space="preserve"> Characteristics</w:t>
      </w:r>
    </w:p>
    <w:p w14:paraId="11D4A5BF" w14:textId="1997C989" w:rsidR="00F33C66" w:rsidRDefault="00F33C66" w:rsidP="001440D9">
      <w:pPr>
        <w:spacing w:before="100" w:beforeAutospacing="1" w:after="100" w:afterAutospacing="1"/>
        <w:jc w:val="both"/>
        <w:rPr>
          <w:sz w:val="20"/>
          <w:szCs w:val="20"/>
        </w:rPr>
      </w:pPr>
      <w:r w:rsidRPr="00F33C66">
        <w:rPr>
          <w:sz w:val="20"/>
          <w:szCs w:val="20"/>
        </w:rPr>
        <w:t xml:space="preserve">The analytical results of groundwater samples from the Lower Papagni River Basin reveal significant spatial variability in </w:t>
      </w:r>
      <w:proofErr w:type="spellStart"/>
      <w:r w:rsidRPr="00F33C66">
        <w:rPr>
          <w:sz w:val="20"/>
          <w:szCs w:val="20"/>
        </w:rPr>
        <w:t>physico</w:t>
      </w:r>
      <w:proofErr w:type="spellEnd"/>
      <w:r w:rsidRPr="00F33C66">
        <w:rPr>
          <w:sz w:val="20"/>
          <w:szCs w:val="20"/>
        </w:rPr>
        <w:t>-chemical parameters, reflecting the combined influence of lithological control, weathering intensity, climatic conditions, and anthropogenic activities. The measured parameters were evaluated against the drinking water standards prescribed by the Bureau of Indian Standards (BIS 10500:2012).</w:t>
      </w:r>
      <w:r w:rsidR="001440D9">
        <w:rPr>
          <w:sz w:val="20"/>
          <w:szCs w:val="20"/>
        </w:rPr>
        <w:t xml:space="preserve"> </w:t>
      </w:r>
      <w:r w:rsidRPr="00F33C66">
        <w:rPr>
          <w:sz w:val="20"/>
          <w:szCs w:val="20"/>
        </w:rPr>
        <w:t>The pH values range from 5.94 to 7.94, with a mean of 7.40, indicating predominantly neutral to slightly alkaline groundwater</w:t>
      </w:r>
      <w:r w:rsidR="009F01C1">
        <w:rPr>
          <w:sz w:val="20"/>
          <w:szCs w:val="20"/>
        </w:rPr>
        <w:t xml:space="preserve"> </w:t>
      </w:r>
      <w:r w:rsidR="009F01C1" w:rsidRPr="009F01C1">
        <w:rPr>
          <w:sz w:val="20"/>
          <w:szCs w:val="20"/>
        </w:rPr>
        <w:t>(Hem, J. D. (1985).</w:t>
      </w:r>
      <w:r w:rsidRPr="00F33C66">
        <w:rPr>
          <w:sz w:val="20"/>
          <w:szCs w:val="20"/>
        </w:rPr>
        <w:t xml:space="preserve"> Most samples fall within the acceptable range (6.5–8.5), suggesting that acidification processes are minimal in the basin. The slightly alkaline character of groundwater is typical of crystalline hard rock terrains and is attributed to prolonged silicate weathering and buffering reactions (Hem, 1985; Appelo and Postma, 2005).</w:t>
      </w:r>
      <w:r w:rsidR="001440D9">
        <w:rPr>
          <w:sz w:val="20"/>
          <w:szCs w:val="20"/>
        </w:rPr>
        <w:t xml:space="preserve"> </w:t>
      </w:r>
      <w:r w:rsidRPr="00F33C66">
        <w:rPr>
          <w:sz w:val="20"/>
          <w:szCs w:val="20"/>
        </w:rPr>
        <w:lastRenderedPageBreak/>
        <w:t xml:space="preserve">Electrical Conductivity (EC) varies from 103.5 to 2336 µS/cm (mean: 1056.12 µS/cm), while Total Dissolved Solids (TDS) range between 65 and 1550 mg/L (mean: 679.96 mg/L). Approximately 45% of samples exceed the desirable limit of 500 mg/L but remain within the permissible limit (2000 mg/L). Elevated TDS values indicate moderate mineralization and reflect enhanced rock–water interaction, </w:t>
      </w:r>
      <w:proofErr w:type="spellStart"/>
      <w:r w:rsidRPr="00F33C66">
        <w:rPr>
          <w:sz w:val="20"/>
          <w:szCs w:val="20"/>
        </w:rPr>
        <w:t>evapoconcentration</w:t>
      </w:r>
      <w:proofErr w:type="spellEnd"/>
      <w:r w:rsidRPr="00F33C66">
        <w:rPr>
          <w:sz w:val="20"/>
          <w:szCs w:val="20"/>
        </w:rPr>
        <w:t xml:space="preserve"> under semi-arid conditions, and longer groundwater residence times (Freeze and Cherry, 1979).</w:t>
      </w:r>
      <w:r w:rsidR="001440D9">
        <w:rPr>
          <w:sz w:val="20"/>
          <w:szCs w:val="20"/>
        </w:rPr>
        <w:t xml:space="preserve"> </w:t>
      </w:r>
      <w:r w:rsidRPr="00F33C66">
        <w:rPr>
          <w:sz w:val="20"/>
          <w:szCs w:val="20"/>
        </w:rPr>
        <w:t>Total Hardness (TH) ranges from 26 to 608 mg/L, with an average of 358.16 mg/L, classifying the majority of samples as hard to very hard water. The high hardness is primarily due to elevated concentrations of calcium (6.01–166.30 mg/L; mean: 71.87 mg/L) and magnesium (2.67–90.41 mg/L; mean: 43.30 mg/L). In granitic–gneissic terrains, dissolution of feldspars, ferromagnesian minerals, and secondary carbonates contributes significantly to hardness development (Todd and Mays, 2005). Though not a serious health hazard, high hardness affects domestic usability due to scaling and soap inefficiency.</w:t>
      </w:r>
      <w:r w:rsidR="001440D9">
        <w:rPr>
          <w:sz w:val="20"/>
          <w:szCs w:val="20"/>
        </w:rPr>
        <w:t xml:space="preserve"> </w:t>
      </w:r>
      <w:r w:rsidRPr="00F33C66">
        <w:rPr>
          <w:sz w:val="20"/>
          <w:szCs w:val="20"/>
        </w:rPr>
        <w:t>Chloride concentrations vary between 13.94 and 348 mg/L (mean: 124.35 mg/L). Most samples remain within acceptable limits; however, localized enrichment indicates evaporative concentration and possible anthropogenic inputs such as return irrigation flow and domestic wastewater infiltration. Sulphate concentrations range from 7.03 to 364.20 mg/L (mean: 94.26 mg/L), remaining largely within permissible limits and suggesting limited sulphide oxidation or evaporite dissolution in the study area.</w:t>
      </w:r>
      <w:r w:rsidR="001440D9">
        <w:rPr>
          <w:sz w:val="20"/>
          <w:szCs w:val="20"/>
        </w:rPr>
        <w:t xml:space="preserve"> </w:t>
      </w:r>
      <w:r w:rsidRPr="00F33C66">
        <w:rPr>
          <w:sz w:val="20"/>
          <w:szCs w:val="20"/>
        </w:rPr>
        <w:t>Nitrate concentrations exhibit wide variation from 0.24 to 301.40 mg/L (mean: 39.68 mg/L). Several samples exceed the permissible limit of 45 mg/L, particularly in intensively cultivated zones. Elevated nitrate levels are strongly associated with agricultural practices, including excessive fertilizer application, livestock waste disposal, and leaching from septic systems. The shallow weathered aquifer system and absence of protective confining layers enhance vulnerability to surface-derived contamination. Similar nitrate enrichment patterns in hard rock aquifers have been reported in semi-arid agricultural regions (Subba Rao, 2006).The spatial correlation between high nitrate concentrations and cultivated land use supports the inference of anthropogenic origin. Persistent nitrate contamination poses health risks such as methemoglobinemia in infants and therefore requires immediate management attention.</w:t>
      </w:r>
      <w:r w:rsidR="001440D9">
        <w:rPr>
          <w:sz w:val="20"/>
          <w:szCs w:val="20"/>
        </w:rPr>
        <w:t xml:space="preserve"> </w:t>
      </w:r>
      <w:r w:rsidRPr="00F33C66">
        <w:rPr>
          <w:sz w:val="20"/>
          <w:szCs w:val="20"/>
        </w:rPr>
        <w:t>Fluoride concentrations range from 0.21 to 2.52 mg/L (mean: 1.36 mg/L), with several samples exceeding the permissible limit of 1.5 mg/L. The elevated fluoride is primarily geogenic in origin and attributed to the dissolution of fluoride-bearing minerals such as fluorite, apatite, and biotite within granitic formations. Alkaline pH conditions and high bicarbonate concentrations enhance fluoride mobilization through ion exchange mechanisms and desorption processes (Appelo and Postma, 2005).</w:t>
      </w:r>
      <w:r w:rsidR="001440D9">
        <w:rPr>
          <w:sz w:val="20"/>
          <w:szCs w:val="20"/>
        </w:rPr>
        <w:t xml:space="preserve"> </w:t>
      </w:r>
      <w:r w:rsidRPr="00F33C66">
        <w:rPr>
          <w:sz w:val="20"/>
          <w:szCs w:val="20"/>
        </w:rPr>
        <w:t>The association of high fluoride with elevated TDS further indicates prolonged residence time and intensified water</w:t>
      </w:r>
      <w:r w:rsidR="001440D9">
        <w:rPr>
          <w:sz w:val="20"/>
          <w:szCs w:val="20"/>
        </w:rPr>
        <w:t xml:space="preserve"> </w:t>
      </w:r>
      <w:r w:rsidRPr="00F33C66">
        <w:rPr>
          <w:sz w:val="20"/>
          <w:szCs w:val="20"/>
        </w:rPr>
        <w:t>rock interaction. Chronic exposure to fluoride-rich groundwater may lead to dental and skeletal fluorosis, a well-documented issue in many parts of peninsular India.</w:t>
      </w:r>
    </w:p>
    <w:p w14:paraId="2744A746" w14:textId="546FD53E" w:rsidR="00B85297" w:rsidRPr="00F33C66" w:rsidRDefault="00B85297" w:rsidP="00B85297">
      <w:pPr>
        <w:spacing w:before="100" w:beforeAutospacing="1" w:after="100" w:afterAutospacing="1" w:line="278" w:lineRule="auto"/>
        <w:ind w:right="-330"/>
        <w:outlineLvl w:val="1"/>
        <w:rPr>
          <w:rFonts w:eastAsiaTheme="minorHAnsi"/>
          <w:b/>
          <w:bCs/>
          <w:kern w:val="2"/>
          <w:sz w:val="22"/>
          <w:szCs w:val="22"/>
          <w:lang w:eastAsia="en-US"/>
          <w14:ligatures w14:val="standardContextual"/>
        </w:rPr>
      </w:pPr>
      <w:r w:rsidRPr="006C7A8B">
        <w:rPr>
          <w:b/>
          <w:bCs/>
          <w:sz w:val="22"/>
          <w:szCs w:val="22"/>
        </w:rPr>
        <w:t>Irrigation Suitability</w:t>
      </w:r>
    </w:p>
    <w:p w14:paraId="671AA192" w14:textId="1E61B77D" w:rsidR="00B85297" w:rsidRPr="00B85297" w:rsidRDefault="00B85297" w:rsidP="00B85297">
      <w:pPr>
        <w:spacing w:before="100" w:beforeAutospacing="1" w:after="100" w:afterAutospacing="1"/>
        <w:ind w:right="-330"/>
        <w:outlineLvl w:val="1"/>
        <w:rPr>
          <w:b/>
          <w:bCs/>
          <w:sz w:val="20"/>
          <w:szCs w:val="20"/>
        </w:rPr>
      </w:pPr>
      <w:proofErr w:type="spellStart"/>
      <w:r w:rsidRPr="00B85297">
        <w:rPr>
          <w:b/>
          <w:bCs/>
          <w:sz w:val="20"/>
          <w:szCs w:val="20"/>
        </w:rPr>
        <w:t>Hydrochemical</w:t>
      </w:r>
      <w:proofErr w:type="spellEnd"/>
      <w:r w:rsidRPr="00B85297">
        <w:rPr>
          <w:b/>
          <w:bCs/>
          <w:sz w:val="20"/>
          <w:szCs w:val="20"/>
        </w:rPr>
        <w:t xml:space="preserve"> Facies (Piper Diagram)</w:t>
      </w:r>
    </w:p>
    <w:p w14:paraId="753BE55F" w14:textId="35AD505E" w:rsidR="00B85297" w:rsidRPr="00B85297" w:rsidRDefault="00553E07" w:rsidP="00B85297">
      <w:pPr>
        <w:pStyle w:val="NormalWeb"/>
        <w:ind w:right="-330"/>
        <w:jc w:val="both"/>
        <w:rPr>
          <w:sz w:val="20"/>
          <w:szCs w:val="20"/>
        </w:rPr>
      </w:pPr>
      <w:r>
        <w:rPr>
          <w:sz w:val="20"/>
          <w:szCs w:val="20"/>
        </w:rPr>
        <w:t xml:space="preserve">Piper diagram was plotted in accordance of major anion and cation </w:t>
      </w:r>
      <w:r w:rsidR="00B85297" w:rsidRPr="00B85297">
        <w:rPr>
          <w:sz w:val="20"/>
          <w:szCs w:val="20"/>
        </w:rPr>
        <w:t xml:space="preserve">groundwater samples fall in the </w:t>
      </w:r>
      <w:r w:rsidR="00B85297" w:rsidRPr="00B85297">
        <w:rPr>
          <w:rStyle w:val="Strong"/>
          <w:b w:val="0"/>
          <w:bCs w:val="0"/>
          <w:sz w:val="20"/>
          <w:szCs w:val="20"/>
        </w:rPr>
        <w:t>mixed Ca–Mg–Cl facies</w:t>
      </w:r>
      <w:r w:rsidR="00B85297" w:rsidRPr="00B85297">
        <w:rPr>
          <w:sz w:val="20"/>
          <w:szCs w:val="20"/>
        </w:rPr>
        <w:t xml:space="preserve">, representing chemically evolved water where alkaline earths dominate over alkali metals and strong acids (Cl + SO₄) dominate over weak acids (HCO₃). A few samples plot toward the Ca–Mg–HCO₃ field, indicating relatively fresh recharge conditions. Overall, the Piper diagram suggests a </w:t>
      </w:r>
      <w:r w:rsidR="00B85297" w:rsidRPr="00B85297">
        <w:rPr>
          <w:rStyle w:val="Strong"/>
          <w:b w:val="0"/>
          <w:bCs w:val="0"/>
          <w:sz w:val="20"/>
          <w:szCs w:val="20"/>
        </w:rPr>
        <w:t>transition from fresh bicarbonate-type water to more mineralized chloride-rich water</w:t>
      </w:r>
      <w:r w:rsidR="00B85297" w:rsidRPr="00B85297">
        <w:rPr>
          <w:sz w:val="20"/>
          <w:szCs w:val="20"/>
        </w:rPr>
        <w:t>, controlled by rock–water interaction, residence time, and localized geochemical processes, which collectively influence groundwater suitability for drinking and irrigation.</w:t>
      </w:r>
    </w:p>
    <w:p w14:paraId="15DB71C3" w14:textId="77777777" w:rsidR="00B85297" w:rsidRPr="00B85297" w:rsidRDefault="00B85297" w:rsidP="00B85297">
      <w:pPr>
        <w:ind w:left="142" w:right="-330" w:hanging="142"/>
        <w:jc w:val="both"/>
        <w:rPr>
          <w:sz w:val="20"/>
          <w:szCs w:val="20"/>
        </w:rPr>
      </w:pPr>
      <w:r w:rsidRPr="00B85297">
        <w:rPr>
          <w:noProof/>
          <w:sz w:val="20"/>
          <w:szCs w:val="20"/>
          <w14:ligatures w14:val="standardContextual"/>
        </w:rPr>
        <w:lastRenderedPageBreak/>
        <w:drawing>
          <wp:anchor distT="0" distB="0" distL="114300" distR="114300" simplePos="0" relativeHeight="251659264" behindDoc="0" locked="0" layoutInCell="1" allowOverlap="1" wp14:anchorId="65E37AE6" wp14:editId="62EEB9F2">
            <wp:simplePos x="0" y="0"/>
            <wp:positionH relativeFrom="column">
              <wp:posOffset>1206500</wp:posOffset>
            </wp:positionH>
            <wp:positionV relativeFrom="paragraph">
              <wp:posOffset>105410</wp:posOffset>
            </wp:positionV>
            <wp:extent cx="3423920" cy="3073400"/>
            <wp:effectExtent l="0" t="0" r="5080" b="0"/>
            <wp:wrapSquare wrapText="bothSides"/>
            <wp:docPr id="13522906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290614" name="Picture 13522906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23920" cy="3073400"/>
                    </a:xfrm>
                    <a:prstGeom prst="rect">
                      <a:avLst/>
                    </a:prstGeom>
                  </pic:spPr>
                </pic:pic>
              </a:graphicData>
            </a:graphic>
            <wp14:sizeRelH relativeFrom="margin">
              <wp14:pctWidth>0</wp14:pctWidth>
            </wp14:sizeRelH>
            <wp14:sizeRelV relativeFrom="margin">
              <wp14:pctHeight>0</wp14:pctHeight>
            </wp14:sizeRelV>
          </wp:anchor>
        </w:drawing>
      </w:r>
      <w:r w:rsidRPr="00B85297">
        <w:rPr>
          <w:sz w:val="20"/>
          <w:szCs w:val="20"/>
        </w:rPr>
        <w:br w:type="textWrapping" w:clear="all"/>
      </w:r>
    </w:p>
    <w:p w14:paraId="30840286" w14:textId="049BEE19" w:rsidR="00B85297" w:rsidRPr="00B85297" w:rsidRDefault="00B85297" w:rsidP="006C7A8B">
      <w:pPr>
        <w:ind w:left="142" w:right="-330" w:hanging="142"/>
        <w:jc w:val="center"/>
        <w:rPr>
          <w:sz w:val="20"/>
          <w:szCs w:val="20"/>
        </w:rPr>
      </w:pPr>
      <w:r w:rsidRPr="00B85297">
        <w:rPr>
          <w:sz w:val="20"/>
          <w:szCs w:val="20"/>
        </w:rPr>
        <w:t xml:space="preserve">Fig. </w:t>
      </w:r>
      <w:r w:rsidR="00CE3EB6">
        <w:rPr>
          <w:sz w:val="20"/>
          <w:szCs w:val="20"/>
        </w:rPr>
        <w:t>1</w:t>
      </w:r>
      <w:r w:rsidRPr="00B85297">
        <w:rPr>
          <w:sz w:val="20"/>
          <w:szCs w:val="20"/>
        </w:rPr>
        <w:t xml:space="preserve">. Piper Trilinear diagram showing variation in </w:t>
      </w:r>
      <w:proofErr w:type="spellStart"/>
      <w:r w:rsidRPr="00B85297">
        <w:rPr>
          <w:sz w:val="20"/>
          <w:szCs w:val="20"/>
        </w:rPr>
        <w:t>hydrochemical</w:t>
      </w:r>
      <w:proofErr w:type="spellEnd"/>
      <w:r w:rsidRPr="00B85297">
        <w:rPr>
          <w:sz w:val="20"/>
          <w:szCs w:val="20"/>
        </w:rPr>
        <w:t xml:space="preserve"> facies.</w:t>
      </w:r>
    </w:p>
    <w:p w14:paraId="5361AD03" w14:textId="2CC861EE" w:rsidR="00B85297" w:rsidRPr="00B85297" w:rsidRDefault="00B85297" w:rsidP="00B85297">
      <w:pPr>
        <w:spacing w:before="100" w:beforeAutospacing="1" w:after="100" w:afterAutospacing="1"/>
        <w:ind w:right="-330"/>
        <w:jc w:val="both"/>
        <w:outlineLvl w:val="1"/>
        <w:rPr>
          <w:b/>
          <w:bCs/>
          <w:sz w:val="20"/>
          <w:szCs w:val="20"/>
        </w:rPr>
      </w:pPr>
      <w:r w:rsidRPr="00B85297">
        <w:rPr>
          <w:b/>
          <w:bCs/>
          <w:sz w:val="20"/>
          <w:szCs w:val="20"/>
        </w:rPr>
        <w:t>Water Quality Index (WQI)</w:t>
      </w:r>
      <w:r w:rsidRPr="00B85297">
        <w:rPr>
          <w:b/>
          <w:bCs/>
          <w:sz w:val="20"/>
          <w:szCs w:val="20"/>
        </w:rPr>
        <w:tab/>
      </w:r>
    </w:p>
    <w:p w14:paraId="14DB2A02" w14:textId="3E2D20CD" w:rsidR="00523283" w:rsidRPr="00523283" w:rsidRDefault="00523283" w:rsidP="00523283">
      <w:pPr>
        <w:pStyle w:val="NormalWeb"/>
        <w:jc w:val="both"/>
        <w:rPr>
          <w:sz w:val="20"/>
          <w:szCs w:val="20"/>
        </w:rPr>
      </w:pPr>
      <w:r w:rsidRPr="00523283">
        <w:rPr>
          <w:sz w:val="20"/>
          <w:szCs w:val="20"/>
        </w:rPr>
        <w:t>The Water Quality Index (WQI) for the 45 groundwater sampling sites varies from a low of 55.61 to a high of 106.86, with an average WQI of 81.96. The analysis shows that none of the samples are classified as Excellent (0–25) or Good (26–50), indicating a lack of high-quality groundwater in the area. Twelve samples, accounting for 26.67%, fall into the Poor water quality category (WQI 51–75), suggesting moderate contamination levels that make the water unsuitable for direct consumption without treatment. Most of the groundwater samples, totalling 30 and representing 66.67%, are categorized as Very Poor (WQI 76–100), indicating significant water quality degradation due to high concentrations of chemical substances. Additionally, three samples, or 6.67%, have a WQI value exceeding 100 and are deemed Unfit for Consumption, underscoring severe contamination that could pose health risks if consumed without extensive treatment.</w:t>
      </w:r>
    </w:p>
    <w:tbl>
      <w:tblPr>
        <w:tblW w:w="6279" w:type="dxa"/>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583"/>
        <w:gridCol w:w="1925"/>
        <w:gridCol w:w="1350"/>
        <w:gridCol w:w="1421"/>
      </w:tblGrid>
      <w:tr w:rsidR="007944F9" w:rsidRPr="007944F9" w14:paraId="5E26D4AB" w14:textId="77777777" w:rsidTr="00430797">
        <w:trPr>
          <w:trHeight w:val="242"/>
          <w:tblHeader/>
          <w:tblCellSpacing w:w="15" w:type="dxa"/>
          <w:jc w:val="center"/>
        </w:trPr>
        <w:tc>
          <w:tcPr>
            <w:tcW w:w="0" w:type="auto"/>
            <w:tcBorders>
              <w:bottom w:val="single" w:sz="4" w:space="0" w:color="auto"/>
            </w:tcBorders>
            <w:vAlign w:val="center"/>
            <w:hideMark/>
          </w:tcPr>
          <w:p w14:paraId="458B3BE7" w14:textId="77777777" w:rsidR="007944F9" w:rsidRPr="007944F9" w:rsidRDefault="007944F9" w:rsidP="007944F9">
            <w:pPr>
              <w:spacing w:before="100" w:beforeAutospacing="1" w:after="100" w:afterAutospacing="1"/>
              <w:ind w:right="-330"/>
              <w:jc w:val="both"/>
              <w:outlineLvl w:val="1"/>
              <w:rPr>
                <w:b/>
                <w:bCs/>
                <w:sz w:val="20"/>
                <w:szCs w:val="20"/>
              </w:rPr>
            </w:pPr>
            <w:r w:rsidRPr="007944F9">
              <w:rPr>
                <w:b/>
                <w:bCs/>
                <w:sz w:val="20"/>
                <w:szCs w:val="20"/>
              </w:rPr>
              <w:t>WQ Index Range</w:t>
            </w:r>
          </w:p>
        </w:tc>
        <w:tc>
          <w:tcPr>
            <w:tcW w:w="0" w:type="auto"/>
            <w:tcBorders>
              <w:left w:val="single" w:sz="4" w:space="0" w:color="auto"/>
              <w:bottom w:val="single" w:sz="4" w:space="0" w:color="auto"/>
              <w:right w:val="single" w:sz="4" w:space="0" w:color="auto"/>
            </w:tcBorders>
            <w:vAlign w:val="center"/>
            <w:hideMark/>
          </w:tcPr>
          <w:p w14:paraId="0985E38A" w14:textId="77777777" w:rsidR="007944F9" w:rsidRPr="007944F9" w:rsidRDefault="007944F9" w:rsidP="007944F9">
            <w:pPr>
              <w:spacing w:before="100" w:beforeAutospacing="1" w:after="100" w:afterAutospacing="1"/>
              <w:ind w:right="-330"/>
              <w:jc w:val="both"/>
              <w:outlineLvl w:val="1"/>
              <w:rPr>
                <w:b/>
                <w:bCs/>
                <w:sz w:val="20"/>
                <w:szCs w:val="20"/>
              </w:rPr>
            </w:pPr>
            <w:r w:rsidRPr="007944F9">
              <w:rPr>
                <w:b/>
                <w:bCs/>
                <w:sz w:val="20"/>
                <w:szCs w:val="20"/>
              </w:rPr>
              <w:t>Water Quality Status</w:t>
            </w:r>
          </w:p>
        </w:tc>
        <w:tc>
          <w:tcPr>
            <w:tcW w:w="0" w:type="auto"/>
            <w:tcBorders>
              <w:bottom w:val="single" w:sz="4" w:space="0" w:color="auto"/>
              <w:right w:val="single" w:sz="4" w:space="0" w:color="auto"/>
            </w:tcBorders>
            <w:vAlign w:val="center"/>
            <w:hideMark/>
          </w:tcPr>
          <w:p w14:paraId="7076D7B5" w14:textId="77777777" w:rsidR="007944F9" w:rsidRPr="007944F9" w:rsidRDefault="007944F9" w:rsidP="007944F9">
            <w:pPr>
              <w:spacing w:before="100" w:beforeAutospacing="1" w:after="100" w:afterAutospacing="1"/>
              <w:ind w:right="-330"/>
              <w:jc w:val="both"/>
              <w:outlineLvl w:val="1"/>
              <w:rPr>
                <w:b/>
                <w:bCs/>
                <w:sz w:val="20"/>
                <w:szCs w:val="20"/>
              </w:rPr>
            </w:pPr>
            <w:r w:rsidRPr="007944F9">
              <w:rPr>
                <w:b/>
                <w:bCs/>
                <w:sz w:val="20"/>
                <w:szCs w:val="20"/>
              </w:rPr>
              <w:t>No. of Samples</w:t>
            </w:r>
          </w:p>
        </w:tc>
        <w:tc>
          <w:tcPr>
            <w:tcW w:w="0" w:type="auto"/>
            <w:tcBorders>
              <w:bottom w:val="single" w:sz="4" w:space="0" w:color="auto"/>
            </w:tcBorders>
            <w:vAlign w:val="center"/>
            <w:hideMark/>
          </w:tcPr>
          <w:p w14:paraId="1A3E2BE6" w14:textId="77777777" w:rsidR="007944F9" w:rsidRPr="007944F9" w:rsidRDefault="007944F9" w:rsidP="007944F9">
            <w:pPr>
              <w:spacing w:before="100" w:beforeAutospacing="1" w:after="100" w:afterAutospacing="1"/>
              <w:ind w:right="-330"/>
              <w:jc w:val="both"/>
              <w:outlineLvl w:val="1"/>
              <w:rPr>
                <w:b/>
                <w:bCs/>
                <w:sz w:val="20"/>
                <w:szCs w:val="20"/>
              </w:rPr>
            </w:pPr>
            <w:r w:rsidRPr="007944F9">
              <w:rPr>
                <w:b/>
                <w:bCs/>
                <w:sz w:val="20"/>
                <w:szCs w:val="20"/>
              </w:rPr>
              <w:t>Percentage (%)</w:t>
            </w:r>
          </w:p>
        </w:tc>
      </w:tr>
      <w:tr w:rsidR="007944F9" w:rsidRPr="007944F9" w14:paraId="05CBFB21" w14:textId="77777777" w:rsidTr="00430797">
        <w:trPr>
          <w:trHeight w:val="231"/>
          <w:tblCellSpacing w:w="15" w:type="dxa"/>
          <w:jc w:val="center"/>
        </w:trPr>
        <w:tc>
          <w:tcPr>
            <w:tcW w:w="0" w:type="auto"/>
            <w:vAlign w:val="center"/>
            <w:hideMark/>
          </w:tcPr>
          <w:p w14:paraId="12B99438" w14:textId="77777777" w:rsidR="007944F9" w:rsidRPr="007944F9" w:rsidRDefault="007944F9" w:rsidP="007944F9">
            <w:pPr>
              <w:spacing w:before="100" w:beforeAutospacing="1" w:after="100" w:afterAutospacing="1"/>
              <w:ind w:right="-330"/>
              <w:jc w:val="both"/>
              <w:outlineLvl w:val="1"/>
              <w:rPr>
                <w:sz w:val="20"/>
                <w:szCs w:val="20"/>
              </w:rPr>
            </w:pPr>
            <w:r w:rsidRPr="007944F9">
              <w:rPr>
                <w:sz w:val="20"/>
                <w:szCs w:val="20"/>
              </w:rPr>
              <w:t>0–25</w:t>
            </w:r>
          </w:p>
        </w:tc>
        <w:tc>
          <w:tcPr>
            <w:tcW w:w="0" w:type="auto"/>
            <w:tcBorders>
              <w:left w:val="single" w:sz="4" w:space="0" w:color="auto"/>
              <w:right w:val="single" w:sz="4" w:space="0" w:color="auto"/>
            </w:tcBorders>
            <w:vAlign w:val="center"/>
            <w:hideMark/>
          </w:tcPr>
          <w:p w14:paraId="7477D1A0" w14:textId="77777777" w:rsidR="007944F9" w:rsidRPr="007944F9" w:rsidRDefault="007944F9" w:rsidP="007944F9">
            <w:pPr>
              <w:spacing w:before="100" w:beforeAutospacing="1" w:after="100" w:afterAutospacing="1"/>
              <w:ind w:right="-330"/>
              <w:jc w:val="both"/>
              <w:outlineLvl w:val="1"/>
              <w:rPr>
                <w:sz w:val="20"/>
                <w:szCs w:val="20"/>
              </w:rPr>
            </w:pPr>
            <w:r w:rsidRPr="007944F9">
              <w:rPr>
                <w:sz w:val="20"/>
                <w:szCs w:val="20"/>
              </w:rPr>
              <w:t>Excellent</w:t>
            </w:r>
          </w:p>
        </w:tc>
        <w:tc>
          <w:tcPr>
            <w:tcW w:w="0" w:type="auto"/>
            <w:tcBorders>
              <w:right w:val="single" w:sz="4" w:space="0" w:color="auto"/>
            </w:tcBorders>
            <w:vAlign w:val="center"/>
            <w:hideMark/>
          </w:tcPr>
          <w:p w14:paraId="33B1EA8D" w14:textId="77777777" w:rsidR="007944F9" w:rsidRPr="007944F9" w:rsidRDefault="007944F9" w:rsidP="007944F9">
            <w:pPr>
              <w:spacing w:before="100" w:beforeAutospacing="1" w:after="100" w:afterAutospacing="1"/>
              <w:ind w:right="-330"/>
              <w:jc w:val="both"/>
              <w:outlineLvl w:val="1"/>
              <w:rPr>
                <w:sz w:val="20"/>
                <w:szCs w:val="20"/>
              </w:rPr>
            </w:pPr>
            <w:r w:rsidRPr="007944F9">
              <w:rPr>
                <w:sz w:val="20"/>
                <w:szCs w:val="20"/>
              </w:rPr>
              <w:t>-</w:t>
            </w:r>
          </w:p>
        </w:tc>
        <w:tc>
          <w:tcPr>
            <w:tcW w:w="0" w:type="auto"/>
            <w:vAlign w:val="center"/>
            <w:hideMark/>
          </w:tcPr>
          <w:p w14:paraId="4B7FEDA0" w14:textId="77777777" w:rsidR="007944F9" w:rsidRPr="007944F9" w:rsidRDefault="007944F9" w:rsidP="007944F9">
            <w:pPr>
              <w:spacing w:before="100" w:beforeAutospacing="1" w:after="100" w:afterAutospacing="1"/>
              <w:ind w:right="-330"/>
              <w:jc w:val="both"/>
              <w:outlineLvl w:val="1"/>
              <w:rPr>
                <w:sz w:val="20"/>
                <w:szCs w:val="20"/>
              </w:rPr>
            </w:pPr>
            <w:r w:rsidRPr="007944F9">
              <w:rPr>
                <w:sz w:val="20"/>
                <w:szCs w:val="20"/>
              </w:rPr>
              <w:t>-</w:t>
            </w:r>
          </w:p>
        </w:tc>
      </w:tr>
      <w:tr w:rsidR="007944F9" w:rsidRPr="007944F9" w14:paraId="378FFEDD" w14:textId="77777777" w:rsidTr="00430797">
        <w:trPr>
          <w:trHeight w:val="231"/>
          <w:tblCellSpacing w:w="15" w:type="dxa"/>
          <w:jc w:val="center"/>
        </w:trPr>
        <w:tc>
          <w:tcPr>
            <w:tcW w:w="0" w:type="auto"/>
            <w:tcBorders>
              <w:top w:val="single" w:sz="4" w:space="0" w:color="auto"/>
              <w:bottom w:val="single" w:sz="4" w:space="0" w:color="auto"/>
            </w:tcBorders>
            <w:vAlign w:val="center"/>
            <w:hideMark/>
          </w:tcPr>
          <w:p w14:paraId="7D6DD8F5" w14:textId="77777777" w:rsidR="007944F9" w:rsidRPr="007944F9" w:rsidRDefault="007944F9" w:rsidP="007944F9">
            <w:pPr>
              <w:spacing w:before="100" w:beforeAutospacing="1" w:after="100" w:afterAutospacing="1"/>
              <w:ind w:right="-330"/>
              <w:jc w:val="both"/>
              <w:outlineLvl w:val="1"/>
              <w:rPr>
                <w:sz w:val="20"/>
                <w:szCs w:val="20"/>
              </w:rPr>
            </w:pPr>
            <w:r w:rsidRPr="007944F9">
              <w:rPr>
                <w:sz w:val="20"/>
                <w:szCs w:val="20"/>
              </w:rPr>
              <w:t>26–50</w:t>
            </w:r>
          </w:p>
        </w:tc>
        <w:tc>
          <w:tcPr>
            <w:tcW w:w="0" w:type="auto"/>
            <w:tcBorders>
              <w:top w:val="single" w:sz="4" w:space="0" w:color="auto"/>
              <w:left w:val="single" w:sz="4" w:space="0" w:color="auto"/>
              <w:bottom w:val="single" w:sz="4" w:space="0" w:color="auto"/>
              <w:right w:val="single" w:sz="4" w:space="0" w:color="auto"/>
            </w:tcBorders>
            <w:vAlign w:val="center"/>
            <w:hideMark/>
          </w:tcPr>
          <w:p w14:paraId="7A292324" w14:textId="77777777" w:rsidR="007944F9" w:rsidRPr="007944F9" w:rsidRDefault="007944F9" w:rsidP="007944F9">
            <w:pPr>
              <w:spacing w:before="100" w:beforeAutospacing="1" w:after="100" w:afterAutospacing="1"/>
              <w:ind w:right="-330"/>
              <w:jc w:val="both"/>
              <w:outlineLvl w:val="1"/>
              <w:rPr>
                <w:sz w:val="20"/>
                <w:szCs w:val="20"/>
              </w:rPr>
            </w:pPr>
            <w:r w:rsidRPr="007944F9">
              <w:rPr>
                <w:sz w:val="20"/>
                <w:szCs w:val="20"/>
              </w:rPr>
              <w:t>Good</w:t>
            </w:r>
          </w:p>
        </w:tc>
        <w:tc>
          <w:tcPr>
            <w:tcW w:w="0" w:type="auto"/>
            <w:tcBorders>
              <w:top w:val="single" w:sz="4" w:space="0" w:color="auto"/>
              <w:bottom w:val="single" w:sz="4" w:space="0" w:color="auto"/>
              <w:right w:val="single" w:sz="4" w:space="0" w:color="auto"/>
            </w:tcBorders>
            <w:vAlign w:val="center"/>
            <w:hideMark/>
          </w:tcPr>
          <w:p w14:paraId="17360AC0" w14:textId="77777777" w:rsidR="007944F9" w:rsidRPr="007944F9" w:rsidRDefault="007944F9" w:rsidP="007944F9">
            <w:pPr>
              <w:spacing w:before="100" w:beforeAutospacing="1" w:after="100" w:afterAutospacing="1"/>
              <w:ind w:right="-330"/>
              <w:jc w:val="both"/>
              <w:outlineLvl w:val="1"/>
              <w:rPr>
                <w:sz w:val="20"/>
                <w:szCs w:val="20"/>
              </w:rPr>
            </w:pPr>
            <w:r w:rsidRPr="007944F9">
              <w:rPr>
                <w:sz w:val="20"/>
                <w:szCs w:val="20"/>
              </w:rPr>
              <w:t>-</w:t>
            </w:r>
          </w:p>
        </w:tc>
        <w:tc>
          <w:tcPr>
            <w:tcW w:w="0" w:type="auto"/>
            <w:tcBorders>
              <w:top w:val="single" w:sz="4" w:space="0" w:color="auto"/>
              <w:bottom w:val="single" w:sz="4" w:space="0" w:color="auto"/>
            </w:tcBorders>
            <w:vAlign w:val="center"/>
            <w:hideMark/>
          </w:tcPr>
          <w:p w14:paraId="0F47262B" w14:textId="77777777" w:rsidR="007944F9" w:rsidRPr="007944F9" w:rsidRDefault="007944F9" w:rsidP="007944F9">
            <w:pPr>
              <w:spacing w:before="100" w:beforeAutospacing="1" w:after="100" w:afterAutospacing="1"/>
              <w:ind w:right="-330"/>
              <w:jc w:val="both"/>
              <w:outlineLvl w:val="1"/>
              <w:rPr>
                <w:sz w:val="20"/>
                <w:szCs w:val="20"/>
              </w:rPr>
            </w:pPr>
            <w:r w:rsidRPr="007944F9">
              <w:rPr>
                <w:sz w:val="20"/>
                <w:szCs w:val="20"/>
              </w:rPr>
              <w:t>-</w:t>
            </w:r>
          </w:p>
        </w:tc>
      </w:tr>
      <w:tr w:rsidR="007944F9" w:rsidRPr="007944F9" w14:paraId="7EDB6775" w14:textId="77777777" w:rsidTr="00430797">
        <w:trPr>
          <w:trHeight w:val="242"/>
          <w:tblCellSpacing w:w="15" w:type="dxa"/>
          <w:jc w:val="center"/>
        </w:trPr>
        <w:tc>
          <w:tcPr>
            <w:tcW w:w="0" w:type="auto"/>
            <w:tcBorders>
              <w:bottom w:val="single" w:sz="4" w:space="0" w:color="auto"/>
            </w:tcBorders>
            <w:vAlign w:val="center"/>
            <w:hideMark/>
          </w:tcPr>
          <w:p w14:paraId="2A312374" w14:textId="77777777" w:rsidR="007944F9" w:rsidRPr="007944F9" w:rsidRDefault="007944F9" w:rsidP="007944F9">
            <w:pPr>
              <w:spacing w:before="100" w:beforeAutospacing="1" w:after="100" w:afterAutospacing="1"/>
              <w:ind w:right="-330"/>
              <w:jc w:val="both"/>
              <w:outlineLvl w:val="1"/>
              <w:rPr>
                <w:sz w:val="20"/>
                <w:szCs w:val="20"/>
              </w:rPr>
            </w:pPr>
            <w:r w:rsidRPr="007944F9">
              <w:rPr>
                <w:sz w:val="20"/>
                <w:szCs w:val="20"/>
              </w:rPr>
              <w:t>51–75</w:t>
            </w:r>
          </w:p>
        </w:tc>
        <w:tc>
          <w:tcPr>
            <w:tcW w:w="0" w:type="auto"/>
            <w:tcBorders>
              <w:left w:val="single" w:sz="4" w:space="0" w:color="auto"/>
              <w:bottom w:val="single" w:sz="4" w:space="0" w:color="auto"/>
              <w:right w:val="single" w:sz="4" w:space="0" w:color="auto"/>
            </w:tcBorders>
            <w:vAlign w:val="center"/>
            <w:hideMark/>
          </w:tcPr>
          <w:p w14:paraId="3A29D156" w14:textId="77777777" w:rsidR="007944F9" w:rsidRPr="007944F9" w:rsidRDefault="007944F9" w:rsidP="007944F9">
            <w:pPr>
              <w:spacing w:before="100" w:beforeAutospacing="1" w:after="100" w:afterAutospacing="1"/>
              <w:ind w:right="-330"/>
              <w:jc w:val="both"/>
              <w:outlineLvl w:val="1"/>
              <w:rPr>
                <w:sz w:val="20"/>
                <w:szCs w:val="20"/>
              </w:rPr>
            </w:pPr>
            <w:r w:rsidRPr="007944F9">
              <w:rPr>
                <w:sz w:val="20"/>
                <w:szCs w:val="20"/>
              </w:rPr>
              <w:t>Poor</w:t>
            </w:r>
          </w:p>
        </w:tc>
        <w:tc>
          <w:tcPr>
            <w:tcW w:w="0" w:type="auto"/>
            <w:tcBorders>
              <w:bottom w:val="single" w:sz="4" w:space="0" w:color="auto"/>
              <w:right w:val="single" w:sz="4" w:space="0" w:color="auto"/>
            </w:tcBorders>
            <w:vAlign w:val="center"/>
            <w:hideMark/>
          </w:tcPr>
          <w:p w14:paraId="7150B2EC" w14:textId="77777777" w:rsidR="007944F9" w:rsidRPr="007944F9" w:rsidRDefault="007944F9" w:rsidP="007944F9">
            <w:pPr>
              <w:spacing w:before="100" w:beforeAutospacing="1" w:after="100" w:afterAutospacing="1"/>
              <w:ind w:right="-330"/>
              <w:jc w:val="both"/>
              <w:outlineLvl w:val="1"/>
              <w:rPr>
                <w:sz w:val="20"/>
                <w:szCs w:val="20"/>
              </w:rPr>
            </w:pPr>
            <w:r w:rsidRPr="007944F9">
              <w:rPr>
                <w:sz w:val="20"/>
                <w:szCs w:val="20"/>
              </w:rPr>
              <w:t>25</w:t>
            </w:r>
          </w:p>
        </w:tc>
        <w:tc>
          <w:tcPr>
            <w:tcW w:w="0" w:type="auto"/>
            <w:tcBorders>
              <w:bottom w:val="single" w:sz="4" w:space="0" w:color="auto"/>
            </w:tcBorders>
            <w:vAlign w:val="center"/>
            <w:hideMark/>
          </w:tcPr>
          <w:p w14:paraId="3FECEA0A" w14:textId="77777777" w:rsidR="007944F9" w:rsidRPr="007944F9" w:rsidRDefault="007944F9" w:rsidP="007944F9">
            <w:pPr>
              <w:spacing w:before="100" w:beforeAutospacing="1" w:after="100" w:afterAutospacing="1"/>
              <w:ind w:right="-330"/>
              <w:jc w:val="both"/>
              <w:outlineLvl w:val="1"/>
              <w:rPr>
                <w:sz w:val="20"/>
                <w:szCs w:val="20"/>
              </w:rPr>
            </w:pPr>
            <w:r w:rsidRPr="007944F9">
              <w:rPr>
                <w:sz w:val="20"/>
                <w:szCs w:val="20"/>
              </w:rPr>
              <w:t>55.55</w:t>
            </w:r>
          </w:p>
        </w:tc>
      </w:tr>
      <w:tr w:rsidR="007944F9" w:rsidRPr="007944F9" w14:paraId="0AC4510F" w14:textId="77777777" w:rsidTr="00430797">
        <w:trPr>
          <w:trHeight w:val="231"/>
          <w:tblCellSpacing w:w="15" w:type="dxa"/>
          <w:jc w:val="center"/>
        </w:trPr>
        <w:tc>
          <w:tcPr>
            <w:tcW w:w="0" w:type="auto"/>
            <w:tcBorders>
              <w:bottom w:val="single" w:sz="4" w:space="0" w:color="auto"/>
            </w:tcBorders>
            <w:vAlign w:val="center"/>
            <w:hideMark/>
          </w:tcPr>
          <w:p w14:paraId="421CEDF0" w14:textId="77777777" w:rsidR="007944F9" w:rsidRPr="007944F9" w:rsidRDefault="007944F9" w:rsidP="007944F9">
            <w:pPr>
              <w:spacing w:before="100" w:beforeAutospacing="1" w:after="100" w:afterAutospacing="1"/>
              <w:ind w:right="-330"/>
              <w:jc w:val="both"/>
              <w:outlineLvl w:val="1"/>
              <w:rPr>
                <w:sz w:val="20"/>
                <w:szCs w:val="20"/>
              </w:rPr>
            </w:pPr>
            <w:r w:rsidRPr="007944F9">
              <w:rPr>
                <w:sz w:val="20"/>
                <w:szCs w:val="20"/>
              </w:rPr>
              <w:t>76–100</w:t>
            </w:r>
          </w:p>
        </w:tc>
        <w:tc>
          <w:tcPr>
            <w:tcW w:w="0" w:type="auto"/>
            <w:tcBorders>
              <w:left w:val="single" w:sz="4" w:space="0" w:color="auto"/>
              <w:bottom w:val="single" w:sz="4" w:space="0" w:color="auto"/>
              <w:right w:val="single" w:sz="4" w:space="0" w:color="auto"/>
            </w:tcBorders>
            <w:vAlign w:val="center"/>
            <w:hideMark/>
          </w:tcPr>
          <w:p w14:paraId="6AE0E262" w14:textId="77777777" w:rsidR="007944F9" w:rsidRPr="007944F9" w:rsidRDefault="007944F9" w:rsidP="007944F9">
            <w:pPr>
              <w:spacing w:before="100" w:beforeAutospacing="1" w:after="100" w:afterAutospacing="1"/>
              <w:ind w:right="-330"/>
              <w:jc w:val="both"/>
              <w:outlineLvl w:val="1"/>
              <w:rPr>
                <w:sz w:val="20"/>
                <w:szCs w:val="20"/>
              </w:rPr>
            </w:pPr>
            <w:r w:rsidRPr="007944F9">
              <w:rPr>
                <w:sz w:val="20"/>
                <w:szCs w:val="20"/>
              </w:rPr>
              <w:t>Very Poor</w:t>
            </w:r>
          </w:p>
        </w:tc>
        <w:tc>
          <w:tcPr>
            <w:tcW w:w="0" w:type="auto"/>
            <w:tcBorders>
              <w:bottom w:val="single" w:sz="4" w:space="0" w:color="auto"/>
              <w:right w:val="single" w:sz="4" w:space="0" w:color="auto"/>
            </w:tcBorders>
            <w:vAlign w:val="center"/>
            <w:hideMark/>
          </w:tcPr>
          <w:p w14:paraId="5059AD68" w14:textId="77777777" w:rsidR="007944F9" w:rsidRPr="007944F9" w:rsidRDefault="007944F9" w:rsidP="007944F9">
            <w:pPr>
              <w:spacing w:before="100" w:beforeAutospacing="1" w:after="100" w:afterAutospacing="1"/>
              <w:ind w:right="-330"/>
              <w:jc w:val="both"/>
              <w:outlineLvl w:val="1"/>
              <w:rPr>
                <w:sz w:val="20"/>
                <w:szCs w:val="20"/>
              </w:rPr>
            </w:pPr>
            <w:r w:rsidRPr="007944F9">
              <w:rPr>
                <w:sz w:val="20"/>
                <w:szCs w:val="20"/>
              </w:rPr>
              <w:t>20</w:t>
            </w:r>
          </w:p>
        </w:tc>
        <w:tc>
          <w:tcPr>
            <w:tcW w:w="0" w:type="auto"/>
            <w:tcBorders>
              <w:bottom w:val="single" w:sz="4" w:space="0" w:color="auto"/>
            </w:tcBorders>
            <w:vAlign w:val="center"/>
            <w:hideMark/>
          </w:tcPr>
          <w:p w14:paraId="1B5E4686" w14:textId="77777777" w:rsidR="007944F9" w:rsidRPr="007944F9" w:rsidRDefault="007944F9" w:rsidP="007944F9">
            <w:pPr>
              <w:spacing w:before="100" w:beforeAutospacing="1" w:after="100" w:afterAutospacing="1"/>
              <w:ind w:right="-330"/>
              <w:jc w:val="both"/>
              <w:outlineLvl w:val="1"/>
              <w:rPr>
                <w:sz w:val="20"/>
                <w:szCs w:val="20"/>
              </w:rPr>
            </w:pPr>
            <w:r w:rsidRPr="007944F9">
              <w:rPr>
                <w:sz w:val="20"/>
                <w:szCs w:val="20"/>
              </w:rPr>
              <w:t>44.44</w:t>
            </w:r>
          </w:p>
        </w:tc>
      </w:tr>
      <w:tr w:rsidR="007944F9" w:rsidRPr="007944F9" w14:paraId="6B622B64" w14:textId="77777777" w:rsidTr="00430797">
        <w:trPr>
          <w:trHeight w:val="242"/>
          <w:tblCellSpacing w:w="15" w:type="dxa"/>
          <w:jc w:val="center"/>
        </w:trPr>
        <w:tc>
          <w:tcPr>
            <w:tcW w:w="0" w:type="auto"/>
            <w:vAlign w:val="center"/>
            <w:hideMark/>
          </w:tcPr>
          <w:p w14:paraId="28665FC7" w14:textId="77777777" w:rsidR="007944F9" w:rsidRPr="007944F9" w:rsidRDefault="007944F9" w:rsidP="007944F9">
            <w:pPr>
              <w:spacing w:before="100" w:beforeAutospacing="1" w:after="100" w:afterAutospacing="1"/>
              <w:ind w:right="-330"/>
              <w:jc w:val="both"/>
              <w:outlineLvl w:val="1"/>
              <w:rPr>
                <w:sz w:val="20"/>
                <w:szCs w:val="20"/>
              </w:rPr>
            </w:pPr>
            <w:r w:rsidRPr="007944F9">
              <w:rPr>
                <w:sz w:val="20"/>
                <w:szCs w:val="20"/>
              </w:rPr>
              <w:t>&gt;100</w:t>
            </w:r>
          </w:p>
        </w:tc>
        <w:tc>
          <w:tcPr>
            <w:tcW w:w="0" w:type="auto"/>
            <w:tcBorders>
              <w:left w:val="single" w:sz="4" w:space="0" w:color="auto"/>
              <w:right w:val="single" w:sz="4" w:space="0" w:color="auto"/>
            </w:tcBorders>
            <w:vAlign w:val="center"/>
            <w:hideMark/>
          </w:tcPr>
          <w:p w14:paraId="7A751906" w14:textId="77777777" w:rsidR="007944F9" w:rsidRPr="007944F9" w:rsidRDefault="007944F9" w:rsidP="007944F9">
            <w:pPr>
              <w:spacing w:before="100" w:beforeAutospacing="1" w:after="100" w:afterAutospacing="1"/>
              <w:ind w:right="-330"/>
              <w:jc w:val="both"/>
              <w:outlineLvl w:val="1"/>
              <w:rPr>
                <w:sz w:val="20"/>
                <w:szCs w:val="20"/>
              </w:rPr>
            </w:pPr>
            <w:r w:rsidRPr="007944F9">
              <w:rPr>
                <w:sz w:val="20"/>
                <w:szCs w:val="20"/>
              </w:rPr>
              <w:t>Unfit for Consumption</w:t>
            </w:r>
          </w:p>
        </w:tc>
        <w:tc>
          <w:tcPr>
            <w:tcW w:w="0" w:type="auto"/>
            <w:tcBorders>
              <w:right w:val="single" w:sz="4" w:space="0" w:color="auto"/>
            </w:tcBorders>
            <w:vAlign w:val="center"/>
            <w:hideMark/>
          </w:tcPr>
          <w:p w14:paraId="794E032C" w14:textId="77777777" w:rsidR="007944F9" w:rsidRPr="007944F9" w:rsidRDefault="007944F9" w:rsidP="007944F9">
            <w:pPr>
              <w:spacing w:before="100" w:beforeAutospacing="1" w:after="100" w:afterAutospacing="1"/>
              <w:ind w:right="-330"/>
              <w:jc w:val="both"/>
              <w:outlineLvl w:val="1"/>
              <w:rPr>
                <w:sz w:val="20"/>
                <w:szCs w:val="20"/>
              </w:rPr>
            </w:pPr>
            <w:r w:rsidRPr="007944F9">
              <w:rPr>
                <w:sz w:val="20"/>
                <w:szCs w:val="20"/>
              </w:rPr>
              <w:t>-</w:t>
            </w:r>
          </w:p>
        </w:tc>
        <w:tc>
          <w:tcPr>
            <w:tcW w:w="0" w:type="auto"/>
            <w:vAlign w:val="center"/>
            <w:hideMark/>
          </w:tcPr>
          <w:p w14:paraId="40DCA2E6" w14:textId="77777777" w:rsidR="007944F9" w:rsidRPr="007944F9" w:rsidRDefault="007944F9" w:rsidP="007944F9">
            <w:pPr>
              <w:spacing w:before="100" w:beforeAutospacing="1" w:after="100" w:afterAutospacing="1"/>
              <w:ind w:right="-330"/>
              <w:jc w:val="both"/>
              <w:outlineLvl w:val="1"/>
              <w:rPr>
                <w:sz w:val="20"/>
                <w:szCs w:val="20"/>
              </w:rPr>
            </w:pPr>
            <w:r w:rsidRPr="007944F9">
              <w:rPr>
                <w:sz w:val="20"/>
                <w:szCs w:val="20"/>
              </w:rPr>
              <w:t>-</w:t>
            </w:r>
          </w:p>
        </w:tc>
      </w:tr>
    </w:tbl>
    <w:p w14:paraId="11556FFE" w14:textId="443B4851" w:rsidR="00B85297" w:rsidRPr="00B85297" w:rsidRDefault="00B85297" w:rsidP="007944F9">
      <w:pPr>
        <w:pStyle w:val="NormalWeb"/>
        <w:ind w:right="-330"/>
        <w:jc w:val="center"/>
        <w:rPr>
          <w:sz w:val="20"/>
          <w:szCs w:val="20"/>
        </w:rPr>
      </w:pPr>
      <w:r w:rsidRPr="00B85297">
        <w:rPr>
          <w:sz w:val="20"/>
          <w:szCs w:val="20"/>
        </w:rPr>
        <w:t xml:space="preserve">Table. </w:t>
      </w:r>
      <w:r w:rsidR="00CE3EB6">
        <w:rPr>
          <w:sz w:val="20"/>
          <w:szCs w:val="20"/>
        </w:rPr>
        <w:t>1</w:t>
      </w:r>
      <w:r w:rsidRPr="00B85297">
        <w:rPr>
          <w:sz w:val="20"/>
          <w:szCs w:val="20"/>
        </w:rPr>
        <w:t xml:space="preserve">. Water quality index range and types of water </w:t>
      </w:r>
      <w:proofErr w:type="gramStart"/>
      <w:r w:rsidRPr="00B85297">
        <w:rPr>
          <w:sz w:val="20"/>
          <w:szCs w:val="20"/>
        </w:rPr>
        <w:t>classification(</w:t>
      </w:r>
      <w:proofErr w:type="gramEnd"/>
      <w:r w:rsidRPr="00B85297">
        <w:rPr>
          <w:sz w:val="20"/>
          <w:szCs w:val="20"/>
        </w:rPr>
        <w:t>Brown et al., 1972)</w:t>
      </w:r>
    </w:p>
    <w:p w14:paraId="056E371B" w14:textId="18EF53AD" w:rsidR="00B85297" w:rsidRPr="00B85297" w:rsidRDefault="00B85297" w:rsidP="00B85297">
      <w:pPr>
        <w:spacing w:before="100" w:beforeAutospacing="1" w:after="100" w:afterAutospacing="1"/>
        <w:ind w:right="-330"/>
        <w:jc w:val="both"/>
        <w:outlineLvl w:val="2"/>
        <w:rPr>
          <w:b/>
          <w:bCs/>
          <w:sz w:val="20"/>
          <w:szCs w:val="20"/>
        </w:rPr>
      </w:pPr>
      <w:r w:rsidRPr="00B85297">
        <w:rPr>
          <w:b/>
          <w:bCs/>
          <w:sz w:val="20"/>
          <w:szCs w:val="20"/>
        </w:rPr>
        <w:t>SAR (Sodium Hazard)</w:t>
      </w:r>
    </w:p>
    <w:p w14:paraId="638C69A4" w14:textId="77777777" w:rsidR="00523283" w:rsidRDefault="00523283" w:rsidP="00523283">
      <w:pPr>
        <w:pStyle w:val="NormalWeb"/>
        <w:jc w:val="both"/>
      </w:pPr>
      <w:r>
        <w:rPr>
          <w:rStyle w:val="ai-insert"/>
          <w:rFonts w:eastAsiaTheme="majorEastAsia"/>
          <w:sz w:val="20"/>
          <w:szCs w:val="20"/>
        </w:rPr>
        <w:t>The Sodium Adsorption Ratio (SAR) classification, as per BIS and USSL standards, reveals that most groundwater samples are categorized as S2 (10–18), comprising 42.22% of the total, indicating a moderate sodium hazard and general suitability for irrigation with standard soil and water management. A notable 20% of samples fall into the S1 category (&lt;10), signifying excellent water quality with minimal sodium risk and no negative effects on soil permeability. However, 24.44% of the samples are classified as S3 (18–26), suggesting a high sodium hazard, where extended use could harm soil structure unless amendments like gypsum are used. Furthermore, 13.33% of the samples are in the S4 category (&gt;26), indicating a very high sodium hazard, making the water unsuitable for irrigation due to significant risks of soil dispersion and decreased infiltration. Overall, the SAR–</w:t>
      </w:r>
      <w:r>
        <w:rPr>
          <w:rStyle w:val="ai-insert"/>
          <w:rFonts w:eastAsiaTheme="majorEastAsia"/>
          <w:sz w:val="20"/>
          <w:szCs w:val="20"/>
        </w:rPr>
        <w:lastRenderedPageBreak/>
        <w:t>EC evaluation indicates that while most groundwater in the study area is suitable to moderately suitable for irrigation, certain areas show increased sodium hazard that requires careful management.</w:t>
      </w:r>
    </w:p>
    <w:p w14:paraId="38F57ED8" w14:textId="669EC1EA" w:rsidR="00B85297" w:rsidRPr="00B85297" w:rsidRDefault="00B85297" w:rsidP="00B85297">
      <w:pPr>
        <w:jc w:val="both"/>
        <w:rPr>
          <w:sz w:val="20"/>
          <w:szCs w:val="20"/>
        </w:rPr>
      </w:pPr>
      <w:r w:rsidRPr="00B85297">
        <w:rPr>
          <w:sz w:val="20"/>
          <w:szCs w:val="20"/>
        </w:rPr>
        <w:t xml:space="preserve">              </w:t>
      </w:r>
      <w:r w:rsidRPr="00B85297">
        <w:rPr>
          <w:sz w:val="20"/>
          <w:szCs w:val="20"/>
        </w:rPr>
        <w:tab/>
      </w:r>
      <w:r w:rsidRPr="00B85297">
        <w:rPr>
          <w:sz w:val="20"/>
          <w:szCs w:val="20"/>
        </w:rPr>
        <w:tab/>
      </w:r>
      <w:r w:rsidRPr="00B85297">
        <w:rPr>
          <w:sz w:val="20"/>
          <w:szCs w:val="20"/>
        </w:rPr>
        <w:tab/>
      </w:r>
      <w:r w:rsidRPr="00B85297">
        <w:rPr>
          <w:sz w:val="20"/>
          <w:szCs w:val="20"/>
        </w:rPr>
        <w:tab/>
      </w:r>
      <w:r w:rsidRPr="00B85297">
        <w:rPr>
          <w:sz w:val="20"/>
          <w:szCs w:val="20"/>
        </w:rPr>
        <w:tab/>
      </w:r>
      <m:oMath>
        <m:sSup>
          <m:sSupPr>
            <m:ctrlPr>
              <w:rPr>
                <w:rFonts w:ascii="Cambria Math" w:hAnsi="Cambria Math"/>
                <w:sz w:val="20"/>
                <w:szCs w:val="20"/>
              </w:rPr>
            </m:ctrlPr>
          </m:sSupPr>
          <m:e>
            <m:r>
              <m:rPr>
                <m:sty m:val="p"/>
              </m:rPr>
              <w:rPr>
                <w:rFonts w:ascii="Cambria Math" w:hAnsi="Cambria Math"/>
                <w:sz w:val="20"/>
                <w:szCs w:val="20"/>
              </w:rPr>
              <m:t>[Na</m:t>
            </m:r>
          </m:e>
          <m:sup>
            <m:r>
              <m:rPr>
                <m:sty m:val="p"/>
              </m:rPr>
              <w:rPr>
                <w:rFonts w:ascii="Cambria Math" w:hAnsi="Cambria Math"/>
                <w:sz w:val="20"/>
                <w:szCs w:val="20"/>
              </w:rPr>
              <m:t>2+</m:t>
            </m:r>
          </m:sup>
        </m:sSup>
        <m:r>
          <m:rPr>
            <m:sty m:val="p"/>
          </m:rPr>
          <w:rPr>
            <w:rFonts w:ascii="Cambria Math" w:hAnsi="Cambria Math"/>
            <w:sz w:val="20"/>
            <w:szCs w:val="20"/>
          </w:rPr>
          <m:t>]</m:t>
        </m:r>
      </m:oMath>
    </w:p>
    <w:p w14:paraId="3D0FE8E1" w14:textId="77777777" w:rsidR="00B85297" w:rsidRPr="00B85297" w:rsidRDefault="00B85297" w:rsidP="00B85297">
      <w:pPr>
        <w:jc w:val="both"/>
        <w:rPr>
          <w:sz w:val="20"/>
          <w:szCs w:val="20"/>
        </w:rPr>
      </w:pPr>
      <w:r w:rsidRPr="00B85297">
        <w:rPr>
          <w:sz w:val="20"/>
          <w:szCs w:val="20"/>
        </w:rPr>
        <w:t xml:space="preserve">                                                       SAR =  —————   </w:t>
      </w:r>
    </w:p>
    <w:p w14:paraId="2665D35C" w14:textId="2C402E3C" w:rsidR="00B85297" w:rsidRPr="00B85297" w:rsidRDefault="00B85297" w:rsidP="00B85297">
      <w:pPr>
        <w:jc w:val="both"/>
        <w:rPr>
          <w:sz w:val="20"/>
          <w:szCs w:val="20"/>
        </w:rPr>
      </w:pPr>
      <m:oMath>
        <m:r>
          <w:rPr>
            <w:rFonts w:ascii="Cambria Math" w:hAnsi="Cambria Math"/>
            <w:sz w:val="20"/>
            <w:szCs w:val="20"/>
          </w:rPr>
          <m:t xml:space="preserve">                                                                           </m:t>
        </m:r>
        <m:f>
          <m:fPr>
            <m:ctrlPr>
              <w:rPr>
                <w:rFonts w:ascii="Cambria Math" w:hAnsi="Cambria Math"/>
                <w:sz w:val="20"/>
                <w:szCs w:val="20"/>
              </w:rPr>
            </m:ctrlPr>
          </m:fPr>
          <m:num>
            <m:rad>
              <m:radPr>
                <m:degHide m:val="1"/>
                <m:ctrlPr>
                  <w:rPr>
                    <w:rFonts w:ascii="Cambria Math" w:hAnsi="Cambria Math"/>
                    <w:sz w:val="20"/>
                    <w:szCs w:val="20"/>
                  </w:rPr>
                </m:ctrlPr>
              </m:radPr>
              <m:deg/>
              <m:e>
                <m:sSup>
                  <m:sSupPr>
                    <m:ctrlPr>
                      <w:rPr>
                        <w:rFonts w:ascii="Cambria Math" w:hAnsi="Cambria Math"/>
                        <w:sz w:val="20"/>
                        <w:szCs w:val="20"/>
                      </w:rPr>
                    </m:ctrlPr>
                  </m:sSupPr>
                  <m:e>
                    <m:r>
                      <m:rPr>
                        <m:sty m:val="p"/>
                      </m:rPr>
                      <w:rPr>
                        <w:rFonts w:ascii="Cambria Math" w:hAnsi="Cambria Math"/>
                        <w:sz w:val="20"/>
                        <w:szCs w:val="20"/>
                      </w:rPr>
                      <m:t>[Ca</m:t>
                    </m:r>
                  </m:e>
                  <m:sup>
                    <m:r>
                      <m:rPr>
                        <m:sty m:val="p"/>
                      </m:rPr>
                      <w:rPr>
                        <w:rFonts w:ascii="Cambria Math" w:hAnsi="Cambria Math"/>
                        <w:sz w:val="20"/>
                        <w:szCs w:val="20"/>
                      </w:rPr>
                      <m:t>2+</m:t>
                    </m:r>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[Mg</m:t>
                    </m:r>
                  </m:e>
                  <m:sup>
                    <m:r>
                      <m:rPr>
                        <m:sty m:val="p"/>
                      </m:rPr>
                      <w:rPr>
                        <w:rFonts w:ascii="Cambria Math" w:hAnsi="Cambria Math"/>
                        <w:sz w:val="20"/>
                        <w:szCs w:val="20"/>
                      </w:rPr>
                      <m:t>2+</m:t>
                    </m:r>
                  </m:sup>
                </m:sSup>
              </m:e>
            </m:rad>
          </m:num>
          <m:den>
            <m:r>
              <m:rPr>
                <m:sty m:val="p"/>
              </m:rPr>
              <w:rPr>
                <w:rFonts w:ascii="Cambria Math" w:hAnsi="Cambria Math"/>
                <w:sz w:val="20"/>
                <w:szCs w:val="20"/>
              </w:rPr>
              <m:t>2</m:t>
            </m:r>
          </m:den>
        </m:f>
      </m:oMath>
      <w:r w:rsidRPr="00B85297">
        <w:rPr>
          <w:sz w:val="20"/>
          <w:szCs w:val="20"/>
        </w:rPr>
        <w:t xml:space="preserve">                                                     </w:t>
      </w:r>
    </w:p>
    <w:tbl>
      <w:tblPr>
        <w:tblW w:w="8016" w:type="dxa"/>
        <w:jc w:val="center"/>
        <w:tblLook w:val="04A0" w:firstRow="1" w:lastRow="0" w:firstColumn="1" w:lastColumn="0" w:noHBand="0" w:noVBand="1"/>
      </w:tblPr>
      <w:tblGrid>
        <w:gridCol w:w="1305"/>
        <w:gridCol w:w="1829"/>
        <w:gridCol w:w="2272"/>
        <w:gridCol w:w="1305"/>
        <w:gridCol w:w="1305"/>
      </w:tblGrid>
      <w:tr w:rsidR="00BA2917" w:rsidRPr="004A0FBB" w14:paraId="39CAC5A5" w14:textId="77777777" w:rsidTr="00BA2917">
        <w:trPr>
          <w:trHeight w:val="416"/>
          <w:jc w:val="center"/>
        </w:trPr>
        <w:tc>
          <w:tcPr>
            <w:tcW w:w="1305" w:type="dxa"/>
            <w:tcBorders>
              <w:top w:val="single" w:sz="4" w:space="0" w:color="auto"/>
              <w:left w:val="single" w:sz="4" w:space="0" w:color="auto"/>
              <w:bottom w:val="single" w:sz="4" w:space="0" w:color="auto"/>
              <w:right w:val="single" w:sz="4" w:space="0" w:color="auto"/>
            </w:tcBorders>
            <w:vAlign w:val="center"/>
            <w:hideMark/>
          </w:tcPr>
          <w:p w14:paraId="41EB107E" w14:textId="77777777" w:rsidR="004A0FBB" w:rsidRPr="004A0FBB" w:rsidRDefault="004A0FBB" w:rsidP="004A0FBB">
            <w:pPr>
              <w:jc w:val="center"/>
              <w:rPr>
                <w:color w:val="000000"/>
                <w:sz w:val="20"/>
                <w:szCs w:val="20"/>
              </w:rPr>
            </w:pPr>
            <w:r w:rsidRPr="004A0FBB">
              <w:rPr>
                <w:color w:val="000000"/>
                <w:sz w:val="20"/>
                <w:szCs w:val="20"/>
              </w:rPr>
              <w:t>SAR Range</w:t>
            </w:r>
          </w:p>
        </w:tc>
        <w:tc>
          <w:tcPr>
            <w:tcW w:w="1829" w:type="dxa"/>
            <w:tcBorders>
              <w:top w:val="single" w:sz="4" w:space="0" w:color="auto"/>
              <w:left w:val="nil"/>
              <w:bottom w:val="single" w:sz="4" w:space="0" w:color="auto"/>
              <w:right w:val="single" w:sz="4" w:space="0" w:color="auto"/>
            </w:tcBorders>
            <w:vAlign w:val="center"/>
            <w:hideMark/>
          </w:tcPr>
          <w:p w14:paraId="71E48205" w14:textId="77777777" w:rsidR="004A0FBB" w:rsidRPr="004A0FBB" w:rsidRDefault="004A0FBB" w:rsidP="004A0FBB">
            <w:pPr>
              <w:jc w:val="center"/>
              <w:rPr>
                <w:color w:val="000000"/>
                <w:sz w:val="20"/>
                <w:szCs w:val="20"/>
              </w:rPr>
            </w:pPr>
            <w:r w:rsidRPr="004A0FBB">
              <w:rPr>
                <w:color w:val="000000"/>
                <w:sz w:val="20"/>
                <w:szCs w:val="20"/>
              </w:rPr>
              <w:t>Sodium Hazard Class</w:t>
            </w:r>
          </w:p>
        </w:tc>
        <w:tc>
          <w:tcPr>
            <w:tcW w:w="2272" w:type="dxa"/>
            <w:tcBorders>
              <w:top w:val="single" w:sz="4" w:space="0" w:color="auto"/>
              <w:left w:val="nil"/>
              <w:bottom w:val="single" w:sz="4" w:space="0" w:color="auto"/>
              <w:right w:val="single" w:sz="4" w:space="0" w:color="auto"/>
            </w:tcBorders>
            <w:vAlign w:val="center"/>
            <w:hideMark/>
          </w:tcPr>
          <w:p w14:paraId="665CE842" w14:textId="77777777" w:rsidR="004A0FBB" w:rsidRPr="004A0FBB" w:rsidRDefault="004A0FBB" w:rsidP="004A0FBB">
            <w:pPr>
              <w:jc w:val="center"/>
              <w:rPr>
                <w:color w:val="000000"/>
                <w:sz w:val="20"/>
                <w:szCs w:val="20"/>
              </w:rPr>
            </w:pPr>
            <w:r w:rsidRPr="004A0FBB">
              <w:rPr>
                <w:color w:val="000000"/>
                <w:sz w:val="20"/>
                <w:szCs w:val="20"/>
              </w:rPr>
              <w:t>Irrigation Suitability</w:t>
            </w:r>
          </w:p>
        </w:tc>
        <w:tc>
          <w:tcPr>
            <w:tcW w:w="1305" w:type="dxa"/>
            <w:tcBorders>
              <w:top w:val="single" w:sz="4" w:space="0" w:color="auto"/>
              <w:left w:val="nil"/>
              <w:bottom w:val="single" w:sz="4" w:space="0" w:color="auto"/>
              <w:right w:val="single" w:sz="4" w:space="0" w:color="auto"/>
            </w:tcBorders>
            <w:vAlign w:val="center"/>
            <w:hideMark/>
          </w:tcPr>
          <w:p w14:paraId="15472224" w14:textId="77777777" w:rsidR="004A0FBB" w:rsidRPr="004A0FBB" w:rsidRDefault="004A0FBB" w:rsidP="004A0FBB">
            <w:pPr>
              <w:jc w:val="center"/>
              <w:rPr>
                <w:color w:val="000000"/>
                <w:sz w:val="20"/>
                <w:szCs w:val="20"/>
              </w:rPr>
            </w:pPr>
            <w:r w:rsidRPr="004A0FBB">
              <w:rPr>
                <w:color w:val="000000"/>
                <w:sz w:val="20"/>
                <w:szCs w:val="20"/>
              </w:rPr>
              <w:t>Number of Samples</w:t>
            </w:r>
          </w:p>
        </w:tc>
        <w:tc>
          <w:tcPr>
            <w:tcW w:w="1305" w:type="dxa"/>
            <w:tcBorders>
              <w:top w:val="single" w:sz="4" w:space="0" w:color="auto"/>
              <w:left w:val="nil"/>
              <w:bottom w:val="single" w:sz="4" w:space="0" w:color="auto"/>
              <w:right w:val="single" w:sz="4" w:space="0" w:color="auto"/>
            </w:tcBorders>
            <w:vAlign w:val="center"/>
            <w:hideMark/>
          </w:tcPr>
          <w:p w14:paraId="64F583B6" w14:textId="77777777" w:rsidR="004A0FBB" w:rsidRPr="004A0FBB" w:rsidRDefault="004A0FBB" w:rsidP="004A0FBB">
            <w:pPr>
              <w:jc w:val="center"/>
              <w:rPr>
                <w:color w:val="000000"/>
                <w:sz w:val="20"/>
                <w:szCs w:val="20"/>
              </w:rPr>
            </w:pPr>
            <w:r w:rsidRPr="004A0FBB">
              <w:rPr>
                <w:color w:val="000000"/>
                <w:sz w:val="20"/>
                <w:szCs w:val="20"/>
              </w:rPr>
              <w:t>Percentage (%)</w:t>
            </w:r>
          </w:p>
        </w:tc>
      </w:tr>
      <w:tr w:rsidR="00BA2917" w:rsidRPr="004A0FBB" w14:paraId="0A721473" w14:textId="77777777" w:rsidTr="00BA2917">
        <w:trPr>
          <w:trHeight w:val="416"/>
          <w:jc w:val="center"/>
        </w:trPr>
        <w:tc>
          <w:tcPr>
            <w:tcW w:w="1305" w:type="dxa"/>
            <w:tcBorders>
              <w:top w:val="nil"/>
              <w:left w:val="single" w:sz="4" w:space="0" w:color="auto"/>
              <w:bottom w:val="single" w:sz="4" w:space="0" w:color="auto"/>
              <w:right w:val="single" w:sz="4" w:space="0" w:color="auto"/>
            </w:tcBorders>
            <w:vAlign w:val="center"/>
            <w:hideMark/>
          </w:tcPr>
          <w:p w14:paraId="330D0D54" w14:textId="77777777" w:rsidR="004A0FBB" w:rsidRPr="004A0FBB" w:rsidRDefault="004A0FBB" w:rsidP="004A0FBB">
            <w:pPr>
              <w:jc w:val="center"/>
              <w:rPr>
                <w:color w:val="000000"/>
                <w:sz w:val="20"/>
                <w:szCs w:val="20"/>
              </w:rPr>
            </w:pPr>
            <w:r w:rsidRPr="004A0FBB">
              <w:rPr>
                <w:color w:val="000000"/>
                <w:sz w:val="20"/>
                <w:szCs w:val="20"/>
              </w:rPr>
              <w:t>&lt; 10</w:t>
            </w:r>
          </w:p>
        </w:tc>
        <w:tc>
          <w:tcPr>
            <w:tcW w:w="1829" w:type="dxa"/>
            <w:tcBorders>
              <w:top w:val="nil"/>
              <w:left w:val="nil"/>
              <w:bottom w:val="single" w:sz="4" w:space="0" w:color="auto"/>
              <w:right w:val="single" w:sz="4" w:space="0" w:color="auto"/>
            </w:tcBorders>
            <w:vAlign w:val="center"/>
            <w:hideMark/>
          </w:tcPr>
          <w:p w14:paraId="16C526CF" w14:textId="77777777" w:rsidR="004A0FBB" w:rsidRPr="004A0FBB" w:rsidRDefault="004A0FBB" w:rsidP="004A0FBB">
            <w:pPr>
              <w:jc w:val="center"/>
              <w:rPr>
                <w:color w:val="000000"/>
                <w:sz w:val="20"/>
                <w:szCs w:val="20"/>
              </w:rPr>
            </w:pPr>
            <w:r w:rsidRPr="004A0FBB">
              <w:rPr>
                <w:color w:val="000000"/>
                <w:sz w:val="20"/>
                <w:szCs w:val="20"/>
              </w:rPr>
              <w:t>S1 – Low sodium hazard</w:t>
            </w:r>
          </w:p>
        </w:tc>
        <w:tc>
          <w:tcPr>
            <w:tcW w:w="2272" w:type="dxa"/>
            <w:tcBorders>
              <w:top w:val="nil"/>
              <w:left w:val="nil"/>
              <w:bottom w:val="single" w:sz="4" w:space="0" w:color="auto"/>
              <w:right w:val="single" w:sz="4" w:space="0" w:color="auto"/>
            </w:tcBorders>
            <w:vAlign w:val="center"/>
            <w:hideMark/>
          </w:tcPr>
          <w:p w14:paraId="246E9E21" w14:textId="77777777" w:rsidR="004A0FBB" w:rsidRPr="004A0FBB" w:rsidRDefault="004A0FBB" w:rsidP="004A0FBB">
            <w:pPr>
              <w:jc w:val="center"/>
              <w:rPr>
                <w:color w:val="000000"/>
                <w:sz w:val="20"/>
                <w:szCs w:val="20"/>
              </w:rPr>
            </w:pPr>
            <w:r w:rsidRPr="004A0FBB">
              <w:rPr>
                <w:color w:val="000000"/>
                <w:sz w:val="20"/>
                <w:szCs w:val="20"/>
              </w:rPr>
              <w:t>Excellent; safe for all soils</w:t>
            </w:r>
          </w:p>
        </w:tc>
        <w:tc>
          <w:tcPr>
            <w:tcW w:w="1305" w:type="dxa"/>
            <w:tcBorders>
              <w:top w:val="nil"/>
              <w:left w:val="nil"/>
              <w:bottom w:val="single" w:sz="4" w:space="0" w:color="auto"/>
              <w:right w:val="single" w:sz="4" w:space="0" w:color="auto"/>
            </w:tcBorders>
            <w:vAlign w:val="center"/>
            <w:hideMark/>
          </w:tcPr>
          <w:p w14:paraId="42B5240A" w14:textId="77777777" w:rsidR="004A0FBB" w:rsidRPr="004A0FBB" w:rsidRDefault="004A0FBB" w:rsidP="004A0FBB">
            <w:pPr>
              <w:jc w:val="center"/>
              <w:rPr>
                <w:color w:val="000000"/>
                <w:sz w:val="20"/>
                <w:szCs w:val="20"/>
              </w:rPr>
            </w:pPr>
            <w:r w:rsidRPr="004A0FBB">
              <w:rPr>
                <w:color w:val="000000"/>
                <w:sz w:val="20"/>
                <w:szCs w:val="20"/>
              </w:rPr>
              <w:t>9</w:t>
            </w:r>
          </w:p>
        </w:tc>
        <w:tc>
          <w:tcPr>
            <w:tcW w:w="1305" w:type="dxa"/>
            <w:tcBorders>
              <w:top w:val="nil"/>
              <w:left w:val="nil"/>
              <w:bottom w:val="single" w:sz="4" w:space="0" w:color="auto"/>
              <w:right w:val="single" w:sz="4" w:space="0" w:color="auto"/>
            </w:tcBorders>
            <w:vAlign w:val="center"/>
            <w:hideMark/>
          </w:tcPr>
          <w:p w14:paraId="3A347B7C" w14:textId="77777777" w:rsidR="004A0FBB" w:rsidRPr="004A0FBB" w:rsidRDefault="004A0FBB" w:rsidP="004A0FBB">
            <w:pPr>
              <w:jc w:val="center"/>
              <w:rPr>
                <w:color w:val="000000"/>
                <w:sz w:val="20"/>
                <w:szCs w:val="20"/>
              </w:rPr>
            </w:pPr>
            <w:r w:rsidRPr="004A0FBB">
              <w:rPr>
                <w:color w:val="000000"/>
                <w:sz w:val="20"/>
                <w:szCs w:val="20"/>
              </w:rPr>
              <w:t>20</w:t>
            </w:r>
          </w:p>
        </w:tc>
      </w:tr>
      <w:tr w:rsidR="00BA2917" w:rsidRPr="004A0FBB" w14:paraId="3FF8CFF4" w14:textId="77777777" w:rsidTr="00BA2917">
        <w:trPr>
          <w:trHeight w:val="490"/>
          <w:jc w:val="center"/>
        </w:trPr>
        <w:tc>
          <w:tcPr>
            <w:tcW w:w="1305" w:type="dxa"/>
            <w:tcBorders>
              <w:top w:val="nil"/>
              <w:left w:val="single" w:sz="4" w:space="0" w:color="auto"/>
              <w:bottom w:val="single" w:sz="4" w:space="0" w:color="auto"/>
              <w:right w:val="single" w:sz="4" w:space="0" w:color="auto"/>
            </w:tcBorders>
            <w:vAlign w:val="center"/>
            <w:hideMark/>
          </w:tcPr>
          <w:p w14:paraId="55872F6E" w14:textId="77777777" w:rsidR="004A0FBB" w:rsidRPr="004A0FBB" w:rsidRDefault="004A0FBB" w:rsidP="004A0FBB">
            <w:pPr>
              <w:jc w:val="center"/>
              <w:rPr>
                <w:color w:val="000000"/>
                <w:sz w:val="20"/>
                <w:szCs w:val="20"/>
              </w:rPr>
            </w:pPr>
            <w:r w:rsidRPr="004A0FBB">
              <w:rPr>
                <w:color w:val="000000"/>
                <w:sz w:val="20"/>
                <w:szCs w:val="20"/>
              </w:rPr>
              <w:t>10 – 18</w:t>
            </w:r>
          </w:p>
        </w:tc>
        <w:tc>
          <w:tcPr>
            <w:tcW w:w="1829" w:type="dxa"/>
            <w:tcBorders>
              <w:top w:val="nil"/>
              <w:left w:val="nil"/>
              <w:bottom w:val="single" w:sz="4" w:space="0" w:color="auto"/>
              <w:right w:val="single" w:sz="4" w:space="0" w:color="auto"/>
            </w:tcBorders>
            <w:vAlign w:val="center"/>
            <w:hideMark/>
          </w:tcPr>
          <w:p w14:paraId="3E337CE2" w14:textId="77777777" w:rsidR="004A0FBB" w:rsidRPr="004A0FBB" w:rsidRDefault="004A0FBB" w:rsidP="004A0FBB">
            <w:pPr>
              <w:jc w:val="center"/>
              <w:rPr>
                <w:color w:val="000000"/>
                <w:sz w:val="20"/>
                <w:szCs w:val="20"/>
              </w:rPr>
            </w:pPr>
            <w:r w:rsidRPr="004A0FBB">
              <w:rPr>
                <w:color w:val="000000"/>
                <w:sz w:val="20"/>
                <w:szCs w:val="20"/>
              </w:rPr>
              <w:t>S2 – Medium sodium hazard</w:t>
            </w:r>
          </w:p>
        </w:tc>
        <w:tc>
          <w:tcPr>
            <w:tcW w:w="2272" w:type="dxa"/>
            <w:tcBorders>
              <w:top w:val="nil"/>
              <w:left w:val="nil"/>
              <w:bottom w:val="single" w:sz="4" w:space="0" w:color="auto"/>
              <w:right w:val="single" w:sz="4" w:space="0" w:color="auto"/>
            </w:tcBorders>
            <w:vAlign w:val="center"/>
            <w:hideMark/>
          </w:tcPr>
          <w:p w14:paraId="584AAF7C" w14:textId="77777777" w:rsidR="004A0FBB" w:rsidRPr="004A0FBB" w:rsidRDefault="004A0FBB" w:rsidP="004A0FBB">
            <w:pPr>
              <w:jc w:val="center"/>
              <w:rPr>
                <w:color w:val="000000"/>
                <w:sz w:val="20"/>
                <w:szCs w:val="20"/>
              </w:rPr>
            </w:pPr>
            <w:r w:rsidRPr="004A0FBB">
              <w:rPr>
                <w:color w:val="000000"/>
                <w:sz w:val="20"/>
                <w:szCs w:val="20"/>
              </w:rPr>
              <w:t>Good; suitable with normal management</w:t>
            </w:r>
          </w:p>
        </w:tc>
        <w:tc>
          <w:tcPr>
            <w:tcW w:w="1305" w:type="dxa"/>
            <w:tcBorders>
              <w:top w:val="nil"/>
              <w:left w:val="nil"/>
              <w:bottom w:val="single" w:sz="4" w:space="0" w:color="auto"/>
              <w:right w:val="single" w:sz="4" w:space="0" w:color="auto"/>
            </w:tcBorders>
            <w:vAlign w:val="center"/>
            <w:hideMark/>
          </w:tcPr>
          <w:p w14:paraId="443B0987" w14:textId="77777777" w:rsidR="004A0FBB" w:rsidRPr="004A0FBB" w:rsidRDefault="004A0FBB" w:rsidP="004A0FBB">
            <w:pPr>
              <w:jc w:val="center"/>
              <w:rPr>
                <w:color w:val="000000"/>
                <w:sz w:val="20"/>
                <w:szCs w:val="20"/>
              </w:rPr>
            </w:pPr>
            <w:r w:rsidRPr="004A0FBB">
              <w:rPr>
                <w:color w:val="000000"/>
                <w:sz w:val="20"/>
                <w:szCs w:val="20"/>
              </w:rPr>
              <w:t>19</w:t>
            </w:r>
          </w:p>
        </w:tc>
        <w:tc>
          <w:tcPr>
            <w:tcW w:w="1305" w:type="dxa"/>
            <w:tcBorders>
              <w:top w:val="nil"/>
              <w:left w:val="nil"/>
              <w:bottom w:val="single" w:sz="4" w:space="0" w:color="auto"/>
              <w:right w:val="single" w:sz="4" w:space="0" w:color="auto"/>
            </w:tcBorders>
            <w:vAlign w:val="center"/>
            <w:hideMark/>
          </w:tcPr>
          <w:p w14:paraId="27E965F2" w14:textId="77777777" w:rsidR="004A0FBB" w:rsidRPr="004A0FBB" w:rsidRDefault="004A0FBB" w:rsidP="004A0FBB">
            <w:pPr>
              <w:jc w:val="center"/>
              <w:rPr>
                <w:color w:val="000000"/>
                <w:sz w:val="20"/>
                <w:szCs w:val="20"/>
              </w:rPr>
            </w:pPr>
            <w:r w:rsidRPr="004A0FBB">
              <w:rPr>
                <w:color w:val="000000"/>
                <w:sz w:val="20"/>
                <w:szCs w:val="20"/>
              </w:rPr>
              <w:t>42.22</w:t>
            </w:r>
          </w:p>
        </w:tc>
      </w:tr>
      <w:tr w:rsidR="00BA2917" w:rsidRPr="004A0FBB" w14:paraId="7AAD0B90" w14:textId="77777777" w:rsidTr="00BA2917">
        <w:trPr>
          <w:trHeight w:val="461"/>
          <w:jc w:val="center"/>
        </w:trPr>
        <w:tc>
          <w:tcPr>
            <w:tcW w:w="1305" w:type="dxa"/>
            <w:tcBorders>
              <w:top w:val="nil"/>
              <w:left w:val="single" w:sz="4" w:space="0" w:color="auto"/>
              <w:bottom w:val="single" w:sz="4" w:space="0" w:color="auto"/>
              <w:right w:val="single" w:sz="4" w:space="0" w:color="auto"/>
            </w:tcBorders>
            <w:vAlign w:val="center"/>
            <w:hideMark/>
          </w:tcPr>
          <w:p w14:paraId="474E91B7" w14:textId="77777777" w:rsidR="004A0FBB" w:rsidRPr="004A0FBB" w:rsidRDefault="004A0FBB" w:rsidP="004A0FBB">
            <w:pPr>
              <w:jc w:val="center"/>
              <w:rPr>
                <w:color w:val="000000"/>
                <w:sz w:val="20"/>
                <w:szCs w:val="20"/>
              </w:rPr>
            </w:pPr>
            <w:r w:rsidRPr="004A0FBB">
              <w:rPr>
                <w:color w:val="000000"/>
                <w:sz w:val="20"/>
                <w:szCs w:val="20"/>
              </w:rPr>
              <w:t>18 – 26</w:t>
            </w:r>
          </w:p>
        </w:tc>
        <w:tc>
          <w:tcPr>
            <w:tcW w:w="1829" w:type="dxa"/>
            <w:tcBorders>
              <w:top w:val="nil"/>
              <w:left w:val="nil"/>
              <w:bottom w:val="single" w:sz="4" w:space="0" w:color="auto"/>
              <w:right w:val="single" w:sz="4" w:space="0" w:color="auto"/>
            </w:tcBorders>
            <w:vAlign w:val="center"/>
            <w:hideMark/>
          </w:tcPr>
          <w:p w14:paraId="2C38FDA9" w14:textId="77777777" w:rsidR="004A0FBB" w:rsidRPr="004A0FBB" w:rsidRDefault="004A0FBB" w:rsidP="004A0FBB">
            <w:pPr>
              <w:jc w:val="center"/>
              <w:rPr>
                <w:color w:val="000000"/>
                <w:sz w:val="20"/>
                <w:szCs w:val="20"/>
              </w:rPr>
            </w:pPr>
            <w:r w:rsidRPr="004A0FBB">
              <w:rPr>
                <w:color w:val="000000"/>
                <w:sz w:val="20"/>
                <w:szCs w:val="20"/>
              </w:rPr>
              <w:t>S3 – High sodium hazard</w:t>
            </w:r>
          </w:p>
        </w:tc>
        <w:tc>
          <w:tcPr>
            <w:tcW w:w="2272" w:type="dxa"/>
            <w:tcBorders>
              <w:top w:val="nil"/>
              <w:left w:val="nil"/>
              <w:bottom w:val="single" w:sz="4" w:space="0" w:color="auto"/>
              <w:right w:val="single" w:sz="4" w:space="0" w:color="auto"/>
            </w:tcBorders>
            <w:vAlign w:val="center"/>
            <w:hideMark/>
          </w:tcPr>
          <w:p w14:paraId="2168109E" w14:textId="77777777" w:rsidR="004A0FBB" w:rsidRPr="004A0FBB" w:rsidRDefault="004A0FBB" w:rsidP="004A0FBB">
            <w:pPr>
              <w:jc w:val="center"/>
              <w:rPr>
                <w:color w:val="000000"/>
                <w:sz w:val="20"/>
                <w:szCs w:val="20"/>
              </w:rPr>
            </w:pPr>
            <w:r w:rsidRPr="004A0FBB">
              <w:rPr>
                <w:color w:val="000000"/>
                <w:sz w:val="20"/>
                <w:szCs w:val="20"/>
              </w:rPr>
              <w:t>Doubtful; requires soil amendments</w:t>
            </w:r>
          </w:p>
        </w:tc>
        <w:tc>
          <w:tcPr>
            <w:tcW w:w="1305" w:type="dxa"/>
            <w:tcBorders>
              <w:top w:val="nil"/>
              <w:left w:val="nil"/>
              <w:bottom w:val="single" w:sz="4" w:space="0" w:color="auto"/>
              <w:right w:val="single" w:sz="4" w:space="0" w:color="auto"/>
            </w:tcBorders>
            <w:vAlign w:val="center"/>
            <w:hideMark/>
          </w:tcPr>
          <w:p w14:paraId="3052372B" w14:textId="77777777" w:rsidR="004A0FBB" w:rsidRPr="004A0FBB" w:rsidRDefault="004A0FBB" w:rsidP="004A0FBB">
            <w:pPr>
              <w:jc w:val="center"/>
              <w:rPr>
                <w:color w:val="000000"/>
                <w:sz w:val="20"/>
                <w:szCs w:val="20"/>
              </w:rPr>
            </w:pPr>
            <w:r w:rsidRPr="004A0FBB">
              <w:rPr>
                <w:color w:val="000000"/>
                <w:sz w:val="20"/>
                <w:szCs w:val="20"/>
              </w:rPr>
              <w:t>11</w:t>
            </w:r>
          </w:p>
        </w:tc>
        <w:tc>
          <w:tcPr>
            <w:tcW w:w="1305" w:type="dxa"/>
            <w:tcBorders>
              <w:top w:val="nil"/>
              <w:left w:val="nil"/>
              <w:bottom w:val="single" w:sz="4" w:space="0" w:color="auto"/>
              <w:right w:val="single" w:sz="4" w:space="0" w:color="auto"/>
            </w:tcBorders>
            <w:vAlign w:val="center"/>
            <w:hideMark/>
          </w:tcPr>
          <w:p w14:paraId="5D1B482F" w14:textId="77777777" w:rsidR="004A0FBB" w:rsidRPr="004A0FBB" w:rsidRDefault="004A0FBB" w:rsidP="004A0FBB">
            <w:pPr>
              <w:jc w:val="center"/>
              <w:rPr>
                <w:color w:val="000000"/>
                <w:sz w:val="20"/>
                <w:szCs w:val="20"/>
              </w:rPr>
            </w:pPr>
            <w:r w:rsidRPr="004A0FBB">
              <w:rPr>
                <w:color w:val="000000"/>
                <w:sz w:val="20"/>
                <w:szCs w:val="20"/>
              </w:rPr>
              <w:t>24.44</w:t>
            </w:r>
          </w:p>
        </w:tc>
      </w:tr>
      <w:tr w:rsidR="00BA2917" w:rsidRPr="004A0FBB" w14:paraId="4753E851" w14:textId="77777777" w:rsidTr="00BA2917">
        <w:trPr>
          <w:trHeight w:val="461"/>
          <w:jc w:val="center"/>
        </w:trPr>
        <w:tc>
          <w:tcPr>
            <w:tcW w:w="1305" w:type="dxa"/>
            <w:tcBorders>
              <w:top w:val="nil"/>
              <w:left w:val="single" w:sz="4" w:space="0" w:color="auto"/>
              <w:bottom w:val="single" w:sz="4" w:space="0" w:color="auto"/>
              <w:right w:val="single" w:sz="4" w:space="0" w:color="auto"/>
            </w:tcBorders>
            <w:vAlign w:val="center"/>
            <w:hideMark/>
          </w:tcPr>
          <w:p w14:paraId="5BA18102" w14:textId="77777777" w:rsidR="004A0FBB" w:rsidRPr="004A0FBB" w:rsidRDefault="004A0FBB" w:rsidP="004A0FBB">
            <w:pPr>
              <w:jc w:val="center"/>
              <w:rPr>
                <w:color w:val="000000"/>
                <w:sz w:val="20"/>
                <w:szCs w:val="20"/>
              </w:rPr>
            </w:pPr>
            <w:r w:rsidRPr="004A0FBB">
              <w:rPr>
                <w:color w:val="000000"/>
                <w:sz w:val="20"/>
                <w:szCs w:val="20"/>
              </w:rPr>
              <w:t>&gt; 26</w:t>
            </w:r>
          </w:p>
        </w:tc>
        <w:tc>
          <w:tcPr>
            <w:tcW w:w="1829" w:type="dxa"/>
            <w:tcBorders>
              <w:top w:val="nil"/>
              <w:left w:val="nil"/>
              <w:bottom w:val="single" w:sz="4" w:space="0" w:color="auto"/>
              <w:right w:val="single" w:sz="4" w:space="0" w:color="auto"/>
            </w:tcBorders>
            <w:vAlign w:val="center"/>
            <w:hideMark/>
          </w:tcPr>
          <w:p w14:paraId="5DDF0091" w14:textId="77777777" w:rsidR="004A0FBB" w:rsidRPr="004A0FBB" w:rsidRDefault="004A0FBB" w:rsidP="004A0FBB">
            <w:pPr>
              <w:jc w:val="center"/>
              <w:rPr>
                <w:color w:val="000000"/>
                <w:sz w:val="20"/>
                <w:szCs w:val="20"/>
              </w:rPr>
            </w:pPr>
            <w:r w:rsidRPr="004A0FBB">
              <w:rPr>
                <w:color w:val="000000"/>
                <w:sz w:val="20"/>
                <w:szCs w:val="20"/>
              </w:rPr>
              <w:t>S4 – Very high sodium hazard</w:t>
            </w:r>
          </w:p>
        </w:tc>
        <w:tc>
          <w:tcPr>
            <w:tcW w:w="2272" w:type="dxa"/>
            <w:tcBorders>
              <w:top w:val="nil"/>
              <w:left w:val="nil"/>
              <w:bottom w:val="single" w:sz="4" w:space="0" w:color="auto"/>
              <w:right w:val="single" w:sz="4" w:space="0" w:color="auto"/>
            </w:tcBorders>
            <w:vAlign w:val="center"/>
            <w:hideMark/>
          </w:tcPr>
          <w:p w14:paraId="4F25A885" w14:textId="77777777" w:rsidR="004A0FBB" w:rsidRPr="004A0FBB" w:rsidRDefault="004A0FBB" w:rsidP="004A0FBB">
            <w:pPr>
              <w:jc w:val="center"/>
              <w:rPr>
                <w:color w:val="000000"/>
                <w:sz w:val="20"/>
                <w:szCs w:val="20"/>
              </w:rPr>
            </w:pPr>
            <w:r w:rsidRPr="004A0FBB">
              <w:rPr>
                <w:color w:val="000000"/>
                <w:sz w:val="20"/>
                <w:szCs w:val="20"/>
              </w:rPr>
              <w:t>Unsuitable for irrigation</w:t>
            </w:r>
          </w:p>
        </w:tc>
        <w:tc>
          <w:tcPr>
            <w:tcW w:w="1305" w:type="dxa"/>
            <w:tcBorders>
              <w:top w:val="nil"/>
              <w:left w:val="nil"/>
              <w:bottom w:val="single" w:sz="4" w:space="0" w:color="auto"/>
              <w:right w:val="single" w:sz="4" w:space="0" w:color="auto"/>
            </w:tcBorders>
            <w:vAlign w:val="center"/>
            <w:hideMark/>
          </w:tcPr>
          <w:p w14:paraId="72BEDB18" w14:textId="77777777" w:rsidR="004A0FBB" w:rsidRPr="004A0FBB" w:rsidRDefault="004A0FBB" w:rsidP="004A0FBB">
            <w:pPr>
              <w:jc w:val="center"/>
              <w:rPr>
                <w:color w:val="000000"/>
                <w:sz w:val="20"/>
                <w:szCs w:val="20"/>
              </w:rPr>
            </w:pPr>
            <w:r w:rsidRPr="004A0FBB">
              <w:rPr>
                <w:color w:val="000000"/>
                <w:sz w:val="20"/>
                <w:szCs w:val="20"/>
              </w:rPr>
              <w:t>6</w:t>
            </w:r>
          </w:p>
        </w:tc>
        <w:tc>
          <w:tcPr>
            <w:tcW w:w="1305" w:type="dxa"/>
            <w:tcBorders>
              <w:top w:val="nil"/>
              <w:left w:val="nil"/>
              <w:bottom w:val="single" w:sz="4" w:space="0" w:color="auto"/>
              <w:right w:val="single" w:sz="4" w:space="0" w:color="auto"/>
            </w:tcBorders>
            <w:vAlign w:val="center"/>
            <w:hideMark/>
          </w:tcPr>
          <w:p w14:paraId="1EE80D53" w14:textId="77777777" w:rsidR="004A0FBB" w:rsidRPr="004A0FBB" w:rsidRDefault="004A0FBB" w:rsidP="004A0FBB">
            <w:pPr>
              <w:jc w:val="center"/>
              <w:rPr>
                <w:color w:val="000000"/>
                <w:sz w:val="20"/>
                <w:szCs w:val="20"/>
              </w:rPr>
            </w:pPr>
            <w:r w:rsidRPr="004A0FBB">
              <w:rPr>
                <w:color w:val="000000"/>
                <w:sz w:val="20"/>
                <w:szCs w:val="20"/>
              </w:rPr>
              <w:t>13.33</w:t>
            </w:r>
          </w:p>
        </w:tc>
      </w:tr>
      <w:tr w:rsidR="00BA2917" w:rsidRPr="004A0FBB" w14:paraId="35DCCC44" w14:textId="77777777" w:rsidTr="00BA2917">
        <w:trPr>
          <w:trHeight w:val="237"/>
          <w:jc w:val="center"/>
        </w:trPr>
        <w:tc>
          <w:tcPr>
            <w:tcW w:w="1305" w:type="dxa"/>
            <w:tcBorders>
              <w:top w:val="nil"/>
              <w:left w:val="single" w:sz="4" w:space="0" w:color="auto"/>
              <w:bottom w:val="single" w:sz="4" w:space="0" w:color="auto"/>
              <w:right w:val="single" w:sz="4" w:space="0" w:color="auto"/>
            </w:tcBorders>
            <w:vAlign w:val="center"/>
            <w:hideMark/>
          </w:tcPr>
          <w:p w14:paraId="790449FB" w14:textId="77777777" w:rsidR="004A0FBB" w:rsidRPr="004A0FBB" w:rsidRDefault="004A0FBB" w:rsidP="004A0FBB">
            <w:pPr>
              <w:jc w:val="center"/>
              <w:rPr>
                <w:color w:val="000000"/>
                <w:sz w:val="20"/>
                <w:szCs w:val="20"/>
              </w:rPr>
            </w:pPr>
            <w:r w:rsidRPr="004A0FBB">
              <w:rPr>
                <w:color w:val="000000"/>
                <w:sz w:val="20"/>
                <w:szCs w:val="20"/>
              </w:rPr>
              <w:t>Total</w:t>
            </w:r>
          </w:p>
        </w:tc>
        <w:tc>
          <w:tcPr>
            <w:tcW w:w="1829" w:type="dxa"/>
            <w:tcBorders>
              <w:top w:val="nil"/>
              <w:left w:val="nil"/>
              <w:bottom w:val="single" w:sz="4" w:space="0" w:color="auto"/>
              <w:right w:val="single" w:sz="4" w:space="0" w:color="auto"/>
            </w:tcBorders>
            <w:vAlign w:val="center"/>
            <w:hideMark/>
          </w:tcPr>
          <w:p w14:paraId="34972B3A" w14:textId="77777777" w:rsidR="004A0FBB" w:rsidRPr="004A0FBB" w:rsidRDefault="004A0FBB" w:rsidP="004A0FBB">
            <w:pPr>
              <w:jc w:val="center"/>
              <w:rPr>
                <w:color w:val="000000"/>
                <w:sz w:val="20"/>
                <w:szCs w:val="20"/>
              </w:rPr>
            </w:pPr>
            <w:r w:rsidRPr="004A0FBB">
              <w:rPr>
                <w:color w:val="000000"/>
                <w:sz w:val="20"/>
                <w:szCs w:val="20"/>
              </w:rPr>
              <w:t>—</w:t>
            </w:r>
          </w:p>
        </w:tc>
        <w:tc>
          <w:tcPr>
            <w:tcW w:w="2272" w:type="dxa"/>
            <w:tcBorders>
              <w:top w:val="nil"/>
              <w:left w:val="nil"/>
              <w:bottom w:val="single" w:sz="4" w:space="0" w:color="auto"/>
              <w:right w:val="single" w:sz="4" w:space="0" w:color="auto"/>
            </w:tcBorders>
            <w:vAlign w:val="center"/>
            <w:hideMark/>
          </w:tcPr>
          <w:p w14:paraId="26623274" w14:textId="77777777" w:rsidR="004A0FBB" w:rsidRPr="004A0FBB" w:rsidRDefault="004A0FBB" w:rsidP="004A0FBB">
            <w:pPr>
              <w:jc w:val="center"/>
              <w:rPr>
                <w:color w:val="000000"/>
                <w:sz w:val="20"/>
                <w:szCs w:val="20"/>
              </w:rPr>
            </w:pPr>
            <w:r w:rsidRPr="004A0FBB">
              <w:rPr>
                <w:color w:val="000000"/>
                <w:sz w:val="20"/>
                <w:szCs w:val="20"/>
              </w:rPr>
              <w:t>—</w:t>
            </w:r>
          </w:p>
        </w:tc>
        <w:tc>
          <w:tcPr>
            <w:tcW w:w="1305" w:type="dxa"/>
            <w:tcBorders>
              <w:top w:val="nil"/>
              <w:left w:val="nil"/>
              <w:bottom w:val="single" w:sz="4" w:space="0" w:color="auto"/>
              <w:right w:val="single" w:sz="4" w:space="0" w:color="auto"/>
            </w:tcBorders>
            <w:vAlign w:val="center"/>
            <w:hideMark/>
          </w:tcPr>
          <w:p w14:paraId="20365293" w14:textId="77777777" w:rsidR="004A0FBB" w:rsidRPr="004A0FBB" w:rsidRDefault="004A0FBB" w:rsidP="004A0FBB">
            <w:pPr>
              <w:jc w:val="center"/>
              <w:rPr>
                <w:color w:val="000000"/>
                <w:sz w:val="20"/>
                <w:szCs w:val="20"/>
              </w:rPr>
            </w:pPr>
            <w:r w:rsidRPr="004A0FBB">
              <w:rPr>
                <w:color w:val="000000"/>
                <w:sz w:val="20"/>
                <w:szCs w:val="20"/>
              </w:rPr>
              <w:t>45</w:t>
            </w:r>
          </w:p>
        </w:tc>
        <w:tc>
          <w:tcPr>
            <w:tcW w:w="1305" w:type="dxa"/>
            <w:tcBorders>
              <w:top w:val="nil"/>
              <w:left w:val="nil"/>
              <w:bottom w:val="single" w:sz="4" w:space="0" w:color="auto"/>
              <w:right w:val="single" w:sz="4" w:space="0" w:color="auto"/>
            </w:tcBorders>
            <w:vAlign w:val="center"/>
            <w:hideMark/>
          </w:tcPr>
          <w:p w14:paraId="5F0AA159" w14:textId="77777777" w:rsidR="004A0FBB" w:rsidRPr="004A0FBB" w:rsidRDefault="004A0FBB" w:rsidP="004A0FBB">
            <w:pPr>
              <w:jc w:val="center"/>
              <w:rPr>
                <w:color w:val="000000"/>
                <w:sz w:val="20"/>
                <w:szCs w:val="20"/>
              </w:rPr>
            </w:pPr>
            <w:r w:rsidRPr="004A0FBB">
              <w:rPr>
                <w:color w:val="000000"/>
                <w:sz w:val="20"/>
                <w:szCs w:val="20"/>
              </w:rPr>
              <w:t>100</w:t>
            </w:r>
          </w:p>
        </w:tc>
      </w:tr>
    </w:tbl>
    <w:p w14:paraId="2B6A3F2C" w14:textId="77777777" w:rsidR="00B85297" w:rsidRPr="00B85297" w:rsidRDefault="00B85297" w:rsidP="00B85297">
      <w:pPr>
        <w:jc w:val="both"/>
        <w:rPr>
          <w:sz w:val="20"/>
          <w:szCs w:val="20"/>
        </w:rPr>
      </w:pPr>
    </w:p>
    <w:p w14:paraId="66206204" w14:textId="35FF63CD" w:rsidR="00B85297" w:rsidRPr="00B85297" w:rsidRDefault="00B85297" w:rsidP="004A0FBB">
      <w:pPr>
        <w:pStyle w:val="NormalWeb"/>
        <w:tabs>
          <w:tab w:val="left" w:pos="1320"/>
          <w:tab w:val="center" w:pos="4513"/>
        </w:tabs>
        <w:jc w:val="center"/>
        <w:rPr>
          <w:sz w:val="20"/>
          <w:szCs w:val="20"/>
        </w:rPr>
      </w:pPr>
      <w:r w:rsidRPr="00B85297">
        <w:rPr>
          <w:sz w:val="20"/>
          <w:szCs w:val="20"/>
        </w:rPr>
        <w:t xml:space="preserve">Table. </w:t>
      </w:r>
      <w:r w:rsidR="00CE3EB6">
        <w:rPr>
          <w:sz w:val="20"/>
          <w:szCs w:val="20"/>
        </w:rPr>
        <w:t>2</w:t>
      </w:r>
      <w:r w:rsidRPr="00B85297">
        <w:rPr>
          <w:sz w:val="20"/>
          <w:szCs w:val="20"/>
        </w:rPr>
        <w:t>. The Sodium Absorption Ratio (SAR)</w:t>
      </w:r>
    </w:p>
    <w:p w14:paraId="035D1B28" w14:textId="7A6C2666" w:rsidR="00B85297" w:rsidRPr="00B85297" w:rsidRDefault="009C529F" w:rsidP="00B85297">
      <w:pPr>
        <w:spacing w:before="100" w:beforeAutospacing="1" w:after="100" w:afterAutospacing="1"/>
        <w:ind w:right="-330"/>
        <w:jc w:val="both"/>
        <w:outlineLvl w:val="2"/>
        <w:rPr>
          <w:b/>
          <w:bCs/>
          <w:sz w:val="20"/>
          <w:szCs w:val="20"/>
        </w:rPr>
      </w:pPr>
      <w:r>
        <w:rPr>
          <w:b/>
          <w:bCs/>
          <w:sz w:val="20"/>
          <w:szCs w:val="20"/>
        </w:rPr>
        <w:t>EC</w:t>
      </w:r>
    </w:p>
    <w:p w14:paraId="2019F45A" w14:textId="32BA960E" w:rsidR="00523283" w:rsidRPr="00B85297" w:rsidRDefault="009C529F" w:rsidP="00523283">
      <w:pPr>
        <w:spacing w:before="100" w:beforeAutospacing="1" w:after="100" w:afterAutospacing="1"/>
        <w:ind w:right="-330"/>
        <w:jc w:val="both"/>
        <w:outlineLvl w:val="2"/>
        <w:rPr>
          <w:sz w:val="20"/>
          <w:szCs w:val="20"/>
        </w:rPr>
      </w:pPr>
      <w:r w:rsidRPr="00F33C66">
        <w:rPr>
          <w:sz w:val="20"/>
          <w:szCs w:val="20"/>
        </w:rPr>
        <w:t xml:space="preserve">Electrical Conductivity (EC) varies from 103.5 to 2336 µS/cm (mean: 1056.12 µS/cm), </w:t>
      </w:r>
      <w:r w:rsidRPr="009C529F">
        <w:rPr>
          <w:sz w:val="20"/>
          <w:szCs w:val="20"/>
        </w:rPr>
        <w:t xml:space="preserve">The results indicate that the majority of groundwater samples (30%) fall under the </w:t>
      </w:r>
      <w:r w:rsidRPr="009C529F">
        <w:rPr>
          <w:rStyle w:val="Strong"/>
          <w:rFonts w:eastAsiaTheme="majorEastAsia"/>
          <w:b w:val="0"/>
          <w:bCs w:val="0"/>
          <w:sz w:val="20"/>
          <w:szCs w:val="20"/>
        </w:rPr>
        <w:t>C2–S1 category</w:t>
      </w:r>
      <w:r w:rsidRPr="009C529F">
        <w:rPr>
          <w:sz w:val="20"/>
          <w:szCs w:val="20"/>
        </w:rPr>
        <w:t xml:space="preserve">, suggesting moderate salinity with low sodium hazard. About 60% of the samples belong to the </w:t>
      </w:r>
      <w:r w:rsidRPr="009C529F">
        <w:rPr>
          <w:rStyle w:val="Strong"/>
          <w:rFonts w:eastAsiaTheme="majorEastAsia"/>
          <w:b w:val="0"/>
          <w:bCs w:val="0"/>
          <w:sz w:val="20"/>
          <w:szCs w:val="20"/>
        </w:rPr>
        <w:t>C3–S1 class</w:t>
      </w:r>
      <w:r w:rsidRPr="009C529F">
        <w:rPr>
          <w:sz w:val="20"/>
          <w:szCs w:val="20"/>
        </w:rPr>
        <w:t xml:space="preserve">, indicating higher salinity but still low sodium risk. A small fraction (10%) occurs in the </w:t>
      </w:r>
      <w:r w:rsidRPr="009C529F">
        <w:rPr>
          <w:rStyle w:val="Strong"/>
          <w:rFonts w:eastAsiaTheme="majorEastAsia"/>
          <w:b w:val="0"/>
          <w:bCs w:val="0"/>
          <w:sz w:val="20"/>
          <w:szCs w:val="20"/>
        </w:rPr>
        <w:t>C3–S2 class</w:t>
      </w:r>
      <w:r>
        <w:rPr>
          <w:rStyle w:val="Strong"/>
          <w:rFonts w:eastAsiaTheme="majorEastAsia"/>
          <w:b w:val="0"/>
          <w:bCs w:val="0"/>
          <w:sz w:val="20"/>
          <w:szCs w:val="20"/>
        </w:rPr>
        <w:t>,</w:t>
      </w:r>
      <w:r w:rsidRPr="009C529F">
        <w:rPr>
          <w:sz w:val="20"/>
          <w:szCs w:val="20"/>
        </w:rPr>
        <w:t xml:space="preserve"> reflecting high salinity with moderate sodium </w:t>
      </w:r>
      <w:r w:rsidR="00523283" w:rsidRPr="009C529F">
        <w:rPr>
          <w:sz w:val="20"/>
          <w:szCs w:val="20"/>
        </w:rPr>
        <w:t>h</w:t>
      </w:r>
      <w:r w:rsidR="00523283">
        <w:rPr>
          <w:sz w:val="20"/>
          <w:szCs w:val="20"/>
        </w:rPr>
        <w:t xml:space="preserve">azard </w:t>
      </w:r>
      <w:r w:rsidR="00523283" w:rsidRPr="00B85297">
        <w:rPr>
          <w:sz w:val="20"/>
          <w:szCs w:val="20"/>
        </w:rPr>
        <w:t xml:space="preserve">With appropriate soil management practices, the groundwater can be effectively utilized for sustainable irrigation. The groundwater is </w:t>
      </w:r>
      <w:r w:rsidR="00523283" w:rsidRPr="00B85297">
        <w:rPr>
          <w:rStyle w:val="Strong"/>
          <w:b w:val="0"/>
          <w:bCs w:val="0"/>
          <w:sz w:val="20"/>
          <w:szCs w:val="20"/>
        </w:rPr>
        <w:t>generally suitable to moderately suitable for irrigation</w:t>
      </w:r>
      <w:r w:rsidR="00523283" w:rsidRPr="00B85297">
        <w:rPr>
          <w:sz w:val="20"/>
          <w:szCs w:val="20"/>
        </w:rPr>
        <w:t>, particularly for semi-arid agricultural regions</w:t>
      </w:r>
      <w:r w:rsidR="00523283">
        <w:rPr>
          <w:sz w:val="20"/>
          <w:szCs w:val="20"/>
        </w:rPr>
        <w:t>.</w:t>
      </w:r>
    </w:p>
    <w:p w14:paraId="14634775" w14:textId="1EBFE58F" w:rsidR="00523283" w:rsidRDefault="00523283" w:rsidP="00B85297">
      <w:pPr>
        <w:pStyle w:val="NormalWeb"/>
        <w:jc w:val="both"/>
        <w:rPr>
          <w:sz w:val="20"/>
          <w:szCs w:val="20"/>
        </w:rPr>
      </w:pPr>
    </w:p>
    <w:p w14:paraId="3624B121" w14:textId="342B10B7" w:rsidR="00B85297" w:rsidRPr="00B85297" w:rsidRDefault="00B85297" w:rsidP="00B85297">
      <w:pPr>
        <w:pStyle w:val="NormalWeb"/>
        <w:jc w:val="both"/>
        <w:rPr>
          <w:sz w:val="20"/>
          <w:szCs w:val="20"/>
        </w:rPr>
      </w:pPr>
      <w:r w:rsidRPr="009C529F">
        <w:rPr>
          <w:noProof/>
          <w:sz w:val="20"/>
          <w:szCs w:val="20"/>
          <w14:ligatures w14:val="standardContextual"/>
        </w:rPr>
        <w:drawing>
          <wp:inline distT="0" distB="0" distL="0" distR="0" wp14:anchorId="7B60646F" wp14:editId="3BF9E944">
            <wp:extent cx="2743200" cy="2743200"/>
            <wp:effectExtent l="0" t="0" r="0" b="0"/>
            <wp:docPr id="839092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092544" name="Picture 83909254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82676" cy="2782676"/>
                    </a:xfrm>
                    <a:prstGeom prst="rect">
                      <a:avLst/>
                    </a:prstGeom>
                  </pic:spPr>
                </pic:pic>
              </a:graphicData>
            </a:graphic>
          </wp:inline>
        </w:drawing>
      </w:r>
      <w:r w:rsidRPr="009C529F">
        <w:rPr>
          <w:noProof/>
          <w:sz w:val="20"/>
          <w:szCs w:val="20"/>
          <w14:ligatures w14:val="standardContextual"/>
        </w:rPr>
        <w:drawing>
          <wp:inline distT="0" distB="0" distL="0" distR="0" wp14:anchorId="7D76A19A" wp14:editId="4B229139">
            <wp:extent cx="2946400" cy="2946400"/>
            <wp:effectExtent l="0" t="0" r="0" b="0"/>
            <wp:docPr id="19466210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621004" name="Picture 194662100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85632" cy="2985632"/>
                    </a:xfrm>
                    <a:prstGeom prst="rect">
                      <a:avLst/>
                    </a:prstGeom>
                  </pic:spPr>
                </pic:pic>
              </a:graphicData>
            </a:graphic>
          </wp:inline>
        </w:drawing>
      </w:r>
      <w:r w:rsidRPr="00B85297">
        <w:rPr>
          <w:sz w:val="20"/>
          <w:szCs w:val="20"/>
        </w:rPr>
        <w:br w:type="textWrapping" w:clear="all"/>
        <w:t xml:space="preserve">       Fig. </w:t>
      </w:r>
      <w:r w:rsidR="00CE3EB6">
        <w:rPr>
          <w:sz w:val="20"/>
          <w:szCs w:val="20"/>
        </w:rPr>
        <w:t>2</w:t>
      </w:r>
      <w:r w:rsidRPr="00B85297">
        <w:rPr>
          <w:sz w:val="20"/>
          <w:szCs w:val="20"/>
        </w:rPr>
        <w:t>. U.S. Salinity hazard diagram</w:t>
      </w:r>
      <w:r w:rsidRPr="00B85297">
        <w:rPr>
          <w:sz w:val="20"/>
          <w:szCs w:val="20"/>
        </w:rPr>
        <w:tab/>
      </w:r>
      <w:r w:rsidRPr="00B85297">
        <w:rPr>
          <w:sz w:val="20"/>
          <w:szCs w:val="20"/>
        </w:rPr>
        <w:tab/>
        <w:t xml:space="preserve">Fig. </w:t>
      </w:r>
      <w:r w:rsidR="00CE3EB6">
        <w:rPr>
          <w:sz w:val="20"/>
          <w:szCs w:val="20"/>
        </w:rPr>
        <w:t>3</w:t>
      </w:r>
      <w:r w:rsidRPr="00B85297">
        <w:rPr>
          <w:sz w:val="20"/>
          <w:szCs w:val="20"/>
        </w:rPr>
        <w:t xml:space="preserve">. Percent sodium vs EC plot                          </w:t>
      </w:r>
      <w:r w:rsidRPr="00B85297">
        <w:rPr>
          <w:sz w:val="20"/>
          <w:szCs w:val="20"/>
        </w:rPr>
        <w:tab/>
        <w:t xml:space="preserve">      (after Richards, 1954).                                     (after </w:t>
      </w:r>
      <w:proofErr w:type="spellStart"/>
      <w:r w:rsidRPr="00B85297">
        <w:rPr>
          <w:sz w:val="20"/>
          <w:szCs w:val="20"/>
        </w:rPr>
        <w:t>wilcox</w:t>
      </w:r>
      <w:proofErr w:type="spellEnd"/>
      <w:r w:rsidRPr="00B85297">
        <w:rPr>
          <w:sz w:val="20"/>
          <w:szCs w:val="20"/>
        </w:rPr>
        <w:t>, 1995)</w:t>
      </w:r>
    </w:p>
    <w:p w14:paraId="4C42E315" w14:textId="293F151D" w:rsidR="00B85297" w:rsidRPr="00B85297" w:rsidRDefault="00B85297" w:rsidP="00B85297">
      <w:pPr>
        <w:spacing w:before="100" w:beforeAutospacing="1" w:after="100" w:afterAutospacing="1"/>
        <w:ind w:right="-330"/>
        <w:jc w:val="both"/>
        <w:outlineLvl w:val="2"/>
        <w:rPr>
          <w:b/>
          <w:bCs/>
          <w:sz w:val="20"/>
          <w:szCs w:val="20"/>
        </w:rPr>
      </w:pPr>
      <w:r w:rsidRPr="00B85297">
        <w:rPr>
          <w:b/>
          <w:bCs/>
          <w:sz w:val="20"/>
          <w:szCs w:val="20"/>
        </w:rPr>
        <w:t>Wilcox Classification</w:t>
      </w:r>
    </w:p>
    <w:p w14:paraId="75A7007A" w14:textId="23A15AC2" w:rsidR="006108BB" w:rsidRDefault="006108BB" w:rsidP="006108BB">
      <w:pPr>
        <w:pStyle w:val="NormalWeb"/>
        <w:jc w:val="both"/>
      </w:pPr>
      <w:r>
        <w:rPr>
          <w:rStyle w:val="ai-insert"/>
          <w:rFonts w:eastAsiaTheme="majorEastAsia"/>
          <w:sz w:val="20"/>
          <w:szCs w:val="20"/>
        </w:rPr>
        <w:lastRenderedPageBreak/>
        <w:t xml:space="preserve">The evaluation of groundwater samples for irrigation purposes in the study area was conducted using the Wilcox classification diagram, which links the percentage of sodium (Na%) with electrical conductivity (EC). This method is widely employed to determine the combined effects of </w:t>
      </w:r>
      <w:proofErr w:type="spellStart"/>
      <w:r>
        <w:rPr>
          <w:rStyle w:val="ai-insert"/>
          <w:rFonts w:eastAsiaTheme="majorEastAsia"/>
          <w:sz w:val="20"/>
          <w:szCs w:val="20"/>
        </w:rPr>
        <w:t>sodicity</w:t>
      </w:r>
      <w:proofErr w:type="spellEnd"/>
      <w:r>
        <w:rPr>
          <w:rStyle w:val="ai-insert"/>
          <w:rFonts w:eastAsiaTheme="majorEastAsia"/>
          <w:sz w:val="20"/>
          <w:szCs w:val="20"/>
        </w:rPr>
        <w:t xml:space="preserve"> and salinity on soil permeability, structure, and crop productivity. The analysis of the Wilcox diagram (Figure </w:t>
      </w:r>
      <w:r w:rsidR="00CE3EB6">
        <w:rPr>
          <w:rStyle w:val="ai-insert"/>
          <w:rFonts w:eastAsiaTheme="majorEastAsia"/>
          <w:sz w:val="20"/>
          <w:szCs w:val="20"/>
        </w:rPr>
        <w:t>3</w:t>
      </w:r>
      <w:r>
        <w:rPr>
          <w:rStyle w:val="ai-insert"/>
          <w:rFonts w:eastAsiaTheme="majorEastAsia"/>
          <w:sz w:val="20"/>
          <w:szCs w:val="20"/>
        </w:rPr>
        <w:t xml:space="preserve">) reveals that approximately 48.88% of the groundwater samples are categorized as "Good to Permissible." These waters exhibit moderate salinity and sodium levels, making them generally suitable for irrigation under typical agricultural conditions. However, prolonged use may necessitate occasional leaching and proper drainage to avoid salt accumulation in the root zone. A smaller fraction, about 46.66% of the samples, falls into the "Excellent to Good" category. These samples have low Na% and EC, indicating minimal risks from salinity and sodium. This water is highly appropriate for irrigation and can be used safely for most crops without significant restrictions or management challenges. Around 4.44% of the samples are classified as "Permissible to Doubtful," indicating relatively higher sodium percentages along with moderate-to-high EC values. Using this water for irrigation could adversely affect soil infiltration and permeability, particularly in clay-rich soils. Therefore, its use requires careful management, including selecting crops that tolerate salinity, controlled irrigation scheduling, and regular monitoring of soil salinity and </w:t>
      </w:r>
      <w:proofErr w:type="spellStart"/>
      <w:r>
        <w:rPr>
          <w:rStyle w:val="ai-insert"/>
          <w:rFonts w:eastAsiaTheme="majorEastAsia"/>
          <w:sz w:val="20"/>
          <w:szCs w:val="20"/>
        </w:rPr>
        <w:t>sodicity</w:t>
      </w:r>
      <w:proofErr w:type="spellEnd"/>
      <w:r>
        <w:rPr>
          <w:rStyle w:val="ai-insert"/>
          <w:rFonts w:eastAsiaTheme="majorEastAsia"/>
          <w:sz w:val="20"/>
          <w:szCs w:val="20"/>
        </w:rPr>
        <w:t>.</w:t>
      </w:r>
    </w:p>
    <w:p w14:paraId="3D91CB1C" w14:textId="5307CD87" w:rsidR="00B85297" w:rsidRDefault="00B85297" w:rsidP="00B85297">
      <w:pPr>
        <w:pStyle w:val="NormalWeb"/>
        <w:jc w:val="both"/>
        <w:rPr>
          <w:rStyle w:val="Strong"/>
          <w:sz w:val="20"/>
          <w:szCs w:val="20"/>
        </w:rPr>
      </w:pPr>
      <w:r w:rsidRPr="00B85297">
        <w:rPr>
          <w:rStyle w:val="Strong"/>
          <w:sz w:val="20"/>
          <w:szCs w:val="20"/>
        </w:rPr>
        <w:t xml:space="preserve">Kelley’s Ratio (KR) </w:t>
      </w:r>
    </w:p>
    <w:p w14:paraId="0DDFD949" w14:textId="3CDFA7A8" w:rsidR="006108BB" w:rsidRPr="00B85297" w:rsidRDefault="006108BB" w:rsidP="00B85297">
      <w:pPr>
        <w:pStyle w:val="NormalWeb"/>
        <w:jc w:val="both"/>
        <w:rPr>
          <w:sz w:val="20"/>
          <w:szCs w:val="20"/>
        </w:rPr>
      </w:pPr>
      <w:r>
        <w:rPr>
          <w:rStyle w:val="ai-insert"/>
          <w:rFonts w:eastAsiaTheme="majorEastAsia"/>
          <w:sz w:val="20"/>
          <w:szCs w:val="20"/>
        </w:rPr>
        <w:t>Kelley’s Ratio (KR) serves as a crucial index for assessing irrigation water quality, specifically focusing on the prevalence of sodium (Na⁺) compared to calcium (Ca²⁺) and magnesium (Mg²⁺). As per Kelley (1963), a KR value less than 1 signifies water that is appropriate for irrigation, whereas a value greater than 1 suggests unsuitability due to sodium-related risks.</w:t>
      </w:r>
    </w:p>
    <w:p w14:paraId="6721A67A" w14:textId="0E1B2119" w:rsidR="00B85297" w:rsidRPr="006108BB" w:rsidRDefault="001443DA" w:rsidP="00B85297">
      <w:pPr>
        <w:pStyle w:val="NormalWeb"/>
        <w:ind w:right="-330"/>
        <w:jc w:val="both"/>
        <w:rPr>
          <w:sz w:val="20"/>
          <w:szCs w:val="20"/>
        </w:rPr>
      </w:pPr>
      <m:oMathPara>
        <m:oMath>
          <m:f>
            <m:fPr>
              <m:ctrlPr>
                <w:rPr>
                  <w:rFonts w:ascii="Cambria Math" w:hAnsi="Cambria Math"/>
                  <w:iCs/>
                  <w:sz w:val="20"/>
                  <w:szCs w:val="20"/>
                </w:rPr>
              </m:ctrlPr>
            </m:fPr>
            <m:num>
              <m:sSup>
                <m:sSupPr>
                  <m:ctrlPr>
                    <w:rPr>
                      <w:rFonts w:ascii="Cambria Math" w:hAnsi="Cambria Math"/>
                      <w:iCs/>
                      <w:sz w:val="20"/>
                      <w:szCs w:val="20"/>
                    </w:rPr>
                  </m:ctrlPr>
                </m:sSupPr>
                <m:e>
                  <m:r>
                    <m:rPr>
                      <m:sty m:val="p"/>
                    </m:rPr>
                    <w:rPr>
                      <w:rFonts w:ascii="Cambria Math" w:hAnsi="Cambria Math"/>
                      <w:sz w:val="20"/>
                      <w:szCs w:val="20"/>
                    </w:rPr>
                    <m:t>[Na</m:t>
                  </m:r>
                </m:e>
                <m:sup>
                  <m:r>
                    <m:rPr>
                      <m:sty m:val="p"/>
                    </m:rPr>
                    <w:rPr>
                      <w:rFonts w:ascii="Cambria Math" w:hAnsi="Cambria Math"/>
                      <w:sz w:val="20"/>
                      <w:szCs w:val="20"/>
                    </w:rPr>
                    <m:t>2+</m:t>
                  </m:r>
                </m:sup>
              </m:sSup>
              <m:r>
                <m:rPr>
                  <m:sty m:val="p"/>
                </m:rPr>
                <w:rPr>
                  <w:rFonts w:ascii="Cambria Math" w:hAnsi="Cambria Math"/>
                  <w:sz w:val="20"/>
                  <w:szCs w:val="20"/>
                </w:rPr>
                <m:t>]</m:t>
              </m:r>
            </m:num>
            <m:den>
              <m:sSup>
                <m:sSupPr>
                  <m:ctrlPr>
                    <w:rPr>
                      <w:rFonts w:ascii="Cambria Math" w:hAnsi="Cambria Math"/>
                      <w:iCs/>
                      <w:sz w:val="20"/>
                      <w:szCs w:val="20"/>
                    </w:rPr>
                  </m:ctrlPr>
                </m:sSupPr>
                <m:e>
                  <m:r>
                    <m:rPr>
                      <m:sty m:val="p"/>
                    </m:rPr>
                    <w:rPr>
                      <w:rFonts w:ascii="Cambria Math" w:hAnsi="Cambria Math"/>
                      <w:sz w:val="20"/>
                      <w:szCs w:val="20"/>
                    </w:rPr>
                    <m:t>[Ca</m:t>
                  </m:r>
                </m:e>
                <m:sup>
                  <m:r>
                    <m:rPr>
                      <m:sty m:val="p"/>
                    </m:rPr>
                    <w:rPr>
                      <w:rFonts w:ascii="Cambria Math" w:hAnsi="Cambria Math"/>
                      <w:sz w:val="20"/>
                      <w:szCs w:val="20"/>
                    </w:rPr>
                    <m:t>2+</m:t>
                  </m:r>
                </m:sup>
              </m:sSup>
              <m:r>
                <m:rPr>
                  <m:sty m:val="p"/>
                </m:rPr>
                <w:rPr>
                  <w:rFonts w:ascii="Cambria Math" w:hAnsi="Cambria Math"/>
                  <w:sz w:val="20"/>
                  <w:szCs w:val="20"/>
                </w:rPr>
                <m:t>]+[</m:t>
              </m:r>
              <m:sSup>
                <m:sSupPr>
                  <m:ctrlPr>
                    <w:rPr>
                      <w:rFonts w:ascii="Cambria Math" w:hAnsi="Cambria Math"/>
                      <w:iCs/>
                      <w:sz w:val="20"/>
                      <w:szCs w:val="20"/>
                    </w:rPr>
                  </m:ctrlPr>
                </m:sSupPr>
                <m:e>
                  <m:r>
                    <m:rPr>
                      <m:sty m:val="p"/>
                    </m:rPr>
                    <w:rPr>
                      <w:rFonts w:ascii="Cambria Math" w:hAnsi="Cambria Math"/>
                      <w:sz w:val="20"/>
                      <w:szCs w:val="20"/>
                    </w:rPr>
                    <m:t>Mg</m:t>
                  </m:r>
                </m:e>
                <m:sup>
                  <m:r>
                    <m:rPr>
                      <m:sty m:val="p"/>
                    </m:rPr>
                    <w:rPr>
                      <w:rFonts w:ascii="Cambria Math" w:hAnsi="Cambria Math"/>
                      <w:sz w:val="20"/>
                      <w:szCs w:val="20"/>
                    </w:rPr>
                    <m:t>2+</m:t>
                  </m:r>
                </m:sup>
              </m:sSup>
              <m:r>
                <m:rPr>
                  <m:sty m:val="p"/>
                </m:rPr>
                <w:rPr>
                  <w:rFonts w:ascii="Cambria Math" w:hAnsi="Cambria Math"/>
                  <w:sz w:val="20"/>
                  <w:szCs w:val="20"/>
                </w:rPr>
                <m:t>]</m:t>
              </m:r>
            </m:den>
          </m:f>
        </m:oMath>
      </m:oMathPara>
    </w:p>
    <w:p w14:paraId="0B7A85EC" w14:textId="64E4D332" w:rsidR="006108BB" w:rsidRDefault="006108BB" w:rsidP="006108BB">
      <w:pPr>
        <w:pStyle w:val="NormalWeb"/>
        <w:jc w:val="both"/>
      </w:pPr>
      <w:r>
        <w:rPr>
          <w:rStyle w:val="ai-insert"/>
          <w:rFonts w:eastAsiaTheme="majorEastAsia"/>
          <w:sz w:val="20"/>
          <w:szCs w:val="20"/>
        </w:rPr>
        <w:t>Although the WHO and BIS drinking-water guidelines do not explicitly define KR limits, they recognize the Kelley (1963) classification as the standard for irrigation studies. The KR values of groundwater samples in the study area vary significantly, ranging from about 0.10 to 2.99, indicating a wide range of sodium hazards. Approximately 66.7% of the samples have KR values below 1, indicating they are suitable for irrigation, while 33.3% exceed the acceptable limit, pointing to potential unsuitability due to sodium dominance. High KR values suggest possible negative impacts on soil structure, decreased permeability, and long-term alkalinity risks. Consequently, even though most groundwater is deemed suitable for irrigation, areas with elevated KR values need careful management and regular monitoring to prevent soil degradation, ensuring the water samples meet the BIS/WHO-accepted standards for irrigation.</w:t>
      </w:r>
    </w:p>
    <w:p w14:paraId="40CEF667" w14:textId="4FA574F9" w:rsidR="00B85297" w:rsidRPr="00B85297" w:rsidRDefault="00B85297" w:rsidP="00B85297">
      <w:pPr>
        <w:pStyle w:val="NormalWeb"/>
        <w:ind w:right="-330"/>
        <w:jc w:val="both"/>
        <w:rPr>
          <w:b/>
          <w:bCs/>
          <w:sz w:val="20"/>
          <w:szCs w:val="20"/>
        </w:rPr>
      </w:pPr>
      <w:r w:rsidRPr="00B85297">
        <w:rPr>
          <w:b/>
          <w:bCs/>
          <w:sz w:val="20"/>
          <w:szCs w:val="20"/>
        </w:rPr>
        <w:t>The Permeability Index (PI)</w:t>
      </w:r>
    </w:p>
    <w:p w14:paraId="5CC99DBF" w14:textId="34CB3914" w:rsidR="00B85297" w:rsidRPr="00B85297" w:rsidRDefault="00B85297" w:rsidP="00571BA1">
      <w:pPr>
        <w:spacing w:before="100" w:beforeAutospacing="1" w:after="100" w:afterAutospacing="1"/>
        <w:ind w:right="-330"/>
        <w:jc w:val="both"/>
        <w:rPr>
          <w:sz w:val="20"/>
          <w:szCs w:val="20"/>
        </w:rPr>
      </w:pPr>
      <w:r w:rsidRPr="00B85297">
        <w:rPr>
          <w:sz w:val="20"/>
          <w:szCs w:val="20"/>
        </w:rPr>
        <w:t xml:space="preserve">The Permeability Index (PI) values of the groundwater samples range from </w:t>
      </w:r>
      <w:r w:rsidRPr="00B85297">
        <w:rPr>
          <w:rStyle w:val="Strong"/>
          <w:b w:val="0"/>
          <w:bCs w:val="0"/>
          <w:sz w:val="20"/>
          <w:szCs w:val="20"/>
        </w:rPr>
        <w:t>11.50 to 75.82%</w:t>
      </w:r>
      <w:r w:rsidRPr="00B85297">
        <w:rPr>
          <w:sz w:val="20"/>
          <w:szCs w:val="20"/>
        </w:rPr>
        <w:t>, indicating significant variability in irrigation suitability. Based on WHO and BIS irrigation-water classifications, the majority of samples (</w:t>
      </w:r>
      <w:r w:rsidRPr="00B85297">
        <w:rPr>
          <w:rStyle w:val="Strong"/>
          <w:b w:val="0"/>
          <w:bCs w:val="0"/>
          <w:sz w:val="20"/>
          <w:szCs w:val="20"/>
        </w:rPr>
        <w:t>93.33%</w:t>
      </w:r>
      <w:r w:rsidRPr="00B85297">
        <w:rPr>
          <w:sz w:val="20"/>
          <w:szCs w:val="20"/>
        </w:rPr>
        <w:t xml:space="preserve">) fall within </w:t>
      </w:r>
      <w:r w:rsidRPr="00B85297">
        <w:rPr>
          <w:rStyle w:val="Strong"/>
          <w:b w:val="0"/>
          <w:bCs w:val="0"/>
          <w:sz w:val="20"/>
          <w:szCs w:val="20"/>
        </w:rPr>
        <w:t>Class II (25–75%)</w:t>
      </w:r>
      <w:r w:rsidRPr="00B85297">
        <w:rPr>
          <w:sz w:val="20"/>
          <w:szCs w:val="20"/>
        </w:rPr>
        <w:t xml:space="preserve">, suggesting that groundwater is </w:t>
      </w:r>
      <w:r w:rsidRPr="00B85297">
        <w:rPr>
          <w:rStyle w:val="Strong"/>
          <w:b w:val="0"/>
          <w:bCs w:val="0"/>
          <w:sz w:val="20"/>
          <w:szCs w:val="20"/>
        </w:rPr>
        <w:t>permissible and moderately suitable for irrigation</w:t>
      </w:r>
      <w:r w:rsidRPr="00B85297">
        <w:rPr>
          <w:sz w:val="20"/>
          <w:szCs w:val="20"/>
        </w:rPr>
        <w:t xml:space="preserve"> across most of the study area. Only </w:t>
      </w:r>
      <w:r w:rsidRPr="00B85297">
        <w:rPr>
          <w:rStyle w:val="Strong"/>
          <w:b w:val="0"/>
          <w:bCs w:val="0"/>
          <w:sz w:val="20"/>
          <w:szCs w:val="20"/>
        </w:rPr>
        <w:t>4.44%</w:t>
      </w:r>
      <w:r w:rsidRPr="00B85297">
        <w:rPr>
          <w:sz w:val="20"/>
          <w:szCs w:val="20"/>
        </w:rPr>
        <w:t xml:space="preserve"> of samples fall under </w:t>
      </w:r>
      <w:r w:rsidRPr="00B85297">
        <w:rPr>
          <w:rStyle w:val="Strong"/>
          <w:b w:val="0"/>
          <w:bCs w:val="0"/>
          <w:sz w:val="20"/>
          <w:szCs w:val="20"/>
        </w:rPr>
        <w:t>Class I (&gt;75%)</w:t>
      </w:r>
      <w:r w:rsidRPr="00B85297">
        <w:rPr>
          <w:sz w:val="20"/>
          <w:szCs w:val="20"/>
        </w:rPr>
        <w:t xml:space="preserve">, representing </w:t>
      </w:r>
      <w:r w:rsidRPr="00B85297">
        <w:rPr>
          <w:rStyle w:val="Strong"/>
          <w:b w:val="0"/>
          <w:bCs w:val="0"/>
          <w:sz w:val="20"/>
          <w:szCs w:val="20"/>
        </w:rPr>
        <w:t>excellent-quality water</w:t>
      </w:r>
      <w:r w:rsidRPr="00B85297">
        <w:rPr>
          <w:sz w:val="20"/>
          <w:szCs w:val="20"/>
        </w:rPr>
        <w:t xml:space="preserve"> with minimal impact on soil permeability. A very small proportion (</w:t>
      </w:r>
      <w:r w:rsidRPr="00B85297">
        <w:rPr>
          <w:rStyle w:val="Strong"/>
          <w:b w:val="0"/>
          <w:bCs w:val="0"/>
          <w:sz w:val="20"/>
          <w:szCs w:val="20"/>
        </w:rPr>
        <w:t>2.22%</w:t>
      </w:r>
      <w:r w:rsidRPr="00B85297">
        <w:rPr>
          <w:sz w:val="20"/>
          <w:szCs w:val="20"/>
        </w:rPr>
        <w:t xml:space="preserve">) belongs to </w:t>
      </w:r>
      <w:r w:rsidRPr="00B85297">
        <w:rPr>
          <w:rStyle w:val="Strong"/>
          <w:b w:val="0"/>
          <w:bCs w:val="0"/>
          <w:sz w:val="20"/>
          <w:szCs w:val="20"/>
        </w:rPr>
        <w:t>Class III (&lt;25%)</w:t>
      </w:r>
      <w:r w:rsidRPr="00B85297">
        <w:rPr>
          <w:sz w:val="20"/>
          <w:szCs w:val="20"/>
        </w:rPr>
        <w:t xml:space="preserve">, indicating </w:t>
      </w:r>
      <w:r w:rsidRPr="00B85297">
        <w:rPr>
          <w:rStyle w:val="Strong"/>
          <w:b w:val="0"/>
          <w:bCs w:val="0"/>
          <w:sz w:val="20"/>
          <w:szCs w:val="20"/>
        </w:rPr>
        <w:t>unsuitable water</w:t>
      </w:r>
      <w:r w:rsidRPr="00B85297">
        <w:rPr>
          <w:sz w:val="20"/>
          <w:szCs w:val="20"/>
        </w:rPr>
        <w:t xml:space="preserve"> that may adversely affect soil structure through reduced permeability. Overall, the PI analysis confirms that groundwater in the region is predominantly </w:t>
      </w:r>
      <w:r w:rsidRPr="00B85297">
        <w:rPr>
          <w:rStyle w:val="Strong"/>
          <w:b w:val="0"/>
          <w:bCs w:val="0"/>
          <w:sz w:val="20"/>
          <w:szCs w:val="20"/>
        </w:rPr>
        <w:t>safe and suitable for irrigation</w:t>
      </w:r>
      <w:r w:rsidRPr="00B85297">
        <w:rPr>
          <w:sz w:val="20"/>
          <w:szCs w:val="20"/>
        </w:rPr>
        <w:t>, with only isolated locations requiring caution.</w:t>
      </w:r>
    </w:p>
    <w:p w14:paraId="3DB5884C" w14:textId="77777777" w:rsidR="00B85297" w:rsidRPr="00B85297" w:rsidRDefault="00B85297" w:rsidP="00B85297">
      <w:pPr>
        <w:spacing w:before="100" w:beforeAutospacing="1" w:after="100" w:afterAutospacing="1"/>
        <w:ind w:right="-330"/>
        <w:jc w:val="both"/>
        <w:rPr>
          <w:sz w:val="20"/>
          <w:szCs w:val="20"/>
        </w:rPr>
      </w:pPr>
      <w:r w:rsidRPr="00B85297">
        <w:rPr>
          <w:sz w:val="20"/>
          <w:szCs w:val="20"/>
        </w:rPr>
        <w:t>Some samples show marginal issues, but most are within permissible limits.</w:t>
      </w:r>
    </w:p>
    <w:tbl>
      <w:tblPr>
        <w:tblW w:w="9170" w:type="dxa"/>
        <w:jc w:val="center"/>
        <w:tblLayout w:type="fixed"/>
        <w:tblLook w:val="04A0" w:firstRow="1" w:lastRow="0" w:firstColumn="1" w:lastColumn="0" w:noHBand="0" w:noVBand="1"/>
      </w:tblPr>
      <w:tblGrid>
        <w:gridCol w:w="1219"/>
        <w:gridCol w:w="1224"/>
        <w:gridCol w:w="3285"/>
        <w:gridCol w:w="861"/>
        <w:gridCol w:w="2581"/>
      </w:tblGrid>
      <w:tr w:rsidR="00B85297" w:rsidRPr="00B85297" w14:paraId="6C57F641" w14:textId="77777777" w:rsidTr="00430797">
        <w:trPr>
          <w:trHeight w:val="307"/>
          <w:jc w:val="center"/>
        </w:trPr>
        <w:tc>
          <w:tcPr>
            <w:tcW w:w="1219" w:type="dxa"/>
            <w:tcBorders>
              <w:top w:val="single" w:sz="4" w:space="0" w:color="auto"/>
              <w:left w:val="single" w:sz="4" w:space="0" w:color="auto"/>
              <w:bottom w:val="single" w:sz="4" w:space="0" w:color="auto"/>
              <w:right w:val="single" w:sz="4" w:space="0" w:color="auto"/>
            </w:tcBorders>
            <w:noWrap/>
            <w:vAlign w:val="bottom"/>
            <w:hideMark/>
          </w:tcPr>
          <w:p w14:paraId="783A9243" w14:textId="77777777" w:rsidR="00B85297" w:rsidRPr="00B85297" w:rsidRDefault="00B85297" w:rsidP="00B85297">
            <w:pPr>
              <w:ind w:right="-330"/>
              <w:jc w:val="both"/>
              <w:rPr>
                <w:color w:val="000000"/>
                <w:sz w:val="20"/>
                <w:szCs w:val="20"/>
              </w:rPr>
            </w:pPr>
            <w:r w:rsidRPr="00B85297">
              <w:rPr>
                <w:color w:val="000000"/>
                <w:sz w:val="20"/>
                <w:szCs w:val="20"/>
              </w:rPr>
              <w:t>PI Range (%)</w:t>
            </w:r>
          </w:p>
        </w:tc>
        <w:tc>
          <w:tcPr>
            <w:tcW w:w="1224" w:type="dxa"/>
            <w:tcBorders>
              <w:top w:val="single" w:sz="4" w:space="0" w:color="auto"/>
              <w:left w:val="nil"/>
              <w:bottom w:val="single" w:sz="4" w:space="0" w:color="auto"/>
              <w:right w:val="single" w:sz="4" w:space="0" w:color="auto"/>
            </w:tcBorders>
            <w:noWrap/>
            <w:vAlign w:val="bottom"/>
            <w:hideMark/>
          </w:tcPr>
          <w:p w14:paraId="7A0A1F8E" w14:textId="77777777" w:rsidR="00B85297" w:rsidRPr="00B85297" w:rsidRDefault="00B85297" w:rsidP="00B85297">
            <w:pPr>
              <w:ind w:right="-330"/>
              <w:jc w:val="both"/>
              <w:rPr>
                <w:color w:val="000000"/>
                <w:sz w:val="20"/>
                <w:szCs w:val="20"/>
              </w:rPr>
            </w:pPr>
            <w:r w:rsidRPr="00B85297">
              <w:rPr>
                <w:color w:val="000000"/>
                <w:sz w:val="20"/>
                <w:szCs w:val="20"/>
              </w:rPr>
              <w:t>Water Class</w:t>
            </w:r>
          </w:p>
        </w:tc>
        <w:tc>
          <w:tcPr>
            <w:tcW w:w="3285" w:type="dxa"/>
            <w:tcBorders>
              <w:top w:val="single" w:sz="4" w:space="0" w:color="auto"/>
              <w:left w:val="nil"/>
              <w:bottom w:val="single" w:sz="4" w:space="0" w:color="auto"/>
              <w:right w:val="single" w:sz="4" w:space="0" w:color="auto"/>
            </w:tcBorders>
            <w:noWrap/>
            <w:vAlign w:val="bottom"/>
            <w:hideMark/>
          </w:tcPr>
          <w:p w14:paraId="71697728" w14:textId="77777777" w:rsidR="00B85297" w:rsidRPr="00B85297" w:rsidRDefault="00B85297" w:rsidP="00B85297">
            <w:pPr>
              <w:ind w:right="-330"/>
              <w:jc w:val="center"/>
              <w:rPr>
                <w:color w:val="000000"/>
                <w:sz w:val="20"/>
                <w:szCs w:val="20"/>
              </w:rPr>
            </w:pPr>
            <w:r w:rsidRPr="00B85297">
              <w:rPr>
                <w:color w:val="000000"/>
                <w:sz w:val="20"/>
                <w:szCs w:val="20"/>
              </w:rPr>
              <w:t>Irrigation Suitability</w:t>
            </w:r>
          </w:p>
        </w:tc>
        <w:tc>
          <w:tcPr>
            <w:tcW w:w="861" w:type="dxa"/>
            <w:tcBorders>
              <w:top w:val="single" w:sz="4" w:space="0" w:color="auto"/>
              <w:left w:val="nil"/>
              <w:bottom w:val="single" w:sz="4" w:space="0" w:color="auto"/>
              <w:right w:val="single" w:sz="4" w:space="0" w:color="auto"/>
            </w:tcBorders>
            <w:vAlign w:val="bottom"/>
            <w:hideMark/>
          </w:tcPr>
          <w:p w14:paraId="760D1B03" w14:textId="77777777" w:rsidR="00B85297" w:rsidRPr="00B85297" w:rsidRDefault="00B85297" w:rsidP="00B85297">
            <w:pPr>
              <w:ind w:right="-330"/>
              <w:jc w:val="both"/>
              <w:rPr>
                <w:color w:val="000000"/>
                <w:sz w:val="20"/>
                <w:szCs w:val="20"/>
              </w:rPr>
            </w:pPr>
            <w:r w:rsidRPr="00B85297">
              <w:rPr>
                <w:color w:val="000000"/>
                <w:sz w:val="20"/>
                <w:szCs w:val="20"/>
              </w:rPr>
              <w:t>Number of Samples</w:t>
            </w:r>
          </w:p>
        </w:tc>
        <w:tc>
          <w:tcPr>
            <w:tcW w:w="2581" w:type="dxa"/>
            <w:tcBorders>
              <w:top w:val="single" w:sz="4" w:space="0" w:color="auto"/>
              <w:left w:val="nil"/>
              <w:bottom w:val="single" w:sz="4" w:space="0" w:color="auto"/>
              <w:right w:val="single" w:sz="4" w:space="0" w:color="auto"/>
            </w:tcBorders>
            <w:vAlign w:val="bottom"/>
            <w:hideMark/>
          </w:tcPr>
          <w:p w14:paraId="6FD22811" w14:textId="77777777" w:rsidR="00B85297" w:rsidRPr="00B85297" w:rsidRDefault="00B85297" w:rsidP="00A14F22">
            <w:pPr>
              <w:ind w:right="-330"/>
              <w:rPr>
                <w:color w:val="000000"/>
                <w:sz w:val="20"/>
                <w:szCs w:val="20"/>
              </w:rPr>
            </w:pPr>
            <w:r w:rsidRPr="00B85297">
              <w:rPr>
                <w:color w:val="000000"/>
                <w:sz w:val="20"/>
                <w:szCs w:val="20"/>
              </w:rPr>
              <w:t>Percentage of Samples (%)</w:t>
            </w:r>
          </w:p>
        </w:tc>
      </w:tr>
      <w:tr w:rsidR="00430797" w:rsidRPr="00B85297" w14:paraId="3BD231E7" w14:textId="77777777" w:rsidTr="00430797">
        <w:trPr>
          <w:trHeight w:val="346"/>
          <w:jc w:val="center"/>
        </w:trPr>
        <w:tc>
          <w:tcPr>
            <w:tcW w:w="1219" w:type="dxa"/>
            <w:tcBorders>
              <w:top w:val="nil"/>
              <w:left w:val="single" w:sz="4" w:space="0" w:color="auto"/>
              <w:bottom w:val="single" w:sz="4" w:space="0" w:color="auto"/>
              <w:right w:val="single" w:sz="4" w:space="0" w:color="auto"/>
            </w:tcBorders>
            <w:noWrap/>
            <w:vAlign w:val="bottom"/>
            <w:hideMark/>
          </w:tcPr>
          <w:p w14:paraId="058F12FA" w14:textId="7E73DA47" w:rsidR="00B85297" w:rsidRPr="00B85297" w:rsidRDefault="00A14F22" w:rsidP="00A14F22">
            <w:pPr>
              <w:ind w:right="-330"/>
              <w:rPr>
                <w:color w:val="000000"/>
                <w:sz w:val="20"/>
                <w:szCs w:val="20"/>
              </w:rPr>
            </w:pPr>
            <w:r>
              <w:rPr>
                <w:color w:val="000000"/>
                <w:sz w:val="20"/>
                <w:szCs w:val="20"/>
              </w:rPr>
              <w:t xml:space="preserve">     </w:t>
            </w:r>
            <w:r w:rsidR="00B85297" w:rsidRPr="00B85297">
              <w:rPr>
                <w:color w:val="000000"/>
                <w:sz w:val="20"/>
                <w:szCs w:val="20"/>
              </w:rPr>
              <w:t>&gt; 75</w:t>
            </w:r>
          </w:p>
        </w:tc>
        <w:tc>
          <w:tcPr>
            <w:tcW w:w="1224" w:type="dxa"/>
            <w:tcBorders>
              <w:top w:val="nil"/>
              <w:left w:val="nil"/>
              <w:bottom w:val="single" w:sz="4" w:space="0" w:color="auto"/>
              <w:right w:val="single" w:sz="4" w:space="0" w:color="auto"/>
            </w:tcBorders>
            <w:noWrap/>
            <w:vAlign w:val="bottom"/>
            <w:hideMark/>
          </w:tcPr>
          <w:p w14:paraId="5CD7C1EE" w14:textId="2C49DE27" w:rsidR="00B85297" w:rsidRPr="00B85297" w:rsidRDefault="00A14F22" w:rsidP="00A14F22">
            <w:pPr>
              <w:ind w:right="-330"/>
              <w:rPr>
                <w:color w:val="000000"/>
                <w:sz w:val="20"/>
                <w:szCs w:val="20"/>
              </w:rPr>
            </w:pPr>
            <w:r>
              <w:rPr>
                <w:color w:val="000000"/>
                <w:sz w:val="20"/>
                <w:szCs w:val="20"/>
              </w:rPr>
              <w:t xml:space="preserve">    </w:t>
            </w:r>
            <w:r w:rsidR="00B85297" w:rsidRPr="00B85297">
              <w:rPr>
                <w:color w:val="000000"/>
                <w:sz w:val="20"/>
                <w:szCs w:val="20"/>
              </w:rPr>
              <w:t>Class I</w:t>
            </w:r>
          </w:p>
        </w:tc>
        <w:tc>
          <w:tcPr>
            <w:tcW w:w="3285" w:type="dxa"/>
            <w:tcBorders>
              <w:top w:val="nil"/>
              <w:left w:val="nil"/>
              <w:bottom w:val="single" w:sz="4" w:space="0" w:color="auto"/>
              <w:right w:val="single" w:sz="4" w:space="0" w:color="auto"/>
            </w:tcBorders>
            <w:vAlign w:val="bottom"/>
            <w:hideMark/>
          </w:tcPr>
          <w:p w14:paraId="5C37C1BE" w14:textId="77777777" w:rsidR="00B85297" w:rsidRPr="00B85297" w:rsidRDefault="00B85297" w:rsidP="00A14F22">
            <w:pPr>
              <w:ind w:right="-330"/>
              <w:jc w:val="center"/>
              <w:rPr>
                <w:color w:val="000000"/>
                <w:sz w:val="20"/>
                <w:szCs w:val="20"/>
              </w:rPr>
            </w:pPr>
            <w:r w:rsidRPr="00B85297">
              <w:rPr>
                <w:color w:val="000000"/>
                <w:sz w:val="20"/>
                <w:szCs w:val="20"/>
              </w:rPr>
              <w:t>Excellent / Good – Highly Suitable</w:t>
            </w:r>
          </w:p>
        </w:tc>
        <w:tc>
          <w:tcPr>
            <w:tcW w:w="861" w:type="dxa"/>
            <w:tcBorders>
              <w:top w:val="nil"/>
              <w:left w:val="nil"/>
              <w:bottom w:val="single" w:sz="4" w:space="0" w:color="auto"/>
              <w:right w:val="single" w:sz="4" w:space="0" w:color="auto"/>
            </w:tcBorders>
            <w:noWrap/>
            <w:vAlign w:val="bottom"/>
            <w:hideMark/>
          </w:tcPr>
          <w:p w14:paraId="621080A5" w14:textId="77777777" w:rsidR="00B85297" w:rsidRPr="00B85297" w:rsidRDefault="00B85297" w:rsidP="00A14F22">
            <w:pPr>
              <w:ind w:right="-330"/>
              <w:jc w:val="center"/>
              <w:rPr>
                <w:color w:val="000000"/>
                <w:sz w:val="20"/>
                <w:szCs w:val="20"/>
              </w:rPr>
            </w:pPr>
            <w:r w:rsidRPr="00B85297">
              <w:rPr>
                <w:color w:val="000000"/>
                <w:sz w:val="20"/>
                <w:szCs w:val="20"/>
              </w:rPr>
              <w:t>2</w:t>
            </w:r>
          </w:p>
        </w:tc>
        <w:tc>
          <w:tcPr>
            <w:tcW w:w="2581" w:type="dxa"/>
            <w:tcBorders>
              <w:top w:val="nil"/>
              <w:left w:val="nil"/>
              <w:bottom w:val="single" w:sz="4" w:space="0" w:color="auto"/>
              <w:right w:val="single" w:sz="4" w:space="0" w:color="auto"/>
            </w:tcBorders>
            <w:noWrap/>
            <w:vAlign w:val="bottom"/>
            <w:hideMark/>
          </w:tcPr>
          <w:p w14:paraId="2E2425FD" w14:textId="77777777" w:rsidR="00B85297" w:rsidRPr="00B85297" w:rsidRDefault="00B85297" w:rsidP="00A14F22">
            <w:pPr>
              <w:ind w:right="-330"/>
              <w:jc w:val="center"/>
              <w:rPr>
                <w:color w:val="000000"/>
                <w:sz w:val="20"/>
                <w:szCs w:val="20"/>
              </w:rPr>
            </w:pPr>
            <w:r w:rsidRPr="00B85297">
              <w:rPr>
                <w:color w:val="000000"/>
                <w:sz w:val="20"/>
                <w:szCs w:val="20"/>
              </w:rPr>
              <w:t>4.44</w:t>
            </w:r>
          </w:p>
        </w:tc>
      </w:tr>
      <w:tr w:rsidR="00430797" w:rsidRPr="00B85297" w14:paraId="70E1A920" w14:textId="77777777" w:rsidTr="00430797">
        <w:trPr>
          <w:trHeight w:val="324"/>
          <w:jc w:val="center"/>
        </w:trPr>
        <w:tc>
          <w:tcPr>
            <w:tcW w:w="1219" w:type="dxa"/>
            <w:tcBorders>
              <w:top w:val="nil"/>
              <w:left w:val="single" w:sz="4" w:space="0" w:color="auto"/>
              <w:bottom w:val="single" w:sz="4" w:space="0" w:color="auto"/>
              <w:right w:val="single" w:sz="4" w:space="0" w:color="auto"/>
            </w:tcBorders>
            <w:noWrap/>
            <w:vAlign w:val="bottom"/>
            <w:hideMark/>
          </w:tcPr>
          <w:p w14:paraId="09D14057" w14:textId="15EA4538" w:rsidR="00B85297" w:rsidRPr="00B85297" w:rsidRDefault="00A14F22" w:rsidP="00A14F22">
            <w:pPr>
              <w:ind w:right="-330"/>
              <w:rPr>
                <w:color w:val="000000"/>
                <w:sz w:val="20"/>
                <w:szCs w:val="20"/>
              </w:rPr>
            </w:pPr>
            <w:r>
              <w:rPr>
                <w:color w:val="000000"/>
                <w:sz w:val="20"/>
                <w:szCs w:val="20"/>
              </w:rPr>
              <w:t xml:space="preserve">   </w:t>
            </w:r>
            <w:r w:rsidR="00B85297" w:rsidRPr="00B85297">
              <w:rPr>
                <w:color w:val="000000"/>
                <w:sz w:val="20"/>
                <w:szCs w:val="20"/>
              </w:rPr>
              <w:t>25 – 75</w:t>
            </w:r>
          </w:p>
        </w:tc>
        <w:tc>
          <w:tcPr>
            <w:tcW w:w="1224" w:type="dxa"/>
            <w:tcBorders>
              <w:top w:val="nil"/>
              <w:left w:val="nil"/>
              <w:bottom w:val="single" w:sz="4" w:space="0" w:color="auto"/>
              <w:right w:val="single" w:sz="4" w:space="0" w:color="auto"/>
            </w:tcBorders>
            <w:noWrap/>
            <w:vAlign w:val="bottom"/>
            <w:hideMark/>
          </w:tcPr>
          <w:p w14:paraId="3B9DFFC7" w14:textId="2BE1E78F" w:rsidR="00B85297" w:rsidRPr="00B85297" w:rsidRDefault="00A14F22" w:rsidP="00A14F22">
            <w:pPr>
              <w:ind w:right="-330"/>
              <w:rPr>
                <w:color w:val="000000"/>
                <w:sz w:val="20"/>
                <w:szCs w:val="20"/>
              </w:rPr>
            </w:pPr>
            <w:r>
              <w:rPr>
                <w:color w:val="000000"/>
                <w:sz w:val="20"/>
                <w:szCs w:val="20"/>
              </w:rPr>
              <w:t xml:space="preserve">    </w:t>
            </w:r>
            <w:r w:rsidR="00B85297" w:rsidRPr="00B85297">
              <w:rPr>
                <w:color w:val="000000"/>
                <w:sz w:val="20"/>
                <w:szCs w:val="20"/>
              </w:rPr>
              <w:t>Class II</w:t>
            </w:r>
          </w:p>
        </w:tc>
        <w:tc>
          <w:tcPr>
            <w:tcW w:w="3285" w:type="dxa"/>
            <w:tcBorders>
              <w:top w:val="nil"/>
              <w:left w:val="nil"/>
              <w:bottom w:val="single" w:sz="4" w:space="0" w:color="auto"/>
              <w:right w:val="single" w:sz="4" w:space="0" w:color="auto"/>
            </w:tcBorders>
            <w:vAlign w:val="bottom"/>
            <w:hideMark/>
          </w:tcPr>
          <w:p w14:paraId="376A5BA5" w14:textId="77777777" w:rsidR="00B85297" w:rsidRPr="00B85297" w:rsidRDefault="00B85297" w:rsidP="00A14F22">
            <w:pPr>
              <w:ind w:right="-330"/>
              <w:jc w:val="center"/>
              <w:rPr>
                <w:color w:val="000000"/>
                <w:sz w:val="20"/>
                <w:szCs w:val="20"/>
              </w:rPr>
            </w:pPr>
            <w:r w:rsidRPr="00B85297">
              <w:rPr>
                <w:color w:val="000000"/>
                <w:sz w:val="20"/>
                <w:szCs w:val="20"/>
              </w:rPr>
              <w:t>Permissible – Moderately Suitable</w:t>
            </w:r>
          </w:p>
        </w:tc>
        <w:tc>
          <w:tcPr>
            <w:tcW w:w="861" w:type="dxa"/>
            <w:tcBorders>
              <w:top w:val="nil"/>
              <w:left w:val="nil"/>
              <w:bottom w:val="single" w:sz="4" w:space="0" w:color="auto"/>
              <w:right w:val="single" w:sz="4" w:space="0" w:color="auto"/>
            </w:tcBorders>
            <w:noWrap/>
            <w:vAlign w:val="bottom"/>
            <w:hideMark/>
          </w:tcPr>
          <w:p w14:paraId="064AA76E" w14:textId="77777777" w:rsidR="00B85297" w:rsidRPr="00B85297" w:rsidRDefault="00B85297" w:rsidP="00A14F22">
            <w:pPr>
              <w:ind w:right="-330"/>
              <w:jc w:val="center"/>
              <w:rPr>
                <w:color w:val="000000"/>
                <w:sz w:val="20"/>
                <w:szCs w:val="20"/>
              </w:rPr>
            </w:pPr>
            <w:r w:rsidRPr="00B85297">
              <w:rPr>
                <w:color w:val="000000"/>
                <w:sz w:val="20"/>
                <w:szCs w:val="20"/>
              </w:rPr>
              <w:t>42</w:t>
            </w:r>
          </w:p>
        </w:tc>
        <w:tc>
          <w:tcPr>
            <w:tcW w:w="2581" w:type="dxa"/>
            <w:tcBorders>
              <w:top w:val="nil"/>
              <w:left w:val="nil"/>
              <w:bottom w:val="single" w:sz="4" w:space="0" w:color="auto"/>
              <w:right w:val="single" w:sz="4" w:space="0" w:color="auto"/>
            </w:tcBorders>
            <w:noWrap/>
            <w:vAlign w:val="bottom"/>
            <w:hideMark/>
          </w:tcPr>
          <w:p w14:paraId="7905DC4F" w14:textId="77777777" w:rsidR="00B85297" w:rsidRPr="00B85297" w:rsidRDefault="00B85297" w:rsidP="00A14F22">
            <w:pPr>
              <w:ind w:right="-330"/>
              <w:jc w:val="center"/>
              <w:rPr>
                <w:color w:val="000000"/>
                <w:sz w:val="20"/>
                <w:szCs w:val="20"/>
              </w:rPr>
            </w:pPr>
            <w:r w:rsidRPr="00B85297">
              <w:rPr>
                <w:color w:val="000000"/>
                <w:sz w:val="20"/>
                <w:szCs w:val="20"/>
              </w:rPr>
              <w:t>93.33</w:t>
            </w:r>
          </w:p>
        </w:tc>
      </w:tr>
      <w:tr w:rsidR="00430797" w:rsidRPr="00B85297" w14:paraId="6162A5F2" w14:textId="77777777" w:rsidTr="00430797">
        <w:trPr>
          <w:trHeight w:val="313"/>
          <w:jc w:val="center"/>
        </w:trPr>
        <w:tc>
          <w:tcPr>
            <w:tcW w:w="1219" w:type="dxa"/>
            <w:tcBorders>
              <w:top w:val="nil"/>
              <w:left w:val="single" w:sz="4" w:space="0" w:color="auto"/>
              <w:bottom w:val="single" w:sz="4" w:space="0" w:color="auto"/>
              <w:right w:val="single" w:sz="4" w:space="0" w:color="auto"/>
            </w:tcBorders>
            <w:noWrap/>
            <w:vAlign w:val="bottom"/>
            <w:hideMark/>
          </w:tcPr>
          <w:p w14:paraId="1C221628" w14:textId="4F6960A1" w:rsidR="00B85297" w:rsidRPr="00B85297" w:rsidRDefault="00A14F22" w:rsidP="00A14F22">
            <w:pPr>
              <w:ind w:right="-330"/>
              <w:rPr>
                <w:color w:val="000000"/>
                <w:sz w:val="20"/>
                <w:szCs w:val="20"/>
              </w:rPr>
            </w:pPr>
            <w:r>
              <w:rPr>
                <w:color w:val="000000"/>
                <w:sz w:val="20"/>
                <w:szCs w:val="20"/>
              </w:rPr>
              <w:t xml:space="preserve">     </w:t>
            </w:r>
            <w:r w:rsidR="00B85297" w:rsidRPr="00B85297">
              <w:rPr>
                <w:color w:val="000000"/>
                <w:sz w:val="20"/>
                <w:szCs w:val="20"/>
              </w:rPr>
              <w:t>&lt; 25</w:t>
            </w:r>
          </w:p>
        </w:tc>
        <w:tc>
          <w:tcPr>
            <w:tcW w:w="1224" w:type="dxa"/>
            <w:tcBorders>
              <w:top w:val="nil"/>
              <w:left w:val="nil"/>
              <w:bottom w:val="single" w:sz="4" w:space="0" w:color="auto"/>
              <w:right w:val="single" w:sz="4" w:space="0" w:color="auto"/>
            </w:tcBorders>
            <w:noWrap/>
            <w:vAlign w:val="bottom"/>
            <w:hideMark/>
          </w:tcPr>
          <w:p w14:paraId="62B8B4CD" w14:textId="11EF659A" w:rsidR="00B85297" w:rsidRPr="00B85297" w:rsidRDefault="00A14F22" w:rsidP="00A14F22">
            <w:pPr>
              <w:ind w:right="-330"/>
              <w:rPr>
                <w:color w:val="000000"/>
                <w:sz w:val="20"/>
                <w:szCs w:val="20"/>
              </w:rPr>
            </w:pPr>
            <w:r>
              <w:rPr>
                <w:color w:val="000000"/>
                <w:sz w:val="20"/>
                <w:szCs w:val="20"/>
              </w:rPr>
              <w:t xml:space="preserve">   </w:t>
            </w:r>
            <w:r w:rsidR="00B85297" w:rsidRPr="00B85297">
              <w:rPr>
                <w:color w:val="000000"/>
                <w:sz w:val="20"/>
                <w:szCs w:val="20"/>
              </w:rPr>
              <w:t>Class III</w:t>
            </w:r>
          </w:p>
        </w:tc>
        <w:tc>
          <w:tcPr>
            <w:tcW w:w="3285" w:type="dxa"/>
            <w:tcBorders>
              <w:top w:val="nil"/>
              <w:left w:val="nil"/>
              <w:bottom w:val="single" w:sz="4" w:space="0" w:color="auto"/>
              <w:right w:val="single" w:sz="4" w:space="0" w:color="auto"/>
            </w:tcBorders>
            <w:vAlign w:val="bottom"/>
            <w:hideMark/>
          </w:tcPr>
          <w:p w14:paraId="62FD061F" w14:textId="77777777" w:rsidR="00B85297" w:rsidRPr="00B85297" w:rsidRDefault="00B85297" w:rsidP="00A14F22">
            <w:pPr>
              <w:ind w:right="-330"/>
              <w:jc w:val="center"/>
              <w:rPr>
                <w:color w:val="000000"/>
                <w:sz w:val="20"/>
                <w:szCs w:val="20"/>
              </w:rPr>
            </w:pPr>
            <w:r w:rsidRPr="00B85297">
              <w:rPr>
                <w:color w:val="000000"/>
                <w:sz w:val="20"/>
                <w:szCs w:val="20"/>
              </w:rPr>
              <w:t>Unsuitable for Irrigation</w:t>
            </w:r>
          </w:p>
        </w:tc>
        <w:tc>
          <w:tcPr>
            <w:tcW w:w="861" w:type="dxa"/>
            <w:tcBorders>
              <w:top w:val="nil"/>
              <w:left w:val="nil"/>
              <w:bottom w:val="single" w:sz="4" w:space="0" w:color="auto"/>
              <w:right w:val="single" w:sz="4" w:space="0" w:color="auto"/>
            </w:tcBorders>
            <w:noWrap/>
            <w:vAlign w:val="bottom"/>
            <w:hideMark/>
          </w:tcPr>
          <w:p w14:paraId="1FE0B173" w14:textId="77777777" w:rsidR="00B85297" w:rsidRPr="00B85297" w:rsidRDefault="00B85297" w:rsidP="00A14F22">
            <w:pPr>
              <w:ind w:right="-330"/>
              <w:jc w:val="center"/>
              <w:rPr>
                <w:color w:val="000000"/>
                <w:sz w:val="20"/>
                <w:szCs w:val="20"/>
              </w:rPr>
            </w:pPr>
            <w:r w:rsidRPr="00B85297">
              <w:rPr>
                <w:color w:val="000000"/>
                <w:sz w:val="20"/>
                <w:szCs w:val="20"/>
              </w:rPr>
              <w:t>1</w:t>
            </w:r>
          </w:p>
        </w:tc>
        <w:tc>
          <w:tcPr>
            <w:tcW w:w="2581" w:type="dxa"/>
            <w:tcBorders>
              <w:top w:val="nil"/>
              <w:left w:val="nil"/>
              <w:bottom w:val="single" w:sz="4" w:space="0" w:color="auto"/>
              <w:right w:val="single" w:sz="4" w:space="0" w:color="auto"/>
            </w:tcBorders>
            <w:noWrap/>
            <w:vAlign w:val="bottom"/>
            <w:hideMark/>
          </w:tcPr>
          <w:p w14:paraId="0A04489F" w14:textId="77777777" w:rsidR="00B85297" w:rsidRPr="00B85297" w:rsidRDefault="00B85297" w:rsidP="00A14F22">
            <w:pPr>
              <w:ind w:right="-330"/>
              <w:jc w:val="center"/>
              <w:rPr>
                <w:color w:val="000000"/>
                <w:sz w:val="20"/>
                <w:szCs w:val="20"/>
              </w:rPr>
            </w:pPr>
            <w:r w:rsidRPr="00B85297">
              <w:rPr>
                <w:color w:val="000000"/>
                <w:sz w:val="20"/>
                <w:szCs w:val="20"/>
              </w:rPr>
              <w:t>2.22</w:t>
            </w:r>
          </w:p>
        </w:tc>
      </w:tr>
    </w:tbl>
    <w:p w14:paraId="208518DF" w14:textId="3E154C2D" w:rsidR="00B85297" w:rsidRPr="00B85297" w:rsidRDefault="00B85297" w:rsidP="004A0FBB">
      <w:pPr>
        <w:pStyle w:val="NormalWeb"/>
        <w:jc w:val="center"/>
        <w:rPr>
          <w:sz w:val="20"/>
          <w:szCs w:val="20"/>
        </w:rPr>
      </w:pPr>
      <w:r w:rsidRPr="00B85297">
        <w:rPr>
          <w:sz w:val="20"/>
          <w:szCs w:val="20"/>
        </w:rPr>
        <w:t xml:space="preserve">Table. </w:t>
      </w:r>
      <w:r w:rsidR="00CE3EB6">
        <w:rPr>
          <w:sz w:val="20"/>
          <w:szCs w:val="20"/>
        </w:rPr>
        <w:t>3</w:t>
      </w:r>
      <w:r w:rsidRPr="00B85297">
        <w:rPr>
          <w:sz w:val="20"/>
          <w:szCs w:val="20"/>
        </w:rPr>
        <w:t>. The Permeability Index (PI)</w:t>
      </w:r>
    </w:p>
    <w:p w14:paraId="2D17E254" w14:textId="7B42E057" w:rsidR="00B85297" w:rsidRPr="00B85297" w:rsidRDefault="00B85297" w:rsidP="00B85297">
      <w:pPr>
        <w:spacing w:before="100" w:beforeAutospacing="1" w:after="100" w:afterAutospacing="1"/>
        <w:ind w:right="-330"/>
        <w:jc w:val="both"/>
        <w:rPr>
          <w:b/>
          <w:bCs/>
          <w:sz w:val="20"/>
          <w:szCs w:val="20"/>
        </w:rPr>
      </w:pPr>
      <w:r w:rsidRPr="00B85297">
        <w:rPr>
          <w:b/>
          <w:bCs/>
          <w:sz w:val="20"/>
          <w:szCs w:val="20"/>
        </w:rPr>
        <w:lastRenderedPageBreak/>
        <w:t>Gibbs diagram</w:t>
      </w:r>
    </w:p>
    <w:p w14:paraId="085276A7" w14:textId="60D63271" w:rsidR="00B85297" w:rsidRPr="00B85297" w:rsidRDefault="00B85297" w:rsidP="00B85297">
      <w:pPr>
        <w:pStyle w:val="NormalWeb"/>
        <w:ind w:right="-330"/>
        <w:jc w:val="both"/>
        <w:rPr>
          <w:sz w:val="20"/>
          <w:szCs w:val="20"/>
        </w:rPr>
      </w:pPr>
      <w:r w:rsidRPr="00B85297">
        <w:rPr>
          <w:sz w:val="20"/>
          <w:szCs w:val="20"/>
        </w:rPr>
        <w:t xml:space="preserve">The Gibbs diagrams illustrate the mechanisms controlling groundwater chemistry in the study area using the ratios </w:t>
      </w:r>
      <w:r w:rsidRPr="00B85297">
        <w:rPr>
          <w:rStyle w:val="Strong"/>
          <w:b w:val="0"/>
          <w:bCs w:val="0"/>
          <w:sz w:val="20"/>
          <w:szCs w:val="20"/>
        </w:rPr>
        <w:t>Na⁺/(Na⁺ + Ca²⁺)</w:t>
      </w:r>
      <w:r w:rsidRPr="00B85297">
        <w:rPr>
          <w:sz w:val="20"/>
          <w:szCs w:val="20"/>
        </w:rPr>
        <w:t xml:space="preserve"> and </w:t>
      </w:r>
      <w:r w:rsidRPr="00B85297">
        <w:rPr>
          <w:rStyle w:val="Strong"/>
          <w:b w:val="0"/>
          <w:bCs w:val="0"/>
          <w:sz w:val="20"/>
          <w:szCs w:val="20"/>
        </w:rPr>
        <w:t>Cl⁻/(Cl⁻ + HCO₃⁻)</w:t>
      </w:r>
      <w:r w:rsidRPr="00B85297">
        <w:rPr>
          <w:sz w:val="20"/>
          <w:szCs w:val="20"/>
        </w:rPr>
        <w:t xml:space="preserve"> plotted against TDS. Interpretation of the plots shows that approximately </w:t>
      </w:r>
      <w:r w:rsidRPr="00B85297">
        <w:rPr>
          <w:rStyle w:val="Strong"/>
          <w:b w:val="0"/>
          <w:bCs w:val="0"/>
          <w:sz w:val="20"/>
          <w:szCs w:val="20"/>
        </w:rPr>
        <w:t>82–88% of groundwater samples</w:t>
      </w:r>
      <w:r w:rsidRPr="00B85297">
        <w:rPr>
          <w:sz w:val="20"/>
          <w:szCs w:val="20"/>
        </w:rPr>
        <w:t xml:space="preserve"> fall within the </w:t>
      </w:r>
      <w:r w:rsidRPr="00B85297">
        <w:rPr>
          <w:rStyle w:val="Strong"/>
          <w:b w:val="0"/>
          <w:bCs w:val="0"/>
          <w:sz w:val="20"/>
          <w:szCs w:val="20"/>
        </w:rPr>
        <w:t>rock-dominance field</w:t>
      </w:r>
      <w:r w:rsidRPr="00B85297">
        <w:rPr>
          <w:sz w:val="20"/>
          <w:szCs w:val="20"/>
        </w:rPr>
        <w:t xml:space="preserve">, indicating that </w:t>
      </w:r>
      <w:r w:rsidRPr="00B85297">
        <w:rPr>
          <w:rStyle w:val="Strong"/>
          <w:b w:val="0"/>
          <w:bCs w:val="0"/>
          <w:sz w:val="20"/>
          <w:szCs w:val="20"/>
        </w:rPr>
        <w:t>water</w:t>
      </w:r>
      <w:r w:rsidR="00AC6078">
        <w:rPr>
          <w:rStyle w:val="Strong"/>
          <w:b w:val="0"/>
          <w:bCs w:val="0"/>
          <w:sz w:val="20"/>
          <w:szCs w:val="20"/>
        </w:rPr>
        <w:t xml:space="preserve"> </w:t>
      </w:r>
      <w:r w:rsidRPr="00B85297">
        <w:rPr>
          <w:rStyle w:val="Strong"/>
          <w:b w:val="0"/>
          <w:bCs w:val="0"/>
          <w:sz w:val="20"/>
          <w:szCs w:val="20"/>
        </w:rPr>
        <w:t>rock interaction</w:t>
      </w:r>
      <w:r w:rsidR="00AC6078">
        <w:rPr>
          <w:sz w:val="20"/>
          <w:szCs w:val="20"/>
        </w:rPr>
        <w:t xml:space="preserve"> </w:t>
      </w:r>
      <w:r w:rsidRPr="00B85297">
        <w:rPr>
          <w:sz w:val="20"/>
          <w:szCs w:val="20"/>
        </w:rPr>
        <w:t>mainly dissolution of silicate, carbonate, and feldspar minerals</w:t>
      </w:r>
      <w:r w:rsidR="00571BA1">
        <w:rPr>
          <w:sz w:val="20"/>
          <w:szCs w:val="20"/>
        </w:rPr>
        <w:t xml:space="preserve"> </w:t>
      </w:r>
      <w:r w:rsidRPr="00B85297">
        <w:rPr>
          <w:sz w:val="20"/>
          <w:szCs w:val="20"/>
        </w:rPr>
        <w:t xml:space="preserve">is the primary process governing groundwater quality. A smaller portion, around </w:t>
      </w:r>
      <w:r w:rsidRPr="00B85297">
        <w:rPr>
          <w:rStyle w:val="Strong"/>
          <w:b w:val="0"/>
          <w:bCs w:val="0"/>
          <w:sz w:val="20"/>
          <w:szCs w:val="20"/>
        </w:rPr>
        <w:t>10–15%</w:t>
      </w:r>
      <w:r w:rsidRPr="00B85297">
        <w:rPr>
          <w:sz w:val="20"/>
          <w:szCs w:val="20"/>
        </w:rPr>
        <w:t xml:space="preserve">, plots toward the </w:t>
      </w:r>
      <w:r w:rsidRPr="00B85297">
        <w:rPr>
          <w:rStyle w:val="Strong"/>
          <w:b w:val="0"/>
          <w:bCs w:val="0"/>
          <w:sz w:val="20"/>
          <w:szCs w:val="20"/>
        </w:rPr>
        <w:t>precipitation dominance zone</w:t>
      </w:r>
      <w:r w:rsidRPr="00B85297">
        <w:rPr>
          <w:sz w:val="20"/>
          <w:szCs w:val="20"/>
        </w:rPr>
        <w:t xml:space="preserve">, reflecting recharge from rainfall with comparatively low mineral content. Only about </w:t>
      </w:r>
      <w:r w:rsidRPr="00B85297">
        <w:rPr>
          <w:rStyle w:val="Strong"/>
          <w:b w:val="0"/>
          <w:bCs w:val="0"/>
          <w:sz w:val="20"/>
          <w:szCs w:val="20"/>
        </w:rPr>
        <w:t>2–5% of samples</w:t>
      </w:r>
      <w:r w:rsidRPr="00B85297">
        <w:rPr>
          <w:sz w:val="20"/>
          <w:szCs w:val="20"/>
        </w:rPr>
        <w:t xml:space="preserve"> show trends toward the </w:t>
      </w:r>
      <w:r w:rsidRPr="00B85297">
        <w:rPr>
          <w:rStyle w:val="Strong"/>
          <w:b w:val="0"/>
          <w:bCs w:val="0"/>
          <w:sz w:val="20"/>
          <w:szCs w:val="20"/>
        </w:rPr>
        <w:t>evaporation dominance zone</w:t>
      </w:r>
      <w:r w:rsidRPr="00B85297">
        <w:rPr>
          <w:sz w:val="20"/>
          <w:szCs w:val="20"/>
        </w:rPr>
        <w:t>, suggesting minimal influence of evaporative concentration in the region.</w:t>
      </w:r>
    </w:p>
    <w:p w14:paraId="5E9E98BE" w14:textId="77777777" w:rsidR="00B85297" w:rsidRPr="00B85297" w:rsidRDefault="00B85297" w:rsidP="00B85297">
      <w:pPr>
        <w:pStyle w:val="NormalWeb"/>
        <w:ind w:right="-330"/>
        <w:jc w:val="both"/>
        <w:rPr>
          <w:sz w:val="20"/>
          <w:szCs w:val="20"/>
        </w:rPr>
      </w:pPr>
      <w:r w:rsidRPr="00B85297">
        <w:rPr>
          <w:noProof/>
          <w:sz w:val="20"/>
          <w:szCs w:val="20"/>
          <w14:ligatures w14:val="standardContextual"/>
        </w:rPr>
        <w:drawing>
          <wp:inline distT="0" distB="0" distL="0" distR="0" wp14:anchorId="082A105A" wp14:editId="50C1FB9A">
            <wp:extent cx="2781300" cy="2743200"/>
            <wp:effectExtent l="0" t="0" r="0" b="0"/>
            <wp:docPr id="336232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232608" name="Picture 33623260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81300" cy="2743200"/>
                    </a:xfrm>
                    <a:prstGeom prst="rect">
                      <a:avLst/>
                    </a:prstGeom>
                  </pic:spPr>
                </pic:pic>
              </a:graphicData>
            </a:graphic>
          </wp:inline>
        </w:drawing>
      </w:r>
      <w:r w:rsidRPr="00B85297">
        <w:rPr>
          <w:noProof/>
          <w:sz w:val="20"/>
          <w:szCs w:val="20"/>
          <w14:ligatures w14:val="standardContextual"/>
        </w:rPr>
        <w:drawing>
          <wp:inline distT="0" distB="0" distL="0" distR="0" wp14:anchorId="3CDE118C" wp14:editId="2E53F017">
            <wp:extent cx="2705100" cy="2743200"/>
            <wp:effectExtent l="0" t="0" r="0" b="0"/>
            <wp:docPr id="20488619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861925" name="Picture 204886192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5100" cy="2743200"/>
                    </a:xfrm>
                    <a:prstGeom prst="rect">
                      <a:avLst/>
                    </a:prstGeom>
                  </pic:spPr>
                </pic:pic>
              </a:graphicData>
            </a:graphic>
          </wp:inline>
        </w:drawing>
      </w:r>
    </w:p>
    <w:p w14:paraId="05569415" w14:textId="6C19992C" w:rsidR="00B85297" w:rsidRPr="00B85297" w:rsidRDefault="00B85297" w:rsidP="004A0FBB">
      <w:pPr>
        <w:pStyle w:val="NormalWeb"/>
        <w:ind w:right="-330"/>
        <w:jc w:val="center"/>
        <w:rPr>
          <w:sz w:val="20"/>
          <w:szCs w:val="20"/>
        </w:rPr>
      </w:pPr>
      <w:r w:rsidRPr="00B85297">
        <w:rPr>
          <w:sz w:val="20"/>
          <w:szCs w:val="20"/>
        </w:rPr>
        <w:t xml:space="preserve">Fig. </w:t>
      </w:r>
      <w:r w:rsidR="00CE3EB6">
        <w:rPr>
          <w:sz w:val="20"/>
          <w:szCs w:val="20"/>
        </w:rPr>
        <w:t>4</w:t>
      </w:r>
      <w:r w:rsidRPr="00B85297">
        <w:rPr>
          <w:sz w:val="20"/>
          <w:szCs w:val="20"/>
        </w:rPr>
        <w:t>. Plotting in Gibbs diagram for cations and anions vs TDS</w:t>
      </w:r>
    </w:p>
    <w:p w14:paraId="657BA20C" w14:textId="77777777" w:rsidR="00B85297" w:rsidRPr="00B85297" w:rsidRDefault="00B85297" w:rsidP="00B85297">
      <w:pPr>
        <w:pStyle w:val="NormalWeb"/>
        <w:ind w:right="-330"/>
        <w:jc w:val="both"/>
        <w:rPr>
          <w:sz w:val="20"/>
          <w:szCs w:val="20"/>
        </w:rPr>
      </w:pPr>
    </w:p>
    <w:p w14:paraId="7B561F30" w14:textId="77777777" w:rsidR="00B85297" w:rsidRPr="00B85297" w:rsidRDefault="00B85297" w:rsidP="00B85297">
      <w:pPr>
        <w:pStyle w:val="NormalWeb"/>
        <w:ind w:right="-330"/>
        <w:jc w:val="both"/>
        <w:rPr>
          <w:sz w:val="20"/>
          <w:szCs w:val="20"/>
        </w:rPr>
      </w:pPr>
      <w:r w:rsidRPr="00B85297">
        <w:rPr>
          <w:sz w:val="20"/>
          <w:szCs w:val="20"/>
        </w:rPr>
        <w:t xml:space="preserve">When compared with drinking-water standards, around </w:t>
      </w:r>
      <w:r w:rsidRPr="00B85297">
        <w:rPr>
          <w:rStyle w:val="Strong"/>
          <w:b w:val="0"/>
          <w:bCs w:val="0"/>
          <w:sz w:val="20"/>
          <w:szCs w:val="20"/>
        </w:rPr>
        <w:t>65–70% of the samples</w:t>
      </w:r>
      <w:r w:rsidRPr="00B85297">
        <w:rPr>
          <w:sz w:val="20"/>
          <w:szCs w:val="20"/>
        </w:rPr>
        <w:t xml:space="preserve"> exhibit </w:t>
      </w:r>
      <w:r w:rsidRPr="00B85297">
        <w:rPr>
          <w:rStyle w:val="Strong"/>
          <w:b w:val="0"/>
          <w:bCs w:val="0"/>
          <w:sz w:val="20"/>
          <w:szCs w:val="20"/>
        </w:rPr>
        <w:t>TDS values above the desirable BIS limit of 500 mg/L</w:t>
      </w:r>
      <w:r w:rsidRPr="00B85297">
        <w:rPr>
          <w:sz w:val="20"/>
          <w:szCs w:val="20"/>
        </w:rPr>
        <w:t xml:space="preserve">, but </w:t>
      </w:r>
      <w:r w:rsidRPr="00B85297">
        <w:rPr>
          <w:rStyle w:val="Strong"/>
          <w:b w:val="0"/>
          <w:bCs w:val="0"/>
          <w:sz w:val="20"/>
          <w:szCs w:val="20"/>
        </w:rPr>
        <w:t>all samples remain within the BIS permissible limit of 2000 mg/L</w:t>
      </w:r>
      <w:r w:rsidRPr="00B85297">
        <w:rPr>
          <w:sz w:val="20"/>
          <w:szCs w:val="20"/>
        </w:rPr>
        <w:t xml:space="preserve">. Under WHO (2012) guidelines, approximately </w:t>
      </w:r>
      <w:r w:rsidRPr="00B85297">
        <w:rPr>
          <w:rStyle w:val="Strong"/>
          <w:b w:val="0"/>
          <w:bCs w:val="0"/>
          <w:sz w:val="20"/>
          <w:szCs w:val="20"/>
        </w:rPr>
        <w:t>30–35% of samples</w:t>
      </w:r>
      <w:r w:rsidRPr="00B85297">
        <w:rPr>
          <w:sz w:val="20"/>
          <w:szCs w:val="20"/>
        </w:rPr>
        <w:t xml:space="preserve"> exceed </w:t>
      </w:r>
      <w:r w:rsidRPr="00B85297">
        <w:rPr>
          <w:rStyle w:val="Strong"/>
          <w:b w:val="0"/>
          <w:bCs w:val="0"/>
          <w:sz w:val="20"/>
          <w:szCs w:val="20"/>
        </w:rPr>
        <w:t>1000 mg/L</w:t>
      </w:r>
      <w:r w:rsidRPr="00B85297">
        <w:rPr>
          <w:sz w:val="20"/>
          <w:szCs w:val="20"/>
        </w:rPr>
        <w:t xml:space="preserve">, which may slightly affect taste but does not pose direct health concerns. The dominance of rock-weathering processes in the Gibbs diagram aligns with these elevated TDS values and indicates that the major ions originate from natural geogenic sources rather than anthropogenic pollution. Overall, the Gibbs plots confirm that groundwater chemistry is controlled primarily by </w:t>
      </w:r>
      <w:r w:rsidRPr="00B85297">
        <w:rPr>
          <w:rStyle w:val="Strong"/>
          <w:b w:val="0"/>
          <w:bCs w:val="0"/>
          <w:sz w:val="20"/>
          <w:szCs w:val="20"/>
        </w:rPr>
        <w:t>geochemical weathering</w:t>
      </w:r>
      <w:r w:rsidRPr="00B85297">
        <w:rPr>
          <w:sz w:val="20"/>
          <w:szCs w:val="20"/>
        </w:rPr>
        <w:t xml:space="preserve">, and while most samples meet </w:t>
      </w:r>
      <w:r w:rsidRPr="00B85297">
        <w:rPr>
          <w:rStyle w:val="Strong"/>
          <w:b w:val="0"/>
          <w:bCs w:val="0"/>
          <w:sz w:val="20"/>
          <w:szCs w:val="20"/>
        </w:rPr>
        <w:t>BIS and WHO permissible limits</w:t>
      </w:r>
      <w:r w:rsidRPr="00B85297">
        <w:rPr>
          <w:sz w:val="20"/>
          <w:szCs w:val="20"/>
        </w:rPr>
        <w:t>, a significant proportion exceeds desirable limits, requiring consideration for domestic suitability.</w:t>
      </w:r>
    </w:p>
    <w:p w14:paraId="732C22DB" w14:textId="31F7674E" w:rsidR="00B85297" w:rsidRDefault="00B85297" w:rsidP="00B85297">
      <w:pPr>
        <w:pStyle w:val="NormalWeb"/>
        <w:ind w:right="-330"/>
        <w:jc w:val="both"/>
        <w:rPr>
          <w:b/>
          <w:bCs/>
          <w:kern w:val="36"/>
          <w:sz w:val="20"/>
          <w:szCs w:val="20"/>
        </w:rPr>
      </w:pPr>
      <w:r w:rsidRPr="00B85297">
        <w:rPr>
          <w:b/>
          <w:bCs/>
          <w:kern w:val="36"/>
          <w:sz w:val="20"/>
          <w:szCs w:val="20"/>
        </w:rPr>
        <w:t>Conclusion</w:t>
      </w:r>
    </w:p>
    <w:p w14:paraId="24CCF519" w14:textId="38246DE3" w:rsidR="00B85297" w:rsidRDefault="00B85297" w:rsidP="007D52B4">
      <w:pPr>
        <w:pStyle w:val="NormalWeb"/>
        <w:ind w:right="-330"/>
        <w:jc w:val="both"/>
        <w:rPr>
          <w:sz w:val="20"/>
          <w:szCs w:val="20"/>
        </w:rPr>
      </w:pPr>
      <w:r w:rsidRPr="007D52B4">
        <w:rPr>
          <w:sz w:val="20"/>
          <w:szCs w:val="20"/>
        </w:rPr>
        <w:t xml:space="preserve">The </w:t>
      </w:r>
      <w:proofErr w:type="spellStart"/>
      <w:r w:rsidRPr="007D52B4">
        <w:rPr>
          <w:sz w:val="20"/>
          <w:szCs w:val="20"/>
        </w:rPr>
        <w:t>hydrochemical</w:t>
      </w:r>
      <w:proofErr w:type="spellEnd"/>
      <w:r w:rsidRPr="007D52B4">
        <w:rPr>
          <w:sz w:val="20"/>
          <w:szCs w:val="20"/>
        </w:rPr>
        <w:t xml:space="preserve"> assessment </w:t>
      </w:r>
      <w:r w:rsidR="007D52B4" w:rsidRPr="007D52B4">
        <w:rPr>
          <w:sz w:val="20"/>
          <w:szCs w:val="20"/>
        </w:rPr>
        <w:t>of Groundwater quality in the Lower Papagni Basin is primarily governed by rock–water interaction processes [</w:t>
      </w:r>
      <w:r w:rsidR="007D52B4">
        <w:rPr>
          <w:sz w:val="20"/>
          <w:szCs w:val="20"/>
        </w:rPr>
        <w:t>9</w:t>
      </w:r>
      <w:r w:rsidR="007D52B4" w:rsidRPr="007D52B4">
        <w:rPr>
          <w:sz w:val="20"/>
          <w:szCs w:val="20"/>
        </w:rPr>
        <w:t>,</w:t>
      </w:r>
      <w:r w:rsidR="007D52B4">
        <w:rPr>
          <w:sz w:val="20"/>
          <w:szCs w:val="20"/>
        </w:rPr>
        <w:t>12</w:t>
      </w:r>
      <w:r w:rsidR="007D52B4" w:rsidRPr="007D52B4">
        <w:rPr>
          <w:sz w:val="20"/>
          <w:szCs w:val="20"/>
        </w:rPr>
        <w:t>].</w:t>
      </w:r>
      <w:r w:rsidR="007D52B4">
        <w:rPr>
          <w:sz w:val="20"/>
          <w:szCs w:val="20"/>
        </w:rPr>
        <w:t xml:space="preserve"> </w:t>
      </w:r>
      <w:r w:rsidRPr="00B85297">
        <w:rPr>
          <w:sz w:val="20"/>
          <w:szCs w:val="20"/>
        </w:rPr>
        <w:t>Fluoride and nitrate emerge as key contaminants of concern in certain pockets. Although groundwater is generally suitable to moderately suitable for irrigation, its potability is compromised in fluoride- and nitrate-affected zones.</w:t>
      </w:r>
      <w:r w:rsidR="00A84B12">
        <w:rPr>
          <w:sz w:val="20"/>
          <w:szCs w:val="20"/>
        </w:rPr>
        <w:t xml:space="preserve"> </w:t>
      </w:r>
      <w:r w:rsidRPr="00B85297">
        <w:rPr>
          <w:sz w:val="20"/>
          <w:szCs w:val="20"/>
        </w:rPr>
        <w:t>GIS-based spatial modelling effectively delineates contamination zones and supports decision-making for groundwater management. Regular monitoring, artificial recharge, controlled fertilizer use, and community-level fluoride mitigation measures are strongly recommended.</w:t>
      </w:r>
    </w:p>
    <w:p w14:paraId="0A2CAC8C" w14:textId="77777777" w:rsidR="004C132F" w:rsidRPr="004C132F" w:rsidRDefault="004C132F" w:rsidP="004C132F">
      <w:pPr>
        <w:spacing w:before="100" w:beforeAutospacing="1" w:after="100" w:afterAutospacing="1"/>
        <w:ind w:right="-330"/>
        <w:jc w:val="both"/>
        <w:rPr>
          <w:b/>
          <w:bCs/>
          <w:sz w:val="20"/>
          <w:szCs w:val="20"/>
        </w:rPr>
      </w:pPr>
      <w:r w:rsidRPr="004C132F">
        <w:rPr>
          <w:b/>
          <w:bCs/>
          <w:sz w:val="20"/>
          <w:szCs w:val="20"/>
        </w:rPr>
        <w:t xml:space="preserve">6. References </w:t>
      </w:r>
    </w:p>
    <w:p w14:paraId="6342A257" w14:textId="4F9C6543" w:rsidR="002F6D65" w:rsidRPr="005B3E99" w:rsidRDefault="002F6D65" w:rsidP="005B3E99">
      <w:pPr>
        <w:pStyle w:val="ListParagraph"/>
        <w:numPr>
          <w:ilvl w:val="0"/>
          <w:numId w:val="1"/>
        </w:numPr>
        <w:spacing w:before="100" w:beforeAutospacing="1" w:after="100" w:afterAutospacing="1"/>
        <w:ind w:right="-330"/>
        <w:jc w:val="both"/>
        <w:rPr>
          <w:sz w:val="22"/>
          <w:szCs w:val="22"/>
        </w:rPr>
      </w:pPr>
      <w:r w:rsidRPr="005B3E99">
        <w:rPr>
          <w:sz w:val="22"/>
          <w:szCs w:val="22"/>
        </w:rPr>
        <w:t xml:space="preserve">American Public Health Association (APHA). (2017). </w:t>
      </w:r>
      <w:r w:rsidRPr="005B3E99">
        <w:rPr>
          <w:i/>
          <w:iCs/>
          <w:sz w:val="22"/>
          <w:szCs w:val="22"/>
        </w:rPr>
        <w:t>Standard methods for the examination of water and wastewater</w:t>
      </w:r>
      <w:r w:rsidRPr="005B3E99">
        <w:rPr>
          <w:sz w:val="22"/>
          <w:szCs w:val="22"/>
        </w:rPr>
        <w:t xml:space="preserve"> (23rd ed.). American Public Health Association, Washington, DC.</w:t>
      </w:r>
    </w:p>
    <w:p w14:paraId="0E5AC012" w14:textId="77777777" w:rsidR="002F6D65" w:rsidRPr="005B3E99" w:rsidRDefault="002F6D65" w:rsidP="005B3E99">
      <w:pPr>
        <w:pStyle w:val="ListParagraph"/>
        <w:numPr>
          <w:ilvl w:val="0"/>
          <w:numId w:val="1"/>
        </w:numPr>
        <w:spacing w:before="100" w:beforeAutospacing="1" w:after="100" w:afterAutospacing="1"/>
        <w:ind w:right="-330"/>
        <w:jc w:val="both"/>
        <w:rPr>
          <w:sz w:val="22"/>
          <w:szCs w:val="22"/>
        </w:rPr>
      </w:pPr>
      <w:r w:rsidRPr="005B3E99">
        <w:rPr>
          <w:sz w:val="22"/>
          <w:szCs w:val="22"/>
        </w:rPr>
        <w:t xml:space="preserve">Appelo, C. A. J., &amp; Postma, D. (2005). </w:t>
      </w:r>
      <w:r w:rsidRPr="005B3E99">
        <w:rPr>
          <w:i/>
          <w:iCs/>
          <w:sz w:val="22"/>
          <w:szCs w:val="22"/>
        </w:rPr>
        <w:t>Geochemistry, groundwater and pollution</w:t>
      </w:r>
      <w:r w:rsidRPr="005B3E99">
        <w:rPr>
          <w:sz w:val="22"/>
          <w:szCs w:val="22"/>
        </w:rPr>
        <w:t xml:space="preserve"> (2nd ed.). A.A. Balkema Publishers.</w:t>
      </w:r>
    </w:p>
    <w:p w14:paraId="4A872B8F" w14:textId="77777777" w:rsidR="002F6D65" w:rsidRPr="004C132F" w:rsidRDefault="002F6D65" w:rsidP="005B3E99">
      <w:pPr>
        <w:numPr>
          <w:ilvl w:val="0"/>
          <w:numId w:val="1"/>
        </w:numPr>
        <w:spacing w:before="100" w:beforeAutospacing="1" w:after="100" w:afterAutospacing="1"/>
        <w:ind w:right="-330"/>
        <w:jc w:val="both"/>
        <w:rPr>
          <w:sz w:val="22"/>
          <w:szCs w:val="22"/>
        </w:rPr>
      </w:pPr>
      <w:r w:rsidRPr="004C132F">
        <w:rPr>
          <w:sz w:val="22"/>
          <w:szCs w:val="22"/>
        </w:rPr>
        <w:lastRenderedPageBreak/>
        <w:t xml:space="preserve">Babu, R. R. (2025). Geochemistry of Fluoride Rich Groundwater in Kolar and Tumkur Districts of Karnataka, India. </w:t>
      </w:r>
      <w:r w:rsidRPr="004C132F">
        <w:rPr>
          <w:i/>
          <w:iCs/>
          <w:sz w:val="22"/>
          <w:szCs w:val="22"/>
        </w:rPr>
        <w:t>Environmental Earth Sciences, v.61</w:t>
      </w:r>
      <w:r w:rsidRPr="004C132F">
        <w:rPr>
          <w:sz w:val="22"/>
          <w:szCs w:val="22"/>
        </w:rPr>
        <w:t>, pp.131–142.</w:t>
      </w:r>
    </w:p>
    <w:p w14:paraId="3E9EEF8E" w14:textId="77777777" w:rsidR="002F6D65" w:rsidRPr="004C132F" w:rsidRDefault="002F6D65" w:rsidP="005B3E99">
      <w:pPr>
        <w:numPr>
          <w:ilvl w:val="0"/>
          <w:numId w:val="1"/>
        </w:numPr>
        <w:spacing w:before="100" w:beforeAutospacing="1" w:after="100" w:afterAutospacing="1"/>
        <w:ind w:right="-330"/>
        <w:jc w:val="both"/>
        <w:rPr>
          <w:sz w:val="22"/>
          <w:szCs w:val="22"/>
        </w:rPr>
      </w:pPr>
      <w:r w:rsidRPr="004C132F">
        <w:rPr>
          <w:sz w:val="22"/>
          <w:szCs w:val="22"/>
        </w:rPr>
        <w:t xml:space="preserve">Bahri, D., </w:t>
      </w:r>
      <w:proofErr w:type="spellStart"/>
      <w:r w:rsidRPr="004C132F">
        <w:rPr>
          <w:sz w:val="22"/>
          <w:szCs w:val="22"/>
        </w:rPr>
        <w:t>Dasarathy</w:t>
      </w:r>
      <w:proofErr w:type="spellEnd"/>
      <w:r w:rsidRPr="004C132F">
        <w:rPr>
          <w:sz w:val="22"/>
          <w:szCs w:val="22"/>
        </w:rPr>
        <w:t xml:space="preserve">, A. K. and Krishna, G. (2025). Assessment of groundwater quality in Bangalore Rural district: A decadal analysis (2015–2024). </w:t>
      </w:r>
      <w:r w:rsidRPr="004C132F">
        <w:rPr>
          <w:i/>
          <w:iCs/>
          <w:sz w:val="22"/>
          <w:szCs w:val="22"/>
        </w:rPr>
        <w:t>Pure and Applied Chemistry, v.97</w:t>
      </w:r>
      <w:r w:rsidRPr="004C132F">
        <w:rPr>
          <w:sz w:val="22"/>
          <w:szCs w:val="22"/>
        </w:rPr>
        <w:t>, pp.1125–1140.</w:t>
      </w:r>
    </w:p>
    <w:p w14:paraId="7258F5EC" w14:textId="77777777" w:rsidR="002F6D65" w:rsidRPr="005B3E99" w:rsidRDefault="002F6D65" w:rsidP="005B3E99">
      <w:pPr>
        <w:pStyle w:val="ListParagraph"/>
        <w:numPr>
          <w:ilvl w:val="0"/>
          <w:numId w:val="1"/>
        </w:numPr>
        <w:spacing w:before="100" w:beforeAutospacing="1" w:after="100" w:afterAutospacing="1"/>
        <w:ind w:right="-330"/>
        <w:jc w:val="both"/>
        <w:rPr>
          <w:sz w:val="22"/>
          <w:szCs w:val="22"/>
        </w:rPr>
      </w:pPr>
      <w:r w:rsidRPr="005B3E99">
        <w:rPr>
          <w:sz w:val="22"/>
          <w:szCs w:val="22"/>
        </w:rPr>
        <w:t xml:space="preserve">Brown, R. M., McClelland, N. I., Deininger, R. A., &amp; Tozer, R. G. (1972). A water quality index – Do we dare? </w:t>
      </w:r>
      <w:r w:rsidRPr="005B3E99">
        <w:rPr>
          <w:i/>
          <w:iCs/>
          <w:sz w:val="22"/>
          <w:szCs w:val="22"/>
        </w:rPr>
        <w:t>Water and Sewage Works</w:t>
      </w:r>
      <w:r w:rsidRPr="005B3E99">
        <w:rPr>
          <w:sz w:val="22"/>
          <w:szCs w:val="22"/>
        </w:rPr>
        <w:t>, 117(10), 339–343.</w:t>
      </w:r>
    </w:p>
    <w:p w14:paraId="59DF48AF" w14:textId="77777777" w:rsidR="002F6D65" w:rsidRPr="005B3E99" w:rsidRDefault="002F6D65" w:rsidP="005B3E99">
      <w:pPr>
        <w:pStyle w:val="ListParagraph"/>
        <w:numPr>
          <w:ilvl w:val="0"/>
          <w:numId w:val="1"/>
        </w:numPr>
        <w:spacing w:before="100" w:beforeAutospacing="1" w:after="100" w:afterAutospacing="1"/>
        <w:ind w:right="-330"/>
        <w:jc w:val="both"/>
        <w:rPr>
          <w:sz w:val="22"/>
          <w:szCs w:val="22"/>
        </w:rPr>
      </w:pPr>
      <w:r w:rsidRPr="005B3E99">
        <w:rPr>
          <w:sz w:val="22"/>
          <w:szCs w:val="22"/>
        </w:rPr>
        <w:t xml:space="preserve">Bureau of Indian Standards (BIS). (2012). </w:t>
      </w:r>
      <w:r w:rsidRPr="005B3E99">
        <w:rPr>
          <w:i/>
          <w:iCs/>
          <w:sz w:val="22"/>
          <w:szCs w:val="22"/>
        </w:rPr>
        <w:t>Indian standard drinking water specification (IS 10500:2012)</w:t>
      </w:r>
      <w:r w:rsidRPr="005B3E99">
        <w:rPr>
          <w:sz w:val="22"/>
          <w:szCs w:val="22"/>
        </w:rPr>
        <w:t>. Bureau of Indian Standards, New Delhi.</w:t>
      </w:r>
    </w:p>
    <w:p w14:paraId="45FC8A11" w14:textId="3AB6F46D" w:rsidR="002F6D65" w:rsidRPr="004C132F" w:rsidRDefault="002F6D65" w:rsidP="005B3E99">
      <w:pPr>
        <w:numPr>
          <w:ilvl w:val="0"/>
          <w:numId w:val="1"/>
        </w:numPr>
        <w:spacing w:before="100" w:beforeAutospacing="1" w:after="100" w:afterAutospacing="1"/>
        <w:ind w:right="-330"/>
        <w:jc w:val="both"/>
        <w:rPr>
          <w:sz w:val="22"/>
          <w:szCs w:val="22"/>
        </w:rPr>
      </w:pPr>
      <w:r w:rsidRPr="004C132F">
        <w:rPr>
          <w:sz w:val="22"/>
          <w:szCs w:val="22"/>
        </w:rPr>
        <w:t xml:space="preserve">Central Ground Water Board (CGWB). (2024). </w:t>
      </w:r>
      <w:r w:rsidRPr="004C132F">
        <w:rPr>
          <w:i/>
          <w:iCs/>
          <w:sz w:val="22"/>
          <w:szCs w:val="22"/>
        </w:rPr>
        <w:t>Dynamic Ground Water Resources and Ground Water Quality of Karnataka (</w:t>
      </w:r>
      <w:r w:rsidRPr="004C132F">
        <w:rPr>
          <w:sz w:val="22"/>
          <w:szCs w:val="22"/>
        </w:rPr>
        <w:t>CGWB Report).</w:t>
      </w:r>
    </w:p>
    <w:p w14:paraId="0449840C" w14:textId="77777777" w:rsidR="002F6D65" w:rsidRPr="005B3E99" w:rsidRDefault="002F6D65" w:rsidP="005B3E99">
      <w:pPr>
        <w:pStyle w:val="ListParagraph"/>
        <w:numPr>
          <w:ilvl w:val="0"/>
          <w:numId w:val="1"/>
        </w:numPr>
        <w:spacing w:before="100" w:beforeAutospacing="1" w:after="100" w:afterAutospacing="1"/>
        <w:ind w:right="-330"/>
        <w:jc w:val="both"/>
        <w:rPr>
          <w:sz w:val="22"/>
          <w:szCs w:val="22"/>
        </w:rPr>
      </w:pPr>
      <w:r w:rsidRPr="005B3E99">
        <w:rPr>
          <w:sz w:val="22"/>
          <w:szCs w:val="22"/>
        </w:rPr>
        <w:t xml:space="preserve">Freeze, R. A., &amp; Cherry, J. A. (1979). </w:t>
      </w:r>
      <w:r w:rsidRPr="005B3E99">
        <w:rPr>
          <w:i/>
          <w:iCs/>
          <w:sz w:val="22"/>
          <w:szCs w:val="22"/>
        </w:rPr>
        <w:t>Groundwater</w:t>
      </w:r>
      <w:r w:rsidRPr="005B3E99">
        <w:rPr>
          <w:sz w:val="22"/>
          <w:szCs w:val="22"/>
        </w:rPr>
        <w:t>. Prentice Hall, Englewood Cliffs, New Jersey.</w:t>
      </w:r>
    </w:p>
    <w:p w14:paraId="37635FCF" w14:textId="77777777" w:rsidR="002F6D65" w:rsidRPr="005B3E99" w:rsidRDefault="002F6D65" w:rsidP="005B3E99">
      <w:pPr>
        <w:pStyle w:val="ListParagraph"/>
        <w:numPr>
          <w:ilvl w:val="0"/>
          <w:numId w:val="1"/>
        </w:numPr>
        <w:spacing w:before="100" w:beforeAutospacing="1" w:after="100" w:afterAutospacing="1"/>
        <w:ind w:right="-330"/>
        <w:jc w:val="both"/>
        <w:rPr>
          <w:sz w:val="22"/>
          <w:szCs w:val="22"/>
        </w:rPr>
      </w:pPr>
      <w:r w:rsidRPr="005B3E99">
        <w:rPr>
          <w:sz w:val="22"/>
          <w:szCs w:val="22"/>
        </w:rPr>
        <w:t xml:space="preserve">Gibbs, R. J. (1970). Mechanisms controlling world water chemistry. </w:t>
      </w:r>
      <w:r w:rsidRPr="005B3E99">
        <w:rPr>
          <w:i/>
          <w:iCs/>
          <w:sz w:val="22"/>
          <w:szCs w:val="22"/>
        </w:rPr>
        <w:t>Science</w:t>
      </w:r>
      <w:r w:rsidRPr="005B3E99">
        <w:rPr>
          <w:sz w:val="22"/>
          <w:szCs w:val="22"/>
        </w:rPr>
        <w:t xml:space="preserve">, 170(3962), 1088–1090. </w:t>
      </w:r>
      <w:hyperlink r:id="rId12" w:tgtFrame="_new" w:history="1">
        <w:r w:rsidRPr="005B3E99">
          <w:rPr>
            <w:color w:val="0000FF"/>
            <w:sz w:val="22"/>
            <w:szCs w:val="22"/>
            <w:u w:val="single"/>
          </w:rPr>
          <w:t>https://doi.org/10.1126/science.170.3962.1088</w:t>
        </w:r>
      </w:hyperlink>
    </w:p>
    <w:p w14:paraId="7A5F68EE" w14:textId="77777777" w:rsidR="002F6D65" w:rsidRPr="004C132F" w:rsidRDefault="002F6D65" w:rsidP="005B3E99">
      <w:pPr>
        <w:numPr>
          <w:ilvl w:val="0"/>
          <w:numId w:val="1"/>
        </w:numPr>
        <w:spacing w:before="100" w:beforeAutospacing="1" w:after="100" w:afterAutospacing="1"/>
        <w:ind w:right="-330"/>
        <w:jc w:val="both"/>
        <w:rPr>
          <w:sz w:val="22"/>
          <w:szCs w:val="22"/>
        </w:rPr>
      </w:pPr>
      <w:proofErr w:type="spellStart"/>
      <w:r w:rsidRPr="004C132F">
        <w:rPr>
          <w:sz w:val="22"/>
          <w:szCs w:val="22"/>
        </w:rPr>
        <w:t>Gulgundi</w:t>
      </w:r>
      <w:proofErr w:type="spellEnd"/>
      <w:r w:rsidRPr="004C132F">
        <w:rPr>
          <w:sz w:val="22"/>
          <w:szCs w:val="22"/>
        </w:rPr>
        <w:t xml:space="preserve">, M. S. and Shetty, A. (2018). Groundwater quality assessment of urban Bengaluru using multivariate statistical techniques. </w:t>
      </w:r>
      <w:r w:rsidRPr="004C132F">
        <w:rPr>
          <w:i/>
          <w:iCs/>
          <w:sz w:val="22"/>
          <w:szCs w:val="22"/>
        </w:rPr>
        <w:t>Applied Water Science, 8</w:t>
      </w:r>
      <w:r w:rsidRPr="004C132F">
        <w:rPr>
          <w:sz w:val="22"/>
          <w:szCs w:val="22"/>
        </w:rPr>
        <w:t>, Article 43, pp.1–14. https://doi.org/10.7007/s13201-018-0684-z</w:t>
      </w:r>
    </w:p>
    <w:p w14:paraId="39495F68" w14:textId="77777777" w:rsidR="002F6D65" w:rsidRPr="005B3E99" w:rsidRDefault="002F6D65" w:rsidP="005B3E99">
      <w:pPr>
        <w:pStyle w:val="ListParagraph"/>
        <w:numPr>
          <w:ilvl w:val="0"/>
          <w:numId w:val="1"/>
        </w:numPr>
        <w:spacing w:before="100" w:beforeAutospacing="1" w:after="100" w:afterAutospacing="1"/>
        <w:ind w:right="-330"/>
        <w:jc w:val="both"/>
        <w:rPr>
          <w:sz w:val="22"/>
          <w:szCs w:val="22"/>
        </w:rPr>
      </w:pPr>
      <w:r w:rsidRPr="005B3E99">
        <w:rPr>
          <w:sz w:val="22"/>
          <w:szCs w:val="22"/>
        </w:rPr>
        <w:t xml:space="preserve">Handa, B. K. (1975). Geochemistry and genesis of fluoride-containing groundwater in India. </w:t>
      </w:r>
      <w:r w:rsidRPr="005B3E99">
        <w:rPr>
          <w:i/>
          <w:iCs/>
          <w:sz w:val="22"/>
          <w:szCs w:val="22"/>
        </w:rPr>
        <w:t>Groundwater</w:t>
      </w:r>
      <w:r w:rsidRPr="005B3E99">
        <w:rPr>
          <w:sz w:val="22"/>
          <w:szCs w:val="22"/>
        </w:rPr>
        <w:t>, 13(3), 275–281. https://doi.org/10.1111/j.1745-6584.1975.tb03086.x</w:t>
      </w:r>
    </w:p>
    <w:p w14:paraId="4EDDF6AA" w14:textId="77777777" w:rsidR="002F6D65" w:rsidRPr="005B3E99" w:rsidRDefault="002F6D65" w:rsidP="005B3E99">
      <w:pPr>
        <w:pStyle w:val="ListParagraph"/>
        <w:numPr>
          <w:ilvl w:val="0"/>
          <w:numId w:val="1"/>
        </w:numPr>
        <w:spacing w:before="100" w:beforeAutospacing="1" w:after="100" w:afterAutospacing="1"/>
        <w:ind w:right="-330"/>
        <w:jc w:val="both"/>
        <w:rPr>
          <w:sz w:val="22"/>
          <w:szCs w:val="22"/>
        </w:rPr>
      </w:pPr>
      <w:r w:rsidRPr="005B3E99">
        <w:rPr>
          <w:sz w:val="22"/>
          <w:szCs w:val="22"/>
        </w:rPr>
        <w:t xml:space="preserve">Hem, J. D. (1985). </w:t>
      </w:r>
      <w:r w:rsidRPr="005B3E99">
        <w:rPr>
          <w:i/>
          <w:iCs/>
          <w:sz w:val="22"/>
          <w:szCs w:val="22"/>
        </w:rPr>
        <w:t>Study and interpretation of the chemical characteristics of natural water</w:t>
      </w:r>
      <w:r w:rsidRPr="005B3E99">
        <w:rPr>
          <w:sz w:val="22"/>
          <w:szCs w:val="22"/>
        </w:rPr>
        <w:t xml:space="preserve"> (3rd ed.). U.S. Geological Survey Water-Supply Paper 2254.</w:t>
      </w:r>
    </w:p>
    <w:p w14:paraId="344CC873" w14:textId="77777777" w:rsidR="002F6D65" w:rsidRPr="004C132F" w:rsidRDefault="002F6D65" w:rsidP="005B3E99">
      <w:pPr>
        <w:numPr>
          <w:ilvl w:val="0"/>
          <w:numId w:val="1"/>
        </w:numPr>
        <w:spacing w:before="100" w:beforeAutospacing="1" w:after="100" w:afterAutospacing="1"/>
        <w:ind w:right="-330"/>
        <w:jc w:val="both"/>
        <w:rPr>
          <w:sz w:val="22"/>
          <w:szCs w:val="22"/>
        </w:rPr>
      </w:pPr>
      <w:r w:rsidRPr="004C132F">
        <w:rPr>
          <w:sz w:val="22"/>
          <w:szCs w:val="22"/>
        </w:rPr>
        <w:t xml:space="preserve">IJRET. (2016). Evaluation of Suitability of Ground Water for Drinking and Its Quality Assessment in </w:t>
      </w:r>
      <w:proofErr w:type="spellStart"/>
      <w:r w:rsidRPr="004C132F">
        <w:rPr>
          <w:sz w:val="22"/>
          <w:szCs w:val="22"/>
        </w:rPr>
        <w:t>Chikkaballapur</w:t>
      </w:r>
      <w:proofErr w:type="spellEnd"/>
      <w:r w:rsidRPr="004C132F">
        <w:rPr>
          <w:sz w:val="22"/>
          <w:szCs w:val="22"/>
        </w:rPr>
        <w:t xml:space="preserve"> District, Karnataka. </w:t>
      </w:r>
      <w:r w:rsidRPr="004C132F">
        <w:rPr>
          <w:i/>
          <w:iCs/>
          <w:sz w:val="22"/>
          <w:szCs w:val="22"/>
        </w:rPr>
        <w:t>International Journal of Research in Engineering and Technology, 05(Special Issue: 18)</w:t>
      </w:r>
      <w:r w:rsidRPr="004C132F">
        <w:rPr>
          <w:sz w:val="22"/>
          <w:szCs w:val="22"/>
        </w:rPr>
        <w:t>, pp.58–63.</w:t>
      </w:r>
    </w:p>
    <w:p w14:paraId="00B2C4D0" w14:textId="77777777" w:rsidR="002F6D65" w:rsidRPr="004C132F" w:rsidRDefault="002F6D65" w:rsidP="005B3E99">
      <w:pPr>
        <w:numPr>
          <w:ilvl w:val="0"/>
          <w:numId w:val="1"/>
        </w:numPr>
        <w:spacing w:before="100" w:beforeAutospacing="1" w:after="100" w:afterAutospacing="1"/>
        <w:ind w:right="-330"/>
        <w:jc w:val="both"/>
        <w:rPr>
          <w:sz w:val="22"/>
          <w:szCs w:val="22"/>
        </w:rPr>
      </w:pPr>
      <w:r w:rsidRPr="004C132F">
        <w:rPr>
          <w:sz w:val="22"/>
          <w:szCs w:val="22"/>
        </w:rPr>
        <w:t xml:space="preserve">India Water Portal. (2012). Influence of Anthropogenic Contamination on Fluoride Concentration in Groundwater: A Study of </w:t>
      </w:r>
      <w:proofErr w:type="spellStart"/>
      <w:r w:rsidRPr="004C132F">
        <w:rPr>
          <w:sz w:val="22"/>
          <w:szCs w:val="22"/>
        </w:rPr>
        <w:t>Mulbagal</w:t>
      </w:r>
      <w:proofErr w:type="spellEnd"/>
      <w:r w:rsidRPr="004C132F">
        <w:rPr>
          <w:sz w:val="22"/>
          <w:szCs w:val="22"/>
        </w:rPr>
        <w:t xml:space="preserve"> Town, Kolar District, Karnataka. </w:t>
      </w:r>
      <w:r w:rsidRPr="004C132F">
        <w:rPr>
          <w:i/>
          <w:iCs/>
          <w:sz w:val="22"/>
          <w:szCs w:val="22"/>
        </w:rPr>
        <w:t>International Journal of Economic and Environment Geology, v.3</w:t>
      </w:r>
      <w:r w:rsidRPr="004C132F">
        <w:rPr>
          <w:sz w:val="22"/>
          <w:szCs w:val="22"/>
        </w:rPr>
        <w:t>(1), pp.24–33.</w:t>
      </w:r>
    </w:p>
    <w:p w14:paraId="65351BA7" w14:textId="77777777" w:rsidR="002F6D65" w:rsidRPr="005B3E99" w:rsidRDefault="002F6D65" w:rsidP="005B3E99">
      <w:pPr>
        <w:pStyle w:val="ListParagraph"/>
        <w:numPr>
          <w:ilvl w:val="0"/>
          <w:numId w:val="1"/>
        </w:numPr>
        <w:spacing w:before="100" w:beforeAutospacing="1" w:after="100" w:afterAutospacing="1"/>
        <w:ind w:right="-330"/>
        <w:jc w:val="both"/>
        <w:rPr>
          <w:sz w:val="22"/>
          <w:szCs w:val="22"/>
        </w:rPr>
      </w:pPr>
      <w:r w:rsidRPr="005B3E99">
        <w:rPr>
          <w:sz w:val="22"/>
          <w:szCs w:val="22"/>
        </w:rPr>
        <w:t xml:space="preserve">Jha, M. K., Chowdhury, A., Chowdary, V. M., &amp; Peiffer, S. (2007). Groundwater management and development by integrated remote sensing and geographic information systems: Prospects and constraints. </w:t>
      </w:r>
      <w:r w:rsidRPr="005B3E99">
        <w:rPr>
          <w:i/>
          <w:iCs/>
          <w:sz w:val="22"/>
          <w:szCs w:val="22"/>
        </w:rPr>
        <w:t>Water Resources Management</w:t>
      </w:r>
      <w:r w:rsidRPr="005B3E99">
        <w:rPr>
          <w:sz w:val="22"/>
          <w:szCs w:val="22"/>
        </w:rPr>
        <w:t>, 21(2), 427–467. https://doi.org/10.1007/s11269-006-9024-4</w:t>
      </w:r>
    </w:p>
    <w:p w14:paraId="4172C96F" w14:textId="77777777" w:rsidR="002F6D65" w:rsidRPr="005B3E99" w:rsidRDefault="002F6D65" w:rsidP="005B3E99">
      <w:pPr>
        <w:pStyle w:val="ListParagraph"/>
        <w:numPr>
          <w:ilvl w:val="0"/>
          <w:numId w:val="1"/>
        </w:numPr>
        <w:spacing w:before="100" w:beforeAutospacing="1" w:after="100" w:afterAutospacing="1"/>
        <w:ind w:right="-330"/>
        <w:jc w:val="both"/>
        <w:rPr>
          <w:sz w:val="22"/>
          <w:szCs w:val="22"/>
        </w:rPr>
      </w:pPr>
      <w:r w:rsidRPr="005B3E99">
        <w:rPr>
          <w:sz w:val="22"/>
          <w:szCs w:val="22"/>
        </w:rPr>
        <w:t xml:space="preserve">Kelley, W. P. (1963). </w:t>
      </w:r>
      <w:r w:rsidRPr="005B3E99">
        <w:rPr>
          <w:i/>
          <w:iCs/>
          <w:sz w:val="22"/>
          <w:szCs w:val="22"/>
        </w:rPr>
        <w:t>Use of saline irrigation water</w:t>
      </w:r>
      <w:r w:rsidRPr="005B3E99">
        <w:rPr>
          <w:sz w:val="22"/>
          <w:szCs w:val="22"/>
        </w:rPr>
        <w:t>. Soil Science Society of America.</w:t>
      </w:r>
    </w:p>
    <w:p w14:paraId="6BA67E9D" w14:textId="77777777" w:rsidR="002F6D65" w:rsidRPr="004C132F" w:rsidRDefault="002F6D65" w:rsidP="005B3E99">
      <w:pPr>
        <w:numPr>
          <w:ilvl w:val="0"/>
          <w:numId w:val="1"/>
        </w:numPr>
        <w:spacing w:before="100" w:beforeAutospacing="1" w:after="100" w:afterAutospacing="1"/>
        <w:ind w:right="-330"/>
        <w:jc w:val="both"/>
        <w:rPr>
          <w:sz w:val="22"/>
          <w:szCs w:val="22"/>
        </w:rPr>
      </w:pPr>
      <w:proofErr w:type="spellStart"/>
      <w:r w:rsidRPr="004C132F">
        <w:rPr>
          <w:sz w:val="22"/>
          <w:szCs w:val="22"/>
        </w:rPr>
        <w:t>Khayum</w:t>
      </w:r>
      <w:proofErr w:type="spellEnd"/>
      <w:r w:rsidRPr="004C132F">
        <w:rPr>
          <w:sz w:val="22"/>
          <w:szCs w:val="22"/>
        </w:rPr>
        <w:t xml:space="preserve">, A. (2025). Assessment of drinking water quality in Bangalore South. </w:t>
      </w:r>
      <w:r w:rsidRPr="004C132F">
        <w:rPr>
          <w:i/>
          <w:iCs/>
          <w:sz w:val="22"/>
          <w:szCs w:val="22"/>
        </w:rPr>
        <w:t>NEPT Journal, v.32(25)</w:t>
      </w:r>
      <w:r w:rsidRPr="004C132F">
        <w:rPr>
          <w:sz w:val="22"/>
          <w:szCs w:val="22"/>
        </w:rPr>
        <w:t>, pp.55–63.</w:t>
      </w:r>
    </w:p>
    <w:p w14:paraId="6D543E53" w14:textId="77777777" w:rsidR="002F6D65" w:rsidRPr="004C132F" w:rsidRDefault="002F6D65" w:rsidP="005B3E99">
      <w:pPr>
        <w:numPr>
          <w:ilvl w:val="0"/>
          <w:numId w:val="1"/>
        </w:numPr>
        <w:spacing w:before="100" w:beforeAutospacing="1" w:after="100" w:afterAutospacing="1"/>
        <w:ind w:right="-330"/>
        <w:jc w:val="both"/>
        <w:rPr>
          <w:sz w:val="22"/>
          <w:szCs w:val="22"/>
        </w:rPr>
      </w:pPr>
      <w:proofErr w:type="spellStart"/>
      <w:r w:rsidRPr="004C132F">
        <w:rPr>
          <w:sz w:val="22"/>
          <w:szCs w:val="22"/>
        </w:rPr>
        <w:t>Khayum</w:t>
      </w:r>
      <w:proofErr w:type="spellEnd"/>
      <w:r w:rsidRPr="004C132F">
        <w:rPr>
          <w:sz w:val="22"/>
          <w:szCs w:val="22"/>
        </w:rPr>
        <w:t xml:space="preserve">, A. and Chandrashekar, J. S. (2011). Assessment of drinking water quality of Bangalore West Zone, India – a case study. </w:t>
      </w:r>
      <w:r w:rsidRPr="004C132F">
        <w:rPr>
          <w:i/>
          <w:iCs/>
          <w:sz w:val="22"/>
          <w:szCs w:val="22"/>
        </w:rPr>
        <w:t>Society for Environment and Development, v.1</w:t>
      </w:r>
      <w:r w:rsidRPr="004C132F">
        <w:rPr>
          <w:sz w:val="22"/>
          <w:szCs w:val="22"/>
        </w:rPr>
        <w:t>, pp.28–35.</w:t>
      </w:r>
    </w:p>
    <w:p w14:paraId="53E7E891" w14:textId="77777777" w:rsidR="002F6D65" w:rsidRPr="004C132F" w:rsidRDefault="002F6D65" w:rsidP="005B3E99">
      <w:pPr>
        <w:numPr>
          <w:ilvl w:val="0"/>
          <w:numId w:val="1"/>
        </w:numPr>
        <w:spacing w:before="100" w:beforeAutospacing="1" w:after="100" w:afterAutospacing="1"/>
        <w:ind w:right="-330"/>
        <w:jc w:val="both"/>
        <w:rPr>
          <w:sz w:val="22"/>
          <w:szCs w:val="22"/>
        </w:rPr>
      </w:pPr>
      <w:r w:rsidRPr="004C132F">
        <w:rPr>
          <w:sz w:val="22"/>
          <w:szCs w:val="22"/>
        </w:rPr>
        <w:t xml:space="preserve">Krishnappa, S. M., Sadashivaiah, C. and Ananda, K. D. (2023). Evaluation of Groundwater Suitability for Drinking Purposes Using GIS and WQI in </w:t>
      </w:r>
      <w:proofErr w:type="spellStart"/>
      <w:r w:rsidRPr="004C132F">
        <w:rPr>
          <w:sz w:val="22"/>
          <w:szCs w:val="22"/>
        </w:rPr>
        <w:t>Chikkaballapura</w:t>
      </w:r>
      <w:proofErr w:type="spellEnd"/>
      <w:r w:rsidRPr="004C132F">
        <w:rPr>
          <w:sz w:val="22"/>
          <w:szCs w:val="22"/>
        </w:rPr>
        <w:t xml:space="preserve"> Taluk, Karnataka, India. </w:t>
      </w:r>
      <w:r w:rsidRPr="004C132F">
        <w:rPr>
          <w:i/>
          <w:iCs/>
          <w:sz w:val="22"/>
          <w:szCs w:val="22"/>
        </w:rPr>
        <w:t>Asian Journal of Water, Environment and Pollution, v.20</w:t>
      </w:r>
      <w:r w:rsidRPr="004C132F">
        <w:rPr>
          <w:sz w:val="22"/>
          <w:szCs w:val="22"/>
        </w:rPr>
        <w:t>(6), pp.19–27. https://doi.org/10.3233/AJW230075</w:t>
      </w:r>
    </w:p>
    <w:p w14:paraId="02D1EA9B" w14:textId="77777777" w:rsidR="002F6D65" w:rsidRPr="004C132F" w:rsidRDefault="002F6D65" w:rsidP="005B3E99">
      <w:pPr>
        <w:numPr>
          <w:ilvl w:val="0"/>
          <w:numId w:val="1"/>
        </w:numPr>
        <w:spacing w:before="100" w:beforeAutospacing="1" w:after="100" w:afterAutospacing="1"/>
        <w:ind w:right="-330"/>
        <w:jc w:val="both"/>
        <w:rPr>
          <w:sz w:val="22"/>
          <w:szCs w:val="22"/>
        </w:rPr>
      </w:pPr>
      <w:r w:rsidRPr="004C132F">
        <w:rPr>
          <w:sz w:val="22"/>
          <w:szCs w:val="22"/>
        </w:rPr>
        <w:t xml:space="preserve">P. Ravi Kumar, S., Srinivasa Gowd. and C. Krupavathi, C. (2024) Groundwater quality evaluation using water quality index and geospatial techniques in parts of Anantapur District, Andhra Pradesh, South India. </w:t>
      </w:r>
      <w:proofErr w:type="spellStart"/>
      <w:r w:rsidRPr="004C132F">
        <w:rPr>
          <w:i/>
          <w:iCs/>
          <w:sz w:val="22"/>
          <w:szCs w:val="22"/>
        </w:rPr>
        <w:t>HydroResearch</w:t>
      </w:r>
      <w:proofErr w:type="spellEnd"/>
      <w:r w:rsidRPr="004C132F">
        <w:rPr>
          <w:i/>
          <w:iCs/>
          <w:sz w:val="22"/>
          <w:szCs w:val="22"/>
        </w:rPr>
        <w:t>,</w:t>
      </w:r>
      <w:r w:rsidRPr="004C132F">
        <w:rPr>
          <w:sz w:val="22"/>
          <w:szCs w:val="22"/>
        </w:rPr>
        <w:t xml:space="preserve"> v.7, pp.86-98.</w:t>
      </w:r>
    </w:p>
    <w:p w14:paraId="4A21ED50" w14:textId="77777777" w:rsidR="002F6D65" w:rsidRPr="004C132F" w:rsidRDefault="002F6D65" w:rsidP="005B3E99">
      <w:pPr>
        <w:numPr>
          <w:ilvl w:val="0"/>
          <w:numId w:val="1"/>
        </w:numPr>
        <w:spacing w:before="100" w:beforeAutospacing="1" w:after="100" w:afterAutospacing="1"/>
        <w:ind w:right="-330"/>
        <w:jc w:val="both"/>
        <w:rPr>
          <w:sz w:val="22"/>
          <w:szCs w:val="22"/>
        </w:rPr>
      </w:pPr>
      <w:r w:rsidRPr="004C132F">
        <w:rPr>
          <w:sz w:val="22"/>
          <w:szCs w:val="22"/>
        </w:rPr>
        <w:t xml:space="preserve">P. Ravikumar, R. K., Somashekar. and Prakash, K. L. (2015) Suitability Assessment of Deep Groundwater for Drinking and Irrigation Use in the Parts of Hoskote and Malur Taluks, Karnataka (India). </w:t>
      </w:r>
      <w:r w:rsidRPr="004C132F">
        <w:rPr>
          <w:i/>
          <w:iCs/>
          <w:sz w:val="22"/>
          <w:szCs w:val="22"/>
        </w:rPr>
        <w:t>Environmental Research, Engineering and Management,</w:t>
      </w:r>
      <w:r w:rsidRPr="004C132F">
        <w:rPr>
          <w:sz w:val="22"/>
          <w:szCs w:val="22"/>
        </w:rPr>
        <w:t xml:space="preserve"> v.71(1), pp.15-26.</w:t>
      </w:r>
    </w:p>
    <w:p w14:paraId="1299E7F7" w14:textId="77777777" w:rsidR="002F6D65" w:rsidRPr="004C132F" w:rsidRDefault="002F6D65" w:rsidP="005B3E99">
      <w:pPr>
        <w:numPr>
          <w:ilvl w:val="0"/>
          <w:numId w:val="1"/>
        </w:numPr>
        <w:spacing w:before="100" w:beforeAutospacing="1" w:after="100" w:afterAutospacing="1"/>
        <w:ind w:right="-330"/>
        <w:jc w:val="both"/>
        <w:rPr>
          <w:sz w:val="22"/>
          <w:szCs w:val="22"/>
        </w:rPr>
      </w:pPr>
      <w:r w:rsidRPr="004C132F">
        <w:rPr>
          <w:sz w:val="22"/>
          <w:szCs w:val="22"/>
        </w:rPr>
        <w:t xml:space="preserve">Piper, A. M. (1944). A graphical procedure in the geochemical interpretation of water analysis. </w:t>
      </w:r>
      <w:r w:rsidRPr="004C132F">
        <w:rPr>
          <w:i/>
          <w:iCs/>
          <w:sz w:val="22"/>
          <w:szCs w:val="22"/>
        </w:rPr>
        <w:t>Transactions of the American Geophysical Union, v.25</w:t>
      </w:r>
      <w:r w:rsidRPr="004C132F">
        <w:rPr>
          <w:sz w:val="22"/>
          <w:szCs w:val="22"/>
        </w:rPr>
        <w:t>, pp.914–928.</w:t>
      </w:r>
    </w:p>
    <w:p w14:paraId="3564A74D" w14:textId="77777777" w:rsidR="002F6D65" w:rsidRPr="005B3E99" w:rsidRDefault="002F6D65" w:rsidP="005B3E99">
      <w:pPr>
        <w:pStyle w:val="ListParagraph"/>
        <w:numPr>
          <w:ilvl w:val="0"/>
          <w:numId w:val="1"/>
        </w:numPr>
        <w:spacing w:before="100" w:beforeAutospacing="1" w:after="100" w:afterAutospacing="1"/>
        <w:ind w:right="-330"/>
        <w:jc w:val="both"/>
        <w:rPr>
          <w:sz w:val="22"/>
          <w:szCs w:val="22"/>
        </w:rPr>
      </w:pPr>
      <w:proofErr w:type="spellStart"/>
      <w:r w:rsidRPr="005B3E99">
        <w:rPr>
          <w:sz w:val="22"/>
          <w:szCs w:val="22"/>
        </w:rPr>
        <w:t>Ramakrishnaiah</w:t>
      </w:r>
      <w:proofErr w:type="spellEnd"/>
      <w:r w:rsidRPr="005B3E99">
        <w:rPr>
          <w:sz w:val="22"/>
          <w:szCs w:val="22"/>
        </w:rPr>
        <w:t xml:space="preserve">, C. R., </w:t>
      </w:r>
      <w:proofErr w:type="spellStart"/>
      <w:r w:rsidRPr="005B3E99">
        <w:rPr>
          <w:sz w:val="22"/>
          <w:szCs w:val="22"/>
        </w:rPr>
        <w:t>Sadashivaiah</w:t>
      </w:r>
      <w:proofErr w:type="spellEnd"/>
      <w:r w:rsidRPr="005B3E99">
        <w:rPr>
          <w:sz w:val="22"/>
          <w:szCs w:val="22"/>
        </w:rPr>
        <w:t xml:space="preserve">, C., &amp; </w:t>
      </w:r>
      <w:proofErr w:type="spellStart"/>
      <w:r w:rsidRPr="005B3E99">
        <w:rPr>
          <w:sz w:val="22"/>
          <w:szCs w:val="22"/>
        </w:rPr>
        <w:t>Ranganna</w:t>
      </w:r>
      <w:proofErr w:type="spellEnd"/>
      <w:r w:rsidRPr="005B3E99">
        <w:rPr>
          <w:sz w:val="22"/>
          <w:szCs w:val="22"/>
        </w:rPr>
        <w:t xml:space="preserve">, G. (2009). Assessment of water quality index for the groundwater in Tumkur Taluk, Karnataka State, India. </w:t>
      </w:r>
      <w:r w:rsidRPr="005B3E99">
        <w:rPr>
          <w:i/>
          <w:iCs/>
          <w:sz w:val="22"/>
          <w:szCs w:val="22"/>
        </w:rPr>
        <w:t>E-Journal of Chemistry</w:t>
      </w:r>
      <w:r w:rsidRPr="005B3E99">
        <w:rPr>
          <w:sz w:val="22"/>
          <w:szCs w:val="22"/>
        </w:rPr>
        <w:t>, 6(2), 523–530. https://doi.org/10.1155/2009/757424</w:t>
      </w:r>
    </w:p>
    <w:p w14:paraId="71731421" w14:textId="77777777" w:rsidR="002F6D65" w:rsidRPr="005B3E99" w:rsidRDefault="002F6D65" w:rsidP="005B3E99">
      <w:pPr>
        <w:pStyle w:val="ListParagraph"/>
        <w:numPr>
          <w:ilvl w:val="0"/>
          <w:numId w:val="1"/>
        </w:numPr>
        <w:spacing w:before="100" w:beforeAutospacing="1" w:after="100" w:afterAutospacing="1"/>
        <w:ind w:right="-330"/>
        <w:jc w:val="both"/>
        <w:rPr>
          <w:sz w:val="22"/>
          <w:szCs w:val="22"/>
        </w:rPr>
      </w:pPr>
      <w:r w:rsidRPr="005B3E99">
        <w:rPr>
          <w:sz w:val="22"/>
          <w:szCs w:val="22"/>
        </w:rPr>
        <w:t xml:space="preserve">Richards, L. A. (Ed.). (1954). </w:t>
      </w:r>
      <w:r w:rsidRPr="005B3E99">
        <w:rPr>
          <w:i/>
          <w:iCs/>
          <w:sz w:val="22"/>
          <w:szCs w:val="22"/>
        </w:rPr>
        <w:t>Diagnosis and improvement of saline and alkali soils</w:t>
      </w:r>
      <w:r w:rsidRPr="005B3E99">
        <w:rPr>
          <w:sz w:val="22"/>
          <w:szCs w:val="22"/>
        </w:rPr>
        <w:t>. U.S. Department of Agriculture, Agriculture Handbook 60.</w:t>
      </w:r>
    </w:p>
    <w:p w14:paraId="66D82A0D" w14:textId="77777777" w:rsidR="002F6D65" w:rsidRPr="004C132F" w:rsidRDefault="002F6D65" w:rsidP="005B3E99">
      <w:pPr>
        <w:numPr>
          <w:ilvl w:val="0"/>
          <w:numId w:val="1"/>
        </w:numPr>
        <w:spacing w:before="100" w:beforeAutospacing="1" w:after="100" w:afterAutospacing="1"/>
        <w:ind w:right="-330"/>
        <w:jc w:val="both"/>
        <w:rPr>
          <w:sz w:val="22"/>
          <w:szCs w:val="22"/>
        </w:rPr>
      </w:pPr>
      <w:r w:rsidRPr="004C132F">
        <w:rPr>
          <w:sz w:val="22"/>
          <w:szCs w:val="22"/>
        </w:rPr>
        <w:t>Richards, L.A. (1954). Diagnosis and Improvement of Saline and Alkali Soils.</w:t>
      </w:r>
    </w:p>
    <w:p w14:paraId="0DD21C80" w14:textId="77777777" w:rsidR="002F6D65" w:rsidRPr="004C132F" w:rsidRDefault="002F6D65" w:rsidP="005B3E99">
      <w:pPr>
        <w:numPr>
          <w:ilvl w:val="0"/>
          <w:numId w:val="1"/>
        </w:numPr>
        <w:spacing w:before="100" w:beforeAutospacing="1" w:after="100" w:afterAutospacing="1"/>
        <w:ind w:right="-330"/>
        <w:jc w:val="both"/>
        <w:rPr>
          <w:sz w:val="22"/>
          <w:szCs w:val="22"/>
        </w:rPr>
      </w:pPr>
      <w:r w:rsidRPr="004C132F">
        <w:rPr>
          <w:sz w:val="22"/>
          <w:szCs w:val="22"/>
        </w:rPr>
        <w:lastRenderedPageBreak/>
        <w:t xml:space="preserve">Shankar, B. S., Nandini, N., Chandrashekar, J. S., and Durgesh, R. (2017). Impact of industrialization on groundwater quality in </w:t>
      </w:r>
      <w:proofErr w:type="spellStart"/>
      <w:r w:rsidRPr="004C132F">
        <w:rPr>
          <w:sz w:val="22"/>
          <w:szCs w:val="22"/>
        </w:rPr>
        <w:t>Peenya</w:t>
      </w:r>
      <w:proofErr w:type="spellEnd"/>
      <w:r w:rsidRPr="004C132F">
        <w:rPr>
          <w:sz w:val="22"/>
          <w:szCs w:val="22"/>
        </w:rPr>
        <w:t xml:space="preserve"> industrial area, Bangalore, India. </w:t>
      </w:r>
      <w:r w:rsidRPr="004C132F">
        <w:rPr>
          <w:i/>
          <w:iCs/>
          <w:sz w:val="22"/>
          <w:szCs w:val="22"/>
        </w:rPr>
        <w:t>International Journal of Environmental Sciences, 3(4)</w:t>
      </w:r>
      <w:r w:rsidRPr="004C132F">
        <w:rPr>
          <w:sz w:val="22"/>
          <w:szCs w:val="22"/>
        </w:rPr>
        <w:t>, 221–230.</w:t>
      </w:r>
    </w:p>
    <w:p w14:paraId="509C23EE" w14:textId="77777777" w:rsidR="002F6D65" w:rsidRPr="004C132F" w:rsidRDefault="002F6D65" w:rsidP="005B3E99">
      <w:pPr>
        <w:numPr>
          <w:ilvl w:val="0"/>
          <w:numId w:val="1"/>
        </w:numPr>
        <w:spacing w:before="100" w:beforeAutospacing="1" w:after="100" w:afterAutospacing="1"/>
        <w:ind w:right="-330"/>
        <w:jc w:val="both"/>
        <w:rPr>
          <w:sz w:val="22"/>
          <w:szCs w:val="22"/>
        </w:rPr>
      </w:pPr>
      <w:r w:rsidRPr="004C132F">
        <w:rPr>
          <w:sz w:val="22"/>
          <w:szCs w:val="22"/>
        </w:rPr>
        <w:t xml:space="preserve">Shivaprasad, H., Ravichandra, K., Prasanna Kumar, G. R., </w:t>
      </w:r>
      <w:proofErr w:type="spellStart"/>
      <w:r w:rsidRPr="004C132F">
        <w:rPr>
          <w:sz w:val="22"/>
          <w:szCs w:val="22"/>
        </w:rPr>
        <w:t>Kedarraya</w:t>
      </w:r>
      <w:proofErr w:type="spellEnd"/>
      <w:r w:rsidRPr="004C132F">
        <w:rPr>
          <w:sz w:val="22"/>
          <w:szCs w:val="22"/>
        </w:rPr>
        <w:t xml:space="preserve"> </w:t>
      </w:r>
      <w:proofErr w:type="spellStart"/>
      <w:r w:rsidRPr="004C132F">
        <w:rPr>
          <w:sz w:val="22"/>
          <w:szCs w:val="22"/>
        </w:rPr>
        <w:t>Mallanna</w:t>
      </w:r>
      <w:proofErr w:type="spellEnd"/>
      <w:r w:rsidRPr="004C132F">
        <w:rPr>
          <w:sz w:val="22"/>
          <w:szCs w:val="22"/>
        </w:rPr>
        <w:t xml:space="preserve">. and Savita Kubakaddi. (2015) An Assessment of Groundwater Quality Index in Bommasandra, Bengaluru City, Karnataka State, India. International Journal of </w:t>
      </w:r>
      <w:r w:rsidRPr="004C132F">
        <w:rPr>
          <w:i/>
          <w:iCs/>
          <w:sz w:val="22"/>
          <w:szCs w:val="22"/>
        </w:rPr>
        <w:t xml:space="preserve">Engineering Research &amp; Technology, </w:t>
      </w:r>
      <w:r w:rsidRPr="004C132F">
        <w:rPr>
          <w:sz w:val="22"/>
          <w:szCs w:val="22"/>
        </w:rPr>
        <w:t>ISSN: 2278-0181</w:t>
      </w:r>
    </w:p>
    <w:p w14:paraId="111B3B9A" w14:textId="77777777" w:rsidR="002F6D65" w:rsidRPr="004C132F" w:rsidRDefault="002F6D65" w:rsidP="005B3E99">
      <w:pPr>
        <w:numPr>
          <w:ilvl w:val="0"/>
          <w:numId w:val="1"/>
        </w:numPr>
        <w:spacing w:before="100" w:beforeAutospacing="1" w:after="100" w:afterAutospacing="1"/>
        <w:ind w:right="-330"/>
        <w:jc w:val="both"/>
        <w:rPr>
          <w:sz w:val="22"/>
          <w:szCs w:val="22"/>
        </w:rPr>
      </w:pPr>
      <w:r w:rsidRPr="004C132F">
        <w:rPr>
          <w:sz w:val="22"/>
          <w:szCs w:val="22"/>
        </w:rPr>
        <w:t xml:space="preserve">Singh, A.K. and Kumar, S.R. (2014). Quality Assessment of Groundwater for Drinking and Irrigation use in-urban area of Tripura, India. </w:t>
      </w:r>
      <w:r w:rsidRPr="004C132F">
        <w:rPr>
          <w:i/>
          <w:iCs/>
          <w:sz w:val="22"/>
          <w:szCs w:val="22"/>
        </w:rPr>
        <w:t>Ecology, Environment and Conservation.</w:t>
      </w:r>
      <w:r w:rsidRPr="004C132F">
        <w:rPr>
          <w:sz w:val="22"/>
          <w:szCs w:val="22"/>
        </w:rPr>
        <w:t xml:space="preserve"> v,21(1), pp.97-108.</w:t>
      </w:r>
    </w:p>
    <w:p w14:paraId="5CCA4A20" w14:textId="77777777" w:rsidR="002F6D65" w:rsidRPr="004C132F" w:rsidRDefault="002F6D65" w:rsidP="005B3E99">
      <w:pPr>
        <w:numPr>
          <w:ilvl w:val="0"/>
          <w:numId w:val="1"/>
        </w:numPr>
        <w:spacing w:before="100" w:beforeAutospacing="1" w:after="100" w:afterAutospacing="1"/>
        <w:ind w:right="-330"/>
        <w:jc w:val="both"/>
        <w:rPr>
          <w:sz w:val="22"/>
          <w:szCs w:val="22"/>
        </w:rPr>
      </w:pPr>
      <w:r w:rsidRPr="004C132F">
        <w:rPr>
          <w:sz w:val="22"/>
          <w:szCs w:val="22"/>
        </w:rPr>
        <w:t xml:space="preserve">Sridhara M. K., Sadashivaiah, C. and Kiran, D. A. (2022). Spatial Variation and Fluoride Contamination of Drinking Water Using GIS in the </w:t>
      </w:r>
      <w:proofErr w:type="spellStart"/>
      <w:r w:rsidRPr="004C132F">
        <w:rPr>
          <w:sz w:val="22"/>
          <w:szCs w:val="22"/>
        </w:rPr>
        <w:t>Bagepalli</w:t>
      </w:r>
      <w:proofErr w:type="spellEnd"/>
      <w:r w:rsidRPr="004C132F">
        <w:rPr>
          <w:sz w:val="22"/>
          <w:szCs w:val="22"/>
        </w:rPr>
        <w:t xml:space="preserve"> Taluk of </w:t>
      </w:r>
      <w:proofErr w:type="spellStart"/>
      <w:r w:rsidRPr="004C132F">
        <w:rPr>
          <w:sz w:val="22"/>
          <w:szCs w:val="22"/>
        </w:rPr>
        <w:t>Chikkaballapura</w:t>
      </w:r>
      <w:proofErr w:type="spellEnd"/>
      <w:r w:rsidRPr="004C132F">
        <w:rPr>
          <w:sz w:val="22"/>
          <w:szCs w:val="22"/>
        </w:rPr>
        <w:t xml:space="preserve"> District, Karnataka. </w:t>
      </w:r>
      <w:r w:rsidRPr="004C132F">
        <w:rPr>
          <w:i/>
          <w:iCs/>
          <w:sz w:val="22"/>
          <w:szCs w:val="22"/>
        </w:rPr>
        <w:t>International Journal of Scientific Research in Science, Engineering and Technology, v.9</w:t>
      </w:r>
      <w:r w:rsidRPr="004C132F">
        <w:rPr>
          <w:sz w:val="22"/>
          <w:szCs w:val="22"/>
        </w:rPr>
        <w:t>(9), pp.807–813.</w:t>
      </w:r>
    </w:p>
    <w:p w14:paraId="578A9CE4" w14:textId="77777777" w:rsidR="002F6D65" w:rsidRPr="004C132F" w:rsidRDefault="002F6D65" w:rsidP="005B3E99">
      <w:pPr>
        <w:numPr>
          <w:ilvl w:val="0"/>
          <w:numId w:val="1"/>
        </w:numPr>
        <w:spacing w:before="100" w:beforeAutospacing="1" w:after="100" w:afterAutospacing="1"/>
        <w:ind w:right="-330"/>
        <w:jc w:val="both"/>
        <w:rPr>
          <w:sz w:val="22"/>
          <w:szCs w:val="22"/>
        </w:rPr>
      </w:pPr>
      <w:r w:rsidRPr="004C132F">
        <w:rPr>
          <w:sz w:val="22"/>
          <w:szCs w:val="22"/>
        </w:rPr>
        <w:t xml:space="preserve">Sridhara M. K., Sadashivaiah, C., Devendra H., Kiran D. A. and Aparna P. M. (2024). Evaluating Health Risks Associated With Fluoride and Nitrate Contaminants in Drinking Water to Residents Living in </w:t>
      </w:r>
      <w:proofErr w:type="spellStart"/>
      <w:r w:rsidRPr="004C132F">
        <w:rPr>
          <w:sz w:val="22"/>
          <w:szCs w:val="22"/>
        </w:rPr>
        <w:t>Chikkaballapur</w:t>
      </w:r>
      <w:proofErr w:type="spellEnd"/>
      <w:r w:rsidRPr="004C132F">
        <w:rPr>
          <w:sz w:val="22"/>
          <w:szCs w:val="22"/>
        </w:rPr>
        <w:t xml:space="preserve"> Taluk of Karnataka, India. </w:t>
      </w:r>
      <w:r w:rsidRPr="004C132F">
        <w:rPr>
          <w:i/>
          <w:iCs/>
          <w:sz w:val="22"/>
          <w:szCs w:val="22"/>
        </w:rPr>
        <w:t>IIHS Knowledge Gateway</w:t>
      </w:r>
      <w:r w:rsidRPr="004C132F">
        <w:rPr>
          <w:sz w:val="22"/>
          <w:szCs w:val="22"/>
        </w:rPr>
        <w:t>.</w:t>
      </w:r>
    </w:p>
    <w:p w14:paraId="7BB1CCE9" w14:textId="77777777" w:rsidR="002F6D65" w:rsidRPr="005B3E99" w:rsidRDefault="002F6D65" w:rsidP="005B3E99">
      <w:pPr>
        <w:pStyle w:val="ListParagraph"/>
        <w:numPr>
          <w:ilvl w:val="0"/>
          <w:numId w:val="1"/>
        </w:numPr>
        <w:spacing w:before="100" w:beforeAutospacing="1" w:after="100" w:afterAutospacing="1"/>
        <w:ind w:right="-330"/>
        <w:jc w:val="both"/>
        <w:rPr>
          <w:sz w:val="22"/>
          <w:szCs w:val="22"/>
        </w:rPr>
      </w:pPr>
      <w:r w:rsidRPr="005B3E99">
        <w:rPr>
          <w:sz w:val="22"/>
          <w:szCs w:val="22"/>
        </w:rPr>
        <w:t xml:space="preserve">Subba Rao, N. (2006). Seasonal variation of groundwater quality in a part of Guntur district, Andhra Pradesh, India. </w:t>
      </w:r>
      <w:r w:rsidRPr="005B3E99">
        <w:rPr>
          <w:i/>
          <w:iCs/>
          <w:sz w:val="22"/>
          <w:szCs w:val="22"/>
        </w:rPr>
        <w:t>Environmental Geology</w:t>
      </w:r>
      <w:r w:rsidRPr="005B3E99">
        <w:rPr>
          <w:sz w:val="22"/>
          <w:szCs w:val="22"/>
        </w:rPr>
        <w:t>, 49(3), 413–429. https://doi.org/10.1007/s00254-005-0099-7</w:t>
      </w:r>
    </w:p>
    <w:p w14:paraId="6F0F1109" w14:textId="77777777" w:rsidR="002F6D65" w:rsidRPr="005B3E99" w:rsidRDefault="002F6D65" w:rsidP="005B3E99">
      <w:pPr>
        <w:pStyle w:val="ListParagraph"/>
        <w:numPr>
          <w:ilvl w:val="0"/>
          <w:numId w:val="1"/>
        </w:numPr>
        <w:spacing w:before="100" w:beforeAutospacing="1" w:after="100" w:afterAutospacing="1"/>
        <w:ind w:right="-330"/>
        <w:jc w:val="both"/>
        <w:rPr>
          <w:sz w:val="22"/>
          <w:szCs w:val="22"/>
        </w:rPr>
      </w:pPr>
      <w:r w:rsidRPr="005B3E99">
        <w:rPr>
          <w:sz w:val="22"/>
          <w:szCs w:val="22"/>
        </w:rPr>
        <w:t xml:space="preserve">Todd, D. K., &amp; Mays, L. W. (2005). </w:t>
      </w:r>
      <w:r w:rsidRPr="005B3E99">
        <w:rPr>
          <w:i/>
          <w:iCs/>
          <w:sz w:val="22"/>
          <w:szCs w:val="22"/>
        </w:rPr>
        <w:t>Groundwater hydrology</w:t>
      </w:r>
      <w:r w:rsidRPr="005B3E99">
        <w:rPr>
          <w:sz w:val="22"/>
          <w:szCs w:val="22"/>
        </w:rPr>
        <w:t xml:space="preserve"> (3rd ed.). John Wiley &amp; Sons.</w:t>
      </w:r>
    </w:p>
    <w:p w14:paraId="300D72FE" w14:textId="77777777" w:rsidR="002F6D65" w:rsidRPr="004C132F" w:rsidRDefault="002F6D65" w:rsidP="005B3E99">
      <w:pPr>
        <w:numPr>
          <w:ilvl w:val="0"/>
          <w:numId w:val="1"/>
        </w:numPr>
        <w:spacing w:before="100" w:beforeAutospacing="1" w:after="100" w:afterAutospacing="1"/>
        <w:ind w:right="-330"/>
        <w:jc w:val="both"/>
        <w:rPr>
          <w:sz w:val="22"/>
          <w:szCs w:val="22"/>
        </w:rPr>
      </w:pPr>
      <w:r w:rsidRPr="004C132F">
        <w:rPr>
          <w:sz w:val="22"/>
          <w:szCs w:val="22"/>
        </w:rPr>
        <w:t xml:space="preserve">United States Salinity Laboratory Staff. (1954). </w:t>
      </w:r>
      <w:r w:rsidRPr="004C132F">
        <w:rPr>
          <w:i/>
          <w:iCs/>
          <w:sz w:val="22"/>
          <w:szCs w:val="22"/>
        </w:rPr>
        <w:t xml:space="preserve">Diagnosis and Improvement of Saline and Alkali Soils. </w:t>
      </w:r>
      <w:r w:rsidRPr="004C132F">
        <w:rPr>
          <w:sz w:val="22"/>
          <w:szCs w:val="22"/>
        </w:rPr>
        <w:t>USDA Agriculture Handbook No. 60. U.S. Government Printing Office.</w:t>
      </w:r>
    </w:p>
    <w:p w14:paraId="0F014355" w14:textId="77777777" w:rsidR="002F6D65" w:rsidRPr="004C132F" w:rsidRDefault="002F6D65" w:rsidP="005B3E99">
      <w:pPr>
        <w:numPr>
          <w:ilvl w:val="0"/>
          <w:numId w:val="1"/>
        </w:numPr>
        <w:spacing w:before="100" w:beforeAutospacing="1" w:after="100" w:afterAutospacing="1"/>
        <w:ind w:right="-330"/>
        <w:jc w:val="both"/>
        <w:rPr>
          <w:sz w:val="22"/>
          <w:szCs w:val="22"/>
        </w:rPr>
      </w:pPr>
      <w:r w:rsidRPr="004C132F">
        <w:rPr>
          <w:sz w:val="22"/>
          <w:szCs w:val="22"/>
        </w:rPr>
        <w:t xml:space="preserve">WHO Scientific Group (1989). </w:t>
      </w:r>
      <w:r w:rsidRPr="004C132F">
        <w:rPr>
          <w:i/>
          <w:iCs/>
          <w:sz w:val="22"/>
          <w:szCs w:val="22"/>
        </w:rPr>
        <w:t xml:space="preserve">Health guidelines for the use of wastewater in agriculture and aquaculture: Report of a WHO scientific group (WHO Technical Report Series No. 778). </w:t>
      </w:r>
      <w:r w:rsidRPr="004C132F">
        <w:rPr>
          <w:sz w:val="22"/>
          <w:szCs w:val="22"/>
        </w:rPr>
        <w:t>Geneva</w:t>
      </w:r>
      <w:r w:rsidRPr="004C132F">
        <w:rPr>
          <w:i/>
          <w:iCs/>
          <w:sz w:val="22"/>
          <w:szCs w:val="22"/>
        </w:rPr>
        <w:t>: World Health Organization.</w:t>
      </w:r>
      <w:r w:rsidRPr="004C132F">
        <w:rPr>
          <w:sz w:val="22"/>
          <w:szCs w:val="22"/>
        </w:rPr>
        <w:t xml:space="preserve"> ISBN 9241207787.</w:t>
      </w:r>
    </w:p>
    <w:p w14:paraId="6DFF5922" w14:textId="77777777" w:rsidR="002F6D65" w:rsidRPr="005B3E99" w:rsidRDefault="002F6D65" w:rsidP="005B3E99">
      <w:pPr>
        <w:pStyle w:val="ListParagraph"/>
        <w:numPr>
          <w:ilvl w:val="0"/>
          <w:numId w:val="1"/>
        </w:numPr>
        <w:spacing w:before="100" w:beforeAutospacing="1" w:after="100" w:afterAutospacing="1"/>
        <w:ind w:right="-330"/>
        <w:jc w:val="both"/>
        <w:rPr>
          <w:sz w:val="22"/>
          <w:szCs w:val="22"/>
        </w:rPr>
      </w:pPr>
      <w:r w:rsidRPr="005B3E99">
        <w:rPr>
          <w:sz w:val="22"/>
          <w:szCs w:val="22"/>
        </w:rPr>
        <w:t xml:space="preserve">Wilcox, L. V. (1955). Classification and use of irrigation waters. </w:t>
      </w:r>
      <w:r w:rsidRPr="005B3E99">
        <w:rPr>
          <w:i/>
          <w:iCs/>
          <w:sz w:val="22"/>
          <w:szCs w:val="22"/>
        </w:rPr>
        <w:t>U.S. Department of Agriculture Circular 969</w:t>
      </w:r>
      <w:r w:rsidRPr="005B3E99">
        <w:rPr>
          <w:sz w:val="22"/>
          <w:szCs w:val="22"/>
        </w:rPr>
        <w:t>. U.S. Department of Agriculture.</w:t>
      </w:r>
    </w:p>
    <w:p w14:paraId="780B5ABE" w14:textId="77777777" w:rsidR="002F6D65" w:rsidRPr="005B3E99" w:rsidRDefault="002F6D65" w:rsidP="005B3E99">
      <w:pPr>
        <w:pStyle w:val="ListParagraph"/>
        <w:numPr>
          <w:ilvl w:val="0"/>
          <w:numId w:val="1"/>
        </w:numPr>
        <w:spacing w:before="100" w:beforeAutospacing="1" w:after="100" w:afterAutospacing="1"/>
        <w:ind w:right="-330"/>
        <w:jc w:val="both"/>
        <w:rPr>
          <w:sz w:val="22"/>
          <w:szCs w:val="22"/>
        </w:rPr>
      </w:pPr>
      <w:r w:rsidRPr="005B3E99">
        <w:rPr>
          <w:sz w:val="22"/>
          <w:szCs w:val="22"/>
        </w:rPr>
        <w:t xml:space="preserve">World Health Organization (WHO). (2012). </w:t>
      </w:r>
      <w:r w:rsidRPr="005B3E99">
        <w:rPr>
          <w:i/>
          <w:iCs/>
          <w:sz w:val="22"/>
          <w:szCs w:val="22"/>
        </w:rPr>
        <w:t>Guidelines for drinking-water quality</w:t>
      </w:r>
      <w:r w:rsidRPr="005B3E99">
        <w:rPr>
          <w:sz w:val="22"/>
          <w:szCs w:val="22"/>
        </w:rPr>
        <w:t xml:space="preserve"> (4th ed.). World Health Organization, Geneva.</w:t>
      </w:r>
    </w:p>
    <w:p w14:paraId="67928702" w14:textId="77777777" w:rsidR="00334E26" w:rsidRPr="00DE5859" w:rsidRDefault="00334E26" w:rsidP="00DE5859">
      <w:pPr>
        <w:pStyle w:val="NormalWeb"/>
        <w:jc w:val="both"/>
        <w:rPr>
          <w:sz w:val="22"/>
          <w:szCs w:val="22"/>
        </w:rPr>
      </w:pPr>
    </w:p>
    <w:sectPr w:rsidR="00334E26" w:rsidRPr="00DE585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A9A94" w14:textId="77777777" w:rsidR="001443DA" w:rsidRDefault="001443DA" w:rsidP="00D07C0D">
      <w:r>
        <w:separator/>
      </w:r>
    </w:p>
  </w:endnote>
  <w:endnote w:type="continuationSeparator" w:id="0">
    <w:p w14:paraId="0A57C027" w14:textId="77777777" w:rsidR="001443DA" w:rsidRDefault="001443DA" w:rsidP="00D07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92A25" w14:textId="77777777" w:rsidR="00D07C0D" w:rsidRDefault="00D07C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E67FE" w14:textId="77777777" w:rsidR="00D07C0D" w:rsidRDefault="00D07C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DA8B5" w14:textId="77777777" w:rsidR="00D07C0D" w:rsidRDefault="00D07C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D5A2F" w14:textId="77777777" w:rsidR="001443DA" w:rsidRDefault="001443DA" w:rsidP="00D07C0D">
      <w:r>
        <w:separator/>
      </w:r>
    </w:p>
  </w:footnote>
  <w:footnote w:type="continuationSeparator" w:id="0">
    <w:p w14:paraId="5E24E45B" w14:textId="77777777" w:rsidR="001443DA" w:rsidRDefault="001443DA" w:rsidP="00D07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C36BA" w14:textId="0F879865" w:rsidR="00D07C0D" w:rsidRDefault="00D07C0D">
    <w:pPr>
      <w:pStyle w:val="Header"/>
    </w:pPr>
    <w:r>
      <w:rPr>
        <w:noProof/>
      </w:rPr>
      <w:pict w14:anchorId="440F06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308761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29F0C" w14:textId="6B001221" w:rsidR="00D07C0D" w:rsidRDefault="00D07C0D">
    <w:pPr>
      <w:pStyle w:val="Header"/>
    </w:pPr>
    <w:r>
      <w:rPr>
        <w:noProof/>
      </w:rPr>
      <w:pict w14:anchorId="292E29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308761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CE0E" w14:textId="5002EA91" w:rsidR="00D07C0D" w:rsidRDefault="00D07C0D">
    <w:pPr>
      <w:pStyle w:val="Header"/>
    </w:pPr>
    <w:r>
      <w:rPr>
        <w:noProof/>
      </w:rPr>
      <w:pict w14:anchorId="06B7B0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308761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F97962"/>
    <w:multiLevelType w:val="multilevel"/>
    <w:tmpl w:val="11C2A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wNDE0NjIyNjAxMDNX0lEKTi0uzszPAykwrAUA7Zi06ywAAAA="/>
  </w:docVars>
  <w:rsids>
    <w:rsidRoot w:val="009E7585"/>
    <w:rsid w:val="0009412E"/>
    <w:rsid w:val="000D41F7"/>
    <w:rsid w:val="00125A1E"/>
    <w:rsid w:val="001440D9"/>
    <w:rsid w:val="001443DA"/>
    <w:rsid w:val="001504E7"/>
    <w:rsid w:val="001D70D2"/>
    <w:rsid w:val="002F6D65"/>
    <w:rsid w:val="00334E26"/>
    <w:rsid w:val="00362AAC"/>
    <w:rsid w:val="00430797"/>
    <w:rsid w:val="004A0FBB"/>
    <w:rsid w:val="004A784B"/>
    <w:rsid w:val="004B6721"/>
    <w:rsid w:val="004C132F"/>
    <w:rsid w:val="00523283"/>
    <w:rsid w:val="00553E07"/>
    <w:rsid w:val="00571BA1"/>
    <w:rsid w:val="005766E6"/>
    <w:rsid w:val="005A1176"/>
    <w:rsid w:val="005B3E99"/>
    <w:rsid w:val="005B7ADF"/>
    <w:rsid w:val="006108BB"/>
    <w:rsid w:val="00613164"/>
    <w:rsid w:val="006C7A8B"/>
    <w:rsid w:val="006F20A6"/>
    <w:rsid w:val="007944F9"/>
    <w:rsid w:val="007D52B4"/>
    <w:rsid w:val="00862659"/>
    <w:rsid w:val="00883745"/>
    <w:rsid w:val="009715BD"/>
    <w:rsid w:val="009C529F"/>
    <w:rsid w:val="009E06CA"/>
    <w:rsid w:val="009E7585"/>
    <w:rsid w:val="009F01C1"/>
    <w:rsid w:val="00A14F22"/>
    <w:rsid w:val="00A262FD"/>
    <w:rsid w:val="00A84B12"/>
    <w:rsid w:val="00AC6078"/>
    <w:rsid w:val="00B85297"/>
    <w:rsid w:val="00BA2917"/>
    <w:rsid w:val="00BC30D9"/>
    <w:rsid w:val="00CE3EB6"/>
    <w:rsid w:val="00D07C0D"/>
    <w:rsid w:val="00D341CD"/>
    <w:rsid w:val="00DD28E1"/>
    <w:rsid w:val="00DE5859"/>
    <w:rsid w:val="00E52FFC"/>
    <w:rsid w:val="00E74400"/>
    <w:rsid w:val="00F33C66"/>
    <w:rsid w:val="00FA0F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E06DF2"/>
  <w15:chartTrackingRefBased/>
  <w15:docId w15:val="{50187C8E-51A7-3F40-941C-916B23FC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3283"/>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9E75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75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E75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E75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75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75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75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75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75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5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75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E75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E75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75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75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75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75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7585"/>
    <w:rPr>
      <w:rFonts w:eastAsiaTheme="majorEastAsia" w:cstheme="majorBidi"/>
      <w:color w:val="272727" w:themeColor="text1" w:themeTint="D8"/>
    </w:rPr>
  </w:style>
  <w:style w:type="paragraph" w:styleId="Title">
    <w:name w:val="Title"/>
    <w:basedOn w:val="Normal"/>
    <w:next w:val="Normal"/>
    <w:link w:val="TitleChar"/>
    <w:uiPriority w:val="10"/>
    <w:qFormat/>
    <w:rsid w:val="009E75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5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5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75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7585"/>
    <w:pPr>
      <w:spacing w:before="160"/>
      <w:jc w:val="center"/>
    </w:pPr>
    <w:rPr>
      <w:i/>
      <w:iCs/>
      <w:color w:val="404040" w:themeColor="text1" w:themeTint="BF"/>
    </w:rPr>
  </w:style>
  <w:style w:type="character" w:customStyle="1" w:styleId="QuoteChar">
    <w:name w:val="Quote Char"/>
    <w:basedOn w:val="DefaultParagraphFont"/>
    <w:link w:val="Quote"/>
    <w:uiPriority w:val="29"/>
    <w:rsid w:val="009E7585"/>
    <w:rPr>
      <w:i/>
      <w:iCs/>
      <w:color w:val="404040" w:themeColor="text1" w:themeTint="BF"/>
    </w:rPr>
  </w:style>
  <w:style w:type="paragraph" w:styleId="ListParagraph">
    <w:name w:val="List Paragraph"/>
    <w:basedOn w:val="Normal"/>
    <w:uiPriority w:val="34"/>
    <w:qFormat/>
    <w:rsid w:val="009E7585"/>
    <w:pPr>
      <w:ind w:left="720"/>
      <w:contextualSpacing/>
    </w:pPr>
  </w:style>
  <w:style w:type="character" w:styleId="IntenseEmphasis">
    <w:name w:val="Intense Emphasis"/>
    <w:basedOn w:val="DefaultParagraphFont"/>
    <w:uiPriority w:val="21"/>
    <w:qFormat/>
    <w:rsid w:val="009E7585"/>
    <w:rPr>
      <w:i/>
      <w:iCs/>
      <w:color w:val="0F4761" w:themeColor="accent1" w:themeShade="BF"/>
    </w:rPr>
  </w:style>
  <w:style w:type="paragraph" w:styleId="IntenseQuote">
    <w:name w:val="Intense Quote"/>
    <w:basedOn w:val="Normal"/>
    <w:next w:val="Normal"/>
    <w:link w:val="IntenseQuoteChar"/>
    <w:uiPriority w:val="30"/>
    <w:qFormat/>
    <w:rsid w:val="009E75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7585"/>
    <w:rPr>
      <w:i/>
      <w:iCs/>
      <w:color w:val="0F4761" w:themeColor="accent1" w:themeShade="BF"/>
    </w:rPr>
  </w:style>
  <w:style w:type="character" w:styleId="IntenseReference">
    <w:name w:val="Intense Reference"/>
    <w:basedOn w:val="DefaultParagraphFont"/>
    <w:uiPriority w:val="32"/>
    <w:qFormat/>
    <w:rsid w:val="009E7585"/>
    <w:rPr>
      <w:b/>
      <w:bCs/>
      <w:smallCaps/>
      <w:color w:val="0F4761" w:themeColor="accent1" w:themeShade="BF"/>
      <w:spacing w:val="5"/>
    </w:rPr>
  </w:style>
  <w:style w:type="character" w:styleId="Hyperlink">
    <w:name w:val="Hyperlink"/>
    <w:basedOn w:val="DefaultParagraphFont"/>
    <w:uiPriority w:val="99"/>
    <w:unhideWhenUsed/>
    <w:rsid w:val="006F20A6"/>
    <w:rPr>
      <w:color w:val="467886" w:themeColor="hyperlink"/>
      <w:u w:val="single"/>
    </w:rPr>
  </w:style>
  <w:style w:type="paragraph" w:styleId="NormalWeb">
    <w:name w:val="Normal (Web)"/>
    <w:basedOn w:val="Normal"/>
    <w:uiPriority w:val="99"/>
    <w:unhideWhenUsed/>
    <w:rsid w:val="00A262FD"/>
    <w:pPr>
      <w:spacing w:before="100" w:beforeAutospacing="1" w:after="100" w:afterAutospacing="1"/>
    </w:pPr>
  </w:style>
  <w:style w:type="character" w:customStyle="1" w:styleId="whitespace-normal">
    <w:name w:val="whitespace-normal"/>
    <w:basedOn w:val="DefaultParagraphFont"/>
    <w:rsid w:val="00A262FD"/>
  </w:style>
  <w:style w:type="character" w:styleId="Strong">
    <w:name w:val="Strong"/>
    <w:basedOn w:val="DefaultParagraphFont"/>
    <w:uiPriority w:val="22"/>
    <w:qFormat/>
    <w:rsid w:val="001D70D2"/>
    <w:rPr>
      <w:b/>
      <w:bCs/>
    </w:rPr>
  </w:style>
  <w:style w:type="table" w:styleId="TableGrid">
    <w:name w:val="Table Grid"/>
    <w:basedOn w:val="TableNormal"/>
    <w:uiPriority w:val="59"/>
    <w:rsid w:val="00B8529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85297"/>
    <w:rPr>
      <w:i/>
      <w:iCs/>
    </w:rPr>
  </w:style>
  <w:style w:type="character" w:customStyle="1" w:styleId="ai-insert">
    <w:name w:val="ai-insert"/>
    <w:basedOn w:val="DefaultParagraphFont"/>
    <w:rsid w:val="00523283"/>
  </w:style>
  <w:style w:type="character" w:styleId="UnresolvedMention">
    <w:name w:val="Unresolved Mention"/>
    <w:basedOn w:val="DefaultParagraphFont"/>
    <w:uiPriority w:val="99"/>
    <w:semiHidden/>
    <w:unhideWhenUsed/>
    <w:rsid w:val="006C7A8B"/>
    <w:rPr>
      <w:color w:val="605E5C"/>
      <w:shd w:val="clear" w:color="auto" w:fill="E1DFDD"/>
    </w:rPr>
  </w:style>
  <w:style w:type="character" w:styleId="FollowedHyperlink">
    <w:name w:val="FollowedHyperlink"/>
    <w:basedOn w:val="DefaultParagraphFont"/>
    <w:uiPriority w:val="99"/>
    <w:semiHidden/>
    <w:unhideWhenUsed/>
    <w:rsid w:val="00E52FFC"/>
    <w:rPr>
      <w:color w:val="96607D" w:themeColor="followedHyperlink"/>
      <w:u w:val="single"/>
    </w:rPr>
  </w:style>
  <w:style w:type="paragraph" w:styleId="Header">
    <w:name w:val="header"/>
    <w:basedOn w:val="Normal"/>
    <w:link w:val="HeaderChar"/>
    <w:uiPriority w:val="99"/>
    <w:unhideWhenUsed/>
    <w:rsid w:val="00D07C0D"/>
    <w:pPr>
      <w:tabs>
        <w:tab w:val="center" w:pos="4680"/>
        <w:tab w:val="right" w:pos="9360"/>
      </w:tabs>
    </w:pPr>
  </w:style>
  <w:style w:type="character" w:customStyle="1" w:styleId="HeaderChar">
    <w:name w:val="Header Char"/>
    <w:basedOn w:val="DefaultParagraphFont"/>
    <w:link w:val="Header"/>
    <w:uiPriority w:val="99"/>
    <w:rsid w:val="00D07C0D"/>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D07C0D"/>
    <w:pPr>
      <w:tabs>
        <w:tab w:val="center" w:pos="4680"/>
        <w:tab w:val="right" w:pos="9360"/>
      </w:tabs>
    </w:pPr>
  </w:style>
  <w:style w:type="character" w:customStyle="1" w:styleId="FooterChar">
    <w:name w:val="Footer Char"/>
    <w:basedOn w:val="DefaultParagraphFont"/>
    <w:link w:val="Footer"/>
    <w:uiPriority w:val="99"/>
    <w:rsid w:val="00D07C0D"/>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126/science.170.3962.1088"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9</Pages>
  <Words>4553</Words>
  <Characters>25953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VINODH KUMAR K N</dc:creator>
  <cp:keywords/>
  <dc:description/>
  <cp:lastModifiedBy>SDI 1084</cp:lastModifiedBy>
  <cp:revision>19</cp:revision>
  <dcterms:created xsi:type="dcterms:W3CDTF">2026-03-02T10:10:00Z</dcterms:created>
  <dcterms:modified xsi:type="dcterms:W3CDTF">2026-03-04T13:05:00Z</dcterms:modified>
</cp:coreProperties>
</file>