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52205" w14:textId="77777777" w:rsidR="00EB4286" w:rsidRDefault="00EB4286" w:rsidP="00A2030A">
      <w:pPr>
        <w:pStyle w:val="Heading1"/>
        <w:rPr>
          <w:lang w:val="en-GB"/>
        </w:rPr>
      </w:pPr>
      <w:r w:rsidRPr="00EB4286">
        <w:rPr>
          <w:lang w:val="en-GB"/>
        </w:rPr>
        <w:t>Minireview Article</w:t>
      </w:r>
    </w:p>
    <w:p w14:paraId="411928B8" w14:textId="705841E0" w:rsidR="00697683" w:rsidRDefault="00697683" w:rsidP="00A2030A">
      <w:pPr>
        <w:pStyle w:val="Heading1"/>
        <w:rPr>
          <w:lang w:val="en-GB"/>
        </w:rPr>
      </w:pPr>
      <w:r w:rsidRPr="004155A7">
        <w:rPr>
          <w:lang w:val="en-GB"/>
        </w:rPr>
        <w:t xml:space="preserve">Integrated Monitoring, Remediation, and Management of Soil Pollution: A </w:t>
      </w:r>
      <w:r w:rsidR="00682053" w:rsidRPr="004155A7">
        <w:rPr>
          <w:lang w:val="en-GB"/>
        </w:rPr>
        <w:t xml:space="preserve">Comprehensive </w:t>
      </w:r>
      <w:r w:rsidRPr="004155A7">
        <w:rPr>
          <w:lang w:val="en-GB"/>
        </w:rPr>
        <w:t>Review</w:t>
      </w:r>
    </w:p>
    <w:p w14:paraId="04E432ED" w14:textId="77777777" w:rsidR="000B5920" w:rsidRPr="004155A7" w:rsidRDefault="000B5920" w:rsidP="00A2030A">
      <w:pPr>
        <w:pStyle w:val="Heading1"/>
        <w:rPr>
          <w:lang w:val="en-GB"/>
        </w:rPr>
      </w:pPr>
    </w:p>
    <w:p w14:paraId="7D3BEF36"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4155A7">
        <w:rPr>
          <w:b/>
          <w:bCs/>
          <w:color w:val="auto"/>
          <w:kern w:val="0"/>
          <w:lang w:val="en-GB" w:eastAsia="en-US"/>
        </w:rPr>
        <w:t>Abstract</w:t>
      </w:r>
      <w:r w:rsidRPr="00697683">
        <w:rPr>
          <w:color w:val="auto"/>
          <w:kern w:val="0"/>
          <w:lang w:val="en-GB" w:eastAsia="en-US"/>
        </w:rPr>
        <w:br/>
        <w:t>Soil pollution remains one of the most persistent and spatially heterogeneous environmental challenges of the twenty-first century, with direct implications for ecosystem functioning, food safety, water quality, and human health. The complexity of soil as a multiphase medium and the prevalence of contaminant mixtures demand approaches that move beyond isolated measurements and single-technology clean-ups. This review synthesises contemporary advances in the integrated monitoring, remediation, and management of polluted soils, emphasising how site characterisation, risk evaluation, technology selection, and long-term stewardship can be combined into coherent decision pathways. We examine the evolution of monitoring from laboratory-centred sampling to hybrid strategies that integrate rapid field screening, passive samplers, remote sensing, and data-driven spatial modelling. We then evaluate established and emerging remediation options, including physical containment and removal, soil washing, stabilisation with amendments such as biochar, in situ chemical oxidation, and biologically mediated methods. Particular attention is given to contaminants that are difficult to manage with conventional tools, including poly- and perfluoroalkyl substances and microplastics, which illustrate the need for adaptive monitoring and realistic remediation endpoints. Finally, we discuss how sustainable remediation and risk-based land management frameworks support proportional, transparent, and resource-efficient interventions. The review argues that the next generation of soil pollution practice should be defined by integrated evidence, explicit uncertainty management, and performance monitoring aligned to soil functions and land-use objectives.</w:t>
      </w:r>
    </w:p>
    <w:p w14:paraId="7F54D8AF"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4155A7">
        <w:rPr>
          <w:b/>
          <w:bCs/>
          <w:color w:val="auto"/>
          <w:kern w:val="0"/>
          <w:lang w:val="en-GB" w:eastAsia="en-US"/>
        </w:rPr>
        <w:t>Keywords</w:t>
      </w:r>
      <w:r w:rsidRPr="00697683">
        <w:rPr>
          <w:color w:val="auto"/>
          <w:kern w:val="0"/>
          <w:lang w:val="en-GB" w:eastAsia="en-US"/>
        </w:rPr>
        <w:t>: soil contamination; site characterisation; risk-based land management; sustainable remediation; bioavailability; remote sensing; biochar; in situ chemical oxidation; PFAS; microplastics</w:t>
      </w:r>
    </w:p>
    <w:p w14:paraId="7509AB54" w14:textId="77777777" w:rsidR="00697683" w:rsidRPr="00697683" w:rsidRDefault="00697683" w:rsidP="00697683">
      <w:pPr>
        <w:spacing w:after="0" w:line="240" w:lineRule="auto"/>
        <w:ind w:left="0" w:right="0" w:firstLine="0"/>
        <w:jc w:val="left"/>
        <w:rPr>
          <w:color w:val="auto"/>
          <w:kern w:val="0"/>
          <w:lang w:val="en-GB" w:eastAsia="en-US"/>
        </w:rPr>
      </w:pPr>
    </w:p>
    <w:p w14:paraId="0EFEBC2A" w14:textId="77777777" w:rsidR="00A2030A" w:rsidRPr="00A2030A" w:rsidRDefault="00A2030A" w:rsidP="00A2030A">
      <w:pPr>
        <w:spacing w:before="100" w:beforeAutospacing="1" w:after="100" w:afterAutospacing="1" w:line="240" w:lineRule="auto"/>
        <w:ind w:left="0" w:right="0" w:firstLine="0"/>
        <w:jc w:val="left"/>
        <w:outlineLvl w:val="1"/>
        <w:rPr>
          <w:b/>
          <w:bCs/>
          <w:color w:val="auto"/>
          <w:kern w:val="0"/>
          <w:sz w:val="36"/>
          <w:szCs w:val="36"/>
          <w:lang w:val="en-GB" w:eastAsia="en-US"/>
        </w:rPr>
      </w:pPr>
      <w:r w:rsidRPr="00A2030A">
        <w:rPr>
          <w:b/>
          <w:bCs/>
          <w:color w:val="auto"/>
          <w:kern w:val="0"/>
          <w:sz w:val="36"/>
          <w:szCs w:val="36"/>
          <w:lang w:val="en-GB" w:eastAsia="en-US"/>
        </w:rPr>
        <w:t>1. Introduction</w:t>
      </w:r>
    </w:p>
    <w:p w14:paraId="5D855A78"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 xml:space="preserve">Soil is a living, reactive medium that underpins food production, water regulation, biodiversity, and carbon storage, yet it is increasingly burdened by pollution from industry, mining, urbanisation, waste handling, and intensive agriculture. Unlike many pollutants in water or air that may disperse or dilute over shorter timeframes, soil contaminants can persist for decades because they become sorbed to mineral surfaces, partition into soil organic matter, or become physically sequestered within aggregates and low-permeability zones. This </w:t>
      </w:r>
      <w:r w:rsidRPr="00A2030A">
        <w:rPr>
          <w:color w:val="auto"/>
          <w:kern w:val="0"/>
          <w:lang w:val="en-GB" w:eastAsia="en-US"/>
        </w:rPr>
        <w:lastRenderedPageBreak/>
        <w:t>persistence matters because soil is not an isolated compartment: contaminants can be transferred into crops, livestock, groundwater, surface waters, and resuspended dust, creating chronic exposure pathways that are often spatially patchy and temporally variable. The consequence is that soil pollution is rarely just a matter of measuring concentrations; it is a problem of understanding how contaminants behave within a complex system and how that behaviour translates into real-world risks.</w:t>
      </w:r>
    </w:p>
    <w:p w14:paraId="5FEC84CF"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A defining feature of soil pollution is heterogeneity. Historical releases, variable site operations, and the uneven mixing of wastes frequently produce sharp gradients over metres or even centimetres, particularly around former process areas, waste pits, drainage lines, and fill materials. This heterogeneity can undermine conventional sampling plans, inflate uncertainty in risk assessment, and complicate the interpretation of remediation performance. Moreover, soils are commonly affected by mixtures, for example metals co-occurring with petroleum hydrocarbons or other persistent organics, which can alter mobility and toxicity in ways that cannot be inferred from single-contaminant assumptions. These characteristics create a strong rationale for integrated approaches that connect monitoring, remediation design, and long-term management, rather than treating them as sequential, isolated tasks.</w:t>
      </w:r>
    </w:p>
    <w:p w14:paraId="0FAFE387"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Integrated management also reflects a shift in remediation philosophy. In many contexts, the objective has moved from blanket “clean-up” towards proportional risk reduction that is aligned with intended land use and that avoids unnecessary environmental burdens. The sustainability agenda has sharpened this shift by drawing attention to the trade-offs between rapid contaminant removal and the impacts of remediation itself, including soil disturbance, energy use, emissions, and waste generation. Framing remediation as a sustainability-informed decision problem encourages practitioners to compare options not only on immediate risk reduction but also on broader life-cycle consequences and stakeholder legitimacy (Hou &amp; Al-Tabbaa, 2014). In practice, this perspective strengthens the case for interventions that preserve soil functions where feasible, combine technologies to address different contaminant pools, and embed monitoring strategies that can demonstrate continuing protection.</w:t>
      </w:r>
    </w:p>
    <w:p w14:paraId="69B85BDA"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A central challenge in this field is the relationship between “total concentration” and “risk”. For metals and metalloids, total concentrations are often a poor proxy for exposure because speciation, binding strength, and soil chemistry influence bioavailability and mobility. For organic contaminants, ageing can reduce short-term availability but prolong persistence by slowing desorption and by sustaining low-level releases from sequestered domains. Reviews of remediation principles repeatedly emphasise that effective selection of technologies depends on understanding these mechanisms and on matching remedy choice to contaminant form, soil properties, and exposure pathways, rather than relying solely on bulk concentration thresholds (Liu et al., 2018). This is especially important where management aims to limit plant uptake, reduce leaching, or control dust inhalation; each pathway can be dominated by a different fraction of the contaminant pool.</w:t>
      </w:r>
    </w:p>
    <w:p w14:paraId="60A8A1AB"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 xml:space="preserve">The question of whether to remove contaminants or immobilise them exemplifies the need for integrated thinking. For metal(loid)s, immobilisation strategies can reduce mobility and bioavailability by promoting sorption, precipitation, or incorporation into stable mineral phases, offering practical risk reduction without excavation. Conversely, mobilising contaminants may be preferred when long-term stability cannot be assured or when future land use demands deeper reductions in contaminant mass. The choice is therefore not merely technical; it is a management decision that must account for site use, time horizon, </w:t>
      </w:r>
      <w:r w:rsidRPr="00A2030A">
        <w:rPr>
          <w:color w:val="auto"/>
          <w:kern w:val="0"/>
          <w:lang w:val="en-GB" w:eastAsia="en-US"/>
        </w:rPr>
        <w:lastRenderedPageBreak/>
        <w:t>monitoring capacity, and the acceptability of residual contamination (Bolan et al., 2014). Such decisions become more complex when soils host mixtures, because immobilisation may stabilise metals while leaving organic contaminants unchanged, or chemical treatments for organics may alter pH and, indirectly, metal mobility. Integrated remedy design consequently tends to favour combined or staged interventions with performance criteria that capture these cross-effects.</w:t>
      </w:r>
    </w:p>
    <w:p w14:paraId="404F1768"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Emerging contaminants further expose the limitations of traditional paradigms. Microplastics are increasingly recognised in agricultural and urban soils, yet their diversity in size, polymer type, additives, and ageing state complicates measurement and risk interpretation. Concerns include their potential to alter soil structure and biota, their interaction with co-contaminants, and their movement through food and dust pathways, all of which place a premium on monitoring strategies that can identify hotspots, sources, and transport mechanisms (Yang et al., 2021). PFAS pose a different but equally demanding challenge. Their persistence and, for many compounds, mobility in soil–water systems make them difficult to manage with conventional approaches, often pushing practice towards combinations of immobilisation, controlled mobilisation for capture, or destructive treatment where feasible (Bolan et al., 2021). Both microplastics and PFAS illustrate why integrated monitoring and management are essential: remediation endpoints may involve exposure control and verified stability rather than complete elimination, and the credibility of such endpoints depends on evidence-based monitoring over appropriate timescales.</w:t>
      </w:r>
    </w:p>
    <w:p w14:paraId="3541B50B"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Risk evaluation provides the bridge between measurements and management decisions. Contemporary thinking increasingly promotes assessment approaches that are explicit about uncertainty, attentive to land use, and capable of integrating different evidence streams. For human health, integrated frameworks highlight the importance of conceptual models that link sources to exposure routes and receptors, while recognising that parameter choices and assumptions can materially influence outcomes (Yang et al., 2023). For ecological risk, weight-of-evidence methods have long argued for triangulating chemical data with toxicity and ecological observations so that decisions are not driven by a single indicator that may be biased or incomplete (Dagnino et al., 2008). The practical implication is that monitoring should be designed to answer decision-relevant questions—such as whether exposure pathways are active, whether bioavailable fractions are changing, and whether remediation has altered risk—not simply to generate more concentration data.</w:t>
      </w:r>
    </w:p>
    <w:p w14:paraId="34CB2CAE"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Integration also extends to governance. Complex sites often involve multiple stakeholders, uncertain future land use, and competing priorities for speed, cost, and sustainability. Decision frameworks for complex remediation emphasise identifying drivers and barriers early and defining performance metrics that connect remedy actions to risk outcomes, thereby improving transparency and reducing late-stage redesign (Harclerode et al., 2016). In this view, “monitoring” is not an end in itself but part of an adaptive cycle: monitoring informs remedy selection; remediation outcomes reshape monitoring needs; and management structures maintain protection through verification and, where necessary, long-term controls. Taken together, these perspectives position integrated monitoring, remediation, and management not as an optional refinement but as a practical response to the physical and social complexity of soil pollution.</w:t>
      </w:r>
    </w:p>
    <w:p w14:paraId="717DE633" w14:textId="77777777" w:rsidR="00A2030A" w:rsidRPr="00A2030A" w:rsidRDefault="00A2030A" w:rsidP="00A2030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2030A">
        <w:rPr>
          <w:b/>
          <w:bCs/>
          <w:color w:val="auto"/>
          <w:kern w:val="0"/>
          <w:sz w:val="27"/>
          <w:szCs w:val="27"/>
          <w:lang w:val="en-GB" w:eastAsia="en-US"/>
        </w:rPr>
        <w:t>1.1 Drivers, contaminants, and exposure pathways</w:t>
      </w:r>
    </w:p>
    <w:p w14:paraId="05F52E50"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lastRenderedPageBreak/>
        <w:t>Soil pollution arises from diverse drivers, including legacy industrial activity, mining and smelting, waste disposal, urban redevelopment, and high-input agriculture. The principal contaminant groups—metals/metalloids, petroleum hydrocarbons and persistent organics, PFAS, and microplastics—differ markedly in mobility, degradability, and exposure relevance, requiring pathway-specific assessment and technology selection that account for bioavailability, leaching potential, crop uptake, and dust generation (Liu et al., 2018; Bolan et al., 2021; Yang et al., 2021).</w:t>
      </w:r>
    </w:p>
    <w:p w14:paraId="29FE693D" w14:textId="77777777" w:rsidR="00A2030A" w:rsidRPr="00A2030A" w:rsidRDefault="00A2030A" w:rsidP="00A2030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2030A">
        <w:rPr>
          <w:b/>
          <w:bCs/>
          <w:color w:val="auto"/>
          <w:kern w:val="0"/>
          <w:sz w:val="27"/>
          <w:szCs w:val="27"/>
          <w:lang w:val="en-GB" w:eastAsia="en-US"/>
        </w:rPr>
        <w:t>1.2 Integration as a necessity rather than an aspiration</w:t>
      </w:r>
    </w:p>
    <w:p w14:paraId="20180927"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Given heterogeneity, mixtures, and the rise of emerging contaminants, linear “investigate–assess–remediate–close” models are frequently inadequate. Integrated practice combines multiple lines of evidence for site understanding, selects remedies aligned with risk and sustainability, and embeds performance monitoring and adaptive management to ensure that risk reduction is real and durable (Hou &amp; Al-Tabbaa, 2014; Harclerode et al., 2016; Dagnino et al., 2008).</w:t>
      </w:r>
    </w:p>
    <w:p w14:paraId="5523D54A" w14:textId="77777777" w:rsidR="00A2030A" w:rsidRPr="00A2030A" w:rsidRDefault="00A2030A" w:rsidP="00A2030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2030A">
        <w:rPr>
          <w:b/>
          <w:bCs/>
          <w:color w:val="auto"/>
          <w:kern w:val="0"/>
          <w:sz w:val="27"/>
          <w:szCs w:val="27"/>
          <w:lang w:val="en-GB" w:eastAsia="en-US"/>
        </w:rPr>
        <w:t>1.3 Scope and objective of the review</w:t>
      </w:r>
    </w:p>
    <w:p w14:paraId="5ABA5398" w14:textId="77777777" w:rsidR="00A2030A" w:rsidRPr="00A2030A" w:rsidRDefault="00A2030A" w:rsidP="00A2030A">
      <w:pPr>
        <w:spacing w:before="100" w:beforeAutospacing="1" w:after="100" w:afterAutospacing="1" w:line="240" w:lineRule="auto"/>
        <w:ind w:left="0" w:right="0" w:firstLine="0"/>
        <w:jc w:val="left"/>
        <w:rPr>
          <w:color w:val="auto"/>
          <w:kern w:val="0"/>
          <w:lang w:val="en-GB" w:eastAsia="en-US"/>
        </w:rPr>
      </w:pPr>
      <w:r w:rsidRPr="00A2030A">
        <w:rPr>
          <w:color w:val="auto"/>
          <w:kern w:val="0"/>
          <w:lang w:val="en-GB" w:eastAsia="en-US"/>
        </w:rPr>
        <w:t>This review synthesises advances in (</w:t>
      </w:r>
      <w:proofErr w:type="spellStart"/>
      <w:r w:rsidRPr="00A2030A">
        <w:rPr>
          <w:color w:val="auto"/>
          <w:kern w:val="0"/>
          <w:lang w:val="en-GB" w:eastAsia="en-US"/>
        </w:rPr>
        <w:t>i</w:t>
      </w:r>
      <w:proofErr w:type="spellEnd"/>
      <w:r w:rsidRPr="00A2030A">
        <w:rPr>
          <w:color w:val="auto"/>
          <w:kern w:val="0"/>
          <w:lang w:val="en-GB" w:eastAsia="en-US"/>
        </w:rPr>
        <w:t>) integrated monitoring and site characterisation approaches that support uncertainty-aware decisions, (ii) remediation technologies and technology combinations for mixed and emerging contamination, and (iii) management frameworks linking risk-based decision-making with sustainability and long-term stewardship. The objective is to provide a coherent basis for designing soil pollution interventions that are scientifically defensible, proportionate to risk, and robust over time.</w:t>
      </w:r>
    </w:p>
    <w:p w14:paraId="3925D4A5" w14:textId="77777777" w:rsidR="00697683" w:rsidRPr="00697683" w:rsidRDefault="00697683" w:rsidP="00697683">
      <w:pPr>
        <w:spacing w:after="0" w:line="240" w:lineRule="auto"/>
        <w:ind w:left="0" w:right="0" w:firstLine="0"/>
        <w:jc w:val="left"/>
        <w:rPr>
          <w:color w:val="auto"/>
          <w:kern w:val="0"/>
          <w:lang w:val="en-GB" w:eastAsia="en-US"/>
        </w:rPr>
      </w:pPr>
    </w:p>
    <w:p w14:paraId="7B5BA364" w14:textId="77777777" w:rsidR="00697683" w:rsidRPr="00697683" w:rsidRDefault="00697683" w:rsidP="006976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697683">
        <w:rPr>
          <w:b/>
          <w:bCs/>
          <w:color w:val="auto"/>
          <w:kern w:val="0"/>
          <w:sz w:val="36"/>
          <w:szCs w:val="36"/>
          <w:lang w:val="en-GB" w:eastAsia="en-US"/>
        </w:rPr>
        <w:t>2. Methods for literature selection</w:t>
      </w:r>
    </w:p>
    <w:p w14:paraId="05983149" w14:textId="77777777" w:rsidR="00FA5698" w:rsidRPr="004155A7" w:rsidRDefault="00697683" w:rsidP="00FA5698">
      <w:pPr>
        <w:pStyle w:val="NormalWeb"/>
        <w:rPr>
          <w:lang w:val="en-GB"/>
        </w:rPr>
      </w:pPr>
      <w:r w:rsidRPr="00697683">
        <w:rPr>
          <w:lang w:val="en-GB"/>
        </w:rPr>
        <w:t>A structured literature search was conducted using Web of Science, Scopus, PubMed, and Google Scholar to identify peer-reviewed publications addressing soil pollution monitoring, remediation technologies, risk assessment, and sustainable contaminated land management from January 2000 to February 2026. Search strings combined terms including “soil pollution” OR “contaminated soil” OR “contaminated land” with “monitoring”, “site characterisation”, “remote sensing”, “portable XRF”, “passive sampling”, “risk assessment”, “bioavailability”, “remediation”, “soil washing”, “stabilisation”, “biochar”, “phytoremediation”, “in situ chemical oxidation”, “sustainable remediation”, and “risk-based land management”. Inclusion criteria prioritised review articles and high-citation primary studies that contributed methodological or conceptual advances, with preference given to publications reporting clear performance metrics, limitations, and field relevance. Exclusion criteria removed non-peer-reviewed items where adequate peer-reviewed equivalents were available and studies lacking sufficient methodological description to support interpretation. Reference lists of key papers were then screened to identify additional relevant studies, particularly those providing foundational frameworks or widely adopted methods.</w:t>
      </w:r>
      <w:r w:rsidR="00FA5698" w:rsidRPr="004155A7">
        <w:rPr>
          <w:lang w:val="en-GB"/>
        </w:rPr>
        <w:t xml:space="preserve"> Figure 1 explains stratified methods of literature selection.</w:t>
      </w:r>
    </w:p>
    <w:p w14:paraId="3AA77E09" w14:textId="77777777" w:rsidR="00697683" w:rsidRPr="004155A7" w:rsidRDefault="00697683" w:rsidP="00697683">
      <w:pPr>
        <w:spacing w:before="100" w:beforeAutospacing="1" w:after="100" w:afterAutospacing="1" w:line="240" w:lineRule="auto"/>
        <w:ind w:left="0" w:right="0" w:firstLine="0"/>
        <w:jc w:val="left"/>
        <w:rPr>
          <w:color w:val="auto"/>
          <w:kern w:val="0"/>
          <w:lang w:val="en-GB" w:eastAsia="en-US"/>
        </w:rPr>
      </w:pPr>
    </w:p>
    <w:p w14:paraId="469AE1CE" w14:textId="77777777" w:rsidR="00FA5698" w:rsidRPr="004155A7" w:rsidRDefault="00FA5698" w:rsidP="00697683">
      <w:pPr>
        <w:spacing w:before="100" w:beforeAutospacing="1" w:after="100" w:afterAutospacing="1" w:line="240" w:lineRule="auto"/>
        <w:ind w:left="0" w:right="0" w:firstLine="0"/>
        <w:jc w:val="left"/>
        <w:rPr>
          <w:color w:val="auto"/>
          <w:kern w:val="0"/>
          <w:lang w:val="en-GB" w:eastAsia="en-US"/>
        </w:rPr>
      </w:pPr>
    </w:p>
    <w:p w14:paraId="3ED58111" w14:textId="77777777" w:rsidR="00FA5698" w:rsidRPr="004155A7" w:rsidRDefault="00FA5698" w:rsidP="00697683">
      <w:pPr>
        <w:spacing w:before="100" w:beforeAutospacing="1" w:after="100" w:afterAutospacing="1" w:line="240" w:lineRule="auto"/>
        <w:ind w:left="0" w:right="0" w:firstLine="0"/>
        <w:jc w:val="left"/>
        <w:rPr>
          <w:color w:val="auto"/>
          <w:kern w:val="0"/>
          <w:lang w:val="en-GB" w:eastAsia="en-US"/>
        </w:rPr>
      </w:pPr>
    </w:p>
    <w:p w14:paraId="1FC52BDD" w14:textId="77777777" w:rsidR="00FA5698" w:rsidRPr="004155A7" w:rsidRDefault="00FA5698" w:rsidP="00697683">
      <w:pPr>
        <w:spacing w:before="100" w:beforeAutospacing="1" w:after="100" w:afterAutospacing="1" w:line="240" w:lineRule="auto"/>
        <w:ind w:left="0" w:right="0" w:firstLine="0"/>
        <w:jc w:val="left"/>
        <w:rPr>
          <w:color w:val="auto"/>
          <w:kern w:val="0"/>
          <w:lang w:val="en-GB" w:eastAsia="en-US"/>
        </w:rPr>
      </w:pPr>
    </w:p>
    <w:p w14:paraId="6A308A16" w14:textId="77777777" w:rsidR="00FA5698" w:rsidRPr="004155A7" w:rsidRDefault="00FA5698" w:rsidP="00697683">
      <w:pPr>
        <w:spacing w:before="100" w:beforeAutospacing="1" w:after="100" w:afterAutospacing="1" w:line="240" w:lineRule="auto"/>
        <w:ind w:left="0" w:right="0" w:firstLine="0"/>
        <w:jc w:val="left"/>
        <w:rPr>
          <w:color w:val="auto"/>
          <w:kern w:val="0"/>
          <w:lang w:val="en-GB" w:eastAsia="en-US"/>
        </w:rPr>
      </w:pPr>
    </w:p>
    <w:p w14:paraId="632E4ECC" w14:textId="77777777" w:rsidR="00FA5698" w:rsidRPr="004155A7" w:rsidRDefault="00C61136" w:rsidP="00FA5698">
      <w:pPr>
        <w:spacing w:after="0" w:line="240" w:lineRule="auto"/>
        <w:rPr>
          <w:lang w:val="en-GB"/>
        </w:rPr>
      </w:pPr>
      <w:r>
        <w:rPr>
          <w:noProof/>
          <w:lang w:val="en-GB"/>
        </w:rPr>
        <w:pict w14:anchorId="78D35EE1">
          <v:rect id="Rectangle 2" o:spid="_x0000_s1044" style="position:absolute;left:0;text-align:left;margin-left:239.35pt;margin-top:6.05pt;width:183.8pt;height:97.85pt;z-index:25166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5A40D696"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w:t>
                  </w:r>
                  <w:r>
                    <w:rPr>
                      <w:rFonts w:ascii="Arial" w:hAnsi="Arial" w:cs="Arial"/>
                      <w:i/>
                      <w:iCs/>
                      <w:color w:val="000000" w:themeColor="text1"/>
                      <w:sz w:val="18"/>
                      <w:szCs w:val="20"/>
                    </w:rPr>
                    <w:t xml:space="preserve"> </w:t>
                  </w:r>
                  <w:r w:rsidRPr="00A85C0A">
                    <w:rPr>
                      <w:rFonts w:ascii="Arial" w:hAnsi="Arial" w:cs="Arial"/>
                      <w:i/>
                      <w:iCs/>
                      <w:color w:val="000000" w:themeColor="text1"/>
                      <w:sz w:val="18"/>
                      <w:szCs w:val="20"/>
                    </w:rPr>
                    <w:t>screening</w:t>
                  </w:r>
                  <w:r>
                    <w:rPr>
                      <w:rFonts w:ascii="Arial" w:hAnsi="Arial" w:cs="Arial"/>
                      <w:color w:val="000000" w:themeColor="text1"/>
                      <w:sz w:val="18"/>
                      <w:szCs w:val="20"/>
                    </w:rPr>
                    <w:t>:</w:t>
                  </w:r>
                </w:p>
                <w:p w14:paraId="04752A76" w14:textId="77777777" w:rsidR="00FA5698" w:rsidRDefault="00FA5698" w:rsidP="00FA5698">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w:t>
                  </w:r>
                  <w:r w:rsidR="00682053">
                    <w:rPr>
                      <w:rFonts w:ascii="Arial" w:hAnsi="Arial" w:cs="Arial"/>
                      <w:color w:val="000000" w:themeColor="text1"/>
                      <w:sz w:val="18"/>
                      <w:szCs w:val="20"/>
                    </w:rPr>
                    <w:t>563</w:t>
                  </w:r>
                  <w:r>
                    <w:rPr>
                      <w:rFonts w:ascii="Arial" w:hAnsi="Arial" w:cs="Arial"/>
                      <w:color w:val="000000" w:themeColor="text1"/>
                      <w:sz w:val="18"/>
                      <w:szCs w:val="20"/>
                    </w:rPr>
                    <w:t>)</w:t>
                  </w:r>
                </w:p>
                <w:p w14:paraId="1DEAAEE9" w14:textId="77777777" w:rsidR="00FA5698" w:rsidRDefault="00FA5698" w:rsidP="00FA5698">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(n =</w:t>
                  </w:r>
                  <w:r w:rsidR="00682053">
                    <w:rPr>
                      <w:rFonts w:ascii="Arial" w:hAnsi="Arial" w:cs="Arial"/>
                      <w:color w:val="000000" w:themeColor="text1"/>
                      <w:sz w:val="18"/>
                      <w:szCs w:val="20"/>
                    </w:rPr>
                    <w:t>89</w:t>
                  </w:r>
                  <w:r>
                    <w:rPr>
                      <w:rFonts w:ascii="Arial" w:hAnsi="Arial" w:cs="Arial"/>
                      <w:color w:val="000000" w:themeColor="text1"/>
                      <w:sz w:val="18"/>
                      <w:szCs w:val="20"/>
                    </w:rPr>
                    <w:t>)</w:t>
                  </w:r>
                </w:p>
              </w:txbxContent>
            </v:textbox>
          </v:rect>
        </w:pict>
      </w:r>
      <w:r>
        <w:rPr>
          <w:noProof/>
          <w:lang w:val="en-GB"/>
        </w:rPr>
        <w:pict w14:anchorId="5FEBD4F3">
          <v:rect id="Rectangle 1" o:spid="_x0000_s1045" style="position:absolute;left:0;text-align:left;margin-left:44.05pt;margin-top:6.05pt;width:148.6pt;height:97.9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20D4E08E"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1B75DE9" w14:textId="77777777" w:rsidR="00FA5698" w:rsidRDefault="00FA5698" w:rsidP="00FA5698">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Databases (n =</w:t>
                  </w:r>
                  <w:r w:rsidR="00682053">
                    <w:rPr>
                      <w:rFonts w:ascii="Arial" w:hAnsi="Arial" w:cs="Arial"/>
                      <w:color w:val="000000" w:themeColor="text1"/>
                      <w:sz w:val="18"/>
                      <w:szCs w:val="20"/>
                    </w:rPr>
                    <w:t>1124</w:t>
                  </w:r>
                  <w:r>
                    <w:rPr>
                      <w:rFonts w:ascii="Arial" w:hAnsi="Arial" w:cs="Arial"/>
                      <w:color w:val="000000" w:themeColor="text1"/>
                      <w:sz w:val="18"/>
                      <w:szCs w:val="20"/>
                    </w:rPr>
                    <w:t>)</w:t>
                  </w:r>
                </w:p>
              </w:txbxContent>
            </v:textbox>
          </v:rect>
        </w:pict>
      </w:r>
    </w:p>
    <w:p w14:paraId="0291DC07" w14:textId="77777777" w:rsidR="00FA5698" w:rsidRPr="004155A7" w:rsidRDefault="00FA5698" w:rsidP="00FA5698">
      <w:pPr>
        <w:spacing w:after="0" w:line="240" w:lineRule="auto"/>
        <w:rPr>
          <w:lang w:val="en-GB"/>
        </w:rPr>
      </w:pPr>
    </w:p>
    <w:p w14:paraId="30B2ABF2" w14:textId="77777777" w:rsidR="00FA5698" w:rsidRPr="004155A7" w:rsidRDefault="00FA5698" w:rsidP="00FA5698">
      <w:pPr>
        <w:spacing w:after="0" w:line="240" w:lineRule="auto"/>
        <w:rPr>
          <w:lang w:val="en-GB"/>
        </w:rPr>
      </w:pPr>
    </w:p>
    <w:p w14:paraId="517B2D9F" w14:textId="77777777" w:rsidR="00FA5698" w:rsidRPr="004155A7" w:rsidRDefault="00FA5698" w:rsidP="00FA5698">
      <w:pPr>
        <w:spacing w:after="0" w:line="240" w:lineRule="auto"/>
        <w:rPr>
          <w:lang w:val="en-GB"/>
        </w:rPr>
      </w:pPr>
    </w:p>
    <w:p w14:paraId="7D91FAE9" w14:textId="77777777" w:rsidR="00FA5698" w:rsidRPr="004155A7" w:rsidRDefault="00C61136" w:rsidP="00FA5698">
      <w:pPr>
        <w:spacing w:after="0" w:line="240" w:lineRule="auto"/>
        <w:rPr>
          <w:lang w:val="en-GB"/>
        </w:rPr>
      </w:pPr>
      <w:r>
        <w:rPr>
          <w:noProof/>
          <w:lang w:val="en-GB"/>
        </w:rPr>
        <w:pict w14:anchorId="755547D0">
          <v:shapetype id="_x0000_t32" coordsize="21600,21600" o:spt="32" o:oned="t" path="m,l21600,21600e" filled="f">
            <v:path arrowok="t" fillok="f" o:connecttype="none"/>
            <o:lock v:ext="edit" shapetype="t"/>
          </v:shapetype>
          <v:shape id="Straight Arrow Connector 14" o:spid="_x0000_s1053" type="#_x0000_t32" style="position:absolute;left:0;text-align:left;margin-left:193.25pt;margin-top:.75pt;width:44.35pt;height: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14:paraId="6453A7CA" w14:textId="77777777" w:rsidR="00FA5698" w:rsidRPr="004155A7" w:rsidRDefault="00FA5698" w:rsidP="00FA5698">
      <w:pPr>
        <w:spacing w:after="0" w:line="240" w:lineRule="auto"/>
        <w:rPr>
          <w:lang w:val="en-GB"/>
        </w:rPr>
      </w:pPr>
    </w:p>
    <w:p w14:paraId="7858E6FE" w14:textId="77777777" w:rsidR="00FA5698" w:rsidRPr="004155A7" w:rsidRDefault="00FA5698" w:rsidP="00FA5698">
      <w:pPr>
        <w:spacing w:after="0" w:line="240" w:lineRule="auto"/>
        <w:rPr>
          <w:lang w:val="en-GB"/>
        </w:rPr>
      </w:pPr>
    </w:p>
    <w:p w14:paraId="05A28CB9" w14:textId="77777777" w:rsidR="00FA5698" w:rsidRPr="004155A7" w:rsidRDefault="00C61136" w:rsidP="00FA5698">
      <w:pPr>
        <w:spacing w:after="0" w:line="240" w:lineRule="auto"/>
        <w:rPr>
          <w:lang w:val="en-GB"/>
        </w:rPr>
      </w:pPr>
      <w:r>
        <w:rPr>
          <w:noProof/>
          <w:lang w:val="en-GB"/>
        </w:rPr>
        <w:pict w14:anchorId="63B0F916">
          <v:shape id="Straight Arrow Connector 27" o:spid="_x0000_s1057" type="#_x0000_t32" style="position:absolute;left:0;text-align:left;margin-left:110.25pt;margin-top:10.15pt;width:0;height:22.1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14:paraId="47FD3ECB" w14:textId="77777777" w:rsidR="00FA5698" w:rsidRPr="004155A7" w:rsidRDefault="00FA5698" w:rsidP="00FA5698">
      <w:pPr>
        <w:spacing w:after="0" w:line="240" w:lineRule="auto"/>
        <w:rPr>
          <w:lang w:val="en-GB"/>
        </w:rPr>
      </w:pPr>
    </w:p>
    <w:p w14:paraId="595EC451" w14:textId="77777777" w:rsidR="00FA5698" w:rsidRPr="004155A7" w:rsidRDefault="00C61136" w:rsidP="00FA5698">
      <w:pPr>
        <w:spacing w:after="0" w:line="240" w:lineRule="auto"/>
        <w:rPr>
          <w:lang w:val="en-GB"/>
        </w:rPr>
      </w:pPr>
      <w:r>
        <w:rPr>
          <w:noProof/>
          <w:lang w:val="en-GB"/>
        </w:rPr>
        <w:pict w14:anchorId="1750AB05">
          <v:shape id="Straight Arrow Connector 15" o:spid="_x0000_s1054" type="#_x0000_t32" style="position:absolute;left:0;text-align:left;margin-left:193.2pt;margin-top:25.8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GB"/>
        </w:rPr>
        <w:pict w14:anchorId="0CBD931F">
          <v:rect id="Rectangle 3" o:spid="_x0000_s1046" style="position:absolute;left:0;text-align:left;margin-left:44.05pt;margin-top:5.9pt;width:148.6pt;height:41.45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4C699448"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096A6A9F"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472</w:t>
                  </w:r>
                  <w:r>
                    <w:rPr>
                      <w:rFonts w:ascii="Arial" w:hAnsi="Arial" w:cs="Arial"/>
                      <w:color w:val="000000" w:themeColor="text1"/>
                      <w:sz w:val="18"/>
                      <w:szCs w:val="20"/>
                    </w:rPr>
                    <w:t>)</w:t>
                  </w:r>
                </w:p>
              </w:txbxContent>
            </v:textbox>
          </v:rect>
        </w:pict>
      </w:r>
      <w:r>
        <w:rPr>
          <w:noProof/>
          <w:lang w:val="en-GB"/>
        </w:rPr>
        <w:pict w14:anchorId="5FC1B77E">
          <v:rect id="Rectangle 4" o:spid="_x0000_s1047" style="position:absolute;left:0;text-align:left;margin-left:240pt;margin-top:5.9pt;width:148.6pt;height:41.4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6F08F142"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451C72AD"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291</w:t>
                  </w:r>
                  <w:r>
                    <w:rPr>
                      <w:rFonts w:ascii="Arial" w:hAnsi="Arial" w:cs="Arial"/>
                      <w:color w:val="000000" w:themeColor="text1"/>
                      <w:sz w:val="18"/>
                      <w:szCs w:val="20"/>
                    </w:rPr>
                    <w:t>)</w:t>
                  </w:r>
                </w:p>
              </w:txbxContent>
            </v:textbox>
          </v:rect>
        </w:pict>
      </w:r>
    </w:p>
    <w:p w14:paraId="239E37B6" w14:textId="77777777" w:rsidR="00FA5698" w:rsidRPr="004155A7" w:rsidRDefault="00FA5698" w:rsidP="00FA5698">
      <w:pPr>
        <w:spacing w:after="0" w:line="240" w:lineRule="auto"/>
        <w:rPr>
          <w:lang w:val="en-GB"/>
        </w:rPr>
      </w:pPr>
    </w:p>
    <w:p w14:paraId="07CC0442" w14:textId="77777777" w:rsidR="00FA5698" w:rsidRPr="004155A7" w:rsidRDefault="00FA5698" w:rsidP="00FA5698">
      <w:pPr>
        <w:spacing w:after="0" w:line="240" w:lineRule="auto"/>
        <w:rPr>
          <w:lang w:val="en-GB"/>
        </w:rPr>
      </w:pPr>
    </w:p>
    <w:p w14:paraId="38CC01DD" w14:textId="77777777" w:rsidR="00FA5698" w:rsidRPr="004155A7" w:rsidRDefault="00C61136" w:rsidP="00FA5698">
      <w:pPr>
        <w:spacing w:after="0" w:line="240" w:lineRule="auto"/>
        <w:rPr>
          <w:lang w:val="en-GB"/>
        </w:rPr>
      </w:pPr>
      <w:r>
        <w:rPr>
          <w:noProof/>
          <w:lang w:val="en-GB"/>
        </w:rPr>
        <w:pict w14:anchorId="25A9558F">
          <v:shape id="Straight Arrow Connector 35" o:spid="_x0000_s1058" type="#_x0000_t32" style="position:absolute;left:0;text-align:left;margin-left:110.25pt;margin-top:7.85pt;width:0;height:22.1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14:paraId="0570435F" w14:textId="77777777" w:rsidR="00FA5698" w:rsidRPr="004155A7" w:rsidRDefault="00FA5698" w:rsidP="00FA5698">
      <w:pPr>
        <w:spacing w:after="0" w:line="240" w:lineRule="auto"/>
        <w:rPr>
          <w:lang w:val="en-GB"/>
        </w:rPr>
      </w:pPr>
    </w:p>
    <w:p w14:paraId="3ED53CF3" w14:textId="77777777" w:rsidR="00FA5698" w:rsidRPr="004155A7" w:rsidRDefault="00C61136" w:rsidP="00FA5698">
      <w:pPr>
        <w:spacing w:after="0" w:line="240" w:lineRule="auto"/>
        <w:rPr>
          <w:lang w:val="en-GB"/>
        </w:rPr>
      </w:pPr>
      <w:r>
        <w:rPr>
          <w:noProof/>
          <w:lang w:val="en-GB"/>
        </w:rPr>
        <w:pict w14:anchorId="6C44214B">
          <v:rect id="Rectangle 6" o:spid="_x0000_s1049" style="position:absolute;left:0;text-align:left;margin-left:240.1pt;margin-top:5.25pt;width:170.15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0D8D85AE"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94E0F99"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43</w:t>
                  </w:r>
                  <w:r>
                    <w:rPr>
                      <w:rFonts w:ascii="Arial" w:hAnsi="Arial" w:cs="Arial"/>
                      <w:color w:val="000000" w:themeColor="text1"/>
                      <w:sz w:val="18"/>
                      <w:szCs w:val="20"/>
                    </w:rPr>
                    <w:t>)</w:t>
                  </w:r>
                </w:p>
              </w:txbxContent>
            </v:textbox>
          </v:rect>
        </w:pict>
      </w:r>
      <w:r>
        <w:rPr>
          <w:noProof/>
          <w:lang w:val="en-GB"/>
        </w:rPr>
        <w:pict w14:anchorId="0CBE2BFE">
          <v:rect id="Rectangle 5" o:spid="_x0000_s1048" style="position:absolute;left:0;text-align:left;margin-left:44.15pt;margin-top:3.75pt;width:148.6pt;height:41.4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623D69DE"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9135C23"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181</w:t>
                  </w:r>
                  <w:r>
                    <w:rPr>
                      <w:rFonts w:ascii="Arial" w:hAnsi="Arial" w:cs="Arial"/>
                      <w:color w:val="000000" w:themeColor="text1"/>
                      <w:sz w:val="18"/>
                      <w:szCs w:val="20"/>
                    </w:rPr>
                    <w:t>)</w:t>
                  </w:r>
                </w:p>
              </w:txbxContent>
            </v:textbox>
          </v:rect>
        </w:pict>
      </w:r>
      <w:r>
        <w:rPr>
          <w:noProof/>
          <w:lang w:val="en-GB"/>
        </w:rPr>
        <w:pict w14:anchorId="76AA588E">
          <v:shape id="Straight Arrow Connector 16" o:spid="_x0000_s1055" type="#_x0000_t32" style="position:absolute;left:0;text-align:left;margin-left:193.95pt;margin-top:25.25pt;width:44.3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p>
    <w:p w14:paraId="158FFAEA" w14:textId="77777777" w:rsidR="00FA5698" w:rsidRPr="004155A7" w:rsidRDefault="00FA5698" w:rsidP="00FA5698">
      <w:pPr>
        <w:spacing w:after="0" w:line="240" w:lineRule="auto"/>
        <w:rPr>
          <w:lang w:val="en-GB"/>
        </w:rPr>
      </w:pPr>
    </w:p>
    <w:p w14:paraId="4F99A52B" w14:textId="77777777" w:rsidR="00FA5698" w:rsidRPr="004155A7" w:rsidRDefault="00FA5698" w:rsidP="00FA5698">
      <w:pPr>
        <w:spacing w:after="0" w:line="240" w:lineRule="auto"/>
        <w:rPr>
          <w:lang w:val="en-GB"/>
        </w:rPr>
      </w:pPr>
    </w:p>
    <w:p w14:paraId="54624B5F" w14:textId="77777777" w:rsidR="00FA5698" w:rsidRPr="004155A7" w:rsidRDefault="00C61136" w:rsidP="00FA5698">
      <w:pPr>
        <w:spacing w:after="0" w:line="240" w:lineRule="auto"/>
        <w:rPr>
          <w:lang w:val="en-GB"/>
        </w:rPr>
      </w:pPr>
      <w:r>
        <w:rPr>
          <w:noProof/>
          <w:lang w:val="en-GB"/>
        </w:rPr>
        <w:pict w14:anchorId="00144304">
          <v:shape id="Straight Arrow Connector 36" o:spid="_x0000_s1059" type="#_x0000_t32" style="position:absolute;left:0;text-align:left;margin-left:111pt;margin-top:4.45pt;width:0;height:22.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14:paraId="59F252CD" w14:textId="77777777" w:rsidR="00FA5698" w:rsidRPr="004155A7" w:rsidRDefault="00C61136" w:rsidP="00FA5698">
      <w:pPr>
        <w:spacing w:after="0" w:line="240" w:lineRule="auto"/>
        <w:rPr>
          <w:lang w:val="en-GB"/>
        </w:rPr>
      </w:pPr>
      <w:r>
        <w:rPr>
          <w:noProof/>
          <w:lang w:val="en-GB"/>
        </w:rPr>
        <w:pict w14:anchorId="245B94A5">
          <v:rect id="Rectangle 9" o:spid="_x0000_s1051" style="position:absolute;left:0;text-align:left;margin-left:240.75pt;margin-top:3.5pt;width:213.8pt;height:133.3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inset="1.5mm,1mm,1.5mm,1mm">
              <w:txbxContent>
                <w:p w14:paraId="1288E90D" w14:textId="77777777" w:rsidR="00FA5698" w:rsidRDefault="00FA5698" w:rsidP="00FA569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96147C1" w14:textId="77777777" w:rsidR="00FA5698" w:rsidRDefault="00FA5698" w:rsidP="00FA5698">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w:t>
                  </w:r>
                  <w:r w:rsidR="00682053" w:rsidRPr="00682053">
                    <w:rPr>
                      <w:rFonts w:ascii="Arial" w:hAnsi="Arial" w:cs="Arial"/>
                      <w:color w:val="000000" w:themeColor="text1"/>
                      <w:sz w:val="18"/>
                      <w:szCs w:val="20"/>
                    </w:rPr>
                    <w:t xml:space="preserve">out of scope after full-text check: not soil-focused / not pollution management / sediment-only or water-only </w:t>
                  </w:r>
                  <w:r w:rsidRPr="00814804">
                    <w:rPr>
                      <w:rFonts w:ascii="Arial" w:hAnsi="Arial" w:cs="Arial"/>
                      <w:color w:val="000000" w:themeColor="text1"/>
                      <w:sz w:val="18"/>
                      <w:szCs w:val="20"/>
                    </w:rPr>
                    <w:t>(n =</w:t>
                  </w:r>
                  <w:r w:rsidR="00682053">
                    <w:rPr>
                      <w:rFonts w:ascii="Arial" w:hAnsi="Arial" w:cs="Arial"/>
                      <w:color w:val="000000" w:themeColor="text1"/>
                      <w:sz w:val="18"/>
                      <w:szCs w:val="20"/>
                    </w:rPr>
                    <w:t>48</w:t>
                  </w:r>
                  <w:r w:rsidRPr="00814804">
                    <w:rPr>
                      <w:rFonts w:ascii="Arial" w:hAnsi="Arial" w:cs="Arial"/>
                      <w:color w:val="000000" w:themeColor="text1"/>
                      <w:sz w:val="18"/>
                      <w:szCs w:val="20"/>
                    </w:rPr>
                    <w:t>)</w:t>
                  </w:r>
                </w:p>
                <w:p w14:paraId="140A7B27" w14:textId="77777777" w:rsidR="00FA5698" w:rsidRDefault="00FA5698" w:rsidP="00FA5698">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w:t>
                  </w:r>
                  <w:r w:rsidR="00682053" w:rsidRPr="00682053">
                    <w:rPr>
                      <w:rFonts w:ascii="Arial" w:hAnsi="Arial" w:cs="Arial"/>
                      <w:color w:val="000000" w:themeColor="text1"/>
                      <w:sz w:val="18"/>
                      <w:szCs w:val="20"/>
                    </w:rPr>
                    <w:t xml:space="preserve">insufficient methodological detail or non-peer-reviewed when a peer-reviewed equivalent was available </w:t>
                  </w:r>
                  <w:r w:rsidRPr="00814804">
                    <w:rPr>
                      <w:rFonts w:ascii="Arial" w:hAnsi="Arial" w:cs="Arial"/>
                      <w:color w:val="000000" w:themeColor="text1"/>
                      <w:sz w:val="18"/>
                      <w:szCs w:val="20"/>
                    </w:rPr>
                    <w:t>(n =</w:t>
                  </w:r>
                  <w:r w:rsidR="00682053">
                    <w:rPr>
                      <w:rFonts w:ascii="Arial" w:hAnsi="Arial" w:cs="Arial"/>
                      <w:color w:val="000000" w:themeColor="text1"/>
                      <w:sz w:val="18"/>
                      <w:szCs w:val="20"/>
                    </w:rPr>
                    <w:t>39</w:t>
                  </w:r>
                  <w:r w:rsidRPr="00814804">
                    <w:rPr>
                      <w:rFonts w:ascii="Arial" w:hAnsi="Arial" w:cs="Arial"/>
                      <w:color w:val="000000" w:themeColor="text1"/>
                      <w:sz w:val="18"/>
                      <w:szCs w:val="20"/>
                    </w:rPr>
                    <w:t>)</w:t>
                  </w:r>
                </w:p>
                <w:p w14:paraId="712337F2" w14:textId="77777777" w:rsidR="00FA5698" w:rsidRPr="00560609" w:rsidRDefault="00FA5698" w:rsidP="00FA5698">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3: </w:t>
                  </w:r>
                  <w:r w:rsidR="00682053" w:rsidRPr="00682053">
                    <w:rPr>
                      <w:rFonts w:ascii="Arial" w:hAnsi="Arial" w:cs="Arial"/>
                      <w:color w:val="000000" w:themeColor="text1"/>
                      <w:sz w:val="18"/>
                      <w:szCs w:val="20"/>
                    </w:rPr>
                    <w:t>limited decision-relevance: no usable performance indicators for monitoring/remediation integration, or not transferable beyond a highly specific case</w:t>
                  </w:r>
                  <w:r w:rsidR="00682053">
                    <w:rPr>
                      <w:rFonts w:ascii="Arial" w:hAnsi="Arial" w:cs="Arial"/>
                      <w:color w:val="000000" w:themeColor="text1"/>
                      <w:sz w:val="18"/>
                      <w:szCs w:val="20"/>
                    </w:rPr>
                    <w:t xml:space="preserve"> </w:t>
                  </w:r>
                  <w:r w:rsidRPr="00814804">
                    <w:rPr>
                      <w:rFonts w:ascii="Arial" w:hAnsi="Arial" w:cs="Arial"/>
                      <w:color w:val="000000" w:themeColor="text1"/>
                      <w:sz w:val="18"/>
                      <w:szCs w:val="20"/>
                    </w:rPr>
                    <w:t>or unverifiable metadata/DOI (n =</w:t>
                  </w:r>
                  <w:r w:rsidR="00682053">
                    <w:rPr>
                      <w:rFonts w:ascii="Arial" w:hAnsi="Arial" w:cs="Arial"/>
                      <w:color w:val="000000" w:themeColor="text1"/>
                      <w:sz w:val="18"/>
                      <w:szCs w:val="20"/>
                    </w:rPr>
                    <w:t>26</w:t>
                  </w:r>
                  <w:r w:rsidRPr="00814804">
                    <w:rPr>
                      <w:rFonts w:ascii="Arial" w:hAnsi="Arial" w:cs="Arial"/>
                      <w:color w:val="000000" w:themeColor="text1"/>
                      <w:sz w:val="18"/>
                      <w:szCs w:val="20"/>
                    </w:rPr>
                    <w:t>)</w:t>
                  </w:r>
                  <w:r>
                    <w:rPr>
                      <w:rFonts w:ascii="Arial" w:hAnsi="Arial" w:cs="Arial"/>
                      <w:color w:val="000000" w:themeColor="text1"/>
                      <w:sz w:val="18"/>
                      <w:szCs w:val="20"/>
                    </w:rPr>
                    <w:t>.</w:t>
                  </w:r>
                </w:p>
              </w:txbxContent>
            </v:textbox>
          </v:rect>
        </w:pict>
      </w:r>
    </w:p>
    <w:p w14:paraId="405F73C4" w14:textId="77777777" w:rsidR="00FA5698" w:rsidRPr="004155A7" w:rsidRDefault="00C61136" w:rsidP="00FA5698">
      <w:pPr>
        <w:spacing w:after="0" w:line="240" w:lineRule="auto"/>
        <w:rPr>
          <w:lang w:val="en-GB"/>
        </w:rPr>
      </w:pPr>
      <w:r>
        <w:rPr>
          <w:noProof/>
          <w:lang w:val="en-GB"/>
        </w:rPr>
        <w:pict w14:anchorId="68624D84">
          <v:shape id="Straight Arrow Connector 17" o:spid="_x0000_s1056" type="#_x0000_t32" style="position:absolute;left:0;text-align:left;margin-left:195pt;margin-top:23.2pt;width:44.3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GB"/>
        </w:rPr>
        <w:pict w14:anchorId="1E44A4AF">
          <v:rect id="Rectangle 8" o:spid="_x0000_s1050" style="position:absolute;left:0;text-align:left;margin-left:44.25pt;margin-top:1.05pt;width:148.6pt;height:41.4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4FD8583" w14:textId="77777777" w:rsidR="00FA5698" w:rsidRDefault="00FA5698" w:rsidP="00FA5698">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CF7C157" w14:textId="77777777" w:rsidR="00FA5698" w:rsidRPr="00560609" w:rsidRDefault="00FA5698" w:rsidP="00FA5698">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682053">
                    <w:rPr>
                      <w:rFonts w:ascii="Arial" w:hAnsi="Arial" w:cs="Arial"/>
                      <w:color w:val="000000" w:themeColor="text1"/>
                      <w:sz w:val="18"/>
                      <w:szCs w:val="20"/>
                    </w:rPr>
                    <w:t>138</w:t>
                  </w:r>
                  <w:r>
                    <w:rPr>
                      <w:rFonts w:ascii="Arial" w:hAnsi="Arial" w:cs="Arial"/>
                      <w:color w:val="000000" w:themeColor="text1"/>
                      <w:sz w:val="18"/>
                      <w:szCs w:val="20"/>
                    </w:rPr>
                    <w:t>)</w:t>
                  </w:r>
                </w:p>
              </w:txbxContent>
            </v:textbox>
          </v:rect>
        </w:pict>
      </w:r>
    </w:p>
    <w:p w14:paraId="28E8F242" w14:textId="77777777" w:rsidR="00FA5698" w:rsidRPr="004155A7" w:rsidRDefault="00FA5698" w:rsidP="00FA5698">
      <w:pPr>
        <w:spacing w:after="0" w:line="240" w:lineRule="auto"/>
        <w:rPr>
          <w:lang w:val="en-GB"/>
        </w:rPr>
      </w:pPr>
    </w:p>
    <w:p w14:paraId="0BA28F78" w14:textId="77777777" w:rsidR="00FA5698" w:rsidRPr="004155A7" w:rsidRDefault="00FA5698" w:rsidP="00FA5698">
      <w:pPr>
        <w:spacing w:after="0" w:line="240" w:lineRule="auto"/>
        <w:rPr>
          <w:lang w:val="en-GB"/>
        </w:rPr>
      </w:pPr>
    </w:p>
    <w:p w14:paraId="766698A0" w14:textId="77777777" w:rsidR="00FA5698" w:rsidRPr="004155A7" w:rsidRDefault="00C61136" w:rsidP="00FA5698">
      <w:pPr>
        <w:spacing w:after="0" w:line="240" w:lineRule="auto"/>
        <w:rPr>
          <w:lang w:val="en-GB"/>
        </w:rPr>
      </w:pPr>
      <w:r>
        <w:rPr>
          <w:noProof/>
          <w:lang w:val="en-GB"/>
        </w:rPr>
        <w:pict w14:anchorId="4A6E9E59">
          <v:shape id="Straight Arrow Connector 19" o:spid="_x0000_s1060" type="#_x0000_t32" style="position:absolute;left:0;text-align:left;margin-left:110.3pt;margin-top:2.35pt;width:0;height:58.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14:paraId="58FA2E81" w14:textId="77777777" w:rsidR="00FA5698" w:rsidRPr="004155A7" w:rsidRDefault="00FA5698" w:rsidP="00FA5698">
      <w:pPr>
        <w:spacing w:after="0" w:line="240" w:lineRule="auto"/>
        <w:rPr>
          <w:lang w:val="en-GB"/>
        </w:rPr>
      </w:pPr>
    </w:p>
    <w:p w14:paraId="10D6F8C9" w14:textId="77777777" w:rsidR="00FA5698" w:rsidRPr="004155A7" w:rsidRDefault="00FA5698" w:rsidP="00FA5698">
      <w:pPr>
        <w:spacing w:after="0" w:line="240" w:lineRule="auto"/>
        <w:rPr>
          <w:lang w:val="en-GB"/>
        </w:rPr>
      </w:pPr>
    </w:p>
    <w:p w14:paraId="2212FC68" w14:textId="77777777" w:rsidR="00FA5698" w:rsidRPr="004155A7" w:rsidRDefault="00FA5698" w:rsidP="00FA5698">
      <w:pPr>
        <w:spacing w:after="0" w:line="240" w:lineRule="auto"/>
        <w:rPr>
          <w:lang w:val="en-GB"/>
        </w:rPr>
      </w:pPr>
    </w:p>
    <w:p w14:paraId="4D69DCE6" w14:textId="77777777" w:rsidR="00FA5698" w:rsidRPr="004155A7" w:rsidRDefault="00C61136" w:rsidP="00FA5698">
      <w:pPr>
        <w:spacing w:after="0" w:line="240" w:lineRule="auto"/>
        <w:rPr>
          <w:lang w:val="en-GB"/>
        </w:rPr>
      </w:pPr>
      <w:r>
        <w:rPr>
          <w:noProof/>
          <w:lang w:val="en-GB"/>
        </w:rPr>
        <w:pict w14:anchorId="10BD8ED5">
          <v:rect id="Rectangle 13" o:spid="_x0000_s1052" style="position:absolute;left:0;text-align:left;margin-left:42.55pt;margin-top:8.7pt;width:148.6pt;height:36.1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01AE0D6D" w14:textId="77777777" w:rsidR="00FA5698" w:rsidRDefault="00FA5698" w:rsidP="00FA5698">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Report/Studies included in review (n = 2</w:t>
                  </w:r>
                  <w:r w:rsidR="00682053">
                    <w:rPr>
                      <w:rFonts w:ascii="Arial" w:hAnsi="Arial" w:cs="Arial"/>
                      <w:color w:val="000000" w:themeColor="text1"/>
                      <w:sz w:val="18"/>
                      <w:szCs w:val="20"/>
                    </w:rPr>
                    <w:t>5</w:t>
                  </w:r>
                  <w:r>
                    <w:rPr>
                      <w:rFonts w:ascii="Arial" w:hAnsi="Arial" w:cs="Arial"/>
                      <w:color w:val="000000" w:themeColor="text1"/>
                      <w:sz w:val="18"/>
                      <w:szCs w:val="20"/>
                    </w:rPr>
                    <w:t>)</w:t>
                  </w:r>
                </w:p>
              </w:txbxContent>
            </v:textbox>
          </v:rect>
        </w:pict>
      </w:r>
    </w:p>
    <w:p w14:paraId="714C4974" w14:textId="77777777" w:rsidR="00FA5698" w:rsidRPr="004155A7" w:rsidRDefault="00FA5698" w:rsidP="00FA5698">
      <w:pPr>
        <w:spacing w:after="0" w:line="240" w:lineRule="auto"/>
        <w:rPr>
          <w:lang w:val="en-GB"/>
        </w:rPr>
      </w:pPr>
    </w:p>
    <w:p w14:paraId="16AAE88B" w14:textId="77777777" w:rsidR="00FA5698" w:rsidRPr="004155A7" w:rsidRDefault="00FA5698" w:rsidP="00FA5698">
      <w:pPr>
        <w:spacing w:after="0" w:line="240" w:lineRule="auto"/>
        <w:rPr>
          <w:lang w:val="en-GB"/>
        </w:rPr>
      </w:pPr>
    </w:p>
    <w:p w14:paraId="35A7EAA6" w14:textId="77777777" w:rsidR="00FA5698" w:rsidRPr="004155A7" w:rsidRDefault="00FA5698" w:rsidP="00FA5698">
      <w:pPr>
        <w:spacing w:after="0" w:line="240" w:lineRule="auto"/>
        <w:rPr>
          <w:lang w:val="en-GB"/>
        </w:rPr>
      </w:pPr>
    </w:p>
    <w:p w14:paraId="05E1A718" w14:textId="77777777" w:rsidR="00FA5698" w:rsidRPr="004155A7" w:rsidRDefault="00FA5698" w:rsidP="00FA5698">
      <w:pPr>
        <w:pStyle w:val="NormalWeb"/>
        <w:jc w:val="center"/>
        <w:rPr>
          <w:lang w:val="en-GB"/>
        </w:rPr>
      </w:pPr>
      <w:r w:rsidRPr="004155A7">
        <w:rPr>
          <w:lang w:val="en-GB"/>
        </w:rPr>
        <w:t>Figure 1: Stratified methods of literature selection</w:t>
      </w:r>
    </w:p>
    <w:p w14:paraId="3CD3ED74" w14:textId="77777777" w:rsidR="00FA5698" w:rsidRPr="00697683" w:rsidRDefault="00FA5698" w:rsidP="00697683">
      <w:pPr>
        <w:spacing w:before="100" w:beforeAutospacing="1" w:after="100" w:afterAutospacing="1" w:line="240" w:lineRule="auto"/>
        <w:ind w:left="0" w:right="0" w:firstLine="0"/>
        <w:jc w:val="left"/>
        <w:rPr>
          <w:color w:val="auto"/>
          <w:kern w:val="0"/>
          <w:lang w:val="en-GB" w:eastAsia="en-US"/>
        </w:rPr>
      </w:pPr>
    </w:p>
    <w:p w14:paraId="29495BA6" w14:textId="77777777" w:rsidR="00697683" w:rsidRPr="00697683" w:rsidRDefault="00697683" w:rsidP="00697683">
      <w:pPr>
        <w:spacing w:after="0" w:line="240" w:lineRule="auto"/>
        <w:ind w:left="0" w:right="0" w:firstLine="0"/>
        <w:jc w:val="left"/>
        <w:rPr>
          <w:color w:val="auto"/>
          <w:kern w:val="0"/>
          <w:lang w:val="en-GB" w:eastAsia="en-US"/>
        </w:rPr>
      </w:pPr>
    </w:p>
    <w:p w14:paraId="7E4DC758" w14:textId="77777777" w:rsidR="00697683" w:rsidRPr="00697683" w:rsidRDefault="00697683" w:rsidP="006976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697683">
        <w:rPr>
          <w:b/>
          <w:bCs/>
          <w:color w:val="auto"/>
          <w:kern w:val="0"/>
          <w:sz w:val="36"/>
          <w:szCs w:val="36"/>
          <w:lang w:val="en-GB" w:eastAsia="en-US"/>
        </w:rPr>
        <w:t>3. Conceptual basis for integrated soil pollution management</w:t>
      </w:r>
    </w:p>
    <w:p w14:paraId="08E56539"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lastRenderedPageBreak/>
        <w:t>Integrated practice begins with a conceptual model of contaminant sources, transport pathways, exposure routes, and receptors. While models vary by jurisdiction, a common logic links sources to receptors through pathways that may include ingestion of soil or produce, inhalation of resuspended particles, dermal contact, leaching to groundwater, or runoff to surface waters. Such frameworks are most effective when they embed bioavailability and land use into the assessment, recognising that hazards become risks only through exposure and that exposure depends on both contaminant form and human or ecological behaviour.</w:t>
      </w:r>
    </w:p>
    <w:p w14:paraId="6368DEB2"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 xml:space="preserve">Risk assessment has broadened from deterministic screening to more nuanced treatment of uncertainty, spatial variability, and mixture effects. Reviews of health risk assessment frameworks for soil metals emphasise that exposure parameter selection, land use assumptions, and uncertainty in bioavailability can materially influence risk outcomes and therefore remediation triggers and targets (Yang et al., 2023). Consequently, integrated management increasingly relies on tiered assessment, where screening-level evaluations guide where to intensify sampling and where to invest in mechanistic measurements such as </w:t>
      </w:r>
      <w:proofErr w:type="spellStart"/>
      <w:r w:rsidRPr="00697683">
        <w:rPr>
          <w:color w:val="auto"/>
          <w:kern w:val="0"/>
          <w:lang w:val="en-GB" w:eastAsia="en-US"/>
        </w:rPr>
        <w:t>bioaccessibility</w:t>
      </w:r>
      <w:proofErr w:type="spellEnd"/>
      <w:r w:rsidRPr="00697683">
        <w:rPr>
          <w:color w:val="auto"/>
          <w:kern w:val="0"/>
          <w:lang w:val="en-GB" w:eastAsia="en-US"/>
        </w:rPr>
        <w:t xml:space="preserve"> or passive sampling.</w:t>
      </w:r>
    </w:p>
    <w:p w14:paraId="49344C33"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The “triad” philosophy, often implemented through weight-of-evidence methods, represents an influential integrative approach for ecological risk. By combining chemical measurements with toxicity testing and ecological observations, triad-based decision systems aim to avoid over-reliance on any single evidence type and to improve the defensibility of management decisions (Dagnino et al., 2008). Although originally prominent in ecological contexts, the broader lesson applies across soil pollution: decision quality improves when multiple evidence streams converge and when uncertainty is explicitly identified and managed.</w:t>
      </w:r>
    </w:p>
    <w:p w14:paraId="765C0BD4"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Sustainable remediation frameworks extend this integration into the decision space. Sustainability, as framed in contaminated land remediation, is increasingly treated as an imperative rather than an optional add-on, requiring consideration of remediation impacts, social acceptance, and long-term land value alongside contaminant reduction (Hou &amp; Al-Tabbaa, 2014). Operationalising this principle requires structured decision tools. Early decision frameworks encourage teams to identify drivers, barriers, and metrics early in the project life cycle, thereby reducing the risk that remediation actions create unintended environmental burdens or stakeholder conflict (Harclerode et al., 2016). Comparative analyses of sustainable remediation frameworks further show that “sustainability” can be interpreted narrowly as a checklist or more substantively as an integrated set of principles that address social, economic, and biophysical dimensions; the latter generally provides stronger guidance for practice (Ridsdale &amp; Noble, 2016).</w:t>
      </w:r>
    </w:p>
    <w:p w14:paraId="443EB2E9" w14:textId="77777777" w:rsidR="00697683" w:rsidRPr="00697683" w:rsidRDefault="00697683" w:rsidP="00697683">
      <w:pPr>
        <w:spacing w:after="0" w:line="240" w:lineRule="auto"/>
        <w:ind w:left="0" w:right="0" w:firstLine="0"/>
        <w:jc w:val="left"/>
        <w:rPr>
          <w:color w:val="auto"/>
          <w:kern w:val="0"/>
          <w:lang w:val="en-GB" w:eastAsia="en-US"/>
        </w:rPr>
      </w:pPr>
    </w:p>
    <w:p w14:paraId="346267E4" w14:textId="77777777" w:rsidR="00DE3F15" w:rsidRPr="00DE3F15" w:rsidRDefault="00DE3F15" w:rsidP="00DE3F15">
      <w:pPr>
        <w:spacing w:before="100" w:beforeAutospacing="1" w:after="100" w:afterAutospacing="1" w:line="240" w:lineRule="auto"/>
        <w:ind w:left="0" w:right="0" w:firstLine="0"/>
        <w:jc w:val="left"/>
        <w:outlineLvl w:val="1"/>
        <w:rPr>
          <w:b/>
          <w:bCs/>
          <w:color w:val="auto"/>
          <w:kern w:val="0"/>
          <w:sz w:val="36"/>
          <w:szCs w:val="36"/>
          <w:lang w:val="en-GB" w:eastAsia="en-US"/>
        </w:rPr>
      </w:pPr>
      <w:r w:rsidRPr="00DE3F15">
        <w:rPr>
          <w:b/>
          <w:bCs/>
          <w:color w:val="auto"/>
          <w:kern w:val="0"/>
          <w:sz w:val="36"/>
          <w:szCs w:val="36"/>
          <w:lang w:val="en-GB" w:eastAsia="en-US"/>
        </w:rPr>
        <w:t>4. Monitoring and characterisation technologies for polluted soils</w:t>
      </w:r>
    </w:p>
    <w:p w14:paraId="3E38681A"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Effective management of polluted soils depends on monitoring systems that are designed to support decisions, not simply to generate concentrations. The central difficulty is that soils are intrinsically heterogeneous and reactive: contaminant distributions can vary sharply over short distances, while chemical forms evolve through sorption, precipitation, oxidation–reduction processes, and biological transformations. Monitoring and characterisation must therefore capture both spatial structure and process behaviour, including the fractions of </w:t>
      </w:r>
      <w:r w:rsidRPr="00DE3F15">
        <w:rPr>
          <w:color w:val="auto"/>
          <w:kern w:val="0"/>
          <w:lang w:val="en-GB" w:eastAsia="en-US"/>
        </w:rPr>
        <w:lastRenderedPageBreak/>
        <w:t>contaminants that are mobile or bioavailable, the pathways by which contaminants move, and the site attributes that control these processes. In practice, modern site characterisation increasingly combines conventional laboratory analytics with rapid field screening, passive sampling techniques that approximate bioavailability, and remote sensing methods that provide spatial scaffolding for targeted ground truthing. A further shift is towards integrated data interpretation, where uncertainty is quantified and monitoring designs are iteratively refined as the conceptual site model improves.</w:t>
      </w:r>
    </w:p>
    <w:p w14:paraId="14FE71DC"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4.1 Sampling design, representativeness, and quality assurance</w:t>
      </w:r>
    </w:p>
    <w:p w14:paraId="0062B22F"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Sampling strategy remains the foundation of soil characterisation because analytical excellence cannot compensate for unrepresentative samples. Polluted sites commonly exhibit multi-scale heterogeneity driven by point releases, historical operations, fill materials, preferential pathways, and soil structure. A robust design therefore begins with a conceptual site model that identifies likely source zones, transport mechanisms, and receptor linkages, then uses that model to allocate sampling density and depth. Adaptive strategies are often preferable to rigid grids: preliminary screening data can reveal hotspots and boundaries that justify intensified sampling where risk is likely to be highest, while reducing unnecessary sampling in consistently low-impact zones.</w:t>
      </w:r>
    </w:p>
    <w:p w14:paraId="655A5D75"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Representativeness requires attention to depth profiling and soil domain contrasts. Surface soils can be more relevant to direct contact and dust pathways, whereas subsoils may control leaching to groundwater or the stability of buried wastes. Textural contrasts, changes in organic matter, and engineered layers can all shift contaminant retention and mobility, meaning that stratified sampling based on soil horizons and site history is frequently more informative than uniform depths. In addition, the physical handling of samples influences measured concentrations, particularly for volatile organics and for metals associated with fine fractions. Standardised protocols for sieving, moisture control, homogenisation, and storage conditions are critical, and field duplicates and blanks are needed to characterise measurement uncertainty alongside spatial variance. The practical goal is to avoid a false sense of precision: the uncertainty in site-average or hotspot estimates is typically dominated by sampling variability rather than instrument noise, and monitoring programmes should explicitly quantify this.</w:t>
      </w:r>
    </w:p>
    <w:p w14:paraId="56C04E09"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4.2 Rapid field screening and high-density mapping</w:t>
      </w:r>
    </w:p>
    <w:p w14:paraId="2A7E9327"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Rapid screening tools are increasingly used to generate high-density datasets that reveal spatial structure and guide confirmatory sampling. Portable X-ray fluorescence (</w:t>
      </w:r>
      <w:proofErr w:type="spellStart"/>
      <w:r w:rsidRPr="00DE3F15">
        <w:rPr>
          <w:color w:val="auto"/>
          <w:kern w:val="0"/>
          <w:lang w:val="en-GB" w:eastAsia="en-US"/>
        </w:rPr>
        <w:t>pXRF</w:t>
      </w:r>
      <w:proofErr w:type="spellEnd"/>
      <w:r w:rsidRPr="00DE3F15">
        <w:rPr>
          <w:color w:val="auto"/>
          <w:kern w:val="0"/>
          <w:lang w:val="en-GB" w:eastAsia="en-US"/>
        </w:rPr>
        <w:t xml:space="preserve">) has become especially influential for metal-contaminated soils because it can provide near-real-time results without extensive sample preparation. However, field deployment is not a simple “point and shoot” exercise. Soil moisture, particle size distribution, organic matter content, and surface irregularities can bias readings, and instrument calibration and matrix-matched validation are essential for defensible interpretation. Best practice therefore integrates </w:t>
      </w:r>
      <w:proofErr w:type="spellStart"/>
      <w:r w:rsidRPr="00DE3F15">
        <w:rPr>
          <w:color w:val="auto"/>
          <w:kern w:val="0"/>
          <w:lang w:val="en-GB" w:eastAsia="en-US"/>
        </w:rPr>
        <w:t>pXRF</w:t>
      </w:r>
      <w:proofErr w:type="spellEnd"/>
      <w:r w:rsidRPr="00DE3F15">
        <w:rPr>
          <w:color w:val="auto"/>
          <w:kern w:val="0"/>
          <w:lang w:val="en-GB" w:eastAsia="en-US"/>
        </w:rPr>
        <w:t xml:space="preserve"> into a quality-controlled workflow that includes routine check standards, replicate readings, careful recording of soil conditions, and systematic comparison against laboratory reference methods for a subset of samples. When such protocols are followed, </w:t>
      </w:r>
      <w:proofErr w:type="spellStart"/>
      <w:r w:rsidRPr="00DE3F15">
        <w:rPr>
          <w:color w:val="auto"/>
          <w:kern w:val="0"/>
          <w:lang w:val="en-GB" w:eastAsia="en-US"/>
        </w:rPr>
        <w:t>pXRF</w:t>
      </w:r>
      <w:proofErr w:type="spellEnd"/>
      <w:r w:rsidRPr="00DE3F15">
        <w:rPr>
          <w:color w:val="auto"/>
          <w:kern w:val="0"/>
          <w:lang w:val="en-GB" w:eastAsia="en-US"/>
        </w:rPr>
        <w:t xml:space="preserve"> can support rapid delineation of contamination patterns, efficient hotspot identification, and more economical planning of laboratory analyses, ultimately reducing uncertainty at a manageable cost (</w:t>
      </w:r>
      <w:proofErr w:type="spellStart"/>
      <w:r w:rsidRPr="00DE3F15">
        <w:rPr>
          <w:color w:val="auto"/>
          <w:kern w:val="0"/>
          <w:lang w:val="en-GB" w:eastAsia="en-US"/>
        </w:rPr>
        <w:t>Ravansari</w:t>
      </w:r>
      <w:proofErr w:type="spellEnd"/>
      <w:r w:rsidRPr="00DE3F15">
        <w:rPr>
          <w:color w:val="auto"/>
          <w:kern w:val="0"/>
          <w:lang w:val="en-GB" w:eastAsia="en-US"/>
        </w:rPr>
        <w:t xml:space="preserve"> et al., 2020).</w:t>
      </w:r>
    </w:p>
    <w:p w14:paraId="54DFF783"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lastRenderedPageBreak/>
        <w:t>Field screening is particularly valuable when linked to dynamic sampling designs. For example, screening can identify whether contamination is associated with fine particles, whether it aligns with historical infrastructure (such as drainage lines or former process areas), and where boundaries of clean and impacted soils are likely to lie. This enables an evidence-led approach to sampling density: the monitoring programme can intensify around transitions and hotspots while maintaining lower density in stable zones. The resulting spatial maps are not merely descriptive; they influence the selection and feasibility of remediation options by clarifying the volumes and depths of impacted material and by indicating whether contamination is discrete (amenable to removal) or diffuse (more suited to in situ management).</w:t>
      </w:r>
    </w:p>
    <w:p w14:paraId="2F274D35"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4.3 Bioavailability-oriented monitoring and passive sampling</w:t>
      </w:r>
    </w:p>
    <w:p w14:paraId="11C9C452"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Concentration-based monitoring alone can misrepresent risk because exposure is more directly related to the mobile and bioavailable fractions of contaminants. Bioavailability-oriented approaches therefore aim to characterise what can realistically enter porewater, be taken up by plants, or reach organisms over relevant timescales. Among the most widely discussed tools are diffusive gradients in thin films (DGT) and related passive sampling approaches, which estimate labile species fluxes and, when interpreted with appropriate models, provide insight into resupply kinetics from the solid phase. The strength of DGT-type approaches lies in their capacity to represent dynamic interactions between porewater and solids rather than static snapshots, thereby offering decision-relevant information for predicting uptake and mobility under changing conditions (Liu et al., 2024).</w:t>
      </w:r>
    </w:p>
    <w:p w14:paraId="047D3E02"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Nevertheless, passive sampling is not a universal substitute for conventional analysis. Its interpretability depends on soil properties, redox conditions, and the suitability of model assumptions for the site. Performance can also be affected by deployment time, temperature, ionic strength, and biological activity. For this reason, passive sampling is best used as part of a multi-line monitoring strategy in which porewater chemistry, soil properties, and targeted laboratory measurements provide the context needed for interpretation. Within remediation projects, this integration is especially useful: passive samplers can track whether immobilisation strategies are reducing labile fractions, whether disturbance is increasing mobilisation, and whether apparent improvements are stable over time or vulnerable to rebound.</w:t>
      </w:r>
    </w:p>
    <w:p w14:paraId="53C07964"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4.4 Remote sensing and multi-scale characterisation</w:t>
      </w:r>
    </w:p>
    <w:p w14:paraId="19FDC0AE"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Remote sensing provides an increasingly important complement to ground-based monitoring, particularly for large areas, complex terrains, or where repeated observations are required. Hyperspectral remote sensing is of growing interest in soil pollution contexts because spectral signatures can correlate with soil minerals, iron oxides, organic matter, and surface conditions that are associated with contaminant presence, especially for heavy metals where contamination often co-varies with mineralogical or anthropogenic surface changes. Current approaches emphasise “air–space–ground” integration, where remote sensing supplies continuous spatial coverage while ground sampling provides calibration, validation, and interpretive anchors. Recent synthesis highlights </w:t>
      </w:r>
      <w:proofErr w:type="gramStart"/>
      <w:r w:rsidRPr="00DE3F15">
        <w:rPr>
          <w:color w:val="auto"/>
          <w:kern w:val="0"/>
          <w:lang w:val="en-GB" w:eastAsia="en-US"/>
        </w:rPr>
        <w:t>advances</w:t>
      </w:r>
      <w:proofErr w:type="gramEnd"/>
      <w:r w:rsidRPr="00DE3F15">
        <w:rPr>
          <w:color w:val="auto"/>
          <w:kern w:val="0"/>
          <w:lang w:val="en-GB" w:eastAsia="en-US"/>
        </w:rPr>
        <w:t xml:space="preserve"> in inversion methods, feature extraction, and modelling approaches, alongside persistent challenges related to scale effects, surface cover, soil moisture variability, and the transferability of models between landscapes (Su et al., 2025).</w:t>
      </w:r>
    </w:p>
    <w:p w14:paraId="36D59466"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lastRenderedPageBreak/>
        <w:t>From a practical standpoint, remote sensing should be treated as a tool for prioritisation and hypothesis testing rather than definitive compliance measurement. It can guide where to invest in sampling, help detect overlooked source zones, and support longitudinal tracking of surface disturbances that may influence exposure pathways (for example, erosion-prone surfaces or disturbed capped areas). Its greatest value often lies in identifying spatial patterns that are not visible from sparse ground sampling, thereby reducing the risk that monitoring programmes miss critical hotspots or overgeneralise from limited data.</w:t>
      </w:r>
    </w:p>
    <w:p w14:paraId="3AAAE7F1"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4.5 Data fusion, uncertainty management, and decision-readiness</w:t>
      </w:r>
    </w:p>
    <w:p w14:paraId="4990EF0D"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Integrated characterisation increasingly depends on combining datasets with different scales, uncertainties, and meanings: laboratory concentrations, field screening grids, passive sampling outputs, soil property measurements, and remote sensing layers. Data fusion should be guided by decision needs. If the key question is whether direct-contact risk is unacceptable, then high-density surface mapping and dust-relevant indicators may be prioritised. If groundwater protection is the principal concern, depth profiling, leaching indicators, and hydrogeological context become dominant. In either case, uncertainty should be quantified and communicated explicitly. Monitoring programmes are most defensible when they document the limits of inference: where contamination boundaries are uncertain, where measurements are sensitive to soil conditions (as with </w:t>
      </w:r>
      <w:proofErr w:type="spellStart"/>
      <w:r w:rsidRPr="00DE3F15">
        <w:rPr>
          <w:color w:val="auto"/>
          <w:kern w:val="0"/>
          <w:lang w:val="en-GB" w:eastAsia="en-US"/>
        </w:rPr>
        <w:t>pXRF</w:t>
      </w:r>
      <w:proofErr w:type="spellEnd"/>
      <w:r w:rsidRPr="00DE3F15">
        <w:rPr>
          <w:color w:val="auto"/>
          <w:kern w:val="0"/>
          <w:lang w:val="en-GB" w:eastAsia="en-US"/>
        </w:rPr>
        <w:t>), and where mechanistic interpretation depends on model assumptions (as with DGT).</w:t>
      </w:r>
    </w:p>
    <w:p w14:paraId="582FB225"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Finally, monitoring must be designed for the full project life cycle. Baseline characterisation informs remedy feasibility; construction-phase monitoring checks that interventions are implemented as intended; performance monitoring demonstrates whether risk reduction persists; and long-term verification supports stewardship, particularly where contaminants remain in place. A coherent, integrated monitoring design therefore links sampling frequency, measurement type, and spatial coverage to clearly stated performance indicators and action thresholds, ensuring that monitoring remains purposeful, proportionate, and capable of supporting adaptive management.</w:t>
      </w:r>
    </w:p>
    <w:p w14:paraId="38D208EA" w14:textId="77777777" w:rsidR="00697683" w:rsidRPr="00697683" w:rsidRDefault="00697683" w:rsidP="00697683">
      <w:pPr>
        <w:spacing w:after="0" w:line="240" w:lineRule="auto"/>
        <w:ind w:left="0" w:right="0" w:firstLine="0"/>
        <w:jc w:val="left"/>
        <w:rPr>
          <w:color w:val="auto"/>
          <w:kern w:val="0"/>
          <w:lang w:val="en-GB" w:eastAsia="en-US"/>
        </w:rPr>
      </w:pPr>
    </w:p>
    <w:p w14:paraId="6CACB9D2" w14:textId="77777777" w:rsidR="00DE3F15" w:rsidRPr="00DE3F15" w:rsidRDefault="00DE3F15" w:rsidP="00DE3F15">
      <w:pPr>
        <w:spacing w:before="100" w:beforeAutospacing="1" w:after="100" w:afterAutospacing="1" w:line="240" w:lineRule="auto"/>
        <w:ind w:left="0" w:right="0" w:firstLine="0"/>
        <w:jc w:val="left"/>
        <w:outlineLvl w:val="1"/>
        <w:rPr>
          <w:b/>
          <w:bCs/>
          <w:color w:val="auto"/>
          <w:kern w:val="0"/>
          <w:sz w:val="36"/>
          <w:szCs w:val="36"/>
          <w:lang w:val="en-GB" w:eastAsia="en-US"/>
        </w:rPr>
      </w:pPr>
      <w:r w:rsidRPr="00DE3F15">
        <w:rPr>
          <w:b/>
          <w:bCs/>
          <w:color w:val="auto"/>
          <w:kern w:val="0"/>
          <w:sz w:val="36"/>
          <w:szCs w:val="36"/>
          <w:lang w:val="en-GB" w:eastAsia="en-US"/>
        </w:rPr>
        <w:t>5. Remediation technologies and their integration</w:t>
      </w:r>
    </w:p>
    <w:p w14:paraId="39618BB3"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Remediation of polluted soils is best approached as a system design problem rather than a search for a single “best” technology. Contaminants occur in multiple physical and chemical pools, including readily accessible surface fractions, porewater phases, strongly sorbed domains, and occluded material within aggregates or low-permeability layers. These pools respond differently to treatment, and the practical outcome is that “one-pass” remedies often underperform when judged against long-term exposure reduction. A defensible remediation strategy therefore begins with clear objectives linked to land use and exposure pathways, then selects technologies that target the dominant risk-driving pools while anticipating secondary effects such as mobilisation of co-contaminants, rebound, and changes in soil properties. Reviews of heavy-metal remediation emphasise that technology choice must be aligned with contaminant form, site conditions, timeframes, and </w:t>
      </w:r>
      <w:proofErr w:type="spellStart"/>
      <w:r w:rsidRPr="00DE3F15">
        <w:rPr>
          <w:color w:val="auto"/>
          <w:kern w:val="0"/>
          <w:lang w:val="en-GB" w:eastAsia="en-US"/>
        </w:rPr>
        <w:t>implementability</w:t>
      </w:r>
      <w:proofErr w:type="spellEnd"/>
      <w:r w:rsidRPr="00DE3F15">
        <w:rPr>
          <w:color w:val="auto"/>
          <w:kern w:val="0"/>
          <w:lang w:val="en-GB" w:eastAsia="en-US"/>
        </w:rPr>
        <w:t xml:space="preserve">, and that applicability is determined as much by soil behaviour as by nominal removal efficiencies (Liu et al., 2018). Integration, in this context, means combining complementary methods into a coherent </w:t>
      </w:r>
      <w:r w:rsidRPr="00DE3F15">
        <w:rPr>
          <w:color w:val="auto"/>
          <w:kern w:val="0"/>
          <w:lang w:val="en-GB" w:eastAsia="en-US"/>
        </w:rPr>
        <w:lastRenderedPageBreak/>
        <w:t>treatment train and embedding performance criteria that reflect durable risk reduction rather than short-term concentration changes.</w:t>
      </w:r>
    </w:p>
    <w:p w14:paraId="6E3926C5"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5.1 Framing remediation options: containment, separation, and transformation</w:t>
      </w:r>
    </w:p>
    <w:p w14:paraId="21913E1E"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Most soil remediation technologies can be conceptualised through three broad mechanisms: containment, separation/removal, and transformation. Containment seeks to break exposure pathways by isolating contaminated media, for example with caps, barriers, or engineered covers; separation removes contaminated material from the site or separates contaminated fractions from cleaner matrices; transformation aims to degrade organic pollutants or chemically stabilise inorganic contaminants into less bioavailable forms. Although this classification is useful, real projects often require hybrid approaches, for example partial excavation of hotspots coupled with in situ immobilisation of diffuse residual contamination. In metal(loid) contexts, a recurring strategic question is whether to mobilise contaminants to enable extraction or immobilise them to control exposure. The choice is shaped by the required permanence of control, future land use uncertainty, monitoring capacity, and the possibility that changing geochemistry could reverse immobilisation benefits (Bolan et al., 2014). This strategic framing is fundamental to integration: the feasibility of each technology depends not only on performance in isolation, but on how well it can be combined with complementary measures to manage residual risks over time.</w:t>
      </w:r>
    </w:p>
    <w:p w14:paraId="5C08C3C3"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5.2 Physical methods and engineered containment</w:t>
      </w:r>
    </w:p>
    <w:p w14:paraId="574AF8E3"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Physical approaches, including excavation and off-site disposal, can provide rapid reduction of direct-contact risks where contamination is shallow and spatially discrete. However, they can be highly disruptive to soil functions and can shift environmental burdens through transport, disposal, and potential off-site impacts. Engineered containment, such as capping, can be less disruptive and more cost-effective for large areas, particularly when the principal pathway is direct contact or dust inhalation. Yet containment is intrinsically a management-dependent solution: it relies on long-term integrity, inspection, and controls to prevent disturbance. This dependence means physical methods are often integrated with monitoring and land management measures, such as maintaining vegetative cover to reduce erosion and dust, controlling drainage to limit infiltration, and restricting intrusive works. The integrated view treats these measures as part of the remedy, not as optional add-ons, because the remedy’s success depends on maintaining pathway disruption over the relevant time horizon.</w:t>
      </w:r>
    </w:p>
    <w:p w14:paraId="723B0FA0"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5.3 Soil washing and separation-based technologies</w:t>
      </w:r>
    </w:p>
    <w:p w14:paraId="5ED3744B"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Soil washing and related separation techniques aim to remove contaminant mass by exploiting partitioning between particle-size fractions or by chemically mobilising contaminants into a wash solution. These approaches are often most effective when contaminants are preferentially associated with fine particles or organic-rich fractions, allowing targeted treatment of the most impacted material while leaving coarser fractions for reuse. However, separation-based remedies inherently generate secondary streams, including contaminated fines and wash water, which require further treatment or disposal. The integration challenge is therefore to design a treatment train in which upstream separation reduces the volume requiring intensive treatment, while downstream capture and treatment ensures contaminants are not merely transferred from soil to water. This challenge becomes </w:t>
      </w:r>
      <w:r w:rsidRPr="00DE3F15">
        <w:rPr>
          <w:color w:val="auto"/>
          <w:kern w:val="0"/>
          <w:lang w:val="en-GB" w:eastAsia="en-US"/>
        </w:rPr>
        <w:lastRenderedPageBreak/>
        <w:t>particularly apparent for persistent and mobile contaminants such as PFAS, where mobilisation may facilitate extraction but only if subsequent capture and ultimate destruction or secure containment are viable (Bolan et al., 2021). In practice, soil washing is most defensible when paired with robust mass-balance accounting, treatment of residuals, and post-treatment monitoring that can demonstrate that residual soil meets risk-based objectives for the intended land use.</w:t>
      </w:r>
    </w:p>
    <w:p w14:paraId="71215528"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5.4 Amendment-based stabilisation and immobilisation strategies</w:t>
      </w:r>
    </w:p>
    <w:p w14:paraId="26CCDFA9"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Immobilisation strategies are widely applied for metal-contaminated soils because they can reduce bioavailability and mobility without removing soil from the site. Common mechanisms include adsorption onto amended sorbents, pH adjustment to reduce solubility, precipitation into less soluble mineral phases, and complexation with organic or mineral amendments. The strategic decision to immobilise rather than mobilise has been treated as a central dilemma in soil remediation: immobilisation can be effective for exposure control but may require long-term verification and may be sensitive to changes in soil chemistry, hydrology, or land management (Bolan et al., 2014). Consequently, integration is essential: amendment selection must be linked to the site’s geochemical conditions and to monitoring plans capable of detecting remobilisation risks.</w:t>
      </w:r>
    </w:p>
    <w:p w14:paraId="1CAD2140"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Biochar has become a prominent amendment in this category because of its </w:t>
      </w:r>
      <w:proofErr w:type="spellStart"/>
      <w:r w:rsidRPr="00DE3F15">
        <w:rPr>
          <w:color w:val="auto"/>
          <w:kern w:val="0"/>
          <w:lang w:val="en-GB" w:eastAsia="en-US"/>
        </w:rPr>
        <w:t>sorptive</w:t>
      </w:r>
      <w:proofErr w:type="spellEnd"/>
      <w:r w:rsidRPr="00DE3F15">
        <w:rPr>
          <w:color w:val="auto"/>
          <w:kern w:val="0"/>
          <w:lang w:val="en-GB" w:eastAsia="en-US"/>
        </w:rPr>
        <w:t xml:space="preserve"> properties and its potential to improve certain soil quality attributes. Evidence indicates that biochar can reduce metal mobility and plant uptake under many conditions, yet the magnitude and persistence of benefits depend on both biochar characteristics and soil context. In addition, there are potential risks and uncertainties, including the introduction of contaminants within biochar feedstocks, altered nutrient dynamics, and the long-term stability of sorption under changing environmental conditions (He et al., 2019). Integrated remedy design therefore treats biochar as an engineered material that requires quality control, site-specific testing, and performance monitoring. This logic extends to PFAS, where </w:t>
      </w:r>
      <w:proofErr w:type="spellStart"/>
      <w:r w:rsidRPr="00DE3F15">
        <w:rPr>
          <w:color w:val="auto"/>
          <w:kern w:val="0"/>
          <w:lang w:val="en-GB" w:eastAsia="en-US"/>
        </w:rPr>
        <w:t>sorptive</w:t>
      </w:r>
      <w:proofErr w:type="spellEnd"/>
      <w:r w:rsidRPr="00DE3F15">
        <w:rPr>
          <w:color w:val="auto"/>
          <w:kern w:val="0"/>
          <w:lang w:val="en-GB" w:eastAsia="en-US"/>
        </w:rPr>
        <w:t xml:space="preserve"> amendments can reduce mobility and exposure but do not remove mass, thereby placing greater emphasis on long-term monitoring and governance (Bolan et al., 2021). Immobilisation remedies are thus best viewed as combined technical–management interventions: the technical component reduces exposure, while the management component ensures the reduction is durable.</w:t>
      </w:r>
    </w:p>
    <w:p w14:paraId="38E15956"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5.5 Transformative treatments for organic contaminants: ISCO and integration to manage rebound</w:t>
      </w:r>
    </w:p>
    <w:p w14:paraId="382CFDDA"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For organic contamination, transformative methods seek to degrade contaminants into less harmful products. In situ chemical oxidation (ISCO) is widely deployed for petroleum hydrocarbons and related compounds, but its field performance can diverge from laboratory expectations because oxidants may be consumed by non-target organic matter, contaminants may be trapped in low-permeability zones, and mass transfer limitations can restrict oxidant contact. A critical practical issue is rebound, where concentrations decrease after treatment but then increase as contaminants diffuse back from slowly releasing domains. Recent synthesis of petroleum-related ISCO emphasises that rebound is a recurring limitation and that combined approaches can improve overall effectiveness by addressing both accessible and sequestered pools (Wei et al., 2022). Integration here may involve sequencing ISCO with physical measures (to remove hotspots), with thermal or extraction methods (to target non-aqueous phase materials), or with bioremediation (to polish residual contamination after </w:t>
      </w:r>
      <w:r w:rsidRPr="00DE3F15">
        <w:rPr>
          <w:color w:val="auto"/>
          <w:kern w:val="0"/>
          <w:lang w:val="en-GB" w:eastAsia="en-US"/>
        </w:rPr>
        <w:lastRenderedPageBreak/>
        <w:t>oxidant application). The integration principle is that oxidation is often most successful when it is not treated as a standalone “one-off” event, but as part of a staged strategy with monitoring that can identify rebound early and trigger follow-on interventions.</w:t>
      </w:r>
    </w:p>
    <w:p w14:paraId="31136438" w14:textId="77777777" w:rsidR="00DE3F15" w:rsidRPr="00DE3F15" w:rsidRDefault="00DE3F15" w:rsidP="00DE3F15">
      <w:pPr>
        <w:spacing w:before="100" w:beforeAutospacing="1" w:after="100" w:afterAutospacing="1" w:line="240" w:lineRule="auto"/>
        <w:ind w:left="0" w:right="0" w:firstLine="0"/>
        <w:jc w:val="left"/>
        <w:outlineLvl w:val="2"/>
        <w:rPr>
          <w:b/>
          <w:bCs/>
          <w:color w:val="auto"/>
          <w:kern w:val="0"/>
          <w:sz w:val="27"/>
          <w:szCs w:val="27"/>
          <w:lang w:val="en-GB" w:eastAsia="en-US"/>
        </w:rPr>
      </w:pPr>
      <w:r w:rsidRPr="00DE3F15">
        <w:rPr>
          <w:b/>
          <w:bCs/>
          <w:color w:val="auto"/>
          <w:kern w:val="0"/>
          <w:sz w:val="27"/>
          <w:szCs w:val="27"/>
          <w:lang w:val="en-GB" w:eastAsia="en-US"/>
        </w:rPr>
        <w:t xml:space="preserve">5.6 Biological remediation and </w:t>
      </w:r>
      <w:proofErr w:type="spellStart"/>
      <w:r w:rsidRPr="00DE3F15">
        <w:rPr>
          <w:b/>
          <w:bCs/>
          <w:color w:val="auto"/>
          <w:kern w:val="0"/>
          <w:sz w:val="27"/>
          <w:szCs w:val="27"/>
          <w:lang w:val="en-GB" w:eastAsia="en-US"/>
        </w:rPr>
        <w:t>phytotechnologies</w:t>
      </w:r>
      <w:proofErr w:type="spellEnd"/>
      <w:r w:rsidRPr="00DE3F15">
        <w:rPr>
          <w:b/>
          <w:bCs/>
          <w:color w:val="auto"/>
          <w:kern w:val="0"/>
          <w:sz w:val="27"/>
          <w:szCs w:val="27"/>
          <w:lang w:val="en-GB" w:eastAsia="en-US"/>
        </w:rPr>
        <w:t xml:space="preserve"> within integrated remedies</w:t>
      </w:r>
    </w:p>
    <w:p w14:paraId="4FF891E2" w14:textId="77777777" w:rsidR="00DE3F15" w:rsidRPr="00DE3F15" w:rsidRDefault="00DE3F15" w:rsidP="00DE3F15">
      <w:pPr>
        <w:spacing w:before="100" w:beforeAutospacing="1" w:after="100" w:afterAutospacing="1" w:line="240" w:lineRule="auto"/>
        <w:ind w:left="0" w:right="0" w:firstLine="0"/>
        <w:jc w:val="left"/>
        <w:rPr>
          <w:color w:val="auto"/>
          <w:kern w:val="0"/>
          <w:lang w:val="en-GB" w:eastAsia="en-US"/>
        </w:rPr>
      </w:pPr>
      <w:r w:rsidRPr="00DE3F15">
        <w:rPr>
          <w:color w:val="auto"/>
          <w:kern w:val="0"/>
          <w:lang w:val="en-GB" w:eastAsia="en-US"/>
        </w:rPr>
        <w:t xml:space="preserve">Bioremediation approaches can offer lower-energy alternatives for many organic contaminants and can be used either as primary treatments or as polishing steps following physical or chemical interventions. Their effectiveness depends on bioavailability, microbial community capacity, nutrient and electron acceptor availability, and site conditions such as moisture and temperature. For metals, biological approaches more commonly support stabilisation rather than degradation, for example through promoting conditions that favour precipitation or sorption. </w:t>
      </w:r>
      <w:proofErr w:type="spellStart"/>
      <w:r w:rsidRPr="00DE3F15">
        <w:rPr>
          <w:color w:val="auto"/>
          <w:kern w:val="0"/>
          <w:lang w:val="en-GB" w:eastAsia="en-US"/>
        </w:rPr>
        <w:t>Phytotechnologies</w:t>
      </w:r>
      <w:proofErr w:type="spellEnd"/>
      <w:r w:rsidRPr="00DE3F15">
        <w:rPr>
          <w:color w:val="auto"/>
          <w:kern w:val="0"/>
          <w:lang w:val="en-GB" w:eastAsia="en-US"/>
        </w:rPr>
        <w:t xml:space="preserve"> similarly operate over longer timescales and are strongly influenced by plant tolerance and contaminant bioavailability. They can be integrated into remediation as a functional surface management approach, for example using vegetation to stabilise soils, reduce dust, and control erosion while complementary measures address deeper contamination. The attractiveness of biological and </w:t>
      </w:r>
      <w:proofErr w:type="spellStart"/>
      <w:r w:rsidRPr="00DE3F15">
        <w:rPr>
          <w:color w:val="auto"/>
          <w:kern w:val="0"/>
          <w:lang w:val="en-GB" w:eastAsia="en-US"/>
        </w:rPr>
        <w:t>phytotechnological</w:t>
      </w:r>
      <w:proofErr w:type="spellEnd"/>
      <w:r w:rsidRPr="00DE3F15">
        <w:rPr>
          <w:color w:val="auto"/>
          <w:kern w:val="0"/>
          <w:lang w:val="en-GB" w:eastAsia="en-US"/>
        </w:rPr>
        <w:t xml:space="preserve"> methods often lies in their ability to align risk reduction with broader land management goals, but this alignment requires that monitoring and maintenance are built into the remedy design to ensure that biological performance remains consistent and that exposure pathways stay controlled.</w:t>
      </w:r>
    </w:p>
    <w:p w14:paraId="0E016744" w14:textId="77777777" w:rsidR="00FA5698" w:rsidRPr="00FA5698" w:rsidRDefault="00FA5698" w:rsidP="00FA5698">
      <w:pPr>
        <w:spacing w:before="100" w:beforeAutospacing="1" w:after="100" w:afterAutospacing="1" w:line="240" w:lineRule="auto"/>
        <w:ind w:left="0" w:right="0" w:firstLine="0"/>
        <w:jc w:val="left"/>
        <w:outlineLvl w:val="1"/>
        <w:rPr>
          <w:b/>
          <w:bCs/>
          <w:color w:val="auto"/>
          <w:kern w:val="0"/>
          <w:sz w:val="36"/>
          <w:szCs w:val="36"/>
          <w:lang w:val="en-GB" w:eastAsia="en-US"/>
        </w:rPr>
      </w:pPr>
      <w:r w:rsidRPr="00FA5698">
        <w:rPr>
          <w:b/>
          <w:bCs/>
          <w:color w:val="auto"/>
          <w:kern w:val="0"/>
          <w:sz w:val="36"/>
          <w:szCs w:val="36"/>
          <w:lang w:val="en-GB" w:eastAsia="en-US"/>
        </w:rPr>
        <w:t>5.7 Integration under mixed and emerging contamination pressures</w:t>
      </w:r>
    </w:p>
    <w:p w14:paraId="66E35F36" w14:textId="77777777" w:rsidR="00FA5698" w:rsidRPr="00FA5698" w:rsidRDefault="00FA5698" w:rsidP="00FA5698">
      <w:pPr>
        <w:spacing w:before="100" w:beforeAutospacing="1" w:after="100" w:afterAutospacing="1" w:line="240" w:lineRule="auto"/>
        <w:ind w:left="0" w:right="0" w:firstLine="0"/>
        <w:jc w:val="left"/>
        <w:rPr>
          <w:color w:val="auto"/>
          <w:kern w:val="0"/>
          <w:lang w:val="en-GB" w:eastAsia="en-US"/>
        </w:rPr>
      </w:pPr>
      <w:r w:rsidRPr="00FA5698">
        <w:rPr>
          <w:color w:val="auto"/>
          <w:kern w:val="0"/>
          <w:lang w:val="en-GB" w:eastAsia="en-US"/>
        </w:rPr>
        <w:t xml:space="preserve">Emerging contaminants and persistent mixtures place particular pressure on conventional remediation endpoints and strengthen the case for integrated treatment trains rather than single-technology solutions. Recent practitioner-oriented syntheses highlight how remediation programmes increasingly combine phytoremediation, biochar application, electrokinetic approaches, nanotechnology-assisted methods, and targeted excavation to deliver scalable improvements in soil quality, especially where contamination is diffuse or heterogeneous (Dutta et al., 2025). Complementary “toolbox” reviews similarly emphasise that microbial processes, including bioaugmentation, </w:t>
      </w:r>
      <w:proofErr w:type="spellStart"/>
      <w:r w:rsidRPr="00FA5698">
        <w:rPr>
          <w:color w:val="auto"/>
          <w:kern w:val="0"/>
          <w:lang w:val="en-GB" w:eastAsia="en-US"/>
        </w:rPr>
        <w:t>biostimulation</w:t>
      </w:r>
      <w:proofErr w:type="spellEnd"/>
      <w:r w:rsidRPr="00FA5698">
        <w:rPr>
          <w:color w:val="auto"/>
          <w:kern w:val="0"/>
          <w:lang w:val="en-GB" w:eastAsia="en-US"/>
        </w:rPr>
        <w:t xml:space="preserve">, and electro-bioremediation concepts, are often most effective when embedded within multi-step strategies that manage both contaminant availability and soil ecological recovery (Verma et al., 2024). This integration mindset is reinforced by work portraying microbial and plant-based systems as adaptable platforms—capable of biosorption, </w:t>
      </w:r>
      <w:proofErr w:type="spellStart"/>
      <w:r w:rsidRPr="00FA5698">
        <w:rPr>
          <w:color w:val="auto"/>
          <w:kern w:val="0"/>
          <w:lang w:val="en-GB" w:eastAsia="en-US"/>
        </w:rPr>
        <w:t>biomineralisation</w:t>
      </w:r>
      <w:proofErr w:type="spellEnd"/>
      <w:r w:rsidRPr="00FA5698">
        <w:rPr>
          <w:color w:val="auto"/>
          <w:kern w:val="0"/>
          <w:lang w:val="en-GB" w:eastAsia="en-US"/>
        </w:rPr>
        <w:t>, bioaccumulation, and transformation—rather than as stand-alone remedies, particularly when contaminant mixtures and variable field conditions are expected (Ranjan et al., 2025).</w:t>
      </w:r>
    </w:p>
    <w:p w14:paraId="3BC88DB5" w14:textId="77777777" w:rsidR="00FA5698" w:rsidRPr="00FA5698" w:rsidRDefault="00FA5698" w:rsidP="00FA5698">
      <w:pPr>
        <w:spacing w:before="100" w:beforeAutospacing="1" w:after="100" w:afterAutospacing="1" w:line="240" w:lineRule="auto"/>
        <w:ind w:left="0" w:right="0" w:firstLine="0"/>
        <w:jc w:val="left"/>
        <w:rPr>
          <w:color w:val="auto"/>
          <w:kern w:val="0"/>
          <w:lang w:val="en-GB" w:eastAsia="en-US"/>
        </w:rPr>
      </w:pPr>
      <w:r w:rsidRPr="00FA5698">
        <w:rPr>
          <w:color w:val="auto"/>
          <w:kern w:val="0"/>
          <w:lang w:val="en-GB" w:eastAsia="en-US"/>
        </w:rPr>
        <w:t xml:space="preserve">Microplastics illustrate the limits of “removal” framing once pollutants have dispersed. Their diversity in size, polymer type, additive content, and ageing state complicates both measurement and risk interpretation, and their interactions with co-contaminants and soil structure can alter transport and exposure pathways (Yang et al., 2021). In such settings, integration typically prioritises source control and pathway management—such as reducing erosion and runoff, maintaining stable surface cover to limit dust mobilisation, and targeting localised hotspots where practical—while monitoring focuses on risk-relevant pathways rather than attempting exhaustive removal (Yang et al., 2021). PFAS present a different integration challenge because persistence and, for many compounds, mobility can sustain </w:t>
      </w:r>
      <w:r w:rsidRPr="00FA5698">
        <w:rPr>
          <w:color w:val="auto"/>
          <w:kern w:val="0"/>
          <w:lang w:val="en-GB" w:eastAsia="en-US"/>
        </w:rPr>
        <w:lastRenderedPageBreak/>
        <w:t>long-term groundwater and food-chain concerns. Here, combined approaches often need to balance immobilisation (to reduce leaching and immediate exposure) with controlled mobilisation for capture and downstream destruction or secure containment, recognising that immobilisation can be effective but does not reduce contaminant mass and therefore increases the importance of long-term stewardship (Bolan et al., 2021).</w:t>
      </w:r>
    </w:p>
    <w:p w14:paraId="17F13298" w14:textId="77777777" w:rsidR="00FA5698" w:rsidRPr="00FA5698" w:rsidRDefault="00FA5698" w:rsidP="00FA5698">
      <w:pPr>
        <w:spacing w:before="100" w:beforeAutospacing="1" w:after="100" w:afterAutospacing="1" w:line="240" w:lineRule="auto"/>
        <w:ind w:left="0" w:right="0" w:firstLine="0"/>
        <w:jc w:val="left"/>
        <w:rPr>
          <w:color w:val="auto"/>
          <w:kern w:val="0"/>
          <w:lang w:val="en-GB" w:eastAsia="en-US"/>
        </w:rPr>
      </w:pPr>
      <w:r w:rsidRPr="00FA5698">
        <w:rPr>
          <w:color w:val="auto"/>
          <w:kern w:val="0"/>
          <w:lang w:val="en-GB" w:eastAsia="en-US"/>
        </w:rPr>
        <w:t xml:space="preserve">For metal(loid)s, integrated remedies frequently pivot on the strategic choice to mobilise or immobilise. Immobilisation can be a proportionate option when exposure control is acceptable and when long-term stability can be credibly demonstrated, yet shifting pH, redox conditions, or land disturbance can undermine benefits and re-activate mobility (Bolan et al., 2014). Reviews of remediation principles stress that selection must therefore be aligned with soil properties, contaminant speciation, and the dominant exposure pathway, with feasibility judged by </w:t>
      </w:r>
      <w:proofErr w:type="spellStart"/>
      <w:r w:rsidRPr="00FA5698">
        <w:rPr>
          <w:color w:val="auto"/>
          <w:kern w:val="0"/>
          <w:lang w:val="en-GB" w:eastAsia="en-US"/>
        </w:rPr>
        <w:t>implementability</w:t>
      </w:r>
      <w:proofErr w:type="spellEnd"/>
      <w:r w:rsidRPr="00FA5698">
        <w:rPr>
          <w:color w:val="auto"/>
          <w:kern w:val="0"/>
          <w:lang w:val="en-GB" w:eastAsia="en-US"/>
        </w:rPr>
        <w:t xml:space="preserve"> and durability rather than nominal removal efficiencies alone (Liu et al., 2018). Biochar exemplifies the promise and the caution required in amendment-based integration: it can reduce mobility and uptake in many contexts, but performance depends on material properties and soil chemistry, and potential risks require quality assurance and monitoring as integral parts of the remedy (He et al., 2019). </w:t>
      </w:r>
      <w:r w:rsidRPr="004155A7">
        <w:rPr>
          <w:bCs/>
          <w:color w:val="auto"/>
          <w:kern w:val="0"/>
          <w:lang w:val="en-GB" w:eastAsia="en-US"/>
        </w:rPr>
        <w:t xml:space="preserve">Field evidence further indicates that animal bone-derived biochar amendments can substantially reduce total petroleum hydrocarbons while supporting soil fertility restoration, illustrating how </w:t>
      </w:r>
      <w:proofErr w:type="spellStart"/>
      <w:r w:rsidRPr="004155A7">
        <w:rPr>
          <w:bCs/>
          <w:color w:val="auto"/>
          <w:kern w:val="0"/>
          <w:lang w:val="en-GB" w:eastAsia="en-US"/>
        </w:rPr>
        <w:t>sorptive</w:t>
      </w:r>
      <w:proofErr w:type="spellEnd"/>
      <w:r w:rsidRPr="004155A7">
        <w:rPr>
          <w:bCs/>
          <w:color w:val="auto"/>
          <w:kern w:val="0"/>
          <w:lang w:val="en-GB" w:eastAsia="en-US"/>
        </w:rPr>
        <w:t xml:space="preserve"> amendments can be paired with biological recovery metrics within integrated treatment trains (Ugochi et al., 2025).</w:t>
      </w:r>
    </w:p>
    <w:p w14:paraId="1B2EC2E5" w14:textId="77777777" w:rsidR="00FA5698" w:rsidRPr="00FA5698" w:rsidRDefault="00FA5698" w:rsidP="00FA5698">
      <w:pPr>
        <w:spacing w:before="100" w:beforeAutospacing="1" w:after="100" w:afterAutospacing="1" w:line="240" w:lineRule="auto"/>
        <w:ind w:left="0" w:right="0" w:firstLine="0"/>
        <w:jc w:val="left"/>
        <w:rPr>
          <w:color w:val="auto"/>
          <w:kern w:val="0"/>
          <w:lang w:val="en-GB" w:eastAsia="en-US"/>
        </w:rPr>
      </w:pPr>
      <w:r w:rsidRPr="00FA5698">
        <w:rPr>
          <w:color w:val="auto"/>
          <w:kern w:val="0"/>
          <w:lang w:val="en-GB" w:eastAsia="en-US"/>
        </w:rPr>
        <w:t>For petroleum and related organic contaminants, integration is often driven by mass-transfer constraints and rebound. In situ chemical oxidation can reduce accessible contamination, yet contaminants retained in low-permeability domains may diffuse back over time, re-elevating concentrations and prolonging risk (Wei et al., 2022). As a result, integrated designs commonly sequence oxidation with complementary measures such as hotspot removal, permeability enhancement, or biological polishing, coupled with performance monitoring designed to detect rebound early and trigger follow-on interventions (Wei et al., 2022). Across contaminant classes, the practical implication is that integration should be explicit: treatment trains must map technologies to contaminant pools and pathways, define measurable performance indicators tied to exposure reduction, and include contingencies for changing site conditions so that outcomes remain durable rather than merely immediate (Dutta et al., 2025; Verma et al., 2024).</w:t>
      </w:r>
    </w:p>
    <w:p w14:paraId="6BF77E37" w14:textId="77777777" w:rsidR="00697683" w:rsidRPr="00697683" w:rsidRDefault="00697683" w:rsidP="00697683">
      <w:pPr>
        <w:spacing w:after="0" w:line="240" w:lineRule="auto"/>
        <w:ind w:left="0" w:right="0" w:firstLine="0"/>
        <w:jc w:val="left"/>
        <w:rPr>
          <w:color w:val="auto"/>
          <w:kern w:val="0"/>
          <w:lang w:val="en-GB" w:eastAsia="en-US"/>
        </w:rPr>
      </w:pPr>
    </w:p>
    <w:p w14:paraId="10B1F892" w14:textId="77777777" w:rsidR="00697683" w:rsidRPr="00697683" w:rsidRDefault="00697683" w:rsidP="006976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697683">
        <w:rPr>
          <w:b/>
          <w:bCs/>
          <w:color w:val="auto"/>
          <w:kern w:val="0"/>
          <w:sz w:val="36"/>
          <w:szCs w:val="36"/>
          <w:lang w:val="en-GB" w:eastAsia="en-US"/>
        </w:rPr>
        <w:t>6. Integrated management: linking monitoring, remediation, and stewardship</w:t>
      </w:r>
    </w:p>
    <w:p w14:paraId="1699C4CB" w14:textId="77777777" w:rsidR="00697683" w:rsidRPr="00697683" w:rsidRDefault="00697683" w:rsidP="006976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697683">
        <w:rPr>
          <w:b/>
          <w:bCs/>
          <w:color w:val="auto"/>
          <w:kern w:val="0"/>
          <w:sz w:val="27"/>
          <w:szCs w:val="27"/>
          <w:lang w:val="en-GB" w:eastAsia="en-US"/>
        </w:rPr>
        <w:t>6.1 Decision pathways and technology selection under uncertainty</w:t>
      </w:r>
    </w:p>
    <w:p w14:paraId="241F6BBA"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 xml:space="preserve">Integrated management can be understood as designing an evidence-to-decision pathway that is transparent, repeatable, and adaptable. Sustainable remediation practice increasingly relies on structured frameworks that identify decision drivers, barriers, and performance metrics early, thereby reducing the likelihood of costly redesign or stakeholder conflict late in the project (Harclerode et al., 2016). The evaluation of sustainable remediation frameworks suggests that the most useful approaches go beyond “triple bottom line” labels and instead operationalise sustainability through explicit principles and criteria that guide trade-offs and </w:t>
      </w:r>
      <w:r w:rsidRPr="00697683">
        <w:rPr>
          <w:color w:val="auto"/>
          <w:kern w:val="0"/>
          <w:lang w:val="en-GB" w:eastAsia="en-US"/>
        </w:rPr>
        <w:lastRenderedPageBreak/>
        <w:t>documentation (Ridsdale &amp; Noble, 2016). In parallel, data-driven decision support is gaining traction. Machine-learning-based decision trees have been applied to contaminated site management to simulate strategy selection and to support stakeholder communication, especially where many site factors interact (Li et al., 2022). While such tools do not replace professional judgement, they can strengthen consistency and help prioritise monitoring and treatability studies.</w:t>
      </w:r>
    </w:p>
    <w:p w14:paraId="64747916" w14:textId="77777777" w:rsidR="00697683" w:rsidRPr="00697683" w:rsidRDefault="00697683" w:rsidP="006976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697683">
        <w:rPr>
          <w:b/>
          <w:bCs/>
          <w:color w:val="auto"/>
          <w:kern w:val="0"/>
          <w:sz w:val="27"/>
          <w:szCs w:val="27"/>
          <w:lang w:val="en-GB" w:eastAsia="en-US"/>
        </w:rPr>
        <w:t>6.2 Performance monitoring and adaptive remediation</w:t>
      </w:r>
    </w:p>
    <w:p w14:paraId="63563BDF"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Monitoring does not end when remediation begins; rather, remediation intensifies the need for monitoring because performance must be verified and unintended consequences must be detected. Rebound effects after treatment, especially for organics, demonstrate why short-term concentration reductions are insufficient as the sole performance metric (Wei et al., 2022). For stabilisation-based remedies, performance monitoring should prioritise indicators of mobility and bioavailability, such as porewater concentrations, passive sampler results, plant uptake measures, and leaching tests, interpreted within a conceptual model of site processes. The DGT literature reinforces that bioavailability-oriented monitoring can reveal kinetic resupply and therefore provide more decision-relevant information than static concentration snapshots, but only if modelling assumptions and soil context are respected (Liu et al., 2024).</w:t>
      </w:r>
    </w:p>
    <w:p w14:paraId="7E43D604" w14:textId="77777777" w:rsidR="00697683" w:rsidRPr="00697683" w:rsidRDefault="00697683" w:rsidP="006976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697683">
        <w:rPr>
          <w:b/>
          <w:bCs/>
          <w:color w:val="auto"/>
          <w:kern w:val="0"/>
          <w:sz w:val="27"/>
          <w:szCs w:val="27"/>
          <w:lang w:val="en-GB" w:eastAsia="en-US"/>
        </w:rPr>
        <w:t>6.3 Sustainability assessment, life-cycle thinking, and net benefit</w:t>
      </w:r>
    </w:p>
    <w:p w14:paraId="0B7648E6"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 xml:space="preserve">Sustainable remediation requires acknowledging that remediation itself has impacts. Life-cycle assessment (LCA) approaches have been used to compare remediation schemes by quantifying environmental, social, and economic implications. An input–output LCA applied to contaminated soil remediation schemes illustrates how different techniques can shift burdens across categories and how the sustainability ranking of options can depend on site-specific factors such as soil volume and treatment configuration (Chen et al., 2020). </w:t>
      </w:r>
      <w:r w:rsidR="00A2030A" w:rsidRPr="004155A7">
        <w:rPr>
          <w:lang w:val="en-GB"/>
        </w:rPr>
        <w:t xml:space="preserve">Early sustainability framing in remediation argued for explicit balancing of environmental, economic, and social criteria across the project life cycle (Holland, 2011). </w:t>
      </w:r>
      <w:r w:rsidRPr="00697683">
        <w:rPr>
          <w:color w:val="auto"/>
          <w:kern w:val="0"/>
          <w:lang w:val="en-GB" w:eastAsia="en-US"/>
        </w:rPr>
        <w:t>Such findings align with broader arguments that sustainability should be integrated into remediation decision-making, not appended as a final check, because it influences the proportionality and legitimacy of interventions (Hou &amp; Al-Tabbaa, 2014).</w:t>
      </w:r>
    </w:p>
    <w:p w14:paraId="53D75354" w14:textId="77777777" w:rsidR="00697683" w:rsidRPr="00697683" w:rsidRDefault="00697683" w:rsidP="00697683">
      <w:pPr>
        <w:spacing w:before="100" w:beforeAutospacing="1" w:after="100" w:afterAutospacing="1" w:line="240" w:lineRule="auto"/>
        <w:ind w:left="0" w:right="0" w:firstLine="0"/>
        <w:jc w:val="left"/>
        <w:outlineLvl w:val="2"/>
        <w:rPr>
          <w:b/>
          <w:bCs/>
          <w:color w:val="auto"/>
          <w:kern w:val="0"/>
          <w:sz w:val="27"/>
          <w:szCs w:val="27"/>
          <w:lang w:val="en-GB" w:eastAsia="en-US"/>
        </w:rPr>
      </w:pPr>
      <w:r w:rsidRPr="00697683">
        <w:rPr>
          <w:b/>
          <w:bCs/>
          <w:color w:val="auto"/>
          <w:kern w:val="0"/>
          <w:sz w:val="27"/>
          <w:szCs w:val="27"/>
          <w:lang w:val="en-GB" w:eastAsia="en-US"/>
        </w:rPr>
        <w:t>6.4 Risk-based land management and long-term stewardship</w:t>
      </w:r>
    </w:p>
    <w:p w14:paraId="06A4AB11"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Risk-based land management recognises that the goal is to manage unacceptable risks rather than necessarily to remove all contamination. This approach is especially relevant for large sites, complex mixtures, or contaminants where complete removal is unrealistic or environmentally burdensome. However, risk-based approaches can fail if they underestimate future exposure changes, such as land-use transitions, climate-driven hydrological shifts, or soil disturbance during redevelopment. Consequently, integrated management places strong emphasis on long-term stewardship: monitoring plans with clear triggers for action, transparent documentation of residual risks, and institutional controls where necessary. Reviews of health risk assessment frameworks underscore that land use and exposure assumptions materially shape thresholds and priorities, reinforcing the need for context-specific risk governance (Yang et al., 2023).</w:t>
      </w:r>
    </w:p>
    <w:p w14:paraId="76434DB7" w14:textId="77777777" w:rsidR="00697683" w:rsidRPr="00697683" w:rsidRDefault="00697683" w:rsidP="00697683">
      <w:pPr>
        <w:spacing w:after="0" w:line="240" w:lineRule="auto"/>
        <w:ind w:left="0" w:right="0" w:firstLine="0"/>
        <w:jc w:val="left"/>
        <w:rPr>
          <w:color w:val="auto"/>
          <w:kern w:val="0"/>
          <w:lang w:val="en-GB" w:eastAsia="en-US"/>
        </w:rPr>
      </w:pPr>
    </w:p>
    <w:p w14:paraId="0F095B92" w14:textId="77777777" w:rsidR="00697683" w:rsidRPr="00697683" w:rsidRDefault="00697683" w:rsidP="006976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697683">
        <w:rPr>
          <w:b/>
          <w:bCs/>
          <w:color w:val="auto"/>
          <w:kern w:val="0"/>
          <w:sz w:val="36"/>
          <w:szCs w:val="36"/>
          <w:lang w:val="en-GB" w:eastAsia="en-US"/>
        </w:rPr>
        <w:lastRenderedPageBreak/>
        <w:t>7. Research needs and future directions</w:t>
      </w:r>
    </w:p>
    <w:p w14:paraId="750AADB4"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The trajectory of soil pollution science and practice suggests several priorities. First, monitoring methods must further converge towards interoperable data systems, in which field screening, passive sampling, laboratory analytics, and remote sensing are designed as complementary components rather than competing approaches. Hyperspectral remote sensing advances are promising for large-scale mapping, yet continued improvement is needed in inversion robustness, scale transfer, and integration with ground truth and uncertainty quantification (Su et al., 2025). Second, remediation research should increasingly focus on combined technologies and on performance metrics that reflect long-term exposure control, including rebound management for organics and stability verification for immobilisation remedies (Wei et al., 2022). Third, emerging contaminants require an explicit “endpoints” discussion. For PFAS and microplastics, the feasible endpoint may often be exposure reduction and controlled mobility rather than mass elimination, demanding governance and monitoring systems capable of multi-decadal stewardship (Bolan et al., 2021; Yang et al., 2021). Finally, sustainable remediation will benefit from wider adoption of quantitative sustainability assessment methods, including LCA, coupled with stakeholder-inclusive decision frameworks that document trade-offs transparently (Chen et al., 2020; Ridsdale &amp; Noble, 2016).</w:t>
      </w:r>
    </w:p>
    <w:p w14:paraId="35B6BF0A" w14:textId="77777777" w:rsidR="00697683" w:rsidRPr="00697683" w:rsidRDefault="00697683" w:rsidP="00697683">
      <w:pPr>
        <w:spacing w:after="0" w:line="240" w:lineRule="auto"/>
        <w:ind w:left="0" w:right="0" w:firstLine="0"/>
        <w:jc w:val="left"/>
        <w:rPr>
          <w:color w:val="auto"/>
          <w:kern w:val="0"/>
          <w:lang w:val="en-GB" w:eastAsia="en-US"/>
        </w:rPr>
      </w:pPr>
    </w:p>
    <w:p w14:paraId="3ECBA4CB" w14:textId="77777777" w:rsidR="00697683" w:rsidRPr="00697683" w:rsidRDefault="00697683" w:rsidP="00697683">
      <w:pPr>
        <w:spacing w:before="100" w:beforeAutospacing="1" w:after="100" w:afterAutospacing="1" w:line="240" w:lineRule="auto"/>
        <w:ind w:left="0" w:right="0" w:firstLine="0"/>
        <w:jc w:val="left"/>
        <w:outlineLvl w:val="1"/>
        <w:rPr>
          <w:b/>
          <w:bCs/>
          <w:color w:val="auto"/>
          <w:kern w:val="0"/>
          <w:sz w:val="36"/>
          <w:szCs w:val="36"/>
          <w:lang w:val="en-GB" w:eastAsia="en-US"/>
        </w:rPr>
      </w:pPr>
      <w:r w:rsidRPr="00697683">
        <w:rPr>
          <w:b/>
          <w:bCs/>
          <w:color w:val="auto"/>
          <w:kern w:val="0"/>
          <w:sz w:val="36"/>
          <w:szCs w:val="36"/>
          <w:lang w:val="en-GB" w:eastAsia="en-US"/>
        </w:rPr>
        <w:t>8. Conclusions</w:t>
      </w:r>
    </w:p>
    <w:p w14:paraId="257DE87F" w14:textId="77777777" w:rsidR="00697683" w:rsidRPr="00697683" w:rsidRDefault="00697683" w:rsidP="00697683">
      <w:pPr>
        <w:spacing w:before="100" w:beforeAutospacing="1" w:after="100" w:afterAutospacing="1" w:line="240" w:lineRule="auto"/>
        <w:ind w:left="0" w:right="0" w:firstLine="0"/>
        <w:jc w:val="left"/>
        <w:rPr>
          <w:color w:val="auto"/>
          <w:kern w:val="0"/>
          <w:lang w:val="en-GB" w:eastAsia="en-US"/>
        </w:rPr>
      </w:pPr>
      <w:r w:rsidRPr="00697683">
        <w:rPr>
          <w:color w:val="auto"/>
          <w:kern w:val="0"/>
          <w:lang w:val="en-GB" w:eastAsia="en-US"/>
        </w:rPr>
        <w:t>Soil pollution is a long-lived, heterogeneous, and often mixed-contaminant challenge that requires integration across monitoring, remediation, and management rather than isolated technical interventions. Advances in rapid field screening, passive sampling, remote sensing, and data-driven modelling now enable monitoring systems that are both spatially dense and decision-focused. Remediation technologies likewise benefit from integration, particularly where single methods cannot address all contaminant domains or where long-term stability must be demonstrated. Sustainable remediation and risk-based land management frameworks provide a practical basis for balancing risk reduction with environmental burdens, social acceptance, and long-term land value. The most effective soil pollution interventions are therefore those that explicitly manage uncertainty, align remedies with land use and exposure pathways, and commit to performance monitoring and stewardship that matches the persistence of residual contamination.</w:t>
      </w:r>
    </w:p>
    <w:p w14:paraId="6A4D276D" w14:textId="77777777" w:rsidR="00697683" w:rsidRPr="00697683" w:rsidRDefault="00697683" w:rsidP="00697683">
      <w:pPr>
        <w:spacing w:after="0" w:line="240" w:lineRule="auto"/>
        <w:ind w:left="0" w:right="0" w:firstLine="0"/>
        <w:jc w:val="left"/>
        <w:rPr>
          <w:color w:val="auto"/>
          <w:kern w:val="0"/>
          <w:lang w:val="en-GB" w:eastAsia="en-US"/>
        </w:rPr>
      </w:pPr>
    </w:p>
    <w:p w14:paraId="1365B698" w14:textId="77777777" w:rsidR="00697683" w:rsidRPr="00697683" w:rsidRDefault="00697683" w:rsidP="00697683">
      <w:pPr>
        <w:spacing w:after="0" w:line="240" w:lineRule="auto"/>
        <w:ind w:left="0" w:right="0" w:firstLine="0"/>
        <w:jc w:val="left"/>
        <w:rPr>
          <w:color w:val="auto"/>
          <w:kern w:val="0"/>
          <w:lang w:val="en-GB" w:eastAsia="en-US"/>
        </w:rPr>
      </w:pPr>
      <w:bookmarkStart w:id="0" w:name="_GoBack"/>
      <w:bookmarkEnd w:id="0"/>
    </w:p>
    <w:p w14:paraId="401A8F41" w14:textId="77777777" w:rsidR="00697683" w:rsidRPr="00697683" w:rsidRDefault="00697683" w:rsidP="00697683">
      <w:pPr>
        <w:spacing w:before="100" w:beforeAutospacing="1" w:after="100" w:afterAutospacing="1" w:line="240" w:lineRule="auto"/>
        <w:ind w:left="0" w:right="0" w:firstLine="0"/>
        <w:jc w:val="left"/>
        <w:outlineLvl w:val="0"/>
        <w:rPr>
          <w:b/>
          <w:bCs/>
          <w:color w:val="auto"/>
          <w:kern w:val="36"/>
          <w:sz w:val="48"/>
          <w:szCs w:val="48"/>
          <w:lang w:val="en-GB" w:eastAsia="en-US"/>
        </w:rPr>
      </w:pPr>
      <w:r w:rsidRPr="00697683">
        <w:rPr>
          <w:b/>
          <w:bCs/>
          <w:color w:val="auto"/>
          <w:kern w:val="36"/>
          <w:sz w:val="48"/>
          <w:szCs w:val="48"/>
          <w:lang w:val="en-GB" w:eastAsia="en-US"/>
        </w:rPr>
        <w:t xml:space="preserve">References </w:t>
      </w:r>
    </w:p>
    <w:p w14:paraId="55F686A1" w14:textId="77777777" w:rsidR="0052741B" w:rsidRPr="004155A7" w:rsidRDefault="0052741B" w:rsidP="00682053">
      <w:pPr>
        <w:pStyle w:val="NormalWeb"/>
        <w:rPr>
          <w:lang w:val="en-GB"/>
        </w:rPr>
      </w:pPr>
      <w:r w:rsidRPr="004155A7">
        <w:rPr>
          <w:lang w:val="en-GB"/>
        </w:rPr>
        <w:t xml:space="preserve">Ashkanani, Z., </w:t>
      </w:r>
      <w:proofErr w:type="spellStart"/>
      <w:r w:rsidRPr="004155A7">
        <w:rPr>
          <w:lang w:val="en-GB"/>
        </w:rPr>
        <w:t>Mohtar</w:t>
      </w:r>
      <w:proofErr w:type="spellEnd"/>
      <w:r w:rsidRPr="004155A7">
        <w:rPr>
          <w:lang w:val="en-GB"/>
        </w:rPr>
        <w:t>, R., Al-</w:t>
      </w:r>
      <w:proofErr w:type="spellStart"/>
      <w:r w:rsidRPr="004155A7">
        <w:rPr>
          <w:lang w:val="en-GB"/>
        </w:rPr>
        <w:t>Enezi</w:t>
      </w:r>
      <w:proofErr w:type="spellEnd"/>
      <w:r w:rsidRPr="004155A7">
        <w:rPr>
          <w:lang w:val="en-GB"/>
        </w:rPr>
        <w:t xml:space="preserve">, S., Smith, P. K., Calabrese, S., Ma, X., &amp; Abdullah, M. (2024). AI-assisted systematic review on remediation of contaminated soils with PAHs and heavy metals. </w:t>
      </w:r>
      <w:r w:rsidRPr="004155A7">
        <w:rPr>
          <w:rStyle w:val="Emphasis"/>
          <w:lang w:val="en-GB"/>
        </w:rPr>
        <w:t>Journal of Hazardous Materials, 468</w:t>
      </w:r>
      <w:r w:rsidRPr="004155A7">
        <w:rPr>
          <w:lang w:val="en-GB"/>
        </w:rPr>
        <w:t xml:space="preserve">, 133813. </w:t>
      </w:r>
      <w:hyperlink r:id="rId8" w:history="1">
        <w:r w:rsidRPr="004155A7">
          <w:rPr>
            <w:rStyle w:val="Hyperlink"/>
            <w:lang w:val="en-GB"/>
          </w:rPr>
          <w:t>https://doi.org/10.1016/j.jhazmat.2024.133813</w:t>
        </w:r>
      </w:hyperlink>
      <w:r w:rsidRPr="004155A7">
        <w:rPr>
          <w:lang w:val="en-GB"/>
        </w:rPr>
        <w:t xml:space="preserve"> </w:t>
      </w:r>
    </w:p>
    <w:p w14:paraId="6D97BC68" w14:textId="77777777" w:rsidR="0052741B" w:rsidRPr="004155A7" w:rsidRDefault="0052741B" w:rsidP="00682053">
      <w:pPr>
        <w:pStyle w:val="NormalWeb"/>
        <w:rPr>
          <w:lang w:val="en-GB"/>
        </w:rPr>
      </w:pPr>
      <w:r w:rsidRPr="004155A7">
        <w:rPr>
          <w:lang w:val="en-GB"/>
        </w:rPr>
        <w:lastRenderedPageBreak/>
        <w:t xml:space="preserve">Bolan, N., </w:t>
      </w:r>
      <w:proofErr w:type="spellStart"/>
      <w:r w:rsidRPr="004155A7">
        <w:rPr>
          <w:lang w:val="en-GB"/>
        </w:rPr>
        <w:t>Kunhikrishnan</w:t>
      </w:r>
      <w:proofErr w:type="spellEnd"/>
      <w:r w:rsidRPr="004155A7">
        <w:rPr>
          <w:lang w:val="en-GB"/>
        </w:rPr>
        <w:t xml:space="preserve">, A., Thangarajan, R., </w:t>
      </w:r>
      <w:proofErr w:type="spellStart"/>
      <w:r w:rsidRPr="004155A7">
        <w:rPr>
          <w:lang w:val="en-GB"/>
        </w:rPr>
        <w:t>Kumpiene</w:t>
      </w:r>
      <w:proofErr w:type="spellEnd"/>
      <w:r w:rsidRPr="004155A7">
        <w:rPr>
          <w:lang w:val="en-GB"/>
        </w:rPr>
        <w:t xml:space="preserve">, J., Park, J., Makino, T., Kirkham, M. B., &amp; Scheckel, K. (2014). Remediation of heavy metal(loid)s contaminated soils – To mobilize or to immobilize? </w:t>
      </w:r>
      <w:r w:rsidRPr="004155A7">
        <w:rPr>
          <w:rStyle w:val="Emphasis"/>
          <w:lang w:val="en-GB"/>
        </w:rPr>
        <w:t>Journal of Hazardous Materials, 266</w:t>
      </w:r>
      <w:r w:rsidRPr="004155A7">
        <w:rPr>
          <w:lang w:val="en-GB"/>
        </w:rPr>
        <w:t xml:space="preserve">, 141–166. </w:t>
      </w:r>
      <w:hyperlink r:id="rId9" w:history="1">
        <w:r w:rsidRPr="004155A7">
          <w:rPr>
            <w:rStyle w:val="Hyperlink"/>
            <w:lang w:val="en-GB"/>
          </w:rPr>
          <w:t>https://doi.org/10.1016/j.jhazmat.2013.12.018</w:t>
        </w:r>
      </w:hyperlink>
    </w:p>
    <w:p w14:paraId="7123CD87" w14:textId="77777777" w:rsidR="0052741B" w:rsidRPr="004155A7" w:rsidRDefault="0052741B" w:rsidP="00682053">
      <w:pPr>
        <w:pStyle w:val="NormalWeb"/>
        <w:rPr>
          <w:lang w:val="en-GB"/>
        </w:rPr>
      </w:pPr>
      <w:r w:rsidRPr="004155A7">
        <w:rPr>
          <w:lang w:val="en-GB"/>
        </w:rPr>
        <w:t xml:space="preserve">Bolan, N., Sarkar, B., Yan, Y., Li, Q., Wijesekara, H., Kannan, K., Tsang, D. C. W., </w:t>
      </w:r>
      <w:proofErr w:type="spellStart"/>
      <w:r w:rsidRPr="004155A7">
        <w:rPr>
          <w:lang w:val="en-GB"/>
        </w:rPr>
        <w:t>Schauerte</w:t>
      </w:r>
      <w:proofErr w:type="spellEnd"/>
      <w:r w:rsidRPr="004155A7">
        <w:rPr>
          <w:lang w:val="en-GB"/>
        </w:rPr>
        <w:t xml:space="preserve">, M., Bosch, J., Noll, H., Ok, Y. S., Scheckel, K., </w:t>
      </w:r>
      <w:proofErr w:type="spellStart"/>
      <w:r w:rsidRPr="004155A7">
        <w:rPr>
          <w:lang w:val="en-GB"/>
        </w:rPr>
        <w:t>Kumpiene</w:t>
      </w:r>
      <w:proofErr w:type="spellEnd"/>
      <w:r w:rsidRPr="004155A7">
        <w:rPr>
          <w:lang w:val="en-GB"/>
        </w:rPr>
        <w:t xml:space="preserve">, J., </w:t>
      </w:r>
      <w:proofErr w:type="spellStart"/>
      <w:r w:rsidRPr="004155A7">
        <w:rPr>
          <w:lang w:val="en-GB"/>
        </w:rPr>
        <w:t>Gobindlal</w:t>
      </w:r>
      <w:proofErr w:type="spellEnd"/>
      <w:r w:rsidRPr="004155A7">
        <w:rPr>
          <w:lang w:val="en-GB"/>
        </w:rPr>
        <w:t xml:space="preserve">, K., Kah, M., Sperry, J., Kirkham, M. B., Wang, H., Tsang, Y. F., Hou, D., &amp; </w:t>
      </w:r>
      <w:proofErr w:type="spellStart"/>
      <w:r w:rsidRPr="004155A7">
        <w:rPr>
          <w:lang w:val="en-GB"/>
        </w:rPr>
        <w:t>Rinklebe</w:t>
      </w:r>
      <w:proofErr w:type="spellEnd"/>
      <w:r w:rsidRPr="004155A7">
        <w:rPr>
          <w:lang w:val="en-GB"/>
        </w:rPr>
        <w:t xml:space="preserve">, J. (2021). Remediation of poly- and perfluoroalkyl substances (PFAS) contaminated soils – To mobilize or to immobilize or to degrade? </w:t>
      </w:r>
      <w:r w:rsidRPr="004155A7">
        <w:rPr>
          <w:rStyle w:val="Emphasis"/>
          <w:lang w:val="en-GB"/>
        </w:rPr>
        <w:t>Journal of Hazardous Materials, 401</w:t>
      </w:r>
      <w:r w:rsidRPr="004155A7">
        <w:rPr>
          <w:lang w:val="en-GB"/>
        </w:rPr>
        <w:t xml:space="preserve">, Article 123892. </w:t>
      </w:r>
      <w:hyperlink r:id="rId10" w:history="1">
        <w:r w:rsidRPr="004155A7">
          <w:rPr>
            <w:rStyle w:val="Hyperlink"/>
            <w:lang w:val="en-GB"/>
          </w:rPr>
          <w:t>https://doi.org/10.1016/j.jhazmat.2020.123892</w:t>
        </w:r>
      </w:hyperlink>
      <w:r w:rsidRPr="004155A7">
        <w:rPr>
          <w:lang w:val="en-GB"/>
        </w:rPr>
        <w:t xml:space="preserve">  </w:t>
      </w:r>
    </w:p>
    <w:p w14:paraId="059095AE" w14:textId="77777777" w:rsidR="0052741B" w:rsidRPr="004155A7" w:rsidRDefault="0052741B" w:rsidP="00682053">
      <w:pPr>
        <w:pStyle w:val="NormalWeb"/>
        <w:rPr>
          <w:lang w:val="en-GB"/>
        </w:rPr>
      </w:pPr>
      <w:r w:rsidRPr="004155A7">
        <w:rPr>
          <w:lang w:val="en-GB"/>
        </w:rPr>
        <w:t xml:space="preserve">Chen, C., Zhang, X., Chen, J., Chen, F., Li, J., Chen, Y., Hou, H., &amp; Shi, F. (2020). Assessment of site contaminated soil remediation based on an input-output life cycle assessment. </w:t>
      </w:r>
      <w:r w:rsidRPr="004155A7">
        <w:rPr>
          <w:rStyle w:val="Emphasis"/>
          <w:lang w:val="en-GB"/>
        </w:rPr>
        <w:t>Journal of Cleaner Production, 263</w:t>
      </w:r>
      <w:r w:rsidRPr="004155A7">
        <w:rPr>
          <w:lang w:val="en-GB"/>
        </w:rPr>
        <w:t xml:space="preserve">, Article 121422. </w:t>
      </w:r>
      <w:hyperlink r:id="rId11" w:history="1">
        <w:r w:rsidRPr="004155A7">
          <w:rPr>
            <w:rStyle w:val="Hyperlink"/>
            <w:lang w:val="en-GB"/>
          </w:rPr>
          <w:t>https://doi.org/10.1016/j.jclepro.2020.121422</w:t>
        </w:r>
      </w:hyperlink>
      <w:r w:rsidRPr="004155A7">
        <w:rPr>
          <w:lang w:val="en-GB"/>
        </w:rPr>
        <w:t xml:space="preserve">  </w:t>
      </w:r>
    </w:p>
    <w:p w14:paraId="16CADB67" w14:textId="77777777" w:rsidR="0052741B" w:rsidRPr="004155A7" w:rsidRDefault="0052741B" w:rsidP="00682053">
      <w:pPr>
        <w:pStyle w:val="NormalWeb"/>
        <w:rPr>
          <w:lang w:val="en-GB"/>
        </w:rPr>
      </w:pPr>
      <w:r w:rsidRPr="004155A7">
        <w:rPr>
          <w:lang w:val="en-GB"/>
        </w:rPr>
        <w:t xml:space="preserve">Dagnino, A., Sforzini, S., Dondero, F., Fenoglio, S., Bona, E., Jensen, J., &amp; Viarengo, A. (2008). A weight-of-evidence approach for the integration of environmental “triad” data to assess ecological risk and biological vulnerability. </w:t>
      </w:r>
      <w:r w:rsidRPr="004155A7">
        <w:rPr>
          <w:rStyle w:val="Emphasis"/>
          <w:lang w:val="en-GB"/>
        </w:rPr>
        <w:t>Integrated Environmental Assessment and Management, 4</w:t>
      </w:r>
      <w:r w:rsidRPr="004155A7">
        <w:rPr>
          <w:lang w:val="en-GB"/>
        </w:rPr>
        <w:t xml:space="preserve">(3), 314–326. </w:t>
      </w:r>
      <w:hyperlink r:id="rId12" w:history="1">
        <w:r w:rsidRPr="004155A7">
          <w:rPr>
            <w:rStyle w:val="Hyperlink"/>
            <w:lang w:val="en-GB"/>
          </w:rPr>
          <w:t>https://doi.org/10.1897/IEAM_2007-067.1</w:t>
        </w:r>
      </w:hyperlink>
      <w:r w:rsidRPr="004155A7">
        <w:rPr>
          <w:lang w:val="en-GB"/>
        </w:rPr>
        <w:t xml:space="preserve">  </w:t>
      </w:r>
    </w:p>
    <w:p w14:paraId="7F4FB1D1" w14:textId="77777777" w:rsidR="0052741B" w:rsidRPr="004155A7" w:rsidRDefault="0052741B" w:rsidP="00682053">
      <w:pPr>
        <w:pStyle w:val="NormalWeb"/>
        <w:rPr>
          <w:lang w:val="en-GB"/>
        </w:rPr>
      </w:pPr>
      <w:r w:rsidRPr="004155A7">
        <w:rPr>
          <w:lang w:val="en-GB"/>
        </w:rPr>
        <w:t xml:space="preserve">Dutta, B., Deka, K., Das, B. K., Borah, J., </w:t>
      </w:r>
      <w:proofErr w:type="spellStart"/>
      <w:r w:rsidRPr="004155A7">
        <w:rPr>
          <w:lang w:val="en-GB"/>
        </w:rPr>
        <w:t>Saloi</w:t>
      </w:r>
      <w:proofErr w:type="spellEnd"/>
      <w:r w:rsidRPr="004155A7">
        <w:rPr>
          <w:lang w:val="en-GB"/>
        </w:rPr>
        <w:t xml:space="preserve">, H. J., Medhi, B. K., Kandali, G. G., &amp; Kalita, R. (2025). Soil pollution and remediation strategies: New approaches for soil quality improvement. </w:t>
      </w:r>
      <w:r w:rsidRPr="004155A7">
        <w:rPr>
          <w:rStyle w:val="Emphasis"/>
          <w:lang w:val="en-GB"/>
        </w:rPr>
        <w:t>Journal of Advances in Biology &amp; Biotechnology, 28</w:t>
      </w:r>
      <w:r w:rsidRPr="004155A7">
        <w:rPr>
          <w:lang w:val="en-GB"/>
        </w:rPr>
        <w:t xml:space="preserve">(5), 962–992. </w:t>
      </w:r>
      <w:hyperlink r:id="rId13" w:history="1">
        <w:r w:rsidRPr="004155A7">
          <w:rPr>
            <w:rStyle w:val="Hyperlink"/>
            <w:lang w:val="en-GB"/>
          </w:rPr>
          <w:t>https://doi.org/10.9734/jabb/2025/v28i52358</w:t>
        </w:r>
      </w:hyperlink>
      <w:r w:rsidRPr="004155A7">
        <w:rPr>
          <w:lang w:val="en-GB"/>
        </w:rPr>
        <w:t xml:space="preserve"> </w:t>
      </w:r>
    </w:p>
    <w:p w14:paraId="2F658FFE" w14:textId="77777777" w:rsidR="0052741B" w:rsidRPr="004155A7" w:rsidRDefault="0052741B" w:rsidP="00682053">
      <w:pPr>
        <w:pStyle w:val="NormalWeb"/>
        <w:rPr>
          <w:lang w:val="en-GB"/>
        </w:rPr>
      </w:pPr>
      <w:r w:rsidRPr="004155A7">
        <w:rPr>
          <w:lang w:val="en-GB"/>
        </w:rPr>
        <w:t xml:space="preserve">Harclerode, M. A., Macbeth, T. W., Miller, M. E., Gurr, C. J., &amp; Myers, T. S. (2016). Early decision framework for integrating sustainable risk management for complex remediation sites: Drivers, barriers, and performance metrics. </w:t>
      </w:r>
      <w:r w:rsidRPr="004155A7">
        <w:rPr>
          <w:rStyle w:val="Emphasis"/>
          <w:lang w:val="en-GB"/>
        </w:rPr>
        <w:t>Journal of Environmental Management, 184</w:t>
      </w:r>
      <w:r w:rsidRPr="004155A7">
        <w:rPr>
          <w:lang w:val="en-GB"/>
        </w:rPr>
        <w:t xml:space="preserve">(Pt 1), 57–66. </w:t>
      </w:r>
      <w:hyperlink r:id="rId14" w:history="1">
        <w:r w:rsidRPr="004155A7">
          <w:rPr>
            <w:rStyle w:val="Hyperlink"/>
            <w:lang w:val="en-GB"/>
          </w:rPr>
          <w:t>https://doi.org/10.1016/j.jenvman.2016.07.087</w:t>
        </w:r>
      </w:hyperlink>
      <w:r w:rsidRPr="004155A7">
        <w:rPr>
          <w:lang w:val="en-GB"/>
        </w:rPr>
        <w:t xml:space="preserve">  </w:t>
      </w:r>
    </w:p>
    <w:p w14:paraId="6651E0DB" w14:textId="77777777" w:rsidR="0052741B" w:rsidRPr="004155A7" w:rsidRDefault="0052741B" w:rsidP="00682053">
      <w:pPr>
        <w:pStyle w:val="NormalWeb"/>
        <w:rPr>
          <w:lang w:val="en-GB"/>
        </w:rPr>
      </w:pPr>
      <w:r w:rsidRPr="004155A7">
        <w:rPr>
          <w:lang w:val="en-GB"/>
        </w:rPr>
        <w:t xml:space="preserve">He, L., Zhong, H., Liu, G., Dai, Z., Brookes, P. C., &amp; Xu, J. (2019). Remediation of heavy metal contaminated soils by biochar: Mechanisms, potential risks and applications in China. </w:t>
      </w:r>
      <w:r w:rsidRPr="004155A7">
        <w:rPr>
          <w:rStyle w:val="Emphasis"/>
          <w:lang w:val="en-GB"/>
        </w:rPr>
        <w:t>Environmental Pollution, 252</w:t>
      </w:r>
      <w:r w:rsidRPr="004155A7">
        <w:rPr>
          <w:lang w:val="en-GB"/>
        </w:rPr>
        <w:t xml:space="preserve">(Pt A), 846–855. </w:t>
      </w:r>
      <w:hyperlink r:id="rId15" w:history="1">
        <w:r w:rsidRPr="004155A7">
          <w:rPr>
            <w:rStyle w:val="Hyperlink"/>
            <w:lang w:val="en-GB"/>
          </w:rPr>
          <w:t>https://doi.org/10.1016/j.envpol.2019.05.151</w:t>
        </w:r>
      </w:hyperlink>
      <w:r w:rsidRPr="004155A7">
        <w:rPr>
          <w:lang w:val="en-GB"/>
        </w:rPr>
        <w:t xml:space="preserve">  </w:t>
      </w:r>
    </w:p>
    <w:p w14:paraId="6E2C2CBD" w14:textId="77777777" w:rsidR="0052741B" w:rsidRPr="004155A7" w:rsidRDefault="0052741B" w:rsidP="00682053">
      <w:pPr>
        <w:pStyle w:val="NormalWeb"/>
        <w:rPr>
          <w:lang w:val="en-GB"/>
        </w:rPr>
      </w:pPr>
      <w:r w:rsidRPr="004155A7">
        <w:rPr>
          <w:lang w:val="en-GB"/>
        </w:rPr>
        <w:t xml:space="preserve">Holland, K. S. (2011). A framework for sustainable remediation. </w:t>
      </w:r>
      <w:r w:rsidRPr="004155A7">
        <w:rPr>
          <w:rStyle w:val="Emphasis"/>
          <w:lang w:val="en-GB"/>
        </w:rPr>
        <w:t>Environmental Science &amp; Technology, 45</w:t>
      </w:r>
      <w:r w:rsidRPr="004155A7">
        <w:rPr>
          <w:lang w:val="en-GB"/>
        </w:rPr>
        <w:t xml:space="preserve">(17), 7116–7117. </w:t>
      </w:r>
      <w:hyperlink r:id="rId16" w:history="1">
        <w:r w:rsidRPr="004155A7">
          <w:rPr>
            <w:rStyle w:val="Hyperlink"/>
            <w:lang w:val="en-GB"/>
          </w:rPr>
          <w:t>https://doi.org/10.1021/es202595w</w:t>
        </w:r>
      </w:hyperlink>
      <w:r w:rsidRPr="004155A7">
        <w:rPr>
          <w:lang w:val="en-GB"/>
        </w:rPr>
        <w:t xml:space="preserve">  </w:t>
      </w:r>
    </w:p>
    <w:p w14:paraId="2FBD402E" w14:textId="77777777" w:rsidR="0052741B" w:rsidRPr="004155A7" w:rsidRDefault="0052741B" w:rsidP="00682053">
      <w:pPr>
        <w:pStyle w:val="NormalWeb"/>
        <w:rPr>
          <w:lang w:val="en-GB"/>
        </w:rPr>
      </w:pPr>
      <w:r w:rsidRPr="004155A7">
        <w:rPr>
          <w:lang w:val="en-GB"/>
        </w:rPr>
        <w:t xml:space="preserve">Hou, D., &amp; Al-Tabbaa, A. (2014). Sustainability: A new imperative in contaminated land remediation. </w:t>
      </w:r>
      <w:r w:rsidRPr="004155A7">
        <w:rPr>
          <w:rStyle w:val="Emphasis"/>
          <w:lang w:val="en-GB"/>
        </w:rPr>
        <w:t>Environmental Science &amp; Policy, 39</w:t>
      </w:r>
      <w:r w:rsidRPr="004155A7">
        <w:rPr>
          <w:lang w:val="en-GB"/>
        </w:rPr>
        <w:t xml:space="preserve">, 25–34. </w:t>
      </w:r>
      <w:hyperlink r:id="rId17" w:history="1">
        <w:r w:rsidRPr="004155A7">
          <w:rPr>
            <w:rStyle w:val="Hyperlink"/>
            <w:lang w:val="en-GB"/>
          </w:rPr>
          <w:t>https://doi.org/10.1016/j.envsci.2014.02.003</w:t>
        </w:r>
      </w:hyperlink>
      <w:r w:rsidRPr="004155A7">
        <w:rPr>
          <w:lang w:val="en-GB"/>
        </w:rPr>
        <w:t xml:space="preserve">  </w:t>
      </w:r>
    </w:p>
    <w:p w14:paraId="0A53DF62" w14:textId="77777777" w:rsidR="0052741B" w:rsidRPr="004155A7" w:rsidRDefault="0052741B" w:rsidP="00682053">
      <w:pPr>
        <w:pStyle w:val="NormalWeb"/>
        <w:rPr>
          <w:lang w:val="en-GB"/>
        </w:rPr>
      </w:pPr>
      <w:r w:rsidRPr="004155A7">
        <w:rPr>
          <w:lang w:val="en-GB"/>
        </w:rPr>
        <w:t xml:space="preserve">Kang, Q., Zhang, K., Dekker, S. C., &amp; Mao, J. (2025). Microplastics in soils: A comprehensive review. </w:t>
      </w:r>
      <w:r w:rsidRPr="004155A7">
        <w:rPr>
          <w:rStyle w:val="Emphasis"/>
          <w:lang w:val="en-GB"/>
        </w:rPr>
        <w:t>Science of the Total Environment, 960</w:t>
      </w:r>
      <w:r w:rsidRPr="004155A7">
        <w:rPr>
          <w:lang w:val="en-GB"/>
        </w:rPr>
        <w:t xml:space="preserve">, 178298. </w:t>
      </w:r>
      <w:hyperlink r:id="rId18" w:history="1">
        <w:r w:rsidRPr="004155A7">
          <w:rPr>
            <w:rStyle w:val="Hyperlink"/>
            <w:lang w:val="en-GB"/>
          </w:rPr>
          <w:t>https://doi.org/10.1016/j.scitotenv.2024.178298</w:t>
        </w:r>
      </w:hyperlink>
      <w:r w:rsidRPr="004155A7">
        <w:rPr>
          <w:lang w:val="en-GB"/>
        </w:rPr>
        <w:t xml:space="preserve"> </w:t>
      </w:r>
    </w:p>
    <w:p w14:paraId="4EAD6EB2" w14:textId="77777777" w:rsidR="0052741B" w:rsidRPr="004155A7" w:rsidRDefault="0052741B" w:rsidP="00682053">
      <w:pPr>
        <w:pStyle w:val="NormalWeb"/>
        <w:rPr>
          <w:lang w:val="en-GB"/>
        </w:rPr>
      </w:pPr>
      <w:r w:rsidRPr="004155A7">
        <w:rPr>
          <w:lang w:val="en-GB"/>
        </w:rPr>
        <w:t xml:space="preserve">Li, X., Yi, S., Cundy, A. B., &amp; Chen, W. (2022). Sustainable decision-making for contaminated site risk management: A decision tree model using machine learning </w:t>
      </w:r>
      <w:r w:rsidRPr="004155A7">
        <w:rPr>
          <w:lang w:val="en-GB"/>
        </w:rPr>
        <w:lastRenderedPageBreak/>
        <w:t xml:space="preserve">algorithms. </w:t>
      </w:r>
      <w:r w:rsidRPr="004155A7">
        <w:rPr>
          <w:rStyle w:val="Emphasis"/>
          <w:lang w:val="en-GB"/>
        </w:rPr>
        <w:t>Journal of Cleaner Production, 371</w:t>
      </w:r>
      <w:r w:rsidRPr="004155A7">
        <w:rPr>
          <w:lang w:val="en-GB"/>
        </w:rPr>
        <w:t xml:space="preserve">, Article 133612. </w:t>
      </w:r>
      <w:hyperlink r:id="rId19" w:history="1">
        <w:r w:rsidRPr="004155A7">
          <w:rPr>
            <w:rStyle w:val="Hyperlink"/>
            <w:lang w:val="en-GB"/>
          </w:rPr>
          <w:t>https://doi.org/10.1016/j.jclepro.2022.133612</w:t>
        </w:r>
      </w:hyperlink>
      <w:r w:rsidRPr="004155A7">
        <w:rPr>
          <w:lang w:val="en-GB"/>
        </w:rPr>
        <w:t xml:space="preserve">  </w:t>
      </w:r>
    </w:p>
    <w:p w14:paraId="6E7C7010" w14:textId="77777777" w:rsidR="0052741B" w:rsidRPr="004155A7" w:rsidRDefault="0052741B" w:rsidP="00682053">
      <w:pPr>
        <w:pStyle w:val="NormalWeb"/>
        <w:rPr>
          <w:lang w:val="en-GB"/>
        </w:rPr>
      </w:pPr>
      <w:r w:rsidRPr="004155A7">
        <w:rPr>
          <w:lang w:val="en-GB"/>
        </w:rPr>
        <w:t xml:space="preserve">Liu, H., Chi, L., Shen, J., </w:t>
      </w:r>
      <w:proofErr w:type="spellStart"/>
      <w:r w:rsidRPr="004155A7">
        <w:rPr>
          <w:lang w:val="en-GB"/>
        </w:rPr>
        <w:t>Arandiyan</w:t>
      </w:r>
      <w:proofErr w:type="spellEnd"/>
      <w:r w:rsidRPr="004155A7">
        <w:rPr>
          <w:lang w:val="en-GB"/>
        </w:rPr>
        <w:t xml:space="preserve">, H., Wang, Y., &amp; Wang, X. (2024). Principles, applications, and limitations of diffusive gradients in thin films induced fluxed in soils and sediments. </w:t>
      </w:r>
      <w:r w:rsidRPr="004155A7">
        <w:rPr>
          <w:rStyle w:val="Emphasis"/>
          <w:lang w:val="en-GB"/>
        </w:rPr>
        <w:t>Chemosphere, 350</w:t>
      </w:r>
      <w:r w:rsidRPr="004155A7">
        <w:rPr>
          <w:lang w:val="en-GB"/>
        </w:rPr>
        <w:t xml:space="preserve">, Article 141061. </w:t>
      </w:r>
      <w:hyperlink r:id="rId20" w:history="1">
        <w:r w:rsidRPr="004155A7">
          <w:rPr>
            <w:rStyle w:val="Hyperlink"/>
            <w:lang w:val="en-GB"/>
          </w:rPr>
          <w:t>https://doi.org/10.1016/j.chemosphere.2023.141061</w:t>
        </w:r>
      </w:hyperlink>
      <w:r w:rsidRPr="004155A7">
        <w:rPr>
          <w:lang w:val="en-GB"/>
        </w:rPr>
        <w:t xml:space="preserve">  </w:t>
      </w:r>
    </w:p>
    <w:p w14:paraId="36E40801" w14:textId="77777777" w:rsidR="0052741B" w:rsidRPr="004155A7" w:rsidRDefault="0052741B" w:rsidP="00682053">
      <w:pPr>
        <w:pStyle w:val="NormalWeb"/>
        <w:rPr>
          <w:lang w:val="en-GB"/>
        </w:rPr>
      </w:pPr>
      <w:r w:rsidRPr="004155A7">
        <w:rPr>
          <w:lang w:val="en-GB"/>
        </w:rPr>
        <w:t xml:space="preserve">Liu, L., Li, W., Song, W., &amp; Guo, M. (2018). Remediation techniques for heavy metal-contaminated soils: Principles and applicability. </w:t>
      </w:r>
      <w:r w:rsidRPr="004155A7">
        <w:rPr>
          <w:rStyle w:val="Emphasis"/>
          <w:lang w:val="en-GB"/>
        </w:rPr>
        <w:t>Science of the Total Environment, 633</w:t>
      </w:r>
      <w:r w:rsidRPr="004155A7">
        <w:rPr>
          <w:lang w:val="en-GB"/>
        </w:rPr>
        <w:t xml:space="preserve">, 206–219. </w:t>
      </w:r>
      <w:hyperlink r:id="rId21" w:history="1">
        <w:r w:rsidRPr="004155A7">
          <w:rPr>
            <w:rStyle w:val="Hyperlink"/>
            <w:lang w:val="en-GB"/>
          </w:rPr>
          <w:t>https://doi.org/10.1016/j.scitotenv.2018.03.161</w:t>
        </w:r>
      </w:hyperlink>
      <w:r w:rsidRPr="004155A7">
        <w:rPr>
          <w:lang w:val="en-GB"/>
        </w:rPr>
        <w:t xml:space="preserve">   </w:t>
      </w:r>
    </w:p>
    <w:p w14:paraId="6513E14F" w14:textId="77777777" w:rsidR="0052741B" w:rsidRPr="004155A7" w:rsidRDefault="0052741B" w:rsidP="00682053">
      <w:pPr>
        <w:pStyle w:val="NormalWeb"/>
        <w:rPr>
          <w:lang w:val="en-GB"/>
        </w:rPr>
      </w:pPr>
      <w:r w:rsidRPr="004155A7">
        <w:rPr>
          <w:lang w:val="en-GB"/>
        </w:rPr>
        <w:t xml:space="preserve">Navarro, D. A., Kabiri, S., Ho, J., Bowles, K. C., Davis, G., McLaughlin, M. J., &amp; </w:t>
      </w:r>
      <w:proofErr w:type="spellStart"/>
      <w:r w:rsidRPr="004155A7">
        <w:rPr>
          <w:lang w:val="en-GB"/>
        </w:rPr>
        <w:t>Kookana</w:t>
      </w:r>
      <w:proofErr w:type="spellEnd"/>
      <w:r w:rsidRPr="004155A7">
        <w:rPr>
          <w:lang w:val="en-GB"/>
        </w:rPr>
        <w:t xml:space="preserve">, R. S. (2023). Stabilisation of PFAS in soils: Long-term effectiveness of carbon-based soil amendments. </w:t>
      </w:r>
      <w:r w:rsidRPr="004155A7">
        <w:rPr>
          <w:rStyle w:val="Emphasis"/>
          <w:lang w:val="en-GB"/>
        </w:rPr>
        <w:t>Environmental Pollution, 323</w:t>
      </w:r>
      <w:r w:rsidRPr="004155A7">
        <w:rPr>
          <w:lang w:val="en-GB"/>
        </w:rPr>
        <w:t xml:space="preserve">, 121249. </w:t>
      </w:r>
      <w:hyperlink r:id="rId22" w:history="1">
        <w:r w:rsidRPr="004155A7">
          <w:rPr>
            <w:rStyle w:val="Hyperlink"/>
            <w:lang w:val="en-GB"/>
          </w:rPr>
          <w:t>https://doi.org/10.1016/j.envpol.2023.121249</w:t>
        </w:r>
      </w:hyperlink>
      <w:r w:rsidRPr="004155A7">
        <w:rPr>
          <w:lang w:val="en-GB"/>
        </w:rPr>
        <w:t xml:space="preserve"> </w:t>
      </w:r>
    </w:p>
    <w:p w14:paraId="46B77076" w14:textId="77777777" w:rsidR="0052741B" w:rsidRPr="004155A7" w:rsidRDefault="0052741B" w:rsidP="00682053">
      <w:pPr>
        <w:pStyle w:val="NormalWeb"/>
        <w:rPr>
          <w:lang w:val="en-GB"/>
        </w:rPr>
      </w:pPr>
      <w:r w:rsidRPr="004155A7">
        <w:rPr>
          <w:lang w:val="en-GB"/>
        </w:rPr>
        <w:t xml:space="preserve">Ranjan, P., Saini, N., &amp; Bundela, V. (2025). Microbial and phytoremediation strategies for agricultural soil bioremediation: Mechanisms and future perspectives. </w:t>
      </w:r>
      <w:r w:rsidRPr="004155A7">
        <w:rPr>
          <w:rStyle w:val="Emphasis"/>
          <w:lang w:val="en-GB"/>
        </w:rPr>
        <w:t>Journal of Scientific Research and Reports, 31</w:t>
      </w:r>
      <w:r w:rsidRPr="004155A7">
        <w:rPr>
          <w:lang w:val="en-GB"/>
        </w:rPr>
        <w:t xml:space="preserve">(7), 824–844. </w:t>
      </w:r>
      <w:hyperlink r:id="rId23" w:history="1">
        <w:r w:rsidRPr="004155A7">
          <w:rPr>
            <w:rStyle w:val="Hyperlink"/>
            <w:lang w:val="en-GB"/>
          </w:rPr>
          <w:t>https://doi.org/10.9734/jsrr/2025/v31i73302</w:t>
        </w:r>
      </w:hyperlink>
      <w:r w:rsidRPr="004155A7">
        <w:rPr>
          <w:lang w:val="en-GB"/>
        </w:rPr>
        <w:t xml:space="preserve"> </w:t>
      </w:r>
    </w:p>
    <w:p w14:paraId="066233C4" w14:textId="77777777" w:rsidR="0052741B" w:rsidRPr="004155A7" w:rsidRDefault="0052741B" w:rsidP="00682053">
      <w:pPr>
        <w:pStyle w:val="NormalWeb"/>
        <w:rPr>
          <w:lang w:val="en-GB"/>
        </w:rPr>
      </w:pPr>
      <w:proofErr w:type="spellStart"/>
      <w:r w:rsidRPr="004155A7">
        <w:rPr>
          <w:lang w:val="en-GB"/>
        </w:rPr>
        <w:t>Ravansari</w:t>
      </w:r>
      <w:proofErr w:type="spellEnd"/>
      <w:r w:rsidRPr="004155A7">
        <w:rPr>
          <w:lang w:val="en-GB"/>
        </w:rPr>
        <w:t xml:space="preserve">, R., Wilson, S. C., &amp; Tighe, M. (2020). Portable X-ray fluorescence for environmental assessment of soils: Not just a point and shoot method. </w:t>
      </w:r>
      <w:r w:rsidRPr="004155A7">
        <w:rPr>
          <w:rStyle w:val="Emphasis"/>
          <w:lang w:val="en-GB"/>
        </w:rPr>
        <w:t>Environment International, 134</w:t>
      </w:r>
      <w:r w:rsidRPr="004155A7">
        <w:rPr>
          <w:lang w:val="en-GB"/>
        </w:rPr>
        <w:t xml:space="preserve">, Article 105250. </w:t>
      </w:r>
      <w:hyperlink r:id="rId24" w:history="1">
        <w:r w:rsidRPr="004155A7">
          <w:rPr>
            <w:rStyle w:val="Hyperlink"/>
            <w:lang w:val="en-GB"/>
          </w:rPr>
          <w:t>https://doi.org/10.1016/j.envint.2019.105250</w:t>
        </w:r>
      </w:hyperlink>
      <w:r w:rsidRPr="004155A7">
        <w:rPr>
          <w:lang w:val="en-GB"/>
        </w:rPr>
        <w:t xml:space="preserve">  </w:t>
      </w:r>
    </w:p>
    <w:p w14:paraId="006891F7" w14:textId="77777777" w:rsidR="0052741B" w:rsidRPr="004155A7" w:rsidRDefault="0052741B" w:rsidP="00682053">
      <w:pPr>
        <w:pStyle w:val="NormalWeb"/>
        <w:rPr>
          <w:lang w:val="en-GB"/>
        </w:rPr>
      </w:pPr>
      <w:r w:rsidRPr="004155A7">
        <w:rPr>
          <w:lang w:val="en-GB"/>
        </w:rPr>
        <w:t xml:space="preserve">Ridsdale, D. R., &amp; Noble, B. F. (2016). Assessing sustainable remediation frameworks using sustainability principles. </w:t>
      </w:r>
      <w:r w:rsidRPr="004155A7">
        <w:rPr>
          <w:rStyle w:val="Emphasis"/>
          <w:lang w:val="en-GB"/>
        </w:rPr>
        <w:t>Journal of Environmental Management, 184</w:t>
      </w:r>
      <w:r w:rsidRPr="004155A7">
        <w:rPr>
          <w:lang w:val="en-GB"/>
        </w:rPr>
        <w:t xml:space="preserve">(Pt 1), 36–44. </w:t>
      </w:r>
      <w:hyperlink r:id="rId25" w:history="1">
        <w:r w:rsidRPr="004155A7">
          <w:rPr>
            <w:rStyle w:val="Hyperlink"/>
            <w:lang w:val="en-GB"/>
          </w:rPr>
          <w:t>https://doi.org/10.1016/j.jenvman.2016.09.015</w:t>
        </w:r>
      </w:hyperlink>
      <w:r w:rsidRPr="004155A7">
        <w:rPr>
          <w:lang w:val="en-GB"/>
        </w:rPr>
        <w:t xml:space="preserve">  </w:t>
      </w:r>
    </w:p>
    <w:p w14:paraId="46B46734" w14:textId="77777777" w:rsidR="0052741B" w:rsidRPr="004155A7" w:rsidRDefault="0052741B" w:rsidP="00682053">
      <w:pPr>
        <w:pStyle w:val="NormalWeb"/>
        <w:rPr>
          <w:lang w:val="en-GB"/>
        </w:rPr>
      </w:pPr>
      <w:r w:rsidRPr="004155A7">
        <w:rPr>
          <w:lang w:val="en-GB"/>
        </w:rPr>
        <w:t xml:space="preserve">Søndergaard, G. L., Binning, P. J., Bondgaard, M., &amp; Bjerg, P. L. (2018). Multi-criteria assessment tool for sustainability appraisal of remediation alternatives for a contaminated site. </w:t>
      </w:r>
      <w:r w:rsidRPr="004155A7">
        <w:rPr>
          <w:rStyle w:val="Emphasis"/>
          <w:lang w:val="en-GB"/>
        </w:rPr>
        <w:t>Journal of Soils and Sediments, 18</w:t>
      </w:r>
      <w:r w:rsidRPr="004155A7">
        <w:rPr>
          <w:lang w:val="en-GB"/>
        </w:rPr>
        <w:t xml:space="preserve">, 3334–3348. </w:t>
      </w:r>
      <w:hyperlink r:id="rId26" w:history="1">
        <w:r w:rsidRPr="004155A7">
          <w:rPr>
            <w:rStyle w:val="Hyperlink"/>
            <w:lang w:val="en-GB"/>
          </w:rPr>
          <w:t>https://doi.org/10.1007/s11368-017-1805-2</w:t>
        </w:r>
      </w:hyperlink>
      <w:r w:rsidRPr="004155A7">
        <w:rPr>
          <w:lang w:val="en-GB"/>
        </w:rPr>
        <w:t xml:space="preserve"> </w:t>
      </w:r>
    </w:p>
    <w:p w14:paraId="11E811C2" w14:textId="77777777" w:rsidR="0052741B" w:rsidRPr="004155A7" w:rsidRDefault="0052741B" w:rsidP="00682053">
      <w:pPr>
        <w:pStyle w:val="NormalWeb"/>
        <w:rPr>
          <w:lang w:val="en-GB"/>
        </w:rPr>
      </w:pPr>
      <w:r w:rsidRPr="004155A7">
        <w:rPr>
          <w:lang w:val="en-GB"/>
        </w:rPr>
        <w:t xml:space="preserve">Su, Y., Li, B., Li, J., Guo, B., &amp; Feng, Q. (2025). Hyperspectral remote sensing for soil heavy metal inversion: Insights and applications. </w:t>
      </w:r>
      <w:r w:rsidRPr="004155A7">
        <w:rPr>
          <w:rStyle w:val="Emphasis"/>
          <w:lang w:val="en-GB"/>
        </w:rPr>
        <w:t>International Journal of Digital Earth, 18</w:t>
      </w:r>
      <w:r w:rsidRPr="004155A7">
        <w:rPr>
          <w:lang w:val="en-GB"/>
        </w:rPr>
        <w:t xml:space="preserve">(1), 2520474. </w:t>
      </w:r>
      <w:hyperlink r:id="rId27" w:history="1">
        <w:r w:rsidRPr="004155A7">
          <w:rPr>
            <w:rStyle w:val="Hyperlink"/>
            <w:lang w:val="en-GB"/>
          </w:rPr>
          <w:t>https://doi.org/10.1080/17538947.2025.2520474</w:t>
        </w:r>
      </w:hyperlink>
      <w:r w:rsidRPr="004155A7">
        <w:rPr>
          <w:lang w:val="en-GB"/>
        </w:rPr>
        <w:t xml:space="preserve">  </w:t>
      </w:r>
    </w:p>
    <w:p w14:paraId="0EFDF581" w14:textId="77777777" w:rsidR="0052741B" w:rsidRPr="004155A7" w:rsidRDefault="0052741B" w:rsidP="00682053">
      <w:pPr>
        <w:pStyle w:val="NormalWeb"/>
        <w:rPr>
          <w:lang w:val="en-GB"/>
        </w:rPr>
      </w:pPr>
      <w:r w:rsidRPr="004155A7">
        <w:rPr>
          <w:lang w:val="en-GB"/>
        </w:rPr>
        <w:t xml:space="preserve">Ugochi, E. I., </w:t>
      </w:r>
      <w:proofErr w:type="spellStart"/>
      <w:r w:rsidRPr="004155A7">
        <w:rPr>
          <w:lang w:val="en-GB"/>
        </w:rPr>
        <w:t>Ogugbue</w:t>
      </w:r>
      <w:proofErr w:type="spellEnd"/>
      <w:r w:rsidRPr="004155A7">
        <w:rPr>
          <w:lang w:val="en-GB"/>
        </w:rPr>
        <w:t xml:space="preserve">, C. J., &amp; </w:t>
      </w:r>
      <w:proofErr w:type="spellStart"/>
      <w:r w:rsidRPr="004155A7">
        <w:rPr>
          <w:lang w:val="en-GB"/>
        </w:rPr>
        <w:t>Onojake</w:t>
      </w:r>
      <w:proofErr w:type="spellEnd"/>
      <w:r w:rsidRPr="004155A7">
        <w:rPr>
          <w:lang w:val="en-GB"/>
        </w:rPr>
        <w:t xml:space="preserve">, M. C. (2025). Effect of animal bone biochar on total petroleum hydrocarbon reduction and fertility restoration in crude oil–contaminated soil. </w:t>
      </w:r>
      <w:r w:rsidRPr="004155A7">
        <w:rPr>
          <w:rStyle w:val="Emphasis"/>
          <w:lang w:val="en-GB"/>
        </w:rPr>
        <w:t>Asian Journal of Current Research, 10</w:t>
      </w:r>
      <w:r w:rsidRPr="004155A7">
        <w:rPr>
          <w:lang w:val="en-GB"/>
        </w:rPr>
        <w:t xml:space="preserve">(4), 280–289. </w:t>
      </w:r>
      <w:hyperlink r:id="rId28" w:tgtFrame="_new" w:history="1">
        <w:r w:rsidRPr="004155A7">
          <w:rPr>
            <w:rStyle w:val="Hyperlink"/>
            <w:lang w:val="en-GB"/>
          </w:rPr>
          <w:t>https://doi.org/10.56557/ajocr/2025/v10i49933</w:t>
        </w:r>
      </w:hyperlink>
    </w:p>
    <w:p w14:paraId="3FC007EA" w14:textId="77777777" w:rsidR="0052741B" w:rsidRPr="004155A7" w:rsidRDefault="0052741B" w:rsidP="00682053">
      <w:pPr>
        <w:pStyle w:val="NormalWeb"/>
        <w:rPr>
          <w:lang w:val="en-GB"/>
        </w:rPr>
      </w:pPr>
      <w:r w:rsidRPr="004155A7">
        <w:rPr>
          <w:lang w:val="en-GB"/>
        </w:rPr>
        <w:t xml:space="preserve">Verma, S., Verma, P., Bag, A. G., &amp; </w:t>
      </w:r>
      <w:proofErr w:type="spellStart"/>
      <w:r w:rsidRPr="004155A7">
        <w:rPr>
          <w:lang w:val="en-GB"/>
        </w:rPr>
        <w:t>Changade</w:t>
      </w:r>
      <w:proofErr w:type="spellEnd"/>
      <w:r w:rsidRPr="004155A7">
        <w:rPr>
          <w:lang w:val="en-GB"/>
        </w:rPr>
        <w:t xml:space="preserve">, N. M. (2024). Reviewing soil contaminant remediation techniques. </w:t>
      </w:r>
      <w:r w:rsidRPr="004155A7">
        <w:rPr>
          <w:rStyle w:val="Emphasis"/>
          <w:lang w:val="en-GB"/>
        </w:rPr>
        <w:t>International Journal of Environment and Climate Change, 14</w:t>
      </w:r>
      <w:r w:rsidRPr="004155A7">
        <w:rPr>
          <w:lang w:val="en-GB"/>
        </w:rPr>
        <w:t xml:space="preserve">(5), 115–134. </w:t>
      </w:r>
      <w:hyperlink r:id="rId29" w:history="1">
        <w:r w:rsidRPr="004155A7">
          <w:rPr>
            <w:rStyle w:val="Hyperlink"/>
            <w:lang w:val="en-GB"/>
          </w:rPr>
          <w:t>https://doi.org/10.9734/ijecc/2024/v14i54175</w:t>
        </w:r>
      </w:hyperlink>
      <w:r w:rsidRPr="004155A7">
        <w:rPr>
          <w:lang w:val="en-GB"/>
        </w:rPr>
        <w:t xml:space="preserve">  </w:t>
      </w:r>
    </w:p>
    <w:p w14:paraId="44FC82BC" w14:textId="77777777" w:rsidR="0052741B" w:rsidRPr="004155A7" w:rsidRDefault="0052741B" w:rsidP="00682053">
      <w:pPr>
        <w:pStyle w:val="NormalWeb"/>
        <w:rPr>
          <w:lang w:val="en-GB"/>
        </w:rPr>
      </w:pPr>
      <w:r w:rsidRPr="004155A7">
        <w:rPr>
          <w:lang w:val="en-GB"/>
        </w:rPr>
        <w:t xml:space="preserve">Wei, K.-H., Ma, J., Xi, B.-D., Yu, M.-D., Cui, J., Chen, B.-L., Li, Y., Gu, Q.-B., &amp; He, X.-S. (2022). Recent progress on in-situ chemical oxidation for the remediation of petroleum </w:t>
      </w:r>
      <w:r w:rsidRPr="004155A7">
        <w:rPr>
          <w:lang w:val="en-GB"/>
        </w:rPr>
        <w:lastRenderedPageBreak/>
        <w:t xml:space="preserve">contaminated soil and groundwater. </w:t>
      </w:r>
      <w:r w:rsidRPr="004155A7">
        <w:rPr>
          <w:rStyle w:val="Emphasis"/>
          <w:lang w:val="en-GB"/>
        </w:rPr>
        <w:t>Journal of Hazardous Materials, 432</w:t>
      </w:r>
      <w:r w:rsidRPr="004155A7">
        <w:rPr>
          <w:lang w:val="en-GB"/>
        </w:rPr>
        <w:t xml:space="preserve">, Article 128738. </w:t>
      </w:r>
      <w:hyperlink r:id="rId30" w:history="1">
        <w:r w:rsidRPr="004155A7">
          <w:rPr>
            <w:rStyle w:val="Hyperlink"/>
            <w:lang w:val="en-GB"/>
          </w:rPr>
          <w:t>https://doi.org/10.1016/j.jhazmat.2022.128738</w:t>
        </w:r>
      </w:hyperlink>
      <w:r w:rsidRPr="004155A7">
        <w:rPr>
          <w:lang w:val="en-GB"/>
        </w:rPr>
        <w:t xml:space="preserve">  </w:t>
      </w:r>
    </w:p>
    <w:p w14:paraId="26304143" w14:textId="77777777" w:rsidR="0052741B" w:rsidRPr="004155A7" w:rsidRDefault="0052741B" w:rsidP="00682053">
      <w:pPr>
        <w:pStyle w:val="NormalWeb"/>
        <w:rPr>
          <w:lang w:val="en-GB"/>
        </w:rPr>
      </w:pPr>
      <w:r w:rsidRPr="004155A7">
        <w:rPr>
          <w:lang w:val="en-GB"/>
        </w:rPr>
        <w:t xml:space="preserve">Yang, L., Zhang, Y., Kang, S., Wang, Z., &amp; Wu, C. (2021). Microplastics in soil: A review on methods, occurrence, sources, and potential risk. </w:t>
      </w:r>
      <w:r w:rsidRPr="004155A7">
        <w:rPr>
          <w:rStyle w:val="Emphasis"/>
          <w:lang w:val="en-GB"/>
        </w:rPr>
        <w:t>Science of the Total Environment, 780</w:t>
      </w:r>
      <w:r w:rsidRPr="004155A7">
        <w:rPr>
          <w:lang w:val="en-GB"/>
        </w:rPr>
        <w:t xml:space="preserve">, Article 146546. </w:t>
      </w:r>
      <w:hyperlink r:id="rId31" w:history="1">
        <w:r w:rsidRPr="004155A7">
          <w:rPr>
            <w:rStyle w:val="Hyperlink"/>
            <w:lang w:val="en-GB"/>
          </w:rPr>
          <w:t>https://doi.org/10.1016/j.scitotenv.2021.146546</w:t>
        </w:r>
      </w:hyperlink>
      <w:r w:rsidRPr="004155A7">
        <w:rPr>
          <w:lang w:val="en-GB"/>
        </w:rPr>
        <w:t xml:space="preserve">  </w:t>
      </w:r>
    </w:p>
    <w:p w14:paraId="24446E73" w14:textId="77777777" w:rsidR="0052741B" w:rsidRPr="004155A7" w:rsidRDefault="0052741B" w:rsidP="00682053">
      <w:pPr>
        <w:pStyle w:val="NormalWeb"/>
        <w:rPr>
          <w:lang w:val="en-GB"/>
        </w:rPr>
      </w:pPr>
      <w:r w:rsidRPr="004155A7">
        <w:rPr>
          <w:lang w:val="en-GB"/>
        </w:rPr>
        <w:t xml:space="preserve">Yang, S., Sun, L., Sun, Y., Song, K., Qin, Q., Zhu, Z., &amp; Xue, Y. (2023). Towards an integrated health risk assessment framework of soil heavy metals pollution: Theoretical basis, conceptual model, and perspectives. </w:t>
      </w:r>
      <w:r w:rsidRPr="004155A7">
        <w:rPr>
          <w:rStyle w:val="Emphasis"/>
          <w:lang w:val="en-GB"/>
        </w:rPr>
        <w:t>Environmental Pollution, 316</w:t>
      </w:r>
      <w:r w:rsidRPr="004155A7">
        <w:rPr>
          <w:lang w:val="en-GB"/>
        </w:rPr>
        <w:t xml:space="preserve">, Article 120596. </w:t>
      </w:r>
      <w:hyperlink r:id="rId32" w:history="1">
        <w:r w:rsidRPr="004155A7">
          <w:rPr>
            <w:rStyle w:val="Hyperlink"/>
            <w:lang w:val="en-GB"/>
          </w:rPr>
          <w:t>https://doi.org/10.1016/j.envpol.2022.120596</w:t>
        </w:r>
      </w:hyperlink>
      <w:r w:rsidRPr="004155A7">
        <w:rPr>
          <w:lang w:val="en-GB"/>
        </w:rPr>
        <w:t xml:space="preserve">  </w:t>
      </w:r>
    </w:p>
    <w:p w14:paraId="704DF3B6" w14:textId="77777777" w:rsidR="0052741B" w:rsidRPr="004155A7" w:rsidRDefault="0052741B" w:rsidP="00FA5698">
      <w:pPr>
        <w:pStyle w:val="NormalWeb"/>
        <w:rPr>
          <w:lang w:val="en-GB"/>
        </w:rPr>
      </w:pPr>
    </w:p>
    <w:p w14:paraId="798B8752" w14:textId="77777777" w:rsidR="00417DFC" w:rsidRPr="004155A7" w:rsidRDefault="00417DFC" w:rsidP="00697683">
      <w:pPr>
        <w:rPr>
          <w:lang w:val="en-GB"/>
        </w:rPr>
      </w:pPr>
    </w:p>
    <w:sectPr w:rsidR="00417DFC" w:rsidRPr="004155A7"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6680" w14:textId="77777777" w:rsidR="00C61136" w:rsidRDefault="00C61136" w:rsidP="00852E49">
      <w:pPr>
        <w:spacing w:after="0" w:line="240" w:lineRule="auto"/>
      </w:pPr>
      <w:r>
        <w:separator/>
      </w:r>
    </w:p>
  </w:endnote>
  <w:endnote w:type="continuationSeparator" w:id="0">
    <w:p w14:paraId="6D8B78C6" w14:textId="77777777" w:rsidR="00C61136" w:rsidRDefault="00C61136" w:rsidP="0085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8ADD" w14:textId="77777777" w:rsidR="00852E49" w:rsidRDefault="0085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5191" w14:textId="77777777" w:rsidR="00852E49" w:rsidRDefault="00852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626C" w14:textId="77777777" w:rsidR="00852E49" w:rsidRDefault="00852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48DD8" w14:textId="77777777" w:rsidR="00C61136" w:rsidRDefault="00C61136" w:rsidP="00852E49">
      <w:pPr>
        <w:spacing w:after="0" w:line="240" w:lineRule="auto"/>
      </w:pPr>
      <w:r>
        <w:separator/>
      </w:r>
    </w:p>
  </w:footnote>
  <w:footnote w:type="continuationSeparator" w:id="0">
    <w:p w14:paraId="2633B171" w14:textId="77777777" w:rsidR="00C61136" w:rsidRDefault="00C61136" w:rsidP="0085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495A" w14:textId="694B7F84" w:rsidR="00852E49" w:rsidRDefault="00852E49">
    <w:pPr>
      <w:pStyle w:val="Header"/>
    </w:pPr>
    <w:r>
      <w:rPr>
        <w:noProof/>
      </w:rPr>
      <w:pict w14:anchorId="58F27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9142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7FC7" w14:textId="222EC7A5" w:rsidR="00852E49" w:rsidRDefault="00852E49">
    <w:pPr>
      <w:pStyle w:val="Header"/>
    </w:pPr>
    <w:r>
      <w:rPr>
        <w:noProof/>
      </w:rPr>
      <w:pict w14:anchorId="14086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9142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B87F" w14:textId="694C17E5" w:rsidR="00852E49" w:rsidRDefault="00852E49">
    <w:pPr>
      <w:pStyle w:val="Header"/>
    </w:pPr>
    <w:r>
      <w:rPr>
        <w:noProof/>
      </w:rPr>
      <w:pict w14:anchorId="5105D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9142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
  </w:num>
  <w:num w:numId="3">
    <w:abstractNumId w:val="11"/>
  </w:num>
  <w:num w:numId="4">
    <w:abstractNumId w:val="3"/>
  </w:num>
  <w:num w:numId="5">
    <w:abstractNumId w:val="0"/>
  </w:num>
  <w:num w:numId="6">
    <w:abstractNumId w:val="17"/>
  </w:num>
  <w:num w:numId="7">
    <w:abstractNumId w:val="5"/>
  </w:num>
  <w:num w:numId="8">
    <w:abstractNumId w:val="4"/>
  </w:num>
  <w:num w:numId="9">
    <w:abstractNumId w:val="24"/>
  </w:num>
  <w:num w:numId="10">
    <w:abstractNumId w:val="7"/>
  </w:num>
  <w:num w:numId="11">
    <w:abstractNumId w:val="8"/>
  </w:num>
  <w:num w:numId="12">
    <w:abstractNumId w:val="21"/>
  </w:num>
  <w:num w:numId="13">
    <w:abstractNumId w:val="12"/>
  </w:num>
  <w:num w:numId="14">
    <w:abstractNumId w:val="2"/>
  </w:num>
  <w:num w:numId="15">
    <w:abstractNumId w:val="26"/>
  </w:num>
  <w:num w:numId="16">
    <w:abstractNumId w:val="15"/>
  </w:num>
  <w:num w:numId="17">
    <w:abstractNumId w:val="6"/>
  </w:num>
  <w:num w:numId="18">
    <w:abstractNumId w:val="18"/>
  </w:num>
  <w:num w:numId="19">
    <w:abstractNumId w:val="9"/>
  </w:num>
  <w:num w:numId="20">
    <w:abstractNumId w:val="10"/>
  </w:num>
  <w:num w:numId="21">
    <w:abstractNumId w:val="25"/>
  </w:num>
  <w:num w:numId="22">
    <w:abstractNumId w:val="16"/>
  </w:num>
  <w:num w:numId="23">
    <w:abstractNumId w:val="1"/>
  </w:num>
  <w:num w:numId="24">
    <w:abstractNumId w:val="22"/>
  </w:num>
  <w:num w:numId="25">
    <w:abstractNumId w:val="20"/>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5920"/>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223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1F5DEA"/>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041C"/>
    <w:rsid w:val="00384ACA"/>
    <w:rsid w:val="003909C0"/>
    <w:rsid w:val="00391BB6"/>
    <w:rsid w:val="003975AE"/>
    <w:rsid w:val="003A104D"/>
    <w:rsid w:val="003A4787"/>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2741B"/>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2053"/>
    <w:rsid w:val="00683EC3"/>
    <w:rsid w:val="006907D2"/>
    <w:rsid w:val="00692471"/>
    <w:rsid w:val="00693DFE"/>
    <w:rsid w:val="00695D59"/>
    <w:rsid w:val="00697683"/>
    <w:rsid w:val="006A2C8B"/>
    <w:rsid w:val="006A39B3"/>
    <w:rsid w:val="006A7ABC"/>
    <w:rsid w:val="006B0247"/>
    <w:rsid w:val="006B57D5"/>
    <w:rsid w:val="006B66BC"/>
    <w:rsid w:val="006C7C9D"/>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2E49"/>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28B4"/>
    <w:rsid w:val="00BA248E"/>
    <w:rsid w:val="00BA3C57"/>
    <w:rsid w:val="00BB0BE1"/>
    <w:rsid w:val="00BB4C3B"/>
    <w:rsid w:val="00BB6828"/>
    <w:rsid w:val="00BB7829"/>
    <w:rsid w:val="00BC43AE"/>
    <w:rsid w:val="00BD0885"/>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1136"/>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B4286"/>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B7F"/>
    <w:rsid w:val="00FA03AB"/>
    <w:rsid w:val="00FA1C67"/>
    <w:rsid w:val="00FA5698"/>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6"/>
        <o:r id="V:Rule2" type="connector" idref="#Straight Arrow Connector 14"/>
        <o:r id="V:Rule3" type="connector" idref="#Straight Arrow Connector 27"/>
        <o:r id="V:Rule4" type="connector" idref="#Straight Arrow Connector 15"/>
        <o:r id="V:Rule5" type="connector" idref="#Straight Arrow Connector 19"/>
        <o:r id="V:Rule6" type="connector" idref="#Straight Arrow Connector 35"/>
        <o:r id="V:Rule7" type="connector" idref="#Straight Arrow Connector 17"/>
        <o:r id="V:Rule8" type="connector" idref="#Straight Arrow Connector 16"/>
      </o:rules>
    </o:shapelayout>
  </w:shapeDefaults>
  <w:decimalSymbol w:val="."/>
  <w:listSeparator w:val=","/>
  <w14:docId w14:val="1EB8646A"/>
  <w15:docId w15:val="{0E8F0FF1-F23A-45E8-8687-993C592E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852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4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852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49"/>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abb/2025/v28i52358" TargetMode="External"/><Relationship Id="rId18" Type="http://schemas.openxmlformats.org/officeDocument/2006/relationships/hyperlink" Target="https://doi.org/10.1016/j.scitotenv.2024.178298" TargetMode="External"/><Relationship Id="rId26" Type="http://schemas.openxmlformats.org/officeDocument/2006/relationships/hyperlink" Target="https://doi.org/10.1007/s11368-017-1805-2" TargetMode="External"/><Relationship Id="rId39" Type="http://schemas.openxmlformats.org/officeDocument/2006/relationships/fontTable" Target="fontTable.xml"/><Relationship Id="rId21" Type="http://schemas.openxmlformats.org/officeDocument/2006/relationships/hyperlink" Target="https://doi.org/10.1016/j.scitotenv.2018.03.16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897/IEAM_2007-067.1" TargetMode="External"/><Relationship Id="rId17" Type="http://schemas.openxmlformats.org/officeDocument/2006/relationships/hyperlink" Target="https://doi.org/10.1016/j.envsci.2014.02.003" TargetMode="External"/><Relationship Id="rId25" Type="http://schemas.openxmlformats.org/officeDocument/2006/relationships/hyperlink" Target="https://doi.org/10.1016/j.jenvman.2016.09.01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21/es202595w" TargetMode="External"/><Relationship Id="rId20" Type="http://schemas.openxmlformats.org/officeDocument/2006/relationships/hyperlink" Target="https://doi.org/10.1016/j.chemosphere.2023.141061" TargetMode="External"/><Relationship Id="rId29" Type="http://schemas.openxmlformats.org/officeDocument/2006/relationships/hyperlink" Target="https://doi.org/10.9734/ijecc/2024/v14i541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lepro.2020.121422" TargetMode="External"/><Relationship Id="rId24" Type="http://schemas.openxmlformats.org/officeDocument/2006/relationships/hyperlink" Target="https://doi.org/10.1016/j.envint.2019.105250" TargetMode="External"/><Relationship Id="rId32" Type="http://schemas.openxmlformats.org/officeDocument/2006/relationships/hyperlink" Target="https://doi.org/10.1016/j.envpol.2022.12059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nvpol.2019.05.151" TargetMode="External"/><Relationship Id="rId23" Type="http://schemas.openxmlformats.org/officeDocument/2006/relationships/hyperlink" Target="https://doi.org/10.9734/jsrr/2025/v31i73302" TargetMode="External"/><Relationship Id="rId28" Type="http://schemas.openxmlformats.org/officeDocument/2006/relationships/hyperlink" Target="https://doi.org/10.56557/ajocr/2025/v10i49933?utm_source=chatgpt.com" TargetMode="External"/><Relationship Id="rId36" Type="http://schemas.openxmlformats.org/officeDocument/2006/relationships/footer" Target="footer2.xml"/><Relationship Id="rId10" Type="http://schemas.openxmlformats.org/officeDocument/2006/relationships/hyperlink" Target="https://doi.org/10.1016/j.jhazmat.2020.123892" TargetMode="External"/><Relationship Id="rId19" Type="http://schemas.openxmlformats.org/officeDocument/2006/relationships/hyperlink" Target="https://doi.org/10.1016/j.jclepro.2022.133612" TargetMode="External"/><Relationship Id="rId31" Type="http://schemas.openxmlformats.org/officeDocument/2006/relationships/hyperlink" Target="https://doi.org/10.1016/j.scitotenv.2021.146546" TargetMode="External"/><Relationship Id="rId4" Type="http://schemas.openxmlformats.org/officeDocument/2006/relationships/settings" Target="settings.xml"/><Relationship Id="rId9" Type="http://schemas.openxmlformats.org/officeDocument/2006/relationships/hyperlink" Target="https://doi.org/10.1016/j.jhazmat.2013.12.018" TargetMode="External"/><Relationship Id="rId14" Type="http://schemas.openxmlformats.org/officeDocument/2006/relationships/hyperlink" Target="https://doi.org/10.1016/j.jenvman.2016.07.087" TargetMode="External"/><Relationship Id="rId22" Type="http://schemas.openxmlformats.org/officeDocument/2006/relationships/hyperlink" Target="https://doi.org/10.1016/j.envpol.2023.121249" TargetMode="External"/><Relationship Id="rId27" Type="http://schemas.openxmlformats.org/officeDocument/2006/relationships/hyperlink" Target="https://doi.org/10.1080/17538947.2025.2520474" TargetMode="External"/><Relationship Id="rId30" Type="http://schemas.openxmlformats.org/officeDocument/2006/relationships/hyperlink" Target="https://doi.org/10.1016/j.jhazmat.2022.128738" TargetMode="External"/><Relationship Id="rId35" Type="http://schemas.openxmlformats.org/officeDocument/2006/relationships/footer" Target="footer1.xml"/><Relationship Id="rId8" Type="http://schemas.openxmlformats.org/officeDocument/2006/relationships/hyperlink" Target="https://doi.org/10.1016/j.jhazmat.2024.13381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58DB1-902C-481A-B09C-8A0A5CDC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12487</TotalTime>
  <Pages>18</Pages>
  <Words>8506</Words>
  <Characters>48490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1170</cp:lastModifiedBy>
  <cp:revision>175</cp:revision>
  <cp:lastPrinted>2025-12-13T07:14:00Z</cp:lastPrinted>
  <dcterms:created xsi:type="dcterms:W3CDTF">2025-09-24T12:44:00Z</dcterms:created>
  <dcterms:modified xsi:type="dcterms:W3CDTF">2026-03-02T07:55:00Z</dcterms:modified>
</cp:coreProperties>
</file>