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B6810" w14:textId="77777777" w:rsidR="00754C9A" w:rsidRDefault="00754C9A" w:rsidP="00441B6F">
      <w:pPr>
        <w:pStyle w:val="Title"/>
        <w:spacing w:after="0"/>
        <w:jc w:val="both"/>
        <w:rPr>
          <w:rFonts w:ascii="Arial" w:hAnsi="Arial" w:cs="Arial"/>
        </w:rPr>
      </w:pPr>
    </w:p>
    <w:p w14:paraId="42441870" w14:textId="77777777" w:rsidR="00163BC4" w:rsidRPr="00163BC4" w:rsidRDefault="007A30AD" w:rsidP="00441B6F">
      <w:pPr>
        <w:pStyle w:val="Author"/>
        <w:spacing w:line="240" w:lineRule="auto"/>
        <w:rPr>
          <w:rFonts w:ascii="Arial" w:hAnsi="Arial" w:cs="Arial"/>
          <w:bCs/>
          <w:iCs/>
          <w:kern w:val="28"/>
          <w:sz w:val="36"/>
        </w:rPr>
      </w:pPr>
      <w:r w:rsidRPr="00D64B05">
        <w:rPr>
          <w:rFonts w:ascii="Arial" w:hAnsi="Arial" w:cs="Arial"/>
          <w:b w:val="0"/>
          <w:sz w:val="36"/>
          <w:szCs w:val="36"/>
        </w:rPr>
        <w:t xml:space="preserve">Co-application of Animal Wastes and </w:t>
      </w:r>
      <w:r w:rsidRPr="00D64B05">
        <w:rPr>
          <w:rFonts w:ascii="Arial" w:hAnsi="Arial" w:cs="Arial"/>
          <w:b w:val="0"/>
          <w:i/>
          <w:sz w:val="36"/>
          <w:szCs w:val="36"/>
        </w:rPr>
        <w:t xml:space="preserve">Micrococcus </w:t>
      </w:r>
      <w:r w:rsidRPr="00D64B05">
        <w:rPr>
          <w:rFonts w:ascii="Arial" w:hAnsi="Arial" w:cs="Arial"/>
          <w:b w:val="0"/>
          <w:sz w:val="36"/>
          <w:szCs w:val="36"/>
        </w:rPr>
        <w:t>sp. in Bioremediation of Zn-polluted Soil and Analysis of their Effects on Corn Seedlings</w:t>
      </w:r>
      <w:r w:rsidR="00231920">
        <w:rPr>
          <w:rFonts w:ascii="Arial" w:hAnsi="Arial" w:cs="Arial"/>
          <w:bCs/>
          <w:iCs/>
          <w:kern w:val="28"/>
          <w:sz w:val="36"/>
        </w:rPr>
        <w:t xml:space="preserve"> </w:t>
      </w:r>
    </w:p>
    <w:p w14:paraId="496A465F" w14:textId="77777777" w:rsidR="00A258C3" w:rsidRPr="00790ADA" w:rsidRDefault="00A258C3" w:rsidP="00441B6F">
      <w:pPr>
        <w:pStyle w:val="Author"/>
        <w:spacing w:line="240" w:lineRule="auto"/>
        <w:jc w:val="both"/>
        <w:rPr>
          <w:rFonts w:ascii="Arial" w:hAnsi="Arial" w:cs="Arial"/>
          <w:sz w:val="36"/>
        </w:rPr>
      </w:pPr>
    </w:p>
    <w:p w14:paraId="4932F67D" w14:textId="77777777" w:rsidR="00EB081F" w:rsidRPr="00FB3A86" w:rsidRDefault="00EB081F" w:rsidP="00441B6F">
      <w:pPr>
        <w:pStyle w:val="Affiliation"/>
        <w:spacing w:after="0" w:line="240" w:lineRule="auto"/>
        <w:jc w:val="both"/>
        <w:rPr>
          <w:rFonts w:ascii="Arial" w:hAnsi="Arial" w:cs="Arial"/>
        </w:rPr>
      </w:pPr>
    </w:p>
    <w:p w14:paraId="0EA123B7" w14:textId="765B69F6" w:rsidR="00B01FCD" w:rsidRPr="00FB3A86" w:rsidRDefault="005F2DFF" w:rsidP="00441B6F">
      <w:pPr>
        <w:pStyle w:val="Copyright"/>
        <w:spacing w:after="0" w:line="240" w:lineRule="auto"/>
        <w:jc w:val="both"/>
        <w:rPr>
          <w:rFonts w:ascii="Arial" w:hAnsi="Arial" w:cs="Arial"/>
        </w:rPr>
        <w:sectPr w:rsidR="00B01FCD" w:rsidRPr="00FB3A86" w:rsidSect="003F2E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BADBF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6E3D4B5"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7D640A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296529" w:rsidRPr="001E44FE" w14:paraId="4D8D7060" w14:textId="77777777" w:rsidTr="0039140A">
        <w:trPr>
          <w:trHeight w:val="3716"/>
        </w:trPr>
        <w:tc>
          <w:tcPr>
            <w:tcW w:w="9576" w:type="dxa"/>
            <w:shd w:val="clear" w:color="auto" w:fill="F2F2F2"/>
          </w:tcPr>
          <w:p w14:paraId="01F5CB85" w14:textId="2BF40980" w:rsidR="00505F06" w:rsidRPr="00BA1B01" w:rsidRDefault="00ED08B3" w:rsidP="00441B6F">
            <w:pPr>
              <w:pStyle w:val="Body"/>
              <w:spacing w:after="0"/>
              <w:rPr>
                <w:rFonts w:ascii="Arial" w:eastAsia="Calibri" w:hAnsi="Arial" w:cs="Arial"/>
                <w:szCs w:val="22"/>
              </w:rPr>
            </w:pPr>
            <w:r w:rsidRPr="00D64B05">
              <w:rPr>
                <w:rFonts w:ascii="Arial" w:hAnsi="Arial" w:cs="Arial"/>
                <w:szCs w:val="24"/>
              </w:rPr>
              <w:t xml:space="preserve">Cow dungs and poultry wastes (organic supplements) were co-applied with </w:t>
            </w:r>
            <w:r w:rsidRPr="00D64B05">
              <w:rPr>
                <w:rFonts w:ascii="Arial" w:hAnsi="Arial" w:cs="Arial"/>
                <w:i/>
                <w:szCs w:val="24"/>
              </w:rPr>
              <w:t xml:space="preserve">Micrococcus </w:t>
            </w:r>
            <w:r w:rsidRPr="00D64B05">
              <w:rPr>
                <w:rFonts w:ascii="Arial" w:hAnsi="Arial" w:cs="Arial"/>
                <w:szCs w:val="24"/>
              </w:rPr>
              <w:t xml:space="preserve">sp. (plant growth promoting rhizobacteria), both individually and in consortium. This was aimed at understanding their effects on bioremediation of Zn-polluted soil and the growth of corn seedlings cultivated on it. After a period of treatment and growth, different parameters of the soil, and corn seedlings growth on them, were analyzed. Results revealed that the pH, OC and SOM contents of soil samples amplified at the end of treatment period, excluding the control samples. Samples treated with poultry wastes and </w:t>
            </w:r>
            <w:r w:rsidRPr="00D64B05">
              <w:rPr>
                <w:rFonts w:ascii="Arial" w:hAnsi="Arial" w:cs="Arial"/>
                <w:i/>
                <w:szCs w:val="24"/>
              </w:rPr>
              <w:t xml:space="preserve">Micrococcus </w:t>
            </w:r>
            <w:r w:rsidRPr="00D64B05">
              <w:rPr>
                <w:rFonts w:ascii="Arial" w:hAnsi="Arial" w:cs="Arial"/>
                <w:szCs w:val="24"/>
              </w:rPr>
              <w:t>sp. only, recorded 18.64%, 21.01% and 26.00% increase in pH and 114.12%, 131.68% and 147.93% increase in OC at 33.75 mg/kg, 4</w:t>
            </w:r>
            <w:r w:rsidR="00E174CF">
              <w:rPr>
                <w:rFonts w:ascii="Arial" w:hAnsi="Arial" w:cs="Arial"/>
                <w:szCs w:val="24"/>
              </w:rPr>
              <w:t>2</w:t>
            </w:r>
            <w:r w:rsidRPr="00D64B05">
              <w:rPr>
                <w:rFonts w:ascii="Arial" w:hAnsi="Arial" w:cs="Arial"/>
                <w:szCs w:val="24"/>
              </w:rPr>
              <w:t>.</w:t>
            </w:r>
            <w:r w:rsidR="003107EF">
              <w:rPr>
                <w:rFonts w:ascii="Arial" w:hAnsi="Arial" w:cs="Arial"/>
                <w:szCs w:val="24"/>
              </w:rPr>
              <w:t>02</w:t>
            </w:r>
            <w:r w:rsidRPr="00D64B05">
              <w:rPr>
                <w:rFonts w:ascii="Arial" w:hAnsi="Arial" w:cs="Arial"/>
                <w:szCs w:val="24"/>
              </w:rPr>
              <w:t xml:space="preserve"> mg/kg and 52.55 mg/kg Zn pollution respectively. Also, dehydrogenase activity</w:t>
            </w:r>
            <w:r w:rsidRPr="00D64B05">
              <w:rPr>
                <w:rFonts w:ascii="Arial" w:hAnsi="Arial" w:cs="Arial"/>
                <w:bCs/>
                <w:szCs w:val="24"/>
              </w:rPr>
              <w:t xml:space="preserve"> (DHA) increased in all the treated soil samples, unlike in control samples, with </w:t>
            </w:r>
            <w:r w:rsidRPr="00D64B05">
              <w:rPr>
                <w:rFonts w:ascii="Arial" w:hAnsi="Arial" w:cs="Arial"/>
                <w:szCs w:val="24"/>
              </w:rPr>
              <w:t>Zn-polluted soil samples treated with a combination of poultry wastes and cow dung producing the highest change in DHA. The recorded number of leaves was highest in seedling grown on samples treated with cow dung, which recorded 13.3±0.9, 13.7±0.5 and 13.3±0.5 leaves per stand at Zn pollution levels of 32.75 mg/kg, 42.02 mg/kg and 52.</w:t>
            </w:r>
            <w:r w:rsidR="003107EF">
              <w:rPr>
                <w:rFonts w:ascii="Arial" w:hAnsi="Arial" w:cs="Arial"/>
                <w:szCs w:val="24"/>
              </w:rPr>
              <w:t>55</w:t>
            </w:r>
            <w:r w:rsidRPr="00D64B05">
              <w:rPr>
                <w:rFonts w:ascii="Arial" w:hAnsi="Arial" w:cs="Arial"/>
                <w:szCs w:val="24"/>
              </w:rPr>
              <w:t xml:space="preserve"> mg/kg respectively. The highest concentration of total chlorophyll was found in seedling on samples treated using a consortium of cow dung and poultry wastes. Bioaccumulation of Zn was observed as roots&gt;leaf&gt;stem. Thus, these amendments produced varying effects on various parameters of polluted soil and corn seedlings.</w:t>
            </w:r>
          </w:p>
        </w:tc>
      </w:tr>
    </w:tbl>
    <w:p w14:paraId="461D0285" w14:textId="77777777" w:rsidR="00636EB2" w:rsidRDefault="00636EB2" w:rsidP="00441B6F">
      <w:pPr>
        <w:pStyle w:val="Body"/>
        <w:spacing w:after="0"/>
        <w:rPr>
          <w:rFonts w:ascii="Arial" w:hAnsi="Arial" w:cs="Arial"/>
          <w:i/>
        </w:rPr>
      </w:pPr>
    </w:p>
    <w:p w14:paraId="61F68B85" w14:textId="77777777" w:rsidR="0024282C" w:rsidRPr="00ED08B3" w:rsidRDefault="00A24E7E" w:rsidP="00441B6F">
      <w:pPr>
        <w:pStyle w:val="Body"/>
        <w:spacing w:after="0"/>
        <w:rPr>
          <w:rFonts w:ascii="Arial" w:hAnsi="Arial" w:cs="Arial"/>
          <w:i/>
        </w:rPr>
      </w:pPr>
      <w:r>
        <w:rPr>
          <w:rFonts w:ascii="Arial" w:hAnsi="Arial" w:cs="Arial"/>
          <w:i/>
        </w:rPr>
        <w:t xml:space="preserve">Keywords: </w:t>
      </w:r>
      <w:r w:rsidR="00ED08B3" w:rsidRPr="00D64B05">
        <w:rPr>
          <w:rFonts w:ascii="Arial" w:hAnsi="Arial" w:cs="Arial"/>
          <w:szCs w:val="24"/>
        </w:rPr>
        <w:t>Zinc pollution, Organic amendment, Cow dung, Poultry wastes, Bioremediation</w:t>
      </w:r>
    </w:p>
    <w:p w14:paraId="4A535A09" w14:textId="77777777" w:rsidR="00505F06" w:rsidRPr="00ED08B3" w:rsidRDefault="00505F06" w:rsidP="00441B6F">
      <w:pPr>
        <w:pStyle w:val="Body"/>
        <w:spacing w:after="0"/>
        <w:rPr>
          <w:rFonts w:ascii="Arial" w:hAnsi="Arial" w:cs="Arial"/>
        </w:rPr>
      </w:pPr>
    </w:p>
    <w:p w14:paraId="7AB1FA9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E82FBB" w14:textId="77777777" w:rsidR="00790ADA" w:rsidRPr="00FB3A86" w:rsidRDefault="00790ADA" w:rsidP="00441B6F">
      <w:pPr>
        <w:pStyle w:val="AbstHead"/>
        <w:spacing w:after="0"/>
        <w:jc w:val="both"/>
        <w:rPr>
          <w:rFonts w:ascii="Arial" w:hAnsi="Arial" w:cs="Arial"/>
        </w:rPr>
      </w:pPr>
    </w:p>
    <w:p w14:paraId="1E7BD28E"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 xml:space="preserve">Although heavy metals are found naturally in varying amounts throughout the ecosystem, anthropogenic sources like as exploration, mining, burning of petroleum products and electroplating, have heightened their concentrations in all components of the ecosystem (Anuforo et al., 2020a). The spread of heavy metals </w:t>
      </w:r>
      <w:proofErr w:type="gramStart"/>
      <w:r w:rsidRPr="00D64B05">
        <w:rPr>
          <w:rFonts w:ascii="Arial" w:hAnsi="Arial" w:cs="Arial"/>
          <w:szCs w:val="24"/>
        </w:rPr>
        <w:t>occur</w:t>
      </w:r>
      <w:proofErr w:type="gramEnd"/>
      <w:r w:rsidRPr="00D64B05">
        <w:rPr>
          <w:rFonts w:ascii="Arial" w:hAnsi="Arial" w:cs="Arial"/>
          <w:szCs w:val="24"/>
        </w:rPr>
        <w:t xml:space="preserve"> through a variety of routes, including the food chain, surface runoff, and atmospheric deposition. They also take on several chemical forms, including exchangeable, carbonate-bound, iron manganese oxide-bound, organic-bound and residual (Zhu et al., 2019).</w:t>
      </w:r>
    </w:p>
    <w:p w14:paraId="0F495F37" w14:textId="77777777" w:rsidR="00A70297" w:rsidRPr="00D64B05" w:rsidRDefault="00A70297" w:rsidP="00A70297">
      <w:pPr>
        <w:contextualSpacing/>
        <w:jc w:val="both"/>
        <w:rPr>
          <w:rFonts w:ascii="Arial" w:hAnsi="Arial" w:cs="Arial"/>
          <w:szCs w:val="24"/>
        </w:rPr>
      </w:pPr>
    </w:p>
    <w:p w14:paraId="0CD67B5A" w14:textId="149D98BB" w:rsidR="00A70297" w:rsidRPr="00D64B05" w:rsidRDefault="00A70297" w:rsidP="00A70297">
      <w:pPr>
        <w:contextualSpacing/>
        <w:jc w:val="both"/>
        <w:rPr>
          <w:rFonts w:ascii="Arial" w:hAnsi="Arial" w:cs="Arial"/>
          <w:szCs w:val="24"/>
        </w:rPr>
      </w:pPr>
      <w:r w:rsidRPr="00D64B05">
        <w:rPr>
          <w:rFonts w:ascii="Arial" w:hAnsi="Arial" w:cs="Arial"/>
          <w:szCs w:val="24"/>
        </w:rPr>
        <w:t>Heavy metal accumulation in the environment poses a hazard to soil, plant, animal, and human fertility since it is highly poisonous, carcinogenic, mutagenic, and teratogenic. In humans, heavy metal consumption and inhalation can harm the genetic makeup, mental health, and the central nervous system. Direct contact with heavy metals may also raise the risk of cancer in humans (Anuforo et al., 2020b; Leong &amp; Chang, 202</w:t>
      </w:r>
      <w:r w:rsidR="001F5D6B">
        <w:rPr>
          <w:rFonts w:ascii="Arial" w:hAnsi="Arial" w:cs="Arial"/>
          <w:szCs w:val="24"/>
        </w:rPr>
        <w:t>0</w:t>
      </w:r>
      <w:r w:rsidRPr="00D64B05">
        <w:rPr>
          <w:rFonts w:ascii="Arial" w:hAnsi="Arial" w:cs="Arial"/>
          <w:szCs w:val="24"/>
        </w:rPr>
        <w:t>). Heavy metals also have an adverse effect on the biological dynamics of the rhizosphere niche. Heavy metals in plants can affect nucleic acid structure, enzyme function, and as well as hinder the transport and absorption of critical metals from their normal binding sites, leading to deficiency and nutrient imbalance (Devi et al., 2022).</w:t>
      </w:r>
    </w:p>
    <w:p w14:paraId="1B46F248" w14:textId="77777777" w:rsidR="00A70297" w:rsidRPr="00D64B05" w:rsidRDefault="00A70297" w:rsidP="00A70297">
      <w:pPr>
        <w:contextualSpacing/>
        <w:jc w:val="both"/>
        <w:rPr>
          <w:rFonts w:ascii="Arial" w:hAnsi="Arial" w:cs="Arial"/>
          <w:szCs w:val="24"/>
        </w:rPr>
      </w:pPr>
    </w:p>
    <w:p w14:paraId="0BC96BAE" w14:textId="77777777" w:rsidR="00A70297" w:rsidRPr="00975596" w:rsidRDefault="00A70297" w:rsidP="00A70297">
      <w:pPr>
        <w:contextualSpacing/>
        <w:jc w:val="both"/>
        <w:rPr>
          <w:rFonts w:ascii="Arial" w:hAnsi="Arial" w:cs="Arial"/>
          <w:szCs w:val="24"/>
        </w:rPr>
      </w:pPr>
      <w:r w:rsidRPr="00D64B05">
        <w:rPr>
          <w:rFonts w:ascii="Arial" w:hAnsi="Arial" w:cs="Arial"/>
          <w:szCs w:val="24"/>
        </w:rPr>
        <w:t xml:space="preserve">Reports have shown that many kinds of bacteria have the ability to </w:t>
      </w:r>
      <w:proofErr w:type="spellStart"/>
      <w:r w:rsidRPr="00D64B05">
        <w:rPr>
          <w:rFonts w:ascii="Arial" w:hAnsi="Arial" w:cs="Arial"/>
          <w:szCs w:val="24"/>
        </w:rPr>
        <w:t>biostimulate</w:t>
      </w:r>
      <w:proofErr w:type="spellEnd"/>
      <w:r w:rsidRPr="00D64B05">
        <w:rPr>
          <w:rFonts w:ascii="Arial" w:hAnsi="Arial" w:cs="Arial"/>
          <w:szCs w:val="24"/>
        </w:rPr>
        <w:t xml:space="preserve"> the cleanup of heavy metal-polluted soils. Rhizosphere bacteria aid in plant phytoremediation by increasing metal absorption and transport in root </w:t>
      </w:r>
      <w:r w:rsidRPr="00975596">
        <w:rPr>
          <w:rFonts w:ascii="Arial" w:hAnsi="Arial" w:cs="Arial"/>
          <w:szCs w:val="24"/>
        </w:rPr>
        <w:t>tissues (</w:t>
      </w:r>
      <w:proofErr w:type="spellStart"/>
      <w:r w:rsidRPr="00975596">
        <w:rPr>
          <w:rFonts w:ascii="Arial" w:hAnsi="Arial" w:cs="Arial"/>
          <w:szCs w:val="24"/>
        </w:rPr>
        <w:t>Fasani</w:t>
      </w:r>
      <w:proofErr w:type="spellEnd"/>
      <w:r w:rsidRPr="00975596">
        <w:rPr>
          <w:rFonts w:ascii="Arial" w:hAnsi="Arial" w:cs="Arial"/>
          <w:szCs w:val="24"/>
        </w:rPr>
        <w:t xml:space="preserve"> et al., 2018). </w:t>
      </w:r>
      <w:r w:rsidRPr="00975596">
        <w:rPr>
          <w:rFonts w:ascii="Arial" w:hAnsi="Arial" w:cs="Arial"/>
          <w:i/>
          <w:szCs w:val="24"/>
        </w:rPr>
        <w:t xml:space="preserve">Pseudomonas, Flavobacterium, </w:t>
      </w:r>
      <w:proofErr w:type="spellStart"/>
      <w:r w:rsidRPr="00975596">
        <w:rPr>
          <w:rFonts w:ascii="Arial" w:hAnsi="Arial" w:cs="Arial"/>
          <w:i/>
          <w:szCs w:val="24"/>
        </w:rPr>
        <w:t>Alcaligenes</w:t>
      </w:r>
      <w:proofErr w:type="spellEnd"/>
      <w:r w:rsidRPr="00975596">
        <w:rPr>
          <w:rFonts w:ascii="Arial" w:hAnsi="Arial" w:cs="Arial"/>
          <w:i/>
          <w:szCs w:val="24"/>
        </w:rPr>
        <w:t xml:space="preserve">, Corynebacterium, </w:t>
      </w:r>
      <w:proofErr w:type="spellStart"/>
      <w:r w:rsidRPr="00975596">
        <w:rPr>
          <w:rFonts w:ascii="Arial" w:hAnsi="Arial" w:cs="Arial"/>
          <w:i/>
          <w:szCs w:val="24"/>
        </w:rPr>
        <w:t>Achromobacter</w:t>
      </w:r>
      <w:proofErr w:type="spellEnd"/>
      <w:r w:rsidRPr="00975596">
        <w:rPr>
          <w:rFonts w:ascii="Arial" w:hAnsi="Arial" w:cs="Arial"/>
          <w:i/>
          <w:szCs w:val="24"/>
        </w:rPr>
        <w:t>, Micrococcus</w:t>
      </w:r>
      <w:r w:rsidRPr="00975596">
        <w:rPr>
          <w:rFonts w:ascii="Arial" w:hAnsi="Arial" w:cs="Arial"/>
          <w:szCs w:val="24"/>
        </w:rPr>
        <w:t>,</w:t>
      </w:r>
      <w:r w:rsidRPr="00D64B05">
        <w:rPr>
          <w:rFonts w:ascii="Arial" w:hAnsi="Arial" w:cs="Arial"/>
          <w:szCs w:val="24"/>
        </w:rPr>
        <w:t xml:space="preserve"> </w:t>
      </w:r>
      <w:r w:rsidRPr="00D64B05">
        <w:rPr>
          <w:rFonts w:ascii="Arial" w:hAnsi="Arial" w:cs="Arial"/>
          <w:i/>
          <w:szCs w:val="24"/>
        </w:rPr>
        <w:t>Mycobacterium, Nitrosomonas, Xanthobacter, Bacillus</w:t>
      </w:r>
      <w:r w:rsidRPr="00D64B05">
        <w:rPr>
          <w:rFonts w:ascii="Arial" w:hAnsi="Arial" w:cs="Arial"/>
          <w:szCs w:val="24"/>
        </w:rPr>
        <w:t xml:space="preserve"> and </w:t>
      </w:r>
      <w:r w:rsidRPr="00D64B05">
        <w:rPr>
          <w:rFonts w:ascii="Arial" w:hAnsi="Arial" w:cs="Arial"/>
          <w:i/>
          <w:szCs w:val="24"/>
        </w:rPr>
        <w:t xml:space="preserve">Enterobacter </w:t>
      </w:r>
      <w:r w:rsidRPr="00D64B05">
        <w:rPr>
          <w:rFonts w:ascii="Arial" w:hAnsi="Arial" w:cs="Arial"/>
          <w:szCs w:val="24"/>
        </w:rPr>
        <w:t>sp. are among the microorganisms that have been investigated (</w:t>
      </w:r>
      <w:proofErr w:type="spellStart"/>
      <w:r w:rsidRPr="00D64B05">
        <w:rPr>
          <w:rFonts w:ascii="Arial" w:hAnsi="Arial" w:cs="Arial"/>
          <w:szCs w:val="24"/>
        </w:rPr>
        <w:t>Riseh</w:t>
      </w:r>
      <w:proofErr w:type="spellEnd"/>
      <w:r w:rsidRPr="00D64B05">
        <w:rPr>
          <w:rFonts w:ascii="Arial" w:hAnsi="Arial" w:cs="Arial"/>
          <w:szCs w:val="24"/>
        </w:rPr>
        <w:t xml:space="preserve"> et al., 2023).</w:t>
      </w:r>
      <w:r w:rsidRPr="00D64B05">
        <w:rPr>
          <w:rFonts w:ascii="Arial" w:hAnsi="Arial" w:cs="Arial"/>
          <w:i/>
          <w:szCs w:val="24"/>
        </w:rPr>
        <w:t xml:space="preserve"> </w:t>
      </w:r>
      <w:r w:rsidRPr="00D64B05">
        <w:rPr>
          <w:rFonts w:ascii="Arial" w:hAnsi="Arial" w:cs="Arial"/>
          <w:szCs w:val="24"/>
        </w:rPr>
        <w:t xml:space="preserve">Their exceptional biosorption ability stems from their high surface-to-volume ratio and probable active chemisorption sites (teichoic acid) on their cell wall (Mosa et al., 2016). Plant cells can collect metal ions in their cell walls and vacuoles after chelation with </w:t>
      </w:r>
      <w:proofErr w:type="spellStart"/>
      <w:r w:rsidRPr="00D64B05">
        <w:rPr>
          <w:rFonts w:ascii="Arial" w:hAnsi="Arial" w:cs="Arial"/>
          <w:szCs w:val="24"/>
        </w:rPr>
        <w:t>metallothioneins</w:t>
      </w:r>
      <w:proofErr w:type="spellEnd"/>
      <w:r w:rsidRPr="00D64B05">
        <w:rPr>
          <w:rFonts w:ascii="Arial" w:hAnsi="Arial" w:cs="Arial"/>
          <w:szCs w:val="24"/>
        </w:rPr>
        <w:t xml:space="preserve">, </w:t>
      </w:r>
      <w:proofErr w:type="spellStart"/>
      <w:r w:rsidRPr="00D64B05">
        <w:rPr>
          <w:rFonts w:ascii="Arial" w:hAnsi="Arial" w:cs="Arial"/>
          <w:szCs w:val="24"/>
        </w:rPr>
        <w:t>phytochelatins</w:t>
      </w:r>
      <w:proofErr w:type="spellEnd"/>
      <w:r w:rsidRPr="00D64B05">
        <w:rPr>
          <w:rFonts w:ascii="Arial" w:hAnsi="Arial" w:cs="Arial"/>
          <w:szCs w:val="24"/>
        </w:rPr>
        <w:t xml:space="preserve">, amino acids, phenols and </w:t>
      </w:r>
      <w:proofErr w:type="spellStart"/>
      <w:r w:rsidRPr="00D64B05">
        <w:rPr>
          <w:rFonts w:ascii="Arial" w:hAnsi="Arial" w:cs="Arial"/>
          <w:szCs w:val="24"/>
        </w:rPr>
        <w:t>pectins</w:t>
      </w:r>
      <w:proofErr w:type="spellEnd"/>
      <w:r w:rsidRPr="00D64B05">
        <w:rPr>
          <w:rFonts w:ascii="Arial" w:hAnsi="Arial" w:cs="Arial"/>
          <w:szCs w:val="24"/>
        </w:rPr>
        <w:t xml:space="preserve">, due to their tolerance mechanisms. Furthermore, tolerance techniques involve proteins that participate in metal detoxification, stress, signal transduction, and ROS </w:t>
      </w:r>
      <w:r w:rsidRPr="00975596">
        <w:rPr>
          <w:rFonts w:ascii="Arial" w:hAnsi="Arial" w:cs="Arial"/>
          <w:szCs w:val="24"/>
        </w:rPr>
        <w:t>signaling (Hejna et al., 2021).</w:t>
      </w:r>
    </w:p>
    <w:p w14:paraId="4934BC8A" w14:textId="77777777" w:rsidR="00A70297" w:rsidRPr="00D64B05" w:rsidRDefault="00A70297" w:rsidP="00A70297">
      <w:pPr>
        <w:contextualSpacing/>
        <w:jc w:val="both"/>
        <w:rPr>
          <w:rFonts w:ascii="Arial" w:hAnsi="Arial" w:cs="Arial"/>
          <w:szCs w:val="24"/>
        </w:rPr>
      </w:pPr>
    </w:p>
    <w:p w14:paraId="0731DB2B" w14:textId="77777777" w:rsidR="00B01FCD" w:rsidRDefault="00A70297" w:rsidP="00A70297">
      <w:pPr>
        <w:pStyle w:val="Body"/>
        <w:spacing w:after="0"/>
        <w:rPr>
          <w:rFonts w:ascii="Arial" w:hAnsi="Arial" w:cs="Arial"/>
        </w:rPr>
      </w:pPr>
      <w:r w:rsidRPr="00D64B05">
        <w:rPr>
          <w:rFonts w:ascii="Arial" w:hAnsi="Arial" w:cs="Arial"/>
          <w:szCs w:val="24"/>
        </w:rPr>
        <w:t xml:space="preserve">Extensive search of available literature indicates dearth of information on recent studies involving the co-application of animal wastes and </w:t>
      </w:r>
      <w:r w:rsidRPr="00D64B05">
        <w:rPr>
          <w:rFonts w:ascii="Arial" w:hAnsi="Arial" w:cs="Arial"/>
          <w:i/>
          <w:szCs w:val="24"/>
        </w:rPr>
        <w:t xml:space="preserve">Micrococcus </w:t>
      </w:r>
      <w:r w:rsidRPr="00D64B05">
        <w:rPr>
          <w:rFonts w:ascii="Arial" w:hAnsi="Arial" w:cs="Arial"/>
          <w:szCs w:val="24"/>
        </w:rPr>
        <w:t xml:space="preserve">sp. to facilitate the bioremediation of zinc polluted soil. Thus, the aim of this study was to co-apply animal wastes and </w:t>
      </w:r>
      <w:r w:rsidRPr="00D64B05">
        <w:rPr>
          <w:rFonts w:ascii="Arial" w:hAnsi="Arial" w:cs="Arial"/>
          <w:i/>
          <w:szCs w:val="24"/>
        </w:rPr>
        <w:t xml:space="preserve">Micrococcus </w:t>
      </w:r>
      <w:r w:rsidRPr="00D64B05">
        <w:rPr>
          <w:rFonts w:ascii="Arial" w:hAnsi="Arial" w:cs="Arial"/>
          <w:szCs w:val="24"/>
        </w:rPr>
        <w:t>sp. in bioremediation of Zn-polluted soil and analysis of their effects on corn seedlings.</w:t>
      </w:r>
    </w:p>
    <w:p w14:paraId="1EB1BCB7" w14:textId="77777777" w:rsidR="00790ADA" w:rsidRPr="00FB3A86" w:rsidRDefault="00790ADA" w:rsidP="00441B6F">
      <w:pPr>
        <w:pStyle w:val="Body"/>
        <w:spacing w:after="0"/>
        <w:rPr>
          <w:rFonts w:ascii="Arial" w:hAnsi="Arial" w:cs="Arial"/>
        </w:rPr>
      </w:pPr>
    </w:p>
    <w:p w14:paraId="23A185E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699FAEF" w14:textId="77777777" w:rsidR="00790ADA" w:rsidRPr="00FB3A86" w:rsidRDefault="00790ADA" w:rsidP="00441B6F">
      <w:pPr>
        <w:pStyle w:val="AbstHead"/>
        <w:spacing w:after="0"/>
        <w:jc w:val="both"/>
        <w:rPr>
          <w:rFonts w:ascii="Arial" w:hAnsi="Arial" w:cs="Arial"/>
        </w:rPr>
      </w:pPr>
    </w:p>
    <w:p w14:paraId="5C3C4F68" w14:textId="77777777" w:rsidR="00A70297" w:rsidRPr="00D64B05" w:rsidRDefault="00A70297" w:rsidP="00A70297">
      <w:pPr>
        <w:contextualSpacing/>
        <w:jc w:val="both"/>
        <w:rPr>
          <w:rFonts w:ascii="Arial" w:hAnsi="Arial" w:cs="Arial"/>
          <w:b/>
          <w:szCs w:val="24"/>
        </w:rPr>
      </w:pPr>
      <w:r w:rsidRPr="00D64B05">
        <w:rPr>
          <w:rFonts w:ascii="Arial" w:hAnsi="Arial" w:cs="Arial"/>
          <w:b/>
          <w:szCs w:val="24"/>
        </w:rPr>
        <w:t>2.1 Collecting and processing animal waste and soil samples</w:t>
      </w:r>
    </w:p>
    <w:p w14:paraId="10BF258C" w14:textId="77777777" w:rsidR="00A70297" w:rsidRPr="00D64B05" w:rsidRDefault="00A70297" w:rsidP="00A70297">
      <w:pPr>
        <w:contextualSpacing/>
        <w:jc w:val="both"/>
        <w:rPr>
          <w:rFonts w:ascii="Arial" w:hAnsi="Arial" w:cs="Arial"/>
          <w:szCs w:val="24"/>
        </w:rPr>
      </w:pPr>
      <w:r w:rsidRPr="00D64B05">
        <w:rPr>
          <w:rFonts w:ascii="Arial" w:hAnsi="Arial" w:cs="Arial"/>
          <w:szCs w:val="24"/>
        </w:rPr>
        <w:lastRenderedPageBreak/>
        <w:t>Samples were collected from fertile soil at the Federal University of Technology, Owerri (FUTO), Nigeria, at a depth of 0-30 cm using a thoroughly cleaned soil auger and packaged in surface-sterilized plastic bags. Before testing for fundamental physicochemical properties, the soil was dried, crushed, and sieved through a 0.25 mm mesh sieve. Additionally, cow dung (A1) and poultry excrement (A2) were collected from FUTO Farms' Poultry Unit, dried, crushed, and stored in a sterilized plastic container.</w:t>
      </w:r>
    </w:p>
    <w:p w14:paraId="10101A65" w14:textId="77777777" w:rsidR="00A70297" w:rsidRPr="00D64B05" w:rsidRDefault="00A70297" w:rsidP="00A70297">
      <w:pPr>
        <w:contextualSpacing/>
        <w:jc w:val="both"/>
        <w:rPr>
          <w:rFonts w:ascii="Arial" w:hAnsi="Arial" w:cs="Arial"/>
          <w:szCs w:val="24"/>
        </w:rPr>
      </w:pPr>
    </w:p>
    <w:p w14:paraId="54D14073" w14:textId="77777777" w:rsidR="00A70297" w:rsidRPr="00D64B05" w:rsidRDefault="00A70297" w:rsidP="00A70297">
      <w:pPr>
        <w:contextualSpacing/>
        <w:jc w:val="both"/>
        <w:rPr>
          <w:rFonts w:ascii="Arial" w:hAnsi="Arial" w:cs="Arial"/>
          <w:b/>
          <w:szCs w:val="24"/>
        </w:rPr>
      </w:pPr>
      <w:r w:rsidRPr="00D64B05">
        <w:rPr>
          <w:rFonts w:ascii="Arial" w:hAnsi="Arial" w:cs="Arial"/>
          <w:b/>
          <w:szCs w:val="24"/>
        </w:rPr>
        <w:t>2.2 Preparation of an isolates</w:t>
      </w:r>
    </w:p>
    <w:p w14:paraId="7AA2589C" w14:textId="77777777" w:rsidR="00A70297" w:rsidRPr="00D64B05" w:rsidRDefault="00A70297" w:rsidP="00A70297">
      <w:pPr>
        <w:contextualSpacing/>
        <w:jc w:val="both"/>
        <w:rPr>
          <w:rFonts w:ascii="Arial" w:hAnsi="Arial" w:cs="Arial"/>
          <w:szCs w:val="24"/>
        </w:rPr>
      </w:pPr>
      <w:r w:rsidRPr="00D64B05">
        <w:rPr>
          <w:rFonts w:ascii="Arial" w:hAnsi="Arial" w:cs="Arial"/>
          <w:i/>
          <w:szCs w:val="24"/>
        </w:rPr>
        <w:t>Micrococcus</w:t>
      </w:r>
      <w:r w:rsidRPr="00D64B05">
        <w:rPr>
          <w:rFonts w:ascii="Arial" w:hAnsi="Arial" w:cs="Arial"/>
          <w:szCs w:val="24"/>
        </w:rPr>
        <w:t xml:space="preserve"> sp., employed as plant growth promoting rhizobacteria (PGPR), was isolated by inoculating Bushnell-Hass agar media with 0.1 mL of 10</w:t>
      </w:r>
      <w:r w:rsidRPr="00D64B05">
        <w:rPr>
          <w:rFonts w:ascii="Arial" w:hAnsi="Arial" w:cs="Arial"/>
          <w:szCs w:val="24"/>
          <w:vertAlign w:val="superscript"/>
        </w:rPr>
        <w:t>-8</w:t>
      </w:r>
      <w:r w:rsidRPr="00D64B05">
        <w:rPr>
          <w:rFonts w:ascii="Arial" w:hAnsi="Arial" w:cs="Arial"/>
          <w:szCs w:val="24"/>
        </w:rPr>
        <w:t xml:space="preserve"> serially diluted 1 g of soil sample collected from FUTO Farms. Before being examined, the inoculated plates were incubated at 37 °C for 24 h. Gram staining was carried out using colonies suspected of having yellow and red pigments. Gram-positive cocci grouped in irregular clusters or tetrads but without spores were spread on fresh nutrient agar slants and used for further identification. The method of Santhini et al. (2009) was adopted for the series of biochemical assays, including the catalase, oxidase, and motility. This approach was also used to identify bacterial isolates in soil samples before and following treatments.</w:t>
      </w:r>
    </w:p>
    <w:p w14:paraId="412E5AE6" w14:textId="77777777" w:rsidR="00A70297" w:rsidRPr="00D64B05" w:rsidRDefault="00A70297" w:rsidP="00A70297">
      <w:pPr>
        <w:contextualSpacing/>
        <w:jc w:val="both"/>
        <w:rPr>
          <w:rFonts w:ascii="Arial" w:hAnsi="Arial" w:cs="Arial"/>
          <w:szCs w:val="24"/>
        </w:rPr>
      </w:pPr>
    </w:p>
    <w:p w14:paraId="2A61F7B5"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 xml:space="preserve">A pure culture of the identified </w:t>
      </w:r>
      <w:r w:rsidRPr="00D64B05">
        <w:rPr>
          <w:rFonts w:ascii="Arial" w:hAnsi="Arial" w:cs="Arial"/>
          <w:i/>
          <w:szCs w:val="24"/>
        </w:rPr>
        <w:t>Micrococcus</w:t>
      </w:r>
      <w:r w:rsidRPr="00D64B05">
        <w:rPr>
          <w:rFonts w:ascii="Arial" w:hAnsi="Arial" w:cs="Arial"/>
          <w:szCs w:val="24"/>
        </w:rPr>
        <w:t xml:space="preserve"> sp. was cultured in cotton wool stoppered flasks containing freshly made sterile nutrient broth for 24 h at 37 </w:t>
      </w:r>
      <w:proofErr w:type="spellStart"/>
      <w:r w:rsidRPr="00D64B05">
        <w:rPr>
          <w:rFonts w:ascii="Arial" w:hAnsi="Arial" w:cs="Arial"/>
          <w:szCs w:val="24"/>
          <w:vertAlign w:val="superscript"/>
        </w:rPr>
        <w:t>o</w:t>
      </w:r>
      <w:r w:rsidRPr="00D64B05">
        <w:rPr>
          <w:rFonts w:ascii="Arial" w:hAnsi="Arial" w:cs="Arial"/>
          <w:szCs w:val="24"/>
        </w:rPr>
        <w:t>C.</w:t>
      </w:r>
      <w:proofErr w:type="spellEnd"/>
      <w:r w:rsidRPr="00D64B05">
        <w:rPr>
          <w:rFonts w:ascii="Arial" w:hAnsi="Arial" w:cs="Arial"/>
          <w:szCs w:val="24"/>
        </w:rPr>
        <w:t xml:space="preserve"> This was done to create a suitable culture of isolation for soil amendment investigations. The cells were extracted by centrifuging at 4000 rpm for 10 minutes, washed twice with phosphate buffered saline at pH 7.25, and re-suspended in MS medium. The culture was standardized by comparing its turbidity to a 0.5 McFarland standard and a Wickerham card.</w:t>
      </w:r>
    </w:p>
    <w:p w14:paraId="0B689F8B" w14:textId="77777777" w:rsidR="00A70297" w:rsidRPr="00D64B05" w:rsidRDefault="00A70297" w:rsidP="00A70297">
      <w:pPr>
        <w:contextualSpacing/>
        <w:jc w:val="both"/>
        <w:rPr>
          <w:rFonts w:ascii="Arial" w:hAnsi="Arial" w:cs="Arial"/>
          <w:szCs w:val="24"/>
        </w:rPr>
      </w:pPr>
    </w:p>
    <w:p w14:paraId="47BD413B" w14:textId="77777777" w:rsidR="00A70297" w:rsidRPr="00D64B05" w:rsidRDefault="00A70297" w:rsidP="00A70297">
      <w:pPr>
        <w:contextualSpacing/>
        <w:jc w:val="both"/>
        <w:rPr>
          <w:rFonts w:ascii="Arial" w:hAnsi="Arial" w:cs="Arial"/>
          <w:b/>
          <w:szCs w:val="24"/>
        </w:rPr>
      </w:pPr>
      <w:r w:rsidRPr="00D64B05">
        <w:rPr>
          <w:rFonts w:ascii="Arial" w:hAnsi="Arial" w:cs="Arial"/>
          <w:b/>
          <w:szCs w:val="24"/>
        </w:rPr>
        <w:t>2.3 Pot investigations</w:t>
      </w:r>
    </w:p>
    <w:p w14:paraId="427C54F1"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 xml:space="preserve">The design adopted in this study for the determination of the effects of amended bioremediation of Zn-polluted soil samples on maize seedling growth has been earlier reported in Korie et al., (2024a), with minor changes. Maize seeds were surface-disinfected with 1% sodium hypochlorite, then with 70% ethanol, and finally with distilled water. To pollute the soil sample, 100 mL of 0.251M, 0.321M and 0.402M zinc nitrate hexahydrate was separately added to each of 50 kg processed soil sample, and homogenized to ensure homogeneity. Soil homogenization was left for two days to attain equilibrium. The pot experiment was divided into four categories: </w:t>
      </w:r>
    </w:p>
    <w:p w14:paraId="36D37998"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 xml:space="preserve">(1) Cow dung (A1) only, </w:t>
      </w:r>
    </w:p>
    <w:p w14:paraId="69EC801A"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(2) Poultry waste (A2) only,</w:t>
      </w:r>
    </w:p>
    <w:p w14:paraId="30FB5504"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 xml:space="preserve">(3) A combination of poultry waste and cow dung (A1A2), and </w:t>
      </w:r>
    </w:p>
    <w:p w14:paraId="34F93FB0"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(4) No modification or control (C1).</w:t>
      </w:r>
    </w:p>
    <w:p w14:paraId="590D167B" w14:textId="77777777" w:rsidR="00A70297" w:rsidRPr="00D64B05" w:rsidRDefault="00A70297" w:rsidP="00A70297">
      <w:pPr>
        <w:contextualSpacing/>
        <w:jc w:val="both"/>
        <w:rPr>
          <w:rFonts w:ascii="Arial" w:hAnsi="Arial" w:cs="Arial"/>
          <w:szCs w:val="24"/>
        </w:rPr>
      </w:pPr>
    </w:p>
    <w:p w14:paraId="66245AD4"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Each pot comprised of 10 g of organic supplements or a combination of them, as well as 5 kg of Zn-contaminated soil. Then, plant growth promoting rhizobacteria (PGPR),</w:t>
      </w:r>
      <w:r w:rsidRPr="00D64B05">
        <w:rPr>
          <w:rFonts w:ascii="Arial" w:hAnsi="Arial" w:cs="Arial"/>
          <w:i/>
          <w:szCs w:val="24"/>
        </w:rPr>
        <w:t xml:space="preserve"> Micrococcus</w:t>
      </w:r>
      <w:r w:rsidRPr="00D64B05">
        <w:rPr>
          <w:rFonts w:ascii="Arial" w:hAnsi="Arial" w:cs="Arial"/>
          <w:szCs w:val="24"/>
        </w:rPr>
        <w:t xml:space="preserve"> sp., was applied at a rate of 50 mL of standardized culture per pot. All experimental units were irrigated with distilled water, with water levels set at 70% capacity. Amended bioremediation was allowed to proceed for 25 days before four viable maize seeds were sown in each pot. Each treatment consisted of two duplicates. On average, the greenhouse received 9 hours of sunlight every day. Furthermore, the average temperature (light/dark cycle) and relative humidity were 32.1 °C and 40%, respectively. When seeds germinated, three seedlings were retained in each pot. Then, on day 4, weeks 2, 4, and 7, growth indices like leaf count and shoot height were evaluated. The corn plants were harvested 7 weeks later, and both plant and soil samples were </w:t>
      </w:r>
      <w:proofErr w:type="spellStart"/>
      <w:r w:rsidRPr="00D64B05">
        <w:rPr>
          <w:rFonts w:ascii="Arial" w:hAnsi="Arial" w:cs="Arial"/>
          <w:szCs w:val="24"/>
        </w:rPr>
        <w:t>analysed</w:t>
      </w:r>
      <w:proofErr w:type="spellEnd"/>
      <w:r w:rsidRPr="00D64B05">
        <w:rPr>
          <w:rFonts w:ascii="Arial" w:hAnsi="Arial" w:cs="Arial"/>
          <w:szCs w:val="24"/>
        </w:rPr>
        <w:t>.</w:t>
      </w:r>
    </w:p>
    <w:p w14:paraId="1BBD514F" w14:textId="77777777" w:rsidR="00A70297" w:rsidRPr="00D64B05" w:rsidRDefault="00A70297" w:rsidP="00A70297">
      <w:pPr>
        <w:contextualSpacing/>
        <w:jc w:val="both"/>
        <w:rPr>
          <w:rFonts w:ascii="Arial" w:hAnsi="Arial" w:cs="Arial"/>
          <w:szCs w:val="24"/>
        </w:rPr>
      </w:pPr>
    </w:p>
    <w:p w14:paraId="48E4F274" w14:textId="77777777" w:rsidR="00A70297" w:rsidRPr="00D64B05" w:rsidRDefault="00A70297" w:rsidP="00A70297">
      <w:pPr>
        <w:contextualSpacing/>
        <w:jc w:val="both"/>
        <w:rPr>
          <w:rFonts w:ascii="Arial" w:hAnsi="Arial" w:cs="Arial"/>
          <w:b/>
          <w:szCs w:val="24"/>
        </w:rPr>
      </w:pPr>
      <w:r w:rsidRPr="00D64B05">
        <w:rPr>
          <w:rFonts w:ascii="Arial" w:hAnsi="Arial" w:cs="Arial"/>
          <w:b/>
          <w:szCs w:val="24"/>
        </w:rPr>
        <w:t>2.4 Evaluation of Soil Indices</w:t>
      </w:r>
    </w:p>
    <w:p w14:paraId="1236332C" w14:textId="77777777" w:rsidR="00A70297" w:rsidRPr="00D64B05" w:rsidRDefault="00A70297" w:rsidP="00A70297">
      <w:pPr>
        <w:contextualSpacing/>
        <w:jc w:val="both"/>
        <w:rPr>
          <w:rFonts w:ascii="Arial" w:hAnsi="Arial" w:cs="Arial"/>
          <w:b/>
          <w:szCs w:val="24"/>
        </w:rPr>
      </w:pPr>
    </w:p>
    <w:p w14:paraId="4455C918" w14:textId="77777777" w:rsidR="00A70297" w:rsidRPr="00D64B05" w:rsidRDefault="00A70297" w:rsidP="00A70297">
      <w:pPr>
        <w:contextualSpacing/>
        <w:jc w:val="both"/>
        <w:rPr>
          <w:rFonts w:ascii="Arial" w:hAnsi="Arial" w:cs="Arial"/>
          <w:b/>
          <w:i/>
          <w:szCs w:val="24"/>
        </w:rPr>
      </w:pPr>
      <w:r w:rsidRPr="00D64B05">
        <w:rPr>
          <w:rFonts w:ascii="Arial" w:hAnsi="Arial" w:cs="Arial"/>
          <w:b/>
          <w:i/>
          <w:szCs w:val="24"/>
        </w:rPr>
        <w:t>2.4.1 Evaluation of the physicochemical, toxic metal and minerals composition</w:t>
      </w:r>
    </w:p>
    <w:p w14:paraId="2A107AB5"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Analysis of soil samples was done before and after treatments. The soil pH was determined using a pH meter (Mettler Toledo Delta 320). The wet oxidation method was employed to compute the soil organic carbon and organic matter contents of the samples. Similarly, soil accessible nitrogen, calcium, magnesium, potassium and phosphorous levels were evaluated using the approach outlined by Lu et al. (2017). The samples of soil were digested for heavy metal analysis using the procedure described by Anuforo et al. (2019). After extraction and filtering, the bioavailable Zn content of the supernatant from each potted sample was determined with the aid of an AAS (atomic absorption spectroscopy) (AA-240FS Varian, USA).</w:t>
      </w:r>
    </w:p>
    <w:p w14:paraId="55403530" w14:textId="77777777" w:rsidR="00A70297" w:rsidRPr="00D64B05" w:rsidRDefault="00A70297" w:rsidP="00A70297">
      <w:pPr>
        <w:contextualSpacing/>
        <w:jc w:val="both"/>
        <w:rPr>
          <w:rFonts w:ascii="Arial" w:hAnsi="Arial" w:cs="Arial"/>
          <w:szCs w:val="24"/>
        </w:rPr>
      </w:pPr>
    </w:p>
    <w:p w14:paraId="1B455E90" w14:textId="77777777" w:rsidR="00A70297" w:rsidRPr="00D64B05" w:rsidRDefault="00A70297" w:rsidP="00A70297">
      <w:pPr>
        <w:contextualSpacing/>
        <w:jc w:val="both"/>
        <w:rPr>
          <w:rFonts w:ascii="Arial" w:hAnsi="Arial" w:cs="Arial"/>
          <w:b/>
          <w:i/>
          <w:szCs w:val="24"/>
        </w:rPr>
      </w:pPr>
      <w:r w:rsidRPr="00D64B05">
        <w:rPr>
          <w:rFonts w:ascii="Arial" w:hAnsi="Arial" w:cs="Arial"/>
          <w:b/>
          <w:i/>
          <w:szCs w:val="24"/>
        </w:rPr>
        <w:lastRenderedPageBreak/>
        <w:t>2.4.2 Determination of moisture content of soil</w:t>
      </w:r>
    </w:p>
    <w:p w14:paraId="4F4971E9"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 xml:space="preserve">The moisture contents of soil samples were determined using the method specified by Korie et al. (2024b). Following washing, and drying of the crucibles, their initial weights were recorded as W1. Then, two surface-disinfected crucibles containing 5 g of each soil sample were weighed and recorded as W2. After drying in an oven at 105 </w:t>
      </w:r>
      <w:proofErr w:type="spellStart"/>
      <w:r w:rsidRPr="00D64B05">
        <w:rPr>
          <w:rFonts w:ascii="Arial" w:hAnsi="Arial" w:cs="Arial"/>
          <w:szCs w:val="24"/>
          <w:vertAlign w:val="superscript"/>
        </w:rPr>
        <w:t>o</w:t>
      </w:r>
      <w:r w:rsidRPr="00D64B05">
        <w:rPr>
          <w:rFonts w:ascii="Arial" w:hAnsi="Arial" w:cs="Arial"/>
          <w:szCs w:val="24"/>
        </w:rPr>
        <w:t>C</w:t>
      </w:r>
      <w:proofErr w:type="spellEnd"/>
      <w:r w:rsidRPr="00D64B05">
        <w:rPr>
          <w:rFonts w:ascii="Arial" w:hAnsi="Arial" w:cs="Arial"/>
          <w:szCs w:val="24"/>
        </w:rPr>
        <w:t xml:space="preserve"> to a consistent weight, it was allowed to cool and the weight was recorded as W3. The percentage change in moisture content, indicated by the percentage of the difference between the initial weight and the constant weight, was computed using the following Equation 1:</w:t>
      </w:r>
    </w:p>
    <w:p w14:paraId="4FA3C8F1" w14:textId="77777777" w:rsidR="00A70297" w:rsidRPr="00D64B05" w:rsidRDefault="00A70297" w:rsidP="00A70297">
      <w:pPr>
        <w:contextualSpacing/>
        <w:jc w:val="both"/>
        <w:rPr>
          <w:rFonts w:ascii="Arial" w:hAnsi="Arial" w:cs="Arial"/>
          <w:szCs w:val="24"/>
        </w:rPr>
      </w:pPr>
    </w:p>
    <w:p w14:paraId="5960A276" w14:textId="77777777" w:rsidR="00A70297" w:rsidRPr="00D64B05" w:rsidRDefault="00A70297" w:rsidP="00A70297">
      <w:pPr>
        <w:ind w:left="720" w:firstLine="720"/>
        <w:contextualSpacing/>
        <w:rPr>
          <w:rFonts w:ascii="Arial" w:hAnsi="Arial" w:cs="Arial"/>
          <w:szCs w:val="24"/>
        </w:rPr>
      </w:pPr>
      <w:r w:rsidRPr="00D64B05">
        <w:rPr>
          <w:rFonts w:ascii="Arial" w:hAnsi="Arial" w:cs="Arial"/>
          <w:szCs w:val="24"/>
        </w:rPr>
        <w:t xml:space="preserve">Moisture content (%) = </w:t>
      </w:r>
      <w:r w:rsidRPr="00D64B05">
        <w:rPr>
          <w:rFonts w:ascii="Arial" w:hAnsi="Arial" w:cs="Arial"/>
          <w:szCs w:val="24"/>
          <w:u w:val="single"/>
        </w:rPr>
        <w:t>W3 – W1</w:t>
      </w:r>
      <w:r w:rsidRPr="00D64B05">
        <w:rPr>
          <w:rFonts w:ascii="Arial" w:hAnsi="Arial" w:cs="Arial"/>
          <w:szCs w:val="24"/>
        </w:rPr>
        <w:t xml:space="preserve"> x 100</w:t>
      </w:r>
      <w:r w:rsidRPr="00D64B05">
        <w:rPr>
          <w:rFonts w:ascii="Arial" w:hAnsi="Arial" w:cs="Arial"/>
          <w:szCs w:val="24"/>
        </w:rPr>
        <w:tab/>
      </w:r>
      <w:r w:rsidRPr="00D64B05">
        <w:rPr>
          <w:rFonts w:ascii="Arial" w:hAnsi="Arial" w:cs="Arial"/>
          <w:szCs w:val="24"/>
        </w:rPr>
        <w:tab/>
      </w:r>
      <w:r w:rsidRPr="00D64B05">
        <w:rPr>
          <w:rFonts w:ascii="Arial" w:hAnsi="Arial" w:cs="Arial"/>
          <w:szCs w:val="24"/>
        </w:rPr>
        <w:tab/>
        <w:t>Eq. 1</w:t>
      </w:r>
    </w:p>
    <w:p w14:paraId="6B456BB2" w14:textId="77777777" w:rsidR="00A70297" w:rsidRPr="00D64B05" w:rsidRDefault="00A70297" w:rsidP="00A70297">
      <w:pPr>
        <w:ind w:left="2880" w:firstLine="720"/>
        <w:contextualSpacing/>
        <w:jc w:val="both"/>
        <w:rPr>
          <w:rFonts w:ascii="Arial" w:hAnsi="Arial" w:cs="Arial"/>
          <w:szCs w:val="24"/>
        </w:rPr>
      </w:pPr>
      <w:r w:rsidRPr="00D64B05">
        <w:rPr>
          <w:rFonts w:ascii="Arial" w:hAnsi="Arial" w:cs="Arial"/>
          <w:szCs w:val="24"/>
        </w:rPr>
        <w:t xml:space="preserve"> W2 – W1</w:t>
      </w:r>
    </w:p>
    <w:p w14:paraId="61417BE8"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Where W1 represents the starting weight of the empty crucible, W2 represents the weight of the crucible and soil before to drying, and W3 represents the final weight of the crucible and soil after drying.</w:t>
      </w:r>
    </w:p>
    <w:p w14:paraId="283B5105" w14:textId="77777777" w:rsidR="00A70297" w:rsidRPr="00D64B05" w:rsidRDefault="00A70297" w:rsidP="00A70297">
      <w:pPr>
        <w:contextualSpacing/>
        <w:jc w:val="both"/>
        <w:rPr>
          <w:rFonts w:ascii="Arial" w:hAnsi="Arial" w:cs="Arial"/>
          <w:szCs w:val="24"/>
        </w:rPr>
      </w:pPr>
    </w:p>
    <w:p w14:paraId="069FE936" w14:textId="77777777" w:rsidR="00A70297" w:rsidRPr="00D64B05" w:rsidRDefault="00A70297" w:rsidP="00A70297">
      <w:pPr>
        <w:contextualSpacing/>
        <w:jc w:val="both"/>
        <w:rPr>
          <w:rFonts w:ascii="Arial" w:hAnsi="Arial" w:cs="Arial"/>
          <w:b/>
          <w:i/>
          <w:szCs w:val="24"/>
        </w:rPr>
      </w:pPr>
      <w:r w:rsidRPr="00D64B05">
        <w:rPr>
          <w:rFonts w:ascii="Arial" w:hAnsi="Arial" w:cs="Arial"/>
          <w:b/>
          <w:i/>
          <w:szCs w:val="24"/>
        </w:rPr>
        <w:t>2.4.3 Determination of dehydrogenase activity</w:t>
      </w:r>
    </w:p>
    <w:p w14:paraId="3FC27F87"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The dehydrogenase activity (DHA) was determined using the Thalmann methodology reported by Wojewódzki et al. (2022),</w:t>
      </w:r>
      <w:r w:rsidRPr="00D64B05">
        <w:rPr>
          <w:rFonts w:ascii="Arial" w:hAnsi="Arial" w:cs="Arial"/>
          <w:b/>
          <w:szCs w:val="24"/>
        </w:rPr>
        <w:t xml:space="preserve"> </w:t>
      </w:r>
      <w:r w:rsidRPr="00D64B05">
        <w:rPr>
          <w:rFonts w:ascii="Arial" w:hAnsi="Arial" w:cs="Arial"/>
          <w:szCs w:val="24"/>
        </w:rPr>
        <w:t xml:space="preserve">with samples incubated with 2,3,5-triphenyltetrazolium chloride. The measurement of absorbance of </w:t>
      </w:r>
      <w:proofErr w:type="spellStart"/>
      <w:r w:rsidRPr="00D64B05">
        <w:rPr>
          <w:rFonts w:ascii="Arial" w:hAnsi="Arial" w:cs="Arial"/>
          <w:szCs w:val="24"/>
        </w:rPr>
        <w:t>triphenylformazane</w:t>
      </w:r>
      <w:proofErr w:type="spellEnd"/>
      <w:r w:rsidRPr="00D64B05">
        <w:rPr>
          <w:rFonts w:ascii="Arial" w:hAnsi="Arial" w:cs="Arial"/>
          <w:szCs w:val="24"/>
        </w:rPr>
        <w:t xml:space="preserve"> (TPF) was undertaken at 546 nm and the outcomes expressed in mg TPF kg</w:t>
      </w:r>
      <w:r w:rsidRPr="00D64B05">
        <w:rPr>
          <w:rFonts w:ascii="Arial" w:hAnsi="Arial" w:cs="Arial"/>
          <w:szCs w:val="24"/>
          <w:vertAlign w:val="superscript"/>
        </w:rPr>
        <w:t>-1</w:t>
      </w:r>
      <w:r w:rsidRPr="00D64B05">
        <w:rPr>
          <w:rFonts w:ascii="Arial" w:hAnsi="Arial" w:cs="Arial"/>
          <w:szCs w:val="24"/>
        </w:rPr>
        <w:t>24 h</w:t>
      </w:r>
      <w:r w:rsidRPr="00D64B05">
        <w:rPr>
          <w:rFonts w:ascii="Arial" w:hAnsi="Arial" w:cs="Arial"/>
          <w:szCs w:val="24"/>
          <w:vertAlign w:val="superscript"/>
        </w:rPr>
        <w:t>-1</w:t>
      </w:r>
      <w:r w:rsidRPr="00D64B05">
        <w:rPr>
          <w:rFonts w:ascii="Arial" w:hAnsi="Arial" w:cs="Arial"/>
          <w:szCs w:val="24"/>
        </w:rPr>
        <w:t>.</w:t>
      </w:r>
    </w:p>
    <w:p w14:paraId="23A33FC0" w14:textId="77777777" w:rsidR="00A70297" w:rsidRPr="00D64B05" w:rsidRDefault="00A70297" w:rsidP="00A70297">
      <w:pPr>
        <w:contextualSpacing/>
        <w:jc w:val="both"/>
        <w:rPr>
          <w:rFonts w:ascii="Arial" w:hAnsi="Arial" w:cs="Arial"/>
          <w:szCs w:val="24"/>
        </w:rPr>
      </w:pPr>
    </w:p>
    <w:p w14:paraId="48D17D32" w14:textId="77777777" w:rsidR="00A70297" w:rsidRPr="00D64B05" w:rsidRDefault="00A70297" w:rsidP="00A70297">
      <w:pPr>
        <w:contextualSpacing/>
        <w:jc w:val="both"/>
        <w:rPr>
          <w:rFonts w:ascii="Arial" w:hAnsi="Arial" w:cs="Arial"/>
          <w:b/>
          <w:i/>
          <w:szCs w:val="24"/>
        </w:rPr>
      </w:pPr>
      <w:r w:rsidRPr="00D64B05">
        <w:rPr>
          <w:rFonts w:ascii="Arial" w:hAnsi="Arial" w:cs="Arial"/>
          <w:b/>
          <w:i/>
          <w:szCs w:val="24"/>
        </w:rPr>
        <w:t>2.4.4 Determination of heavy metal concentrations</w:t>
      </w:r>
    </w:p>
    <w:p w14:paraId="27BCB5D7"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Digestion of the resulting samples of the roots, leaves, and shoots of corn seedlings was done with a di-acid HNO</w:t>
      </w:r>
      <w:r w:rsidRPr="00D64B05">
        <w:rPr>
          <w:rFonts w:ascii="Arial" w:hAnsi="Arial" w:cs="Arial"/>
          <w:szCs w:val="24"/>
          <w:vertAlign w:val="subscript"/>
        </w:rPr>
        <w:t>3</w:t>
      </w:r>
      <w:r w:rsidRPr="00D64B05">
        <w:rPr>
          <w:rFonts w:ascii="Arial" w:hAnsi="Arial" w:cs="Arial"/>
          <w:szCs w:val="24"/>
        </w:rPr>
        <w:t>:HClO</w:t>
      </w:r>
      <w:r w:rsidRPr="00D64B05">
        <w:rPr>
          <w:rFonts w:ascii="Arial" w:hAnsi="Arial" w:cs="Arial"/>
          <w:szCs w:val="24"/>
          <w:vertAlign w:val="subscript"/>
        </w:rPr>
        <w:t>4</w:t>
      </w:r>
      <w:r w:rsidRPr="00D64B05">
        <w:rPr>
          <w:rFonts w:ascii="Arial" w:hAnsi="Arial" w:cs="Arial"/>
          <w:szCs w:val="24"/>
        </w:rPr>
        <w:t xml:space="preserve"> mixture to estimate Zn concentration, as described by Anuforo et al. (2020b). The Zn contents of each supernatant were then measured by an AAS (AA-240FS Varian, USA).</w:t>
      </w:r>
    </w:p>
    <w:p w14:paraId="0D98C84F" w14:textId="77777777" w:rsidR="00A70297" w:rsidRPr="00D64B05" w:rsidRDefault="00A70297" w:rsidP="00A70297">
      <w:pPr>
        <w:contextualSpacing/>
        <w:jc w:val="both"/>
        <w:rPr>
          <w:rFonts w:ascii="Arial" w:hAnsi="Arial" w:cs="Arial"/>
          <w:szCs w:val="24"/>
        </w:rPr>
      </w:pPr>
    </w:p>
    <w:p w14:paraId="394931F3" w14:textId="77777777" w:rsidR="00A70297" w:rsidRPr="00D64B05" w:rsidRDefault="00A70297" w:rsidP="00A70297">
      <w:pPr>
        <w:contextualSpacing/>
        <w:jc w:val="both"/>
        <w:rPr>
          <w:rFonts w:ascii="Arial" w:hAnsi="Arial" w:cs="Arial"/>
          <w:b/>
          <w:i/>
          <w:szCs w:val="24"/>
        </w:rPr>
      </w:pPr>
      <w:r w:rsidRPr="00D64B05">
        <w:rPr>
          <w:rFonts w:ascii="Arial" w:hAnsi="Arial" w:cs="Arial"/>
          <w:b/>
          <w:i/>
          <w:szCs w:val="24"/>
        </w:rPr>
        <w:t>2.4.5 Determination of proteins and chlorophyll compositions</w:t>
      </w:r>
    </w:p>
    <w:p w14:paraId="480E1A68" w14:textId="2951F308" w:rsidR="00A70297" w:rsidRPr="00D64B05" w:rsidRDefault="00A70297" w:rsidP="00A70297">
      <w:pPr>
        <w:contextualSpacing/>
        <w:jc w:val="both"/>
        <w:rPr>
          <w:rFonts w:ascii="Arial" w:hAnsi="Arial" w:cs="Arial"/>
          <w:szCs w:val="24"/>
        </w:rPr>
      </w:pPr>
      <w:r w:rsidRPr="00D64B05">
        <w:rPr>
          <w:rFonts w:ascii="Arial" w:hAnsi="Arial" w:cs="Arial"/>
          <w:szCs w:val="24"/>
        </w:rPr>
        <w:t xml:space="preserve">Samples of seedling roots, leaves, and shoots were collected from each treatment and washed with tap water to remove contaminants. Excess water on each leaf surface was removed using blotting paper, before drying in an oven at 48 </w:t>
      </w:r>
      <w:proofErr w:type="spellStart"/>
      <w:r w:rsidRPr="00D64B05">
        <w:rPr>
          <w:rFonts w:ascii="Arial" w:hAnsi="Arial" w:cs="Arial"/>
          <w:szCs w:val="24"/>
          <w:vertAlign w:val="superscript"/>
        </w:rPr>
        <w:t>o</w:t>
      </w:r>
      <w:r w:rsidRPr="00D64B05">
        <w:rPr>
          <w:rFonts w:ascii="Arial" w:hAnsi="Arial" w:cs="Arial"/>
          <w:szCs w:val="24"/>
        </w:rPr>
        <w:t>C</w:t>
      </w:r>
      <w:proofErr w:type="spellEnd"/>
      <w:r w:rsidRPr="00D64B05">
        <w:rPr>
          <w:rFonts w:ascii="Arial" w:hAnsi="Arial" w:cs="Arial"/>
          <w:szCs w:val="24"/>
        </w:rPr>
        <w:t xml:space="preserve"> for 2 h. The materials were pulverized and analy</w:t>
      </w:r>
      <w:r w:rsidR="002A4357">
        <w:rPr>
          <w:rFonts w:ascii="Arial" w:hAnsi="Arial" w:cs="Arial"/>
          <w:szCs w:val="24"/>
        </w:rPr>
        <w:t>z</w:t>
      </w:r>
      <w:r w:rsidRPr="00D64B05">
        <w:rPr>
          <w:rFonts w:ascii="Arial" w:hAnsi="Arial" w:cs="Arial"/>
          <w:szCs w:val="24"/>
        </w:rPr>
        <w:t>ed when they had dried completely. At the end of week 7 of growth on treated Zn-polluted samples of soil, the SPAD meter was used to determine the chlorophyll content of the maize leaves.</w:t>
      </w:r>
    </w:p>
    <w:p w14:paraId="6017ED88" w14:textId="77777777" w:rsidR="00A70297" w:rsidRPr="00D64B05" w:rsidRDefault="00A70297" w:rsidP="00A70297">
      <w:pPr>
        <w:contextualSpacing/>
        <w:jc w:val="both"/>
        <w:rPr>
          <w:rFonts w:ascii="Arial" w:hAnsi="Arial" w:cs="Arial"/>
          <w:szCs w:val="24"/>
        </w:rPr>
      </w:pPr>
    </w:p>
    <w:p w14:paraId="11006DE0" w14:textId="77777777" w:rsidR="00A70297" w:rsidRPr="00D64B05" w:rsidRDefault="00A70297" w:rsidP="00A70297">
      <w:pPr>
        <w:contextualSpacing/>
        <w:jc w:val="both"/>
        <w:rPr>
          <w:rFonts w:ascii="Arial" w:hAnsi="Arial" w:cs="Arial"/>
          <w:szCs w:val="24"/>
        </w:rPr>
      </w:pPr>
      <w:r w:rsidRPr="00D64B05">
        <w:rPr>
          <w:rFonts w:ascii="Arial" w:hAnsi="Arial" w:cs="Arial"/>
          <w:szCs w:val="24"/>
        </w:rPr>
        <w:t>BSA was employed as the standard reagent to create the standard curve that was then used to estimate the unknown protein concentration. The stem, leaf, and root extracts were incubated with 4.5 mL of reagent 1 (48 mL of 2% sodium carbonate in 0.1N sodium hydroxide + 1 mL of 1% sodium potassium tartrate + 1 mL of 0.5% copper sulphate) for 15 minutes, as described by Ashraf et al. (2022). Each sample was then treated with 0.5 ml of freshly prepared reagent 2 (</w:t>
      </w:r>
      <w:proofErr w:type="gramStart"/>
      <w:r w:rsidRPr="00D64B05">
        <w:rPr>
          <w:rFonts w:ascii="Arial" w:hAnsi="Arial" w:cs="Arial"/>
          <w:szCs w:val="24"/>
        </w:rPr>
        <w:t>1 part</w:t>
      </w:r>
      <w:proofErr w:type="gramEnd"/>
      <w:r w:rsidRPr="00D64B05">
        <w:rPr>
          <w:rFonts w:ascii="Arial" w:hAnsi="Arial" w:cs="Arial"/>
          <w:szCs w:val="24"/>
        </w:rPr>
        <w:t xml:space="preserve"> </w:t>
      </w:r>
      <w:proofErr w:type="spellStart"/>
      <w:r w:rsidRPr="00D64B05">
        <w:rPr>
          <w:rFonts w:ascii="Arial" w:hAnsi="Arial" w:cs="Arial"/>
          <w:szCs w:val="24"/>
        </w:rPr>
        <w:t>Folin-Ciocalteau</w:t>
      </w:r>
      <w:proofErr w:type="spellEnd"/>
      <w:r w:rsidRPr="00D64B05">
        <w:rPr>
          <w:rFonts w:ascii="Arial" w:hAnsi="Arial" w:cs="Arial"/>
          <w:szCs w:val="24"/>
        </w:rPr>
        <w:t>: 1 part water) and incubated for 30 minutes in the dark. The protein concentration was then determined by measuring the absorbance at 660 nm and expressed as mg BSAE/g fresh weight.</w:t>
      </w:r>
    </w:p>
    <w:p w14:paraId="5883DA54" w14:textId="77777777" w:rsidR="00A70297" w:rsidRPr="00D64B05" w:rsidRDefault="00A70297" w:rsidP="00A70297">
      <w:pPr>
        <w:contextualSpacing/>
        <w:jc w:val="both"/>
        <w:rPr>
          <w:rFonts w:ascii="Arial" w:hAnsi="Arial" w:cs="Arial"/>
          <w:szCs w:val="24"/>
        </w:rPr>
      </w:pPr>
    </w:p>
    <w:p w14:paraId="555BABF2" w14:textId="77777777" w:rsidR="00A70297" w:rsidRPr="00D64B05" w:rsidRDefault="00A70297" w:rsidP="00A70297">
      <w:pPr>
        <w:contextualSpacing/>
        <w:jc w:val="both"/>
        <w:rPr>
          <w:rFonts w:ascii="Arial" w:hAnsi="Arial" w:cs="Arial"/>
          <w:b/>
          <w:szCs w:val="24"/>
        </w:rPr>
      </w:pPr>
      <w:r w:rsidRPr="00D64B05">
        <w:rPr>
          <w:rFonts w:ascii="Arial" w:hAnsi="Arial" w:cs="Arial"/>
          <w:b/>
          <w:szCs w:val="24"/>
        </w:rPr>
        <w:t>3. Statistical computations</w:t>
      </w:r>
    </w:p>
    <w:p w14:paraId="38E03E2D" w14:textId="77777777" w:rsidR="00AA74E0" w:rsidRDefault="00A70297" w:rsidP="00A70297">
      <w:pPr>
        <w:pStyle w:val="Body"/>
        <w:spacing w:after="0"/>
        <w:rPr>
          <w:rFonts w:ascii="Arial" w:hAnsi="Arial" w:cs="Arial"/>
        </w:rPr>
      </w:pPr>
      <w:r w:rsidRPr="00D64B05">
        <w:rPr>
          <w:rFonts w:ascii="Arial" w:hAnsi="Arial" w:cs="Arial"/>
          <w:szCs w:val="24"/>
        </w:rPr>
        <w:t>Microsoft Excel version 10 was used to compute the mean and standard deviations of the set of duplicates for all treatments. Minitab</w:t>
      </w:r>
      <w:r w:rsidRPr="00D64B05">
        <w:rPr>
          <w:rFonts w:ascii="Arial" w:hAnsi="Arial" w:cs="Arial"/>
          <w:szCs w:val="24"/>
          <w:vertAlign w:val="superscript"/>
        </w:rPr>
        <w:t>®</w:t>
      </w:r>
      <w:r w:rsidRPr="00D64B05">
        <w:rPr>
          <w:rFonts w:ascii="Arial" w:hAnsi="Arial" w:cs="Arial"/>
          <w:szCs w:val="24"/>
        </w:rPr>
        <w:t xml:space="preserve"> 17 software was used to conduct one-way analysis of variance (ANOVA) and LSD test (P &lt; 0.05) to evaluate the data differences.</w:t>
      </w:r>
      <w:r w:rsidR="00AA74E0" w:rsidRPr="00FB3A86">
        <w:rPr>
          <w:rFonts w:ascii="Arial" w:hAnsi="Arial" w:cs="Arial"/>
        </w:rPr>
        <w:t xml:space="preserve"> </w:t>
      </w:r>
    </w:p>
    <w:p w14:paraId="0DBE2755" w14:textId="77777777" w:rsidR="00790ADA" w:rsidRPr="00FB3A86" w:rsidRDefault="00790ADA" w:rsidP="00441B6F">
      <w:pPr>
        <w:pStyle w:val="Body"/>
        <w:spacing w:after="0"/>
        <w:rPr>
          <w:rFonts w:ascii="Arial" w:hAnsi="Arial" w:cs="Arial"/>
        </w:rPr>
      </w:pPr>
    </w:p>
    <w:p w14:paraId="52F7995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C22738" w14:textId="77777777" w:rsidR="00790ADA" w:rsidRPr="00FB3A86" w:rsidRDefault="00790ADA" w:rsidP="00441B6F">
      <w:pPr>
        <w:pStyle w:val="Head1"/>
        <w:spacing w:after="0"/>
        <w:jc w:val="both"/>
        <w:rPr>
          <w:rFonts w:ascii="Arial" w:hAnsi="Arial" w:cs="Arial"/>
        </w:rPr>
      </w:pPr>
    </w:p>
    <w:p w14:paraId="56678B46" w14:textId="77777777" w:rsidR="001C0AC5" w:rsidRPr="00574E2D" w:rsidRDefault="001C0AC5" w:rsidP="001C0AC5">
      <w:pPr>
        <w:contextualSpacing/>
        <w:jc w:val="both"/>
        <w:rPr>
          <w:rFonts w:ascii="Arial" w:hAnsi="Arial" w:cs="Arial"/>
          <w:sz w:val="22"/>
        </w:rPr>
      </w:pPr>
      <w:r w:rsidRPr="00574E2D">
        <w:rPr>
          <w:rFonts w:ascii="Arial" w:hAnsi="Arial" w:cs="Arial"/>
          <w:b/>
          <w:sz w:val="22"/>
        </w:rPr>
        <w:t>3.1 Effects on bacterial variety</w:t>
      </w:r>
    </w:p>
    <w:p w14:paraId="5D56E70D" w14:textId="77777777" w:rsidR="001C0AC5" w:rsidRPr="0056292A" w:rsidRDefault="001C0AC5" w:rsidP="001C0AC5">
      <w:pPr>
        <w:contextualSpacing/>
        <w:jc w:val="both"/>
        <w:rPr>
          <w:rFonts w:ascii="Arial" w:hAnsi="Arial" w:cs="Arial"/>
        </w:rPr>
      </w:pPr>
      <w:r w:rsidRPr="0056292A">
        <w:rPr>
          <w:rFonts w:ascii="Arial" w:hAnsi="Arial" w:cs="Arial"/>
        </w:rPr>
        <w:t xml:space="preserve">Table 1 is the diversity of bacterial isolates found in bioremediated Zn-polluted soil, using a mixture of poultry wastes cow dung, as well as </w:t>
      </w:r>
      <w:r w:rsidRPr="0056292A">
        <w:rPr>
          <w:rFonts w:ascii="Arial" w:hAnsi="Arial" w:cs="Arial"/>
          <w:i/>
        </w:rPr>
        <w:t xml:space="preserve">Micrococcus </w:t>
      </w:r>
      <w:r w:rsidRPr="0056292A">
        <w:rPr>
          <w:rFonts w:ascii="Arial" w:hAnsi="Arial" w:cs="Arial"/>
        </w:rPr>
        <w:t xml:space="preserve">sp. Results obtained showed that there was variation in bacterial diversities among the samples. Treated samples showed higher diversity than the control and original samples. Meanwhile, treatment done with mixture of poultry wastes and cow dung produced relatively higher diversity than others. Also, </w:t>
      </w:r>
      <w:r w:rsidRPr="0056292A">
        <w:rPr>
          <w:rFonts w:ascii="Arial" w:hAnsi="Arial" w:cs="Arial"/>
          <w:i/>
        </w:rPr>
        <w:t xml:space="preserve">Salmonella typhi, Staphylococcus aureus </w:t>
      </w:r>
      <w:r w:rsidRPr="0056292A">
        <w:rPr>
          <w:rFonts w:ascii="Arial" w:hAnsi="Arial" w:cs="Arial"/>
        </w:rPr>
        <w:t xml:space="preserve">and </w:t>
      </w:r>
      <w:proofErr w:type="spellStart"/>
      <w:r w:rsidRPr="0056292A">
        <w:rPr>
          <w:rFonts w:ascii="Arial" w:hAnsi="Arial" w:cs="Arial"/>
          <w:i/>
        </w:rPr>
        <w:t>Achromobacter</w:t>
      </w:r>
      <w:proofErr w:type="spellEnd"/>
      <w:r w:rsidRPr="0056292A">
        <w:rPr>
          <w:rFonts w:ascii="Arial" w:hAnsi="Arial" w:cs="Arial"/>
          <w:i/>
        </w:rPr>
        <w:t xml:space="preserve"> </w:t>
      </w:r>
      <w:proofErr w:type="spellStart"/>
      <w:r w:rsidRPr="0056292A">
        <w:rPr>
          <w:rFonts w:ascii="Arial" w:hAnsi="Arial" w:cs="Arial"/>
        </w:rPr>
        <w:t>spp</w:t>
      </w:r>
      <w:proofErr w:type="spellEnd"/>
      <w:r w:rsidRPr="0056292A">
        <w:rPr>
          <w:rFonts w:ascii="Arial" w:hAnsi="Arial" w:cs="Arial"/>
        </w:rPr>
        <w:t xml:space="preserve"> which were absent in the original sample, were found in treated samples.</w:t>
      </w:r>
    </w:p>
    <w:p w14:paraId="69EAC9C4" w14:textId="77777777" w:rsidR="001C0AC5" w:rsidRDefault="001C0AC5" w:rsidP="001C0AC5">
      <w:pPr>
        <w:contextualSpacing/>
        <w:jc w:val="both"/>
        <w:rPr>
          <w:rFonts w:ascii="Arial" w:hAnsi="Arial" w:cs="Arial"/>
        </w:rPr>
      </w:pPr>
    </w:p>
    <w:p w14:paraId="6F4B618E" w14:textId="77777777" w:rsidR="007C38DC" w:rsidRDefault="007C38DC" w:rsidP="001C0AC5">
      <w:pPr>
        <w:contextualSpacing/>
        <w:jc w:val="both"/>
        <w:rPr>
          <w:rFonts w:ascii="Arial" w:hAnsi="Arial" w:cs="Arial"/>
        </w:rPr>
      </w:pPr>
      <w:r w:rsidRPr="00F544A7">
        <w:rPr>
          <w:rFonts w:ascii="Arial" w:hAnsi="Arial" w:cs="Arial"/>
        </w:rPr>
        <w:t xml:space="preserve">In a related study, 6 strains of rhizobacteria that were isolated from severely heavy metal-polluted soils from an abandoned mine were assessed with </w:t>
      </w:r>
      <w:r w:rsidRPr="00F544A7">
        <w:rPr>
          <w:rFonts w:ascii="Arial" w:hAnsi="Arial" w:cs="Arial"/>
          <w:i/>
        </w:rPr>
        <w:t xml:space="preserve">Sulla </w:t>
      </w:r>
      <w:proofErr w:type="spellStart"/>
      <w:r w:rsidRPr="00F544A7">
        <w:rPr>
          <w:rFonts w:ascii="Arial" w:hAnsi="Arial" w:cs="Arial"/>
          <w:i/>
        </w:rPr>
        <w:t>spinosissima</w:t>
      </w:r>
      <w:proofErr w:type="spellEnd"/>
      <w:r w:rsidRPr="00F544A7">
        <w:rPr>
          <w:rFonts w:ascii="Arial" w:hAnsi="Arial" w:cs="Arial"/>
        </w:rPr>
        <w:t xml:space="preserve"> (L.). The results showed that, in comparison to the other strains, inoculation with LMR291 </w:t>
      </w:r>
      <w:r w:rsidRPr="00F544A7">
        <w:rPr>
          <w:rFonts w:ascii="Arial" w:hAnsi="Arial" w:cs="Arial"/>
          <w:i/>
        </w:rPr>
        <w:t>(</w:t>
      </w:r>
      <w:proofErr w:type="spellStart"/>
      <w:r w:rsidRPr="00F544A7">
        <w:rPr>
          <w:rFonts w:ascii="Arial" w:hAnsi="Arial" w:cs="Arial"/>
          <w:i/>
        </w:rPr>
        <w:t>Pseudarthrobacter</w:t>
      </w:r>
      <w:proofErr w:type="spellEnd"/>
      <w:r w:rsidRPr="00F544A7">
        <w:rPr>
          <w:rFonts w:ascii="Arial" w:hAnsi="Arial" w:cs="Arial"/>
          <w:i/>
        </w:rPr>
        <w:t xml:space="preserve"> </w:t>
      </w:r>
      <w:proofErr w:type="spellStart"/>
      <w:r w:rsidRPr="00F544A7">
        <w:rPr>
          <w:rFonts w:ascii="Arial" w:hAnsi="Arial" w:cs="Arial"/>
          <w:i/>
        </w:rPr>
        <w:t>oxydans</w:t>
      </w:r>
      <w:proofErr w:type="spellEnd"/>
      <w:r w:rsidRPr="00F544A7">
        <w:rPr>
          <w:rFonts w:ascii="Arial" w:hAnsi="Arial" w:cs="Arial"/>
          <w:i/>
        </w:rPr>
        <w:t>)</w:t>
      </w:r>
      <w:r w:rsidRPr="00F544A7">
        <w:rPr>
          <w:rFonts w:ascii="Arial" w:hAnsi="Arial" w:cs="Arial"/>
        </w:rPr>
        <w:t xml:space="preserve"> produced significant increase in the chlorophyll content of </w:t>
      </w:r>
      <w:r w:rsidRPr="00F544A7">
        <w:rPr>
          <w:rFonts w:ascii="Arial" w:hAnsi="Arial" w:cs="Arial"/>
          <w:i/>
        </w:rPr>
        <w:t>Sulla</w:t>
      </w:r>
      <w:r w:rsidRPr="00F544A7">
        <w:rPr>
          <w:rFonts w:ascii="Arial" w:hAnsi="Arial" w:cs="Arial"/>
        </w:rPr>
        <w:t xml:space="preserve"> plants planted under heavy metal stress. The </w:t>
      </w:r>
      <w:r w:rsidRPr="00F544A7">
        <w:rPr>
          <w:rFonts w:ascii="Arial" w:hAnsi="Arial" w:cs="Arial"/>
        </w:rPr>
        <w:lastRenderedPageBreak/>
        <w:t>carotenoid content of the plant was similar regardless of the inoculum strain applied (</w:t>
      </w:r>
      <w:proofErr w:type="spellStart"/>
      <w:r w:rsidRPr="00F544A7">
        <w:rPr>
          <w:rFonts w:ascii="Arial" w:hAnsi="Arial" w:cs="Arial"/>
        </w:rPr>
        <w:t>Oubohssaine</w:t>
      </w:r>
      <w:proofErr w:type="spellEnd"/>
      <w:r w:rsidRPr="00F544A7">
        <w:rPr>
          <w:rFonts w:ascii="Arial" w:hAnsi="Arial" w:cs="Arial"/>
        </w:rPr>
        <w:t xml:space="preserve"> et al., 2022). The 16S rRNA gene analysis in a related study demonstrated the variety of </w:t>
      </w:r>
      <w:r w:rsidRPr="00F544A7">
        <w:rPr>
          <w:rFonts w:ascii="Arial" w:hAnsi="Arial" w:cs="Arial"/>
          <w:i/>
        </w:rPr>
        <w:t xml:space="preserve">A. </w:t>
      </w:r>
      <w:proofErr w:type="spellStart"/>
      <w:r w:rsidRPr="00F544A7">
        <w:rPr>
          <w:rFonts w:ascii="Arial" w:hAnsi="Arial" w:cs="Arial"/>
          <w:i/>
        </w:rPr>
        <w:t>halleri</w:t>
      </w:r>
      <w:proofErr w:type="spellEnd"/>
      <w:r w:rsidRPr="00F544A7">
        <w:rPr>
          <w:rFonts w:ascii="Arial" w:hAnsi="Arial" w:cs="Arial"/>
        </w:rPr>
        <w:t xml:space="preserve"> and </w:t>
      </w:r>
      <w:r w:rsidRPr="00F544A7">
        <w:rPr>
          <w:rFonts w:ascii="Arial" w:hAnsi="Arial" w:cs="Arial"/>
          <w:i/>
        </w:rPr>
        <w:t xml:space="preserve">A. </w:t>
      </w:r>
      <w:proofErr w:type="spellStart"/>
      <w:r w:rsidRPr="00F544A7">
        <w:rPr>
          <w:rFonts w:ascii="Arial" w:hAnsi="Arial" w:cs="Arial"/>
          <w:i/>
        </w:rPr>
        <w:t>arenosa</w:t>
      </w:r>
      <w:proofErr w:type="spellEnd"/>
      <w:r w:rsidRPr="00F544A7">
        <w:rPr>
          <w:rFonts w:ascii="Arial" w:hAnsi="Arial" w:cs="Arial"/>
        </w:rPr>
        <w:t xml:space="preserve"> rhizosphere bacteria. They found that 95% of the 21 bacterial strains that were recovered from the rhizosphere of </w:t>
      </w:r>
      <w:r w:rsidRPr="00F544A7">
        <w:rPr>
          <w:rFonts w:ascii="Arial" w:hAnsi="Arial" w:cs="Arial"/>
          <w:i/>
        </w:rPr>
        <w:t xml:space="preserve">A. </w:t>
      </w:r>
      <w:proofErr w:type="spellStart"/>
      <w:r w:rsidRPr="00F544A7">
        <w:rPr>
          <w:rFonts w:ascii="Arial" w:hAnsi="Arial" w:cs="Arial"/>
          <w:i/>
        </w:rPr>
        <w:t>halleri</w:t>
      </w:r>
      <w:proofErr w:type="spellEnd"/>
      <w:r w:rsidRPr="00F544A7">
        <w:rPr>
          <w:rFonts w:ascii="Arial" w:hAnsi="Arial" w:cs="Arial"/>
        </w:rPr>
        <w:t xml:space="preserve"> (6 isolates) and </w:t>
      </w:r>
      <w:r w:rsidRPr="00F544A7">
        <w:rPr>
          <w:rFonts w:ascii="Arial" w:hAnsi="Arial" w:cs="Arial"/>
          <w:i/>
        </w:rPr>
        <w:t xml:space="preserve">A. </w:t>
      </w:r>
      <w:proofErr w:type="spellStart"/>
      <w:r w:rsidRPr="00F544A7">
        <w:rPr>
          <w:rFonts w:ascii="Arial" w:hAnsi="Arial" w:cs="Arial"/>
          <w:i/>
        </w:rPr>
        <w:t>arenosa</w:t>
      </w:r>
      <w:proofErr w:type="spellEnd"/>
      <w:r w:rsidRPr="00F544A7">
        <w:rPr>
          <w:rFonts w:ascii="Arial" w:hAnsi="Arial" w:cs="Arial"/>
          <w:i/>
        </w:rPr>
        <w:t xml:space="preserve"> </w:t>
      </w:r>
      <w:r w:rsidRPr="00F544A7">
        <w:rPr>
          <w:rFonts w:ascii="Arial" w:hAnsi="Arial" w:cs="Arial"/>
        </w:rPr>
        <w:t xml:space="preserve">(15 isolates) were </w:t>
      </w:r>
      <w:r w:rsidRPr="00F544A7">
        <w:rPr>
          <w:rFonts w:ascii="Arial" w:hAnsi="Arial" w:cs="Arial"/>
          <w:i/>
        </w:rPr>
        <w:t>Proteobacteria</w:t>
      </w:r>
      <w:r w:rsidRPr="00F544A7">
        <w:rPr>
          <w:rFonts w:ascii="Arial" w:hAnsi="Arial" w:cs="Arial"/>
        </w:rPr>
        <w:t xml:space="preserve"> and 5% were </w:t>
      </w:r>
      <w:r w:rsidRPr="00F544A7">
        <w:rPr>
          <w:rFonts w:ascii="Arial" w:hAnsi="Arial" w:cs="Arial"/>
          <w:i/>
        </w:rPr>
        <w:t>Firmicutes. Bacilli,</w:t>
      </w:r>
      <w:r w:rsidRPr="00F544A7">
        <w:rPr>
          <w:rFonts w:ascii="Arial" w:hAnsi="Arial" w:cs="Arial"/>
        </w:rPr>
        <w:t xml:space="preserve"> which accounted for 5% of isolated bacteria in the rhizosphere, were classified into </w:t>
      </w:r>
      <w:proofErr w:type="spellStart"/>
      <w:r w:rsidRPr="00F544A7">
        <w:rPr>
          <w:rFonts w:ascii="Arial" w:hAnsi="Arial" w:cs="Arial"/>
          <w:i/>
        </w:rPr>
        <w:t>Bacillaceae</w:t>
      </w:r>
      <w:proofErr w:type="spellEnd"/>
      <w:r w:rsidRPr="00F544A7">
        <w:rPr>
          <w:rFonts w:ascii="Arial" w:hAnsi="Arial" w:cs="Arial"/>
          <w:i/>
        </w:rPr>
        <w:t xml:space="preserve"> </w:t>
      </w:r>
      <w:r w:rsidRPr="00F544A7">
        <w:rPr>
          <w:rFonts w:ascii="Arial" w:hAnsi="Arial" w:cs="Arial"/>
        </w:rPr>
        <w:t xml:space="preserve">and </w:t>
      </w:r>
      <w:proofErr w:type="spellStart"/>
      <w:r w:rsidRPr="00F544A7">
        <w:rPr>
          <w:rFonts w:ascii="Arial" w:hAnsi="Arial" w:cs="Arial"/>
          <w:i/>
        </w:rPr>
        <w:t>Bacillales</w:t>
      </w:r>
      <w:proofErr w:type="spellEnd"/>
      <w:r w:rsidRPr="00F544A7">
        <w:rPr>
          <w:rFonts w:ascii="Arial" w:hAnsi="Arial" w:cs="Arial"/>
          <w:i/>
        </w:rPr>
        <w:t>.</w:t>
      </w:r>
      <w:r w:rsidRPr="00F544A7">
        <w:rPr>
          <w:rFonts w:ascii="Arial" w:hAnsi="Arial" w:cs="Arial"/>
        </w:rPr>
        <w:t xml:space="preserve"> Nearly 95% component of the γ-Proteobacteria are of the Orders </w:t>
      </w:r>
      <w:proofErr w:type="spellStart"/>
      <w:r w:rsidRPr="00F544A7">
        <w:rPr>
          <w:rFonts w:ascii="Arial" w:hAnsi="Arial" w:cs="Arial"/>
          <w:i/>
        </w:rPr>
        <w:t>Enterobacterales</w:t>
      </w:r>
      <w:proofErr w:type="spellEnd"/>
      <w:r w:rsidRPr="00F544A7">
        <w:rPr>
          <w:rFonts w:ascii="Arial" w:hAnsi="Arial" w:cs="Arial"/>
          <w:i/>
        </w:rPr>
        <w:t xml:space="preserve"> </w:t>
      </w:r>
      <w:r w:rsidRPr="00F544A7">
        <w:rPr>
          <w:rFonts w:ascii="Arial" w:hAnsi="Arial" w:cs="Arial"/>
        </w:rPr>
        <w:t xml:space="preserve">(43%), </w:t>
      </w:r>
      <w:proofErr w:type="spellStart"/>
      <w:r w:rsidRPr="00F544A7">
        <w:rPr>
          <w:rFonts w:ascii="Arial" w:hAnsi="Arial" w:cs="Arial"/>
          <w:i/>
        </w:rPr>
        <w:t>Pseudomonadales</w:t>
      </w:r>
      <w:proofErr w:type="spellEnd"/>
      <w:r w:rsidRPr="00F544A7">
        <w:rPr>
          <w:rFonts w:ascii="Arial" w:hAnsi="Arial" w:cs="Arial"/>
          <w:i/>
        </w:rPr>
        <w:t xml:space="preserve"> </w:t>
      </w:r>
      <w:r w:rsidRPr="00F544A7">
        <w:rPr>
          <w:rFonts w:ascii="Arial" w:hAnsi="Arial" w:cs="Arial"/>
        </w:rPr>
        <w:t xml:space="preserve">(29%), and </w:t>
      </w:r>
      <w:proofErr w:type="spellStart"/>
      <w:r w:rsidRPr="00F544A7">
        <w:rPr>
          <w:rFonts w:ascii="Arial" w:hAnsi="Arial" w:cs="Arial"/>
          <w:i/>
        </w:rPr>
        <w:t>Xanthomonadales</w:t>
      </w:r>
      <w:proofErr w:type="spellEnd"/>
      <w:r w:rsidRPr="00F544A7">
        <w:rPr>
          <w:rFonts w:ascii="Arial" w:hAnsi="Arial" w:cs="Arial"/>
        </w:rPr>
        <w:t xml:space="preserve"> (23%). These were belonged to the families </w:t>
      </w:r>
      <w:proofErr w:type="spellStart"/>
      <w:r w:rsidRPr="00F544A7">
        <w:rPr>
          <w:rFonts w:ascii="Arial" w:hAnsi="Arial" w:cs="Arial"/>
          <w:i/>
        </w:rPr>
        <w:t>Yersiniaceae</w:t>
      </w:r>
      <w:proofErr w:type="spellEnd"/>
      <w:r w:rsidRPr="00F544A7">
        <w:rPr>
          <w:rFonts w:ascii="Arial" w:hAnsi="Arial" w:cs="Arial"/>
        </w:rPr>
        <w:t xml:space="preserve"> (5%), </w:t>
      </w:r>
      <w:proofErr w:type="spellStart"/>
      <w:r w:rsidRPr="00F544A7">
        <w:rPr>
          <w:rFonts w:ascii="Arial" w:hAnsi="Arial" w:cs="Arial"/>
          <w:i/>
        </w:rPr>
        <w:t>Erwiniaceae</w:t>
      </w:r>
      <w:proofErr w:type="spellEnd"/>
      <w:r w:rsidRPr="00F544A7">
        <w:rPr>
          <w:rFonts w:ascii="Arial" w:hAnsi="Arial" w:cs="Arial"/>
        </w:rPr>
        <w:t xml:space="preserve"> (5%), </w:t>
      </w:r>
      <w:proofErr w:type="spellStart"/>
      <w:r w:rsidRPr="00F544A7">
        <w:rPr>
          <w:rFonts w:ascii="Arial" w:hAnsi="Arial" w:cs="Arial"/>
          <w:i/>
        </w:rPr>
        <w:t>Xanthomonadaceae</w:t>
      </w:r>
      <w:proofErr w:type="spellEnd"/>
      <w:r w:rsidRPr="00F544A7">
        <w:rPr>
          <w:rFonts w:ascii="Arial" w:hAnsi="Arial" w:cs="Arial"/>
        </w:rPr>
        <w:t xml:space="preserve"> (23%), </w:t>
      </w:r>
      <w:r w:rsidRPr="00F544A7">
        <w:rPr>
          <w:rFonts w:ascii="Arial" w:hAnsi="Arial" w:cs="Arial"/>
          <w:i/>
        </w:rPr>
        <w:t>Pseudomonadaceae</w:t>
      </w:r>
      <w:r w:rsidRPr="00F544A7">
        <w:rPr>
          <w:rFonts w:ascii="Arial" w:hAnsi="Arial" w:cs="Arial"/>
        </w:rPr>
        <w:t xml:space="preserve"> (29%), and </w:t>
      </w:r>
      <w:r w:rsidRPr="00F544A7">
        <w:rPr>
          <w:rFonts w:ascii="Arial" w:hAnsi="Arial" w:cs="Arial"/>
          <w:i/>
        </w:rPr>
        <w:t>Enterobacteriaceae</w:t>
      </w:r>
      <w:r w:rsidRPr="00F544A7">
        <w:rPr>
          <w:rFonts w:ascii="Arial" w:hAnsi="Arial" w:cs="Arial"/>
        </w:rPr>
        <w:t xml:space="preserve"> (33%) (Oleńska et al., 2023). In another study that employed biochemical characterization, 22 bacterial cultures among which are </w:t>
      </w:r>
      <w:r w:rsidRPr="00F544A7">
        <w:rPr>
          <w:rFonts w:ascii="Arial" w:hAnsi="Arial" w:cs="Arial"/>
          <w:i/>
        </w:rPr>
        <w:t xml:space="preserve">Pseudomonas </w:t>
      </w:r>
      <w:proofErr w:type="spellStart"/>
      <w:r w:rsidRPr="00F544A7">
        <w:rPr>
          <w:rFonts w:ascii="Arial" w:hAnsi="Arial" w:cs="Arial"/>
          <w:i/>
        </w:rPr>
        <w:t>mendoci</w:t>
      </w:r>
      <w:proofErr w:type="spellEnd"/>
      <w:r w:rsidRPr="00F544A7">
        <w:rPr>
          <w:rFonts w:ascii="Arial" w:hAnsi="Arial" w:cs="Arial"/>
          <w:i/>
        </w:rPr>
        <w:t xml:space="preserve">, Pseudomonas aeruginosa, Pseudomonas putida, Pseudomonas fluorescens, Bacillus mycoides, Bacillus subtilis, Bacillus </w:t>
      </w:r>
      <w:proofErr w:type="spellStart"/>
      <w:r w:rsidRPr="00F544A7">
        <w:rPr>
          <w:rFonts w:ascii="Arial" w:hAnsi="Arial" w:cs="Arial"/>
          <w:i/>
        </w:rPr>
        <w:t>atrophaeus</w:t>
      </w:r>
      <w:proofErr w:type="spellEnd"/>
      <w:r w:rsidRPr="00F544A7">
        <w:rPr>
          <w:rFonts w:ascii="Arial" w:hAnsi="Arial" w:cs="Arial"/>
          <w:i/>
        </w:rPr>
        <w:t xml:space="preserve">, Bacillus thuringiensis, Bacillus cereus, Stenotrophomonas </w:t>
      </w:r>
      <w:proofErr w:type="spellStart"/>
      <w:r w:rsidRPr="00F544A7">
        <w:rPr>
          <w:rFonts w:ascii="Arial" w:hAnsi="Arial" w:cs="Arial"/>
          <w:i/>
        </w:rPr>
        <w:t>maltophilia</w:t>
      </w:r>
      <w:proofErr w:type="spellEnd"/>
      <w:r w:rsidRPr="00F544A7">
        <w:rPr>
          <w:rFonts w:ascii="Arial" w:hAnsi="Arial" w:cs="Arial"/>
          <w:i/>
        </w:rPr>
        <w:t xml:space="preserve">, </w:t>
      </w:r>
      <w:proofErr w:type="spellStart"/>
      <w:r w:rsidRPr="00F544A7">
        <w:rPr>
          <w:rFonts w:ascii="Arial" w:hAnsi="Arial" w:cs="Arial"/>
          <w:i/>
        </w:rPr>
        <w:t>Aneurinibacillus</w:t>
      </w:r>
      <w:proofErr w:type="spellEnd"/>
      <w:r w:rsidRPr="00F544A7">
        <w:rPr>
          <w:rFonts w:ascii="Arial" w:hAnsi="Arial" w:cs="Arial"/>
          <w:i/>
        </w:rPr>
        <w:t xml:space="preserve"> </w:t>
      </w:r>
      <w:proofErr w:type="spellStart"/>
      <w:r w:rsidRPr="00F544A7">
        <w:rPr>
          <w:rFonts w:ascii="Arial" w:hAnsi="Arial" w:cs="Arial"/>
          <w:i/>
        </w:rPr>
        <w:t>aneurinilyticus</w:t>
      </w:r>
      <w:proofErr w:type="spellEnd"/>
      <w:r w:rsidRPr="00F544A7">
        <w:rPr>
          <w:rFonts w:ascii="Arial" w:hAnsi="Arial" w:cs="Arial"/>
          <w:i/>
        </w:rPr>
        <w:t xml:space="preserve">, Staphylococcus </w:t>
      </w:r>
      <w:proofErr w:type="spellStart"/>
      <w:r w:rsidRPr="00F544A7">
        <w:rPr>
          <w:rFonts w:ascii="Arial" w:hAnsi="Arial" w:cs="Arial"/>
          <w:i/>
        </w:rPr>
        <w:t>warneri</w:t>
      </w:r>
      <w:proofErr w:type="spellEnd"/>
      <w:r w:rsidRPr="00F544A7">
        <w:rPr>
          <w:rFonts w:ascii="Arial" w:hAnsi="Arial" w:cs="Arial"/>
          <w:i/>
        </w:rPr>
        <w:t xml:space="preserve">, </w:t>
      </w:r>
      <w:proofErr w:type="spellStart"/>
      <w:r w:rsidRPr="00F544A7">
        <w:rPr>
          <w:rFonts w:ascii="Arial" w:hAnsi="Arial" w:cs="Arial"/>
          <w:i/>
        </w:rPr>
        <w:t>Achromobacter</w:t>
      </w:r>
      <w:proofErr w:type="spellEnd"/>
      <w:r w:rsidRPr="00F544A7">
        <w:rPr>
          <w:rFonts w:ascii="Arial" w:hAnsi="Arial" w:cs="Arial"/>
          <w:i/>
        </w:rPr>
        <w:t xml:space="preserve"> </w:t>
      </w:r>
      <w:proofErr w:type="spellStart"/>
      <w:r w:rsidRPr="00F544A7">
        <w:rPr>
          <w:rFonts w:ascii="Arial" w:hAnsi="Arial" w:cs="Arial"/>
          <w:i/>
        </w:rPr>
        <w:t>denitrificans</w:t>
      </w:r>
      <w:proofErr w:type="spellEnd"/>
      <w:r w:rsidRPr="00F544A7">
        <w:rPr>
          <w:rFonts w:ascii="Arial" w:hAnsi="Arial" w:cs="Arial"/>
          <w:i/>
        </w:rPr>
        <w:t>,</w:t>
      </w:r>
      <w:r w:rsidRPr="00F544A7">
        <w:rPr>
          <w:rFonts w:ascii="Arial" w:hAnsi="Arial" w:cs="Arial"/>
        </w:rPr>
        <w:t xml:space="preserve"> and</w:t>
      </w:r>
      <w:r w:rsidRPr="00F544A7">
        <w:rPr>
          <w:rFonts w:ascii="Arial" w:hAnsi="Arial" w:cs="Arial"/>
          <w:i/>
        </w:rPr>
        <w:t xml:space="preserve"> </w:t>
      </w:r>
      <w:proofErr w:type="spellStart"/>
      <w:r w:rsidRPr="00F544A7">
        <w:rPr>
          <w:rFonts w:ascii="Arial" w:hAnsi="Arial" w:cs="Arial"/>
          <w:i/>
        </w:rPr>
        <w:t>Sphingomonas</w:t>
      </w:r>
      <w:proofErr w:type="spellEnd"/>
      <w:r w:rsidRPr="00F544A7">
        <w:rPr>
          <w:rFonts w:ascii="Arial" w:hAnsi="Arial" w:cs="Arial"/>
          <w:i/>
        </w:rPr>
        <w:t xml:space="preserve"> </w:t>
      </w:r>
      <w:proofErr w:type="spellStart"/>
      <w:r w:rsidRPr="00F544A7">
        <w:rPr>
          <w:rFonts w:ascii="Arial" w:hAnsi="Arial" w:cs="Arial"/>
          <w:i/>
        </w:rPr>
        <w:t>paucimobili</w:t>
      </w:r>
      <w:proofErr w:type="spellEnd"/>
      <w:r w:rsidRPr="00F544A7">
        <w:rPr>
          <w:rFonts w:ascii="Arial" w:hAnsi="Arial" w:cs="Arial"/>
          <w:i/>
        </w:rPr>
        <w:t xml:space="preserve"> </w:t>
      </w:r>
      <w:r w:rsidRPr="00F544A7">
        <w:rPr>
          <w:rFonts w:ascii="Arial" w:hAnsi="Arial" w:cs="Arial"/>
        </w:rPr>
        <w:t>were the identified bacterial species. The percentages of occurrences ranged from 85 and 99% (Sorour et al., 2022).</w:t>
      </w:r>
    </w:p>
    <w:p w14:paraId="39EA805E" w14:textId="77777777" w:rsidR="007C38DC" w:rsidRDefault="007C38DC" w:rsidP="001C0AC5">
      <w:pPr>
        <w:contextualSpacing/>
        <w:jc w:val="both"/>
        <w:rPr>
          <w:rFonts w:ascii="Arial" w:hAnsi="Arial" w:cs="Arial"/>
        </w:rPr>
      </w:pPr>
    </w:p>
    <w:p w14:paraId="744B72AF" w14:textId="77777777" w:rsidR="007C38DC" w:rsidRDefault="007C38DC" w:rsidP="001C0AC5">
      <w:pPr>
        <w:contextualSpacing/>
        <w:jc w:val="both"/>
        <w:rPr>
          <w:rFonts w:ascii="Arial" w:hAnsi="Arial" w:cs="Arial"/>
        </w:rPr>
      </w:pPr>
      <w:r w:rsidRPr="00F544A7">
        <w:rPr>
          <w:rFonts w:ascii="Arial" w:hAnsi="Arial" w:cs="Arial"/>
        </w:rPr>
        <w:t>In order to survive heavy metal toxicity, bacteria can adopt a variety of tolerance strategies, such as altering cellular barriers, allowing metals to exit the cell, converting metals enzymatically, and sequestering metals both inside and outside of cells (</w:t>
      </w:r>
      <w:proofErr w:type="spellStart"/>
      <w:r w:rsidRPr="00F544A7">
        <w:rPr>
          <w:rFonts w:ascii="Arial" w:hAnsi="Arial" w:cs="Arial"/>
        </w:rPr>
        <w:t>Oleňska</w:t>
      </w:r>
      <w:proofErr w:type="spellEnd"/>
      <w:r w:rsidRPr="00F544A7">
        <w:rPr>
          <w:rFonts w:ascii="Arial" w:hAnsi="Arial" w:cs="Arial"/>
        </w:rPr>
        <w:t xml:space="preserve"> et al., 2023). Thus, by boosting the availability of vital nutrients, producing and controlling substances that control plant growth, or shielding plants from illness, bacteria can favorably promote plant growth (Thijs et al., 2016). The growth of their host plants may benefit indirectly from metal ions immobilization by metal-tolerant bacteria (</w:t>
      </w:r>
      <w:proofErr w:type="spellStart"/>
      <w:r w:rsidRPr="00F544A7">
        <w:rPr>
          <w:rFonts w:ascii="Arial" w:hAnsi="Arial" w:cs="Arial"/>
        </w:rPr>
        <w:t>Oubohssaine</w:t>
      </w:r>
      <w:proofErr w:type="spellEnd"/>
      <w:r w:rsidRPr="00F544A7">
        <w:rPr>
          <w:rFonts w:ascii="Arial" w:hAnsi="Arial" w:cs="Arial"/>
        </w:rPr>
        <w:t xml:space="preserve"> et al., 2022).</w:t>
      </w:r>
    </w:p>
    <w:p w14:paraId="0D7B89EE" w14:textId="77777777" w:rsidR="007C38DC" w:rsidRPr="0056292A" w:rsidRDefault="007C38DC" w:rsidP="001C0AC5">
      <w:pPr>
        <w:contextualSpacing/>
        <w:jc w:val="both"/>
        <w:rPr>
          <w:rFonts w:ascii="Arial" w:hAnsi="Arial" w:cs="Arial"/>
        </w:rPr>
      </w:pPr>
    </w:p>
    <w:p w14:paraId="576727BB" w14:textId="77777777" w:rsidR="001C0AC5" w:rsidRPr="0056292A" w:rsidRDefault="001C0AC5" w:rsidP="001C0AC5">
      <w:pPr>
        <w:contextualSpacing/>
        <w:jc w:val="both"/>
        <w:rPr>
          <w:rFonts w:ascii="Arial" w:hAnsi="Arial" w:cs="Arial"/>
        </w:rPr>
      </w:pPr>
    </w:p>
    <w:p w14:paraId="2B6C1A96" w14:textId="77777777" w:rsidR="001C0AC5" w:rsidRPr="0056292A" w:rsidRDefault="001C0AC5" w:rsidP="001C0AC5">
      <w:pPr>
        <w:contextualSpacing/>
        <w:jc w:val="both"/>
        <w:rPr>
          <w:rFonts w:ascii="Arial" w:hAnsi="Arial" w:cs="Arial"/>
        </w:rPr>
      </w:pPr>
    </w:p>
    <w:p w14:paraId="6D44A450" w14:textId="77777777" w:rsidR="001C0AC5" w:rsidRPr="0056292A" w:rsidRDefault="001C0AC5" w:rsidP="001C0AC5">
      <w:pPr>
        <w:contextualSpacing/>
        <w:jc w:val="both"/>
        <w:rPr>
          <w:rFonts w:ascii="Arial" w:hAnsi="Arial" w:cs="Arial"/>
        </w:rPr>
      </w:pPr>
    </w:p>
    <w:p w14:paraId="7D607743" w14:textId="77777777" w:rsidR="001C0AC5" w:rsidRPr="0056292A" w:rsidRDefault="001C0AC5" w:rsidP="001C0AC5">
      <w:pPr>
        <w:contextualSpacing/>
        <w:jc w:val="both"/>
        <w:rPr>
          <w:rFonts w:ascii="Arial" w:hAnsi="Arial" w:cs="Arial"/>
        </w:rPr>
      </w:pPr>
    </w:p>
    <w:p w14:paraId="78CC3C3F" w14:textId="77777777" w:rsidR="001C0AC5" w:rsidRPr="0056292A" w:rsidRDefault="001C0AC5" w:rsidP="001C0AC5">
      <w:pPr>
        <w:contextualSpacing/>
        <w:jc w:val="both"/>
        <w:rPr>
          <w:rFonts w:ascii="Arial" w:hAnsi="Arial" w:cs="Arial"/>
        </w:rPr>
      </w:pPr>
    </w:p>
    <w:p w14:paraId="4E304747" w14:textId="77777777" w:rsidR="001C0AC5" w:rsidRPr="0056292A" w:rsidRDefault="001C0AC5" w:rsidP="001C0AC5">
      <w:pPr>
        <w:contextualSpacing/>
        <w:jc w:val="both"/>
        <w:rPr>
          <w:rFonts w:ascii="Arial" w:hAnsi="Arial" w:cs="Arial"/>
        </w:rPr>
      </w:pPr>
    </w:p>
    <w:p w14:paraId="2D2B5B84" w14:textId="77777777" w:rsidR="001C0AC5" w:rsidRPr="0056292A" w:rsidRDefault="001C0AC5" w:rsidP="001C0AC5">
      <w:pPr>
        <w:contextualSpacing/>
        <w:jc w:val="both"/>
        <w:rPr>
          <w:rFonts w:ascii="Arial" w:hAnsi="Arial" w:cs="Arial"/>
        </w:rPr>
      </w:pPr>
    </w:p>
    <w:p w14:paraId="73629FEE" w14:textId="77777777" w:rsidR="001C0AC5" w:rsidRPr="0056292A" w:rsidRDefault="001C0AC5" w:rsidP="001C0AC5">
      <w:pPr>
        <w:contextualSpacing/>
        <w:jc w:val="both"/>
        <w:rPr>
          <w:rFonts w:ascii="Arial" w:hAnsi="Arial" w:cs="Arial"/>
        </w:rPr>
      </w:pPr>
    </w:p>
    <w:p w14:paraId="299E6A85" w14:textId="77777777" w:rsidR="001C0AC5" w:rsidRPr="0056292A" w:rsidRDefault="001C0AC5" w:rsidP="001C0AC5">
      <w:pPr>
        <w:contextualSpacing/>
        <w:jc w:val="both"/>
        <w:rPr>
          <w:rFonts w:ascii="Arial" w:hAnsi="Arial" w:cs="Arial"/>
        </w:rPr>
      </w:pPr>
    </w:p>
    <w:p w14:paraId="3D6929F0" w14:textId="77777777" w:rsidR="001C0AC5" w:rsidRPr="0056292A" w:rsidRDefault="001C0AC5" w:rsidP="001C0AC5">
      <w:pPr>
        <w:contextualSpacing/>
        <w:jc w:val="both"/>
        <w:rPr>
          <w:rFonts w:ascii="Arial" w:hAnsi="Arial" w:cs="Arial"/>
        </w:rPr>
      </w:pPr>
    </w:p>
    <w:p w14:paraId="067AA9D1" w14:textId="77777777" w:rsidR="001C0AC5" w:rsidRPr="0056292A" w:rsidRDefault="001C0AC5" w:rsidP="001C0AC5">
      <w:pPr>
        <w:contextualSpacing/>
        <w:jc w:val="both"/>
        <w:rPr>
          <w:rFonts w:ascii="Arial" w:hAnsi="Arial" w:cs="Arial"/>
        </w:rPr>
        <w:sectPr w:rsidR="001C0AC5" w:rsidRPr="0056292A" w:rsidSect="003F2E77">
          <w:type w:val="continuous"/>
          <w:pgSz w:w="11907" w:h="16839" w:code="9"/>
          <w:pgMar w:top="1440" w:right="1440" w:bottom="1440" w:left="1440" w:header="720" w:footer="720" w:gutter="0"/>
          <w:cols w:space="720"/>
          <w:docGrid w:linePitch="360"/>
        </w:sectPr>
      </w:pPr>
    </w:p>
    <w:p w14:paraId="2AD1714C" w14:textId="77777777" w:rsidR="001C0AC5" w:rsidRPr="0056292A" w:rsidRDefault="001C0AC5" w:rsidP="001C0AC5">
      <w:pPr>
        <w:contextualSpacing/>
        <w:jc w:val="both"/>
        <w:rPr>
          <w:rFonts w:ascii="Arial" w:hAnsi="Arial" w:cs="Arial"/>
        </w:rPr>
      </w:pPr>
    </w:p>
    <w:p w14:paraId="3FF43731" w14:textId="77777777" w:rsidR="001C0AC5" w:rsidRPr="0056292A" w:rsidRDefault="001C0AC5" w:rsidP="001C0AC5">
      <w:pPr>
        <w:contextualSpacing/>
        <w:jc w:val="both"/>
        <w:rPr>
          <w:rFonts w:ascii="Arial" w:hAnsi="Arial" w:cs="Arial"/>
        </w:rPr>
      </w:pPr>
    </w:p>
    <w:p w14:paraId="16F630B0" w14:textId="77777777" w:rsidR="001C0AC5" w:rsidRPr="0056292A" w:rsidRDefault="001C0AC5" w:rsidP="001C0AC5">
      <w:pPr>
        <w:contextualSpacing/>
        <w:jc w:val="both"/>
        <w:rPr>
          <w:rFonts w:ascii="Arial" w:hAnsi="Arial" w:cs="Arial"/>
        </w:rPr>
      </w:pPr>
    </w:p>
    <w:p w14:paraId="7DB69A43" w14:textId="77777777" w:rsidR="001C0AC5" w:rsidRPr="0056292A" w:rsidRDefault="001C0AC5" w:rsidP="001C0AC5">
      <w:pPr>
        <w:contextualSpacing/>
        <w:jc w:val="both"/>
        <w:rPr>
          <w:rFonts w:ascii="Arial" w:hAnsi="Arial" w:cs="Arial"/>
        </w:rPr>
      </w:pPr>
    </w:p>
    <w:p w14:paraId="614903BC" w14:textId="77777777" w:rsidR="001C0AC5" w:rsidRPr="0056292A" w:rsidRDefault="001C0AC5" w:rsidP="001C0AC5">
      <w:pPr>
        <w:contextualSpacing/>
        <w:jc w:val="both"/>
        <w:rPr>
          <w:rFonts w:ascii="Arial" w:hAnsi="Arial" w:cs="Arial"/>
          <w:b/>
        </w:rPr>
      </w:pPr>
      <w:bookmarkStart w:id="0" w:name="_Hlk211343480"/>
      <w:r w:rsidRPr="0056292A">
        <w:rPr>
          <w:rFonts w:ascii="Arial" w:hAnsi="Arial" w:cs="Arial"/>
          <w:b/>
        </w:rPr>
        <w:t xml:space="preserve">Table 1. Bacterial variety in samples of Zn-polluted soil bioremediated using </w:t>
      </w:r>
      <w:r w:rsidRPr="0056292A">
        <w:rPr>
          <w:rFonts w:ascii="Arial" w:hAnsi="Arial" w:cs="Arial"/>
          <w:b/>
          <w:i/>
        </w:rPr>
        <w:t xml:space="preserve">Micrococcus </w:t>
      </w:r>
      <w:r w:rsidRPr="0056292A">
        <w:rPr>
          <w:rFonts w:ascii="Arial" w:hAnsi="Arial" w:cs="Arial"/>
          <w:b/>
        </w:rPr>
        <w:t>sp. and mixtures of poultry wastes and cow dung.</w:t>
      </w:r>
    </w:p>
    <w:tbl>
      <w:tblPr>
        <w:tblW w:w="12445" w:type="dxa"/>
        <w:jc w:val="center"/>
        <w:tblLook w:val="04A0" w:firstRow="1" w:lastRow="0" w:firstColumn="1" w:lastColumn="0" w:noHBand="0" w:noVBand="1"/>
      </w:tblPr>
      <w:tblGrid>
        <w:gridCol w:w="1203"/>
        <w:gridCol w:w="1650"/>
        <w:gridCol w:w="1304"/>
        <w:gridCol w:w="712"/>
        <w:gridCol w:w="897"/>
        <w:gridCol w:w="1030"/>
        <w:gridCol w:w="1483"/>
        <w:gridCol w:w="1590"/>
        <w:gridCol w:w="1750"/>
        <w:gridCol w:w="955"/>
      </w:tblGrid>
      <w:tr w:rsidR="001C0AC5" w:rsidRPr="0056292A" w14:paraId="5EECCBE7" w14:textId="77777777" w:rsidTr="009C0BA6">
        <w:trPr>
          <w:trHeight w:val="215"/>
          <w:jc w:val="center"/>
        </w:trPr>
        <w:tc>
          <w:tcPr>
            <w:tcW w:w="1203" w:type="dxa"/>
            <w:tcBorders>
              <w:top w:val="single" w:sz="4" w:space="0" w:color="auto"/>
              <w:bottom w:val="single" w:sz="4" w:space="0" w:color="auto"/>
            </w:tcBorders>
            <w:noWrap/>
            <w:vAlign w:val="center"/>
          </w:tcPr>
          <w:bookmarkEnd w:id="0"/>
          <w:p w14:paraId="492125D4" w14:textId="77777777" w:rsidR="001C0AC5" w:rsidRPr="0056292A" w:rsidRDefault="001C0AC5" w:rsidP="009C0BA6">
            <w:pPr>
              <w:contextualSpacing/>
              <w:jc w:val="both"/>
              <w:rPr>
                <w:rFonts w:ascii="Arial" w:hAnsi="Arial" w:cs="Arial"/>
                <w:b/>
                <w:bCs/>
              </w:rPr>
            </w:pPr>
            <w:r w:rsidRPr="0056292A">
              <w:rPr>
                <w:rFonts w:ascii="Arial" w:hAnsi="Arial" w:cs="Arial"/>
                <w:b/>
                <w:bCs/>
              </w:rPr>
              <w:t xml:space="preserve">Samples </w:t>
            </w:r>
          </w:p>
        </w:tc>
        <w:tc>
          <w:tcPr>
            <w:tcW w:w="1521" w:type="dxa"/>
            <w:tcBorders>
              <w:top w:val="single" w:sz="4" w:space="0" w:color="auto"/>
              <w:bottom w:val="single" w:sz="4" w:space="0" w:color="auto"/>
            </w:tcBorders>
            <w:vAlign w:val="center"/>
          </w:tcPr>
          <w:p w14:paraId="17B50A63" w14:textId="77777777" w:rsidR="001C0AC5" w:rsidRPr="0056292A" w:rsidRDefault="001C0AC5" w:rsidP="009C0BA6">
            <w:pPr>
              <w:contextualSpacing/>
              <w:rPr>
                <w:rFonts w:ascii="Arial" w:hAnsi="Arial" w:cs="Arial"/>
                <w:b/>
                <w:bCs/>
              </w:rPr>
            </w:pPr>
            <w:r w:rsidRPr="0056292A">
              <w:rPr>
                <w:rFonts w:ascii="Arial" w:hAnsi="Arial" w:cs="Arial"/>
                <w:b/>
                <w:bCs/>
              </w:rPr>
              <w:t>Zn concentrations</w:t>
            </w:r>
          </w:p>
        </w:tc>
        <w:tc>
          <w:tcPr>
            <w:tcW w:w="1304" w:type="dxa"/>
            <w:tcBorders>
              <w:top w:val="single" w:sz="4" w:space="0" w:color="auto"/>
              <w:bottom w:val="single" w:sz="4" w:space="0" w:color="auto"/>
            </w:tcBorders>
          </w:tcPr>
          <w:p w14:paraId="175C3FAD" w14:textId="77777777" w:rsidR="001C0AC5" w:rsidRPr="0056292A" w:rsidRDefault="001C0AC5" w:rsidP="009C0BA6">
            <w:pPr>
              <w:contextualSpacing/>
              <w:jc w:val="both"/>
              <w:rPr>
                <w:rFonts w:ascii="Arial" w:hAnsi="Arial" w:cs="Arial"/>
                <w:b/>
                <w:i/>
                <w:iCs/>
              </w:rPr>
            </w:pPr>
            <w:proofErr w:type="spellStart"/>
            <w:r w:rsidRPr="0056292A">
              <w:rPr>
                <w:rFonts w:ascii="Arial" w:hAnsi="Arial" w:cs="Arial"/>
                <w:b/>
                <w:i/>
                <w:iCs/>
              </w:rPr>
              <w:t>Klebsella</w:t>
            </w:r>
            <w:proofErr w:type="spellEnd"/>
            <w:r w:rsidRPr="0056292A">
              <w:rPr>
                <w:rFonts w:ascii="Arial" w:hAnsi="Arial" w:cs="Arial"/>
                <w:b/>
                <w:i/>
                <w:iCs/>
              </w:rPr>
              <w:t xml:space="preserve"> </w:t>
            </w:r>
            <w:proofErr w:type="spellStart"/>
            <w:r w:rsidRPr="0056292A">
              <w:rPr>
                <w:rFonts w:ascii="Arial" w:hAnsi="Arial" w:cs="Arial"/>
                <w:b/>
              </w:rPr>
              <w:t>sp</w:t>
            </w:r>
            <w:proofErr w:type="spellEnd"/>
          </w:p>
        </w:tc>
        <w:tc>
          <w:tcPr>
            <w:tcW w:w="712" w:type="dxa"/>
            <w:tcBorders>
              <w:top w:val="single" w:sz="4" w:space="0" w:color="auto"/>
              <w:bottom w:val="single" w:sz="4" w:space="0" w:color="auto"/>
            </w:tcBorders>
          </w:tcPr>
          <w:p w14:paraId="49037CCE" w14:textId="77777777" w:rsidR="001C0AC5" w:rsidRPr="0056292A" w:rsidRDefault="001C0AC5" w:rsidP="009C0BA6">
            <w:pPr>
              <w:contextualSpacing/>
              <w:jc w:val="both"/>
              <w:rPr>
                <w:rFonts w:ascii="Arial" w:hAnsi="Arial" w:cs="Arial"/>
                <w:b/>
                <w:i/>
                <w:iCs/>
              </w:rPr>
            </w:pPr>
            <w:r w:rsidRPr="0056292A">
              <w:rPr>
                <w:rFonts w:ascii="Arial" w:hAnsi="Arial" w:cs="Arial"/>
                <w:b/>
                <w:i/>
                <w:iCs/>
              </w:rPr>
              <w:t>S.  typhi</w:t>
            </w:r>
          </w:p>
        </w:tc>
        <w:tc>
          <w:tcPr>
            <w:tcW w:w="897" w:type="dxa"/>
            <w:tcBorders>
              <w:top w:val="single" w:sz="4" w:space="0" w:color="auto"/>
              <w:bottom w:val="single" w:sz="4" w:space="0" w:color="auto"/>
            </w:tcBorders>
          </w:tcPr>
          <w:p w14:paraId="25D7C414" w14:textId="77777777" w:rsidR="001C0AC5" w:rsidRPr="0056292A" w:rsidRDefault="001C0AC5" w:rsidP="009C0BA6">
            <w:pPr>
              <w:contextualSpacing/>
              <w:jc w:val="both"/>
              <w:rPr>
                <w:rFonts w:ascii="Arial" w:hAnsi="Arial" w:cs="Arial"/>
                <w:b/>
                <w:i/>
                <w:iCs/>
              </w:rPr>
            </w:pPr>
            <w:r w:rsidRPr="0056292A">
              <w:rPr>
                <w:rFonts w:ascii="Arial" w:hAnsi="Arial" w:cs="Arial"/>
                <w:b/>
                <w:i/>
                <w:iCs/>
              </w:rPr>
              <w:t>S. aureus</w:t>
            </w:r>
          </w:p>
        </w:tc>
        <w:tc>
          <w:tcPr>
            <w:tcW w:w="1030" w:type="dxa"/>
            <w:tcBorders>
              <w:top w:val="single" w:sz="4" w:space="0" w:color="auto"/>
              <w:bottom w:val="single" w:sz="4" w:space="0" w:color="auto"/>
            </w:tcBorders>
          </w:tcPr>
          <w:p w14:paraId="6189F38D" w14:textId="77777777" w:rsidR="001C0AC5" w:rsidRPr="0056292A" w:rsidRDefault="001C0AC5" w:rsidP="009C0BA6">
            <w:pPr>
              <w:contextualSpacing/>
              <w:jc w:val="both"/>
              <w:rPr>
                <w:rFonts w:ascii="Arial" w:hAnsi="Arial" w:cs="Arial"/>
                <w:b/>
                <w:i/>
                <w:iCs/>
              </w:rPr>
            </w:pPr>
            <w:r w:rsidRPr="0056292A">
              <w:rPr>
                <w:rFonts w:ascii="Arial" w:hAnsi="Arial" w:cs="Arial"/>
                <w:b/>
                <w:i/>
                <w:iCs/>
              </w:rPr>
              <w:t>Bacillus</w:t>
            </w:r>
            <w:r w:rsidRPr="0056292A">
              <w:rPr>
                <w:rFonts w:ascii="Arial" w:hAnsi="Arial" w:cs="Arial"/>
                <w:b/>
                <w:i/>
                <w:iCs/>
              </w:rPr>
              <w:br/>
              <w:t>subtilis</w:t>
            </w:r>
          </w:p>
        </w:tc>
        <w:tc>
          <w:tcPr>
            <w:tcW w:w="1483" w:type="dxa"/>
            <w:tcBorders>
              <w:top w:val="single" w:sz="4" w:space="0" w:color="auto"/>
              <w:bottom w:val="single" w:sz="4" w:space="0" w:color="auto"/>
            </w:tcBorders>
          </w:tcPr>
          <w:p w14:paraId="04516296" w14:textId="77777777" w:rsidR="001C0AC5" w:rsidRPr="0056292A" w:rsidRDefault="001C0AC5" w:rsidP="009C0BA6">
            <w:pPr>
              <w:contextualSpacing/>
              <w:jc w:val="both"/>
              <w:rPr>
                <w:rFonts w:ascii="Arial" w:hAnsi="Arial" w:cs="Arial"/>
                <w:b/>
                <w:i/>
                <w:iCs/>
              </w:rPr>
            </w:pPr>
            <w:r w:rsidRPr="0056292A">
              <w:rPr>
                <w:rFonts w:ascii="Arial" w:hAnsi="Arial" w:cs="Arial"/>
                <w:b/>
                <w:i/>
                <w:iCs/>
              </w:rPr>
              <w:t xml:space="preserve">Micrococcus </w:t>
            </w:r>
            <w:proofErr w:type="spellStart"/>
            <w:r w:rsidRPr="0056292A">
              <w:rPr>
                <w:rFonts w:ascii="Arial" w:hAnsi="Arial" w:cs="Arial"/>
                <w:b/>
              </w:rPr>
              <w:t>spp</w:t>
            </w:r>
            <w:proofErr w:type="spellEnd"/>
          </w:p>
        </w:tc>
        <w:tc>
          <w:tcPr>
            <w:tcW w:w="1590" w:type="dxa"/>
            <w:tcBorders>
              <w:top w:val="single" w:sz="4" w:space="0" w:color="auto"/>
              <w:bottom w:val="single" w:sz="4" w:space="0" w:color="auto"/>
            </w:tcBorders>
          </w:tcPr>
          <w:p w14:paraId="413FB95B" w14:textId="77777777" w:rsidR="001C0AC5" w:rsidRPr="0056292A" w:rsidRDefault="001C0AC5" w:rsidP="009C0BA6">
            <w:pPr>
              <w:contextualSpacing/>
              <w:jc w:val="both"/>
              <w:rPr>
                <w:rFonts w:ascii="Arial" w:hAnsi="Arial" w:cs="Arial"/>
                <w:b/>
                <w:i/>
                <w:iCs/>
              </w:rPr>
            </w:pPr>
            <w:r w:rsidRPr="0056292A">
              <w:rPr>
                <w:rFonts w:ascii="Arial" w:hAnsi="Arial" w:cs="Arial"/>
                <w:b/>
                <w:i/>
                <w:iCs/>
              </w:rPr>
              <w:t>Pseudomonas aeruginosa</w:t>
            </w:r>
          </w:p>
        </w:tc>
        <w:tc>
          <w:tcPr>
            <w:tcW w:w="1750" w:type="dxa"/>
            <w:tcBorders>
              <w:top w:val="single" w:sz="4" w:space="0" w:color="auto"/>
              <w:bottom w:val="single" w:sz="4" w:space="0" w:color="auto"/>
            </w:tcBorders>
          </w:tcPr>
          <w:p w14:paraId="44B6BFFC" w14:textId="77777777" w:rsidR="001C0AC5" w:rsidRPr="0056292A" w:rsidRDefault="001C0AC5" w:rsidP="009C0BA6">
            <w:pPr>
              <w:contextualSpacing/>
              <w:jc w:val="both"/>
              <w:rPr>
                <w:rFonts w:ascii="Arial" w:hAnsi="Arial" w:cs="Arial"/>
                <w:b/>
                <w:i/>
                <w:iCs/>
              </w:rPr>
            </w:pPr>
            <w:proofErr w:type="spellStart"/>
            <w:r w:rsidRPr="0056292A">
              <w:rPr>
                <w:rFonts w:ascii="Arial" w:hAnsi="Arial" w:cs="Arial"/>
                <w:b/>
                <w:i/>
                <w:iCs/>
              </w:rPr>
              <w:t>Achromobacter</w:t>
            </w:r>
            <w:proofErr w:type="spellEnd"/>
            <w:r w:rsidRPr="0056292A">
              <w:rPr>
                <w:rFonts w:ascii="Arial" w:hAnsi="Arial" w:cs="Arial"/>
                <w:b/>
                <w:i/>
                <w:iCs/>
              </w:rPr>
              <w:t xml:space="preserve"> </w:t>
            </w:r>
            <w:r w:rsidRPr="0056292A">
              <w:rPr>
                <w:rFonts w:ascii="Arial" w:hAnsi="Arial" w:cs="Arial"/>
                <w:b/>
              </w:rPr>
              <w:t>spp.</w:t>
            </w:r>
          </w:p>
        </w:tc>
        <w:tc>
          <w:tcPr>
            <w:tcW w:w="955" w:type="dxa"/>
            <w:tcBorders>
              <w:top w:val="single" w:sz="4" w:space="0" w:color="auto"/>
              <w:bottom w:val="single" w:sz="4" w:space="0" w:color="auto"/>
            </w:tcBorders>
            <w:noWrap/>
          </w:tcPr>
          <w:p w14:paraId="31EFFDEA" w14:textId="77777777" w:rsidR="001C0AC5" w:rsidRPr="0056292A" w:rsidRDefault="001C0AC5" w:rsidP="009C0BA6">
            <w:pPr>
              <w:contextualSpacing/>
              <w:jc w:val="both"/>
              <w:rPr>
                <w:rFonts w:ascii="Arial" w:hAnsi="Arial" w:cs="Arial"/>
                <w:b/>
                <w:i/>
                <w:iCs/>
              </w:rPr>
            </w:pPr>
            <w:r w:rsidRPr="0056292A">
              <w:rPr>
                <w:rFonts w:ascii="Arial" w:hAnsi="Arial" w:cs="Arial"/>
                <w:b/>
                <w:i/>
                <w:iCs/>
              </w:rPr>
              <w:t>E. coli</w:t>
            </w:r>
          </w:p>
        </w:tc>
      </w:tr>
      <w:tr w:rsidR="001C0AC5" w:rsidRPr="0056292A" w14:paraId="4D54D115" w14:textId="77777777" w:rsidTr="009C0BA6">
        <w:trPr>
          <w:trHeight w:val="70"/>
          <w:jc w:val="center"/>
        </w:trPr>
        <w:tc>
          <w:tcPr>
            <w:tcW w:w="1203" w:type="dxa"/>
            <w:vMerge w:val="restart"/>
            <w:tcBorders>
              <w:top w:val="single" w:sz="4" w:space="0" w:color="auto"/>
            </w:tcBorders>
            <w:noWrap/>
            <w:vAlign w:val="center"/>
          </w:tcPr>
          <w:p w14:paraId="3D574B37" w14:textId="77777777" w:rsidR="001C0AC5" w:rsidRPr="0056292A" w:rsidRDefault="001C0AC5" w:rsidP="009C0BA6">
            <w:pPr>
              <w:contextualSpacing/>
              <w:jc w:val="both"/>
              <w:rPr>
                <w:rFonts w:ascii="Arial" w:hAnsi="Arial" w:cs="Arial"/>
              </w:rPr>
            </w:pPr>
            <w:r w:rsidRPr="0056292A">
              <w:rPr>
                <w:rFonts w:ascii="Arial" w:hAnsi="Arial" w:cs="Arial"/>
              </w:rPr>
              <w:t>A</w:t>
            </w:r>
            <w:r w:rsidRPr="0056292A">
              <w:rPr>
                <w:rFonts w:ascii="Arial" w:hAnsi="Arial" w:cs="Arial"/>
                <w:vertAlign w:val="subscript"/>
              </w:rPr>
              <w:t>1</w:t>
            </w:r>
            <w:r w:rsidRPr="0056292A">
              <w:rPr>
                <w:rFonts w:ascii="Arial" w:hAnsi="Arial" w:cs="Arial"/>
              </w:rPr>
              <w:t>C</w:t>
            </w:r>
            <w:r w:rsidRPr="0056292A">
              <w:rPr>
                <w:rFonts w:ascii="Arial" w:hAnsi="Arial" w:cs="Arial"/>
                <w:vertAlign w:val="subscript"/>
              </w:rPr>
              <w:t>2</w:t>
            </w:r>
            <w:r w:rsidRPr="0056292A">
              <w:rPr>
                <w:rFonts w:ascii="Arial" w:hAnsi="Arial" w:cs="Arial"/>
              </w:rPr>
              <w:t>B</w:t>
            </w:r>
            <w:r w:rsidRPr="0056292A">
              <w:rPr>
                <w:rFonts w:ascii="Arial" w:hAnsi="Arial" w:cs="Arial"/>
                <w:vertAlign w:val="subscript"/>
              </w:rPr>
              <w:t>2</w:t>
            </w:r>
          </w:p>
        </w:tc>
        <w:tc>
          <w:tcPr>
            <w:tcW w:w="1521" w:type="dxa"/>
            <w:tcBorders>
              <w:top w:val="single" w:sz="4" w:space="0" w:color="auto"/>
            </w:tcBorders>
            <w:noWrap/>
            <w:vAlign w:val="center"/>
          </w:tcPr>
          <w:p w14:paraId="58ED3ED7" w14:textId="77777777" w:rsidR="001C0AC5" w:rsidRPr="0056292A" w:rsidRDefault="001C0AC5" w:rsidP="009C0BA6">
            <w:pPr>
              <w:contextualSpacing/>
              <w:jc w:val="both"/>
              <w:rPr>
                <w:rFonts w:ascii="Arial" w:hAnsi="Arial" w:cs="Arial"/>
              </w:rPr>
            </w:pPr>
            <w:r w:rsidRPr="0056292A">
              <w:rPr>
                <w:rFonts w:ascii="Arial" w:hAnsi="Arial" w:cs="Arial"/>
              </w:rPr>
              <w:t>32.75 mg/kg</w:t>
            </w:r>
          </w:p>
        </w:tc>
        <w:tc>
          <w:tcPr>
            <w:tcW w:w="1304" w:type="dxa"/>
            <w:tcBorders>
              <w:top w:val="single" w:sz="4" w:space="0" w:color="auto"/>
            </w:tcBorders>
            <w:noWrap/>
            <w:vAlign w:val="bottom"/>
          </w:tcPr>
          <w:p w14:paraId="2090B159"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tcBorders>
              <w:top w:val="single" w:sz="4" w:space="0" w:color="auto"/>
            </w:tcBorders>
            <w:noWrap/>
            <w:vAlign w:val="bottom"/>
          </w:tcPr>
          <w:p w14:paraId="69F064BE"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tcBorders>
              <w:top w:val="single" w:sz="4" w:space="0" w:color="auto"/>
            </w:tcBorders>
            <w:noWrap/>
            <w:vAlign w:val="bottom"/>
          </w:tcPr>
          <w:p w14:paraId="4655BCD1"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tcBorders>
              <w:top w:val="single" w:sz="4" w:space="0" w:color="auto"/>
            </w:tcBorders>
            <w:noWrap/>
            <w:vAlign w:val="bottom"/>
          </w:tcPr>
          <w:p w14:paraId="62397810"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tcBorders>
              <w:top w:val="single" w:sz="4" w:space="0" w:color="auto"/>
            </w:tcBorders>
            <w:noWrap/>
            <w:vAlign w:val="bottom"/>
          </w:tcPr>
          <w:p w14:paraId="51BFEB5B"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tcBorders>
              <w:top w:val="single" w:sz="4" w:space="0" w:color="auto"/>
            </w:tcBorders>
            <w:noWrap/>
            <w:vAlign w:val="bottom"/>
          </w:tcPr>
          <w:p w14:paraId="4AB4F154"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tcBorders>
              <w:top w:val="single" w:sz="4" w:space="0" w:color="auto"/>
            </w:tcBorders>
            <w:noWrap/>
            <w:vAlign w:val="bottom"/>
          </w:tcPr>
          <w:p w14:paraId="1A9AF33E"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tcBorders>
              <w:top w:val="single" w:sz="4" w:space="0" w:color="auto"/>
            </w:tcBorders>
            <w:noWrap/>
            <w:vAlign w:val="bottom"/>
          </w:tcPr>
          <w:p w14:paraId="45724F30"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0E206677" w14:textId="77777777" w:rsidTr="009C0BA6">
        <w:trPr>
          <w:trHeight w:val="70"/>
          <w:jc w:val="center"/>
        </w:trPr>
        <w:tc>
          <w:tcPr>
            <w:tcW w:w="1203" w:type="dxa"/>
            <w:vMerge/>
            <w:vAlign w:val="center"/>
          </w:tcPr>
          <w:p w14:paraId="49E5FB01" w14:textId="77777777" w:rsidR="001C0AC5" w:rsidRPr="0056292A" w:rsidRDefault="001C0AC5" w:rsidP="009C0BA6">
            <w:pPr>
              <w:contextualSpacing/>
              <w:jc w:val="both"/>
              <w:rPr>
                <w:rFonts w:ascii="Arial" w:hAnsi="Arial" w:cs="Arial"/>
              </w:rPr>
            </w:pPr>
          </w:p>
        </w:tc>
        <w:tc>
          <w:tcPr>
            <w:tcW w:w="1521" w:type="dxa"/>
            <w:noWrap/>
            <w:vAlign w:val="center"/>
          </w:tcPr>
          <w:p w14:paraId="16DB302E" w14:textId="77777777" w:rsidR="001C0AC5" w:rsidRPr="0056292A" w:rsidRDefault="001C0AC5" w:rsidP="009C0BA6">
            <w:pPr>
              <w:contextualSpacing/>
              <w:jc w:val="both"/>
              <w:rPr>
                <w:rFonts w:ascii="Arial" w:hAnsi="Arial" w:cs="Arial"/>
              </w:rPr>
            </w:pPr>
            <w:r w:rsidRPr="0056292A">
              <w:rPr>
                <w:rFonts w:ascii="Arial" w:hAnsi="Arial" w:cs="Arial"/>
              </w:rPr>
              <w:t>42.02 mg/kg</w:t>
            </w:r>
          </w:p>
        </w:tc>
        <w:tc>
          <w:tcPr>
            <w:tcW w:w="1304" w:type="dxa"/>
            <w:noWrap/>
            <w:vAlign w:val="bottom"/>
          </w:tcPr>
          <w:p w14:paraId="71D40DE1"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noWrap/>
            <w:vAlign w:val="bottom"/>
          </w:tcPr>
          <w:p w14:paraId="6F256147"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noWrap/>
            <w:vAlign w:val="bottom"/>
          </w:tcPr>
          <w:p w14:paraId="0811DA68"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noWrap/>
            <w:vAlign w:val="bottom"/>
          </w:tcPr>
          <w:p w14:paraId="2FF473C4"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noWrap/>
            <w:vAlign w:val="bottom"/>
          </w:tcPr>
          <w:p w14:paraId="5009F19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noWrap/>
            <w:vAlign w:val="bottom"/>
          </w:tcPr>
          <w:p w14:paraId="2885B0A1"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noWrap/>
            <w:vAlign w:val="bottom"/>
          </w:tcPr>
          <w:p w14:paraId="2BD5DF9D"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noWrap/>
            <w:vAlign w:val="bottom"/>
          </w:tcPr>
          <w:p w14:paraId="46F05CAE"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73297505" w14:textId="77777777" w:rsidTr="009C0BA6">
        <w:trPr>
          <w:trHeight w:val="70"/>
          <w:jc w:val="center"/>
        </w:trPr>
        <w:tc>
          <w:tcPr>
            <w:tcW w:w="1203" w:type="dxa"/>
            <w:vMerge/>
            <w:tcBorders>
              <w:bottom w:val="single" w:sz="4" w:space="0" w:color="auto"/>
            </w:tcBorders>
            <w:vAlign w:val="center"/>
          </w:tcPr>
          <w:p w14:paraId="0C07A240" w14:textId="77777777" w:rsidR="001C0AC5" w:rsidRPr="0056292A" w:rsidRDefault="001C0AC5" w:rsidP="009C0BA6">
            <w:pPr>
              <w:contextualSpacing/>
              <w:jc w:val="both"/>
              <w:rPr>
                <w:rFonts w:ascii="Arial" w:hAnsi="Arial" w:cs="Arial"/>
              </w:rPr>
            </w:pPr>
          </w:p>
        </w:tc>
        <w:tc>
          <w:tcPr>
            <w:tcW w:w="1521" w:type="dxa"/>
            <w:tcBorders>
              <w:bottom w:val="single" w:sz="4" w:space="0" w:color="auto"/>
            </w:tcBorders>
            <w:noWrap/>
            <w:vAlign w:val="bottom"/>
          </w:tcPr>
          <w:p w14:paraId="1BE81B83" w14:textId="77777777" w:rsidR="001C0AC5" w:rsidRPr="0056292A" w:rsidRDefault="001C0AC5" w:rsidP="009C0BA6">
            <w:pPr>
              <w:contextualSpacing/>
              <w:jc w:val="both"/>
              <w:rPr>
                <w:rFonts w:ascii="Arial" w:hAnsi="Arial" w:cs="Arial"/>
              </w:rPr>
            </w:pPr>
            <w:r w:rsidRPr="0056292A">
              <w:rPr>
                <w:rFonts w:ascii="Arial" w:hAnsi="Arial" w:cs="Arial"/>
              </w:rPr>
              <w:t>52.55 mg/kg</w:t>
            </w:r>
          </w:p>
        </w:tc>
        <w:tc>
          <w:tcPr>
            <w:tcW w:w="1304" w:type="dxa"/>
            <w:tcBorders>
              <w:bottom w:val="single" w:sz="4" w:space="0" w:color="auto"/>
            </w:tcBorders>
            <w:noWrap/>
            <w:vAlign w:val="bottom"/>
          </w:tcPr>
          <w:p w14:paraId="32743526"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tcBorders>
              <w:bottom w:val="single" w:sz="4" w:space="0" w:color="auto"/>
            </w:tcBorders>
            <w:noWrap/>
            <w:vAlign w:val="bottom"/>
          </w:tcPr>
          <w:p w14:paraId="2F27D45D"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tcBorders>
              <w:bottom w:val="single" w:sz="4" w:space="0" w:color="auto"/>
            </w:tcBorders>
            <w:noWrap/>
            <w:vAlign w:val="bottom"/>
          </w:tcPr>
          <w:p w14:paraId="260ABA4B"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tcBorders>
              <w:bottom w:val="single" w:sz="4" w:space="0" w:color="auto"/>
            </w:tcBorders>
            <w:noWrap/>
            <w:vAlign w:val="bottom"/>
          </w:tcPr>
          <w:p w14:paraId="0499A62B"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tcBorders>
              <w:bottom w:val="single" w:sz="4" w:space="0" w:color="auto"/>
            </w:tcBorders>
            <w:noWrap/>
            <w:vAlign w:val="bottom"/>
          </w:tcPr>
          <w:p w14:paraId="158867B6"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tcBorders>
              <w:bottom w:val="single" w:sz="4" w:space="0" w:color="auto"/>
            </w:tcBorders>
            <w:noWrap/>
            <w:vAlign w:val="bottom"/>
          </w:tcPr>
          <w:p w14:paraId="2CFF6B6A"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tcBorders>
              <w:bottom w:val="single" w:sz="4" w:space="0" w:color="auto"/>
            </w:tcBorders>
            <w:noWrap/>
            <w:vAlign w:val="bottom"/>
          </w:tcPr>
          <w:p w14:paraId="5DC8811F"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tcBorders>
              <w:bottom w:val="single" w:sz="4" w:space="0" w:color="auto"/>
            </w:tcBorders>
            <w:noWrap/>
            <w:vAlign w:val="bottom"/>
          </w:tcPr>
          <w:p w14:paraId="700E6444"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64852F82" w14:textId="77777777" w:rsidTr="009C0BA6">
        <w:trPr>
          <w:trHeight w:val="70"/>
          <w:jc w:val="center"/>
        </w:trPr>
        <w:tc>
          <w:tcPr>
            <w:tcW w:w="1203" w:type="dxa"/>
            <w:vMerge w:val="restart"/>
            <w:tcBorders>
              <w:top w:val="single" w:sz="4" w:space="0" w:color="auto"/>
            </w:tcBorders>
            <w:noWrap/>
            <w:vAlign w:val="center"/>
          </w:tcPr>
          <w:p w14:paraId="187B2573" w14:textId="77777777" w:rsidR="001C0AC5" w:rsidRPr="0056292A" w:rsidRDefault="001C0AC5" w:rsidP="009C0BA6">
            <w:pPr>
              <w:contextualSpacing/>
              <w:jc w:val="both"/>
              <w:rPr>
                <w:rFonts w:ascii="Arial" w:hAnsi="Arial" w:cs="Arial"/>
              </w:rPr>
            </w:pPr>
            <w:r w:rsidRPr="0056292A">
              <w:rPr>
                <w:rFonts w:ascii="Arial" w:hAnsi="Arial" w:cs="Arial"/>
              </w:rPr>
              <w:t>A</w:t>
            </w:r>
            <w:r w:rsidRPr="0056292A">
              <w:rPr>
                <w:rFonts w:ascii="Arial" w:hAnsi="Arial" w:cs="Arial"/>
                <w:vertAlign w:val="subscript"/>
              </w:rPr>
              <w:t>2</w:t>
            </w:r>
            <w:r w:rsidRPr="0056292A">
              <w:rPr>
                <w:rFonts w:ascii="Arial" w:hAnsi="Arial" w:cs="Arial"/>
              </w:rPr>
              <w:t>C</w:t>
            </w:r>
            <w:r w:rsidRPr="0056292A">
              <w:rPr>
                <w:rFonts w:ascii="Arial" w:hAnsi="Arial" w:cs="Arial"/>
                <w:vertAlign w:val="subscript"/>
              </w:rPr>
              <w:t>2</w:t>
            </w:r>
            <w:r w:rsidRPr="0056292A">
              <w:rPr>
                <w:rFonts w:ascii="Arial" w:hAnsi="Arial" w:cs="Arial"/>
              </w:rPr>
              <w:t>B</w:t>
            </w:r>
            <w:r w:rsidRPr="0056292A">
              <w:rPr>
                <w:rFonts w:ascii="Arial" w:hAnsi="Arial" w:cs="Arial"/>
                <w:vertAlign w:val="subscript"/>
              </w:rPr>
              <w:t>2</w:t>
            </w:r>
          </w:p>
        </w:tc>
        <w:tc>
          <w:tcPr>
            <w:tcW w:w="1521" w:type="dxa"/>
            <w:tcBorders>
              <w:top w:val="single" w:sz="4" w:space="0" w:color="auto"/>
            </w:tcBorders>
            <w:noWrap/>
            <w:vAlign w:val="center"/>
          </w:tcPr>
          <w:p w14:paraId="47585E28" w14:textId="77777777" w:rsidR="001C0AC5" w:rsidRPr="0056292A" w:rsidRDefault="001C0AC5" w:rsidP="009C0BA6">
            <w:pPr>
              <w:contextualSpacing/>
              <w:jc w:val="both"/>
              <w:rPr>
                <w:rFonts w:ascii="Arial" w:hAnsi="Arial" w:cs="Arial"/>
              </w:rPr>
            </w:pPr>
            <w:r w:rsidRPr="0056292A">
              <w:rPr>
                <w:rFonts w:ascii="Arial" w:hAnsi="Arial" w:cs="Arial"/>
              </w:rPr>
              <w:t>32.75 mg/kg</w:t>
            </w:r>
          </w:p>
        </w:tc>
        <w:tc>
          <w:tcPr>
            <w:tcW w:w="1304" w:type="dxa"/>
            <w:tcBorders>
              <w:top w:val="single" w:sz="4" w:space="0" w:color="auto"/>
            </w:tcBorders>
            <w:noWrap/>
            <w:vAlign w:val="bottom"/>
          </w:tcPr>
          <w:p w14:paraId="2420F2E9"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tcBorders>
              <w:top w:val="single" w:sz="4" w:space="0" w:color="auto"/>
            </w:tcBorders>
            <w:noWrap/>
            <w:vAlign w:val="bottom"/>
          </w:tcPr>
          <w:p w14:paraId="1F1387F9"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tcBorders>
              <w:top w:val="single" w:sz="4" w:space="0" w:color="auto"/>
            </w:tcBorders>
            <w:noWrap/>
            <w:vAlign w:val="bottom"/>
          </w:tcPr>
          <w:p w14:paraId="4B541F31"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tcBorders>
              <w:top w:val="single" w:sz="4" w:space="0" w:color="auto"/>
            </w:tcBorders>
            <w:noWrap/>
            <w:vAlign w:val="bottom"/>
          </w:tcPr>
          <w:p w14:paraId="753D7C6E"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tcBorders>
              <w:top w:val="single" w:sz="4" w:space="0" w:color="auto"/>
            </w:tcBorders>
            <w:noWrap/>
            <w:vAlign w:val="bottom"/>
          </w:tcPr>
          <w:p w14:paraId="52DB7BCD"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tcBorders>
              <w:top w:val="single" w:sz="4" w:space="0" w:color="auto"/>
            </w:tcBorders>
            <w:noWrap/>
            <w:vAlign w:val="bottom"/>
          </w:tcPr>
          <w:p w14:paraId="49293A6B"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tcBorders>
              <w:top w:val="single" w:sz="4" w:space="0" w:color="auto"/>
            </w:tcBorders>
            <w:noWrap/>
            <w:vAlign w:val="bottom"/>
          </w:tcPr>
          <w:p w14:paraId="4DB2F7A2"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tcBorders>
              <w:top w:val="single" w:sz="4" w:space="0" w:color="auto"/>
            </w:tcBorders>
            <w:noWrap/>
            <w:vAlign w:val="bottom"/>
          </w:tcPr>
          <w:p w14:paraId="65D2D6BE"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3B92E4ED" w14:textId="77777777" w:rsidTr="009C0BA6">
        <w:trPr>
          <w:trHeight w:val="70"/>
          <w:jc w:val="center"/>
        </w:trPr>
        <w:tc>
          <w:tcPr>
            <w:tcW w:w="1203" w:type="dxa"/>
            <w:vMerge/>
            <w:vAlign w:val="center"/>
          </w:tcPr>
          <w:p w14:paraId="647C6B10" w14:textId="77777777" w:rsidR="001C0AC5" w:rsidRPr="0056292A" w:rsidRDefault="001C0AC5" w:rsidP="009C0BA6">
            <w:pPr>
              <w:contextualSpacing/>
              <w:jc w:val="both"/>
              <w:rPr>
                <w:rFonts w:ascii="Arial" w:hAnsi="Arial" w:cs="Arial"/>
              </w:rPr>
            </w:pPr>
          </w:p>
        </w:tc>
        <w:tc>
          <w:tcPr>
            <w:tcW w:w="1521" w:type="dxa"/>
            <w:noWrap/>
            <w:vAlign w:val="center"/>
          </w:tcPr>
          <w:p w14:paraId="142420AD" w14:textId="77777777" w:rsidR="001C0AC5" w:rsidRPr="0056292A" w:rsidRDefault="001C0AC5" w:rsidP="009C0BA6">
            <w:pPr>
              <w:contextualSpacing/>
              <w:jc w:val="both"/>
              <w:rPr>
                <w:rFonts w:ascii="Arial" w:hAnsi="Arial" w:cs="Arial"/>
              </w:rPr>
            </w:pPr>
            <w:r w:rsidRPr="0056292A">
              <w:rPr>
                <w:rFonts w:ascii="Arial" w:hAnsi="Arial" w:cs="Arial"/>
              </w:rPr>
              <w:t>42.02 mg/kg</w:t>
            </w:r>
          </w:p>
        </w:tc>
        <w:tc>
          <w:tcPr>
            <w:tcW w:w="1304" w:type="dxa"/>
            <w:noWrap/>
            <w:vAlign w:val="bottom"/>
          </w:tcPr>
          <w:p w14:paraId="49065AD9"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noWrap/>
            <w:vAlign w:val="bottom"/>
          </w:tcPr>
          <w:p w14:paraId="13D8140C"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noWrap/>
            <w:vAlign w:val="bottom"/>
          </w:tcPr>
          <w:p w14:paraId="6385C256"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noWrap/>
            <w:vAlign w:val="bottom"/>
          </w:tcPr>
          <w:p w14:paraId="1D7D3D01"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noWrap/>
            <w:vAlign w:val="bottom"/>
          </w:tcPr>
          <w:p w14:paraId="689A081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noWrap/>
            <w:vAlign w:val="bottom"/>
          </w:tcPr>
          <w:p w14:paraId="7834FAB9"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noWrap/>
            <w:vAlign w:val="bottom"/>
          </w:tcPr>
          <w:p w14:paraId="23837708"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noWrap/>
            <w:vAlign w:val="bottom"/>
          </w:tcPr>
          <w:p w14:paraId="057A3012"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364970FD" w14:textId="77777777" w:rsidTr="009C0BA6">
        <w:trPr>
          <w:trHeight w:val="70"/>
          <w:jc w:val="center"/>
        </w:trPr>
        <w:tc>
          <w:tcPr>
            <w:tcW w:w="1203" w:type="dxa"/>
            <w:vMerge/>
            <w:tcBorders>
              <w:bottom w:val="single" w:sz="4" w:space="0" w:color="auto"/>
            </w:tcBorders>
            <w:vAlign w:val="center"/>
          </w:tcPr>
          <w:p w14:paraId="0D652F64" w14:textId="77777777" w:rsidR="001C0AC5" w:rsidRPr="0056292A" w:rsidRDefault="001C0AC5" w:rsidP="009C0BA6">
            <w:pPr>
              <w:contextualSpacing/>
              <w:jc w:val="both"/>
              <w:rPr>
                <w:rFonts w:ascii="Arial" w:hAnsi="Arial" w:cs="Arial"/>
              </w:rPr>
            </w:pPr>
          </w:p>
        </w:tc>
        <w:tc>
          <w:tcPr>
            <w:tcW w:w="1521" w:type="dxa"/>
            <w:tcBorders>
              <w:bottom w:val="single" w:sz="4" w:space="0" w:color="auto"/>
            </w:tcBorders>
            <w:noWrap/>
            <w:vAlign w:val="bottom"/>
          </w:tcPr>
          <w:p w14:paraId="7DD7DA41" w14:textId="77777777" w:rsidR="001C0AC5" w:rsidRPr="0056292A" w:rsidRDefault="001C0AC5" w:rsidP="009C0BA6">
            <w:pPr>
              <w:contextualSpacing/>
              <w:jc w:val="both"/>
              <w:rPr>
                <w:rFonts w:ascii="Arial" w:hAnsi="Arial" w:cs="Arial"/>
              </w:rPr>
            </w:pPr>
            <w:r w:rsidRPr="0056292A">
              <w:rPr>
                <w:rFonts w:ascii="Arial" w:hAnsi="Arial" w:cs="Arial"/>
              </w:rPr>
              <w:t>52.55 mg/kg</w:t>
            </w:r>
          </w:p>
        </w:tc>
        <w:tc>
          <w:tcPr>
            <w:tcW w:w="1304" w:type="dxa"/>
            <w:tcBorders>
              <w:bottom w:val="single" w:sz="4" w:space="0" w:color="auto"/>
            </w:tcBorders>
            <w:noWrap/>
            <w:vAlign w:val="bottom"/>
          </w:tcPr>
          <w:p w14:paraId="5CDCE207"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tcBorders>
              <w:bottom w:val="single" w:sz="4" w:space="0" w:color="auto"/>
            </w:tcBorders>
            <w:noWrap/>
            <w:vAlign w:val="bottom"/>
          </w:tcPr>
          <w:p w14:paraId="20D80E79"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tcBorders>
              <w:bottom w:val="single" w:sz="4" w:space="0" w:color="auto"/>
            </w:tcBorders>
            <w:noWrap/>
            <w:vAlign w:val="bottom"/>
          </w:tcPr>
          <w:p w14:paraId="1BAFE8F6"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tcBorders>
              <w:bottom w:val="single" w:sz="4" w:space="0" w:color="auto"/>
            </w:tcBorders>
            <w:noWrap/>
            <w:vAlign w:val="bottom"/>
          </w:tcPr>
          <w:p w14:paraId="4688F744"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tcBorders>
              <w:bottom w:val="single" w:sz="4" w:space="0" w:color="auto"/>
            </w:tcBorders>
            <w:noWrap/>
            <w:vAlign w:val="bottom"/>
          </w:tcPr>
          <w:p w14:paraId="0F82B3A3"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tcBorders>
              <w:bottom w:val="single" w:sz="4" w:space="0" w:color="auto"/>
            </w:tcBorders>
            <w:noWrap/>
            <w:vAlign w:val="bottom"/>
          </w:tcPr>
          <w:p w14:paraId="24323614"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tcBorders>
              <w:bottom w:val="single" w:sz="4" w:space="0" w:color="auto"/>
            </w:tcBorders>
            <w:noWrap/>
            <w:vAlign w:val="bottom"/>
          </w:tcPr>
          <w:p w14:paraId="35516A2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tcBorders>
              <w:bottom w:val="single" w:sz="4" w:space="0" w:color="auto"/>
            </w:tcBorders>
            <w:noWrap/>
            <w:vAlign w:val="bottom"/>
          </w:tcPr>
          <w:p w14:paraId="0F61CEDB"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2623D5B1" w14:textId="77777777" w:rsidTr="009C0BA6">
        <w:trPr>
          <w:trHeight w:val="70"/>
          <w:jc w:val="center"/>
        </w:trPr>
        <w:tc>
          <w:tcPr>
            <w:tcW w:w="1203" w:type="dxa"/>
            <w:vMerge w:val="restart"/>
            <w:tcBorders>
              <w:top w:val="single" w:sz="4" w:space="0" w:color="auto"/>
            </w:tcBorders>
            <w:noWrap/>
            <w:vAlign w:val="center"/>
          </w:tcPr>
          <w:p w14:paraId="3A80740D" w14:textId="77777777" w:rsidR="001C0AC5" w:rsidRPr="0056292A" w:rsidRDefault="001C0AC5" w:rsidP="009C0BA6">
            <w:pPr>
              <w:contextualSpacing/>
              <w:jc w:val="both"/>
              <w:rPr>
                <w:rFonts w:ascii="Arial" w:hAnsi="Arial" w:cs="Arial"/>
              </w:rPr>
            </w:pPr>
            <w:r w:rsidRPr="0056292A">
              <w:rPr>
                <w:rFonts w:ascii="Arial" w:hAnsi="Arial" w:cs="Arial"/>
              </w:rPr>
              <w:t>A</w:t>
            </w:r>
            <w:r w:rsidRPr="0056292A">
              <w:rPr>
                <w:rFonts w:ascii="Arial" w:hAnsi="Arial" w:cs="Arial"/>
                <w:vertAlign w:val="subscript"/>
              </w:rPr>
              <w:t>1</w:t>
            </w:r>
            <w:r w:rsidRPr="0056292A">
              <w:rPr>
                <w:rFonts w:ascii="Arial" w:hAnsi="Arial" w:cs="Arial"/>
              </w:rPr>
              <w:t>A</w:t>
            </w:r>
            <w:r w:rsidRPr="0056292A">
              <w:rPr>
                <w:rFonts w:ascii="Arial" w:hAnsi="Arial" w:cs="Arial"/>
                <w:vertAlign w:val="subscript"/>
              </w:rPr>
              <w:t>2</w:t>
            </w:r>
            <w:r w:rsidRPr="0056292A">
              <w:rPr>
                <w:rFonts w:ascii="Arial" w:hAnsi="Arial" w:cs="Arial"/>
              </w:rPr>
              <w:t>C</w:t>
            </w:r>
            <w:r w:rsidRPr="0056292A">
              <w:rPr>
                <w:rFonts w:ascii="Arial" w:hAnsi="Arial" w:cs="Arial"/>
                <w:vertAlign w:val="subscript"/>
              </w:rPr>
              <w:t>2</w:t>
            </w:r>
            <w:r w:rsidRPr="0056292A">
              <w:rPr>
                <w:rFonts w:ascii="Arial" w:hAnsi="Arial" w:cs="Arial"/>
              </w:rPr>
              <w:t>B</w:t>
            </w:r>
            <w:r w:rsidRPr="0056292A">
              <w:rPr>
                <w:rFonts w:ascii="Arial" w:hAnsi="Arial" w:cs="Arial"/>
                <w:vertAlign w:val="subscript"/>
              </w:rPr>
              <w:t>2</w:t>
            </w:r>
          </w:p>
        </w:tc>
        <w:tc>
          <w:tcPr>
            <w:tcW w:w="1521" w:type="dxa"/>
            <w:tcBorders>
              <w:top w:val="single" w:sz="4" w:space="0" w:color="auto"/>
            </w:tcBorders>
            <w:noWrap/>
            <w:vAlign w:val="center"/>
          </w:tcPr>
          <w:p w14:paraId="6CF0DDE7" w14:textId="77777777" w:rsidR="001C0AC5" w:rsidRPr="0056292A" w:rsidRDefault="001C0AC5" w:rsidP="009C0BA6">
            <w:pPr>
              <w:contextualSpacing/>
              <w:jc w:val="both"/>
              <w:rPr>
                <w:rFonts w:ascii="Arial" w:hAnsi="Arial" w:cs="Arial"/>
              </w:rPr>
            </w:pPr>
            <w:r w:rsidRPr="0056292A">
              <w:rPr>
                <w:rFonts w:ascii="Arial" w:hAnsi="Arial" w:cs="Arial"/>
              </w:rPr>
              <w:t>32.75 mg/kg</w:t>
            </w:r>
          </w:p>
        </w:tc>
        <w:tc>
          <w:tcPr>
            <w:tcW w:w="1304" w:type="dxa"/>
            <w:tcBorders>
              <w:top w:val="single" w:sz="4" w:space="0" w:color="auto"/>
            </w:tcBorders>
            <w:noWrap/>
            <w:vAlign w:val="bottom"/>
          </w:tcPr>
          <w:p w14:paraId="6F7DD62F"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tcBorders>
              <w:top w:val="single" w:sz="4" w:space="0" w:color="auto"/>
            </w:tcBorders>
            <w:noWrap/>
            <w:vAlign w:val="bottom"/>
          </w:tcPr>
          <w:p w14:paraId="498EBF3C"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tcBorders>
              <w:top w:val="single" w:sz="4" w:space="0" w:color="auto"/>
            </w:tcBorders>
            <w:noWrap/>
            <w:vAlign w:val="bottom"/>
          </w:tcPr>
          <w:p w14:paraId="044B4BE0"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tcBorders>
              <w:top w:val="single" w:sz="4" w:space="0" w:color="auto"/>
            </w:tcBorders>
            <w:noWrap/>
            <w:vAlign w:val="bottom"/>
          </w:tcPr>
          <w:p w14:paraId="57AA7324"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tcBorders>
              <w:top w:val="single" w:sz="4" w:space="0" w:color="auto"/>
            </w:tcBorders>
            <w:noWrap/>
            <w:vAlign w:val="bottom"/>
          </w:tcPr>
          <w:p w14:paraId="411010B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tcBorders>
              <w:top w:val="single" w:sz="4" w:space="0" w:color="auto"/>
            </w:tcBorders>
            <w:noWrap/>
            <w:vAlign w:val="bottom"/>
          </w:tcPr>
          <w:p w14:paraId="205DC76C"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tcBorders>
              <w:top w:val="single" w:sz="4" w:space="0" w:color="auto"/>
            </w:tcBorders>
            <w:noWrap/>
            <w:vAlign w:val="bottom"/>
          </w:tcPr>
          <w:p w14:paraId="48B841A4"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tcBorders>
              <w:top w:val="single" w:sz="4" w:space="0" w:color="auto"/>
            </w:tcBorders>
            <w:noWrap/>
            <w:vAlign w:val="bottom"/>
          </w:tcPr>
          <w:p w14:paraId="5FBB0E63"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6F7E13A4" w14:textId="77777777" w:rsidTr="009C0BA6">
        <w:trPr>
          <w:trHeight w:val="70"/>
          <w:jc w:val="center"/>
        </w:trPr>
        <w:tc>
          <w:tcPr>
            <w:tcW w:w="1203" w:type="dxa"/>
            <w:vMerge/>
            <w:vAlign w:val="center"/>
          </w:tcPr>
          <w:p w14:paraId="47C9A617" w14:textId="77777777" w:rsidR="001C0AC5" w:rsidRPr="0056292A" w:rsidRDefault="001C0AC5" w:rsidP="009C0BA6">
            <w:pPr>
              <w:contextualSpacing/>
              <w:jc w:val="both"/>
              <w:rPr>
                <w:rFonts w:ascii="Arial" w:hAnsi="Arial" w:cs="Arial"/>
              </w:rPr>
            </w:pPr>
          </w:p>
        </w:tc>
        <w:tc>
          <w:tcPr>
            <w:tcW w:w="1521" w:type="dxa"/>
            <w:noWrap/>
            <w:vAlign w:val="center"/>
          </w:tcPr>
          <w:p w14:paraId="1DF5A270" w14:textId="77777777" w:rsidR="001C0AC5" w:rsidRPr="0056292A" w:rsidRDefault="001C0AC5" w:rsidP="009C0BA6">
            <w:pPr>
              <w:contextualSpacing/>
              <w:jc w:val="both"/>
              <w:rPr>
                <w:rFonts w:ascii="Arial" w:hAnsi="Arial" w:cs="Arial"/>
              </w:rPr>
            </w:pPr>
            <w:r w:rsidRPr="0056292A">
              <w:rPr>
                <w:rFonts w:ascii="Arial" w:hAnsi="Arial" w:cs="Arial"/>
              </w:rPr>
              <w:t>42.02 mg/kg</w:t>
            </w:r>
          </w:p>
        </w:tc>
        <w:tc>
          <w:tcPr>
            <w:tcW w:w="1304" w:type="dxa"/>
            <w:noWrap/>
            <w:vAlign w:val="bottom"/>
          </w:tcPr>
          <w:p w14:paraId="7365739B"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noWrap/>
            <w:vAlign w:val="bottom"/>
          </w:tcPr>
          <w:p w14:paraId="1611081C"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noWrap/>
            <w:vAlign w:val="bottom"/>
          </w:tcPr>
          <w:p w14:paraId="2670C4F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noWrap/>
            <w:vAlign w:val="bottom"/>
          </w:tcPr>
          <w:p w14:paraId="4F40B9FA"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noWrap/>
            <w:vAlign w:val="bottom"/>
          </w:tcPr>
          <w:p w14:paraId="012B96E6"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noWrap/>
            <w:vAlign w:val="bottom"/>
          </w:tcPr>
          <w:p w14:paraId="00489853"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noWrap/>
            <w:vAlign w:val="bottom"/>
          </w:tcPr>
          <w:p w14:paraId="7C08666A"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noWrap/>
            <w:vAlign w:val="bottom"/>
          </w:tcPr>
          <w:p w14:paraId="694DFA09"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2735C41B" w14:textId="77777777" w:rsidTr="009C0BA6">
        <w:trPr>
          <w:trHeight w:val="70"/>
          <w:jc w:val="center"/>
        </w:trPr>
        <w:tc>
          <w:tcPr>
            <w:tcW w:w="1203" w:type="dxa"/>
            <w:vMerge/>
            <w:tcBorders>
              <w:bottom w:val="single" w:sz="4" w:space="0" w:color="auto"/>
            </w:tcBorders>
            <w:vAlign w:val="center"/>
          </w:tcPr>
          <w:p w14:paraId="52C47BC1" w14:textId="77777777" w:rsidR="001C0AC5" w:rsidRPr="0056292A" w:rsidRDefault="001C0AC5" w:rsidP="009C0BA6">
            <w:pPr>
              <w:contextualSpacing/>
              <w:jc w:val="both"/>
              <w:rPr>
                <w:rFonts w:ascii="Arial" w:hAnsi="Arial" w:cs="Arial"/>
              </w:rPr>
            </w:pPr>
          </w:p>
        </w:tc>
        <w:tc>
          <w:tcPr>
            <w:tcW w:w="1521" w:type="dxa"/>
            <w:tcBorders>
              <w:bottom w:val="single" w:sz="4" w:space="0" w:color="auto"/>
            </w:tcBorders>
            <w:noWrap/>
            <w:vAlign w:val="bottom"/>
          </w:tcPr>
          <w:p w14:paraId="56CC7AA5" w14:textId="77777777" w:rsidR="001C0AC5" w:rsidRPr="0056292A" w:rsidRDefault="001C0AC5" w:rsidP="009C0BA6">
            <w:pPr>
              <w:contextualSpacing/>
              <w:jc w:val="both"/>
              <w:rPr>
                <w:rFonts w:ascii="Arial" w:hAnsi="Arial" w:cs="Arial"/>
              </w:rPr>
            </w:pPr>
            <w:r w:rsidRPr="0056292A">
              <w:rPr>
                <w:rFonts w:ascii="Arial" w:hAnsi="Arial" w:cs="Arial"/>
              </w:rPr>
              <w:t>52.55 mg/kg</w:t>
            </w:r>
          </w:p>
        </w:tc>
        <w:tc>
          <w:tcPr>
            <w:tcW w:w="1304" w:type="dxa"/>
            <w:tcBorders>
              <w:bottom w:val="single" w:sz="4" w:space="0" w:color="auto"/>
            </w:tcBorders>
            <w:noWrap/>
            <w:vAlign w:val="bottom"/>
          </w:tcPr>
          <w:p w14:paraId="7D89FC7B"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tcBorders>
              <w:bottom w:val="single" w:sz="4" w:space="0" w:color="auto"/>
            </w:tcBorders>
            <w:noWrap/>
            <w:vAlign w:val="bottom"/>
          </w:tcPr>
          <w:p w14:paraId="31A7F42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tcBorders>
              <w:bottom w:val="single" w:sz="4" w:space="0" w:color="auto"/>
            </w:tcBorders>
            <w:noWrap/>
            <w:vAlign w:val="bottom"/>
          </w:tcPr>
          <w:p w14:paraId="134DF3DB"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tcBorders>
              <w:bottom w:val="single" w:sz="4" w:space="0" w:color="auto"/>
            </w:tcBorders>
            <w:noWrap/>
            <w:vAlign w:val="bottom"/>
          </w:tcPr>
          <w:p w14:paraId="3090C5D1"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tcBorders>
              <w:bottom w:val="single" w:sz="4" w:space="0" w:color="auto"/>
            </w:tcBorders>
            <w:noWrap/>
            <w:vAlign w:val="bottom"/>
          </w:tcPr>
          <w:p w14:paraId="3D01B1AD"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tcBorders>
              <w:bottom w:val="single" w:sz="4" w:space="0" w:color="auto"/>
            </w:tcBorders>
            <w:noWrap/>
            <w:vAlign w:val="bottom"/>
          </w:tcPr>
          <w:p w14:paraId="050A100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tcBorders>
              <w:bottom w:val="single" w:sz="4" w:space="0" w:color="auto"/>
            </w:tcBorders>
            <w:noWrap/>
            <w:vAlign w:val="bottom"/>
          </w:tcPr>
          <w:p w14:paraId="6E153EF2"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tcBorders>
              <w:bottom w:val="single" w:sz="4" w:space="0" w:color="auto"/>
            </w:tcBorders>
            <w:noWrap/>
            <w:vAlign w:val="bottom"/>
          </w:tcPr>
          <w:p w14:paraId="401CAD6B"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63341414" w14:textId="77777777" w:rsidTr="009C0BA6">
        <w:trPr>
          <w:trHeight w:val="70"/>
          <w:jc w:val="center"/>
        </w:trPr>
        <w:tc>
          <w:tcPr>
            <w:tcW w:w="1203" w:type="dxa"/>
            <w:vMerge w:val="restart"/>
            <w:tcBorders>
              <w:top w:val="single" w:sz="4" w:space="0" w:color="auto"/>
            </w:tcBorders>
            <w:noWrap/>
            <w:vAlign w:val="center"/>
          </w:tcPr>
          <w:p w14:paraId="54B0F84E" w14:textId="77777777" w:rsidR="001C0AC5" w:rsidRPr="0056292A" w:rsidRDefault="001C0AC5" w:rsidP="009C0BA6">
            <w:pPr>
              <w:contextualSpacing/>
              <w:jc w:val="both"/>
              <w:rPr>
                <w:rFonts w:ascii="Arial" w:hAnsi="Arial" w:cs="Arial"/>
              </w:rPr>
            </w:pPr>
            <w:r w:rsidRPr="0056292A">
              <w:rPr>
                <w:rFonts w:ascii="Arial" w:hAnsi="Arial" w:cs="Arial"/>
              </w:rPr>
              <w:t>C</w:t>
            </w:r>
            <w:r w:rsidRPr="0056292A">
              <w:rPr>
                <w:rFonts w:ascii="Arial" w:hAnsi="Arial" w:cs="Arial"/>
                <w:vertAlign w:val="subscript"/>
              </w:rPr>
              <w:t>2</w:t>
            </w:r>
          </w:p>
        </w:tc>
        <w:tc>
          <w:tcPr>
            <w:tcW w:w="1521" w:type="dxa"/>
            <w:tcBorders>
              <w:top w:val="single" w:sz="4" w:space="0" w:color="auto"/>
            </w:tcBorders>
            <w:noWrap/>
            <w:vAlign w:val="center"/>
          </w:tcPr>
          <w:p w14:paraId="2432A087" w14:textId="77777777" w:rsidR="001C0AC5" w:rsidRPr="0056292A" w:rsidRDefault="001C0AC5" w:rsidP="009C0BA6">
            <w:pPr>
              <w:contextualSpacing/>
              <w:jc w:val="both"/>
              <w:rPr>
                <w:rFonts w:ascii="Arial" w:hAnsi="Arial" w:cs="Arial"/>
              </w:rPr>
            </w:pPr>
            <w:r w:rsidRPr="0056292A">
              <w:rPr>
                <w:rFonts w:ascii="Arial" w:hAnsi="Arial" w:cs="Arial"/>
              </w:rPr>
              <w:t>32.75 mg/kg</w:t>
            </w:r>
          </w:p>
        </w:tc>
        <w:tc>
          <w:tcPr>
            <w:tcW w:w="1304" w:type="dxa"/>
            <w:tcBorders>
              <w:top w:val="single" w:sz="4" w:space="0" w:color="auto"/>
            </w:tcBorders>
            <w:noWrap/>
            <w:vAlign w:val="bottom"/>
          </w:tcPr>
          <w:p w14:paraId="45452CDD"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tcBorders>
              <w:top w:val="single" w:sz="4" w:space="0" w:color="auto"/>
            </w:tcBorders>
            <w:noWrap/>
            <w:vAlign w:val="bottom"/>
          </w:tcPr>
          <w:p w14:paraId="09D7019D"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tcBorders>
              <w:top w:val="single" w:sz="4" w:space="0" w:color="auto"/>
            </w:tcBorders>
            <w:noWrap/>
            <w:vAlign w:val="bottom"/>
          </w:tcPr>
          <w:p w14:paraId="1865AA0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tcBorders>
              <w:top w:val="single" w:sz="4" w:space="0" w:color="auto"/>
            </w:tcBorders>
            <w:noWrap/>
            <w:vAlign w:val="bottom"/>
          </w:tcPr>
          <w:p w14:paraId="0F384E52"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tcBorders>
              <w:top w:val="single" w:sz="4" w:space="0" w:color="auto"/>
            </w:tcBorders>
            <w:noWrap/>
            <w:vAlign w:val="bottom"/>
          </w:tcPr>
          <w:p w14:paraId="7E2164B8"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tcBorders>
              <w:top w:val="single" w:sz="4" w:space="0" w:color="auto"/>
            </w:tcBorders>
            <w:noWrap/>
            <w:vAlign w:val="bottom"/>
          </w:tcPr>
          <w:p w14:paraId="6221EB3E"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tcBorders>
              <w:top w:val="single" w:sz="4" w:space="0" w:color="auto"/>
            </w:tcBorders>
            <w:noWrap/>
            <w:vAlign w:val="bottom"/>
          </w:tcPr>
          <w:p w14:paraId="4A4A81DD"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tcBorders>
              <w:top w:val="single" w:sz="4" w:space="0" w:color="auto"/>
            </w:tcBorders>
            <w:noWrap/>
            <w:vAlign w:val="bottom"/>
          </w:tcPr>
          <w:p w14:paraId="2764DB0C"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6B8F367D" w14:textId="77777777" w:rsidTr="009C0BA6">
        <w:trPr>
          <w:trHeight w:val="70"/>
          <w:jc w:val="center"/>
        </w:trPr>
        <w:tc>
          <w:tcPr>
            <w:tcW w:w="1203" w:type="dxa"/>
            <w:vMerge/>
            <w:vAlign w:val="center"/>
          </w:tcPr>
          <w:p w14:paraId="5FF3305C" w14:textId="77777777" w:rsidR="001C0AC5" w:rsidRPr="0056292A" w:rsidRDefault="001C0AC5" w:rsidP="009C0BA6">
            <w:pPr>
              <w:contextualSpacing/>
              <w:jc w:val="both"/>
              <w:rPr>
                <w:rFonts w:ascii="Arial" w:hAnsi="Arial" w:cs="Arial"/>
              </w:rPr>
            </w:pPr>
          </w:p>
        </w:tc>
        <w:tc>
          <w:tcPr>
            <w:tcW w:w="1521" w:type="dxa"/>
            <w:noWrap/>
            <w:vAlign w:val="center"/>
          </w:tcPr>
          <w:p w14:paraId="0F93253F" w14:textId="77777777" w:rsidR="001C0AC5" w:rsidRPr="0056292A" w:rsidRDefault="001C0AC5" w:rsidP="009C0BA6">
            <w:pPr>
              <w:contextualSpacing/>
              <w:jc w:val="both"/>
              <w:rPr>
                <w:rFonts w:ascii="Arial" w:hAnsi="Arial" w:cs="Arial"/>
              </w:rPr>
            </w:pPr>
            <w:r w:rsidRPr="0056292A">
              <w:rPr>
                <w:rFonts w:ascii="Arial" w:hAnsi="Arial" w:cs="Arial"/>
              </w:rPr>
              <w:t>42.02 mg/kg</w:t>
            </w:r>
          </w:p>
        </w:tc>
        <w:tc>
          <w:tcPr>
            <w:tcW w:w="1304" w:type="dxa"/>
            <w:noWrap/>
            <w:vAlign w:val="bottom"/>
          </w:tcPr>
          <w:p w14:paraId="1B08A3FA"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noWrap/>
            <w:vAlign w:val="bottom"/>
          </w:tcPr>
          <w:p w14:paraId="3587693D"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noWrap/>
            <w:vAlign w:val="bottom"/>
          </w:tcPr>
          <w:p w14:paraId="26DD2493"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noWrap/>
            <w:vAlign w:val="bottom"/>
          </w:tcPr>
          <w:p w14:paraId="0CD0E5F6"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noWrap/>
            <w:vAlign w:val="bottom"/>
          </w:tcPr>
          <w:p w14:paraId="4512B794"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noWrap/>
            <w:vAlign w:val="bottom"/>
          </w:tcPr>
          <w:p w14:paraId="7A197EDB"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noWrap/>
            <w:vAlign w:val="bottom"/>
          </w:tcPr>
          <w:p w14:paraId="3F248C72"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noWrap/>
            <w:vAlign w:val="bottom"/>
          </w:tcPr>
          <w:p w14:paraId="782CD909"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1A151713" w14:textId="77777777" w:rsidTr="009C0BA6">
        <w:trPr>
          <w:trHeight w:val="70"/>
          <w:jc w:val="center"/>
        </w:trPr>
        <w:tc>
          <w:tcPr>
            <w:tcW w:w="1203" w:type="dxa"/>
            <w:vMerge/>
            <w:vAlign w:val="center"/>
          </w:tcPr>
          <w:p w14:paraId="702A3BF0" w14:textId="77777777" w:rsidR="001C0AC5" w:rsidRPr="0056292A" w:rsidRDefault="001C0AC5" w:rsidP="009C0BA6">
            <w:pPr>
              <w:contextualSpacing/>
              <w:jc w:val="both"/>
              <w:rPr>
                <w:rFonts w:ascii="Arial" w:hAnsi="Arial" w:cs="Arial"/>
              </w:rPr>
            </w:pPr>
          </w:p>
        </w:tc>
        <w:tc>
          <w:tcPr>
            <w:tcW w:w="1521" w:type="dxa"/>
            <w:noWrap/>
            <w:vAlign w:val="bottom"/>
          </w:tcPr>
          <w:p w14:paraId="1F4A60FF" w14:textId="77777777" w:rsidR="001C0AC5" w:rsidRPr="0056292A" w:rsidRDefault="001C0AC5" w:rsidP="009C0BA6">
            <w:pPr>
              <w:contextualSpacing/>
              <w:jc w:val="both"/>
              <w:rPr>
                <w:rFonts w:ascii="Arial" w:hAnsi="Arial" w:cs="Arial"/>
              </w:rPr>
            </w:pPr>
            <w:r w:rsidRPr="0056292A">
              <w:rPr>
                <w:rFonts w:ascii="Arial" w:hAnsi="Arial" w:cs="Arial"/>
              </w:rPr>
              <w:t>52.55 mg/kg</w:t>
            </w:r>
          </w:p>
        </w:tc>
        <w:tc>
          <w:tcPr>
            <w:tcW w:w="1304" w:type="dxa"/>
            <w:noWrap/>
            <w:vAlign w:val="bottom"/>
          </w:tcPr>
          <w:p w14:paraId="0377E564"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noWrap/>
            <w:vAlign w:val="bottom"/>
          </w:tcPr>
          <w:p w14:paraId="29A7DD22"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noWrap/>
            <w:vAlign w:val="bottom"/>
          </w:tcPr>
          <w:p w14:paraId="27DB36D9"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noWrap/>
            <w:vAlign w:val="bottom"/>
          </w:tcPr>
          <w:p w14:paraId="1FD3DFFA"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noWrap/>
            <w:vAlign w:val="bottom"/>
          </w:tcPr>
          <w:p w14:paraId="1E4435B1"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noWrap/>
            <w:vAlign w:val="bottom"/>
          </w:tcPr>
          <w:p w14:paraId="39CC7FCC"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noWrap/>
            <w:vAlign w:val="bottom"/>
          </w:tcPr>
          <w:p w14:paraId="754F8D4C"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noWrap/>
            <w:vAlign w:val="bottom"/>
          </w:tcPr>
          <w:p w14:paraId="07EC94CC" w14:textId="77777777" w:rsidR="001C0AC5" w:rsidRPr="0056292A" w:rsidRDefault="001C0AC5" w:rsidP="009C0BA6">
            <w:pPr>
              <w:contextualSpacing/>
              <w:jc w:val="both"/>
              <w:rPr>
                <w:rFonts w:ascii="Arial" w:hAnsi="Arial" w:cs="Arial"/>
              </w:rPr>
            </w:pPr>
            <w:r w:rsidRPr="0056292A">
              <w:rPr>
                <w:rFonts w:ascii="Arial" w:hAnsi="Arial" w:cs="Arial"/>
              </w:rPr>
              <w:t>+</w:t>
            </w:r>
          </w:p>
        </w:tc>
      </w:tr>
      <w:tr w:rsidR="001C0AC5" w:rsidRPr="0056292A" w14:paraId="05D480AC" w14:textId="77777777" w:rsidTr="009C0BA6">
        <w:trPr>
          <w:trHeight w:val="70"/>
          <w:jc w:val="center"/>
        </w:trPr>
        <w:tc>
          <w:tcPr>
            <w:tcW w:w="2724" w:type="dxa"/>
            <w:gridSpan w:val="2"/>
            <w:tcBorders>
              <w:bottom w:val="single" w:sz="4" w:space="0" w:color="auto"/>
            </w:tcBorders>
            <w:noWrap/>
            <w:vAlign w:val="center"/>
          </w:tcPr>
          <w:p w14:paraId="3622F9E3" w14:textId="77777777" w:rsidR="001C0AC5" w:rsidRPr="0056292A" w:rsidRDefault="001C0AC5" w:rsidP="009C0BA6">
            <w:pPr>
              <w:contextualSpacing/>
              <w:jc w:val="both"/>
              <w:rPr>
                <w:rFonts w:ascii="Arial" w:hAnsi="Arial" w:cs="Arial"/>
              </w:rPr>
            </w:pPr>
            <w:r w:rsidRPr="0056292A">
              <w:rPr>
                <w:rFonts w:ascii="Arial" w:hAnsi="Arial" w:cs="Arial"/>
              </w:rPr>
              <w:t>Original sample</w:t>
            </w:r>
          </w:p>
        </w:tc>
        <w:tc>
          <w:tcPr>
            <w:tcW w:w="1304" w:type="dxa"/>
            <w:tcBorders>
              <w:bottom w:val="single" w:sz="4" w:space="0" w:color="auto"/>
            </w:tcBorders>
            <w:noWrap/>
            <w:vAlign w:val="bottom"/>
          </w:tcPr>
          <w:p w14:paraId="76D945F7"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712" w:type="dxa"/>
            <w:tcBorders>
              <w:bottom w:val="single" w:sz="4" w:space="0" w:color="auto"/>
            </w:tcBorders>
            <w:noWrap/>
            <w:vAlign w:val="bottom"/>
          </w:tcPr>
          <w:p w14:paraId="085E0008"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897" w:type="dxa"/>
            <w:tcBorders>
              <w:bottom w:val="single" w:sz="4" w:space="0" w:color="auto"/>
            </w:tcBorders>
            <w:noWrap/>
            <w:vAlign w:val="bottom"/>
          </w:tcPr>
          <w:p w14:paraId="1933EA95"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030" w:type="dxa"/>
            <w:tcBorders>
              <w:bottom w:val="single" w:sz="4" w:space="0" w:color="auto"/>
            </w:tcBorders>
            <w:noWrap/>
            <w:vAlign w:val="bottom"/>
          </w:tcPr>
          <w:p w14:paraId="77BB0807"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483" w:type="dxa"/>
            <w:tcBorders>
              <w:bottom w:val="single" w:sz="4" w:space="0" w:color="auto"/>
            </w:tcBorders>
            <w:noWrap/>
            <w:vAlign w:val="bottom"/>
          </w:tcPr>
          <w:p w14:paraId="5D2FF3B2"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590" w:type="dxa"/>
            <w:tcBorders>
              <w:bottom w:val="single" w:sz="4" w:space="0" w:color="auto"/>
            </w:tcBorders>
            <w:noWrap/>
            <w:vAlign w:val="bottom"/>
          </w:tcPr>
          <w:p w14:paraId="13A4D6F2"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1750" w:type="dxa"/>
            <w:tcBorders>
              <w:bottom w:val="single" w:sz="4" w:space="0" w:color="auto"/>
            </w:tcBorders>
            <w:noWrap/>
            <w:vAlign w:val="bottom"/>
          </w:tcPr>
          <w:p w14:paraId="35D6CF3E" w14:textId="77777777" w:rsidR="001C0AC5" w:rsidRPr="0056292A" w:rsidRDefault="001C0AC5" w:rsidP="009C0BA6">
            <w:pPr>
              <w:contextualSpacing/>
              <w:jc w:val="both"/>
              <w:rPr>
                <w:rFonts w:ascii="Arial" w:hAnsi="Arial" w:cs="Arial"/>
              </w:rPr>
            </w:pPr>
            <w:r w:rsidRPr="0056292A">
              <w:rPr>
                <w:rFonts w:ascii="Arial" w:hAnsi="Arial" w:cs="Arial"/>
              </w:rPr>
              <w:t>-</w:t>
            </w:r>
          </w:p>
        </w:tc>
        <w:tc>
          <w:tcPr>
            <w:tcW w:w="955" w:type="dxa"/>
            <w:tcBorders>
              <w:bottom w:val="single" w:sz="4" w:space="0" w:color="auto"/>
            </w:tcBorders>
            <w:noWrap/>
            <w:vAlign w:val="bottom"/>
          </w:tcPr>
          <w:p w14:paraId="0CD94263" w14:textId="77777777" w:rsidR="001C0AC5" w:rsidRPr="0056292A" w:rsidRDefault="001C0AC5" w:rsidP="009C0BA6">
            <w:pPr>
              <w:contextualSpacing/>
              <w:jc w:val="both"/>
              <w:rPr>
                <w:rFonts w:ascii="Arial" w:hAnsi="Arial" w:cs="Arial"/>
              </w:rPr>
            </w:pPr>
            <w:r w:rsidRPr="0056292A">
              <w:rPr>
                <w:rFonts w:ascii="Arial" w:hAnsi="Arial" w:cs="Arial"/>
              </w:rPr>
              <w:t>+</w:t>
            </w:r>
          </w:p>
        </w:tc>
      </w:tr>
    </w:tbl>
    <w:p w14:paraId="4458FC82" w14:textId="77777777" w:rsidR="001C0AC5" w:rsidRPr="00574E2D" w:rsidRDefault="001C0AC5" w:rsidP="001C0AC5">
      <w:pPr>
        <w:contextualSpacing/>
        <w:jc w:val="both"/>
        <w:rPr>
          <w:rFonts w:ascii="Arial" w:hAnsi="Arial" w:cs="Arial"/>
          <w:i/>
          <w:sz w:val="18"/>
        </w:rPr>
      </w:pPr>
      <w:r w:rsidRPr="00574E2D">
        <w:rPr>
          <w:rFonts w:ascii="Arial" w:hAnsi="Arial" w:cs="Arial"/>
          <w:i/>
          <w:sz w:val="18"/>
        </w:rPr>
        <w:t>Legends: A1 represents cow dung, A2 represents poultry wastes, B2 represents Micrococcus sp., and C2 represents Zn.</w:t>
      </w:r>
    </w:p>
    <w:p w14:paraId="24DBDFA5" w14:textId="77777777" w:rsidR="001C0AC5" w:rsidRPr="0056292A" w:rsidRDefault="001C0AC5" w:rsidP="001C0AC5">
      <w:pPr>
        <w:contextualSpacing/>
        <w:jc w:val="both"/>
        <w:rPr>
          <w:rFonts w:ascii="Arial" w:hAnsi="Arial" w:cs="Arial"/>
        </w:rPr>
      </w:pPr>
    </w:p>
    <w:p w14:paraId="221F7D4F" w14:textId="77777777" w:rsidR="001C0AC5" w:rsidRPr="0056292A" w:rsidRDefault="001C0AC5" w:rsidP="001C0AC5">
      <w:pPr>
        <w:contextualSpacing/>
        <w:jc w:val="both"/>
        <w:rPr>
          <w:rFonts w:ascii="Arial" w:hAnsi="Arial" w:cs="Arial"/>
        </w:rPr>
        <w:sectPr w:rsidR="001C0AC5" w:rsidRPr="0056292A" w:rsidSect="003F2E77">
          <w:pgSz w:w="16839" w:h="11907" w:orient="landscape" w:code="9"/>
          <w:pgMar w:top="1440" w:right="1440" w:bottom="1440" w:left="1440" w:header="720" w:footer="720" w:gutter="0"/>
          <w:cols w:space="720"/>
          <w:docGrid w:linePitch="360"/>
        </w:sectPr>
      </w:pPr>
    </w:p>
    <w:p w14:paraId="2D16F44D" w14:textId="77777777" w:rsidR="003A5D19" w:rsidRPr="00574E2D" w:rsidRDefault="003A5D19" w:rsidP="003A5D19">
      <w:pPr>
        <w:contextualSpacing/>
        <w:jc w:val="both"/>
        <w:rPr>
          <w:rFonts w:ascii="Arial" w:hAnsi="Arial" w:cs="Arial"/>
          <w:sz w:val="22"/>
        </w:rPr>
      </w:pPr>
      <w:r w:rsidRPr="00574E2D">
        <w:rPr>
          <w:rFonts w:ascii="Arial" w:hAnsi="Arial" w:cs="Arial"/>
          <w:b/>
          <w:sz w:val="22"/>
        </w:rPr>
        <w:lastRenderedPageBreak/>
        <w:t>3.2 Effects on physicochemical parameters of soil</w:t>
      </w:r>
    </w:p>
    <w:p w14:paraId="64A6F514" w14:textId="67EC9E9C" w:rsidR="003A5D19" w:rsidRPr="0056292A" w:rsidRDefault="003A5D19" w:rsidP="003A5D19">
      <w:pPr>
        <w:contextualSpacing/>
        <w:jc w:val="both"/>
        <w:rPr>
          <w:rFonts w:ascii="Arial" w:hAnsi="Arial" w:cs="Arial"/>
        </w:rPr>
      </w:pPr>
      <w:r w:rsidRPr="0056292A">
        <w:rPr>
          <w:rFonts w:ascii="Arial" w:hAnsi="Arial" w:cs="Arial"/>
        </w:rPr>
        <w:t xml:space="preserve">Table 2 </w:t>
      </w:r>
      <w:r w:rsidRPr="0056292A">
        <w:rPr>
          <w:rFonts w:ascii="Arial" w:hAnsi="Arial" w:cs="Arial"/>
          <w:bCs/>
          <w:color w:val="000000"/>
        </w:rPr>
        <w:t xml:space="preserve">presents the effects of organic supplements with </w:t>
      </w:r>
      <w:r w:rsidRPr="0056292A">
        <w:rPr>
          <w:rFonts w:ascii="Arial" w:hAnsi="Arial" w:cs="Arial"/>
          <w:bCs/>
          <w:i/>
          <w:color w:val="000000"/>
        </w:rPr>
        <w:t>Micrococcus</w:t>
      </w:r>
      <w:r w:rsidRPr="0056292A">
        <w:rPr>
          <w:rFonts w:ascii="Arial" w:hAnsi="Arial" w:cs="Arial"/>
          <w:bCs/>
          <w:color w:val="000000"/>
        </w:rPr>
        <w:t xml:space="preserve"> sp. (B2) on physicochemical properties of Zn polluted soil samples.</w:t>
      </w:r>
      <w:r w:rsidRPr="0056292A">
        <w:rPr>
          <w:rFonts w:ascii="Arial" w:hAnsi="Arial" w:cs="Arial"/>
        </w:rPr>
        <w:t xml:space="preserve"> It was observed that the pH, OC and SOM contents of soil samples were higher at the end of treatments, excluding the control samples. However, there was no significant difference among pH and OC contents of treated samples, though samples treated with poultry wastes and </w:t>
      </w:r>
      <w:r w:rsidRPr="0056292A">
        <w:rPr>
          <w:rFonts w:ascii="Arial" w:hAnsi="Arial" w:cs="Arial"/>
          <w:i/>
        </w:rPr>
        <w:t xml:space="preserve">Micrococcus </w:t>
      </w:r>
      <w:proofErr w:type="spellStart"/>
      <w:r w:rsidRPr="0056292A">
        <w:rPr>
          <w:rFonts w:ascii="Arial" w:hAnsi="Arial" w:cs="Arial"/>
        </w:rPr>
        <w:t>sp</w:t>
      </w:r>
      <w:proofErr w:type="spellEnd"/>
      <w:r w:rsidRPr="0056292A">
        <w:rPr>
          <w:rFonts w:ascii="Arial" w:hAnsi="Arial" w:cs="Arial"/>
        </w:rPr>
        <w:t xml:space="preserve"> only, recorded 18.64%, 21.01% and 26.00% increase in pH and 114.12%, 131.68% and 147.93% increase in OC at 33.75 mg/kg, 4</w:t>
      </w:r>
      <w:r w:rsidR="0060361A">
        <w:rPr>
          <w:rFonts w:ascii="Arial" w:hAnsi="Arial" w:cs="Arial"/>
        </w:rPr>
        <w:t>2</w:t>
      </w:r>
      <w:r w:rsidRPr="0056292A">
        <w:rPr>
          <w:rFonts w:ascii="Arial" w:hAnsi="Arial" w:cs="Arial"/>
        </w:rPr>
        <w:t>.</w:t>
      </w:r>
      <w:r w:rsidR="003107EF">
        <w:rPr>
          <w:rFonts w:ascii="Arial" w:hAnsi="Arial" w:cs="Arial"/>
        </w:rPr>
        <w:t>02</w:t>
      </w:r>
      <w:r w:rsidRPr="0056292A">
        <w:rPr>
          <w:rFonts w:ascii="Arial" w:hAnsi="Arial" w:cs="Arial"/>
        </w:rPr>
        <w:t xml:space="preserve"> mg/kg and 52.55 mg/kg Zn pollution respectively. On the other hand, the mixture of poultry waste and cow dung yielded highest increase in SOM of 160.33%, 171.51% and 187.43% at Zn pollution levels of 33.75 mg/kg, 4</w:t>
      </w:r>
      <w:r w:rsidR="0060361A">
        <w:rPr>
          <w:rFonts w:ascii="Arial" w:hAnsi="Arial" w:cs="Arial"/>
        </w:rPr>
        <w:t>2</w:t>
      </w:r>
      <w:r w:rsidRPr="0056292A">
        <w:rPr>
          <w:rFonts w:ascii="Arial" w:hAnsi="Arial" w:cs="Arial"/>
        </w:rPr>
        <w:t>.</w:t>
      </w:r>
      <w:r w:rsidR="0060361A">
        <w:rPr>
          <w:rFonts w:ascii="Arial" w:hAnsi="Arial" w:cs="Arial"/>
        </w:rPr>
        <w:t>02</w:t>
      </w:r>
      <w:r w:rsidRPr="0056292A">
        <w:rPr>
          <w:rFonts w:ascii="Arial" w:hAnsi="Arial" w:cs="Arial"/>
        </w:rPr>
        <w:t xml:space="preserve"> mg/kg and 52.55 mg/kg respectively. Furthermore, samples treated with poultry wastes and </w:t>
      </w:r>
      <w:r w:rsidRPr="0056292A">
        <w:rPr>
          <w:rFonts w:ascii="Arial" w:hAnsi="Arial" w:cs="Arial"/>
          <w:i/>
        </w:rPr>
        <w:t xml:space="preserve">Micrococcus </w:t>
      </w:r>
      <w:proofErr w:type="spellStart"/>
      <w:r w:rsidRPr="0056292A">
        <w:rPr>
          <w:rFonts w:ascii="Arial" w:hAnsi="Arial" w:cs="Arial"/>
        </w:rPr>
        <w:t>sp</w:t>
      </w:r>
      <w:proofErr w:type="spellEnd"/>
      <w:r w:rsidRPr="0056292A">
        <w:rPr>
          <w:rFonts w:ascii="Arial" w:hAnsi="Arial" w:cs="Arial"/>
        </w:rPr>
        <w:t xml:space="preserve"> only, recorded significantly higher increase in N, Ca and K contents than other treated samples, including control samples. It recorded percentage increase of 102.09%, 91.14% and 77.55% in N; 11.82%, 12.56% and 11.41% in Ca contents; 22.84%, 29.88% and 28.37% in K contents; but 14.06%, 17.61% and 7.32% reduction in Mg contents at Zn pollution levels of 33.75 mg/kg, 4</w:t>
      </w:r>
      <w:r w:rsidR="0060361A">
        <w:rPr>
          <w:rFonts w:ascii="Arial" w:hAnsi="Arial" w:cs="Arial"/>
        </w:rPr>
        <w:t>2</w:t>
      </w:r>
      <w:r w:rsidRPr="0056292A">
        <w:rPr>
          <w:rFonts w:ascii="Arial" w:hAnsi="Arial" w:cs="Arial"/>
        </w:rPr>
        <w:t>.</w:t>
      </w:r>
      <w:r w:rsidR="0060361A">
        <w:rPr>
          <w:rFonts w:ascii="Arial" w:hAnsi="Arial" w:cs="Arial"/>
        </w:rPr>
        <w:t>02</w:t>
      </w:r>
      <w:r w:rsidRPr="0056292A">
        <w:rPr>
          <w:rFonts w:ascii="Arial" w:hAnsi="Arial" w:cs="Arial"/>
        </w:rPr>
        <w:t xml:space="preserve"> mg/kg and 52.55 mg/kg respectively. However, no significant difference in percentage reduction of Zn contents of both treated and control samples was recorded.</w:t>
      </w:r>
    </w:p>
    <w:p w14:paraId="7414E890" w14:textId="77777777" w:rsidR="003A5D19" w:rsidRPr="0056292A" w:rsidRDefault="003A5D19" w:rsidP="003A5D19">
      <w:pPr>
        <w:contextualSpacing/>
        <w:jc w:val="both"/>
        <w:rPr>
          <w:rFonts w:ascii="Arial" w:hAnsi="Arial" w:cs="Arial"/>
        </w:rPr>
      </w:pPr>
    </w:p>
    <w:p w14:paraId="612AD685" w14:textId="77777777" w:rsidR="003A5D19" w:rsidRDefault="003A5D19" w:rsidP="003A5D19">
      <w:pPr>
        <w:pStyle w:val="Body"/>
        <w:spacing w:after="0"/>
        <w:rPr>
          <w:rFonts w:ascii="Arial" w:hAnsi="Arial" w:cs="Arial"/>
        </w:rPr>
      </w:pPr>
      <w:r w:rsidRPr="00F544A7">
        <w:rPr>
          <w:rFonts w:ascii="Arial" w:hAnsi="Arial" w:cs="Arial"/>
        </w:rPr>
        <w:t xml:space="preserve">The detrimental effects of heavy metals on plant physiology may be attributed to a disruption in mineral intake under stressful conditions, which may have affected enzyme activity and consequently reduced the manufacture of photosynthetic pigments (Bashir et al., 2020). </w:t>
      </w:r>
      <w:r>
        <w:rPr>
          <w:rFonts w:ascii="Arial" w:hAnsi="Arial" w:cs="Arial"/>
        </w:rPr>
        <w:t>F</w:t>
      </w:r>
      <w:r w:rsidRPr="00F544A7">
        <w:rPr>
          <w:rFonts w:ascii="Arial" w:hAnsi="Arial" w:cs="Arial"/>
        </w:rPr>
        <w:t xml:space="preserve">indings of </w:t>
      </w:r>
      <w:r>
        <w:rPr>
          <w:rFonts w:ascii="Arial" w:hAnsi="Arial" w:cs="Arial"/>
        </w:rPr>
        <w:t>a previous</w:t>
      </w:r>
      <w:r w:rsidRPr="00F544A7">
        <w:rPr>
          <w:rFonts w:ascii="Arial" w:hAnsi="Arial" w:cs="Arial"/>
        </w:rPr>
        <w:t xml:space="preserve"> study that examined how applying cow dung could lessen the harmful effects of Cd, Pb, and Cr on the growth of maize plants grown in contaminated soil,</w:t>
      </w:r>
      <w:r>
        <w:rPr>
          <w:rFonts w:ascii="Arial" w:hAnsi="Arial" w:cs="Arial"/>
        </w:rPr>
        <w:t xml:space="preserve"> reported that</w:t>
      </w:r>
      <w:r w:rsidRPr="00F544A7">
        <w:rPr>
          <w:rFonts w:ascii="Arial" w:hAnsi="Arial" w:cs="Arial"/>
        </w:rPr>
        <w:t xml:space="preserve"> the application of cow dung improved the growth of the maize plant and corrected the toxic effects caused by heavy metals (Jacob et al., 2022).</w:t>
      </w:r>
      <w:r>
        <w:rPr>
          <w:rFonts w:ascii="Arial" w:hAnsi="Arial" w:cs="Arial"/>
        </w:rPr>
        <w:t xml:space="preserve"> </w:t>
      </w:r>
      <w:r w:rsidRPr="00F544A7">
        <w:rPr>
          <w:rFonts w:ascii="Arial" w:hAnsi="Arial" w:cs="Arial"/>
        </w:rPr>
        <w:t>There have been numerous reports of the use of organic manures in bioremediation. According to a study, adding organic manure to soil contaminated by crude oil raised the pH of the soil, as demonstrated by the four treated samples. Microbial activity may have increased during the breakdown and organic matter creation process as a result of the addition of cow dung, poultry droppings, and pig slurry, which raised the pH of the soil. More exchangeable bases may have been released as a result, buffering the soil's pH in the direction of neutrality. The soil samples' moisture content varied from 8.76 to 67.50. Compared to the treated samples, which had moisture contents ranging from 41.20% to 61.90%, the control sample (untreated contaminated samples) had an extremely low moisture level of 8.76%. it asserted that the organic agricultural waste materials utilized as bioremediation materials may be the cause of the notable high moisture content of the soil. Between 1.32% and 2.66% of the carbon was organic (Ezenwa et al., 2022). The amount of organic carbon in the untreated polluted sample was the lowest, at 1.32%, while in the treated samples it ranged from 1.67% to 2.66%. In comparison to the control sample, this indicated an increase in the organic carbon of the treated soil samples. The organic carbon content of the four treated samples may have increased as a result of the additional agro-waste items, such as animal feces and food waste, which released organic carbon during decomposition. In comparison to the untreated control sample, which had a nitrogen concentration of 0.13%, the treated samples showed a small improvement in nitrogen content, ranging from 0.17% to 0.22%. 30.60 ppm to 48.60 ppm of phosphorus were found. Because there were fewer microorganisms using phosphorus as food during the mineralization process that broke down the crude oil, the untreated sample had the highest concentration of phosphorus (Ezenwa et al., 2022).</w:t>
      </w:r>
    </w:p>
    <w:p w14:paraId="4374900C" w14:textId="77777777" w:rsidR="001C0AC5" w:rsidRDefault="001C0AC5" w:rsidP="001C0AC5">
      <w:pPr>
        <w:contextualSpacing/>
        <w:jc w:val="both"/>
        <w:rPr>
          <w:rFonts w:ascii="Arial" w:hAnsi="Arial" w:cs="Arial"/>
        </w:rPr>
      </w:pPr>
    </w:p>
    <w:p w14:paraId="69C6ED21" w14:textId="77777777" w:rsidR="003A5D19" w:rsidRDefault="003A5D19" w:rsidP="001C0AC5">
      <w:pPr>
        <w:contextualSpacing/>
        <w:jc w:val="both"/>
        <w:rPr>
          <w:rFonts w:ascii="Arial" w:hAnsi="Arial" w:cs="Arial"/>
        </w:rPr>
      </w:pPr>
    </w:p>
    <w:p w14:paraId="0F8403DA" w14:textId="77777777" w:rsidR="003A5D19" w:rsidRDefault="003A5D19" w:rsidP="001C0AC5">
      <w:pPr>
        <w:contextualSpacing/>
        <w:jc w:val="both"/>
        <w:rPr>
          <w:rFonts w:ascii="Arial" w:hAnsi="Arial" w:cs="Arial"/>
        </w:rPr>
      </w:pPr>
    </w:p>
    <w:p w14:paraId="56947525" w14:textId="77777777" w:rsidR="003A5D19" w:rsidRDefault="003A5D19" w:rsidP="001C0AC5">
      <w:pPr>
        <w:contextualSpacing/>
        <w:jc w:val="both"/>
        <w:rPr>
          <w:rFonts w:ascii="Arial" w:hAnsi="Arial" w:cs="Arial"/>
        </w:rPr>
      </w:pPr>
    </w:p>
    <w:p w14:paraId="185EFA10" w14:textId="77777777" w:rsidR="003A5D19" w:rsidRDefault="003A5D19" w:rsidP="001C0AC5">
      <w:pPr>
        <w:contextualSpacing/>
        <w:jc w:val="both"/>
        <w:rPr>
          <w:rFonts w:ascii="Arial" w:hAnsi="Arial" w:cs="Arial"/>
        </w:rPr>
      </w:pPr>
    </w:p>
    <w:p w14:paraId="0EAC07B0" w14:textId="77777777" w:rsidR="003A5D19" w:rsidRDefault="003A5D19" w:rsidP="001C0AC5">
      <w:pPr>
        <w:contextualSpacing/>
        <w:jc w:val="both"/>
        <w:rPr>
          <w:rFonts w:ascii="Arial" w:hAnsi="Arial" w:cs="Arial"/>
        </w:rPr>
      </w:pPr>
    </w:p>
    <w:p w14:paraId="78AFB689" w14:textId="77777777" w:rsidR="003A5D19" w:rsidRDefault="003A5D19" w:rsidP="001C0AC5">
      <w:pPr>
        <w:contextualSpacing/>
        <w:jc w:val="both"/>
        <w:rPr>
          <w:rFonts w:ascii="Arial" w:hAnsi="Arial" w:cs="Arial"/>
        </w:rPr>
      </w:pPr>
    </w:p>
    <w:p w14:paraId="07FAB08A" w14:textId="77777777" w:rsidR="003A5D19" w:rsidRDefault="003A5D19" w:rsidP="001C0AC5">
      <w:pPr>
        <w:contextualSpacing/>
        <w:jc w:val="both"/>
        <w:rPr>
          <w:rFonts w:ascii="Arial" w:hAnsi="Arial" w:cs="Arial"/>
        </w:rPr>
      </w:pPr>
    </w:p>
    <w:p w14:paraId="375360E5" w14:textId="77777777" w:rsidR="003A5D19" w:rsidRDefault="003A5D19" w:rsidP="001C0AC5">
      <w:pPr>
        <w:contextualSpacing/>
        <w:jc w:val="both"/>
        <w:rPr>
          <w:rFonts w:ascii="Arial" w:hAnsi="Arial" w:cs="Arial"/>
        </w:rPr>
      </w:pPr>
    </w:p>
    <w:p w14:paraId="14B904F7" w14:textId="77777777" w:rsidR="003A5D19" w:rsidRDefault="003A5D19" w:rsidP="001C0AC5">
      <w:pPr>
        <w:contextualSpacing/>
        <w:jc w:val="both"/>
        <w:rPr>
          <w:rFonts w:ascii="Arial" w:hAnsi="Arial" w:cs="Arial"/>
        </w:rPr>
      </w:pPr>
    </w:p>
    <w:p w14:paraId="19002E0E" w14:textId="77777777" w:rsidR="003A5D19" w:rsidRDefault="003A5D19" w:rsidP="001C0AC5">
      <w:pPr>
        <w:contextualSpacing/>
        <w:jc w:val="both"/>
        <w:rPr>
          <w:rFonts w:ascii="Arial" w:hAnsi="Arial" w:cs="Arial"/>
        </w:rPr>
      </w:pPr>
    </w:p>
    <w:p w14:paraId="36F39D03" w14:textId="77777777" w:rsidR="003A5D19" w:rsidRDefault="003A5D19" w:rsidP="001C0AC5">
      <w:pPr>
        <w:contextualSpacing/>
        <w:jc w:val="both"/>
        <w:rPr>
          <w:rFonts w:ascii="Arial" w:hAnsi="Arial" w:cs="Arial"/>
        </w:rPr>
      </w:pPr>
    </w:p>
    <w:p w14:paraId="3ADB5255" w14:textId="77777777" w:rsidR="003A5D19" w:rsidRDefault="003A5D19" w:rsidP="001C0AC5">
      <w:pPr>
        <w:contextualSpacing/>
        <w:jc w:val="both"/>
        <w:rPr>
          <w:rFonts w:ascii="Arial" w:hAnsi="Arial" w:cs="Arial"/>
        </w:rPr>
      </w:pPr>
    </w:p>
    <w:p w14:paraId="0AF26358" w14:textId="77777777" w:rsidR="003A5D19" w:rsidRDefault="003A5D19" w:rsidP="001C0AC5">
      <w:pPr>
        <w:contextualSpacing/>
        <w:jc w:val="both"/>
        <w:rPr>
          <w:rFonts w:ascii="Arial" w:hAnsi="Arial" w:cs="Arial"/>
        </w:rPr>
      </w:pPr>
    </w:p>
    <w:p w14:paraId="0FD9DFFE" w14:textId="77777777" w:rsidR="003A5D19" w:rsidRDefault="003A5D19" w:rsidP="001C0AC5">
      <w:pPr>
        <w:contextualSpacing/>
        <w:jc w:val="both"/>
        <w:rPr>
          <w:rFonts w:ascii="Arial" w:hAnsi="Arial" w:cs="Arial"/>
        </w:rPr>
      </w:pPr>
    </w:p>
    <w:p w14:paraId="3472CF84" w14:textId="77777777" w:rsidR="003A5D19" w:rsidRDefault="003A5D19" w:rsidP="001C0AC5">
      <w:pPr>
        <w:contextualSpacing/>
        <w:jc w:val="both"/>
        <w:rPr>
          <w:rFonts w:ascii="Arial" w:hAnsi="Arial" w:cs="Arial"/>
        </w:rPr>
        <w:sectPr w:rsidR="003A5D19" w:rsidSect="003F2E77">
          <w:pgSz w:w="11907" w:h="16839" w:code="9"/>
          <w:pgMar w:top="1440" w:right="1440" w:bottom="1440" w:left="1440" w:header="720" w:footer="720" w:gutter="0"/>
          <w:cols w:space="720"/>
          <w:docGrid w:linePitch="360"/>
        </w:sectPr>
      </w:pPr>
    </w:p>
    <w:p w14:paraId="338FD64B" w14:textId="77777777" w:rsidR="003A5D19" w:rsidRDefault="003A5D19" w:rsidP="001C0AC5">
      <w:pPr>
        <w:contextualSpacing/>
        <w:jc w:val="both"/>
        <w:rPr>
          <w:rFonts w:ascii="Arial" w:hAnsi="Arial" w:cs="Arial"/>
        </w:rPr>
      </w:pPr>
    </w:p>
    <w:p w14:paraId="301CBED5" w14:textId="77777777" w:rsidR="003A5D19" w:rsidRPr="0056292A" w:rsidRDefault="003A5D19" w:rsidP="001C0AC5">
      <w:pPr>
        <w:contextualSpacing/>
        <w:jc w:val="both"/>
        <w:rPr>
          <w:rFonts w:ascii="Arial" w:hAnsi="Arial" w:cs="Arial"/>
        </w:rPr>
      </w:pPr>
    </w:p>
    <w:p w14:paraId="59D1C513" w14:textId="77777777" w:rsidR="001C0AC5" w:rsidRPr="0056292A" w:rsidRDefault="001C0AC5" w:rsidP="001C0AC5">
      <w:pPr>
        <w:contextualSpacing/>
        <w:jc w:val="both"/>
        <w:rPr>
          <w:rFonts w:ascii="Arial" w:hAnsi="Arial" w:cs="Arial"/>
        </w:rPr>
      </w:pPr>
    </w:p>
    <w:p w14:paraId="5F823F9E" w14:textId="77777777" w:rsidR="001C0AC5" w:rsidRPr="0056292A" w:rsidRDefault="001C0AC5" w:rsidP="001C0AC5">
      <w:pPr>
        <w:contextualSpacing/>
        <w:jc w:val="both"/>
        <w:rPr>
          <w:rFonts w:ascii="Arial" w:hAnsi="Arial" w:cs="Arial"/>
        </w:rPr>
      </w:pPr>
    </w:p>
    <w:p w14:paraId="22CF88CF" w14:textId="77777777" w:rsidR="001C0AC5" w:rsidRPr="0056292A" w:rsidRDefault="001C0AC5" w:rsidP="001C0AC5">
      <w:pPr>
        <w:contextualSpacing/>
        <w:rPr>
          <w:rFonts w:ascii="Arial" w:hAnsi="Arial" w:cs="Arial"/>
          <w:b/>
          <w:bCs/>
          <w:color w:val="000000"/>
        </w:rPr>
      </w:pPr>
      <w:bookmarkStart w:id="1" w:name="_Hlk211343059"/>
      <w:r w:rsidRPr="0056292A">
        <w:rPr>
          <w:rFonts w:ascii="Arial" w:hAnsi="Arial" w:cs="Arial"/>
          <w:b/>
          <w:bCs/>
          <w:color w:val="000000"/>
        </w:rPr>
        <w:t xml:space="preserve">Table 2. Effects of organic supplements with </w:t>
      </w:r>
      <w:r w:rsidRPr="0056292A">
        <w:rPr>
          <w:rFonts w:ascii="Arial" w:hAnsi="Arial" w:cs="Arial"/>
          <w:b/>
          <w:bCs/>
          <w:i/>
          <w:color w:val="000000"/>
        </w:rPr>
        <w:t>Micrococcus</w:t>
      </w:r>
      <w:r w:rsidRPr="0056292A">
        <w:rPr>
          <w:rFonts w:ascii="Arial" w:hAnsi="Arial" w:cs="Arial"/>
          <w:b/>
          <w:bCs/>
          <w:color w:val="000000"/>
        </w:rPr>
        <w:t xml:space="preserve"> sp. (B2) on physicochemical properties of Zn polluted soil samples</w:t>
      </w:r>
    </w:p>
    <w:tbl>
      <w:tblPr>
        <w:tblW w:w="12221" w:type="dxa"/>
        <w:jc w:val="center"/>
        <w:tblLook w:val="04A0" w:firstRow="1" w:lastRow="0" w:firstColumn="1" w:lastColumn="0" w:noHBand="0" w:noVBand="1"/>
      </w:tblPr>
      <w:tblGrid>
        <w:gridCol w:w="1050"/>
        <w:gridCol w:w="1333"/>
        <w:gridCol w:w="1128"/>
        <w:gridCol w:w="1128"/>
        <w:gridCol w:w="1128"/>
        <w:gridCol w:w="1128"/>
        <w:gridCol w:w="1128"/>
        <w:gridCol w:w="1128"/>
        <w:gridCol w:w="1128"/>
        <w:gridCol w:w="1128"/>
        <w:gridCol w:w="1128"/>
      </w:tblGrid>
      <w:tr w:rsidR="001C0AC5" w:rsidRPr="0056292A" w14:paraId="64A068EB" w14:textId="77777777" w:rsidTr="009C0BA6">
        <w:trPr>
          <w:trHeight w:val="765"/>
          <w:jc w:val="center"/>
        </w:trPr>
        <w:tc>
          <w:tcPr>
            <w:tcW w:w="1032" w:type="dxa"/>
            <w:tcBorders>
              <w:top w:val="single" w:sz="4" w:space="0" w:color="auto"/>
              <w:left w:val="nil"/>
              <w:bottom w:val="single" w:sz="4" w:space="0" w:color="auto"/>
              <w:right w:val="nil"/>
            </w:tcBorders>
            <w:noWrap/>
            <w:vAlign w:val="center"/>
            <w:hideMark/>
          </w:tcPr>
          <w:bookmarkEnd w:id="1"/>
          <w:p w14:paraId="0EC04312"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Samples</w:t>
            </w:r>
          </w:p>
        </w:tc>
        <w:tc>
          <w:tcPr>
            <w:tcW w:w="1333" w:type="dxa"/>
            <w:tcBorders>
              <w:top w:val="single" w:sz="4" w:space="0" w:color="auto"/>
              <w:left w:val="nil"/>
              <w:bottom w:val="single" w:sz="4" w:space="0" w:color="auto"/>
              <w:right w:val="nil"/>
            </w:tcBorders>
            <w:vAlign w:val="center"/>
            <w:hideMark/>
          </w:tcPr>
          <w:p w14:paraId="00D9C32A"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Zn conc</w:t>
            </w:r>
          </w:p>
        </w:tc>
        <w:tc>
          <w:tcPr>
            <w:tcW w:w="1120" w:type="dxa"/>
            <w:tcBorders>
              <w:top w:val="single" w:sz="4" w:space="0" w:color="auto"/>
              <w:left w:val="nil"/>
              <w:bottom w:val="single" w:sz="4" w:space="0" w:color="auto"/>
              <w:right w:val="nil"/>
            </w:tcBorders>
            <w:vAlign w:val="bottom"/>
            <w:hideMark/>
          </w:tcPr>
          <w:p w14:paraId="3D20C985"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pH</w:t>
            </w:r>
          </w:p>
        </w:tc>
        <w:tc>
          <w:tcPr>
            <w:tcW w:w="1072" w:type="dxa"/>
            <w:tcBorders>
              <w:top w:val="single" w:sz="4" w:space="0" w:color="auto"/>
              <w:left w:val="nil"/>
              <w:bottom w:val="single" w:sz="4" w:space="0" w:color="auto"/>
              <w:right w:val="nil"/>
            </w:tcBorders>
            <w:vAlign w:val="bottom"/>
            <w:hideMark/>
          </w:tcPr>
          <w:p w14:paraId="2DDFD40D"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OC</w:t>
            </w:r>
          </w:p>
        </w:tc>
        <w:tc>
          <w:tcPr>
            <w:tcW w:w="1120" w:type="dxa"/>
            <w:tcBorders>
              <w:top w:val="single" w:sz="4" w:space="0" w:color="auto"/>
              <w:left w:val="nil"/>
              <w:bottom w:val="single" w:sz="4" w:space="0" w:color="auto"/>
              <w:right w:val="nil"/>
            </w:tcBorders>
            <w:vAlign w:val="bottom"/>
            <w:hideMark/>
          </w:tcPr>
          <w:p w14:paraId="7ED6C8C4"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SOM</w:t>
            </w:r>
          </w:p>
        </w:tc>
        <w:tc>
          <w:tcPr>
            <w:tcW w:w="1120" w:type="dxa"/>
            <w:tcBorders>
              <w:top w:val="single" w:sz="4" w:space="0" w:color="auto"/>
              <w:left w:val="nil"/>
              <w:bottom w:val="single" w:sz="4" w:space="0" w:color="auto"/>
              <w:right w:val="nil"/>
            </w:tcBorders>
            <w:vAlign w:val="bottom"/>
            <w:hideMark/>
          </w:tcPr>
          <w:p w14:paraId="10E10370"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N</w:t>
            </w:r>
          </w:p>
        </w:tc>
        <w:tc>
          <w:tcPr>
            <w:tcW w:w="1080" w:type="dxa"/>
            <w:tcBorders>
              <w:top w:val="single" w:sz="4" w:space="0" w:color="auto"/>
              <w:left w:val="nil"/>
              <w:bottom w:val="single" w:sz="4" w:space="0" w:color="auto"/>
              <w:right w:val="nil"/>
            </w:tcBorders>
            <w:vAlign w:val="bottom"/>
            <w:hideMark/>
          </w:tcPr>
          <w:p w14:paraId="234D9976"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Ca</w:t>
            </w:r>
          </w:p>
        </w:tc>
        <w:tc>
          <w:tcPr>
            <w:tcW w:w="1072" w:type="dxa"/>
            <w:tcBorders>
              <w:top w:val="single" w:sz="4" w:space="0" w:color="auto"/>
              <w:left w:val="nil"/>
              <w:bottom w:val="single" w:sz="4" w:space="0" w:color="auto"/>
              <w:right w:val="nil"/>
            </w:tcBorders>
            <w:vAlign w:val="bottom"/>
            <w:hideMark/>
          </w:tcPr>
          <w:p w14:paraId="7304F910"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K</w:t>
            </w:r>
          </w:p>
        </w:tc>
        <w:tc>
          <w:tcPr>
            <w:tcW w:w="1120" w:type="dxa"/>
            <w:tcBorders>
              <w:top w:val="single" w:sz="4" w:space="0" w:color="auto"/>
              <w:left w:val="nil"/>
              <w:bottom w:val="single" w:sz="4" w:space="0" w:color="auto"/>
              <w:right w:val="nil"/>
            </w:tcBorders>
            <w:vAlign w:val="bottom"/>
            <w:hideMark/>
          </w:tcPr>
          <w:p w14:paraId="20D3D9AB"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Mg</w:t>
            </w:r>
          </w:p>
        </w:tc>
        <w:tc>
          <w:tcPr>
            <w:tcW w:w="1072" w:type="dxa"/>
            <w:tcBorders>
              <w:top w:val="single" w:sz="4" w:space="0" w:color="auto"/>
              <w:left w:val="nil"/>
              <w:bottom w:val="single" w:sz="4" w:space="0" w:color="auto"/>
              <w:right w:val="nil"/>
            </w:tcBorders>
            <w:vAlign w:val="bottom"/>
            <w:hideMark/>
          </w:tcPr>
          <w:p w14:paraId="7A523C86"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P</w:t>
            </w:r>
          </w:p>
        </w:tc>
        <w:tc>
          <w:tcPr>
            <w:tcW w:w="1080" w:type="dxa"/>
            <w:tcBorders>
              <w:top w:val="single" w:sz="4" w:space="0" w:color="auto"/>
              <w:left w:val="nil"/>
              <w:bottom w:val="single" w:sz="4" w:space="0" w:color="auto"/>
              <w:right w:val="nil"/>
            </w:tcBorders>
            <w:vAlign w:val="bottom"/>
            <w:hideMark/>
          </w:tcPr>
          <w:p w14:paraId="3FE8E4DB" w14:textId="77777777" w:rsidR="001C0AC5" w:rsidRPr="0056292A" w:rsidRDefault="001C0AC5" w:rsidP="009C0BA6">
            <w:pPr>
              <w:contextualSpacing/>
              <w:rPr>
                <w:rFonts w:ascii="Arial" w:hAnsi="Arial" w:cs="Arial"/>
                <w:b/>
                <w:bCs/>
                <w:color w:val="000000"/>
              </w:rPr>
            </w:pPr>
            <w:r w:rsidRPr="0056292A">
              <w:rPr>
                <w:rFonts w:ascii="Arial" w:hAnsi="Arial" w:cs="Arial"/>
                <w:b/>
                <w:bCs/>
                <w:color w:val="000000"/>
              </w:rPr>
              <w:t>%Change in Zn</w:t>
            </w:r>
          </w:p>
        </w:tc>
      </w:tr>
      <w:tr w:rsidR="001C0AC5" w:rsidRPr="0056292A" w14:paraId="34965BCD" w14:textId="77777777" w:rsidTr="009C0BA6">
        <w:trPr>
          <w:trHeight w:val="300"/>
          <w:jc w:val="center"/>
        </w:trPr>
        <w:tc>
          <w:tcPr>
            <w:tcW w:w="1032" w:type="dxa"/>
            <w:vMerge w:val="restart"/>
            <w:tcBorders>
              <w:top w:val="single" w:sz="4" w:space="0" w:color="auto"/>
              <w:left w:val="nil"/>
              <w:bottom w:val="nil"/>
              <w:right w:val="nil"/>
            </w:tcBorders>
            <w:noWrap/>
            <w:vAlign w:val="center"/>
            <w:hideMark/>
          </w:tcPr>
          <w:p w14:paraId="78E5E485" w14:textId="77777777" w:rsidR="001C0AC5" w:rsidRPr="0056292A" w:rsidRDefault="001C0AC5" w:rsidP="009C0BA6">
            <w:pPr>
              <w:contextualSpacing/>
              <w:rPr>
                <w:rFonts w:ascii="Arial" w:hAnsi="Arial" w:cs="Arial"/>
                <w:color w:val="000000"/>
              </w:rPr>
            </w:pPr>
            <w:r w:rsidRPr="0056292A">
              <w:rPr>
                <w:rFonts w:ascii="Arial" w:hAnsi="Arial" w:cs="Arial"/>
                <w:color w:val="000000"/>
              </w:rPr>
              <w:t>A</w:t>
            </w:r>
            <w:r w:rsidRPr="0056292A">
              <w:rPr>
                <w:rFonts w:ascii="Arial" w:hAnsi="Arial" w:cs="Arial"/>
                <w:color w:val="000000"/>
                <w:vertAlign w:val="subscript"/>
              </w:rPr>
              <w:t>1</w:t>
            </w:r>
            <w:r w:rsidRPr="0056292A">
              <w:rPr>
                <w:rFonts w:ascii="Arial" w:hAnsi="Arial" w:cs="Arial"/>
                <w:color w:val="000000"/>
              </w:rPr>
              <w:t>C</w:t>
            </w:r>
            <w:r w:rsidRPr="0056292A">
              <w:rPr>
                <w:rFonts w:ascii="Arial" w:hAnsi="Arial" w:cs="Arial"/>
                <w:color w:val="000000"/>
                <w:vertAlign w:val="subscript"/>
              </w:rPr>
              <w:t>2</w:t>
            </w:r>
            <w:r w:rsidRPr="0056292A">
              <w:rPr>
                <w:rFonts w:ascii="Arial" w:hAnsi="Arial" w:cs="Arial"/>
                <w:color w:val="000000"/>
              </w:rPr>
              <w:t>B</w:t>
            </w:r>
            <w:r w:rsidRPr="0056292A">
              <w:rPr>
                <w:rFonts w:ascii="Arial" w:hAnsi="Arial" w:cs="Arial"/>
                <w:color w:val="000000"/>
                <w:vertAlign w:val="subscript"/>
              </w:rPr>
              <w:t>2</w:t>
            </w:r>
          </w:p>
        </w:tc>
        <w:tc>
          <w:tcPr>
            <w:tcW w:w="1333" w:type="dxa"/>
            <w:tcBorders>
              <w:top w:val="single" w:sz="4" w:space="0" w:color="auto"/>
              <w:left w:val="nil"/>
              <w:bottom w:val="nil"/>
              <w:right w:val="nil"/>
            </w:tcBorders>
            <w:noWrap/>
            <w:vAlign w:val="center"/>
            <w:hideMark/>
          </w:tcPr>
          <w:p w14:paraId="267CCAC3" w14:textId="77777777" w:rsidR="001C0AC5" w:rsidRPr="0056292A" w:rsidRDefault="001C0AC5" w:rsidP="009C0BA6">
            <w:pPr>
              <w:contextualSpacing/>
              <w:jc w:val="both"/>
              <w:rPr>
                <w:rFonts w:ascii="Arial" w:hAnsi="Arial" w:cs="Arial"/>
              </w:rPr>
            </w:pPr>
            <w:r w:rsidRPr="0056292A">
              <w:rPr>
                <w:rFonts w:ascii="Arial" w:hAnsi="Arial" w:cs="Arial"/>
              </w:rPr>
              <w:t>32.75 mg/kg</w:t>
            </w:r>
          </w:p>
        </w:tc>
        <w:tc>
          <w:tcPr>
            <w:tcW w:w="1120" w:type="dxa"/>
            <w:tcBorders>
              <w:top w:val="single" w:sz="4" w:space="0" w:color="auto"/>
              <w:left w:val="nil"/>
              <w:bottom w:val="nil"/>
              <w:right w:val="nil"/>
            </w:tcBorders>
            <w:noWrap/>
            <w:vAlign w:val="bottom"/>
            <w:hideMark/>
          </w:tcPr>
          <w:p w14:paraId="1C7B6BD7" w14:textId="77777777" w:rsidR="001C0AC5" w:rsidRPr="0056292A" w:rsidRDefault="001C0AC5" w:rsidP="009C0BA6">
            <w:pPr>
              <w:contextualSpacing/>
              <w:rPr>
                <w:rFonts w:ascii="Arial" w:hAnsi="Arial" w:cs="Arial"/>
                <w:color w:val="000000"/>
              </w:rPr>
            </w:pPr>
            <w:r w:rsidRPr="0056292A">
              <w:rPr>
                <w:rFonts w:ascii="Arial" w:hAnsi="Arial" w:cs="Arial"/>
                <w:color w:val="000000"/>
              </w:rPr>
              <w:t>10.70</w:t>
            </w:r>
            <w:r w:rsidRPr="0056292A">
              <w:rPr>
                <w:rFonts w:ascii="Arial" w:hAnsi="Arial" w:cs="Arial"/>
                <w:i/>
                <w:color w:val="000000"/>
              </w:rPr>
              <w:t xml:space="preserve"> </w:t>
            </w:r>
            <w:r w:rsidRPr="0056292A">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hideMark/>
          </w:tcPr>
          <w:p w14:paraId="45E4D825" w14:textId="77777777" w:rsidR="001C0AC5" w:rsidRPr="0056292A" w:rsidRDefault="001C0AC5" w:rsidP="009C0BA6">
            <w:pPr>
              <w:contextualSpacing/>
              <w:rPr>
                <w:rFonts w:ascii="Arial" w:hAnsi="Arial" w:cs="Arial"/>
                <w:color w:val="000000"/>
              </w:rPr>
            </w:pPr>
            <w:r w:rsidRPr="0056292A">
              <w:rPr>
                <w:rFonts w:ascii="Arial" w:hAnsi="Arial" w:cs="Arial"/>
                <w:color w:val="000000"/>
              </w:rPr>
              <w:t xml:space="preserve">108.89 </w:t>
            </w:r>
            <w:r w:rsidRPr="0056292A">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hideMark/>
          </w:tcPr>
          <w:p w14:paraId="7744D064" w14:textId="77777777" w:rsidR="001C0AC5" w:rsidRPr="0056292A" w:rsidRDefault="001C0AC5" w:rsidP="009C0BA6">
            <w:pPr>
              <w:contextualSpacing/>
              <w:rPr>
                <w:rFonts w:ascii="Arial" w:hAnsi="Arial" w:cs="Arial"/>
                <w:color w:val="000000"/>
              </w:rPr>
            </w:pPr>
            <w:r w:rsidRPr="0056292A">
              <w:rPr>
                <w:rFonts w:ascii="Arial" w:hAnsi="Arial" w:cs="Arial"/>
                <w:color w:val="000000"/>
              </w:rPr>
              <w:t>90.86</w:t>
            </w:r>
            <w:r w:rsidRPr="0056292A">
              <w:rPr>
                <w:rFonts w:ascii="Arial" w:hAnsi="Arial" w:cs="Arial"/>
                <w:i/>
                <w:color w:val="000000"/>
                <w:vertAlign w:val="superscript"/>
              </w:rPr>
              <w:t xml:space="preserve"> b</w:t>
            </w:r>
          </w:p>
        </w:tc>
        <w:tc>
          <w:tcPr>
            <w:tcW w:w="1120" w:type="dxa"/>
            <w:tcBorders>
              <w:top w:val="single" w:sz="4" w:space="0" w:color="auto"/>
              <w:left w:val="nil"/>
              <w:bottom w:val="nil"/>
              <w:right w:val="nil"/>
            </w:tcBorders>
            <w:noWrap/>
            <w:vAlign w:val="bottom"/>
            <w:hideMark/>
          </w:tcPr>
          <w:p w14:paraId="25FB7B13" w14:textId="77777777" w:rsidR="001C0AC5" w:rsidRPr="0056292A" w:rsidRDefault="001C0AC5" w:rsidP="009C0BA6">
            <w:pPr>
              <w:contextualSpacing/>
              <w:rPr>
                <w:rFonts w:ascii="Arial" w:hAnsi="Arial" w:cs="Arial"/>
                <w:color w:val="000000"/>
              </w:rPr>
            </w:pPr>
            <w:r w:rsidRPr="0056292A">
              <w:rPr>
                <w:rFonts w:ascii="Arial" w:hAnsi="Arial" w:cs="Arial"/>
                <w:color w:val="000000"/>
              </w:rPr>
              <w:t>52.33</w:t>
            </w:r>
            <w:r w:rsidRPr="0056292A">
              <w:rPr>
                <w:rFonts w:ascii="Arial" w:hAnsi="Arial" w:cs="Arial"/>
                <w:color w:val="000000"/>
                <w:vertAlign w:val="superscript"/>
              </w:rPr>
              <w:t xml:space="preserve"> </w:t>
            </w:r>
            <w:r w:rsidRPr="0056292A">
              <w:rPr>
                <w:rFonts w:ascii="Arial" w:hAnsi="Arial" w:cs="Arial"/>
                <w:b/>
                <w:color w:val="000000"/>
                <w:vertAlign w:val="superscript"/>
              </w:rPr>
              <w:t>b</w:t>
            </w:r>
          </w:p>
        </w:tc>
        <w:tc>
          <w:tcPr>
            <w:tcW w:w="1080" w:type="dxa"/>
            <w:tcBorders>
              <w:top w:val="single" w:sz="4" w:space="0" w:color="auto"/>
              <w:left w:val="nil"/>
              <w:bottom w:val="nil"/>
              <w:right w:val="nil"/>
            </w:tcBorders>
            <w:noWrap/>
            <w:vAlign w:val="bottom"/>
            <w:hideMark/>
          </w:tcPr>
          <w:p w14:paraId="3BAD4D5D" w14:textId="77777777" w:rsidR="001C0AC5" w:rsidRPr="0056292A" w:rsidRDefault="001C0AC5" w:rsidP="009C0BA6">
            <w:pPr>
              <w:contextualSpacing/>
              <w:rPr>
                <w:rFonts w:ascii="Arial" w:hAnsi="Arial" w:cs="Arial"/>
                <w:color w:val="000000"/>
              </w:rPr>
            </w:pPr>
            <w:r w:rsidRPr="0056292A">
              <w:rPr>
                <w:rFonts w:ascii="Arial" w:hAnsi="Arial" w:cs="Arial"/>
                <w:color w:val="000000"/>
              </w:rPr>
              <w:t>6.95</w:t>
            </w:r>
            <w:r w:rsidRPr="0056292A">
              <w:rPr>
                <w:rFonts w:ascii="Arial" w:hAnsi="Arial" w:cs="Arial"/>
                <w:color w:val="000000"/>
                <w:vertAlign w:val="superscript"/>
              </w:rPr>
              <w:t xml:space="preserve"> </w:t>
            </w:r>
            <w:r w:rsidRPr="0056292A">
              <w:rPr>
                <w:rFonts w:ascii="Arial" w:hAnsi="Arial" w:cs="Arial"/>
                <w:i/>
                <w:color w:val="000000"/>
                <w:vertAlign w:val="superscript"/>
              </w:rPr>
              <w:t>b,1</w:t>
            </w:r>
          </w:p>
        </w:tc>
        <w:tc>
          <w:tcPr>
            <w:tcW w:w="1072" w:type="dxa"/>
            <w:tcBorders>
              <w:top w:val="single" w:sz="4" w:space="0" w:color="auto"/>
              <w:left w:val="nil"/>
              <w:bottom w:val="nil"/>
              <w:right w:val="nil"/>
            </w:tcBorders>
            <w:noWrap/>
            <w:vAlign w:val="bottom"/>
            <w:hideMark/>
          </w:tcPr>
          <w:p w14:paraId="027DAAE0" w14:textId="77777777" w:rsidR="001C0AC5" w:rsidRPr="0056292A" w:rsidRDefault="001C0AC5" w:rsidP="009C0BA6">
            <w:pPr>
              <w:contextualSpacing/>
              <w:rPr>
                <w:rFonts w:ascii="Arial" w:hAnsi="Arial" w:cs="Arial"/>
                <w:color w:val="000000"/>
              </w:rPr>
            </w:pPr>
            <w:r w:rsidRPr="0056292A">
              <w:rPr>
                <w:rFonts w:ascii="Arial" w:hAnsi="Arial" w:cs="Arial"/>
                <w:color w:val="000000"/>
              </w:rPr>
              <w:t>10.38</w:t>
            </w:r>
            <w:r w:rsidRPr="0056292A">
              <w:rPr>
                <w:rFonts w:ascii="Arial" w:hAnsi="Arial" w:cs="Arial"/>
                <w:i/>
                <w:color w:val="000000"/>
                <w:vertAlign w:val="superscript"/>
              </w:rPr>
              <w:t xml:space="preserve"> b,1</w:t>
            </w:r>
          </w:p>
        </w:tc>
        <w:tc>
          <w:tcPr>
            <w:tcW w:w="1120" w:type="dxa"/>
            <w:tcBorders>
              <w:top w:val="single" w:sz="4" w:space="0" w:color="auto"/>
              <w:left w:val="nil"/>
              <w:bottom w:val="nil"/>
              <w:right w:val="nil"/>
            </w:tcBorders>
            <w:noWrap/>
            <w:vAlign w:val="bottom"/>
            <w:hideMark/>
          </w:tcPr>
          <w:p w14:paraId="2A110ECB" w14:textId="77777777" w:rsidR="001C0AC5" w:rsidRPr="0056292A" w:rsidRDefault="001C0AC5" w:rsidP="009C0BA6">
            <w:pPr>
              <w:contextualSpacing/>
              <w:rPr>
                <w:rFonts w:ascii="Arial" w:hAnsi="Arial" w:cs="Arial"/>
                <w:color w:val="000000"/>
              </w:rPr>
            </w:pPr>
            <w:r w:rsidRPr="0056292A">
              <w:rPr>
                <w:rFonts w:ascii="Arial" w:hAnsi="Arial" w:cs="Arial"/>
                <w:color w:val="000000"/>
              </w:rPr>
              <w:t xml:space="preserve">-14.47 </w:t>
            </w:r>
            <w:r w:rsidRPr="0056292A">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hideMark/>
          </w:tcPr>
          <w:p w14:paraId="6B715D29" w14:textId="77777777" w:rsidR="001C0AC5" w:rsidRPr="0056292A" w:rsidRDefault="001C0AC5" w:rsidP="009C0BA6">
            <w:pPr>
              <w:contextualSpacing/>
              <w:rPr>
                <w:rFonts w:ascii="Arial" w:hAnsi="Arial" w:cs="Arial"/>
                <w:color w:val="000000"/>
              </w:rPr>
            </w:pPr>
            <w:r w:rsidRPr="0056292A">
              <w:rPr>
                <w:rFonts w:ascii="Arial" w:hAnsi="Arial" w:cs="Arial"/>
                <w:color w:val="000000"/>
              </w:rPr>
              <w:t>155.34</w:t>
            </w:r>
            <w:r w:rsidRPr="0056292A">
              <w:rPr>
                <w:rFonts w:ascii="Arial" w:hAnsi="Arial" w:cs="Arial"/>
                <w:i/>
                <w:color w:val="000000"/>
              </w:rPr>
              <w:t xml:space="preserve"> </w:t>
            </w:r>
            <w:r w:rsidRPr="0056292A">
              <w:rPr>
                <w:rFonts w:ascii="Arial" w:hAnsi="Arial" w:cs="Arial"/>
                <w:i/>
                <w:color w:val="000000"/>
                <w:vertAlign w:val="superscript"/>
              </w:rPr>
              <w:t>a,1</w:t>
            </w:r>
          </w:p>
        </w:tc>
        <w:tc>
          <w:tcPr>
            <w:tcW w:w="1080" w:type="dxa"/>
            <w:tcBorders>
              <w:top w:val="single" w:sz="4" w:space="0" w:color="auto"/>
              <w:left w:val="nil"/>
              <w:bottom w:val="nil"/>
              <w:right w:val="nil"/>
            </w:tcBorders>
            <w:noWrap/>
            <w:vAlign w:val="bottom"/>
            <w:hideMark/>
          </w:tcPr>
          <w:p w14:paraId="770FCF73" w14:textId="77777777" w:rsidR="001C0AC5" w:rsidRPr="0056292A" w:rsidRDefault="001C0AC5" w:rsidP="009C0BA6">
            <w:pPr>
              <w:contextualSpacing/>
              <w:rPr>
                <w:rFonts w:ascii="Arial" w:hAnsi="Arial" w:cs="Arial"/>
                <w:color w:val="000000"/>
              </w:rPr>
            </w:pPr>
            <w:r w:rsidRPr="0056292A">
              <w:rPr>
                <w:rFonts w:ascii="Arial" w:hAnsi="Arial" w:cs="Arial"/>
                <w:color w:val="000000"/>
              </w:rPr>
              <w:t>-24.82</w:t>
            </w:r>
            <w:r w:rsidRPr="0056292A">
              <w:rPr>
                <w:rFonts w:ascii="Arial" w:hAnsi="Arial" w:cs="Arial"/>
                <w:i/>
                <w:color w:val="000000"/>
              </w:rPr>
              <w:t xml:space="preserve"> </w:t>
            </w:r>
            <w:r w:rsidRPr="0056292A">
              <w:rPr>
                <w:rFonts w:ascii="Arial" w:hAnsi="Arial" w:cs="Arial"/>
                <w:i/>
                <w:color w:val="000000"/>
                <w:vertAlign w:val="superscript"/>
              </w:rPr>
              <w:t>a,2</w:t>
            </w:r>
          </w:p>
        </w:tc>
      </w:tr>
      <w:tr w:rsidR="001C0AC5" w:rsidRPr="0056292A" w14:paraId="72077480" w14:textId="77777777" w:rsidTr="009C0BA6">
        <w:trPr>
          <w:trHeight w:val="300"/>
          <w:jc w:val="center"/>
        </w:trPr>
        <w:tc>
          <w:tcPr>
            <w:tcW w:w="1032" w:type="dxa"/>
            <w:vMerge/>
            <w:tcBorders>
              <w:top w:val="nil"/>
              <w:left w:val="nil"/>
              <w:bottom w:val="nil"/>
              <w:right w:val="nil"/>
            </w:tcBorders>
            <w:vAlign w:val="center"/>
            <w:hideMark/>
          </w:tcPr>
          <w:p w14:paraId="074C860B" w14:textId="77777777" w:rsidR="001C0AC5" w:rsidRPr="0056292A" w:rsidRDefault="001C0AC5" w:rsidP="009C0BA6">
            <w:pPr>
              <w:contextualSpacing/>
              <w:rPr>
                <w:rFonts w:ascii="Arial" w:hAnsi="Arial" w:cs="Arial"/>
                <w:color w:val="000000"/>
              </w:rPr>
            </w:pPr>
          </w:p>
        </w:tc>
        <w:tc>
          <w:tcPr>
            <w:tcW w:w="1333" w:type="dxa"/>
            <w:tcBorders>
              <w:top w:val="nil"/>
              <w:left w:val="nil"/>
              <w:bottom w:val="nil"/>
              <w:right w:val="nil"/>
            </w:tcBorders>
            <w:noWrap/>
            <w:vAlign w:val="center"/>
            <w:hideMark/>
          </w:tcPr>
          <w:p w14:paraId="1DBEFAD0" w14:textId="77777777" w:rsidR="001C0AC5" w:rsidRPr="0056292A" w:rsidRDefault="001C0AC5" w:rsidP="009C0BA6">
            <w:pPr>
              <w:contextualSpacing/>
              <w:jc w:val="both"/>
              <w:rPr>
                <w:rFonts w:ascii="Arial" w:hAnsi="Arial" w:cs="Arial"/>
              </w:rPr>
            </w:pPr>
            <w:r w:rsidRPr="0056292A">
              <w:rPr>
                <w:rFonts w:ascii="Arial" w:hAnsi="Arial" w:cs="Arial"/>
              </w:rPr>
              <w:t>42.02 mg/kg</w:t>
            </w:r>
          </w:p>
        </w:tc>
        <w:tc>
          <w:tcPr>
            <w:tcW w:w="1120" w:type="dxa"/>
            <w:tcBorders>
              <w:top w:val="nil"/>
              <w:left w:val="nil"/>
              <w:bottom w:val="nil"/>
              <w:right w:val="nil"/>
            </w:tcBorders>
            <w:noWrap/>
            <w:vAlign w:val="bottom"/>
            <w:hideMark/>
          </w:tcPr>
          <w:p w14:paraId="42A8B47C" w14:textId="77777777" w:rsidR="001C0AC5" w:rsidRPr="0056292A" w:rsidRDefault="001C0AC5" w:rsidP="009C0BA6">
            <w:pPr>
              <w:contextualSpacing/>
              <w:rPr>
                <w:rFonts w:ascii="Arial" w:hAnsi="Arial" w:cs="Arial"/>
                <w:color w:val="000000"/>
              </w:rPr>
            </w:pPr>
            <w:r w:rsidRPr="0056292A">
              <w:rPr>
                <w:rFonts w:ascii="Arial" w:hAnsi="Arial" w:cs="Arial"/>
                <w:color w:val="000000"/>
              </w:rPr>
              <w:t>21.01</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72" w:type="dxa"/>
            <w:tcBorders>
              <w:top w:val="nil"/>
              <w:left w:val="nil"/>
              <w:bottom w:val="nil"/>
              <w:right w:val="nil"/>
            </w:tcBorders>
            <w:noWrap/>
            <w:vAlign w:val="bottom"/>
            <w:hideMark/>
          </w:tcPr>
          <w:p w14:paraId="5D20D85B" w14:textId="77777777" w:rsidR="001C0AC5" w:rsidRPr="0056292A" w:rsidRDefault="001C0AC5" w:rsidP="009C0BA6">
            <w:pPr>
              <w:contextualSpacing/>
              <w:rPr>
                <w:rFonts w:ascii="Arial" w:hAnsi="Arial" w:cs="Arial"/>
                <w:color w:val="000000"/>
              </w:rPr>
            </w:pPr>
            <w:r w:rsidRPr="0056292A">
              <w:rPr>
                <w:rFonts w:ascii="Arial" w:hAnsi="Arial" w:cs="Arial"/>
                <w:color w:val="000000"/>
              </w:rPr>
              <w:t>126.87</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120" w:type="dxa"/>
            <w:tcBorders>
              <w:top w:val="nil"/>
              <w:left w:val="nil"/>
              <w:bottom w:val="nil"/>
              <w:right w:val="nil"/>
            </w:tcBorders>
            <w:noWrap/>
            <w:vAlign w:val="bottom"/>
            <w:hideMark/>
          </w:tcPr>
          <w:p w14:paraId="5018F6B2" w14:textId="77777777" w:rsidR="001C0AC5" w:rsidRPr="0056292A" w:rsidRDefault="001C0AC5" w:rsidP="009C0BA6">
            <w:pPr>
              <w:contextualSpacing/>
              <w:rPr>
                <w:rFonts w:ascii="Arial" w:hAnsi="Arial" w:cs="Arial"/>
                <w:color w:val="000000"/>
              </w:rPr>
            </w:pPr>
            <w:r w:rsidRPr="0056292A">
              <w:rPr>
                <w:rFonts w:ascii="Arial" w:hAnsi="Arial" w:cs="Arial"/>
                <w:color w:val="000000"/>
              </w:rPr>
              <w:t>99.05</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120" w:type="dxa"/>
            <w:tcBorders>
              <w:top w:val="nil"/>
              <w:left w:val="nil"/>
              <w:bottom w:val="nil"/>
              <w:right w:val="nil"/>
            </w:tcBorders>
            <w:noWrap/>
            <w:vAlign w:val="bottom"/>
            <w:hideMark/>
          </w:tcPr>
          <w:p w14:paraId="68BCEA1F" w14:textId="77777777" w:rsidR="001C0AC5" w:rsidRPr="0056292A" w:rsidRDefault="001C0AC5" w:rsidP="009C0BA6">
            <w:pPr>
              <w:contextualSpacing/>
              <w:rPr>
                <w:rFonts w:ascii="Arial" w:hAnsi="Arial" w:cs="Arial"/>
                <w:color w:val="000000"/>
              </w:rPr>
            </w:pPr>
            <w:r w:rsidRPr="0056292A">
              <w:rPr>
                <w:rFonts w:ascii="Arial" w:hAnsi="Arial" w:cs="Arial"/>
                <w:color w:val="000000"/>
              </w:rPr>
              <w:t>62.66</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80" w:type="dxa"/>
            <w:tcBorders>
              <w:top w:val="nil"/>
              <w:left w:val="nil"/>
              <w:bottom w:val="nil"/>
              <w:right w:val="nil"/>
            </w:tcBorders>
            <w:noWrap/>
            <w:vAlign w:val="bottom"/>
            <w:hideMark/>
          </w:tcPr>
          <w:p w14:paraId="326E90D6" w14:textId="77777777" w:rsidR="001C0AC5" w:rsidRPr="0056292A" w:rsidRDefault="001C0AC5" w:rsidP="009C0BA6">
            <w:pPr>
              <w:contextualSpacing/>
              <w:rPr>
                <w:rFonts w:ascii="Arial" w:hAnsi="Arial" w:cs="Arial"/>
                <w:color w:val="000000"/>
              </w:rPr>
            </w:pPr>
            <w:r w:rsidRPr="0056292A">
              <w:rPr>
                <w:rFonts w:ascii="Arial" w:hAnsi="Arial" w:cs="Arial"/>
                <w:color w:val="000000"/>
              </w:rPr>
              <w:t>6.10</w:t>
            </w:r>
            <w:r w:rsidRPr="0056292A">
              <w:rPr>
                <w:rFonts w:ascii="Arial" w:hAnsi="Arial" w:cs="Arial"/>
                <w:i/>
                <w:color w:val="000000"/>
                <w:vertAlign w:val="superscript"/>
              </w:rPr>
              <w:t xml:space="preserve"> b,1</w:t>
            </w:r>
          </w:p>
        </w:tc>
        <w:tc>
          <w:tcPr>
            <w:tcW w:w="1072" w:type="dxa"/>
            <w:tcBorders>
              <w:top w:val="nil"/>
              <w:left w:val="nil"/>
              <w:bottom w:val="nil"/>
              <w:right w:val="nil"/>
            </w:tcBorders>
            <w:noWrap/>
            <w:vAlign w:val="bottom"/>
            <w:hideMark/>
          </w:tcPr>
          <w:p w14:paraId="56B738F5" w14:textId="77777777" w:rsidR="001C0AC5" w:rsidRPr="0056292A" w:rsidRDefault="001C0AC5" w:rsidP="009C0BA6">
            <w:pPr>
              <w:contextualSpacing/>
              <w:rPr>
                <w:rFonts w:ascii="Arial" w:hAnsi="Arial" w:cs="Arial"/>
                <w:color w:val="000000"/>
              </w:rPr>
            </w:pPr>
            <w:r w:rsidRPr="0056292A">
              <w:rPr>
                <w:rFonts w:ascii="Arial" w:hAnsi="Arial" w:cs="Arial"/>
                <w:color w:val="000000"/>
              </w:rPr>
              <w:t>16.41</w:t>
            </w:r>
            <w:r w:rsidRPr="0056292A">
              <w:rPr>
                <w:rFonts w:ascii="Arial" w:hAnsi="Arial" w:cs="Arial"/>
                <w:i/>
                <w:color w:val="000000"/>
                <w:vertAlign w:val="superscript"/>
              </w:rPr>
              <w:t xml:space="preserve"> b,1</w:t>
            </w:r>
          </w:p>
        </w:tc>
        <w:tc>
          <w:tcPr>
            <w:tcW w:w="1120" w:type="dxa"/>
            <w:tcBorders>
              <w:top w:val="nil"/>
              <w:left w:val="nil"/>
              <w:bottom w:val="nil"/>
              <w:right w:val="nil"/>
            </w:tcBorders>
            <w:noWrap/>
            <w:vAlign w:val="bottom"/>
            <w:hideMark/>
          </w:tcPr>
          <w:p w14:paraId="4E10F954" w14:textId="77777777" w:rsidR="001C0AC5" w:rsidRPr="0056292A" w:rsidRDefault="001C0AC5" w:rsidP="009C0BA6">
            <w:pPr>
              <w:contextualSpacing/>
              <w:rPr>
                <w:rFonts w:ascii="Arial" w:hAnsi="Arial" w:cs="Arial"/>
                <w:color w:val="000000"/>
              </w:rPr>
            </w:pPr>
            <w:r w:rsidRPr="0056292A">
              <w:rPr>
                <w:rFonts w:ascii="Arial" w:hAnsi="Arial" w:cs="Arial"/>
                <w:color w:val="000000"/>
              </w:rPr>
              <w:t>-18.56</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nil"/>
              <w:left w:val="nil"/>
              <w:bottom w:val="nil"/>
              <w:right w:val="nil"/>
            </w:tcBorders>
            <w:noWrap/>
            <w:vAlign w:val="bottom"/>
            <w:hideMark/>
          </w:tcPr>
          <w:p w14:paraId="7C39DBB0" w14:textId="77777777" w:rsidR="001C0AC5" w:rsidRPr="0056292A" w:rsidRDefault="001C0AC5" w:rsidP="009C0BA6">
            <w:pPr>
              <w:contextualSpacing/>
              <w:rPr>
                <w:rFonts w:ascii="Arial" w:hAnsi="Arial" w:cs="Arial"/>
                <w:color w:val="000000"/>
              </w:rPr>
            </w:pPr>
            <w:r w:rsidRPr="0056292A">
              <w:rPr>
                <w:rFonts w:ascii="Arial" w:hAnsi="Arial" w:cs="Arial"/>
                <w:color w:val="000000"/>
              </w:rPr>
              <w:t>163.52</w:t>
            </w:r>
            <w:r w:rsidRPr="0056292A">
              <w:rPr>
                <w:rFonts w:ascii="Arial" w:hAnsi="Arial" w:cs="Arial"/>
                <w:color w:val="000000"/>
                <w:vertAlign w:val="superscript"/>
              </w:rPr>
              <w:t xml:space="preserve"> </w:t>
            </w:r>
            <w:r w:rsidRPr="0056292A">
              <w:rPr>
                <w:rFonts w:ascii="Arial" w:hAnsi="Arial" w:cs="Arial"/>
                <w:i/>
                <w:color w:val="000000"/>
                <w:vertAlign w:val="superscript"/>
              </w:rPr>
              <w:t>a,12</w:t>
            </w:r>
          </w:p>
        </w:tc>
        <w:tc>
          <w:tcPr>
            <w:tcW w:w="1080" w:type="dxa"/>
            <w:tcBorders>
              <w:top w:val="nil"/>
              <w:left w:val="nil"/>
              <w:bottom w:val="nil"/>
              <w:right w:val="nil"/>
            </w:tcBorders>
            <w:noWrap/>
            <w:vAlign w:val="bottom"/>
            <w:hideMark/>
          </w:tcPr>
          <w:p w14:paraId="52ADD66A" w14:textId="77777777" w:rsidR="001C0AC5" w:rsidRPr="0056292A" w:rsidRDefault="001C0AC5" w:rsidP="009C0BA6">
            <w:pPr>
              <w:contextualSpacing/>
              <w:rPr>
                <w:rFonts w:ascii="Arial" w:hAnsi="Arial" w:cs="Arial"/>
                <w:color w:val="000000"/>
              </w:rPr>
            </w:pPr>
            <w:r w:rsidRPr="0056292A">
              <w:rPr>
                <w:rFonts w:ascii="Arial" w:hAnsi="Arial" w:cs="Arial"/>
                <w:color w:val="000000"/>
              </w:rPr>
              <w:t>-17.51</w:t>
            </w:r>
            <w:r w:rsidRPr="0056292A">
              <w:rPr>
                <w:rFonts w:ascii="Arial" w:hAnsi="Arial" w:cs="Arial"/>
                <w:color w:val="000000"/>
                <w:vertAlign w:val="superscript"/>
              </w:rPr>
              <w:t xml:space="preserve"> </w:t>
            </w:r>
            <w:r w:rsidRPr="0056292A">
              <w:rPr>
                <w:rFonts w:ascii="Arial" w:hAnsi="Arial" w:cs="Arial"/>
                <w:i/>
                <w:color w:val="000000"/>
                <w:vertAlign w:val="superscript"/>
              </w:rPr>
              <w:t>a,1</w:t>
            </w:r>
          </w:p>
        </w:tc>
      </w:tr>
      <w:tr w:rsidR="001C0AC5" w:rsidRPr="0056292A" w14:paraId="34C23280" w14:textId="77777777" w:rsidTr="009C0BA6">
        <w:trPr>
          <w:trHeight w:val="300"/>
          <w:jc w:val="center"/>
        </w:trPr>
        <w:tc>
          <w:tcPr>
            <w:tcW w:w="1032" w:type="dxa"/>
            <w:vMerge/>
            <w:tcBorders>
              <w:top w:val="nil"/>
              <w:left w:val="nil"/>
              <w:bottom w:val="single" w:sz="4" w:space="0" w:color="auto"/>
              <w:right w:val="nil"/>
            </w:tcBorders>
            <w:vAlign w:val="center"/>
            <w:hideMark/>
          </w:tcPr>
          <w:p w14:paraId="230D4418" w14:textId="77777777" w:rsidR="001C0AC5" w:rsidRPr="0056292A" w:rsidRDefault="001C0AC5" w:rsidP="009C0BA6">
            <w:pPr>
              <w:contextualSpacing/>
              <w:rPr>
                <w:rFonts w:ascii="Arial" w:hAnsi="Arial" w:cs="Arial"/>
                <w:color w:val="000000"/>
              </w:rPr>
            </w:pPr>
          </w:p>
        </w:tc>
        <w:tc>
          <w:tcPr>
            <w:tcW w:w="1333" w:type="dxa"/>
            <w:tcBorders>
              <w:top w:val="nil"/>
              <w:left w:val="nil"/>
              <w:bottom w:val="single" w:sz="4" w:space="0" w:color="auto"/>
              <w:right w:val="nil"/>
            </w:tcBorders>
            <w:noWrap/>
            <w:vAlign w:val="bottom"/>
            <w:hideMark/>
          </w:tcPr>
          <w:p w14:paraId="4EFA0E48" w14:textId="77777777" w:rsidR="001C0AC5" w:rsidRPr="0056292A" w:rsidRDefault="001C0AC5" w:rsidP="009C0BA6">
            <w:pPr>
              <w:contextualSpacing/>
              <w:jc w:val="both"/>
              <w:rPr>
                <w:rFonts w:ascii="Arial" w:hAnsi="Arial" w:cs="Arial"/>
              </w:rPr>
            </w:pPr>
            <w:r w:rsidRPr="0056292A">
              <w:rPr>
                <w:rFonts w:ascii="Arial" w:hAnsi="Arial" w:cs="Arial"/>
              </w:rPr>
              <w:t>52.55 mg/kg</w:t>
            </w:r>
          </w:p>
        </w:tc>
        <w:tc>
          <w:tcPr>
            <w:tcW w:w="1120" w:type="dxa"/>
            <w:tcBorders>
              <w:top w:val="nil"/>
              <w:left w:val="nil"/>
              <w:bottom w:val="single" w:sz="4" w:space="0" w:color="auto"/>
              <w:right w:val="nil"/>
            </w:tcBorders>
            <w:noWrap/>
            <w:vAlign w:val="bottom"/>
            <w:hideMark/>
          </w:tcPr>
          <w:p w14:paraId="6A02B785" w14:textId="77777777" w:rsidR="001C0AC5" w:rsidRPr="0056292A" w:rsidRDefault="001C0AC5" w:rsidP="009C0BA6">
            <w:pPr>
              <w:contextualSpacing/>
              <w:rPr>
                <w:rFonts w:ascii="Arial" w:hAnsi="Arial" w:cs="Arial"/>
                <w:color w:val="000000"/>
              </w:rPr>
            </w:pPr>
            <w:r w:rsidRPr="0056292A">
              <w:rPr>
                <w:rFonts w:ascii="Arial" w:hAnsi="Arial" w:cs="Arial"/>
                <w:color w:val="000000"/>
              </w:rPr>
              <w:t>15.82</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hideMark/>
          </w:tcPr>
          <w:p w14:paraId="05476195" w14:textId="77777777" w:rsidR="001C0AC5" w:rsidRPr="0056292A" w:rsidRDefault="001C0AC5" w:rsidP="009C0BA6">
            <w:pPr>
              <w:contextualSpacing/>
              <w:rPr>
                <w:rFonts w:ascii="Arial" w:hAnsi="Arial" w:cs="Arial"/>
                <w:color w:val="000000"/>
              </w:rPr>
            </w:pPr>
            <w:r w:rsidRPr="0056292A">
              <w:rPr>
                <w:rFonts w:ascii="Arial" w:hAnsi="Arial" w:cs="Arial"/>
                <w:color w:val="000000"/>
              </w:rPr>
              <w:t>139.65</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hideMark/>
          </w:tcPr>
          <w:p w14:paraId="1E7732B3" w14:textId="77777777" w:rsidR="001C0AC5" w:rsidRPr="0056292A" w:rsidRDefault="001C0AC5" w:rsidP="009C0BA6">
            <w:pPr>
              <w:contextualSpacing/>
              <w:rPr>
                <w:rFonts w:ascii="Arial" w:hAnsi="Arial" w:cs="Arial"/>
                <w:color w:val="000000"/>
              </w:rPr>
            </w:pPr>
            <w:r w:rsidRPr="0056292A">
              <w:rPr>
                <w:rFonts w:ascii="Arial" w:hAnsi="Arial" w:cs="Arial"/>
                <w:color w:val="000000"/>
              </w:rPr>
              <w:t>111.88</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120" w:type="dxa"/>
            <w:tcBorders>
              <w:top w:val="nil"/>
              <w:left w:val="nil"/>
              <w:bottom w:val="single" w:sz="4" w:space="0" w:color="auto"/>
              <w:right w:val="nil"/>
            </w:tcBorders>
            <w:noWrap/>
            <w:vAlign w:val="bottom"/>
            <w:hideMark/>
          </w:tcPr>
          <w:p w14:paraId="5DE0BEE3" w14:textId="77777777" w:rsidR="001C0AC5" w:rsidRPr="0056292A" w:rsidRDefault="001C0AC5" w:rsidP="009C0BA6">
            <w:pPr>
              <w:contextualSpacing/>
              <w:rPr>
                <w:rFonts w:ascii="Arial" w:hAnsi="Arial" w:cs="Arial"/>
                <w:color w:val="000000"/>
              </w:rPr>
            </w:pPr>
            <w:r w:rsidRPr="0056292A">
              <w:rPr>
                <w:rFonts w:ascii="Arial" w:hAnsi="Arial" w:cs="Arial"/>
                <w:color w:val="000000"/>
              </w:rPr>
              <w:t>65.80</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80" w:type="dxa"/>
            <w:tcBorders>
              <w:top w:val="nil"/>
              <w:left w:val="nil"/>
              <w:bottom w:val="single" w:sz="4" w:space="0" w:color="auto"/>
              <w:right w:val="nil"/>
            </w:tcBorders>
            <w:noWrap/>
            <w:vAlign w:val="bottom"/>
            <w:hideMark/>
          </w:tcPr>
          <w:p w14:paraId="1207FDB5" w14:textId="77777777" w:rsidR="001C0AC5" w:rsidRPr="0056292A" w:rsidRDefault="001C0AC5" w:rsidP="009C0BA6">
            <w:pPr>
              <w:contextualSpacing/>
              <w:rPr>
                <w:rFonts w:ascii="Arial" w:hAnsi="Arial" w:cs="Arial"/>
                <w:color w:val="000000"/>
              </w:rPr>
            </w:pPr>
            <w:r w:rsidRPr="0056292A">
              <w:rPr>
                <w:rFonts w:ascii="Arial" w:hAnsi="Arial" w:cs="Arial"/>
                <w:color w:val="000000"/>
              </w:rPr>
              <w:t>0.37</w:t>
            </w:r>
            <w:r w:rsidRPr="0056292A">
              <w:rPr>
                <w:rFonts w:ascii="Arial" w:hAnsi="Arial" w:cs="Arial"/>
                <w:color w:val="000000"/>
                <w:vertAlign w:val="superscript"/>
              </w:rPr>
              <w:t xml:space="preserve"> </w:t>
            </w:r>
            <w:r w:rsidRPr="0056292A">
              <w:rPr>
                <w:rFonts w:ascii="Arial" w:hAnsi="Arial" w:cs="Arial"/>
                <w:i/>
                <w:color w:val="000000"/>
                <w:vertAlign w:val="superscript"/>
              </w:rPr>
              <w:t>b,2</w:t>
            </w:r>
          </w:p>
        </w:tc>
        <w:tc>
          <w:tcPr>
            <w:tcW w:w="1072" w:type="dxa"/>
            <w:tcBorders>
              <w:top w:val="nil"/>
              <w:left w:val="nil"/>
              <w:bottom w:val="single" w:sz="4" w:space="0" w:color="auto"/>
              <w:right w:val="nil"/>
            </w:tcBorders>
            <w:noWrap/>
            <w:vAlign w:val="bottom"/>
            <w:hideMark/>
          </w:tcPr>
          <w:p w14:paraId="579CCA2A" w14:textId="77777777" w:rsidR="001C0AC5" w:rsidRPr="0056292A" w:rsidRDefault="001C0AC5" w:rsidP="009C0BA6">
            <w:pPr>
              <w:contextualSpacing/>
              <w:rPr>
                <w:rFonts w:ascii="Arial" w:hAnsi="Arial" w:cs="Arial"/>
                <w:color w:val="000000"/>
              </w:rPr>
            </w:pPr>
            <w:r w:rsidRPr="0056292A">
              <w:rPr>
                <w:rFonts w:ascii="Arial" w:hAnsi="Arial" w:cs="Arial"/>
                <w:color w:val="000000"/>
              </w:rPr>
              <w:t>22.33</w:t>
            </w:r>
            <w:r w:rsidRPr="0056292A">
              <w:rPr>
                <w:rFonts w:ascii="Arial" w:hAnsi="Arial" w:cs="Arial"/>
                <w:i/>
                <w:color w:val="000000"/>
                <w:vertAlign w:val="superscript"/>
              </w:rPr>
              <w:t xml:space="preserve"> b,2</w:t>
            </w:r>
          </w:p>
        </w:tc>
        <w:tc>
          <w:tcPr>
            <w:tcW w:w="1120" w:type="dxa"/>
            <w:tcBorders>
              <w:top w:val="nil"/>
              <w:left w:val="nil"/>
              <w:bottom w:val="single" w:sz="4" w:space="0" w:color="auto"/>
              <w:right w:val="nil"/>
            </w:tcBorders>
            <w:noWrap/>
            <w:vAlign w:val="bottom"/>
            <w:hideMark/>
          </w:tcPr>
          <w:p w14:paraId="35049D0D" w14:textId="77777777" w:rsidR="001C0AC5" w:rsidRPr="0056292A" w:rsidRDefault="001C0AC5" w:rsidP="009C0BA6">
            <w:pPr>
              <w:contextualSpacing/>
              <w:rPr>
                <w:rFonts w:ascii="Arial" w:hAnsi="Arial" w:cs="Arial"/>
                <w:color w:val="000000"/>
              </w:rPr>
            </w:pPr>
            <w:r w:rsidRPr="0056292A">
              <w:rPr>
                <w:rFonts w:ascii="Arial" w:hAnsi="Arial" w:cs="Arial"/>
                <w:color w:val="000000"/>
              </w:rPr>
              <w:t>-9.11</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hideMark/>
          </w:tcPr>
          <w:p w14:paraId="0D09D5DD" w14:textId="77777777" w:rsidR="001C0AC5" w:rsidRPr="0056292A" w:rsidRDefault="001C0AC5" w:rsidP="009C0BA6">
            <w:pPr>
              <w:contextualSpacing/>
              <w:rPr>
                <w:rFonts w:ascii="Arial" w:hAnsi="Arial" w:cs="Arial"/>
                <w:color w:val="000000"/>
              </w:rPr>
            </w:pPr>
            <w:r w:rsidRPr="0056292A">
              <w:rPr>
                <w:rFonts w:ascii="Arial" w:hAnsi="Arial" w:cs="Arial"/>
                <w:color w:val="000000"/>
              </w:rPr>
              <w:t>175.37</w:t>
            </w:r>
            <w:r w:rsidRPr="0056292A">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hideMark/>
          </w:tcPr>
          <w:p w14:paraId="4D5E4677" w14:textId="77777777" w:rsidR="001C0AC5" w:rsidRPr="0056292A" w:rsidRDefault="001C0AC5" w:rsidP="009C0BA6">
            <w:pPr>
              <w:contextualSpacing/>
              <w:rPr>
                <w:rFonts w:ascii="Arial" w:hAnsi="Arial" w:cs="Arial"/>
                <w:color w:val="000000"/>
              </w:rPr>
            </w:pPr>
            <w:r w:rsidRPr="0056292A">
              <w:rPr>
                <w:rFonts w:ascii="Arial" w:hAnsi="Arial" w:cs="Arial"/>
                <w:color w:val="000000"/>
              </w:rPr>
              <w:t>-22.42</w:t>
            </w:r>
            <w:r w:rsidRPr="0056292A">
              <w:rPr>
                <w:rFonts w:ascii="Arial" w:hAnsi="Arial" w:cs="Arial"/>
                <w:color w:val="000000"/>
                <w:vertAlign w:val="superscript"/>
              </w:rPr>
              <w:t xml:space="preserve"> </w:t>
            </w:r>
            <w:r w:rsidRPr="0056292A">
              <w:rPr>
                <w:rFonts w:ascii="Arial" w:hAnsi="Arial" w:cs="Arial"/>
                <w:i/>
                <w:color w:val="000000"/>
                <w:vertAlign w:val="superscript"/>
              </w:rPr>
              <w:t>a,1,2</w:t>
            </w:r>
          </w:p>
        </w:tc>
      </w:tr>
      <w:tr w:rsidR="001C0AC5" w:rsidRPr="0056292A" w14:paraId="4B8749B2" w14:textId="77777777" w:rsidTr="009C0BA6">
        <w:trPr>
          <w:trHeight w:val="300"/>
          <w:jc w:val="center"/>
        </w:trPr>
        <w:tc>
          <w:tcPr>
            <w:tcW w:w="1032" w:type="dxa"/>
            <w:vMerge w:val="restart"/>
            <w:tcBorders>
              <w:top w:val="single" w:sz="4" w:space="0" w:color="auto"/>
              <w:left w:val="nil"/>
              <w:bottom w:val="nil"/>
              <w:right w:val="nil"/>
            </w:tcBorders>
            <w:noWrap/>
            <w:vAlign w:val="center"/>
            <w:hideMark/>
          </w:tcPr>
          <w:p w14:paraId="1918283A" w14:textId="77777777" w:rsidR="001C0AC5" w:rsidRPr="0056292A" w:rsidRDefault="001C0AC5" w:rsidP="009C0BA6">
            <w:pPr>
              <w:contextualSpacing/>
              <w:rPr>
                <w:rFonts w:ascii="Arial" w:hAnsi="Arial" w:cs="Arial"/>
                <w:color w:val="000000"/>
              </w:rPr>
            </w:pPr>
            <w:r w:rsidRPr="0056292A">
              <w:rPr>
                <w:rFonts w:ascii="Arial" w:hAnsi="Arial" w:cs="Arial"/>
                <w:color w:val="000000"/>
              </w:rPr>
              <w:t>A</w:t>
            </w:r>
            <w:r w:rsidRPr="0056292A">
              <w:rPr>
                <w:rFonts w:ascii="Arial" w:hAnsi="Arial" w:cs="Arial"/>
                <w:color w:val="000000"/>
                <w:vertAlign w:val="subscript"/>
              </w:rPr>
              <w:t>2</w:t>
            </w:r>
            <w:r w:rsidRPr="0056292A">
              <w:rPr>
                <w:rFonts w:ascii="Arial" w:hAnsi="Arial" w:cs="Arial"/>
                <w:color w:val="000000"/>
              </w:rPr>
              <w:t>C</w:t>
            </w:r>
            <w:r w:rsidRPr="0056292A">
              <w:rPr>
                <w:rFonts w:ascii="Arial" w:hAnsi="Arial" w:cs="Arial"/>
                <w:color w:val="000000"/>
                <w:vertAlign w:val="subscript"/>
              </w:rPr>
              <w:t>2</w:t>
            </w:r>
            <w:r w:rsidRPr="0056292A">
              <w:rPr>
                <w:rFonts w:ascii="Arial" w:hAnsi="Arial" w:cs="Arial"/>
                <w:color w:val="000000"/>
              </w:rPr>
              <w:t>B</w:t>
            </w:r>
            <w:r w:rsidRPr="0056292A">
              <w:rPr>
                <w:rFonts w:ascii="Arial" w:hAnsi="Arial" w:cs="Arial"/>
                <w:color w:val="000000"/>
                <w:vertAlign w:val="subscript"/>
              </w:rPr>
              <w:t>2</w:t>
            </w:r>
          </w:p>
        </w:tc>
        <w:tc>
          <w:tcPr>
            <w:tcW w:w="1333" w:type="dxa"/>
            <w:tcBorders>
              <w:top w:val="single" w:sz="4" w:space="0" w:color="auto"/>
              <w:left w:val="nil"/>
              <w:bottom w:val="nil"/>
              <w:right w:val="nil"/>
            </w:tcBorders>
            <w:noWrap/>
            <w:vAlign w:val="center"/>
            <w:hideMark/>
          </w:tcPr>
          <w:p w14:paraId="4ECBF6BC" w14:textId="77777777" w:rsidR="001C0AC5" w:rsidRPr="0056292A" w:rsidRDefault="001C0AC5" w:rsidP="009C0BA6">
            <w:pPr>
              <w:contextualSpacing/>
              <w:jc w:val="both"/>
              <w:rPr>
                <w:rFonts w:ascii="Arial" w:hAnsi="Arial" w:cs="Arial"/>
              </w:rPr>
            </w:pPr>
            <w:r w:rsidRPr="0056292A">
              <w:rPr>
                <w:rFonts w:ascii="Arial" w:hAnsi="Arial" w:cs="Arial"/>
              </w:rPr>
              <w:t>32.75 mg/kg</w:t>
            </w:r>
          </w:p>
        </w:tc>
        <w:tc>
          <w:tcPr>
            <w:tcW w:w="1120" w:type="dxa"/>
            <w:tcBorders>
              <w:top w:val="single" w:sz="4" w:space="0" w:color="auto"/>
              <w:left w:val="nil"/>
              <w:bottom w:val="nil"/>
              <w:right w:val="nil"/>
            </w:tcBorders>
            <w:noWrap/>
            <w:vAlign w:val="bottom"/>
            <w:hideMark/>
          </w:tcPr>
          <w:p w14:paraId="01C576F2" w14:textId="77777777" w:rsidR="001C0AC5" w:rsidRPr="0056292A" w:rsidRDefault="001C0AC5" w:rsidP="009C0BA6">
            <w:pPr>
              <w:contextualSpacing/>
              <w:rPr>
                <w:rFonts w:ascii="Arial" w:hAnsi="Arial" w:cs="Arial"/>
                <w:color w:val="000000"/>
              </w:rPr>
            </w:pPr>
            <w:r w:rsidRPr="0056292A">
              <w:rPr>
                <w:rFonts w:ascii="Arial" w:hAnsi="Arial" w:cs="Arial"/>
                <w:color w:val="000000"/>
              </w:rPr>
              <w:t>18.64</w:t>
            </w:r>
            <w:r w:rsidRPr="0056292A">
              <w:rPr>
                <w:rFonts w:ascii="Arial" w:hAnsi="Arial" w:cs="Arial"/>
                <w:i/>
                <w:color w:val="000000"/>
                <w:vertAlign w:val="superscript"/>
              </w:rPr>
              <w:t xml:space="preserve"> a</w:t>
            </w:r>
          </w:p>
        </w:tc>
        <w:tc>
          <w:tcPr>
            <w:tcW w:w="1072" w:type="dxa"/>
            <w:tcBorders>
              <w:top w:val="single" w:sz="4" w:space="0" w:color="auto"/>
              <w:left w:val="nil"/>
              <w:bottom w:val="nil"/>
              <w:right w:val="nil"/>
            </w:tcBorders>
            <w:noWrap/>
            <w:vAlign w:val="bottom"/>
            <w:hideMark/>
          </w:tcPr>
          <w:p w14:paraId="0F70E3EE" w14:textId="77777777" w:rsidR="001C0AC5" w:rsidRPr="0056292A" w:rsidRDefault="001C0AC5" w:rsidP="009C0BA6">
            <w:pPr>
              <w:contextualSpacing/>
              <w:rPr>
                <w:rFonts w:ascii="Arial" w:hAnsi="Arial" w:cs="Arial"/>
                <w:color w:val="000000"/>
              </w:rPr>
            </w:pPr>
            <w:r w:rsidRPr="0056292A">
              <w:rPr>
                <w:rFonts w:ascii="Arial" w:hAnsi="Arial" w:cs="Arial"/>
                <w:color w:val="000000"/>
              </w:rPr>
              <w:t>114.12</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hideMark/>
          </w:tcPr>
          <w:p w14:paraId="78E4D5E9" w14:textId="77777777" w:rsidR="001C0AC5" w:rsidRPr="0056292A" w:rsidRDefault="001C0AC5" w:rsidP="009C0BA6">
            <w:pPr>
              <w:contextualSpacing/>
              <w:rPr>
                <w:rFonts w:ascii="Arial" w:hAnsi="Arial" w:cs="Arial"/>
                <w:color w:val="000000"/>
              </w:rPr>
            </w:pPr>
            <w:r w:rsidRPr="0056292A">
              <w:rPr>
                <w:rFonts w:ascii="Arial" w:hAnsi="Arial" w:cs="Arial"/>
                <w:color w:val="000000"/>
              </w:rPr>
              <w:t>88.35</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120" w:type="dxa"/>
            <w:tcBorders>
              <w:top w:val="single" w:sz="4" w:space="0" w:color="auto"/>
              <w:left w:val="nil"/>
              <w:bottom w:val="nil"/>
              <w:right w:val="nil"/>
            </w:tcBorders>
            <w:noWrap/>
            <w:vAlign w:val="bottom"/>
            <w:hideMark/>
          </w:tcPr>
          <w:p w14:paraId="7DEF422D" w14:textId="77777777" w:rsidR="001C0AC5" w:rsidRPr="0056292A" w:rsidRDefault="001C0AC5" w:rsidP="009C0BA6">
            <w:pPr>
              <w:contextualSpacing/>
              <w:rPr>
                <w:rFonts w:ascii="Arial" w:hAnsi="Arial" w:cs="Arial"/>
                <w:color w:val="000000"/>
              </w:rPr>
            </w:pPr>
            <w:r w:rsidRPr="0056292A">
              <w:rPr>
                <w:rFonts w:ascii="Arial" w:hAnsi="Arial" w:cs="Arial"/>
                <w:color w:val="000000"/>
              </w:rPr>
              <w:t>102.09</w:t>
            </w:r>
            <w:r w:rsidRPr="0056292A">
              <w:rPr>
                <w:rFonts w:ascii="Arial" w:hAnsi="Arial" w:cs="Arial"/>
                <w:i/>
                <w:color w:val="000000"/>
              </w:rPr>
              <w:t xml:space="preserve"> </w:t>
            </w:r>
            <w:r w:rsidRPr="0056292A">
              <w:rPr>
                <w:rFonts w:ascii="Arial" w:hAnsi="Arial" w:cs="Arial"/>
                <w:i/>
                <w:color w:val="000000"/>
                <w:vertAlign w:val="superscript"/>
              </w:rPr>
              <w:t>a</w:t>
            </w:r>
          </w:p>
        </w:tc>
        <w:tc>
          <w:tcPr>
            <w:tcW w:w="1080" w:type="dxa"/>
            <w:tcBorders>
              <w:top w:val="single" w:sz="4" w:space="0" w:color="auto"/>
              <w:left w:val="nil"/>
              <w:bottom w:val="nil"/>
              <w:right w:val="nil"/>
            </w:tcBorders>
            <w:noWrap/>
            <w:vAlign w:val="bottom"/>
            <w:hideMark/>
          </w:tcPr>
          <w:p w14:paraId="5ECAC656" w14:textId="77777777" w:rsidR="001C0AC5" w:rsidRPr="0056292A" w:rsidRDefault="001C0AC5" w:rsidP="009C0BA6">
            <w:pPr>
              <w:contextualSpacing/>
              <w:rPr>
                <w:rFonts w:ascii="Arial" w:hAnsi="Arial" w:cs="Arial"/>
                <w:color w:val="000000"/>
              </w:rPr>
            </w:pPr>
            <w:r w:rsidRPr="0056292A">
              <w:rPr>
                <w:rFonts w:ascii="Arial" w:hAnsi="Arial" w:cs="Arial"/>
                <w:color w:val="000000"/>
              </w:rPr>
              <w:t xml:space="preserve">11.82 </w:t>
            </w:r>
            <w:r w:rsidRPr="0056292A">
              <w:rPr>
                <w:rFonts w:ascii="Arial" w:hAnsi="Arial" w:cs="Arial"/>
                <w:i/>
                <w:color w:val="000000"/>
                <w:vertAlign w:val="superscript"/>
              </w:rPr>
              <w:t>a,1</w:t>
            </w:r>
          </w:p>
        </w:tc>
        <w:tc>
          <w:tcPr>
            <w:tcW w:w="1072" w:type="dxa"/>
            <w:tcBorders>
              <w:top w:val="single" w:sz="4" w:space="0" w:color="auto"/>
              <w:left w:val="nil"/>
              <w:bottom w:val="nil"/>
              <w:right w:val="nil"/>
            </w:tcBorders>
            <w:noWrap/>
            <w:vAlign w:val="bottom"/>
            <w:hideMark/>
          </w:tcPr>
          <w:p w14:paraId="2427B32D" w14:textId="77777777" w:rsidR="001C0AC5" w:rsidRPr="0056292A" w:rsidRDefault="001C0AC5" w:rsidP="009C0BA6">
            <w:pPr>
              <w:contextualSpacing/>
              <w:rPr>
                <w:rFonts w:ascii="Arial" w:hAnsi="Arial" w:cs="Arial"/>
                <w:color w:val="000000"/>
              </w:rPr>
            </w:pPr>
            <w:r w:rsidRPr="0056292A">
              <w:rPr>
                <w:rFonts w:ascii="Arial" w:hAnsi="Arial" w:cs="Arial"/>
                <w:color w:val="000000"/>
              </w:rPr>
              <w:t>22.84</w:t>
            </w:r>
            <w:r w:rsidRPr="0056292A">
              <w:rPr>
                <w:rFonts w:ascii="Arial" w:hAnsi="Arial" w:cs="Arial"/>
                <w:i/>
                <w:color w:val="000000"/>
                <w:vertAlign w:val="superscript"/>
              </w:rPr>
              <w:t xml:space="preserve"> a,1</w:t>
            </w:r>
          </w:p>
        </w:tc>
        <w:tc>
          <w:tcPr>
            <w:tcW w:w="1120" w:type="dxa"/>
            <w:tcBorders>
              <w:top w:val="single" w:sz="4" w:space="0" w:color="auto"/>
              <w:left w:val="nil"/>
              <w:bottom w:val="nil"/>
              <w:right w:val="nil"/>
            </w:tcBorders>
            <w:noWrap/>
            <w:vAlign w:val="bottom"/>
            <w:hideMark/>
          </w:tcPr>
          <w:p w14:paraId="22118856" w14:textId="77777777" w:rsidR="001C0AC5" w:rsidRPr="0056292A" w:rsidRDefault="001C0AC5" w:rsidP="009C0BA6">
            <w:pPr>
              <w:contextualSpacing/>
              <w:rPr>
                <w:rFonts w:ascii="Arial" w:hAnsi="Arial" w:cs="Arial"/>
                <w:color w:val="000000"/>
              </w:rPr>
            </w:pPr>
            <w:r w:rsidRPr="0056292A">
              <w:rPr>
                <w:rFonts w:ascii="Arial" w:hAnsi="Arial" w:cs="Arial"/>
                <w:color w:val="000000"/>
              </w:rPr>
              <w:t xml:space="preserve">14.06 </w:t>
            </w:r>
            <w:r w:rsidRPr="0056292A">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hideMark/>
          </w:tcPr>
          <w:p w14:paraId="15A80D8E" w14:textId="77777777" w:rsidR="001C0AC5" w:rsidRPr="0056292A" w:rsidRDefault="001C0AC5" w:rsidP="009C0BA6">
            <w:pPr>
              <w:contextualSpacing/>
              <w:rPr>
                <w:rFonts w:ascii="Arial" w:hAnsi="Arial" w:cs="Arial"/>
                <w:color w:val="000000"/>
              </w:rPr>
            </w:pPr>
            <w:r w:rsidRPr="0056292A">
              <w:rPr>
                <w:rFonts w:ascii="Arial" w:hAnsi="Arial" w:cs="Arial"/>
                <w:color w:val="000000"/>
              </w:rPr>
              <w:t>170.16</w:t>
            </w:r>
            <w:r w:rsidRPr="0056292A">
              <w:rPr>
                <w:rFonts w:ascii="Arial" w:hAnsi="Arial" w:cs="Arial"/>
                <w:i/>
                <w:color w:val="000000"/>
                <w:vertAlign w:val="superscript"/>
              </w:rPr>
              <w:t xml:space="preserve"> a,1</w:t>
            </w:r>
          </w:p>
        </w:tc>
        <w:tc>
          <w:tcPr>
            <w:tcW w:w="1080" w:type="dxa"/>
            <w:tcBorders>
              <w:top w:val="single" w:sz="4" w:space="0" w:color="auto"/>
              <w:left w:val="nil"/>
              <w:bottom w:val="nil"/>
              <w:right w:val="nil"/>
            </w:tcBorders>
            <w:noWrap/>
            <w:vAlign w:val="bottom"/>
            <w:hideMark/>
          </w:tcPr>
          <w:p w14:paraId="6B1CD0E8" w14:textId="77777777" w:rsidR="001C0AC5" w:rsidRPr="0056292A" w:rsidRDefault="001C0AC5" w:rsidP="009C0BA6">
            <w:pPr>
              <w:contextualSpacing/>
              <w:rPr>
                <w:rFonts w:ascii="Arial" w:hAnsi="Arial" w:cs="Arial"/>
                <w:color w:val="000000"/>
              </w:rPr>
            </w:pPr>
            <w:r w:rsidRPr="0056292A">
              <w:rPr>
                <w:rFonts w:ascii="Arial" w:hAnsi="Arial" w:cs="Arial"/>
                <w:color w:val="000000"/>
              </w:rPr>
              <w:t>-20.03</w:t>
            </w:r>
            <w:r w:rsidRPr="0056292A">
              <w:rPr>
                <w:rFonts w:ascii="Arial" w:hAnsi="Arial" w:cs="Arial"/>
                <w:color w:val="000000"/>
                <w:vertAlign w:val="superscript"/>
              </w:rPr>
              <w:t xml:space="preserve"> </w:t>
            </w:r>
            <w:r w:rsidRPr="0056292A">
              <w:rPr>
                <w:rFonts w:ascii="Arial" w:hAnsi="Arial" w:cs="Arial"/>
                <w:i/>
                <w:color w:val="000000"/>
                <w:vertAlign w:val="superscript"/>
              </w:rPr>
              <w:t>a,2</w:t>
            </w:r>
          </w:p>
        </w:tc>
      </w:tr>
      <w:tr w:rsidR="001C0AC5" w:rsidRPr="0056292A" w14:paraId="59062E25" w14:textId="77777777" w:rsidTr="009C0BA6">
        <w:trPr>
          <w:trHeight w:val="300"/>
          <w:jc w:val="center"/>
        </w:trPr>
        <w:tc>
          <w:tcPr>
            <w:tcW w:w="1032" w:type="dxa"/>
            <w:vMerge/>
            <w:tcBorders>
              <w:top w:val="nil"/>
              <w:left w:val="nil"/>
              <w:bottom w:val="nil"/>
              <w:right w:val="nil"/>
            </w:tcBorders>
            <w:vAlign w:val="center"/>
            <w:hideMark/>
          </w:tcPr>
          <w:p w14:paraId="2022FD6B" w14:textId="77777777" w:rsidR="001C0AC5" w:rsidRPr="0056292A" w:rsidRDefault="001C0AC5" w:rsidP="009C0BA6">
            <w:pPr>
              <w:contextualSpacing/>
              <w:rPr>
                <w:rFonts w:ascii="Arial" w:hAnsi="Arial" w:cs="Arial"/>
                <w:color w:val="000000"/>
              </w:rPr>
            </w:pPr>
          </w:p>
        </w:tc>
        <w:tc>
          <w:tcPr>
            <w:tcW w:w="1333" w:type="dxa"/>
            <w:tcBorders>
              <w:top w:val="nil"/>
              <w:left w:val="nil"/>
              <w:bottom w:val="nil"/>
              <w:right w:val="nil"/>
            </w:tcBorders>
            <w:noWrap/>
            <w:vAlign w:val="center"/>
            <w:hideMark/>
          </w:tcPr>
          <w:p w14:paraId="7960BDD8" w14:textId="77777777" w:rsidR="001C0AC5" w:rsidRPr="0056292A" w:rsidRDefault="001C0AC5" w:rsidP="009C0BA6">
            <w:pPr>
              <w:contextualSpacing/>
              <w:jc w:val="both"/>
              <w:rPr>
                <w:rFonts w:ascii="Arial" w:hAnsi="Arial" w:cs="Arial"/>
              </w:rPr>
            </w:pPr>
            <w:r w:rsidRPr="0056292A">
              <w:rPr>
                <w:rFonts w:ascii="Arial" w:hAnsi="Arial" w:cs="Arial"/>
              </w:rPr>
              <w:t>42.02 mg/kg</w:t>
            </w:r>
          </w:p>
        </w:tc>
        <w:tc>
          <w:tcPr>
            <w:tcW w:w="1120" w:type="dxa"/>
            <w:tcBorders>
              <w:top w:val="nil"/>
              <w:left w:val="nil"/>
              <w:bottom w:val="nil"/>
              <w:right w:val="nil"/>
            </w:tcBorders>
            <w:noWrap/>
            <w:vAlign w:val="bottom"/>
            <w:hideMark/>
          </w:tcPr>
          <w:p w14:paraId="0F600EB8" w14:textId="77777777" w:rsidR="001C0AC5" w:rsidRPr="0056292A" w:rsidRDefault="001C0AC5" w:rsidP="009C0BA6">
            <w:pPr>
              <w:contextualSpacing/>
              <w:rPr>
                <w:rFonts w:ascii="Arial" w:hAnsi="Arial" w:cs="Arial"/>
                <w:color w:val="000000"/>
              </w:rPr>
            </w:pPr>
            <w:r w:rsidRPr="0056292A">
              <w:rPr>
                <w:rFonts w:ascii="Arial" w:hAnsi="Arial" w:cs="Arial"/>
                <w:color w:val="000000"/>
              </w:rPr>
              <w:t>21.01</w:t>
            </w:r>
            <w:r w:rsidRPr="0056292A">
              <w:rPr>
                <w:rFonts w:ascii="Arial" w:hAnsi="Arial" w:cs="Arial"/>
                <w:i/>
                <w:color w:val="000000"/>
                <w:vertAlign w:val="superscript"/>
              </w:rPr>
              <w:t xml:space="preserve"> a</w:t>
            </w:r>
          </w:p>
        </w:tc>
        <w:tc>
          <w:tcPr>
            <w:tcW w:w="1072" w:type="dxa"/>
            <w:tcBorders>
              <w:top w:val="nil"/>
              <w:left w:val="nil"/>
              <w:bottom w:val="nil"/>
              <w:right w:val="nil"/>
            </w:tcBorders>
            <w:noWrap/>
            <w:vAlign w:val="bottom"/>
            <w:hideMark/>
          </w:tcPr>
          <w:p w14:paraId="73215712" w14:textId="77777777" w:rsidR="001C0AC5" w:rsidRPr="0056292A" w:rsidRDefault="001C0AC5" w:rsidP="009C0BA6">
            <w:pPr>
              <w:contextualSpacing/>
              <w:rPr>
                <w:rFonts w:ascii="Arial" w:hAnsi="Arial" w:cs="Arial"/>
                <w:color w:val="000000"/>
              </w:rPr>
            </w:pPr>
            <w:r w:rsidRPr="0056292A">
              <w:rPr>
                <w:rFonts w:ascii="Arial" w:hAnsi="Arial" w:cs="Arial"/>
                <w:color w:val="000000"/>
              </w:rPr>
              <w:t>131.68</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120" w:type="dxa"/>
            <w:tcBorders>
              <w:top w:val="nil"/>
              <w:left w:val="nil"/>
              <w:bottom w:val="nil"/>
              <w:right w:val="nil"/>
            </w:tcBorders>
            <w:noWrap/>
            <w:vAlign w:val="bottom"/>
            <w:hideMark/>
          </w:tcPr>
          <w:p w14:paraId="61165083" w14:textId="77777777" w:rsidR="001C0AC5" w:rsidRPr="0056292A" w:rsidRDefault="001C0AC5" w:rsidP="009C0BA6">
            <w:pPr>
              <w:contextualSpacing/>
              <w:rPr>
                <w:rFonts w:ascii="Arial" w:hAnsi="Arial" w:cs="Arial"/>
                <w:color w:val="000000"/>
              </w:rPr>
            </w:pPr>
            <w:r w:rsidRPr="0056292A">
              <w:rPr>
                <w:rFonts w:ascii="Arial" w:hAnsi="Arial" w:cs="Arial"/>
                <w:color w:val="000000"/>
              </w:rPr>
              <w:t>96.42</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120" w:type="dxa"/>
            <w:tcBorders>
              <w:top w:val="nil"/>
              <w:left w:val="nil"/>
              <w:bottom w:val="nil"/>
              <w:right w:val="nil"/>
            </w:tcBorders>
            <w:noWrap/>
            <w:vAlign w:val="bottom"/>
            <w:hideMark/>
          </w:tcPr>
          <w:p w14:paraId="301B9EE9" w14:textId="77777777" w:rsidR="001C0AC5" w:rsidRPr="0056292A" w:rsidRDefault="001C0AC5" w:rsidP="009C0BA6">
            <w:pPr>
              <w:contextualSpacing/>
              <w:rPr>
                <w:rFonts w:ascii="Arial" w:hAnsi="Arial" w:cs="Arial"/>
                <w:color w:val="000000"/>
              </w:rPr>
            </w:pPr>
            <w:r w:rsidRPr="0056292A">
              <w:rPr>
                <w:rFonts w:ascii="Arial" w:hAnsi="Arial" w:cs="Arial"/>
                <w:color w:val="000000"/>
              </w:rPr>
              <w:t>91.14</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80" w:type="dxa"/>
            <w:tcBorders>
              <w:top w:val="nil"/>
              <w:left w:val="nil"/>
              <w:bottom w:val="nil"/>
              <w:right w:val="nil"/>
            </w:tcBorders>
            <w:noWrap/>
            <w:vAlign w:val="bottom"/>
            <w:hideMark/>
          </w:tcPr>
          <w:p w14:paraId="2EAC2B02" w14:textId="77777777" w:rsidR="001C0AC5" w:rsidRPr="0056292A" w:rsidRDefault="001C0AC5" w:rsidP="009C0BA6">
            <w:pPr>
              <w:contextualSpacing/>
              <w:rPr>
                <w:rFonts w:ascii="Arial" w:hAnsi="Arial" w:cs="Arial"/>
                <w:color w:val="000000"/>
              </w:rPr>
            </w:pPr>
            <w:r w:rsidRPr="0056292A">
              <w:rPr>
                <w:rFonts w:ascii="Arial" w:hAnsi="Arial" w:cs="Arial"/>
                <w:color w:val="000000"/>
              </w:rPr>
              <w:t>12.56</w:t>
            </w:r>
            <w:r w:rsidRPr="0056292A">
              <w:rPr>
                <w:rFonts w:ascii="Arial" w:hAnsi="Arial" w:cs="Arial"/>
                <w:color w:val="000000"/>
                <w:vertAlign w:val="superscript"/>
              </w:rPr>
              <w:t xml:space="preserve"> </w:t>
            </w:r>
            <w:r w:rsidRPr="0056292A">
              <w:rPr>
                <w:rFonts w:ascii="Arial" w:hAnsi="Arial" w:cs="Arial"/>
                <w:i/>
                <w:color w:val="000000"/>
                <w:vertAlign w:val="superscript"/>
              </w:rPr>
              <w:t>a,1</w:t>
            </w:r>
          </w:p>
        </w:tc>
        <w:tc>
          <w:tcPr>
            <w:tcW w:w="1072" w:type="dxa"/>
            <w:tcBorders>
              <w:top w:val="nil"/>
              <w:left w:val="nil"/>
              <w:bottom w:val="nil"/>
              <w:right w:val="nil"/>
            </w:tcBorders>
            <w:noWrap/>
            <w:vAlign w:val="bottom"/>
            <w:hideMark/>
          </w:tcPr>
          <w:p w14:paraId="1DFAC7D1" w14:textId="77777777" w:rsidR="001C0AC5" w:rsidRPr="0056292A" w:rsidRDefault="001C0AC5" w:rsidP="009C0BA6">
            <w:pPr>
              <w:contextualSpacing/>
              <w:rPr>
                <w:rFonts w:ascii="Arial" w:hAnsi="Arial" w:cs="Arial"/>
                <w:color w:val="000000"/>
              </w:rPr>
            </w:pPr>
            <w:r w:rsidRPr="0056292A">
              <w:rPr>
                <w:rFonts w:ascii="Arial" w:hAnsi="Arial" w:cs="Arial"/>
                <w:color w:val="000000"/>
              </w:rPr>
              <w:t>29.88</w:t>
            </w:r>
            <w:r w:rsidRPr="0056292A">
              <w:rPr>
                <w:rFonts w:ascii="Arial" w:hAnsi="Arial" w:cs="Arial"/>
                <w:i/>
                <w:color w:val="000000"/>
                <w:vertAlign w:val="superscript"/>
              </w:rPr>
              <w:t xml:space="preserve"> a,1</w:t>
            </w:r>
          </w:p>
        </w:tc>
        <w:tc>
          <w:tcPr>
            <w:tcW w:w="1120" w:type="dxa"/>
            <w:tcBorders>
              <w:top w:val="nil"/>
              <w:left w:val="nil"/>
              <w:bottom w:val="nil"/>
              <w:right w:val="nil"/>
            </w:tcBorders>
            <w:noWrap/>
            <w:vAlign w:val="bottom"/>
            <w:hideMark/>
          </w:tcPr>
          <w:p w14:paraId="38D05978" w14:textId="77777777" w:rsidR="001C0AC5" w:rsidRPr="0056292A" w:rsidRDefault="001C0AC5" w:rsidP="009C0BA6">
            <w:pPr>
              <w:contextualSpacing/>
              <w:rPr>
                <w:rFonts w:ascii="Arial" w:hAnsi="Arial" w:cs="Arial"/>
                <w:color w:val="000000"/>
              </w:rPr>
            </w:pPr>
            <w:r w:rsidRPr="0056292A">
              <w:rPr>
                <w:rFonts w:ascii="Arial" w:hAnsi="Arial" w:cs="Arial"/>
                <w:color w:val="000000"/>
              </w:rPr>
              <w:t>17.61</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72" w:type="dxa"/>
            <w:tcBorders>
              <w:top w:val="nil"/>
              <w:left w:val="nil"/>
              <w:bottom w:val="nil"/>
              <w:right w:val="nil"/>
            </w:tcBorders>
            <w:noWrap/>
            <w:vAlign w:val="bottom"/>
            <w:hideMark/>
          </w:tcPr>
          <w:p w14:paraId="2C052171" w14:textId="77777777" w:rsidR="001C0AC5" w:rsidRPr="0056292A" w:rsidRDefault="001C0AC5" w:rsidP="009C0BA6">
            <w:pPr>
              <w:contextualSpacing/>
              <w:rPr>
                <w:rFonts w:ascii="Arial" w:hAnsi="Arial" w:cs="Arial"/>
                <w:color w:val="000000"/>
              </w:rPr>
            </w:pPr>
            <w:r w:rsidRPr="0056292A">
              <w:rPr>
                <w:rFonts w:ascii="Arial" w:hAnsi="Arial" w:cs="Arial"/>
                <w:color w:val="000000"/>
              </w:rPr>
              <w:t>169.67</w:t>
            </w:r>
            <w:r w:rsidRPr="0056292A">
              <w:rPr>
                <w:rFonts w:ascii="Arial" w:hAnsi="Arial" w:cs="Arial"/>
                <w:color w:val="000000"/>
                <w:vertAlign w:val="superscript"/>
              </w:rPr>
              <w:t xml:space="preserve"> </w:t>
            </w:r>
            <w:r w:rsidRPr="0056292A">
              <w:rPr>
                <w:rFonts w:ascii="Arial" w:hAnsi="Arial" w:cs="Arial"/>
                <w:i/>
                <w:color w:val="000000"/>
                <w:vertAlign w:val="superscript"/>
              </w:rPr>
              <w:t>a,12</w:t>
            </w:r>
          </w:p>
        </w:tc>
        <w:tc>
          <w:tcPr>
            <w:tcW w:w="1080" w:type="dxa"/>
            <w:tcBorders>
              <w:top w:val="nil"/>
              <w:left w:val="nil"/>
              <w:bottom w:val="nil"/>
              <w:right w:val="nil"/>
            </w:tcBorders>
            <w:noWrap/>
            <w:vAlign w:val="bottom"/>
            <w:hideMark/>
          </w:tcPr>
          <w:p w14:paraId="5BE0C584" w14:textId="77777777" w:rsidR="001C0AC5" w:rsidRPr="0056292A" w:rsidRDefault="001C0AC5" w:rsidP="009C0BA6">
            <w:pPr>
              <w:contextualSpacing/>
              <w:rPr>
                <w:rFonts w:ascii="Arial" w:hAnsi="Arial" w:cs="Arial"/>
                <w:color w:val="000000"/>
              </w:rPr>
            </w:pPr>
            <w:r w:rsidRPr="0056292A">
              <w:rPr>
                <w:rFonts w:ascii="Arial" w:hAnsi="Arial" w:cs="Arial"/>
                <w:color w:val="000000"/>
              </w:rPr>
              <w:t>-13.91</w:t>
            </w:r>
            <w:r w:rsidRPr="0056292A">
              <w:rPr>
                <w:rFonts w:ascii="Arial" w:hAnsi="Arial" w:cs="Arial"/>
                <w:color w:val="000000"/>
                <w:vertAlign w:val="superscript"/>
              </w:rPr>
              <w:t xml:space="preserve"> </w:t>
            </w:r>
            <w:r w:rsidRPr="0056292A">
              <w:rPr>
                <w:rFonts w:ascii="Arial" w:hAnsi="Arial" w:cs="Arial"/>
                <w:i/>
                <w:color w:val="000000"/>
                <w:vertAlign w:val="superscript"/>
              </w:rPr>
              <w:t>a,1</w:t>
            </w:r>
          </w:p>
        </w:tc>
      </w:tr>
      <w:tr w:rsidR="001C0AC5" w:rsidRPr="0056292A" w14:paraId="18E987C7" w14:textId="77777777" w:rsidTr="009C0BA6">
        <w:trPr>
          <w:trHeight w:val="300"/>
          <w:jc w:val="center"/>
        </w:trPr>
        <w:tc>
          <w:tcPr>
            <w:tcW w:w="1032" w:type="dxa"/>
            <w:vMerge/>
            <w:tcBorders>
              <w:top w:val="nil"/>
              <w:left w:val="nil"/>
              <w:bottom w:val="single" w:sz="4" w:space="0" w:color="auto"/>
              <w:right w:val="nil"/>
            </w:tcBorders>
            <w:vAlign w:val="center"/>
            <w:hideMark/>
          </w:tcPr>
          <w:p w14:paraId="5D252F6F" w14:textId="77777777" w:rsidR="001C0AC5" w:rsidRPr="0056292A" w:rsidRDefault="001C0AC5" w:rsidP="009C0BA6">
            <w:pPr>
              <w:contextualSpacing/>
              <w:rPr>
                <w:rFonts w:ascii="Arial" w:hAnsi="Arial" w:cs="Arial"/>
                <w:color w:val="000000"/>
              </w:rPr>
            </w:pPr>
          </w:p>
        </w:tc>
        <w:tc>
          <w:tcPr>
            <w:tcW w:w="1333" w:type="dxa"/>
            <w:tcBorders>
              <w:top w:val="nil"/>
              <w:left w:val="nil"/>
              <w:bottom w:val="single" w:sz="4" w:space="0" w:color="auto"/>
              <w:right w:val="nil"/>
            </w:tcBorders>
            <w:noWrap/>
            <w:vAlign w:val="bottom"/>
            <w:hideMark/>
          </w:tcPr>
          <w:p w14:paraId="7699A809" w14:textId="77777777" w:rsidR="001C0AC5" w:rsidRPr="0056292A" w:rsidRDefault="001C0AC5" w:rsidP="009C0BA6">
            <w:pPr>
              <w:contextualSpacing/>
              <w:jc w:val="both"/>
              <w:rPr>
                <w:rFonts w:ascii="Arial" w:hAnsi="Arial" w:cs="Arial"/>
              </w:rPr>
            </w:pPr>
            <w:r w:rsidRPr="0056292A">
              <w:rPr>
                <w:rFonts w:ascii="Arial" w:hAnsi="Arial" w:cs="Arial"/>
              </w:rPr>
              <w:t>52.55 mg/kg</w:t>
            </w:r>
          </w:p>
        </w:tc>
        <w:tc>
          <w:tcPr>
            <w:tcW w:w="1120" w:type="dxa"/>
            <w:tcBorders>
              <w:top w:val="nil"/>
              <w:left w:val="nil"/>
              <w:bottom w:val="single" w:sz="4" w:space="0" w:color="auto"/>
              <w:right w:val="nil"/>
            </w:tcBorders>
            <w:noWrap/>
            <w:vAlign w:val="bottom"/>
            <w:hideMark/>
          </w:tcPr>
          <w:p w14:paraId="7FD064FD" w14:textId="77777777" w:rsidR="001C0AC5" w:rsidRPr="0056292A" w:rsidRDefault="001C0AC5" w:rsidP="009C0BA6">
            <w:pPr>
              <w:contextualSpacing/>
              <w:rPr>
                <w:rFonts w:ascii="Arial" w:hAnsi="Arial" w:cs="Arial"/>
                <w:color w:val="000000"/>
              </w:rPr>
            </w:pPr>
            <w:r w:rsidRPr="0056292A">
              <w:rPr>
                <w:rFonts w:ascii="Arial" w:hAnsi="Arial" w:cs="Arial"/>
                <w:color w:val="000000"/>
              </w:rPr>
              <w:t>26.00</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hideMark/>
          </w:tcPr>
          <w:p w14:paraId="78BF4AB3" w14:textId="77777777" w:rsidR="001C0AC5" w:rsidRPr="0056292A" w:rsidRDefault="001C0AC5" w:rsidP="009C0BA6">
            <w:pPr>
              <w:contextualSpacing/>
              <w:rPr>
                <w:rFonts w:ascii="Arial" w:hAnsi="Arial" w:cs="Arial"/>
                <w:color w:val="000000"/>
              </w:rPr>
            </w:pPr>
            <w:r w:rsidRPr="0056292A">
              <w:rPr>
                <w:rFonts w:ascii="Arial" w:hAnsi="Arial" w:cs="Arial"/>
                <w:color w:val="000000"/>
              </w:rPr>
              <w:t>147.93</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hideMark/>
          </w:tcPr>
          <w:p w14:paraId="5DA19A8E" w14:textId="77777777" w:rsidR="001C0AC5" w:rsidRPr="0056292A" w:rsidRDefault="001C0AC5" w:rsidP="009C0BA6">
            <w:pPr>
              <w:contextualSpacing/>
              <w:rPr>
                <w:rFonts w:ascii="Arial" w:hAnsi="Arial" w:cs="Arial"/>
                <w:color w:val="000000"/>
              </w:rPr>
            </w:pPr>
            <w:r w:rsidRPr="0056292A">
              <w:rPr>
                <w:rFonts w:ascii="Arial" w:hAnsi="Arial" w:cs="Arial"/>
                <w:color w:val="000000"/>
              </w:rPr>
              <w:t>88.43</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120" w:type="dxa"/>
            <w:tcBorders>
              <w:top w:val="nil"/>
              <w:left w:val="nil"/>
              <w:bottom w:val="single" w:sz="4" w:space="0" w:color="auto"/>
              <w:right w:val="nil"/>
            </w:tcBorders>
            <w:noWrap/>
            <w:vAlign w:val="bottom"/>
            <w:hideMark/>
          </w:tcPr>
          <w:p w14:paraId="1BB31839" w14:textId="77777777" w:rsidR="001C0AC5" w:rsidRPr="0056292A" w:rsidRDefault="001C0AC5" w:rsidP="009C0BA6">
            <w:pPr>
              <w:contextualSpacing/>
              <w:rPr>
                <w:rFonts w:ascii="Arial" w:hAnsi="Arial" w:cs="Arial"/>
                <w:color w:val="000000"/>
              </w:rPr>
            </w:pPr>
            <w:r w:rsidRPr="0056292A">
              <w:rPr>
                <w:rFonts w:ascii="Arial" w:hAnsi="Arial" w:cs="Arial"/>
                <w:color w:val="000000"/>
              </w:rPr>
              <w:t>77.55</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80" w:type="dxa"/>
            <w:tcBorders>
              <w:top w:val="nil"/>
              <w:left w:val="nil"/>
              <w:bottom w:val="single" w:sz="4" w:space="0" w:color="auto"/>
              <w:right w:val="nil"/>
            </w:tcBorders>
            <w:noWrap/>
            <w:vAlign w:val="bottom"/>
            <w:hideMark/>
          </w:tcPr>
          <w:p w14:paraId="40B505FE" w14:textId="77777777" w:rsidR="001C0AC5" w:rsidRPr="0056292A" w:rsidRDefault="001C0AC5" w:rsidP="009C0BA6">
            <w:pPr>
              <w:contextualSpacing/>
              <w:rPr>
                <w:rFonts w:ascii="Arial" w:hAnsi="Arial" w:cs="Arial"/>
                <w:color w:val="000000"/>
              </w:rPr>
            </w:pPr>
            <w:r w:rsidRPr="0056292A">
              <w:rPr>
                <w:rFonts w:ascii="Arial" w:hAnsi="Arial" w:cs="Arial"/>
                <w:color w:val="000000"/>
              </w:rPr>
              <w:t>11.41</w:t>
            </w:r>
            <w:r w:rsidRPr="0056292A">
              <w:rPr>
                <w:rFonts w:ascii="Arial" w:hAnsi="Arial" w:cs="Arial"/>
                <w:color w:val="000000"/>
                <w:vertAlign w:val="superscript"/>
              </w:rPr>
              <w:t xml:space="preserve"> </w:t>
            </w:r>
            <w:r w:rsidRPr="0056292A">
              <w:rPr>
                <w:rFonts w:ascii="Arial" w:hAnsi="Arial" w:cs="Arial"/>
                <w:i/>
                <w:color w:val="000000"/>
                <w:vertAlign w:val="superscript"/>
              </w:rPr>
              <w:t>a,2</w:t>
            </w:r>
          </w:p>
        </w:tc>
        <w:tc>
          <w:tcPr>
            <w:tcW w:w="1072" w:type="dxa"/>
            <w:tcBorders>
              <w:top w:val="nil"/>
              <w:left w:val="nil"/>
              <w:bottom w:val="single" w:sz="4" w:space="0" w:color="auto"/>
              <w:right w:val="nil"/>
            </w:tcBorders>
            <w:noWrap/>
            <w:vAlign w:val="bottom"/>
            <w:hideMark/>
          </w:tcPr>
          <w:p w14:paraId="7BB3BF74" w14:textId="77777777" w:rsidR="001C0AC5" w:rsidRPr="0056292A" w:rsidRDefault="001C0AC5" w:rsidP="009C0BA6">
            <w:pPr>
              <w:contextualSpacing/>
              <w:rPr>
                <w:rFonts w:ascii="Arial" w:hAnsi="Arial" w:cs="Arial"/>
                <w:color w:val="000000"/>
              </w:rPr>
            </w:pPr>
            <w:r w:rsidRPr="0056292A">
              <w:rPr>
                <w:rFonts w:ascii="Arial" w:hAnsi="Arial" w:cs="Arial"/>
                <w:color w:val="000000"/>
              </w:rPr>
              <w:t>28.37</w:t>
            </w:r>
            <w:r w:rsidRPr="0056292A">
              <w:rPr>
                <w:rFonts w:ascii="Arial" w:hAnsi="Arial" w:cs="Arial"/>
                <w:i/>
                <w:color w:val="000000"/>
                <w:vertAlign w:val="superscript"/>
              </w:rPr>
              <w:t xml:space="preserve"> a,2</w:t>
            </w:r>
          </w:p>
        </w:tc>
        <w:tc>
          <w:tcPr>
            <w:tcW w:w="1120" w:type="dxa"/>
            <w:tcBorders>
              <w:top w:val="nil"/>
              <w:left w:val="nil"/>
              <w:bottom w:val="single" w:sz="4" w:space="0" w:color="auto"/>
              <w:right w:val="nil"/>
            </w:tcBorders>
            <w:noWrap/>
            <w:vAlign w:val="bottom"/>
            <w:hideMark/>
          </w:tcPr>
          <w:p w14:paraId="39C4D1B5" w14:textId="77777777" w:rsidR="001C0AC5" w:rsidRPr="0056292A" w:rsidRDefault="001C0AC5" w:rsidP="009C0BA6">
            <w:pPr>
              <w:contextualSpacing/>
              <w:rPr>
                <w:rFonts w:ascii="Arial" w:hAnsi="Arial" w:cs="Arial"/>
                <w:color w:val="000000"/>
              </w:rPr>
            </w:pPr>
            <w:r w:rsidRPr="0056292A">
              <w:rPr>
                <w:rFonts w:ascii="Arial" w:hAnsi="Arial" w:cs="Arial"/>
                <w:color w:val="000000"/>
              </w:rPr>
              <w:t>7.32</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hideMark/>
          </w:tcPr>
          <w:p w14:paraId="4EADDD4D" w14:textId="77777777" w:rsidR="001C0AC5" w:rsidRPr="0056292A" w:rsidRDefault="001C0AC5" w:rsidP="009C0BA6">
            <w:pPr>
              <w:contextualSpacing/>
              <w:rPr>
                <w:rFonts w:ascii="Arial" w:hAnsi="Arial" w:cs="Arial"/>
                <w:color w:val="000000"/>
              </w:rPr>
            </w:pPr>
            <w:r w:rsidRPr="0056292A">
              <w:rPr>
                <w:rFonts w:ascii="Arial" w:hAnsi="Arial" w:cs="Arial"/>
                <w:color w:val="000000"/>
              </w:rPr>
              <w:t>192.72</w:t>
            </w:r>
            <w:r w:rsidRPr="0056292A">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hideMark/>
          </w:tcPr>
          <w:p w14:paraId="7F0FB6EC" w14:textId="77777777" w:rsidR="001C0AC5" w:rsidRPr="0056292A" w:rsidRDefault="001C0AC5" w:rsidP="009C0BA6">
            <w:pPr>
              <w:contextualSpacing/>
              <w:rPr>
                <w:rFonts w:ascii="Arial" w:hAnsi="Arial" w:cs="Arial"/>
                <w:color w:val="000000"/>
              </w:rPr>
            </w:pPr>
            <w:r w:rsidRPr="0056292A">
              <w:rPr>
                <w:rFonts w:ascii="Arial" w:hAnsi="Arial" w:cs="Arial"/>
                <w:color w:val="000000"/>
              </w:rPr>
              <w:t>-24.52</w:t>
            </w:r>
            <w:r w:rsidRPr="0056292A">
              <w:rPr>
                <w:rFonts w:ascii="Arial" w:hAnsi="Arial" w:cs="Arial"/>
                <w:color w:val="000000"/>
                <w:vertAlign w:val="superscript"/>
              </w:rPr>
              <w:t xml:space="preserve"> </w:t>
            </w:r>
            <w:r w:rsidRPr="0056292A">
              <w:rPr>
                <w:rFonts w:ascii="Arial" w:hAnsi="Arial" w:cs="Arial"/>
                <w:i/>
                <w:color w:val="000000"/>
                <w:vertAlign w:val="superscript"/>
              </w:rPr>
              <w:t>a,1,2</w:t>
            </w:r>
          </w:p>
        </w:tc>
      </w:tr>
      <w:tr w:rsidR="001C0AC5" w:rsidRPr="0056292A" w14:paraId="60945E3F" w14:textId="77777777" w:rsidTr="009C0BA6">
        <w:trPr>
          <w:trHeight w:val="300"/>
          <w:jc w:val="center"/>
        </w:trPr>
        <w:tc>
          <w:tcPr>
            <w:tcW w:w="1032" w:type="dxa"/>
            <w:vMerge w:val="restart"/>
            <w:tcBorders>
              <w:top w:val="single" w:sz="4" w:space="0" w:color="auto"/>
              <w:left w:val="nil"/>
              <w:bottom w:val="nil"/>
              <w:right w:val="nil"/>
            </w:tcBorders>
            <w:noWrap/>
            <w:vAlign w:val="center"/>
            <w:hideMark/>
          </w:tcPr>
          <w:p w14:paraId="520AA380" w14:textId="77777777" w:rsidR="001C0AC5" w:rsidRPr="0056292A" w:rsidRDefault="001C0AC5" w:rsidP="009C0BA6">
            <w:pPr>
              <w:contextualSpacing/>
              <w:rPr>
                <w:rFonts w:ascii="Arial" w:hAnsi="Arial" w:cs="Arial"/>
                <w:color w:val="000000"/>
              </w:rPr>
            </w:pPr>
            <w:r w:rsidRPr="0056292A">
              <w:rPr>
                <w:rFonts w:ascii="Arial" w:hAnsi="Arial" w:cs="Arial"/>
                <w:color w:val="000000"/>
              </w:rPr>
              <w:t>A</w:t>
            </w:r>
            <w:r w:rsidRPr="0056292A">
              <w:rPr>
                <w:rFonts w:ascii="Arial" w:hAnsi="Arial" w:cs="Arial"/>
                <w:color w:val="000000"/>
                <w:vertAlign w:val="subscript"/>
              </w:rPr>
              <w:t>1</w:t>
            </w:r>
            <w:r w:rsidRPr="0056292A">
              <w:rPr>
                <w:rFonts w:ascii="Arial" w:hAnsi="Arial" w:cs="Arial"/>
                <w:color w:val="000000"/>
              </w:rPr>
              <w:t>A</w:t>
            </w:r>
            <w:r w:rsidRPr="0056292A">
              <w:rPr>
                <w:rFonts w:ascii="Arial" w:hAnsi="Arial" w:cs="Arial"/>
                <w:color w:val="000000"/>
                <w:vertAlign w:val="subscript"/>
              </w:rPr>
              <w:t>2</w:t>
            </w:r>
            <w:r w:rsidRPr="0056292A">
              <w:rPr>
                <w:rFonts w:ascii="Arial" w:hAnsi="Arial" w:cs="Arial"/>
                <w:color w:val="000000"/>
              </w:rPr>
              <w:t>C</w:t>
            </w:r>
            <w:r w:rsidRPr="0056292A">
              <w:rPr>
                <w:rFonts w:ascii="Arial" w:hAnsi="Arial" w:cs="Arial"/>
                <w:color w:val="000000"/>
                <w:vertAlign w:val="subscript"/>
              </w:rPr>
              <w:t>2</w:t>
            </w:r>
            <w:r w:rsidRPr="0056292A">
              <w:rPr>
                <w:rFonts w:ascii="Arial" w:hAnsi="Arial" w:cs="Arial"/>
                <w:color w:val="000000"/>
              </w:rPr>
              <w:t>B</w:t>
            </w:r>
            <w:r w:rsidRPr="0056292A">
              <w:rPr>
                <w:rFonts w:ascii="Arial" w:hAnsi="Arial" w:cs="Arial"/>
                <w:color w:val="000000"/>
                <w:vertAlign w:val="subscript"/>
              </w:rPr>
              <w:t>2</w:t>
            </w:r>
          </w:p>
        </w:tc>
        <w:tc>
          <w:tcPr>
            <w:tcW w:w="1333" w:type="dxa"/>
            <w:tcBorders>
              <w:top w:val="single" w:sz="4" w:space="0" w:color="auto"/>
              <w:left w:val="nil"/>
              <w:bottom w:val="nil"/>
              <w:right w:val="nil"/>
            </w:tcBorders>
            <w:noWrap/>
            <w:vAlign w:val="center"/>
            <w:hideMark/>
          </w:tcPr>
          <w:p w14:paraId="7D2F46E7" w14:textId="77777777" w:rsidR="001C0AC5" w:rsidRPr="0056292A" w:rsidRDefault="001C0AC5" w:rsidP="009C0BA6">
            <w:pPr>
              <w:contextualSpacing/>
              <w:jc w:val="both"/>
              <w:rPr>
                <w:rFonts w:ascii="Arial" w:hAnsi="Arial" w:cs="Arial"/>
              </w:rPr>
            </w:pPr>
            <w:r w:rsidRPr="0056292A">
              <w:rPr>
                <w:rFonts w:ascii="Arial" w:hAnsi="Arial" w:cs="Arial"/>
              </w:rPr>
              <w:t>32.75 mg/kg</w:t>
            </w:r>
          </w:p>
        </w:tc>
        <w:tc>
          <w:tcPr>
            <w:tcW w:w="1120" w:type="dxa"/>
            <w:tcBorders>
              <w:top w:val="single" w:sz="4" w:space="0" w:color="auto"/>
              <w:left w:val="nil"/>
              <w:bottom w:val="nil"/>
              <w:right w:val="nil"/>
            </w:tcBorders>
            <w:noWrap/>
            <w:vAlign w:val="bottom"/>
            <w:hideMark/>
          </w:tcPr>
          <w:p w14:paraId="19C01138" w14:textId="77777777" w:rsidR="001C0AC5" w:rsidRPr="0056292A" w:rsidRDefault="001C0AC5" w:rsidP="009C0BA6">
            <w:pPr>
              <w:contextualSpacing/>
              <w:rPr>
                <w:rFonts w:ascii="Arial" w:hAnsi="Arial" w:cs="Arial"/>
                <w:color w:val="000000"/>
              </w:rPr>
            </w:pPr>
            <w:r w:rsidRPr="0056292A">
              <w:rPr>
                <w:rFonts w:ascii="Arial" w:hAnsi="Arial" w:cs="Arial"/>
                <w:color w:val="000000"/>
              </w:rPr>
              <w:t>17.44</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hideMark/>
          </w:tcPr>
          <w:p w14:paraId="78614A36" w14:textId="77777777" w:rsidR="001C0AC5" w:rsidRPr="0056292A" w:rsidRDefault="001C0AC5" w:rsidP="009C0BA6">
            <w:pPr>
              <w:contextualSpacing/>
              <w:rPr>
                <w:rFonts w:ascii="Arial" w:hAnsi="Arial" w:cs="Arial"/>
                <w:color w:val="000000"/>
              </w:rPr>
            </w:pPr>
            <w:r w:rsidRPr="0056292A">
              <w:rPr>
                <w:rFonts w:ascii="Arial" w:hAnsi="Arial" w:cs="Arial"/>
                <w:color w:val="000000"/>
              </w:rPr>
              <w:t>108.89</w:t>
            </w:r>
            <w:r w:rsidRPr="0056292A">
              <w:rPr>
                <w:rFonts w:ascii="Arial" w:hAnsi="Arial" w:cs="Arial"/>
                <w:i/>
                <w:color w:val="000000"/>
                <w:vertAlign w:val="superscript"/>
              </w:rPr>
              <w:t xml:space="preserve"> a</w:t>
            </w:r>
          </w:p>
        </w:tc>
        <w:tc>
          <w:tcPr>
            <w:tcW w:w="1120" w:type="dxa"/>
            <w:tcBorders>
              <w:top w:val="single" w:sz="4" w:space="0" w:color="auto"/>
              <w:left w:val="nil"/>
              <w:bottom w:val="nil"/>
              <w:right w:val="nil"/>
            </w:tcBorders>
            <w:noWrap/>
            <w:vAlign w:val="bottom"/>
            <w:hideMark/>
          </w:tcPr>
          <w:p w14:paraId="4768F4A6" w14:textId="77777777" w:rsidR="001C0AC5" w:rsidRPr="0056292A" w:rsidRDefault="001C0AC5" w:rsidP="009C0BA6">
            <w:pPr>
              <w:contextualSpacing/>
              <w:rPr>
                <w:rFonts w:ascii="Arial" w:hAnsi="Arial" w:cs="Arial"/>
                <w:color w:val="000000"/>
              </w:rPr>
            </w:pPr>
            <w:r w:rsidRPr="0056292A">
              <w:rPr>
                <w:rFonts w:ascii="Arial" w:hAnsi="Arial" w:cs="Arial"/>
                <w:color w:val="000000"/>
              </w:rPr>
              <w:t xml:space="preserve">160.33 </w:t>
            </w:r>
            <w:r w:rsidRPr="0056292A">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hideMark/>
          </w:tcPr>
          <w:p w14:paraId="207E6809" w14:textId="77777777" w:rsidR="001C0AC5" w:rsidRPr="0056292A" w:rsidRDefault="001C0AC5" w:rsidP="009C0BA6">
            <w:pPr>
              <w:contextualSpacing/>
              <w:rPr>
                <w:rFonts w:ascii="Arial" w:hAnsi="Arial" w:cs="Arial"/>
                <w:color w:val="000000"/>
              </w:rPr>
            </w:pPr>
            <w:r w:rsidRPr="0056292A">
              <w:rPr>
                <w:rFonts w:ascii="Arial" w:hAnsi="Arial" w:cs="Arial"/>
                <w:color w:val="000000"/>
              </w:rPr>
              <w:t>59.71</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80" w:type="dxa"/>
            <w:tcBorders>
              <w:top w:val="single" w:sz="4" w:space="0" w:color="auto"/>
              <w:left w:val="nil"/>
              <w:bottom w:val="nil"/>
              <w:right w:val="nil"/>
            </w:tcBorders>
            <w:noWrap/>
            <w:vAlign w:val="bottom"/>
            <w:hideMark/>
          </w:tcPr>
          <w:p w14:paraId="2C69F20B" w14:textId="77777777" w:rsidR="001C0AC5" w:rsidRPr="0056292A" w:rsidRDefault="001C0AC5" w:rsidP="009C0BA6">
            <w:pPr>
              <w:contextualSpacing/>
              <w:rPr>
                <w:rFonts w:ascii="Arial" w:hAnsi="Arial" w:cs="Arial"/>
                <w:color w:val="000000"/>
              </w:rPr>
            </w:pPr>
            <w:r w:rsidRPr="0056292A">
              <w:rPr>
                <w:rFonts w:ascii="Arial" w:hAnsi="Arial" w:cs="Arial"/>
                <w:color w:val="000000"/>
              </w:rPr>
              <w:t>12.17</w:t>
            </w:r>
            <w:r w:rsidRPr="0056292A">
              <w:rPr>
                <w:rFonts w:ascii="Arial" w:hAnsi="Arial" w:cs="Arial"/>
                <w:color w:val="000000"/>
                <w:vertAlign w:val="superscript"/>
              </w:rPr>
              <w:t xml:space="preserve"> </w:t>
            </w:r>
            <w:r w:rsidRPr="0056292A">
              <w:rPr>
                <w:rFonts w:ascii="Arial" w:hAnsi="Arial" w:cs="Arial"/>
                <w:i/>
                <w:color w:val="000000"/>
                <w:vertAlign w:val="superscript"/>
              </w:rPr>
              <w:t>a,1</w:t>
            </w:r>
          </w:p>
        </w:tc>
        <w:tc>
          <w:tcPr>
            <w:tcW w:w="1072" w:type="dxa"/>
            <w:tcBorders>
              <w:top w:val="single" w:sz="4" w:space="0" w:color="auto"/>
              <w:left w:val="nil"/>
              <w:bottom w:val="nil"/>
              <w:right w:val="nil"/>
            </w:tcBorders>
            <w:noWrap/>
            <w:vAlign w:val="bottom"/>
            <w:hideMark/>
          </w:tcPr>
          <w:p w14:paraId="7777627D" w14:textId="77777777" w:rsidR="001C0AC5" w:rsidRPr="0056292A" w:rsidRDefault="001C0AC5" w:rsidP="009C0BA6">
            <w:pPr>
              <w:contextualSpacing/>
              <w:rPr>
                <w:rFonts w:ascii="Arial" w:hAnsi="Arial" w:cs="Arial"/>
                <w:color w:val="000000"/>
              </w:rPr>
            </w:pPr>
            <w:r w:rsidRPr="0056292A">
              <w:rPr>
                <w:rFonts w:ascii="Arial" w:hAnsi="Arial" w:cs="Arial"/>
                <w:color w:val="000000"/>
              </w:rPr>
              <w:t>12.98</w:t>
            </w:r>
            <w:r w:rsidRPr="0056292A">
              <w:rPr>
                <w:rFonts w:ascii="Arial" w:hAnsi="Arial" w:cs="Arial"/>
                <w:i/>
                <w:color w:val="000000"/>
                <w:vertAlign w:val="superscript"/>
              </w:rPr>
              <w:t xml:space="preserve"> b,1</w:t>
            </w:r>
          </w:p>
        </w:tc>
        <w:tc>
          <w:tcPr>
            <w:tcW w:w="1120" w:type="dxa"/>
            <w:tcBorders>
              <w:top w:val="single" w:sz="4" w:space="0" w:color="auto"/>
              <w:left w:val="nil"/>
              <w:bottom w:val="nil"/>
              <w:right w:val="nil"/>
            </w:tcBorders>
            <w:noWrap/>
            <w:vAlign w:val="bottom"/>
            <w:hideMark/>
          </w:tcPr>
          <w:p w14:paraId="3A0A5517" w14:textId="77777777" w:rsidR="001C0AC5" w:rsidRPr="0056292A" w:rsidRDefault="001C0AC5" w:rsidP="009C0BA6">
            <w:pPr>
              <w:contextualSpacing/>
              <w:rPr>
                <w:rFonts w:ascii="Arial" w:hAnsi="Arial" w:cs="Arial"/>
                <w:color w:val="000000"/>
              </w:rPr>
            </w:pPr>
            <w:r w:rsidRPr="0056292A">
              <w:rPr>
                <w:rFonts w:ascii="Arial" w:hAnsi="Arial" w:cs="Arial"/>
                <w:color w:val="000000"/>
              </w:rPr>
              <w:t>0.65</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hideMark/>
          </w:tcPr>
          <w:p w14:paraId="396F1A9D" w14:textId="77777777" w:rsidR="001C0AC5" w:rsidRPr="0056292A" w:rsidRDefault="001C0AC5" w:rsidP="009C0BA6">
            <w:pPr>
              <w:contextualSpacing/>
              <w:rPr>
                <w:rFonts w:ascii="Arial" w:hAnsi="Arial" w:cs="Arial"/>
                <w:color w:val="000000"/>
              </w:rPr>
            </w:pPr>
            <w:r w:rsidRPr="0056292A">
              <w:rPr>
                <w:rFonts w:ascii="Arial" w:hAnsi="Arial" w:cs="Arial"/>
                <w:color w:val="000000"/>
              </w:rPr>
              <w:t>152.96</w:t>
            </w:r>
            <w:r w:rsidRPr="0056292A">
              <w:rPr>
                <w:rFonts w:ascii="Arial" w:hAnsi="Arial" w:cs="Arial"/>
                <w:i/>
                <w:color w:val="000000"/>
                <w:vertAlign w:val="superscript"/>
              </w:rPr>
              <w:t xml:space="preserve"> a,1</w:t>
            </w:r>
          </w:p>
        </w:tc>
        <w:tc>
          <w:tcPr>
            <w:tcW w:w="1080" w:type="dxa"/>
            <w:tcBorders>
              <w:top w:val="single" w:sz="4" w:space="0" w:color="auto"/>
              <w:left w:val="nil"/>
              <w:bottom w:val="nil"/>
              <w:right w:val="nil"/>
            </w:tcBorders>
            <w:noWrap/>
            <w:vAlign w:val="bottom"/>
            <w:hideMark/>
          </w:tcPr>
          <w:p w14:paraId="765CC8E8" w14:textId="77777777" w:rsidR="001C0AC5" w:rsidRPr="0056292A" w:rsidRDefault="001C0AC5" w:rsidP="009C0BA6">
            <w:pPr>
              <w:contextualSpacing/>
              <w:rPr>
                <w:rFonts w:ascii="Arial" w:hAnsi="Arial" w:cs="Arial"/>
                <w:color w:val="000000"/>
              </w:rPr>
            </w:pPr>
            <w:r w:rsidRPr="0056292A">
              <w:rPr>
                <w:rFonts w:ascii="Arial" w:hAnsi="Arial" w:cs="Arial"/>
                <w:color w:val="000000"/>
              </w:rPr>
              <w:t>-31.61</w:t>
            </w:r>
            <w:r w:rsidRPr="0056292A">
              <w:rPr>
                <w:rFonts w:ascii="Arial" w:hAnsi="Arial" w:cs="Arial"/>
                <w:color w:val="000000"/>
                <w:vertAlign w:val="superscript"/>
              </w:rPr>
              <w:t xml:space="preserve"> </w:t>
            </w:r>
            <w:r w:rsidRPr="0056292A">
              <w:rPr>
                <w:rFonts w:ascii="Arial" w:hAnsi="Arial" w:cs="Arial"/>
                <w:i/>
                <w:color w:val="000000"/>
                <w:vertAlign w:val="superscript"/>
              </w:rPr>
              <w:t>a,2</w:t>
            </w:r>
          </w:p>
        </w:tc>
      </w:tr>
      <w:tr w:rsidR="001C0AC5" w:rsidRPr="0056292A" w14:paraId="486087C4" w14:textId="77777777" w:rsidTr="009C0BA6">
        <w:trPr>
          <w:trHeight w:val="300"/>
          <w:jc w:val="center"/>
        </w:trPr>
        <w:tc>
          <w:tcPr>
            <w:tcW w:w="1032" w:type="dxa"/>
            <w:vMerge/>
            <w:tcBorders>
              <w:top w:val="nil"/>
              <w:left w:val="nil"/>
              <w:bottom w:val="nil"/>
              <w:right w:val="nil"/>
            </w:tcBorders>
            <w:vAlign w:val="center"/>
            <w:hideMark/>
          </w:tcPr>
          <w:p w14:paraId="36F07B5E" w14:textId="77777777" w:rsidR="001C0AC5" w:rsidRPr="0056292A" w:rsidRDefault="001C0AC5" w:rsidP="009C0BA6">
            <w:pPr>
              <w:contextualSpacing/>
              <w:rPr>
                <w:rFonts w:ascii="Arial" w:hAnsi="Arial" w:cs="Arial"/>
                <w:color w:val="000000"/>
              </w:rPr>
            </w:pPr>
          </w:p>
        </w:tc>
        <w:tc>
          <w:tcPr>
            <w:tcW w:w="1333" w:type="dxa"/>
            <w:tcBorders>
              <w:top w:val="nil"/>
              <w:left w:val="nil"/>
              <w:bottom w:val="nil"/>
              <w:right w:val="nil"/>
            </w:tcBorders>
            <w:noWrap/>
            <w:vAlign w:val="center"/>
            <w:hideMark/>
          </w:tcPr>
          <w:p w14:paraId="42B98EE1" w14:textId="77777777" w:rsidR="001C0AC5" w:rsidRPr="0056292A" w:rsidRDefault="001C0AC5" w:rsidP="009C0BA6">
            <w:pPr>
              <w:contextualSpacing/>
              <w:jc w:val="both"/>
              <w:rPr>
                <w:rFonts w:ascii="Arial" w:hAnsi="Arial" w:cs="Arial"/>
              </w:rPr>
            </w:pPr>
            <w:r w:rsidRPr="0056292A">
              <w:rPr>
                <w:rFonts w:ascii="Arial" w:hAnsi="Arial" w:cs="Arial"/>
              </w:rPr>
              <w:t>42.02 mg/kg</w:t>
            </w:r>
          </w:p>
        </w:tc>
        <w:tc>
          <w:tcPr>
            <w:tcW w:w="1120" w:type="dxa"/>
            <w:tcBorders>
              <w:top w:val="nil"/>
              <w:left w:val="nil"/>
              <w:bottom w:val="nil"/>
              <w:right w:val="nil"/>
            </w:tcBorders>
            <w:noWrap/>
            <w:vAlign w:val="bottom"/>
            <w:hideMark/>
          </w:tcPr>
          <w:p w14:paraId="63AB1D63" w14:textId="77777777" w:rsidR="001C0AC5" w:rsidRPr="0056292A" w:rsidRDefault="001C0AC5" w:rsidP="009C0BA6">
            <w:pPr>
              <w:contextualSpacing/>
              <w:rPr>
                <w:rFonts w:ascii="Arial" w:hAnsi="Arial" w:cs="Arial"/>
                <w:color w:val="000000"/>
              </w:rPr>
            </w:pPr>
            <w:r w:rsidRPr="0056292A">
              <w:rPr>
                <w:rFonts w:ascii="Arial" w:hAnsi="Arial" w:cs="Arial"/>
                <w:color w:val="000000"/>
              </w:rPr>
              <w:t>19.24</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72" w:type="dxa"/>
            <w:tcBorders>
              <w:top w:val="nil"/>
              <w:left w:val="nil"/>
              <w:bottom w:val="nil"/>
              <w:right w:val="nil"/>
            </w:tcBorders>
            <w:noWrap/>
            <w:vAlign w:val="bottom"/>
            <w:hideMark/>
          </w:tcPr>
          <w:p w14:paraId="36933C07" w14:textId="77777777" w:rsidR="001C0AC5" w:rsidRPr="0056292A" w:rsidRDefault="001C0AC5" w:rsidP="009C0BA6">
            <w:pPr>
              <w:contextualSpacing/>
              <w:rPr>
                <w:rFonts w:ascii="Arial" w:hAnsi="Arial" w:cs="Arial"/>
                <w:color w:val="000000"/>
              </w:rPr>
            </w:pPr>
            <w:r w:rsidRPr="0056292A">
              <w:rPr>
                <w:rFonts w:ascii="Arial" w:hAnsi="Arial" w:cs="Arial"/>
                <w:color w:val="000000"/>
              </w:rPr>
              <w:t>130.22</w:t>
            </w:r>
            <w:r w:rsidRPr="0056292A">
              <w:rPr>
                <w:rFonts w:ascii="Arial" w:hAnsi="Arial" w:cs="Arial"/>
                <w:i/>
                <w:color w:val="000000"/>
                <w:vertAlign w:val="superscript"/>
              </w:rPr>
              <w:t xml:space="preserve"> a</w:t>
            </w:r>
          </w:p>
        </w:tc>
        <w:tc>
          <w:tcPr>
            <w:tcW w:w="1120" w:type="dxa"/>
            <w:tcBorders>
              <w:top w:val="nil"/>
              <w:left w:val="nil"/>
              <w:bottom w:val="nil"/>
              <w:right w:val="nil"/>
            </w:tcBorders>
            <w:noWrap/>
            <w:vAlign w:val="bottom"/>
            <w:hideMark/>
          </w:tcPr>
          <w:p w14:paraId="4972A2F2" w14:textId="77777777" w:rsidR="001C0AC5" w:rsidRPr="0056292A" w:rsidRDefault="001C0AC5" w:rsidP="009C0BA6">
            <w:pPr>
              <w:contextualSpacing/>
              <w:rPr>
                <w:rFonts w:ascii="Arial" w:hAnsi="Arial" w:cs="Arial"/>
                <w:color w:val="000000"/>
              </w:rPr>
            </w:pPr>
            <w:r w:rsidRPr="0056292A">
              <w:rPr>
                <w:rFonts w:ascii="Arial" w:hAnsi="Arial" w:cs="Arial"/>
                <w:color w:val="000000"/>
              </w:rPr>
              <w:t>171.51</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120" w:type="dxa"/>
            <w:tcBorders>
              <w:top w:val="nil"/>
              <w:left w:val="nil"/>
              <w:bottom w:val="nil"/>
              <w:right w:val="nil"/>
            </w:tcBorders>
            <w:noWrap/>
            <w:vAlign w:val="bottom"/>
            <w:hideMark/>
          </w:tcPr>
          <w:p w14:paraId="4DE205EA" w14:textId="77777777" w:rsidR="001C0AC5" w:rsidRPr="0056292A" w:rsidRDefault="001C0AC5" w:rsidP="009C0BA6">
            <w:pPr>
              <w:contextualSpacing/>
              <w:rPr>
                <w:rFonts w:ascii="Arial" w:hAnsi="Arial" w:cs="Arial"/>
                <w:color w:val="000000"/>
              </w:rPr>
            </w:pPr>
            <w:r w:rsidRPr="0056292A">
              <w:rPr>
                <w:rFonts w:ascii="Arial" w:hAnsi="Arial" w:cs="Arial"/>
                <w:color w:val="000000"/>
              </w:rPr>
              <w:t>60.76</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80" w:type="dxa"/>
            <w:tcBorders>
              <w:top w:val="nil"/>
              <w:left w:val="nil"/>
              <w:bottom w:val="nil"/>
              <w:right w:val="nil"/>
            </w:tcBorders>
            <w:noWrap/>
            <w:vAlign w:val="bottom"/>
            <w:hideMark/>
          </w:tcPr>
          <w:p w14:paraId="7309C057" w14:textId="77777777" w:rsidR="001C0AC5" w:rsidRPr="0056292A" w:rsidRDefault="001C0AC5" w:rsidP="009C0BA6">
            <w:pPr>
              <w:contextualSpacing/>
              <w:rPr>
                <w:rFonts w:ascii="Arial" w:hAnsi="Arial" w:cs="Arial"/>
                <w:color w:val="000000"/>
              </w:rPr>
            </w:pPr>
            <w:r w:rsidRPr="0056292A">
              <w:rPr>
                <w:rFonts w:ascii="Arial" w:hAnsi="Arial" w:cs="Arial"/>
                <w:color w:val="000000"/>
              </w:rPr>
              <w:t>9.33</w:t>
            </w:r>
            <w:r w:rsidRPr="0056292A">
              <w:rPr>
                <w:rFonts w:ascii="Arial" w:hAnsi="Arial" w:cs="Arial"/>
                <w:color w:val="000000"/>
                <w:vertAlign w:val="superscript"/>
              </w:rPr>
              <w:t xml:space="preserve"> </w:t>
            </w:r>
            <w:r w:rsidRPr="0056292A">
              <w:rPr>
                <w:rFonts w:ascii="Arial" w:hAnsi="Arial" w:cs="Arial"/>
                <w:i/>
                <w:color w:val="000000"/>
                <w:vertAlign w:val="superscript"/>
              </w:rPr>
              <w:t>a,1</w:t>
            </w:r>
          </w:p>
        </w:tc>
        <w:tc>
          <w:tcPr>
            <w:tcW w:w="1072" w:type="dxa"/>
            <w:tcBorders>
              <w:top w:val="nil"/>
              <w:left w:val="nil"/>
              <w:bottom w:val="nil"/>
              <w:right w:val="nil"/>
            </w:tcBorders>
            <w:noWrap/>
            <w:vAlign w:val="bottom"/>
            <w:hideMark/>
          </w:tcPr>
          <w:p w14:paraId="5824BDBE" w14:textId="77777777" w:rsidR="001C0AC5" w:rsidRPr="0056292A" w:rsidRDefault="001C0AC5" w:rsidP="009C0BA6">
            <w:pPr>
              <w:contextualSpacing/>
              <w:rPr>
                <w:rFonts w:ascii="Arial" w:hAnsi="Arial" w:cs="Arial"/>
                <w:color w:val="000000"/>
              </w:rPr>
            </w:pPr>
            <w:r w:rsidRPr="0056292A">
              <w:rPr>
                <w:rFonts w:ascii="Arial" w:hAnsi="Arial" w:cs="Arial"/>
                <w:color w:val="000000"/>
              </w:rPr>
              <w:t>18.75</w:t>
            </w:r>
            <w:r w:rsidRPr="0056292A">
              <w:rPr>
                <w:rFonts w:ascii="Arial" w:hAnsi="Arial" w:cs="Arial"/>
                <w:i/>
                <w:color w:val="000000"/>
                <w:vertAlign w:val="superscript"/>
              </w:rPr>
              <w:t xml:space="preserve"> b,1</w:t>
            </w:r>
          </w:p>
        </w:tc>
        <w:tc>
          <w:tcPr>
            <w:tcW w:w="1120" w:type="dxa"/>
            <w:tcBorders>
              <w:top w:val="nil"/>
              <w:left w:val="nil"/>
              <w:bottom w:val="nil"/>
              <w:right w:val="nil"/>
            </w:tcBorders>
            <w:noWrap/>
            <w:vAlign w:val="bottom"/>
            <w:hideMark/>
          </w:tcPr>
          <w:p w14:paraId="149010D8" w14:textId="77777777" w:rsidR="001C0AC5" w:rsidRPr="0056292A" w:rsidRDefault="001C0AC5" w:rsidP="009C0BA6">
            <w:pPr>
              <w:contextualSpacing/>
              <w:rPr>
                <w:rFonts w:ascii="Arial" w:hAnsi="Arial" w:cs="Arial"/>
                <w:color w:val="000000"/>
              </w:rPr>
            </w:pPr>
            <w:r w:rsidRPr="0056292A">
              <w:rPr>
                <w:rFonts w:ascii="Arial" w:hAnsi="Arial" w:cs="Arial"/>
                <w:color w:val="000000"/>
              </w:rPr>
              <w:t>-8.24</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nil"/>
              <w:left w:val="nil"/>
              <w:bottom w:val="nil"/>
              <w:right w:val="nil"/>
            </w:tcBorders>
            <w:noWrap/>
            <w:vAlign w:val="bottom"/>
            <w:hideMark/>
          </w:tcPr>
          <w:p w14:paraId="75E2FABE" w14:textId="77777777" w:rsidR="001C0AC5" w:rsidRPr="0056292A" w:rsidRDefault="001C0AC5" w:rsidP="009C0BA6">
            <w:pPr>
              <w:contextualSpacing/>
              <w:rPr>
                <w:rFonts w:ascii="Arial" w:hAnsi="Arial" w:cs="Arial"/>
                <w:color w:val="000000"/>
              </w:rPr>
            </w:pPr>
            <w:r w:rsidRPr="0056292A">
              <w:rPr>
                <w:rFonts w:ascii="Arial" w:hAnsi="Arial" w:cs="Arial"/>
                <w:color w:val="000000"/>
              </w:rPr>
              <w:t>165.37</w:t>
            </w:r>
            <w:r w:rsidRPr="0056292A">
              <w:rPr>
                <w:rFonts w:ascii="Arial" w:hAnsi="Arial" w:cs="Arial"/>
                <w:color w:val="000000"/>
                <w:vertAlign w:val="superscript"/>
              </w:rPr>
              <w:t xml:space="preserve"> </w:t>
            </w:r>
            <w:r w:rsidRPr="0056292A">
              <w:rPr>
                <w:rFonts w:ascii="Arial" w:hAnsi="Arial" w:cs="Arial"/>
                <w:i/>
                <w:color w:val="000000"/>
                <w:vertAlign w:val="superscript"/>
              </w:rPr>
              <w:t>a,12</w:t>
            </w:r>
          </w:p>
        </w:tc>
        <w:tc>
          <w:tcPr>
            <w:tcW w:w="1080" w:type="dxa"/>
            <w:tcBorders>
              <w:top w:val="nil"/>
              <w:left w:val="nil"/>
              <w:bottom w:val="nil"/>
              <w:right w:val="nil"/>
            </w:tcBorders>
            <w:noWrap/>
            <w:vAlign w:val="bottom"/>
            <w:hideMark/>
          </w:tcPr>
          <w:p w14:paraId="1FBA47C8" w14:textId="77777777" w:rsidR="001C0AC5" w:rsidRPr="0056292A" w:rsidRDefault="001C0AC5" w:rsidP="009C0BA6">
            <w:pPr>
              <w:contextualSpacing/>
              <w:rPr>
                <w:rFonts w:ascii="Arial" w:hAnsi="Arial" w:cs="Arial"/>
                <w:color w:val="000000"/>
              </w:rPr>
            </w:pPr>
            <w:r w:rsidRPr="0056292A">
              <w:rPr>
                <w:rFonts w:ascii="Arial" w:hAnsi="Arial" w:cs="Arial"/>
                <w:color w:val="000000"/>
              </w:rPr>
              <w:t>-20.37</w:t>
            </w:r>
            <w:r w:rsidRPr="0056292A">
              <w:rPr>
                <w:rFonts w:ascii="Arial" w:hAnsi="Arial" w:cs="Arial"/>
                <w:color w:val="000000"/>
                <w:vertAlign w:val="superscript"/>
              </w:rPr>
              <w:t xml:space="preserve"> </w:t>
            </w:r>
            <w:r w:rsidRPr="0056292A">
              <w:rPr>
                <w:rFonts w:ascii="Arial" w:hAnsi="Arial" w:cs="Arial"/>
                <w:i/>
                <w:color w:val="000000"/>
                <w:vertAlign w:val="superscript"/>
              </w:rPr>
              <w:t>a,1</w:t>
            </w:r>
          </w:p>
        </w:tc>
      </w:tr>
      <w:tr w:rsidR="001C0AC5" w:rsidRPr="0056292A" w14:paraId="1C02B0FB" w14:textId="77777777" w:rsidTr="009C0BA6">
        <w:trPr>
          <w:trHeight w:val="300"/>
          <w:jc w:val="center"/>
        </w:trPr>
        <w:tc>
          <w:tcPr>
            <w:tcW w:w="1032" w:type="dxa"/>
            <w:vMerge/>
            <w:tcBorders>
              <w:top w:val="nil"/>
              <w:left w:val="nil"/>
              <w:bottom w:val="single" w:sz="4" w:space="0" w:color="auto"/>
              <w:right w:val="nil"/>
            </w:tcBorders>
            <w:vAlign w:val="center"/>
            <w:hideMark/>
          </w:tcPr>
          <w:p w14:paraId="3A454850" w14:textId="77777777" w:rsidR="001C0AC5" w:rsidRPr="0056292A" w:rsidRDefault="001C0AC5" w:rsidP="009C0BA6">
            <w:pPr>
              <w:contextualSpacing/>
              <w:rPr>
                <w:rFonts w:ascii="Arial" w:hAnsi="Arial" w:cs="Arial"/>
                <w:color w:val="000000"/>
              </w:rPr>
            </w:pPr>
          </w:p>
        </w:tc>
        <w:tc>
          <w:tcPr>
            <w:tcW w:w="1333" w:type="dxa"/>
            <w:tcBorders>
              <w:top w:val="nil"/>
              <w:left w:val="nil"/>
              <w:bottom w:val="single" w:sz="4" w:space="0" w:color="auto"/>
              <w:right w:val="nil"/>
            </w:tcBorders>
            <w:noWrap/>
            <w:vAlign w:val="bottom"/>
            <w:hideMark/>
          </w:tcPr>
          <w:p w14:paraId="0EF4044D" w14:textId="77777777" w:rsidR="001C0AC5" w:rsidRPr="0056292A" w:rsidRDefault="001C0AC5" w:rsidP="009C0BA6">
            <w:pPr>
              <w:contextualSpacing/>
              <w:jc w:val="both"/>
              <w:rPr>
                <w:rFonts w:ascii="Arial" w:hAnsi="Arial" w:cs="Arial"/>
              </w:rPr>
            </w:pPr>
            <w:r w:rsidRPr="0056292A">
              <w:rPr>
                <w:rFonts w:ascii="Arial" w:hAnsi="Arial" w:cs="Arial"/>
              </w:rPr>
              <w:t>52.55 mg/kg</w:t>
            </w:r>
          </w:p>
        </w:tc>
        <w:tc>
          <w:tcPr>
            <w:tcW w:w="1120" w:type="dxa"/>
            <w:tcBorders>
              <w:top w:val="nil"/>
              <w:left w:val="nil"/>
              <w:bottom w:val="single" w:sz="4" w:space="0" w:color="auto"/>
              <w:right w:val="nil"/>
            </w:tcBorders>
            <w:noWrap/>
            <w:vAlign w:val="bottom"/>
            <w:hideMark/>
          </w:tcPr>
          <w:p w14:paraId="4255AC47" w14:textId="77777777" w:rsidR="001C0AC5" w:rsidRPr="0056292A" w:rsidRDefault="001C0AC5" w:rsidP="009C0BA6">
            <w:pPr>
              <w:contextualSpacing/>
              <w:rPr>
                <w:rFonts w:ascii="Arial" w:hAnsi="Arial" w:cs="Arial"/>
                <w:color w:val="000000"/>
              </w:rPr>
            </w:pPr>
            <w:r w:rsidRPr="0056292A">
              <w:rPr>
                <w:rFonts w:ascii="Arial" w:hAnsi="Arial" w:cs="Arial"/>
                <w:color w:val="000000"/>
              </w:rPr>
              <w:t>23.27</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hideMark/>
          </w:tcPr>
          <w:p w14:paraId="6BBF035F" w14:textId="77777777" w:rsidR="001C0AC5" w:rsidRPr="0056292A" w:rsidRDefault="001C0AC5" w:rsidP="009C0BA6">
            <w:pPr>
              <w:contextualSpacing/>
              <w:rPr>
                <w:rFonts w:ascii="Arial" w:hAnsi="Arial" w:cs="Arial"/>
                <w:color w:val="000000"/>
              </w:rPr>
            </w:pPr>
            <w:r w:rsidRPr="0056292A">
              <w:rPr>
                <w:rFonts w:ascii="Arial" w:hAnsi="Arial" w:cs="Arial"/>
                <w:color w:val="000000"/>
              </w:rPr>
              <w:t>150.92</w:t>
            </w:r>
            <w:r w:rsidRPr="0056292A">
              <w:rPr>
                <w:rFonts w:ascii="Arial" w:hAnsi="Arial" w:cs="Arial"/>
                <w:i/>
                <w:color w:val="000000"/>
                <w:vertAlign w:val="superscript"/>
              </w:rPr>
              <w:t xml:space="preserve"> a</w:t>
            </w:r>
          </w:p>
        </w:tc>
        <w:tc>
          <w:tcPr>
            <w:tcW w:w="1120" w:type="dxa"/>
            <w:tcBorders>
              <w:top w:val="nil"/>
              <w:left w:val="nil"/>
              <w:bottom w:val="single" w:sz="4" w:space="0" w:color="auto"/>
              <w:right w:val="nil"/>
            </w:tcBorders>
            <w:noWrap/>
            <w:vAlign w:val="bottom"/>
            <w:hideMark/>
          </w:tcPr>
          <w:p w14:paraId="19F13CB7" w14:textId="77777777" w:rsidR="001C0AC5" w:rsidRPr="0056292A" w:rsidRDefault="001C0AC5" w:rsidP="009C0BA6">
            <w:pPr>
              <w:contextualSpacing/>
              <w:rPr>
                <w:rFonts w:ascii="Arial" w:hAnsi="Arial" w:cs="Arial"/>
                <w:color w:val="000000"/>
              </w:rPr>
            </w:pPr>
            <w:r w:rsidRPr="0056292A">
              <w:rPr>
                <w:rFonts w:ascii="Arial" w:hAnsi="Arial" w:cs="Arial"/>
                <w:color w:val="000000"/>
              </w:rPr>
              <w:t>187.43</w:t>
            </w:r>
            <w:r w:rsidRPr="0056292A">
              <w:rPr>
                <w:rFonts w:ascii="Arial" w:hAnsi="Arial" w:cs="Arial"/>
                <w:color w:val="000000"/>
                <w:vertAlign w:val="superscript"/>
              </w:rPr>
              <w:t xml:space="preserve"> </w:t>
            </w:r>
            <w:r w:rsidRPr="0056292A">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hideMark/>
          </w:tcPr>
          <w:p w14:paraId="56B2ECDB" w14:textId="77777777" w:rsidR="001C0AC5" w:rsidRPr="0056292A" w:rsidRDefault="001C0AC5" w:rsidP="009C0BA6">
            <w:pPr>
              <w:contextualSpacing/>
              <w:rPr>
                <w:rFonts w:ascii="Arial" w:hAnsi="Arial" w:cs="Arial"/>
                <w:color w:val="000000"/>
              </w:rPr>
            </w:pPr>
            <w:r w:rsidRPr="0056292A">
              <w:rPr>
                <w:rFonts w:ascii="Arial" w:hAnsi="Arial" w:cs="Arial"/>
                <w:color w:val="000000"/>
              </w:rPr>
              <w:t>63.84</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80" w:type="dxa"/>
            <w:tcBorders>
              <w:top w:val="nil"/>
              <w:left w:val="nil"/>
              <w:bottom w:val="single" w:sz="4" w:space="0" w:color="auto"/>
              <w:right w:val="nil"/>
            </w:tcBorders>
            <w:noWrap/>
            <w:vAlign w:val="bottom"/>
            <w:hideMark/>
          </w:tcPr>
          <w:p w14:paraId="29356620" w14:textId="77777777" w:rsidR="001C0AC5" w:rsidRPr="0056292A" w:rsidRDefault="001C0AC5" w:rsidP="009C0BA6">
            <w:pPr>
              <w:contextualSpacing/>
              <w:rPr>
                <w:rFonts w:ascii="Arial" w:hAnsi="Arial" w:cs="Arial"/>
                <w:color w:val="000000"/>
              </w:rPr>
            </w:pPr>
            <w:r w:rsidRPr="0056292A">
              <w:rPr>
                <w:rFonts w:ascii="Arial" w:hAnsi="Arial" w:cs="Arial"/>
                <w:color w:val="000000"/>
              </w:rPr>
              <w:t>5.89</w:t>
            </w:r>
            <w:r w:rsidRPr="0056292A">
              <w:rPr>
                <w:rFonts w:ascii="Arial" w:hAnsi="Arial" w:cs="Arial"/>
                <w:color w:val="000000"/>
                <w:vertAlign w:val="superscript"/>
              </w:rPr>
              <w:t xml:space="preserve"> </w:t>
            </w:r>
            <w:r w:rsidRPr="0056292A">
              <w:rPr>
                <w:rFonts w:ascii="Arial" w:hAnsi="Arial" w:cs="Arial"/>
                <w:i/>
                <w:color w:val="000000"/>
                <w:vertAlign w:val="superscript"/>
              </w:rPr>
              <w:t>a,2</w:t>
            </w:r>
          </w:p>
        </w:tc>
        <w:tc>
          <w:tcPr>
            <w:tcW w:w="1072" w:type="dxa"/>
            <w:tcBorders>
              <w:top w:val="nil"/>
              <w:left w:val="nil"/>
              <w:bottom w:val="single" w:sz="4" w:space="0" w:color="auto"/>
              <w:right w:val="nil"/>
            </w:tcBorders>
            <w:noWrap/>
            <w:vAlign w:val="bottom"/>
            <w:hideMark/>
          </w:tcPr>
          <w:p w14:paraId="009BA7EE" w14:textId="77777777" w:rsidR="001C0AC5" w:rsidRPr="0056292A" w:rsidRDefault="001C0AC5" w:rsidP="009C0BA6">
            <w:pPr>
              <w:contextualSpacing/>
              <w:rPr>
                <w:rFonts w:ascii="Arial" w:hAnsi="Arial" w:cs="Arial"/>
                <w:color w:val="000000"/>
              </w:rPr>
            </w:pPr>
            <w:r w:rsidRPr="0056292A">
              <w:rPr>
                <w:rFonts w:ascii="Arial" w:hAnsi="Arial" w:cs="Arial"/>
                <w:color w:val="000000"/>
              </w:rPr>
              <w:t>18.71</w:t>
            </w:r>
            <w:r w:rsidRPr="0056292A">
              <w:rPr>
                <w:rFonts w:ascii="Arial" w:hAnsi="Arial" w:cs="Arial"/>
                <w:i/>
                <w:color w:val="000000"/>
                <w:vertAlign w:val="superscript"/>
              </w:rPr>
              <w:t xml:space="preserve"> b,2</w:t>
            </w:r>
          </w:p>
        </w:tc>
        <w:tc>
          <w:tcPr>
            <w:tcW w:w="1120" w:type="dxa"/>
            <w:tcBorders>
              <w:top w:val="nil"/>
              <w:left w:val="nil"/>
              <w:bottom w:val="single" w:sz="4" w:space="0" w:color="auto"/>
              <w:right w:val="nil"/>
            </w:tcBorders>
            <w:noWrap/>
            <w:vAlign w:val="bottom"/>
            <w:hideMark/>
          </w:tcPr>
          <w:p w14:paraId="6E8601D1" w14:textId="77777777" w:rsidR="001C0AC5" w:rsidRPr="0056292A" w:rsidRDefault="001C0AC5" w:rsidP="009C0BA6">
            <w:pPr>
              <w:contextualSpacing/>
              <w:rPr>
                <w:rFonts w:ascii="Arial" w:hAnsi="Arial" w:cs="Arial"/>
                <w:color w:val="000000"/>
              </w:rPr>
            </w:pPr>
            <w:r w:rsidRPr="0056292A">
              <w:rPr>
                <w:rFonts w:ascii="Arial" w:hAnsi="Arial" w:cs="Arial"/>
                <w:color w:val="000000"/>
              </w:rPr>
              <w:t>-6.08</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hideMark/>
          </w:tcPr>
          <w:p w14:paraId="26009D26" w14:textId="77777777" w:rsidR="001C0AC5" w:rsidRPr="0056292A" w:rsidRDefault="001C0AC5" w:rsidP="009C0BA6">
            <w:pPr>
              <w:contextualSpacing/>
              <w:rPr>
                <w:rFonts w:ascii="Arial" w:hAnsi="Arial" w:cs="Arial"/>
                <w:color w:val="000000"/>
              </w:rPr>
            </w:pPr>
            <w:r w:rsidRPr="0056292A">
              <w:rPr>
                <w:rFonts w:ascii="Arial" w:hAnsi="Arial" w:cs="Arial"/>
                <w:color w:val="000000"/>
              </w:rPr>
              <w:t>174.73</w:t>
            </w:r>
            <w:r w:rsidRPr="0056292A">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hideMark/>
          </w:tcPr>
          <w:p w14:paraId="00998151" w14:textId="77777777" w:rsidR="001C0AC5" w:rsidRPr="0056292A" w:rsidRDefault="001C0AC5" w:rsidP="009C0BA6">
            <w:pPr>
              <w:contextualSpacing/>
              <w:rPr>
                <w:rFonts w:ascii="Arial" w:hAnsi="Arial" w:cs="Arial"/>
                <w:color w:val="000000"/>
              </w:rPr>
            </w:pPr>
            <w:r w:rsidRPr="0056292A">
              <w:rPr>
                <w:rFonts w:ascii="Arial" w:hAnsi="Arial" w:cs="Arial"/>
                <w:color w:val="000000"/>
              </w:rPr>
              <w:t>-21.03</w:t>
            </w:r>
            <w:r w:rsidRPr="0056292A">
              <w:rPr>
                <w:rFonts w:ascii="Arial" w:hAnsi="Arial" w:cs="Arial"/>
                <w:color w:val="000000"/>
                <w:vertAlign w:val="superscript"/>
              </w:rPr>
              <w:t xml:space="preserve"> </w:t>
            </w:r>
            <w:r w:rsidRPr="0056292A">
              <w:rPr>
                <w:rFonts w:ascii="Arial" w:hAnsi="Arial" w:cs="Arial"/>
                <w:i/>
                <w:color w:val="000000"/>
                <w:vertAlign w:val="superscript"/>
              </w:rPr>
              <w:t>a,1,2</w:t>
            </w:r>
          </w:p>
        </w:tc>
      </w:tr>
      <w:tr w:rsidR="001C0AC5" w:rsidRPr="0056292A" w14:paraId="741A1C18" w14:textId="77777777" w:rsidTr="009C0BA6">
        <w:trPr>
          <w:trHeight w:val="300"/>
          <w:jc w:val="center"/>
        </w:trPr>
        <w:tc>
          <w:tcPr>
            <w:tcW w:w="1032" w:type="dxa"/>
            <w:vMerge w:val="restart"/>
            <w:tcBorders>
              <w:top w:val="single" w:sz="4" w:space="0" w:color="auto"/>
              <w:left w:val="nil"/>
              <w:bottom w:val="single" w:sz="4" w:space="0" w:color="000000"/>
              <w:right w:val="nil"/>
            </w:tcBorders>
            <w:noWrap/>
            <w:vAlign w:val="center"/>
            <w:hideMark/>
          </w:tcPr>
          <w:p w14:paraId="2E4C5BA3" w14:textId="77777777" w:rsidR="001C0AC5" w:rsidRPr="0056292A" w:rsidRDefault="001C0AC5" w:rsidP="009C0BA6">
            <w:pPr>
              <w:contextualSpacing/>
              <w:rPr>
                <w:rFonts w:ascii="Arial" w:hAnsi="Arial" w:cs="Arial"/>
                <w:color w:val="000000"/>
              </w:rPr>
            </w:pPr>
            <w:r w:rsidRPr="0056292A">
              <w:rPr>
                <w:rFonts w:ascii="Arial" w:hAnsi="Arial" w:cs="Arial"/>
                <w:color w:val="000000"/>
              </w:rPr>
              <w:t>C</w:t>
            </w:r>
            <w:r w:rsidRPr="0056292A">
              <w:rPr>
                <w:rFonts w:ascii="Arial" w:hAnsi="Arial" w:cs="Arial"/>
                <w:color w:val="000000"/>
                <w:vertAlign w:val="subscript"/>
              </w:rPr>
              <w:t>2</w:t>
            </w:r>
          </w:p>
        </w:tc>
        <w:tc>
          <w:tcPr>
            <w:tcW w:w="1333" w:type="dxa"/>
            <w:tcBorders>
              <w:top w:val="single" w:sz="4" w:space="0" w:color="auto"/>
              <w:left w:val="nil"/>
              <w:bottom w:val="nil"/>
              <w:right w:val="nil"/>
            </w:tcBorders>
            <w:noWrap/>
            <w:vAlign w:val="center"/>
            <w:hideMark/>
          </w:tcPr>
          <w:p w14:paraId="42644203" w14:textId="77777777" w:rsidR="001C0AC5" w:rsidRPr="0056292A" w:rsidRDefault="001C0AC5" w:rsidP="009C0BA6">
            <w:pPr>
              <w:contextualSpacing/>
              <w:jc w:val="both"/>
              <w:rPr>
                <w:rFonts w:ascii="Arial" w:hAnsi="Arial" w:cs="Arial"/>
              </w:rPr>
            </w:pPr>
            <w:r w:rsidRPr="0056292A">
              <w:rPr>
                <w:rFonts w:ascii="Arial" w:hAnsi="Arial" w:cs="Arial"/>
              </w:rPr>
              <w:t>32.75 mg/kg</w:t>
            </w:r>
          </w:p>
        </w:tc>
        <w:tc>
          <w:tcPr>
            <w:tcW w:w="1120" w:type="dxa"/>
            <w:tcBorders>
              <w:top w:val="single" w:sz="4" w:space="0" w:color="auto"/>
              <w:left w:val="nil"/>
              <w:bottom w:val="nil"/>
              <w:right w:val="nil"/>
            </w:tcBorders>
            <w:noWrap/>
            <w:vAlign w:val="bottom"/>
            <w:hideMark/>
          </w:tcPr>
          <w:p w14:paraId="1B453B5B" w14:textId="77777777" w:rsidR="001C0AC5" w:rsidRPr="0056292A" w:rsidRDefault="001C0AC5" w:rsidP="009C0BA6">
            <w:pPr>
              <w:contextualSpacing/>
              <w:rPr>
                <w:rFonts w:ascii="Arial" w:hAnsi="Arial" w:cs="Arial"/>
                <w:color w:val="000000"/>
              </w:rPr>
            </w:pPr>
            <w:r w:rsidRPr="0056292A">
              <w:rPr>
                <w:rFonts w:ascii="Arial" w:hAnsi="Arial" w:cs="Arial"/>
                <w:color w:val="000000"/>
              </w:rPr>
              <w:t>0.00</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hideMark/>
          </w:tcPr>
          <w:p w14:paraId="4A02CE27" w14:textId="77777777" w:rsidR="001C0AC5" w:rsidRPr="0056292A" w:rsidRDefault="001C0AC5" w:rsidP="009C0BA6">
            <w:pPr>
              <w:contextualSpacing/>
              <w:rPr>
                <w:rFonts w:ascii="Arial" w:hAnsi="Arial" w:cs="Arial"/>
                <w:color w:val="000000"/>
              </w:rPr>
            </w:pPr>
            <w:r w:rsidRPr="0056292A">
              <w:rPr>
                <w:rFonts w:ascii="Arial" w:hAnsi="Arial" w:cs="Arial"/>
                <w:color w:val="000000"/>
              </w:rPr>
              <w:t>-39.66</w:t>
            </w:r>
            <w:r w:rsidRPr="0056292A">
              <w:rPr>
                <w:rFonts w:ascii="Arial" w:hAnsi="Arial" w:cs="Arial"/>
                <w:i/>
                <w:color w:val="000000"/>
                <w:vertAlign w:val="superscript"/>
              </w:rPr>
              <w:t xml:space="preserve"> b</w:t>
            </w:r>
          </w:p>
        </w:tc>
        <w:tc>
          <w:tcPr>
            <w:tcW w:w="1120" w:type="dxa"/>
            <w:tcBorders>
              <w:top w:val="single" w:sz="4" w:space="0" w:color="auto"/>
              <w:left w:val="nil"/>
              <w:bottom w:val="nil"/>
              <w:right w:val="nil"/>
            </w:tcBorders>
            <w:noWrap/>
            <w:vAlign w:val="bottom"/>
            <w:hideMark/>
          </w:tcPr>
          <w:p w14:paraId="68AB7B91" w14:textId="77777777" w:rsidR="001C0AC5" w:rsidRPr="0056292A" w:rsidRDefault="001C0AC5" w:rsidP="009C0BA6">
            <w:pPr>
              <w:contextualSpacing/>
              <w:rPr>
                <w:rFonts w:ascii="Arial" w:hAnsi="Arial" w:cs="Arial"/>
                <w:color w:val="000000"/>
              </w:rPr>
            </w:pPr>
            <w:r w:rsidRPr="0056292A">
              <w:rPr>
                <w:rFonts w:ascii="Arial" w:hAnsi="Arial" w:cs="Arial"/>
                <w:color w:val="000000"/>
              </w:rPr>
              <w:t>-56.22</w:t>
            </w:r>
            <w:r w:rsidRPr="0056292A">
              <w:rPr>
                <w:rFonts w:ascii="Arial" w:hAnsi="Arial" w:cs="Arial"/>
                <w:color w:val="000000"/>
                <w:vertAlign w:val="superscript"/>
              </w:rPr>
              <w:t xml:space="preserve"> </w:t>
            </w:r>
            <w:r w:rsidRPr="0056292A">
              <w:rPr>
                <w:rFonts w:ascii="Arial" w:hAnsi="Arial" w:cs="Arial"/>
                <w:i/>
                <w:color w:val="000000"/>
                <w:vertAlign w:val="superscript"/>
              </w:rPr>
              <w:t>c</w:t>
            </w:r>
          </w:p>
        </w:tc>
        <w:tc>
          <w:tcPr>
            <w:tcW w:w="1120" w:type="dxa"/>
            <w:tcBorders>
              <w:top w:val="single" w:sz="4" w:space="0" w:color="auto"/>
              <w:left w:val="nil"/>
              <w:bottom w:val="nil"/>
              <w:right w:val="nil"/>
            </w:tcBorders>
            <w:noWrap/>
            <w:vAlign w:val="bottom"/>
            <w:hideMark/>
          </w:tcPr>
          <w:p w14:paraId="15B05BDF" w14:textId="77777777" w:rsidR="001C0AC5" w:rsidRPr="0056292A" w:rsidRDefault="001C0AC5" w:rsidP="009C0BA6">
            <w:pPr>
              <w:contextualSpacing/>
              <w:rPr>
                <w:rFonts w:ascii="Arial" w:hAnsi="Arial" w:cs="Arial"/>
                <w:color w:val="000000"/>
              </w:rPr>
            </w:pPr>
            <w:r w:rsidRPr="0056292A">
              <w:rPr>
                <w:rFonts w:ascii="Arial" w:hAnsi="Arial" w:cs="Arial"/>
                <w:color w:val="000000"/>
              </w:rPr>
              <w:t>-81.82</w:t>
            </w:r>
            <w:r w:rsidRPr="0056292A">
              <w:rPr>
                <w:rFonts w:ascii="Arial" w:hAnsi="Arial" w:cs="Arial"/>
                <w:color w:val="000000"/>
                <w:vertAlign w:val="superscript"/>
              </w:rPr>
              <w:t xml:space="preserve"> </w:t>
            </w:r>
            <w:r w:rsidRPr="0056292A">
              <w:rPr>
                <w:rFonts w:ascii="Arial" w:hAnsi="Arial" w:cs="Arial"/>
                <w:i/>
                <w:color w:val="000000"/>
                <w:vertAlign w:val="superscript"/>
              </w:rPr>
              <w:t>c</w:t>
            </w:r>
          </w:p>
        </w:tc>
        <w:tc>
          <w:tcPr>
            <w:tcW w:w="1080" w:type="dxa"/>
            <w:tcBorders>
              <w:top w:val="single" w:sz="4" w:space="0" w:color="auto"/>
              <w:left w:val="nil"/>
              <w:bottom w:val="nil"/>
              <w:right w:val="nil"/>
            </w:tcBorders>
            <w:noWrap/>
            <w:vAlign w:val="bottom"/>
            <w:hideMark/>
          </w:tcPr>
          <w:p w14:paraId="29C12699" w14:textId="77777777" w:rsidR="001C0AC5" w:rsidRPr="0056292A" w:rsidRDefault="001C0AC5" w:rsidP="009C0BA6">
            <w:pPr>
              <w:contextualSpacing/>
              <w:rPr>
                <w:rFonts w:ascii="Arial" w:hAnsi="Arial" w:cs="Arial"/>
                <w:color w:val="000000"/>
              </w:rPr>
            </w:pPr>
            <w:r w:rsidRPr="0056292A">
              <w:rPr>
                <w:rFonts w:ascii="Arial" w:hAnsi="Arial" w:cs="Arial"/>
                <w:color w:val="000000"/>
              </w:rPr>
              <w:t>1.39</w:t>
            </w:r>
            <w:r w:rsidRPr="0056292A">
              <w:rPr>
                <w:rFonts w:ascii="Arial" w:hAnsi="Arial" w:cs="Arial"/>
                <w:color w:val="000000"/>
                <w:vertAlign w:val="superscript"/>
              </w:rPr>
              <w:t xml:space="preserve"> </w:t>
            </w:r>
            <w:r w:rsidRPr="0056292A">
              <w:rPr>
                <w:rFonts w:ascii="Arial" w:hAnsi="Arial" w:cs="Arial"/>
                <w:i/>
                <w:color w:val="000000"/>
                <w:vertAlign w:val="superscript"/>
              </w:rPr>
              <w:t>c,1</w:t>
            </w:r>
          </w:p>
        </w:tc>
        <w:tc>
          <w:tcPr>
            <w:tcW w:w="1072" w:type="dxa"/>
            <w:tcBorders>
              <w:top w:val="single" w:sz="4" w:space="0" w:color="auto"/>
              <w:left w:val="nil"/>
              <w:bottom w:val="nil"/>
              <w:right w:val="nil"/>
            </w:tcBorders>
            <w:noWrap/>
            <w:vAlign w:val="bottom"/>
            <w:hideMark/>
          </w:tcPr>
          <w:p w14:paraId="71F271FA" w14:textId="77777777" w:rsidR="001C0AC5" w:rsidRPr="0056292A" w:rsidRDefault="001C0AC5" w:rsidP="009C0BA6">
            <w:pPr>
              <w:contextualSpacing/>
              <w:rPr>
                <w:rFonts w:ascii="Arial" w:hAnsi="Arial" w:cs="Arial"/>
                <w:color w:val="000000"/>
              </w:rPr>
            </w:pPr>
            <w:r w:rsidRPr="0056292A">
              <w:rPr>
                <w:rFonts w:ascii="Arial" w:hAnsi="Arial" w:cs="Arial"/>
                <w:color w:val="000000"/>
              </w:rPr>
              <w:t>2.60</w:t>
            </w:r>
            <w:r w:rsidRPr="0056292A">
              <w:rPr>
                <w:rFonts w:ascii="Arial" w:hAnsi="Arial" w:cs="Arial"/>
                <w:i/>
                <w:color w:val="000000"/>
                <w:vertAlign w:val="superscript"/>
              </w:rPr>
              <w:t xml:space="preserve"> c,1</w:t>
            </w:r>
          </w:p>
        </w:tc>
        <w:tc>
          <w:tcPr>
            <w:tcW w:w="1120" w:type="dxa"/>
            <w:tcBorders>
              <w:top w:val="single" w:sz="4" w:space="0" w:color="auto"/>
              <w:left w:val="nil"/>
              <w:bottom w:val="nil"/>
              <w:right w:val="nil"/>
            </w:tcBorders>
            <w:noWrap/>
            <w:vAlign w:val="bottom"/>
            <w:hideMark/>
          </w:tcPr>
          <w:p w14:paraId="7D0B7F13" w14:textId="77777777" w:rsidR="001C0AC5" w:rsidRPr="0056292A" w:rsidRDefault="001C0AC5" w:rsidP="009C0BA6">
            <w:pPr>
              <w:contextualSpacing/>
              <w:rPr>
                <w:rFonts w:ascii="Arial" w:hAnsi="Arial" w:cs="Arial"/>
                <w:color w:val="000000"/>
              </w:rPr>
            </w:pPr>
            <w:r w:rsidRPr="0056292A">
              <w:rPr>
                <w:rFonts w:ascii="Arial" w:hAnsi="Arial" w:cs="Arial"/>
                <w:color w:val="000000"/>
              </w:rPr>
              <w:t>2.43</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hideMark/>
          </w:tcPr>
          <w:p w14:paraId="3D16F476" w14:textId="77777777" w:rsidR="001C0AC5" w:rsidRPr="0056292A" w:rsidRDefault="001C0AC5" w:rsidP="009C0BA6">
            <w:pPr>
              <w:contextualSpacing/>
              <w:rPr>
                <w:rFonts w:ascii="Arial" w:hAnsi="Arial" w:cs="Arial"/>
                <w:color w:val="000000"/>
              </w:rPr>
            </w:pPr>
            <w:r w:rsidRPr="0056292A">
              <w:rPr>
                <w:rFonts w:ascii="Arial" w:hAnsi="Arial" w:cs="Arial"/>
                <w:color w:val="000000"/>
              </w:rPr>
              <w:t>-1.78</w:t>
            </w:r>
            <w:r w:rsidRPr="0056292A">
              <w:rPr>
                <w:rFonts w:ascii="Arial" w:hAnsi="Arial" w:cs="Arial"/>
                <w:i/>
                <w:color w:val="000000"/>
                <w:vertAlign w:val="superscript"/>
              </w:rPr>
              <w:t xml:space="preserve"> b,1</w:t>
            </w:r>
          </w:p>
        </w:tc>
        <w:tc>
          <w:tcPr>
            <w:tcW w:w="1080" w:type="dxa"/>
            <w:tcBorders>
              <w:top w:val="single" w:sz="4" w:space="0" w:color="auto"/>
              <w:left w:val="nil"/>
              <w:bottom w:val="nil"/>
              <w:right w:val="nil"/>
            </w:tcBorders>
            <w:noWrap/>
            <w:vAlign w:val="bottom"/>
            <w:hideMark/>
          </w:tcPr>
          <w:p w14:paraId="34AD36BF" w14:textId="77777777" w:rsidR="001C0AC5" w:rsidRPr="0056292A" w:rsidRDefault="001C0AC5" w:rsidP="009C0BA6">
            <w:pPr>
              <w:contextualSpacing/>
              <w:rPr>
                <w:rFonts w:ascii="Arial" w:hAnsi="Arial" w:cs="Arial"/>
                <w:color w:val="000000"/>
              </w:rPr>
            </w:pPr>
            <w:r w:rsidRPr="0056292A">
              <w:rPr>
                <w:rFonts w:ascii="Arial" w:hAnsi="Arial" w:cs="Arial"/>
                <w:color w:val="000000"/>
              </w:rPr>
              <w:t>-25.47</w:t>
            </w:r>
            <w:r w:rsidRPr="0056292A">
              <w:rPr>
                <w:rFonts w:ascii="Arial" w:hAnsi="Arial" w:cs="Arial"/>
                <w:color w:val="000000"/>
                <w:vertAlign w:val="superscript"/>
              </w:rPr>
              <w:t xml:space="preserve"> </w:t>
            </w:r>
            <w:r w:rsidRPr="0056292A">
              <w:rPr>
                <w:rFonts w:ascii="Arial" w:hAnsi="Arial" w:cs="Arial"/>
                <w:i/>
                <w:color w:val="000000"/>
                <w:vertAlign w:val="superscript"/>
              </w:rPr>
              <w:t>a,2</w:t>
            </w:r>
          </w:p>
        </w:tc>
      </w:tr>
      <w:tr w:rsidR="001C0AC5" w:rsidRPr="0056292A" w14:paraId="6F959761" w14:textId="77777777" w:rsidTr="009C0BA6">
        <w:trPr>
          <w:trHeight w:val="300"/>
          <w:jc w:val="center"/>
        </w:trPr>
        <w:tc>
          <w:tcPr>
            <w:tcW w:w="1032" w:type="dxa"/>
            <w:vMerge/>
            <w:tcBorders>
              <w:top w:val="nil"/>
              <w:left w:val="nil"/>
              <w:bottom w:val="single" w:sz="4" w:space="0" w:color="000000"/>
              <w:right w:val="nil"/>
            </w:tcBorders>
            <w:vAlign w:val="center"/>
            <w:hideMark/>
          </w:tcPr>
          <w:p w14:paraId="28B4B556" w14:textId="77777777" w:rsidR="001C0AC5" w:rsidRPr="0056292A" w:rsidRDefault="001C0AC5" w:rsidP="009C0BA6">
            <w:pPr>
              <w:contextualSpacing/>
              <w:rPr>
                <w:rFonts w:ascii="Arial" w:hAnsi="Arial" w:cs="Arial"/>
                <w:color w:val="000000"/>
              </w:rPr>
            </w:pPr>
          </w:p>
        </w:tc>
        <w:tc>
          <w:tcPr>
            <w:tcW w:w="1333" w:type="dxa"/>
            <w:tcBorders>
              <w:top w:val="nil"/>
              <w:left w:val="nil"/>
              <w:bottom w:val="nil"/>
              <w:right w:val="nil"/>
            </w:tcBorders>
            <w:noWrap/>
            <w:vAlign w:val="center"/>
            <w:hideMark/>
          </w:tcPr>
          <w:p w14:paraId="379D7E62" w14:textId="77777777" w:rsidR="001C0AC5" w:rsidRPr="0056292A" w:rsidRDefault="001C0AC5" w:rsidP="009C0BA6">
            <w:pPr>
              <w:contextualSpacing/>
              <w:jc w:val="both"/>
              <w:rPr>
                <w:rFonts w:ascii="Arial" w:hAnsi="Arial" w:cs="Arial"/>
              </w:rPr>
            </w:pPr>
            <w:r w:rsidRPr="0056292A">
              <w:rPr>
                <w:rFonts w:ascii="Arial" w:hAnsi="Arial" w:cs="Arial"/>
              </w:rPr>
              <w:t>42.02 mg/kg</w:t>
            </w:r>
          </w:p>
        </w:tc>
        <w:tc>
          <w:tcPr>
            <w:tcW w:w="1120" w:type="dxa"/>
            <w:tcBorders>
              <w:top w:val="nil"/>
              <w:left w:val="nil"/>
              <w:bottom w:val="nil"/>
              <w:right w:val="nil"/>
            </w:tcBorders>
            <w:noWrap/>
            <w:vAlign w:val="bottom"/>
            <w:hideMark/>
          </w:tcPr>
          <w:p w14:paraId="30063CC9" w14:textId="77777777" w:rsidR="001C0AC5" w:rsidRPr="0056292A" w:rsidRDefault="001C0AC5" w:rsidP="009C0BA6">
            <w:pPr>
              <w:contextualSpacing/>
              <w:rPr>
                <w:rFonts w:ascii="Arial" w:hAnsi="Arial" w:cs="Arial"/>
                <w:color w:val="000000"/>
              </w:rPr>
            </w:pPr>
            <w:r w:rsidRPr="0056292A">
              <w:rPr>
                <w:rFonts w:ascii="Arial" w:hAnsi="Arial" w:cs="Arial"/>
                <w:color w:val="000000"/>
              </w:rPr>
              <w:t>0.00</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nil"/>
              <w:left w:val="nil"/>
              <w:bottom w:val="nil"/>
              <w:right w:val="nil"/>
            </w:tcBorders>
            <w:noWrap/>
            <w:vAlign w:val="bottom"/>
            <w:hideMark/>
          </w:tcPr>
          <w:p w14:paraId="7A56B3EC" w14:textId="77777777" w:rsidR="001C0AC5" w:rsidRPr="0056292A" w:rsidRDefault="001C0AC5" w:rsidP="009C0BA6">
            <w:pPr>
              <w:contextualSpacing/>
              <w:rPr>
                <w:rFonts w:ascii="Arial" w:hAnsi="Arial" w:cs="Arial"/>
                <w:color w:val="000000"/>
              </w:rPr>
            </w:pPr>
            <w:r w:rsidRPr="0056292A">
              <w:rPr>
                <w:rFonts w:ascii="Arial" w:hAnsi="Arial" w:cs="Arial"/>
                <w:color w:val="000000"/>
              </w:rPr>
              <w:t>-45.64</w:t>
            </w:r>
            <w:r w:rsidRPr="0056292A">
              <w:rPr>
                <w:rFonts w:ascii="Arial" w:hAnsi="Arial" w:cs="Arial"/>
                <w:i/>
                <w:color w:val="000000"/>
                <w:vertAlign w:val="superscript"/>
              </w:rPr>
              <w:t xml:space="preserve"> b</w:t>
            </w:r>
          </w:p>
        </w:tc>
        <w:tc>
          <w:tcPr>
            <w:tcW w:w="1120" w:type="dxa"/>
            <w:tcBorders>
              <w:top w:val="nil"/>
              <w:left w:val="nil"/>
              <w:bottom w:val="nil"/>
              <w:right w:val="nil"/>
            </w:tcBorders>
            <w:noWrap/>
            <w:vAlign w:val="bottom"/>
            <w:hideMark/>
          </w:tcPr>
          <w:p w14:paraId="6B415AD2" w14:textId="77777777" w:rsidR="001C0AC5" w:rsidRPr="0056292A" w:rsidRDefault="001C0AC5" w:rsidP="009C0BA6">
            <w:pPr>
              <w:contextualSpacing/>
              <w:rPr>
                <w:rFonts w:ascii="Arial" w:hAnsi="Arial" w:cs="Arial"/>
                <w:color w:val="000000"/>
              </w:rPr>
            </w:pPr>
            <w:r w:rsidRPr="0056292A">
              <w:rPr>
                <w:rFonts w:ascii="Arial" w:hAnsi="Arial" w:cs="Arial"/>
                <w:color w:val="000000"/>
              </w:rPr>
              <w:t>-52.75</w:t>
            </w:r>
            <w:r w:rsidRPr="0056292A">
              <w:rPr>
                <w:rFonts w:ascii="Arial" w:hAnsi="Arial" w:cs="Arial"/>
                <w:color w:val="000000"/>
                <w:vertAlign w:val="superscript"/>
              </w:rPr>
              <w:t xml:space="preserve"> </w:t>
            </w:r>
            <w:r w:rsidRPr="0056292A">
              <w:rPr>
                <w:rFonts w:ascii="Arial" w:hAnsi="Arial" w:cs="Arial"/>
                <w:i/>
                <w:color w:val="000000"/>
                <w:vertAlign w:val="superscript"/>
              </w:rPr>
              <w:t>c</w:t>
            </w:r>
          </w:p>
        </w:tc>
        <w:tc>
          <w:tcPr>
            <w:tcW w:w="1120" w:type="dxa"/>
            <w:tcBorders>
              <w:top w:val="nil"/>
              <w:left w:val="nil"/>
              <w:bottom w:val="nil"/>
              <w:right w:val="nil"/>
            </w:tcBorders>
            <w:noWrap/>
            <w:vAlign w:val="bottom"/>
            <w:hideMark/>
          </w:tcPr>
          <w:p w14:paraId="45460E51" w14:textId="77777777" w:rsidR="001C0AC5" w:rsidRPr="0056292A" w:rsidRDefault="001C0AC5" w:rsidP="009C0BA6">
            <w:pPr>
              <w:contextualSpacing/>
              <w:rPr>
                <w:rFonts w:ascii="Arial" w:hAnsi="Arial" w:cs="Arial"/>
                <w:color w:val="000000"/>
              </w:rPr>
            </w:pPr>
            <w:r w:rsidRPr="0056292A">
              <w:rPr>
                <w:rFonts w:ascii="Arial" w:hAnsi="Arial" w:cs="Arial"/>
                <w:color w:val="000000"/>
              </w:rPr>
              <w:t>-78.23</w:t>
            </w:r>
            <w:r w:rsidRPr="0056292A">
              <w:rPr>
                <w:rFonts w:ascii="Arial" w:hAnsi="Arial" w:cs="Arial"/>
                <w:color w:val="000000"/>
                <w:vertAlign w:val="superscript"/>
              </w:rPr>
              <w:t xml:space="preserve"> </w:t>
            </w:r>
            <w:r w:rsidRPr="0056292A">
              <w:rPr>
                <w:rFonts w:ascii="Arial" w:hAnsi="Arial" w:cs="Arial"/>
                <w:i/>
                <w:color w:val="000000"/>
                <w:vertAlign w:val="superscript"/>
              </w:rPr>
              <w:t>c</w:t>
            </w:r>
          </w:p>
        </w:tc>
        <w:tc>
          <w:tcPr>
            <w:tcW w:w="1080" w:type="dxa"/>
            <w:tcBorders>
              <w:top w:val="nil"/>
              <w:left w:val="nil"/>
              <w:bottom w:val="nil"/>
              <w:right w:val="nil"/>
            </w:tcBorders>
            <w:noWrap/>
            <w:vAlign w:val="bottom"/>
            <w:hideMark/>
          </w:tcPr>
          <w:p w14:paraId="2BA02626" w14:textId="77777777" w:rsidR="001C0AC5" w:rsidRPr="0056292A" w:rsidRDefault="001C0AC5" w:rsidP="009C0BA6">
            <w:pPr>
              <w:contextualSpacing/>
              <w:rPr>
                <w:rFonts w:ascii="Arial" w:hAnsi="Arial" w:cs="Arial"/>
                <w:color w:val="000000"/>
              </w:rPr>
            </w:pPr>
            <w:r w:rsidRPr="0056292A">
              <w:rPr>
                <w:rFonts w:ascii="Arial" w:hAnsi="Arial" w:cs="Arial"/>
                <w:color w:val="000000"/>
              </w:rPr>
              <w:t>-0.36</w:t>
            </w:r>
            <w:r w:rsidRPr="0056292A">
              <w:rPr>
                <w:rFonts w:ascii="Arial" w:hAnsi="Arial" w:cs="Arial"/>
                <w:color w:val="000000"/>
                <w:vertAlign w:val="superscript"/>
              </w:rPr>
              <w:t xml:space="preserve"> </w:t>
            </w:r>
            <w:r w:rsidRPr="0056292A">
              <w:rPr>
                <w:rFonts w:ascii="Arial" w:hAnsi="Arial" w:cs="Arial"/>
                <w:i/>
                <w:color w:val="000000"/>
                <w:vertAlign w:val="superscript"/>
              </w:rPr>
              <w:t>c,1</w:t>
            </w:r>
          </w:p>
        </w:tc>
        <w:tc>
          <w:tcPr>
            <w:tcW w:w="1072" w:type="dxa"/>
            <w:tcBorders>
              <w:top w:val="nil"/>
              <w:left w:val="nil"/>
              <w:bottom w:val="nil"/>
              <w:right w:val="nil"/>
            </w:tcBorders>
            <w:noWrap/>
            <w:vAlign w:val="bottom"/>
            <w:hideMark/>
          </w:tcPr>
          <w:p w14:paraId="39E448C9" w14:textId="77777777" w:rsidR="001C0AC5" w:rsidRPr="0056292A" w:rsidRDefault="001C0AC5" w:rsidP="009C0BA6">
            <w:pPr>
              <w:contextualSpacing/>
              <w:rPr>
                <w:rFonts w:ascii="Arial" w:hAnsi="Arial" w:cs="Arial"/>
                <w:color w:val="000000"/>
              </w:rPr>
            </w:pPr>
            <w:r w:rsidRPr="0056292A">
              <w:rPr>
                <w:rFonts w:ascii="Arial" w:hAnsi="Arial" w:cs="Arial"/>
                <w:color w:val="000000"/>
              </w:rPr>
              <w:t>7.03</w:t>
            </w:r>
            <w:r w:rsidRPr="0056292A">
              <w:rPr>
                <w:rFonts w:ascii="Arial" w:hAnsi="Arial" w:cs="Arial"/>
                <w:i/>
                <w:color w:val="000000"/>
                <w:vertAlign w:val="superscript"/>
              </w:rPr>
              <w:t xml:space="preserve"> c,1</w:t>
            </w:r>
          </w:p>
        </w:tc>
        <w:tc>
          <w:tcPr>
            <w:tcW w:w="1120" w:type="dxa"/>
            <w:tcBorders>
              <w:top w:val="nil"/>
              <w:left w:val="nil"/>
              <w:bottom w:val="nil"/>
              <w:right w:val="nil"/>
            </w:tcBorders>
            <w:noWrap/>
            <w:vAlign w:val="bottom"/>
            <w:hideMark/>
          </w:tcPr>
          <w:p w14:paraId="05C91DB7" w14:textId="77777777" w:rsidR="001C0AC5" w:rsidRPr="0056292A" w:rsidRDefault="001C0AC5" w:rsidP="009C0BA6">
            <w:pPr>
              <w:contextualSpacing/>
              <w:rPr>
                <w:rFonts w:ascii="Arial" w:hAnsi="Arial" w:cs="Arial"/>
                <w:color w:val="000000"/>
              </w:rPr>
            </w:pPr>
            <w:r w:rsidRPr="0056292A">
              <w:rPr>
                <w:rFonts w:ascii="Arial" w:hAnsi="Arial" w:cs="Arial"/>
                <w:color w:val="000000"/>
              </w:rPr>
              <w:t>-14.70</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nil"/>
              <w:left w:val="nil"/>
              <w:bottom w:val="nil"/>
              <w:right w:val="nil"/>
            </w:tcBorders>
            <w:noWrap/>
            <w:vAlign w:val="bottom"/>
            <w:hideMark/>
          </w:tcPr>
          <w:p w14:paraId="0F85AF07" w14:textId="77777777" w:rsidR="001C0AC5" w:rsidRPr="0056292A" w:rsidRDefault="001C0AC5" w:rsidP="009C0BA6">
            <w:pPr>
              <w:contextualSpacing/>
              <w:rPr>
                <w:rFonts w:ascii="Arial" w:hAnsi="Arial" w:cs="Arial"/>
                <w:color w:val="000000"/>
              </w:rPr>
            </w:pPr>
            <w:r w:rsidRPr="0056292A">
              <w:rPr>
                <w:rFonts w:ascii="Arial" w:hAnsi="Arial" w:cs="Arial"/>
                <w:color w:val="000000"/>
              </w:rPr>
              <w:t>-1.84</w:t>
            </w:r>
            <w:r w:rsidRPr="0056292A">
              <w:rPr>
                <w:rFonts w:ascii="Arial" w:hAnsi="Arial" w:cs="Arial"/>
                <w:color w:val="000000"/>
                <w:vertAlign w:val="superscript"/>
              </w:rPr>
              <w:t xml:space="preserve"> </w:t>
            </w:r>
            <w:r w:rsidRPr="0056292A">
              <w:rPr>
                <w:rFonts w:ascii="Arial" w:hAnsi="Arial" w:cs="Arial"/>
                <w:i/>
                <w:color w:val="000000"/>
                <w:vertAlign w:val="superscript"/>
              </w:rPr>
              <w:t>b,12</w:t>
            </w:r>
          </w:p>
        </w:tc>
        <w:tc>
          <w:tcPr>
            <w:tcW w:w="1080" w:type="dxa"/>
            <w:tcBorders>
              <w:top w:val="nil"/>
              <w:left w:val="nil"/>
              <w:bottom w:val="nil"/>
              <w:right w:val="nil"/>
            </w:tcBorders>
            <w:noWrap/>
            <w:vAlign w:val="bottom"/>
            <w:hideMark/>
          </w:tcPr>
          <w:p w14:paraId="16986634" w14:textId="77777777" w:rsidR="001C0AC5" w:rsidRPr="0056292A" w:rsidRDefault="001C0AC5" w:rsidP="009C0BA6">
            <w:pPr>
              <w:contextualSpacing/>
              <w:rPr>
                <w:rFonts w:ascii="Arial" w:hAnsi="Arial" w:cs="Arial"/>
                <w:color w:val="000000"/>
              </w:rPr>
            </w:pPr>
            <w:r w:rsidRPr="0056292A">
              <w:rPr>
                <w:rFonts w:ascii="Arial" w:hAnsi="Arial" w:cs="Arial"/>
                <w:color w:val="000000"/>
              </w:rPr>
              <w:t>-15.86</w:t>
            </w:r>
            <w:r w:rsidRPr="0056292A">
              <w:rPr>
                <w:rFonts w:ascii="Arial" w:hAnsi="Arial" w:cs="Arial"/>
                <w:color w:val="000000"/>
                <w:vertAlign w:val="superscript"/>
              </w:rPr>
              <w:t xml:space="preserve"> </w:t>
            </w:r>
            <w:r w:rsidRPr="0056292A">
              <w:rPr>
                <w:rFonts w:ascii="Arial" w:hAnsi="Arial" w:cs="Arial"/>
                <w:i/>
                <w:color w:val="000000"/>
                <w:vertAlign w:val="superscript"/>
              </w:rPr>
              <w:t>a,1</w:t>
            </w:r>
          </w:p>
        </w:tc>
      </w:tr>
      <w:tr w:rsidR="001C0AC5" w:rsidRPr="0056292A" w14:paraId="45371E59" w14:textId="77777777" w:rsidTr="009C0BA6">
        <w:trPr>
          <w:trHeight w:val="300"/>
          <w:jc w:val="center"/>
        </w:trPr>
        <w:tc>
          <w:tcPr>
            <w:tcW w:w="1032" w:type="dxa"/>
            <w:vMerge/>
            <w:tcBorders>
              <w:top w:val="nil"/>
              <w:left w:val="nil"/>
              <w:bottom w:val="single" w:sz="4" w:space="0" w:color="000000"/>
              <w:right w:val="nil"/>
            </w:tcBorders>
            <w:vAlign w:val="center"/>
            <w:hideMark/>
          </w:tcPr>
          <w:p w14:paraId="58DD50CF" w14:textId="77777777" w:rsidR="001C0AC5" w:rsidRPr="0056292A" w:rsidRDefault="001C0AC5" w:rsidP="009C0BA6">
            <w:pPr>
              <w:contextualSpacing/>
              <w:rPr>
                <w:rFonts w:ascii="Arial" w:hAnsi="Arial" w:cs="Arial"/>
                <w:color w:val="000000"/>
              </w:rPr>
            </w:pPr>
          </w:p>
        </w:tc>
        <w:tc>
          <w:tcPr>
            <w:tcW w:w="1333" w:type="dxa"/>
            <w:tcBorders>
              <w:top w:val="nil"/>
              <w:left w:val="nil"/>
              <w:bottom w:val="single" w:sz="4" w:space="0" w:color="auto"/>
              <w:right w:val="nil"/>
            </w:tcBorders>
            <w:noWrap/>
            <w:vAlign w:val="bottom"/>
            <w:hideMark/>
          </w:tcPr>
          <w:p w14:paraId="3D71F6AE" w14:textId="77777777" w:rsidR="001C0AC5" w:rsidRPr="0056292A" w:rsidRDefault="001C0AC5" w:rsidP="009C0BA6">
            <w:pPr>
              <w:contextualSpacing/>
              <w:jc w:val="both"/>
              <w:rPr>
                <w:rFonts w:ascii="Arial" w:hAnsi="Arial" w:cs="Arial"/>
              </w:rPr>
            </w:pPr>
            <w:r w:rsidRPr="0056292A">
              <w:rPr>
                <w:rFonts w:ascii="Arial" w:hAnsi="Arial" w:cs="Arial"/>
              </w:rPr>
              <w:t>52.55 mg/kg</w:t>
            </w:r>
          </w:p>
        </w:tc>
        <w:tc>
          <w:tcPr>
            <w:tcW w:w="1120" w:type="dxa"/>
            <w:tcBorders>
              <w:top w:val="nil"/>
              <w:left w:val="nil"/>
              <w:bottom w:val="single" w:sz="4" w:space="0" w:color="auto"/>
              <w:right w:val="nil"/>
            </w:tcBorders>
            <w:noWrap/>
            <w:vAlign w:val="bottom"/>
            <w:hideMark/>
          </w:tcPr>
          <w:p w14:paraId="5811571D" w14:textId="77777777" w:rsidR="001C0AC5" w:rsidRPr="0056292A" w:rsidRDefault="001C0AC5" w:rsidP="009C0BA6">
            <w:pPr>
              <w:contextualSpacing/>
              <w:rPr>
                <w:rFonts w:ascii="Arial" w:hAnsi="Arial" w:cs="Arial"/>
                <w:color w:val="000000"/>
              </w:rPr>
            </w:pPr>
            <w:r w:rsidRPr="0056292A">
              <w:rPr>
                <w:rFonts w:ascii="Arial" w:hAnsi="Arial" w:cs="Arial"/>
                <w:color w:val="000000"/>
              </w:rPr>
              <w:t>0.00</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hideMark/>
          </w:tcPr>
          <w:p w14:paraId="2C47CE93" w14:textId="77777777" w:rsidR="001C0AC5" w:rsidRPr="0056292A" w:rsidRDefault="001C0AC5" w:rsidP="009C0BA6">
            <w:pPr>
              <w:contextualSpacing/>
              <w:rPr>
                <w:rFonts w:ascii="Arial" w:hAnsi="Arial" w:cs="Arial"/>
                <w:color w:val="000000"/>
              </w:rPr>
            </w:pPr>
            <w:r w:rsidRPr="0056292A">
              <w:rPr>
                <w:rFonts w:ascii="Arial" w:hAnsi="Arial" w:cs="Arial"/>
                <w:color w:val="000000"/>
              </w:rPr>
              <w:t>-49.69</w:t>
            </w:r>
            <w:r w:rsidRPr="0056292A">
              <w:rPr>
                <w:rFonts w:ascii="Arial" w:hAnsi="Arial" w:cs="Arial"/>
                <w:i/>
                <w:color w:val="000000"/>
                <w:vertAlign w:val="superscript"/>
              </w:rPr>
              <w:t xml:space="preserve"> b</w:t>
            </w:r>
          </w:p>
        </w:tc>
        <w:tc>
          <w:tcPr>
            <w:tcW w:w="1120" w:type="dxa"/>
            <w:tcBorders>
              <w:top w:val="nil"/>
              <w:left w:val="nil"/>
              <w:bottom w:val="single" w:sz="4" w:space="0" w:color="auto"/>
              <w:right w:val="nil"/>
            </w:tcBorders>
            <w:noWrap/>
            <w:vAlign w:val="bottom"/>
            <w:hideMark/>
          </w:tcPr>
          <w:p w14:paraId="59CCAB7A" w14:textId="77777777" w:rsidR="001C0AC5" w:rsidRPr="0056292A" w:rsidRDefault="001C0AC5" w:rsidP="009C0BA6">
            <w:pPr>
              <w:contextualSpacing/>
              <w:rPr>
                <w:rFonts w:ascii="Arial" w:hAnsi="Arial" w:cs="Arial"/>
                <w:color w:val="000000"/>
              </w:rPr>
            </w:pPr>
            <w:r w:rsidRPr="0056292A">
              <w:rPr>
                <w:rFonts w:ascii="Arial" w:hAnsi="Arial" w:cs="Arial"/>
                <w:color w:val="000000"/>
              </w:rPr>
              <w:t>-50.72</w:t>
            </w:r>
            <w:r w:rsidRPr="0056292A">
              <w:rPr>
                <w:rFonts w:ascii="Arial" w:hAnsi="Arial" w:cs="Arial"/>
                <w:color w:val="000000"/>
                <w:vertAlign w:val="superscript"/>
              </w:rPr>
              <w:t xml:space="preserve"> </w:t>
            </w:r>
            <w:r w:rsidRPr="0056292A">
              <w:rPr>
                <w:rFonts w:ascii="Arial" w:hAnsi="Arial" w:cs="Arial"/>
                <w:i/>
                <w:color w:val="000000"/>
                <w:vertAlign w:val="superscript"/>
              </w:rPr>
              <w:t>c</w:t>
            </w:r>
          </w:p>
        </w:tc>
        <w:tc>
          <w:tcPr>
            <w:tcW w:w="1120" w:type="dxa"/>
            <w:tcBorders>
              <w:top w:val="nil"/>
              <w:left w:val="nil"/>
              <w:bottom w:val="single" w:sz="4" w:space="0" w:color="auto"/>
              <w:right w:val="nil"/>
            </w:tcBorders>
            <w:noWrap/>
            <w:vAlign w:val="bottom"/>
            <w:hideMark/>
          </w:tcPr>
          <w:p w14:paraId="1BDB4B81" w14:textId="77777777" w:rsidR="001C0AC5" w:rsidRPr="0056292A" w:rsidRDefault="001C0AC5" w:rsidP="009C0BA6">
            <w:pPr>
              <w:contextualSpacing/>
              <w:rPr>
                <w:rFonts w:ascii="Arial" w:hAnsi="Arial" w:cs="Arial"/>
                <w:color w:val="000000"/>
              </w:rPr>
            </w:pPr>
            <w:r w:rsidRPr="0056292A">
              <w:rPr>
                <w:rFonts w:ascii="Arial" w:hAnsi="Arial" w:cs="Arial"/>
                <w:color w:val="000000"/>
              </w:rPr>
              <w:t>-83.03</w:t>
            </w:r>
            <w:r w:rsidRPr="0056292A">
              <w:rPr>
                <w:rFonts w:ascii="Arial" w:hAnsi="Arial" w:cs="Arial"/>
                <w:color w:val="000000"/>
                <w:vertAlign w:val="superscript"/>
              </w:rPr>
              <w:t xml:space="preserve"> </w:t>
            </w:r>
            <w:r w:rsidRPr="0056292A">
              <w:rPr>
                <w:rFonts w:ascii="Arial" w:hAnsi="Arial" w:cs="Arial"/>
                <w:i/>
                <w:color w:val="000000"/>
                <w:vertAlign w:val="superscript"/>
              </w:rPr>
              <w:t>c</w:t>
            </w:r>
          </w:p>
        </w:tc>
        <w:tc>
          <w:tcPr>
            <w:tcW w:w="1080" w:type="dxa"/>
            <w:tcBorders>
              <w:top w:val="nil"/>
              <w:left w:val="nil"/>
              <w:bottom w:val="single" w:sz="4" w:space="0" w:color="auto"/>
              <w:right w:val="nil"/>
            </w:tcBorders>
            <w:noWrap/>
            <w:vAlign w:val="bottom"/>
            <w:hideMark/>
          </w:tcPr>
          <w:p w14:paraId="46EC41B8" w14:textId="77777777" w:rsidR="001C0AC5" w:rsidRPr="0056292A" w:rsidRDefault="001C0AC5" w:rsidP="009C0BA6">
            <w:pPr>
              <w:contextualSpacing/>
              <w:rPr>
                <w:rFonts w:ascii="Arial" w:hAnsi="Arial" w:cs="Arial"/>
                <w:color w:val="000000"/>
              </w:rPr>
            </w:pPr>
            <w:r w:rsidRPr="0056292A">
              <w:rPr>
                <w:rFonts w:ascii="Arial" w:hAnsi="Arial" w:cs="Arial"/>
                <w:color w:val="000000"/>
              </w:rPr>
              <w:t>-3.68</w:t>
            </w:r>
            <w:r w:rsidRPr="0056292A">
              <w:rPr>
                <w:rFonts w:ascii="Arial" w:hAnsi="Arial" w:cs="Arial"/>
                <w:color w:val="000000"/>
                <w:vertAlign w:val="superscript"/>
              </w:rPr>
              <w:t xml:space="preserve"> </w:t>
            </w:r>
            <w:r w:rsidRPr="0056292A">
              <w:rPr>
                <w:rFonts w:ascii="Arial" w:hAnsi="Arial" w:cs="Arial"/>
                <w:i/>
                <w:color w:val="000000"/>
                <w:vertAlign w:val="superscript"/>
              </w:rPr>
              <w:t>c,2</w:t>
            </w:r>
          </w:p>
        </w:tc>
        <w:tc>
          <w:tcPr>
            <w:tcW w:w="1072" w:type="dxa"/>
            <w:tcBorders>
              <w:top w:val="nil"/>
              <w:left w:val="nil"/>
              <w:bottom w:val="single" w:sz="4" w:space="0" w:color="auto"/>
              <w:right w:val="nil"/>
            </w:tcBorders>
            <w:noWrap/>
            <w:vAlign w:val="bottom"/>
            <w:hideMark/>
          </w:tcPr>
          <w:p w14:paraId="70A20FF9" w14:textId="77777777" w:rsidR="001C0AC5" w:rsidRPr="0056292A" w:rsidRDefault="001C0AC5" w:rsidP="009C0BA6">
            <w:pPr>
              <w:contextualSpacing/>
              <w:rPr>
                <w:rFonts w:ascii="Arial" w:hAnsi="Arial" w:cs="Arial"/>
                <w:color w:val="000000"/>
              </w:rPr>
            </w:pPr>
            <w:r w:rsidRPr="0056292A">
              <w:rPr>
                <w:rFonts w:ascii="Arial" w:hAnsi="Arial" w:cs="Arial"/>
                <w:color w:val="000000"/>
              </w:rPr>
              <w:t>8.45</w:t>
            </w:r>
            <w:r w:rsidRPr="0056292A">
              <w:rPr>
                <w:rFonts w:ascii="Arial" w:hAnsi="Arial" w:cs="Arial"/>
                <w:i/>
                <w:color w:val="000000"/>
                <w:vertAlign w:val="superscript"/>
              </w:rPr>
              <w:t xml:space="preserve"> c,2</w:t>
            </w:r>
          </w:p>
        </w:tc>
        <w:tc>
          <w:tcPr>
            <w:tcW w:w="1120" w:type="dxa"/>
            <w:tcBorders>
              <w:top w:val="nil"/>
              <w:left w:val="nil"/>
              <w:bottom w:val="single" w:sz="4" w:space="0" w:color="auto"/>
              <w:right w:val="nil"/>
            </w:tcBorders>
            <w:noWrap/>
            <w:vAlign w:val="bottom"/>
            <w:hideMark/>
          </w:tcPr>
          <w:p w14:paraId="144BC563" w14:textId="77777777" w:rsidR="001C0AC5" w:rsidRPr="0056292A" w:rsidRDefault="001C0AC5" w:rsidP="009C0BA6">
            <w:pPr>
              <w:contextualSpacing/>
              <w:rPr>
                <w:rFonts w:ascii="Arial" w:hAnsi="Arial" w:cs="Arial"/>
                <w:color w:val="000000"/>
              </w:rPr>
            </w:pPr>
            <w:r w:rsidRPr="0056292A">
              <w:rPr>
                <w:rFonts w:ascii="Arial" w:hAnsi="Arial" w:cs="Arial"/>
                <w:color w:val="000000"/>
              </w:rPr>
              <w:t>-14.85</w:t>
            </w:r>
            <w:r w:rsidRPr="0056292A">
              <w:rPr>
                <w:rFonts w:ascii="Arial" w:hAnsi="Arial" w:cs="Arial"/>
                <w:color w:val="000000"/>
                <w:vertAlign w:val="superscript"/>
              </w:rPr>
              <w:t xml:space="preserve"> </w:t>
            </w:r>
            <w:r w:rsidRPr="0056292A">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hideMark/>
          </w:tcPr>
          <w:p w14:paraId="39E0193E" w14:textId="77777777" w:rsidR="001C0AC5" w:rsidRPr="0056292A" w:rsidRDefault="001C0AC5" w:rsidP="009C0BA6">
            <w:pPr>
              <w:contextualSpacing/>
              <w:rPr>
                <w:rFonts w:ascii="Arial" w:hAnsi="Arial" w:cs="Arial"/>
                <w:color w:val="000000"/>
              </w:rPr>
            </w:pPr>
            <w:r w:rsidRPr="0056292A">
              <w:rPr>
                <w:rFonts w:ascii="Arial" w:hAnsi="Arial" w:cs="Arial"/>
                <w:color w:val="000000"/>
              </w:rPr>
              <w:t>1.28</w:t>
            </w:r>
            <w:r w:rsidRPr="0056292A">
              <w:rPr>
                <w:rFonts w:ascii="Arial" w:hAnsi="Arial" w:cs="Arial"/>
                <w:color w:val="000000"/>
                <w:vertAlign w:val="superscript"/>
              </w:rPr>
              <w:t xml:space="preserve"> </w:t>
            </w:r>
            <w:r w:rsidRPr="0056292A">
              <w:rPr>
                <w:rFonts w:ascii="Arial" w:hAnsi="Arial" w:cs="Arial"/>
                <w:i/>
                <w:color w:val="000000"/>
                <w:vertAlign w:val="superscript"/>
              </w:rPr>
              <w:t>b,2</w:t>
            </w:r>
          </w:p>
        </w:tc>
        <w:tc>
          <w:tcPr>
            <w:tcW w:w="1080" w:type="dxa"/>
            <w:tcBorders>
              <w:top w:val="nil"/>
              <w:left w:val="nil"/>
              <w:bottom w:val="single" w:sz="4" w:space="0" w:color="auto"/>
              <w:right w:val="nil"/>
            </w:tcBorders>
            <w:noWrap/>
            <w:vAlign w:val="bottom"/>
            <w:hideMark/>
          </w:tcPr>
          <w:p w14:paraId="653534CA" w14:textId="77777777" w:rsidR="001C0AC5" w:rsidRPr="0056292A" w:rsidRDefault="001C0AC5" w:rsidP="009C0BA6">
            <w:pPr>
              <w:contextualSpacing/>
              <w:rPr>
                <w:rFonts w:ascii="Arial" w:hAnsi="Arial" w:cs="Arial"/>
                <w:color w:val="000000"/>
              </w:rPr>
            </w:pPr>
            <w:r w:rsidRPr="0056292A">
              <w:rPr>
                <w:rFonts w:ascii="Arial" w:hAnsi="Arial" w:cs="Arial"/>
                <w:color w:val="000000"/>
              </w:rPr>
              <w:t>-17.08</w:t>
            </w:r>
            <w:r w:rsidRPr="0056292A">
              <w:rPr>
                <w:rFonts w:ascii="Arial" w:hAnsi="Arial" w:cs="Arial"/>
                <w:color w:val="000000"/>
                <w:vertAlign w:val="superscript"/>
              </w:rPr>
              <w:t xml:space="preserve"> </w:t>
            </w:r>
            <w:r w:rsidRPr="0056292A">
              <w:rPr>
                <w:rFonts w:ascii="Arial" w:hAnsi="Arial" w:cs="Arial"/>
                <w:i/>
                <w:color w:val="000000"/>
                <w:vertAlign w:val="superscript"/>
              </w:rPr>
              <w:t>a,1,2</w:t>
            </w:r>
          </w:p>
        </w:tc>
      </w:tr>
    </w:tbl>
    <w:p w14:paraId="6E94048F" w14:textId="77777777" w:rsidR="001C0AC5" w:rsidRPr="00574E2D" w:rsidRDefault="001C0AC5" w:rsidP="001C0AC5">
      <w:pPr>
        <w:contextualSpacing/>
        <w:rPr>
          <w:rFonts w:ascii="Arial" w:hAnsi="Arial" w:cs="Arial"/>
          <w:i/>
          <w:sz w:val="18"/>
        </w:rPr>
      </w:pPr>
      <w:r w:rsidRPr="00574E2D">
        <w:rPr>
          <w:rFonts w:ascii="Arial" w:hAnsi="Arial" w:cs="Arial"/>
          <w:b/>
          <w:i/>
          <w:sz w:val="18"/>
        </w:rPr>
        <w:t>Legends:</w:t>
      </w:r>
      <w:r w:rsidRPr="00574E2D">
        <w:rPr>
          <w:rFonts w:ascii="Arial" w:hAnsi="Arial" w:cs="Arial"/>
          <w:i/>
          <w:sz w:val="18"/>
        </w:rPr>
        <w:t xml:space="preserve"> (a) A1 represents cow dung, A2 represents poultry wastes, B2 represents Micrococcus sp., and C2 represents Zn.</w:t>
      </w:r>
    </w:p>
    <w:p w14:paraId="3F7FE60C" w14:textId="77777777" w:rsidR="001C0AC5" w:rsidRPr="00574E2D" w:rsidRDefault="001C0AC5" w:rsidP="001C0AC5">
      <w:pPr>
        <w:contextualSpacing/>
        <w:rPr>
          <w:rFonts w:ascii="Arial" w:hAnsi="Arial" w:cs="Arial"/>
          <w:b/>
          <w:i/>
          <w:sz w:val="18"/>
        </w:rPr>
      </w:pPr>
      <w:r w:rsidRPr="00574E2D">
        <w:rPr>
          <w:rFonts w:ascii="Arial" w:hAnsi="Arial" w:cs="Arial"/>
          <w:i/>
          <w:sz w:val="18"/>
        </w:rPr>
        <w:t xml:space="preserve"> (b)Means in each column of samples that do not share a letter (in superscript) are significantly different.</w:t>
      </w:r>
    </w:p>
    <w:p w14:paraId="28A93D31" w14:textId="77777777" w:rsidR="001C0AC5" w:rsidRPr="0056292A" w:rsidRDefault="001C0AC5" w:rsidP="001C0AC5">
      <w:pPr>
        <w:contextualSpacing/>
        <w:rPr>
          <w:rFonts w:ascii="Arial" w:hAnsi="Arial" w:cs="Arial"/>
        </w:rPr>
      </w:pPr>
      <w:r w:rsidRPr="00574E2D">
        <w:rPr>
          <w:rFonts w:ascii="Arial" w:hAnsi="Arial" w:cs="Arial"/>
          <w:i/>
          <w:sz w:val="18"/>
        </w:rPr>
        <w:t>(c) Means in each column of concentrations (for each sample) that do not share a figure (in superscript) are significantly different.</w:t>
      </w:r>
    </w:p>
    <w:p w14:paraId="7F9D4AAD" w14:textId="77777777" w:rsidR="001C0AC5" w:rsidRPr="0056292A" w:rsidRDefault="001C0AC5" w:rsidP="001C0AC5">
      <w:pPr>
        <w:contextualSpacing/>
        <w:jc w:val="both"/>
        <w:rPr>
          <w:rFonts w:ascii="Arial" w:hAnsi="Arial" w:cs="Arial"/>
        </w:rPr>
      </w:pPr>
    </w:p>
    <w:p w14:paraId="5046D2CC" w14:textId="77777777" w:rsidR="001C0AC5" w:rsidRPr="0056292A" w:rsidRDefault="001C0AC5" w:rsidP="001C0AC5">
      <w:pPr>
        <w:contextualSpacing/>
        <w:jc w:val="both"/>
        <w:rPr>
          <w:rFonts w:ascii="Arial" w:hAnsi="Arial" w:cs="Arial"/>
        </w:rPr>
      </w:pPr>
    </w:p>
    <w:p w14:paraId="4811B101" w14:textId="77777777" w:rsidR="001C0AC5" w:rsidRPr="0056292A" w:rsidRDefault="001C0AC5" w:rsidP="001C0AC5">
      <w:pPr>
        <w:contextualSpacing/>
        <w:jc w:val="both"/>
        <w:rPr>
          <w:rFonts w:ascii="Arial" w:hAnsi="Arial" w:cs="Arial"/>
        </w:rPr>
      </w:pPr>
    </w:p>
    <w:p w14:paraId="69C0457C" w14:textId="77777777" w:rsidR="001C0AC5" w:rsidRPr="0056292A" w:rsidRDefault="001C0AC5" w:rsidP="001C0AC5">
      <w:pPr>
        <w:contextualSpacing/>
        <w:jc w:val="both"/>
        <w:rPr>
          <w:rFonts w:ascii="Arial" w:hAnsi="Arial" w:cs="Arial"/>
        </w:rPr>
      </w:pPr>
    </w:p>
    <w:p w14:paraId="103682E3" w14:textId="77777777" w:rsidR="001C0AC5" w:rsidRPr="0056292A" w:rsidRDefault="001C0AC5" w:rsidP="001C0AC5">
      <w:pPr>
        <w:contextualSpacing/>
        <w:jc w:val="both"/>
        <w:rPr>
          <w:rFonts w:ascii="Arial" w:hAnsi="Arial" w:cs="Arial"/>
        </w:rPr>
      </w:pPr>
    </w:p>
    <w:p w14:paraId="1647F3F7" w14:textId="77777777" w:rsidR="001C0AC5" w:rsidRPr="0056292A" w:rsidRDefault="001C0AC5" w:rsidP="001C0AC5">
      <w:pPr>
        <w:contextualSpacing/>
        <w:jc w:val="both"/>
        <w:rPr>
          <w:rFonts w:ascii="Arial" w:hAnsi="Arial" w:cs="Arial"/>
        </w:rPr>
        <w:sectPr w:rsidR="001C0AC5" w:rsidRPr="0056292A" w:rsidSect="003F2E77">
          <w:pgSz w:w="16839" w:h="11907" w:orient="landscape" w:code="9"/>
          <w:pgMar w:top="1440" w:right="1440" w:bottom="1440" w:left="1440" w:header="720" w:footer="720" w:gutter="0"/>
          <w:cols w:space="720"/>
          <w:docGrid w:linePitch="360"/>
        </w:sectPr>
      </w:pPr>
    </w:p>
    <w:p w14:paraId="616718BB" w14:textId="77777777" w:rsidR="001C0AC5" w:rsidRPr="00574E2D" w:rsidRDefault="001C0AC5" w:rsidP="001C0AC5">
      <w:pPr>
        <w:contextualSpacing/>
        <w:jc w:val="both"/>
        <w:rPr>
          <w:rFonts w:ascii="Arial" w:hAnsi="Arial" w:cs="Arial"/>
          <w:bCs/>
          <w:sz w:val="22"/>
        </w:rPr>
      </w:pPr>
      <w:r w:rsidRPr="00574E2D">
        <w:rPr>
          <w:rFonts w:ascii="Arial" w:hAnsi="Arial" w:cs="Arial"/>
          <w:b/>
          <w:bCs/>
          <w:sz w:val="22"/>
        </w:rPr>
        <w:lastRenderedPageBreak/>
        <w:t xml:space="preserve">3.3 Effects on </w:t>
      </w:r>
      <w:r w:rsidRPr="00574E2D">
        <w:rPr>
          <w:rFonts w:ascii="Arial" w:hAnsi="Arial" w:cs="Arial"/>
          <w:b/>
          <w:sz w:val="22"/>
        </w:rPr>
        <w:t>moisture contents of soil samples</w:t>
      </w:r>
    </w:p>
    <w:p w14:paraId="4B2C9B25" w14:textId="3642896F" w:rsidR="001C0AC5" w:rsidRPr="0056292A" w:rsidRDefault="001C0AC5" w:rsidP="001C0AC5">
      <w:pPr>
        <w:contextualSpacing/>
        <w:jc w:val="both"/>
        <w:rPr>
          <w:rFonts w:ascii="Arial" w:hAnsi="Arial" w:cs="Arial"/>
        </w:rPr>
      </w:pPr>
      <w:r w:rsidRPr="0056292A">
        <w:rPr>
          <w:rFonts w:ascii="Arial" w:hAnsi="Arial" w:cs="Arial"/>
        </w:rPr>
        <w:t xml:space="preserve">Figure 1 shows the moisture contents and their percentage changes in samples of Zn-polluted soil bioremediated using poultry wastes and cow dung consortium, with </w:t>
      </w:r>
      <w:r w:rsidRPr="0056292A">
        <w:rPr>
          <w:rFonts w:ascii="Arial" w:hAnsi="Arial" w:cs="Arial"/>
          <w:i/>
        </w:rPr>
        <w:t xml:space="preserve">Micrococcus </w:t>
      </w:r>
      <w:r w:rsidRPr="0056292A">
        <w:rPr>
          <w:rFonts w:ascii="Arial" w:hAnsi="Arial" w:cs="Arial"/>
        </w:rPr>
        <w:t>sp. Moisture content increased from 32.75 mg/kg concentration of Zn to 42.02 mg/kg, before reducing at 52.55 mg/kg in samples treated with poultry wastes insolation, and in combination with cow dung. In sample treated with cow dung only, moisture content maintained steady gradual increase as concentration of heavy metal increased in the soil samples. Among all the treatments, poultry wastes alone performed better in increasing the moisture content of the soil. It yielded 13.77±0.69 (108.7%), 8.07±2.28 (63%) and 13.24±0.51 (100.11%) increase in moisture content at Zn pollution levels of 32.75</w:t>
      </w:r>
      <w:r w:rsidR="0060361A">
        <w:rPr>
          <w:rFonts w:ascii="Arial" w:hAnsi="Arial" w:cs="Arial"/>
        </w:rPr>
        <w:t xml:space="preserve"> </w:t>
      </w:r>
      <w:r w:rsidRPr="0056292A">
        <w:rPr>
          <w:rFonts w:ascii="Arial" w:hAnsi="Arial" w:cs="Arial"/>
        </w:rPr>
        <w:t xml:space="preserve">mg/kg, 42.02 mg/kg and 52.55 mg/kg. Control samples witnessed a reduction in moisture content, except at the lowest concentration of Zn used in the study. From results of analysis, it was observed that percentage change in moisture content of all treated samples did not significantly differ from each other. However, only that of samples treated with poultry wastes and </w:t>
      </w:r>
      <w:r w:rsidRPr="0056292A">
        <w:rPr>
          <w:rFonts w:ascii="Arial" w:hAnsi="Arial" w:cs="Arial"/>
          <w:i/>
        </w:rPr>
        <w:t xml:space="preserve">Micrococcus </w:t>
      </w:r>
      <w:proofErr w:type="spellStart"/>
      <w:r w:rsidRPr="0056292A">
        <w:rPr>
          <w:rFonts w:ascii="Arial" w:hAnsi="Arial" w:cs="Arial"/>
        </w:rPr>
        <w:t>sp</w:t>
      </w:r>
      <w:proofErr w:type="spellEnd"/>
      <w:r w:rsidRPr="0056292A">
        <w:rPr>
          <w:rFonts w:ascii="Arial" w:hAnsi="Arial" w:cs="Arial"/>
        </w:rPr>
        <w:t xml:space="preserve"> only, was significantly different from that of control samples. No significant difference in percentage change in moisture content was recorded across the concentrations studied.</w:t>
      </w:r>
    </w:p>
    <w:p w14:paraId="0948B2C9" w14:textId="77777777" w:rsidR="001C0AC5" w:rsidRPr="0056292A" w:rsidRDefault="001C0AC5" w:rsidP="001C0AC5">
      <w:pPr>
        <w:contextualSpacing/>
        <w:jc w:val="both"/>
        <w:rPr>
          <w:rFonts w:ascii="Arial" w:hAnsi="Arial" w:cs="Arial"/>
        </w:rPr>
      </w:pPr>
    </w:p>
    <w:p w14:paraId="44FF826A" w14:textId="77777777" w:rsidR="001C0AC5" w:rsidRPr="0056292A" w:rsidRDefault="001C0AC5" w:rsidP="001C0AC5">
      <w:pPr>
        <w:contextualSpacing/>
        <w:rPr>
          <w:rFonts w:ascii="Arial" w:hAnsi="Arial" w:cs="Arial"/>
        </w:rPr>
      </w:pPr>
      <w:r w:rsidRPr="0056292A">
        <w:rPr>
          <w:rFonts w:ascii="Arial" w:hAnsi="Arial" w:cs="Arial"/>
          <w:noProof/>
        </w:rPr>
        <w:drawing>
          <wp:inline distT="0" distB="0" distL="0" distR="0" wp14:anchorId="1494D179" wp14:editId="2C34BA6B">
            <wp:extent cx="5061098" cy="2764465"/>
            <wp:effectExtent l="0" t="0" r="0" b="0"/>
            <wp:docPr id="44908" name="Chart 449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3AFB98" w14:textId="77777777" w:rsidR="001C0AC5" w:rsidRPr="00574E2D" w:rsidRDefault="001C0AC5" w:rsidP="001C0AC5">
      <w:pPr>
        <w:contextualSpacing/>
        <w:rPr>
          <w:rFonts w:ascii="Arial" w:hAnsi="Arial" w:cs="Arial"/>
          <w:i/>
          <w:sz w:val="18"/>
        </w:rPr>
      </w:pPr>
      <w:bookmarkStart w:id="2" w:name="_Hlk211347494"/>
      <w:r w:rsidRPr="0056292A">
        <w:rPr>
          <w:rFonts w:ascii="Arial" w:hAnsi="Arial" w:cs="Arial"/>
          <w:b/>
        </w:rPr>
        <w:t xml:space="preserve">Fig. 1. Moisture contents with their percentage changes in bioremediated samples of Zn-polluted. </w:t>
      </w:r>
      <w:bookmarkEnd w:id="2"/>
      <w:r w:rsidRPr="00574E2D">
        <w:rPr>
          <w:rFonts w:ascii="Arial" w:hAnsi="Arial" w:cs="Arial"/>
          <w:i/>
          <w:sz w:val="18"/>
        </w:rPr>
        <w:t>Legends: Letters a, b and c represented Zn pollution levels of 32.75 mg/kg, 42.02 mg/kg and 52.55 mg/kg. Means of samples on horizontal bar that do not share a letter (in parenthesis) are significantly different.</w:t>
      </w:r>
    </w:p>
    <w:p w14:paraId="06D2BCF4" w14:textId="77777777" w:rsidR="001C0AC5" w:rsidRPr="0056292A" w:rsidRDefault="001C0AC5" w:rsidP="001C0AC5">
      <w:pPr>
        <w:contextualSpacing/>
        <w:rPr>
          <w:rFonts w:ascii="Arial" w:hAnsi="Arial" w:cs="Arial"/>
          <w:bCs/>
        </w:rPr>
      </w:pPr>
      <w:r w:rsidRPr="00574E2D">
        <w:rPr>
          <w:rFonts w:ascii="Arial" w:hAnsi="Arial" w:cs="Arial"/>
          <w:i/>
          <w:sz w:val="18"/>
        </w:rPr>
        <w:t xml:space="preserve">A1 indicates cow dung, A2 indicates poultry waste, C2 indicates Zn, B2 indicates Micrococcus </w:t>
      </w:r>
      <w:r w:rsidRPr="00574E2D">
        <w:rPr>
          <w:rFonts w:ascii="Arial" w:hAnsi="Arial" w:cs="Arial"/>
          <w:sz w:val="18"/>
        </w:rPr>
        <w:t>sp</w:t>
      </w:r>
      <w:r w:rsidRPr="00574E2D">
        <w:rPr>
          <w:rFonts w:ascii="Arial" w:hAnsi="Arial" w:cs="Arial"/>
          <w:i/>
          <w:sz w:val="18"/>
        </w:rPr>
        <w:t>.</w:t>
      </w:r>
    </w:p>
    <w:p w14:paraId="5DA7A219" w14:textId="77777777" w:rsidR="001C0AC5" w:rsidRPr="0056292A" w:rsidRDefault="001C0AC5" w:rsidP="001C0AC5">
      <w:pPr>
        <w:contextualSpacing/>
        <w:jc w:val="both"/>
        <w:rPr>
          <w:rFonts w:ascii="Arial" w:hAnsi="Arial" w:cs="Arial"/>
          <w:bCs/>
        </w:rPr>
      </w:pPr>
    </w:p>
    <w:p w14:paraId="03028189" w14:textId="77777777" w:rsidR="001C0AC5" w:rsidRPr="00574E2D" w:rsidRDefault="001C0AC5" w:rsidP="001C0AC5">
      <w:pPr>
        <w:contextualSpacing/>
        <w:jc w:val="both"/>
        <w:rPr>
          <w:rFonts w:ascii="Arial" w:hAnsi="Arial" w:cs="Arial"/>
          <w:bCs/>
          <w:sz w:val="22"/>
        </w:rPr>
      </w:pPr>
      <w:r w:rsidRPr="00574E2D">
        <w:rPr>
          <w:rFonts w:ascii="Arial" w:hAnsi="Arial" w:cs="Arial"/>
          <w:b/>
          <w:bCs/>
          <w:sz w:val="22"/>
        </w:rPr>
        <w:t xml:space="preserve">3.4 Effects on </w:t>
      </w:r>
      <w:r w:rsidRPr="00574E2D">
        <w:rPr>
          <w:rFonts w:ascii="Arial" w:hAnsi="Arial" w:cs="Arial"/>
          <w:b/>
          <w:sz w:val="22"/>
        </w:rPr>
        <w:t>dehydrogenase activity of soil samples</w:t>
      </w:r>
    </w:p>
    <w:p w14:paraId="12302031" w14:textId="6D890FD5" w:rsidR="001C0AC5" w:rsidRPr="0056292A" w:rsidRDefault="001C0AC5" w:rsidP="001C0AC5">
      <w:pPr>
        <w:contextualSpacing/>
        <w:jc w:val="both"/>
        <w:rPr>
          <w:rFonts w:ascii="Arial" w:hAnsi="Arial" w:cs="Arial"/>
          <w:bCs/>
        </w:rPr>
      </w:pPr>
      <w:r w:rsidRPr="0056292A">
        <w:rPr>
          <w:rFonts w:ascii="Arial" w:hAnsi="Arial" w:cs="Arial"/>
          <w:bCs/>
        </w:rPr>
        <w:t xml:space="preserve">Figure 2 presents the </w:t>
      </w:r>
      <w:r w:rsidRPr="0056292A">
        <w:rPr>
          <w:rFonts w:ascii="Arial" w:hAnsi="Arial" w:cs="Arial"/>
        </w:rPr>
        <w:t xml:space="preserve">gradients of DHA in Zn-polluted soil samples at the end of bioremediation. </w:t>
      </w:r>
      <w:r w:rsidRPr="0056292A">
        <w:rPr>
          <w:rFonts w:ascii="Arial" w:hAnsi="Arial" w:cs="Arial"/>
          <w:bCs/>
        </w:rPr>
        <w:t>It revealed that DHA was higher in all the treated soil samples, unlike in control samples. Gradient of DHA decreased with increasing concentration of Zn pollutant. The range of gradient of DHA in treated samples was 0.797</w:t>
      </w:r>
      <w:r w:rsidRPr="0056292A">
        <w:rPr>
          <w:rFonts w:ascii="Arial" w:hAnsi="Arial" w:cs="Arial"/>
        </w:rPr>
        <w:t>±0.002 µgTPFg</w:t>
      </w:r>
      <w:r w:rsidRPr="0056292A">
        <w:rPr>
          <w:rFonts w:ascii="Arial" w:hAnsi="Arial" w:cs="Arial"/>
          <w:vertAlign w:val="superscript"/>
        </w:rPr>
        <w:t>-1</w:t>
      </w:r>
      <w:r w:rsidRPr="0056292A">
        <w:rPr>
          <w:rFonts w:ascii="Arial" w:hAnsi="Arial" w:cs="Arial"/>
        </w:rPr>
        <w:t>h</w:t>
      </w:r>
      <w:r w:rsidRPr="0056292A">
        <w:rPr>
          <w:rFonts w:ascii="Arial" w:hAnsi="Arial" w:cs="Arial"/>
          <w:vertAlign w:val="superscript"/>
        </w:rPr>
        <w:t>-1</w:t>
      </w:r>
      <w:r w:rsidRPr="0056292A">
        <w:rPr>
          <w:rFonts w:ascii="Arial" w:hAnsi="Arial" w:cs="Arial"/>
        </w:rPr>
        <w:t xml:space="preserve"> to 2.123±0.077 µgTPFg</w:t>
      </w:r>
      <w:r w:rsidRPr="0056292A">
        <w:rPr>
          <w:rFonts w:ascii="Arial" w:hAnsi="Arial" w:cs="Arial"/>
          <w:vertAlign w:val="superscript"/>
        </w:rPr>
        <w:t>-1</w:t>
      </w:r>
      <w:r w:rsidRPr="0056292A">
        <w:rPr>
          <w:rFonts w:ascii="Arial" w:hAnsi="Arial" w:cs="Arial"/>
        </w:rPr>
        <w:t>h</w:t>
      </w:r>
      <w:r w:rsidRPr="0056292A">
        <w:rPr>
          <w:rFonts w:ascii="Arial" w:hAnsi="Arial" w:cs="Arial"/>
          <w:vertAlign w:val="superscript"/>
        </w:rPr>
        <w:t>-1</w:t>
      </w:r>
      <w:r w:rsidRPr="0056292A">
        <w:rPr>
          <w:rFonts w:ascii="Arial" w:hAnsi="Arial" w:cs="Arial"/>
        </w:rPr>
        <w:t>. Samples of Zn-polluted soil which were treated with a combination of poultry wastes and cow dung produced the highest change in DHA of 2.123±0.077 µgTPFg</w:t>
      </w:r>
      <w:r w:rsidRPr="0056292A">
        <w:rPr>
          <w:rFonts w:ascii="Arial" w:hAnsi="Arial" w:cs="Arial"/>
          <w:vertAlign w:val="superscript"/>
        </w:rPr>
        <w:t>-1</w:t>
      </w:r>
      <w:r w:rsidRPr="0056292A">
        <w:rPr>
          <w:rFonts w:ascii="Arial" w:hAnsi="Arial" w:cs="Arial"/>
        </w:rPr>
        <w:t>h</w:t>
      </w:r>
      <w:r w:rsidRPr="0056292A">
        <w:rPr>
          <w:rFonts w:ascii="Arial" w:hAnsi="Arial" w:cs="Arial"/>
          <w:vertAlign w:val="superscript"/>
        </w:rPr>
        <w:t>-1</w:t>
      </w:r>
      <w:r w:rsidRPr="0056292A">
        <w:rPr>
          <w:rFonts w:ascii="Arial" w:hAnsi="Arial" w:cs="Arial"/>
        </w:rPr>
        <w:t xml:space="preserve"> and 2.024±0.083 µgTPFg</w:t>
      </w:r>
      <w:r w:rsidRPr="0056292A">
        <w:rPr>
          <w:rFonts w:ascii="Arial" w:hAnsi="Arial" w:cs="Arial"/>
          <w:vertAlign w:val="superscript"/>
        </w:rPr>
        <w:t>-1</w:t>
      </w:r>
      <w:r w:rsidRPr="0056292A">
        <w:rPr>
          <w:rFonts w:ascii="Arial" w:hAnsi="Arial" w:cs="Arial"/>
        </w:rPr>
        <w:t>h</w:t>
      </w:r>
      <w:r w:rsidRPr="0056292A">
        <w:rPr>
          <w:rFonts w:ascii="Arial" w:hAnsi="Arial" w:cs="Arial"/>
          <w:vertAlign w:val="superscript"/>
        </w:rPr>
        <w:t>-1</w:t>
      </w:r>
      <w:r w:rsidRPr="0056292A">
        <w:rPr>
          <w:rFonts w:ascii="Arial" w:hAnsi="Arial" w:cs="Arial"/>
        </w:rPr>
        <w:t xml:space="preserve"> recorded at Zn pollution levels of 33.75 mg/kg and 52.55 mg/kg respectively. For control samples, DHA decreased by 0.031±0.012 µgTPFg</w:t>
      </w:r>
      <w:r w:rsidRPr="0056292A">
        <w:rPr>
          <w:rFonts w:ascii="Arial" w:hAnsi="Arial" w:cs="Arial"/>
          <w:vertAlign w:val="superscript"/>
        </w:rPr>
        <w:t>-1</w:t>
      </w:r>
      <w:r w:rsidRPr="0056292A">
        <w:rPr>
          <w:rFonts w:ascii="Arial" w:hAnsi="Arial" w:cs="Arial"/>
        </w:rPr>
        <w:t>h</w:t>
      </w:r>
      <w:r w:rsidRPr="0056292A">
        <w:rPr>
          <w:rFonts w:ascii="Arial" w:hAnsi="Arial" w:cs="Arial"/>
          <w:vertAlign w:val="superscript"/>
        </w:rPr>
        <w:t>-1</w:t>
      </w:r>
      <w:r w:rsidRPr="0056292A">
        <w:rPr>
          <w:rFonts w:ascii="Arial" w:hAnsi="Arial" w:cs="Arial"/>
        </w:rPr>
        <w:t xml:space="preserve"> and 0.037±0.016 µgTPFg</w:t>
      </w:r>
      <w:r w:rsidRPr="0056292A">
        <w:rPr>
          <w:rFonts w:ascii="Arial" w:hAnsi="Arial" w:cs="Arial"/>
          <w:vertAlign w:val="superscript"/>
        </w:rPr>
        <w:t>-1</w:t>
      </w:r>
      <w:r w:rsidRPr="0056292A">
        <w:rPr>
          <w:rFonts w:ascii="Arial" w:hAnsi="Arial" w:cs="Arial"/>
        </w:rPr>
        <w:t>h</w:t>
      </w:r>
      <w:r w:rsidRPr="0056292A">
        <w:rPr>
          <w:rFonts w:ascii="Arial" w:hAnsi="Arial" w:cs="Arial"/>
          <w:vertAlign w:val="superscript"/>
        </w:rPr>
        <w:t>-1</w:t>
      </w:r>
      <w:r w:rsidRPr="0056292A">
        <w:rPr>
          <w:rFonts w:ascii="Arial" w:hAnsi="Arial" w:cs="Arial"/>
        </w:rPr>
        <w:t xml:space="preserve"> at Zn pollution levels of 33.75 mg/kg and 52.55</w:t>
      </w:r>
      <w:r w:rsidR="0060361A">
        <w:rPr>
          <w:rFonts w:ascii="Arial" w:hAnsi="Arial" w:cs="Arial"/>
        </w:rPr>
        <w:t xml:space="preserve"> </w:t>
      </w:r>
      <w:r w:rsidRPr="0056292A">
        <w:rPr>
          <w:rFonts w:ascii="Arial" w:hAnsi="Arial" w:cs="Arial"/>
        </w:rPr>
        <w:t>mg/kg respectively.</w:t>
      </w:r>
    </w:p>
    <w:p w14:paraId="5B4FACDA" w14:textId="77777777" w:rsidR="001C0AC5" w:rsidRPr="0056292A" w:rsidRDefault="001C0AC5" w:rsidP="001C0AC5">
      <w:pPr>
        <w:contextualSpacing/>
        <w:jc w:val="both"/>
        <w:rPr>
          <w:rFonts w:ascii="Arial" w:hAnsi="Arial" w:cs="Arial"/>
          <w:bCs/>
        </w:rPr>
      </w:pPr>
    </w:p>
    <w:p w14:paraId="1AA708C1" w14:textId="77777777" w:rsidR="001C0AC5" w:rsidRPr="0056292A" w:rsidRDefault="001C0AC5" w:rsidP="001C0AC5">
      <w:pPr>
        <w:contextualSpacing/>
        <w:jc w:val="both"/>
        <w:rPr>
          <w:rFonts w:ascii="Arial" w:hAnsi="Arial" w:cs="Arial"/>
        </w:rPr>
      </w:pPr>
      <w:r w:rsidRPr="0056292A">
        <w:rPr>
          <w:rFonts w:ascii="Arial" w:hAnsi="Arial" w:cs="Arial"/>
          <w:bCs/>
        </w:rPr>
        <w:t>Analysis showed that DHA recorded in each of the treated samples was significantly different from those of the others, as well as the controls. DHA recorded at 32.75 mg/kg level of Zn pollution varied significantly from that of 52.55 mg/kg Zn pollution level.</w:t>
      </w:r>
    </w:p>
    <w:p w14:paraId="15079AA0" w14:textId="77777777" w:rsidR="001C0AC5" w:rsidRPr="0056292A" w:rsidRDefault="001C0AC5" w:rsidP="001C0AC5">
      <w:pPr>
        <w:contextualSpacing/>
        <w:jc w:val="both"/>
        <w:rPr>
          <w:rFonts w:ascii="Arial" w:hAnsi="Arial" w:cs="Arial"/>
        </w:rPr>
      </w:pPr>
    </w:p>
    <w:p w14:paraId="5FC39CAD" w14:textId="77777777" w:rsidR="001C0AC5" w:rsidRPr="0056292A" w:rsidRDefault="001C0AC5" w:rsidP="001C0AC5">
      <w:pPr>
        <w:contextualSpacing/>
        <w:rPr>
          <w:rFonts w:ascii="Arial" w:hAnsi="Arial" w:cs="Arial"/>
          <w:bCs/>
        </w:rPr>
      </w:pPr>
      <w:r w:rsidRPr="0056292A">
        <w:rPr>
          <w:rFonts w:ascii="Arial" w:hAnsi="Arial" w:cs="Arial"/>
          <w:noProof/>
        </w:rPr>
        <w:drawing>
          <wp:inline distT="0" distB="0" distL="0" distR="0" wp14:anchorId="7DE05BD5" wp14:editId="232FE6BA">
            <wp:extent cx="5231219" cy="2753832"/>
            <wp:effectExtent l="0" t="0" r="0" b="0"/>
            <wp:docPr id="44900" name="Chart 449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5E8DA9" w14:textId="77777777" w:rsidR="001C0AC5" w:rsidRPr="0056292A" w:rsidRDefault="001C0AC5" w:rsidP="001C0AC5">
      <w:pPr>
        <w:contextualSpacing/>
        <w:rPr>
          <w:rFonts w:ascii="Arial" w:hAnsi="Arial" w:cs="Arial"/>
          <w:b/>
        </w:rPr>
      </w:pPr>
      <w:bookmarkStart w:id="3" w:name="_Hlk211347039"/>
      <w:r w:rsidRPr="0056292A">
        <w:rPr>
          <w:rFonts w:ascii="Arial" w:hAnsi="Arial" w:cs="Arial"/>
          <w:b/>
        </w:rPr>
        <w:t>Fig. 2. Variations in dehydrogenase activities of samples of treated Zn-polluted soil.</w:t>
      </w:r>
    </w:p>
    <w:bookmarkEnd w:id="3"/>
    <w:p w14:paraId="3C6D6D0D" w14:textId="77777777" w:rsidR="001C0AC5" w:rsidRPr="00574E2D" w:rsidRDefault="001C0AC5" w:rsidP="001C0AC5">
      <w:pPr>
        <w:contextualSpacing/>
        <w:rPr>
          <w:rFonts w:ascii="Arial" w:hAnsi="Arial" w:cs="Arial"/>
          <w:i/>
          <w:sz w:val="18"/>
        </w:rPr>
      </w:pPr>
      <w:r w:rsidRPr="00574E2D">
        <w:rPr>
          <w:rFonts w:ascii="Arial" w:hAnsi="Arial" w:cs="Arial"/>
          <w:sz w:val="18"/>
        </w:rPr>
        <w:t xml:space="preserve">Legends: </w:t>
      </w:r>
      <w:r w:rsidRPr="00574E2D">
        <w:rPr>
          <w:rFonts w:ascii="Arial" w:hAnsi="Arial" w:cs="Arial"/>
          <w:i/>
          <w:sz w:val="18"/>
        </w:rPr>
        <w:t>A1 indicates cow dung, A2 indicates poultry wastes, C2 indicates Zn and B2 indicates Micrococcus</w:t>
      </w:r>
      <w:r w:rsidRPr="00574E2D">
        <w:rPr>
          <w:rFonts w:ascii="Arial" w:hAnsi="Arial" w:cs="Arial"/>
          <w:sz w:val="18"/>
        </w:rPr>
        <w:t xml:space="preserve"> sp.</w:t>
      </w:r>
    </w:p>
    <w:p w14:paraId="4CFD71D9" w14:textId="77777777" w:rsidR="001C0AC5" w:rsidRPr="00574E2D" w:rsidRDefault="001C0AC5" w:rsidP="001C0AC5">
      <w:pPr>
        <w:contextualSpacing/>
        <w:rPr>
          <w:rFonts w:ascii="Arial" w:hAnsi="Arial" w:cs="Arial"/>
          <w:i/>
          <w:sz w:val="18"/>
        </w:rPr>
      </w:pPr>
      <w:r w:rsidRPr="00574E2D">
        <w:rPr>
          <w:rFonts w:ascii="Arial" w:hAnsi="Arial" w:cs="Arial"/>
          <w:i/>
          <w:sz w:val="18"/>
        </w:rPr>
        <w:t>Letters a, b and c represented Zn pollution levels of 32.75 mg/kg, 42.02 mg/kg and 52.55 mg/kg.</w:t>
      </w:r>
    </w:p>
    <w:p w14:paraId="320581C7" w14:textId="77777777" w:rsidR="001C0AC5" w:rsidRPr="00574E2D" w:rsidRDefault="001C0AC5" w:rsidP="001C0AC5">
      <w:pPr>
        <w:contextualSpacing/>
        <w:rPr>
          <w:rFonts w:ascii="Arial" w:hAnsi="Arial" w:cs="Arial"/>
          <w:sz w:val="18"/>
        </w:rPr>
      </w:pPr>
      <w:r w:rsidRPr="00574E2D">
        <w:rPr>
          <w:rFonts w:ascii="Arial" w:hAnsi="Arial" w:cs="Arial"/>
          <w:i/>
          <w:sz w:val="18"/>
        </w:rPr>
        <w:t>Means of samples on horizontal bar that do not share a letter (in parenthesis) are significantly different.</w:t>
      </w:r>
    </w:p>
    <w:p w14:paraId="18507102" w14:textId="77777777" w:rsidR="001C0AC5" w:rsidRPr="0056292A" w:rsidRDefault="001C0AC5" w:rsidP="001C0AC5">
      <w:pPr>
        <w:contextualSpacing/>
        <w:jc w:val="both"/>
        <w:rPr>
          <w:rFonts w:ascii="Arial" w:hAnsi="Arial" w:cs="Arial"/>
        </w:rPr>
      </w:pPr>
    </w:p>
    <w:p w14:paraId="610C18AA" w14:textId="77777777" w:rsidR="001C0AC5" w:rsidRPr="00574E2D" w:rsidRDefault="001C0AC5" w:rsidP="001C0AC5">
      <w:pPr>
        <w:contextualSpacing/>
        <w:jc w:val="both"/>
        <w:rPr>
          <w:rFonts w:ascii="Arial" w:hAnsi="Arial" w:cs="Arial"/>
          <w:sz w:val="22"/>
        </w:rPr>
      </w:pPr>
      <w:r w:rsidRPr="00574E2D">
        <w:rPr>
          <w:rFonts w:ascii="Arial" w:hAnsi="Arial" w:cs="Arial"/>
          <w:b/>
          <w:sz w:val="22"/>
        </w:rPr>
        <w:t>3.5 Effects on corn growth rate</w:t>
      </w:r>
    </w:p>
    <w:p w14:paraId="281B21C7" w14:textId="473E634F" w:rsidR="001C0AC5" w:rsidRPr="0056292A" w:rsidRDefault="001C0AC5" w:rsidP="001C0AC5">
      <w:pPr>
        <w:contextualSpacing/>
        <w:jc w:val="both"/>
        <w:rPr>
          <w:rFonts w:ascii="Arial" w:hAnsi="Arial" w:cs="Arial"/>
        </w:rPr>
      </w:pPr>
      <w:r w:rsidRPr="0056292A">
        <w:rPr>
          <w:rFonts w:ascii="Arial" w:hAnsi="Arial" w:cs="Arial"/>
        </w:rPr>
        <w:t>On day 4 of bioremediating samples of Zn-polluted soil, the number of leaves recorded on the corn seedlings was between 0.0±0.0 and 2.0±0.0. Treatment with only cow dung produced the highest number of leaves, with 2.0±0.0 leaves at 32.75 mg/kg, 2.0±0.0 leaves at 42.02 mg/kg and 2.0±0.0 leaves at 52.44 mg/kg Zn pollution levels. On the other hand, the control samples, and samples treated with only poultry dung, which were the least, equally recorded 0.0±0.0, 0.0±0.0 and 0.0±0.0 leaves at Zn pollution levels of 32.75 mg/kg, 42.02 mg/kg and 52.</w:t>
      </w:r>
      <w:r w:rsidR="0060361A">
        <w:rPr>
          <w:rFonts w:ascii="Arial" w:hAnsi="Arial" w:cs="Arial"/>
        </w:rPr>
        <w:t>55</w:t>
      </w:r>
      <w:r w:rsidRPr="0056292A">
        <w:rPr>
          <w:rFonts w:ascii="Arial" w:hAnsi="Arial" w:cs="Arial"/>
        </w:rPr>
        <w:t xml:space="preserve"> mg/kg respectively. However, the effects of the treatments did not show any significant difference (α=0.05). This shows a range of 0.3±0.2 cm to 3.9±0.5 cm, indicating some variations in heights of seedlings. The tallest seedlings observed in this batch of the study were those cultivated on Zn-polluted soil sample which was treated with cow dung alone. It recorded heights of 3.5±0.3 cm, 3.9±0.5 cm and 3.5±0.2 cm at Zn pollution levels of 32.75 mg/kg, 42.02 mg/kg and 52.</w:t>
      </w:r>
      <w:r w:rsidR="0060361A">
        <w:rPr>
          <w:rFonts w:ascii="Arial" w:hAnsi="Arial" w:cs="Arial"/>
        </w:rPr>
        <w:t>55</w:t>
      </w:r>
      <w:r w:rsidRPr="0056292A">
        <w:rPr>
          <w:rFonts w:ascii="Arial" w:hAnsi="Arial" w:cs="Arial"/>
        </w:rPr>
        <w:t xml:space="preserve"> mg/kg respectively. On the other hand, the samples treated with poultry wastes alone recorded the shortest growth in heights of shoots, with 1.2±0.3 cm at 32.75 mg/kg, 1.0±0.2 cm at 42.02 mg/kg and 1.5±0.3 cm at 52.</w:t>
      </w:r>
      <w:r w:rsidR="0060361A">
        <w:rPr>
          <w:rFonts w:ascii="Arial" w:hAnsi="Arial" w:cs="Arial"/>
        </w:rPr>
        <w:t>55</w:t>
      </w:r>
      <w:r w:rsidRPr="0056292A">
        <w:rPr>
          <w:rFonts w:ascii="Arial" w:hAnsi="Arial" w:cs="Arial"/>
        </w:rPr>
        <w:t xml:space="preserve"> mg/kg Zn pollution level. Statistical analysis revealed that only heights from samples treated with cow dung alone are significantly different (α=0.05) from others</w:t>
      </w:r>
    </w:p>
    <w:p w14:paraId="33EB97F9" w14:textId="77777777" w:rsidR="001C0AC5" w:rsidRPr="0056292A" w:rsidRDefault="001C0AC5" w:rsidP="001C0AC5">
      <w:pPr>
        <w:contextualSpacing/>
        <w:jc w:val="both"/>
        <w:rPr>
          <w:rFonts w:ascii="Arial" w:hAnsi="Arial" w:cs="Arial"/>
        </w:rPr>
      </w:pPr>
    </w:p>
    <w:p w14:paraId="70320CA3" w14:textId="476CEEBB" w:rsidR="001C0AC5" w:rsidRPr="0056292A" w:rsidRDefault="001C0AC5" w:rsidP="001C0AC5">
      <w:pPr>
        <w:contextualSpacing/>
        <w:jc w:val="both"/>
        <w:rPr>
          <w:rFonts w:ascii="Arial" w:hAnsi="Arial" w:cs="Arial"/>
        </w:rPr>
      </w:pPr>
      <w:r w:rsidRPr="0056292A">
        <w:rPr>
          <w:rFonts w:ascii="Arial" w:hAnsi="Arial" w:cs="Arial"/>
        </w:rPr>
        <w:t>After 2 weeks of bioremediation of samples of Zn-polluted soil, the number of leaves recorded from treatments showed an increase in the number of leaves, which are in the range of 2.3±0.5 to 4.3±0.5, indicating some observable variations. From the results, the highest numbers of leaves were recorded in the samples treated with cow dung alone, with 4.3±0.5, 4.3±0.5 and 3.7±0.5 leaves at Zn pollution levels of 32.75 mg/kg, 42.02 mg/kg and 52.</w:t>
      </w:r>
      <w:r w:rsidR="0060361A">
        <w:rPr>
          <w:rFonts w:ascii="Arial" w:hAnsi="Arial" w:cs="Arial"/>
        </w:rPr>
        <w:t>55</w:t>
      </w:r>
      <w:r w:rsidRPr="0056292A">
        <w:rPr>
          <w:rFonts w:ascii="Arial" w:hAnsi="Arial" w:cs="Arial"/>
        </w:rPr>
        <w:t xml:space="preserve"> mg/kg respectively. In comparison, the least performance was recorded in the control </w:t>
      </w:r>
      <w:r w:rsidRPr="0056292A">
        <w:rPr>
          <w:rFonts w:ascii="Arial" w:hAnsi="Arial" w:cs="Arial"/>
        </w:rPr>
        <w:lastRenderedPageBreak/>
        <w:t>experiment, where there were 2.3±0.5 at 32.75 mg/kg, 3.7±0.5 at 42.02 mg/kg and 3.3±0.5 leaves at Zn pollution levels of 52.</w:t>
      </w:r>
      <w:r w:rsidR="0060361A">
        <w:rPr>
          <w:rFonts w:ascii="Arial" w:hAnsi="Arial" w:cs="Arial"/>
        </w:rPr>
        <w:t>55</w:t>
      </w:r>
      <w:r w:rsidRPr="0056292A">
        <w:rPr>
          <w:rFonts w:ascii="Arial" w:hAnsi="Arial" w:cs="Arial"/>
        </w:rPr>
        <w:t xml:space="preserve"> mg/kg. From analysis, there was no significant difference (α=0.05) in their heights. This eroded the difference recorded in samples treated with cow dung alone, on day 4. With respect to heights of seedling planted on bioremediated samples of Zn-polluted soil, the heights recorded on week 2 ranged from 9.7±05 cm to 21.330 cm, indicating an increasing variation in heights compared to results of day 4. It is also observable that the treatment done using only cow dung maintained the lead in recording highest shoot length, with 19.3±0.4cm, 21.30±0.5 cm and 20.3±0.5c m at Zn pollution levels of 32.75 mg/kg, 42.02 mg/kg and 52.</w:t>
      </w:r>
      <w:r w:rsidR="0060361A">
        <w:rPr>
          <w:rFonts w:ascii="Arial" w:hAnsi="Arial" w:cs="Arial"/>
        </w:rPr>
        <w:t>55</w:t>
      </w:r>
      <w:r w:rsidRPr="0056292A">
        <w:rPr>
          <w:rFonts w:ascii="Arial" w:hAnsi="Arial" w:cs="Arial"/>
        </w:rPr>
        <w:t xml:space="preserve"> mg/kg respectively. Similarly, seedlings on control samples continued to lag behind other results obtained, with only 9.7±0.5 cm at 32.75 mg/kg, 13.5±0.4 cm at 42.02 mg/kg and 12.3±0.6 cm heights at Zn pollution levels of 52.</w:t>
      </w:r>
      <w:r w:rsidR="0060361A">
        <w:rPr>
          <w:rFonts w:ascii="Arial" w:hAnsi="Arial" w:cs="Arial"/>
        </w:rPr>
        <w:t>55</w:t>
      </w:r>
      <w:r w:rsidRPr="0056292A">
        <w:rPr>
          <w:rFonts w:ascii="Arial" w:hAnsi="Arial" w:cs="Arial"/>
        </w:rPr>
        <w:t xml:space="preserve"> mg/kg. From statistical analysis, only the heights of seedlings on soil treated with poultry wastes alone, and those of control samples are similar. Furthermore, they were significantly different (α=0.05) from others treatments studied.</w:t>
      </w:r>
    </w:p>
    <w:p w14:paraId="4B1BB99B" w14:textId="77777777" w:rsidR="001C0AC5" w:rsidRPr="0056292A" w:rsidRDefault="001C0AC5" w:rsidP="001C0AC5">
      <w:pPr>
        <w:contextualSpacing/>
        <w:jc w:val="both"/>
        <w:rPr>
          <w:rFonts w:ascii="Arial" w:hAnsi="Arial" w:cs="Arial"/>
        </w:rPr>
      </w:pPr>
    </w:p>
    <w:p w14:paraId="01AC5AD6" w14:textId="39C436C4" w:rsidR="001C0AC5" w:rsidRPr="0056292A" w:rsidRDefault="001C0AC5" w:rsidP="001C0AC5">
      <w:pPr>
        <w:contextualSpacing/>
        <w:jc w:val="both"/>
        <w:rPr>
          <w:rFonts w:ascii="Arial" w:hAnsi="Arial" w:cs="Arial"/>
        </w:rPr>
      </w:pPr>
      <w:r w:rsidRPr="0056292A">
        <w:rPr>
          <w:rFonts w:ascii="Arial" w:hAnsi="Arial" w:cs="Arial"/>
        </w:rPr>
        <w:t>After 4 weeks of Zn-polluted soil samples treatment, the observed number of leaves in the corn seedlings increased, which range from 3.0±0.8 to 9.3±0.5 leaves per stand, indicating widening variation in numbers. From observations, seedling on soil samples treated with cow dung alone still maintained the highest numbers of leaves, with record 8.3±0.5 cm at 32.75 mg/kg, 9.3±0.5 cm at 42.02 mg/kg and 8.3±0.5 cm leaves at Zn pollution levels of 52.</w:t>
      </w:r>
      <w:r w:rsidR="0060361A">
        <w:rPr>
          <w:rFonts w:ascii="Arial" w:hAnsi="Arial" w:cs="Arial"/>
        </w:rPr>
        <w:t>55</w:t>
      </w:r>
      <w:r w:rsidRPr="0056292A">
        <w:rPr>
          <w:rFonts w:ascii="Arial" w:hAnsi="Arial" w:cs="Arial"/>
        </w:rPr>
        <w:t xml:space="preserve"> mg/kg. Conversely, the control samples produced the lowest numbers of leaves per stand, with 3.0±0.8 at 32.75 mg/kg, 3.3±0.5 at 42.02 mg/kg and 4.3±0.5 leaves at Zn pollution levels of 52.</w:t>
      </w:r>
      <w:r w:rsidR="0060361A">
        <w:rPr>
          <w:rFonts w:ascii="Arial" w:hAnsi="Arial" w:cs="Arial"/>
        </w:rPr>
        <w:t>55</w:t>
      </w:r>
      <w:r w:rsidRPr="0056292A">
        <w:rPr>
          <w:rFonts w:ascii="Arial" w:hAnsi="Arial" w:cs="Arial"/>
        </w:rPr>
        <w:t xml:space="preserve"> mg/kg. Against the results of analysis on week 2, results here showed that numbers of leaves recorded from treatments with cow dung alone are significantly different (α=0.05) from other treatments. The control samples and treatments with poultry wastes alone are similar. Regarding the heights of corn seedlings at week 4 of bioremediation, the results ranged from 24.3±2.5 cm to 92.2±2.9 cm, further signifying a widening variation in heights of seedlings. Furthermore, seedlings of cow dung-treated soil samples maintained the record of highest growth in height of shoots, of 88.1±2.5 cm, 92.2±2.9 cm and 82.6±3.7 cm at Zn pollution levels of 32.75 mg/kg, 42.02 mg/kg and 52.</w:t>
      </w:r>
      <w:r w:rsidR="0060361A">
        <w:rPr>
          <w:rFonts w:ascii="Arial" w:hAnsi="Arial" w:cs="Arial"/>
        </w:rPr>
        <w:t>55</w:t>
      </w:r>
      <w:r w:rsidRPr="0056292A">
        <w:rPr>
          <w:rFonts w:ascii="Arial" w:hAnsi="Arial" w:cs="Arial"/>
        </w:rPr>
        <w:t xml:space="preserve"> mg/kg respectively. Similarly, seedling on control samples recorded the least growth in shoot heights, with 24.3±2.5 cm at 32.75 mg/kg, 37.4±2.2 cm at 42.02 mg/kg and 37.3±3.6 cm at Zn pollution levels of 52.</w:t>
      </w:r>
      <w:r w:rsidR="0060361A">
        <w:rPr>
          <w:rFonts w:ascii="Arial" w:hAnsi="Arial" w:cs="Arial"/>
        </w:rPr>
        <w:t>55</w:t>
      </w:r>
      <w:r w:rsidRPr="0056292A">
        <w:rPr>
          <w:rFonts w:ascii="Arial" w:hAnsi="Arial" w:cs="Arial"/>
        </w:rPr>
        <w:t xml:space="preserve"> mg/kg. Statistically, at α=0.05, only heights of seedling on control samples and those treated with poultry dung alone are similar (α=0.05), while they are significantly different from all other treatments in this studied.</w:t>
      </w:r>
    </w:p>
    <w:p w14:paraId="4C2569F5" w14:textId="77777777" w:rsidR="001C0AC5" w:rsidRPr="0056292A" w:rsidRDefault="001C0AC5" w:rsidP="001C0AC5">
      <w:pPr>
        <w:contextualSpacing/>
        <w:jc w:val="both"/>
        <w:rPr>
          <w:rFonts w:ascii="Arial" w:hAnsi="Arial" w:cs="Arial"/>
        </w:rPr>
      </w:pPr>
    </w:p>
    <w:p w14:paraId="525EA7E8" w14:textId="7C43FA58" w:rsidR="001C0AC5" w:rsidRPr="0056292A" w:rsidRDefault="001C0AC5" w:rsidP="001C0AC5">
      <w:pPr>
        <w:contextualSpacing/>
        <w:jc w:val="both"/>
        <w:rPr>
          <w:rFonts w:ascii="Arial" w:hAnsi="Arial" w:cs="Arial"/>
        </w:rPr>
      </w:pPr>
      <w:r w:rsidRPr="0056292A">
        <w:rPr>
          <w:rFonts w:ascii="Arial" w:hAnsi="Arial" w:cs="Arial"/>
        </w:rPr>
        <w:t>Furthermore, after 7 weeks treatment period on samples of Zn-polluted soil, the numbers of leaves recorded per seedling ranged from 4.3±0.5 to 13.7±0.5 leaves per stand, which more widely varied from each other. In comparison, it is observable that number of leaves was highest in seedling grown on samples treated with cow dung, which recorded 13.3±0.9 at 32.75 mg/kg, 13.7±0.5 at 42.02 mg/kg and 13.3±0.5 leaves per stand at Zn pollution levels of 52.</w:t>
      </w:r>
      <w:r w:rsidR="0060361A">
        <w:rPr>
          <w:rFonts w:ascii="Arial" w:hAnsi="Arial" w:cs="Arial"/>
        </w:rPr>
        <w:t>55</w:t>
      </w:r>
      <w:r w:rsidRPr="0056292A">
        <w:rPr>
          <w:rFonts w:ascii="Arial" w:hAnsi="Arial" w:cs="Arial"/>
        </w:rPr>
        <w:t xml:space="preserve"> mg/kg. On the other hand, 4.7±0.5 at 32.75 mg/kg, 5.0±0.8 at 42.02 mg/kg and 4.3±0.5 leaves were recorded at Zn pollution levels of 52.44 mg/kg, for control samples, which were also the least. Analysis (α=0.05) indicated that number of leaves recorded from samples treated with cow dung only was significantly different from all others. Similarly, number of leaves in samples treated with a combination of poultry wastes and cow dung are significantly different from others. However, numbers from remaining treatments are similar to each other. In the case of heights of seedlings, the results obtained showed a range of 64.3±3.7 cm to 155.2±5.6 cm. Evidently, there is a wide variation in heights of the seedlings. Observation of the results reveals that seedlings grown on samples treated with cow dung only, maintained the highest growth of shoot than others. It recorded 125.7±3.1 cm, 155.2±5.6 cm and 136.6±6.3 cm heights at Zn pollution levels of 32.75 mg/kg, 42.02 mg/kg and 52.44 mg/kg respectively. Furthermore, seedlings on control samples comparatively </w:t>
      </w:r>
      <w:r w:rsidRPr="0056292A">
        <w:rPr>
          <w:rFonts w:ascii="Arial" w:hAnsi="Arial" w:cs="Arial"/>
        </w:rPr>
        <w:lastRenderedPageBreak/>
        <w:t>maintained the least growth of shoots, with only 74.2±1.3 cm at 32.75 mg/kg, 71.8±2.3 cm at 42.02 mg/kg and 64.3±3.7 cm heights at Zn pollution levels of 52.</w:t>
      </w:r>
      <w:r w:rsidR="0055379D">
        <w:rPr>
          <w:rFonts w:ascii="Arial" w:hAnsi="Arial" w:cs="Arial"/>
        </w:rPr>
        <w:t>55</w:t>
      </w:r>
      <w:r w:rsidRPr="0056292A">
        <w:rPr>
          <w:rFonts w:ascii="Arial" w:hAnsi="Arial" w:cs="Arial"/>
        </w:rPr>
        <w:t xml:space="preserve"> mg/kg. Analysis of the results, at α=0.05, indicated that treatments done with cow dung only, and in its combination with poultry wastes, are similar. However, they are significantly different from the other treatments, which are in turn similar to each other.</w:t>
      </w:r>
    </w:p>
    <w:p w14:paraId="145C6034" w14:textId="77777777" w:rsidR="001C0AC5" w:rsidRPr="0056292A" w:rsidRDefault="001C0AC5" w:rsidP="001C0AC5">
      <w:pPr>
        <w:contextualSpacing/>
        <w:jc w:val="both"/>
        <w:rPr>
          <w:rFonts w:ascii="Arial" w:hAnsi="Arial" w:cs="Arial"/>
        </w:rPr>
      </w:pPr>
    </w:p>
    <w:p w14:paraId="36E3541A" w14:textId="77777777" w:rsidR="001C0AC5" w:rsidRPr="0056292A" w:rsidRDefault="001C0AC5" w:rsidP="001C0AC5">
      <w:pPr>
        <w:contextualSpacing/>
        <w:jc w:val="both"/>
        <w:rPr>
          <w:rFonts w:ascii="Arial" w:hAnsi="Arial" w:cs="Arial"/>
        </w:rPr>
      </w:pPr>
      <w:r w:rsidRPr="0056292A">
        <w:rPr>
          <w:rFonts w:ascii="Arial" w:hAnsi="Arial" w:cs="Arial"/>
          <w:b/>
        </w:rPr>
        <w:t>3.6 Effects on protein contents of corn seedlings</w:t>
      </w:r>
    </w:p>
    <w:p w14:paraId="4A1E3F8A" w14:textId="088EF69D" w:rsidR="001C0AC5" w:rsidRPr="0056292A" w:rsidRDefault="001C0AC5" w:rsidP="001C0AC5">
      <w:pPr>
        <w:tabs>
          <w:tab w:val="left" w:pos="4005"/>
        </w:tabs>
        <w:contextualSpacing/>
        <w:jc w:val="both"/>
        <w:rPr>
          <w:rFonts w:ascii="Arial" w:hAnsi="Arial" w:cs="Arial"/>
        </w:rPr>
      </w:pPr>
      <w:r w:rsidRPr="0056292A">
        <w:rPr>
          <w:rFonts w:ascii="Arial" w:hAnsi="Arial" w:cs="Arial"/>
        </w:rPr>
        <w:t>Figure 3 is the protein contents of the seedlings cultivated on the studied samples of Zn-polluted soil. Results showed a range of 10.2±02 mg/g to 78.33±3.23 mg/g protein contents, which varied widely among the samples. Furthermore, it is evident that protein contents of seedling on treated samples are higher than in samples on control. This is shown by the highest record of protein contents in seedlings on samples treated with cow dung only. It had 78.33±3.23 mg/g at 32.75 mg/kg, 56.09±1.62 mg/g at 42.02 mg/kg and 38.92±2.88 mg/g of proteins at Zn pollution levels of 52.</w:t>
      </w:r>
      <w:r w:rsidR="0055379D">
        <w:rPr>
          <w:rFonts w:ascii="Arial" w:hAnsi="Arial" w:cs="Arial"/>
        </w:rPr>
        <w:t>55</w:t>
      </w:r>
      <w:r w:rsidRPr="0056292A">
        <w:rPr>
          <w:rFonts w:ascii="Arial" w:hAnsi="Arial" w:cs="Arial"/>
        </w:rPr>
        <w:t xml:space="preserve"> mg/kg. In comparison, the seedlings in control samples recorded 21.71±2.11 mg/g at 32.75 mg/kg, 15.14±1.86 mg/g at 42.02 mg/kg and 10.2±1.25 mg/g of protein at Zn pollution levels of 52.</w:t>
      </w:r>
      <w:r w:rsidR="0055379D">
        <w:rPr>
          <w:rFonts w:ascii="Arial" w:hAnsi="Arial" w:cs="Arial"/>
        </w:rPr>
        <w:t>55</w:t>
      </w:r>
      <w:r w:rsidRPr="0056292A">
        <w:rPr>
          <w:rFonts w:ascii="Arial" w:hAnsi="Arial" w:cs="Arial"/>
        </w:rPr>
        <w:t xml:space="preserve"> mg/kg. Based on results of statistical computation at α=0.05, the seedlings protein contents on all the treated samples were similar, and significantly different from those of control samples, except for those on samples treated with poultry wastes only. There was no significant difference in the protein content of seedlings across the concentrations studied.</w:t>
      </w:r>
    </w:p>
    <w:p w14:paraId="05785FA9" w14:textId="77777777" w:rsidR="001C0AC5" w:rsidRPr="0056292A" w:rsidRDefault="001C0AC5" w:rsidP="001C0AC5">
      <w:pPr>
        <w:tabs>
          <w:tab w:val="left" w:pos="4005"/>
        </w:tabs>
        <w:contextualSpacing/>
        <w:jc w:val="both"/>
        <w:rPr>
          <w:rFonts w:ascii="Arial" w:hAnsi="Arial" w:cs="Arial"/>
        </w:rPr>
      </w:pPr>
    </w:p>
    <w:p w14:paraId="75FA97A7" w14:textId="77777777" w:rsidR="001C0AC5" w:rsidRPr="0056292A" w:rsidRDefault="001C0AC5" w:rsidP="001C0AC5">
      <w:pPr>
        <w:tabs>
          <w:tab w:val="left" w:pos="4005"/>
        </w:tabs>
        <w:contextualSpacing/>
        <w:rPr>
          <w:rFonts w:ascii="Arial" w:hAnsi="Arial" w:cs="Arial"/>
        </w:rPr>
      </w:pPr>
      <w:r w:rsidRPr="0056292A">
        <w:rPr>
          <w:rFonts w:ascii="Arial" w:hAnsi="Arial" w:cs="Arial"/>
          <w:noProof/>
        </w:rPr>
        <w:drawing>
          <wp:inline distT="0" distB="0" distL="0" distR="0" wp14:anchorId="7FB33A38" wp14:editId="19CD6F95">
            <wp:extent cx="5103628" cy="2583711"/>
            <wp:effectExtent l="0" t="0" r="0" b="0"/>
            <wp:docPr id="44919" name="Chart 449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98E9E4" w14:textId="77777777" w:rsidR="001C0AC5" w:rsidRPr="0056292A" w:rsidRDefault="001C0AC5" w:rsidP="001C0AC5">
      <w:pPr>
        <w:tabs>
          <w:tab w:val="left" w:pos="4005"/>
        </w:tabs>
        <w:contextualSpacing/>
        <w:jc w:val="both"/>
        <w:rPr>
          <w:rFonts w:ascii="Arial" w:hAnsi="Arial" w:cs="Arial"/>
        </w:rPr>
      </w:pPr>
      <w:bookmarkStart w:id="4" w:name="_Hlk211348299"/>
      <w:r w:rsidRPr="0056292A">
        <w:rPr>
          <w:rFonts w:ascii="Arial" w:hAnsi="Arial" w:cs="Arial"/>
          <w:b/>
        </w:rPr>
        <w:t>Fig. 3. Protein contents of corn seedlings cultivated on samples of bioremediated Zn-polluted soil.</w:t>
      </w:r>
      <w:r w:rsidRPr="00574E2D">
        <w:rPr>
          <w:rFonts w:ascii="Arial" w:hAnsi="Arial" w:cs="Arial"/>
          <w:i/>
          <w:sz w:val="18"/>
        </w:rPr>
        <w:t xml:space="preserve"> </w:t>
      </w:r>
      <w:bookmarkEnd w:id="4"/>
      <w:r w:rsidRPr="00574E2D">
        <w:rPr>
          <w:rFonts w:ascii="Arial" w:hAnsi="Arial" w:cs="Arial"/>
          <w:i/>
          <w:sz w:val="18"/>
        </w:rPr>
        <w:t xml:space="preserve">Legends: A1 </w:t>
      </w:r>
      <w:proofErr w:type="gramStart"/>
      <w:r w:rsidRPr="00574E2D">
        <w:rPr>
          <w:rFonts w:ascii="Arial" w:hAnsi="Arial" w:cs="Arial"/>
          <w:i/>
          <w:sz w:val="18"/>
        </w:rPr>
        <w:t>stands  for</w:t>
      </w:r>
      <w:proofErr w:type="gramEnd"/>
      <w:r w:rsidRPr="00574E2D">
        <w:rPr>
          <w:rFonts w:ascii="Arial" w:hAnsi="Arial" w:cs="Arial"/>
          <w:i/>
          <w:sz w:val="18"/>
        </w:rPr>
        <w:t xml:space="preserve"> cow dung, A2 stands  for poultry wastes, B2 stands  for Micrococcus </w:t>
      </w:r>
      <w:proofErr w:type="spellStart"/>
      <w:r w:rsidRPr="00574E2D">
        <w:rPr>
          <w:rFonts w:ascii="Arial" w:hAnsi="Arial" w:cs="Arial"/>
          <w:i/>
          <w:sz w:val="18"/>
        </w:rPr>
        <w:t>sp</w:t>
      </w:r>
      <w:proofErr w:type="spellEnd"/>
      <w:r w:rsidRPr="00574E2D">
        <w:rPr>
          <w:rFonts w:ascii="Arial" w:hAnsi="Arial" w:cs="Arial"/>
          <w:i/>
          <w:sz w:val="18"/>
        </w:rPr>
        <w:t xml:space="preserve"> and C2 stands  for Zn. Samples with similar lowercase letters (in bracket) are not significantly different at α=0.05).</w:t>
      </w:r>
    </w:p>
    <w:p w14:paraId="6A518BFE" w14:textId="77777777" w:rsidR="001C0AC5" w:rsidRPr="0056292A" w:rsidRDefault="001C0AC5" w:rsidP="001C0AC5">
      <w:pPr>
        <w:tabs>
          <w:tab w:val="left" w:pos="4005"/>
        </w:tabs>
        <w:contextualSpacing/>
        <w:jc w:val="both"/>
        <w:rPr>
          <w:rFonts w:ascii="Arial" w:hAnsi="Arial" w:cs="Arial"/>
        </w:rPr>
      </w:pPr>
    </w:p>
    <w:p w14:paraId="55748A01" w14:textId="77777777" w:rsidR="001C0AC5" w:rsidRPr="001108F9" w:rsidRDefault="001C0AC5" w:rsidP="001C0AC5">
      <w:pPr>
        <w:tabs>
          <w:tab w:val="left" w:pos="4005"/>
        </w:tabs>
        <w:contextualSpacing/>
        <w:jc w:val="both"/>
        <w:rPr>
          <w:rFonts w:ascii="Arial" w:hAnsi="Arial" w:cs="Arial"/>
          <w:sz w:val="22"/>
        </w:rPr>
      </w:pPr>
      <w:r w:rsidRPr="001108F9">
        <w:rPr>
          <w:rFonts w:ascii="Arial" w:hAnsi="Arial" w:cs="Arial"/>
          <w:b/>
          <w:sz w:val="22"/>
        </w:rPr>
        <w:t>3.7 Effects on chlorophyll contents of corn seedlings</w:t>
      </w:r>
    </w:p>
    <w:p w14:paraId="72DF366E" w14:textId="371C044D" w:rsidR="001C0AC5" w:rsidRPr="0056292A" w:rsidRDefault="001C0AC5" w:rsidP="001C0AC5">
      <w:pPr>
        <w:contextualSpacing/>
        <w:jc w:val="both"/>
        <w:rPr>
          <w:rFonts w:ascii="Arial" w:hAnsi="Arial" w:cs="Arial"/>
        </w:rPr>
      </w:pPr>
      <w:r w:rsidRPr="0056292A">
        <w:rPr>
          <w:rFonts w:ascii="Arial" w:hAnsi="Arial" w:cs="Arial"/>
        </w:rPr>
        <w:t>Figure 4 is the chlorophyll contents of sampled corn seedlings on bioremediated Zn-polluted soil. With respect to total chlorophyll contents recorded from treated Zn-polluted samples, the range of 0.33±0.01 mg/g to 1.02±0.03 mg/g of total chlorophyll was observed among the samples. As well, total chlorophyll content was higher in seedlings grown on treated samples, than in those on control samples. The highest concentration of total chlorophyll was found in seedling on samples treated with cow dung and poultry wastes mixture. It recorded 1.02±0.03 mg/g at 32.75 mg/kg, 0.74±0.03 mg/g at 42.02 mg/kg and 0.55±0.02 mg/g total chlorophyll contents at Zn pollution levels of 52.</w:t>
      </w:r>
      <w:r w:rsidR="0055379D">
        <w:rPr>
          <w:rFonts w:ascii="Arial" w:hAnsi="Arial" w:cs="Arial"/>
        </w:rPr>
        <w:t>55</w:t>
      </w:r>
      <w:r w:rsidRPr="0056292A">
        <w:rPr>
          <w:rFonts w:ascii="Arial" w:hAnsi="Arial" w:cs="Arial"/>
        </w:rPr>
        <w:t xml:space="preserve"> mg/kg. In line with all previous results, control samples, which recorded the lowest total chlorophyll contents, contained </w:t>
      </w:r>
      <w:r w:rsidRPr="0056292A">
        <w:rPr>
          <w:rFonts w:ascii="Arial" w:hAnsi="Arial" w:cs="Arial"/>
        </w:rPr>
        <w:lastRenderedPageBreak/>
        <w:t>0.52±0.04 mg/g, 0.47±0.04 mg/g and 0.39±0.05 mg/g total chlorophyll, at Zn pollution levels of 32.75 mg/kg, 42.02 mg/kg and 52.</w:t>
      </w:r>
      <w:r w:rsidR="0055379D">
        <w:rPr>
          <w:rFonts w:ascii="Arial" w:hAnsi="Arial" w:cs="Arial"/>
        </w:rPr>
        <w:t>55</w:t>
      </w:r>
      <w:r w:rsidRPr="0056292A">
        <w:rPr>
          <w:rFonts w:ascii="Arial" w:hAnsi="Arial" w:cs="Arial"/>
        </w:rPr>
        <w:t xml:space="preserve"> mg/kg, respectively. Following results analysis (α=0.05), it was found that seedlings grown on samples treated with poultry dung only, as well as its combination with cow dung, produced significantly similar chlorophyll contents. But they are equally significantly different from those of control samples and samples treated with cow dung only, which are similar on the other hand.</w:t>
      </w:r>
    </w:p>
    <w:p w14:paraId="783813A4" w14:textId="77777777" w:rsidR="001C0AC5" w:rsidRPr="0056292A" w:rsidRDefault="001C0AC5" w:rsidP="001C0AC5">
      <w:pPr>
        <w:contextualSpacing/>
        <w:jc w:val="both"/>
        <w:rPr>
          <w:rFonts w:ascii="Arial" w:hAnsi="Arial" w:cs="Arial"/>
        </w:rPr>
      </w:pPr>
    </w:p>
    <w:p w14:paraId="1A567A2F" w14:textId="77777777" w:rsidR="001C0AC5" w:rsidRPr="0056292A" w:rsidRDefault="001C0AC5" w:rsidP="001C0AC5">
      <w:pPr>
        <w:tabs>
          <w:tab w:val="left" w:pos="4005"/>
        </w:tabs>
        <w:contextualSpacing/>
        <w:rPr>
          <w:rFonts w:ascii="Arial" w:hAnsi="Arial" w:cs="Arial"/>
        </w:rPr>
      </w:pPr>
      <w:r w:rsidRPr="0056292A">
        <w:rPr>
          <w:rFonts w:ascii="Arial" w:hAnsi="Arial" w:cs="Arial"/>
          <w:noProof/>
        </w:rPr>
        <w:drawing>
          <wp:inline distT="0" distB="0" distL="0" distR="0" wp14:anchorId="793E56B5" wp14:editId="679144B4">
            <wp:extent cx="5146158" cy="2658139"/>
            <wp:effectExtent l="0" t="0" r="0" b="0"/>
            <wp:docPr id="44920" name="Chart 449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9A1D71" w14:textId="77777777" w:rsidR="001C0AC5" w:rsidRPr="0056292A" w:rsidRDefault="001C0AC5" w:rsidP="001C0AC5">
      <w:pPr>
        <w:contextualSpacing/>
        <w:jc w:val="both"/>
        <w:rPr>
          <w:rFonts w:ascii="Arial" w:hAnsi="Arial" w:cs="Arial"/>
        </w:rPr>
      </w:pPr>
      <w:bookmarkStart w:id="5" w:name="_Hlk211348346"/>
      <w:r w:rsidRPr="0056292A">
        <w:rPr>
          <w:rFonts w:ascii="Arial" w:hAnsi="Arial" w:cs="Arial"/>
          <w:b/>
        </w:rPr>
        <w:t>Fig. 4. Chlorophyll contents of corn seedlings planted on bioremediated samples of Zn-polluted soil.</w:t>
      </w:r>
      <w:r w:rsidRPr="0080699D">
        <w:rPr>
          <w:rFonts w:ascii="Arial" w:hAnsi="Arial" w:cs="Arial"/>
          <w:b/>
          <w:i/>
          <w:sz w:val="18"/>
        </w:rPr>
        <w:t xml:space="preserve"> </w:t>
      </w:r>
      <w:bookmarkEnd w:id="5"/>
      <w:r w:rsidRPr="0080699D">
        <w:rPr>
          <w:rFonts w:ascii="Arial" w:hAnsi="Arial" w:cs="Arial"/>
          <w:i/>
          <w:sz w:val="18"/>
        </w:rPr>
        <w:t>Legends: A1 indicates cow dung, A2 indicates poultry wastes, B2 indicates Micrococcus sp. and C2 indicates Zn. Samples with similar lowercase letters (in bracket) are not significantly different at α=0.05).</w:t>
      </w:r>
    </w:p>
    <w:p w14:paraId="6D682CA6" w14:textId="77777777" w:rsidR="001C0AC5" w:rsidRDefault="001C0AC5" w:rsidP="001C0AC5">
      <w:pPr>
        <w:contextualSpacing/>
        <w:jc w:val="both"/>
        <w:rPr>
          <w:rFonts w:ascii="Arial" w:hAnsi="Arial" w:cs="Arial"/>
        </w:rPr>
      </w:pPr>
    </w:p>
    <w:p w14:paraId="5085C9C7" w14:textId="77777777" w:rsidR="0036146B" w:rsidRDefault="0036146B" w:rsidP="001C0AC5">
      <w:pPr>
        <w:contextualSpacing/>
        <w:jc w:val="both"/>
        <w:rPr>
          <w:rFonts w:ascii="Arial" w:hAnsi="Arial" w:cs="Arial"/>
        </w:rPr>
      </w:pPr>
      <w:r w:rsidRPr="00F544A7">
        <w:rPr>
          <w:rFonts w:ascii="Arial" w:hAnsi="Arial" w:cs="Arial"/>
        </w:rPr>
        <w:t xml:space="preserve">Reports have shown that heavy metals reduce the number and size of leaves, stomata size, and the cell membranes of stomatal guard cells, causing turgor loss in the leaves and, as a result, gaseous exchange, i.e., transpiration rate (Stanton &amp; </w:t>
      </w:r>
      <w:proofErr w:type="spellStart"/>
      <w:r w:rsidRPr="00F544A7">
        <w:rPr>
          <w:rFonts w:ascii="Arial" w:hAnsi="Arial" w:cs="Arial"/>
        </w:rPr>
        <w:t>Mickelbart</w:t>
      </w:r>
      <w:proofErr w:type="spellEnd"/>
      <w:r w:rsidRPr="00F544A7">
        <w:rPr>
          <w:rFonts w:ascii="Arial" w:hAnsi="Arial" w:cs="Arial"/>
        </w:rPr>
        <w:t xml:space="preserve">, 2014; Ashraf et al., 2022). </w:t>
      </w:r>
      <w:proofErr w:type="spellStart"/>
      <w:r w:rsidRPr="00F544A7">
        <w:rPr>
          <w:rFonts w:ascii="Arial" w:hAnsi="Arial" w:cs="Arial"/>
          <w:i/>
        </w:rPr>
        <w:t>Rhodococcus</w:t>
      </w:r>
      <w:proofErr w:type="spellEnd"/>
      <w:r w:rsidRPr="00F544A7">
        <w:rPr>
          <w:rFonts w:ascii="Arial" w:hAnsi="Arial" w:cs="Arial"/>
          <w:i/>
        </w:rPr>
        <w:t xml:space="preserve"> </w:t>
      </w:r>
      <w:proofErr w:type="spellStart"/>
      <w:r w:rsidRPr="00F544A7">
        <w:rPr>
          <w:rFonts w:ascii="Arial" w:hAnsi="Arial" w:cs="Arial"/>
          <w:i/>
        </w:rPr>
        <w:t>qingshengii</w:t>
      </w:r>
      <w:proofErr w:type="spellEnd"/>
      <w:r w:rsidRPr="00F544A7">
        <w:rPr>
          <w:rFonts w:ascii="Arial" w:hAnsi="Arial" w:cs="Arial"/>
          <w:i/>
        </w:rPr>
        <w:t xml:space="preserve"> </w:t>
      </w:r>
      <w:r w:rsidRPr="00F544A7">
        <w:rPr>
          <w:rFonts w:ascii="Arial" w:hAnsi="Arial" w:cs="Arial"/>
        </w:rPr>
        <w:t>inoculation increased plant biomass by 39% to 83% compared to uninoculated plants, as well as chlorophyll and carotenoid content by up to 29% and antioxidant enzyme activities by 15% to 80% (</w:t>
      </w:r>
      <w:proofErr w:type="spellStart"/>
      <w:r w:rsidRPr="00F544A7">
        <w:rPr>
          <w:rFonts w:ascii="Arial" w:hAnsi="Arial" w:cs="Arial"/>
        </w:rPr>
        <w:t>Oubohssaine</w:t>
      </w:r>
      <w:proofErr w:type="spellEnd"/>
      <w:r w:rsidRPr="00F544A7">
        <w:rPr>
          <w:rFonts w:ascii="Arial" w:hAnsi="Arial" w:cs="Arial"/>
        </w:rPr>
        <w:t xml:space="preserve"> et al., 2022).</w:t>
      </w:r>
    </w:p>
    <w:p w14:paraId="379AB03C" w14:textId="77777777" w:rsidR="0036146B" w:rsidRPr="0056292A" w:rsidRDefault="0036146B" w:rsidP="001C0AC5">
      <w:pPr>
        <w:contextualSpacing/>
        <w:jc w:val="both"/>
        <w:rPr>
          <w:rFonts w:ascii="Arial" w:hAnsi="Arial" w:cs="Arial"/>
        </w:rPr>
      </w:pPr>
    </w:p>
    <w:p w14:paraId="4467B893" w14:textId="77777777" w:rsidR="001C0AC5" w:rsidRPr="00F544A7" w:rsidRDefault="001C0AC5" w:rsidP="001C0AC5">
      <w:pPr>
        <w:contextualSpacing/>
        <w:jc w:val="both"/>
        <w:rPr>
          <w:rFonts w:ascii="Arial" w:hAnsi="Arial" w:cs="Arial"/>
          <w:sz w:val="22"/>
        </w:rPr>
      </w:pPr>
      <w:r w:rsidRPr="00F544A7">
        <w:rPr>
          <w:rFonts w:ascii="Arial" w:hAnsi="Arial" w:cs="Arial"/>
          <w:b/>
          <w:sz w:val="22"/>
        </w:rPr>
        <w:t>3.8 Effect on bioaccumulation of toxic metals in corn seedlings</w:t>
      </w:r>
    </w:p>
    <w:p w14:paraId="5A20C3E1" w14:textId="77777777" w:rsidR="001C0AC5" w:rsidRPr="0056292A" w:rsidRDefault="001C0AC5" w:rsidP="001C0AC5">
      <w:pPr>
        <w:tabs>
          <w:tab w:val="left" w:pos="4005"/>
        </w:tabs>
        <w:contextualSpacing/>
        <w:jc w:val="both"/>
        <w:rPr>
          <w:rFonts w:ascii="Arial" w:hAnsi="Arial" w:cs="Arial"/>
        </w:rPr>
      </w:pPr>
      <w:r w:rsidRPr="0056292A">
        <w:rPr>
          <w:rFonts w:ascii="Arial" w:hAnsi="Arial" w:cs="Arial"/>
        </w:rPr>
        <w:t>These results demonstrated that the ranges of bioaccumulations in the leaf, stem and root samples are 18.12±0.61 mg/kg to 49.59±0.61mg/kg, 9.14±0.35mg/kg to 25.24±0.82mg/kg and 49.84±1.12 mg/kg to 156.24±1.31 mg/kg, respectively. Generally, it shows that bioaccumulation is highest in root samples, followed by leaf samples, while the stem samples were the least. There were wide variations in the bioaccumulation of Zn in corn samples grown on different soil samples, and at different concentrations.</w:t>
      </w:r>
    </w:p>
    <w:p w14:paraId="36077ED5" w14:textId="77777777" w:rsidR="001C0AC5" w:rsidRPr="0056292A" w:rsidRDefault="001C0AC5" w:rsidP="001C0AC5">
      <w:pPr>
        <w:tabs>
          <w:tab w:val="left" w:pos="4005"/>
        </w:tabs>
        <w:contextualSpacing/>
        <w:jc w:val="both"/>
        <w:rPr>
          <w:rFonts w:ascii="Arial" w:hAnsi="Arial" w:cs="Arial"/>
        </w:rPr>
      </w:pPr>
    </w:p>
    <w:p w14:paraId="58998107" w14:textId="042E0961" w:rsidR="001C0AC5" w:rsidRPr="0056292A" w:rsidRDefault="001C0AC5" w:rsidP="001C0AC5">
      <w:pPr>
        <w:tabs>
          <w:tab w:val="left" w:pos="4005"/>
        </w:tabs>
        <w:contextualSpacing/>
        <w:jc w:val="both"/>
        <w:rPr>
          <w:rFonts w:ascii="Arial" w:hAnsi="Arial" w:cs="Arial"/>
        </w:rPr>
      </w:pPr>
      <w:r w:rsidRPr="0056292A">
        <w:rPr>
          <w:rFonts w:ascii="Arial" w:hAnsi="Arial" w:cs="Arial"/>
        </w:rPr>
        <w:t xml:space="preserve">In corn leaf samples, results showed that control samples maintained the highest bioaccumulation, which is significantly different from those of the treated samples. The samples bioaccumulated 46.94±0.25 mg/kg at 32.75 mg/kg, 47.59±0.29 mg/kg at 42.02 mg/kg and 49.59±0.61 mg/kg of Zn, at Zn pollution level of 52.44 mg/kg. Of all the samples, leaf samples from soil treated with </w:t>
      </w:r>
      <w:r w:rsidRPr="0056292A">
        <w:rPr>
          <w:rFonts w:ascii="Arial" w:hAnsi="Arial" w:cs="Arial"/>
          <w:i/>
        </w:rPr>
        <w:t xml:space="preserve">Micrococcus </w:t>
      </w:r>
      <w:proofErr w:type="spellStart"/>
      <w:r w:rsidRPr="0056292A">
        <w:rPr>
          <w:rFonts w:ascii="Arial" w:hAnsi="Arial" w:cs="Arial"/>
        </w:rPr>
        <w:t>sp</w:t>
      </w:r>
      <w:proofErr w:type="spellEnd"/>
      <w:r w:rsidRPr="0056292A">
        <w:rPr>
          <w:rFonts w:ascii="Arial" w:hAnsi="Arial" w:cs="Arial"/>
        </w:rPr>
        <w:t xml:space="preserve"> and cow dung only, bioaccumulated the least amounts of Zn. The samples bioaccumulated 18.12±0.61 mg/kg at 32.75 mg/kg, 25.74±0.51 mg/kg at 42.02 mg/kg and 23.59±1.08 mg/kg of Zn at Zn pollution level of 52.</w:t>
      </w:r>
      <w:r w:rsidR="0055379D">
        <w:rPr>
          <w:rFonts w:ascii="Arial" w:hAnsi="Arial" w:cs="Arial"/>
        </w:rPr>
        <w:t>55</w:t>
      </w:r>
      <w:r w:rsidRPr="0056292A">
        <w:rPr>
          <w:rFonts w:ascii="Arial" w:hAnsi="Arial" w:cs="Arial"/>
        </w:rPr>
        <w:t xml:space="preserve"> mg/kg. However, their concentrations were not significantly different from those of treated </w:t>
      </w:r>
      <w:r w:rsidRPr="0056292A">
        <w:rPr>
          <w:rFonts w:ascii="Arial" w:hAnsi="Arial" w:cs="Arial"/>
        </w:rPr>
        <w:lastRenderedPageBreak/>
        <w:t>samples, at α=0.05, unlike in the control samples. Across concentration, results showed that bioaccumulation gradually increased with increasing level of Zn pollution in soil samples. Statistically, bioaccumulation at 32.75 mg/kg was significantly higher than was recorded at 52.</w:t>
      </w:r>
      <w:r w:rsidR="0055379D">
        <w:rPr>
          <w:rFonts w:ascii="Arial" w:hAnsi="Arial" w:cs="Arial"/>
        </w:rPr>
        <w:t>55</w:t>
      </w:r>
      <w:r w:rsidRPr="0056292A">
        <w:rPr>
          <w:rFonts w:ascii="Arial" w:hAnsi="Arial" w:cs="Arial"/>
        </w:rPr>
        <w:t xml:space="preserve"> mg/kg.</w:t>
      </w:r>
    </w:p>
    <w:p w14:paraId="13F7C69B" w14:textId="77777777" w:rsidR="001C0AC5" w:rsidRPr="0056292A" w:rsidRDefault="001C0AC5" w:rsidP="001C0AC5">
      <w:pPr>
        <w:tabs>
          <w:tab w:val="left" w:pos="4005"/>
        </w:tabs>
        <w:contextualSpacing/>
        <w:jc w:val="both"/>
        <w:rPr>
          <w:rFonts w:ascii="Arial" w:hAnsi="Arial" w:cs="Arial"/>
        </w:rPr>
      </w:pPr>
    </w:p>
    <w:p w14:paraId="238AF2B7" w14:textId="6198F38E" w:rsidR="001C0AC5" w:rsidRPr="0056292A" w:rsidRDefault="001C0AC5" w:rsidP="001C0AC5">
      <w:pPr>
        <w:tabs>
          <w:tab w:val="left" w:pos="4005"/>
        </w:tabs>
        <w:contextualSpacing/>
        <w:jc w:val="both"/>
        <w:rPr>
          <w:rFonts w:ascii="Arial" w:hAnsi="Arial" w:cs="Arial"/>
        </w:rPr>
      </w:pPr>
      <w:r w:rsidRPr="0056292A">
        <w:rPr>
          <w:rFonts w:ascii="Arial" w:hAnsi="Arial" w:cs="Arial"/>
        </w:rPr>
        <w:t xml:space="preserve">In the stem, bioaccumulation was least in samples grown on soil samples treated with a combination of poultry wastes and cow ding, with </w:t>
      </w:r>
      <w:r w:rsidRPr="0056292A">
        <w:rPr>
          <w:rFonts w:ascii="Arial" w:hAnsi="Arial" w:cs="Arial"/>
          <w:i/>
        </w:rPr>
        <w:t xml:space="preserve">Micrococcus </w:t>
      </w:r>
      <w:r w:rsidRPr="0056292A">
        <w:rPr>
          <w:rFonts w:ascii="Arial" w:hAnsi="Arial" w:cs="Arial"/>
        </w:rPr>
        <w:t>sp. They recorded 9.14±0.35 mg/kg, 10.62±0.17 mg/kg and 12.47±0.98 mg/kg of Zn at Zn pollution levels of 32.75 mg/kg, 42.02 mg/kg and 52.</w:t>
      </w:r>
      <w:r w:rsidR="0055379D">
        <w:rPr>
          <w:rFonts w:ascii="Arial" w:hAnsi="Arial" w:cs="Arial"/>
        </w:rPr>
        <w:t>55</w:t>
      </w:r>
      <w:r w:rsidRPr="0056292A">
        <w:rPr>
          <w:rFonts w:ascii="Arial" w:hAnsi="Arial" w:cs="Arial"/>
        </w:rPr>
        <w:t xml:space="preserve"> mg/kg, respectively. At α=0.05, their bioaccumulations were significantly higher than those of other samples. Conversely, samples from control soil samples recorded the highest bioaccumulations, which were significantly different from those of the treated samples. Their bioaccumulations were 16.79±0.45 mg/kg at 32.75 mg/kg, 20.04±0.25 mg/kg at 42.02 mg/kg and 25.24±0.82 mg/kg of Zn at Zn pollution level of 52.</w:t>
      </w:r>
      <w:r w:rsidR="0055379D">
        <w:rPr>
          <w:rFonts w:ascii="Arial" w:hAnsi="Arial" w:cs="Arial"/>
        </w:rPr>
        <w:t>55</w:t>
      </w:r>
      <w:r w:rsidRPr="0056292A">
        <w:rPr>
          <w:rFonts w:ascii="Arial" w:hAnsi="Arial" w:cs="Arial"/>
        </w:rPr>
        <w:t xml:space="preserve"> mg/kg. These were statistically different from those of the treated samples. Across the concentrations, bioaccumulations in stems, increased with increasing level of Zn pollution. It was found that bioaccumulation at 32.75 mg/kg was significantly lower than that at 52.</w:t>
      </w:r>
      <w:r w:rsidR="0055379D">
        <w:rPr>
          <w:rFonts w:ascii="Arial" w:hAnsi="Arial" w:cs="Arial"/>
        </w:rPr>
        <w:t>55</w:t>
      </w:r>
      <w:r w:rsidRPr="0056292A">
        <w:rPr>
          <w:rFonts w:ascii="Arial" w:hAnsi="Arial" w:cs="Arial"/>
        </w:rPr>
        <w:t xml:space="preserve"> mg/kg.</w:t>
      </w:r>
    </w:p>
    <w:p w14:paraId="248E181F" w14:textId="77777777" w:rsidR="001C0AC5" w:rsidRPr="0056292A" w:rsidRDefault="001C0AC5" w:rsidP="001C0AC5">
      <w:pPr>
        <w:tabs>
          <w:tab w:val="left" w:pos="4005"/>
        </w:tabs>
        <w:contextualSpacing/>
        <w:jc w:val="both"/>
        <w:rPr>
          <w:rFonts w:ascii="Arial" w:hAnsi="Arial" w:cs="Arial"/>
        </w:rPr>
      </w:pPr>
    </w:p>
    <w:p w14:paraId="7A40153B" w14:textId="32C27DAC" w:rsidR="00E053D0" w:rsidRDefault="001C0AC5" w:rsidP="001C0AC5">
      <w:pPr>
        <w:pStyle w:val="Body"/>
        <w:spacing w:after="0"/>
        <w:rPr>
          <w:rFonts w:ascii="Arial" w:hAnsi="Arial" w:cs="Arial"/>
        </w:rPr>
      </w:pPr>
      <w:r w:rsidRPr="0056292A">
        <w:rPr>
          <w:rFonts w:ascii="Arial" w:hAnsi="Arial" w:cs="Arial"/>
        </w:rPr>
        <w:t>In the roots, where bioaccumulation was the highest compared to other parts of corn, it was observed that samples from control maintained the lead. They recorded 135.49±0.61 mg/kg at 32.75 mg/kg, 146.69±1.19 mg/kg at 42.02 mg/kg and 156.24±1.31 mg/kg of Zn at Zn pollution levels of 52.</w:t>
      </w:r>
      <w:r w:rsidR="0055379D">
        <w:rPr>
          <w:rFonts w:ascii="Arial" w:hAnsi="Arial" w:cs="Arial"/>
        </w:rPr>
        <w:t>55</w:t>
      </w:r>
      <w:r w:rsidRPr="0056292A">
        <w:rPr>
          <w:rFonts w:ascii="Arial" w:hAnsi="Arial" w:cs="Arial"/>
        </w:rPr>
        <w:t xml:space="preserve"> mg/kg. These were significantly higher than those of treated samples. Among the treated samples, bioaccumulation was the least in samples from soil treated with </w:t>
      </w:r>
      <w:r w:rsidRPr="0056292A">
        <w:rPr>
          <w:rFonts w:ascii="Arial" w:hAnsi="Arial" w:cs="Arial"/>
          <w:i/>
        </w:rPr>
        <w:t xml:space="preserve">Micrococcus </w:t>
      </w:r>
      <w:proofErr w:type="spellStart"/>
      <w:r w:rsidRPr="0056292A">
        <w:rPr>
          <w:rFonts w:ascii="Arial" w:hAnsi="Arial" w:cs="Arial"/>
        </w:rPr>
        <w:t>sp</w:t>
      </w:r>
      <w:proofErr w:type="spellEnd"/>
      <w:r w:rsidRPr="0056292A">
        <w:rPr>
          <w:rFonts w:ascii="Arial" w:hAnsi="Arial" w:cs="Arial"/>
        </w:rPr>
        <w:t xml:space="preserve"> and poultry wastes only. They bioaccumulated 49.84±1.12 mg/kg at 32.75 mg/kg, 56.07±0.98 mg/kg at 42.02 mg/kg and 67.82±1.59 mg/kg of Zn at Zn pollution level of 52.</w:t>
      </w:r>
      <w:r w:rsidR="0055379D">
        <w:rPr>
          <w:rFonts w:ascii="Arial" w:hAnsi="Arial" w:cs="Arial"/>
        </w:rPr>
        <w:t>55</w:t>
      </w:r>
      <w:r w:rsidRPr="0056292A">
        <w:rPr>
          <w:rFonts w:ascii="Arial" w:hAnsi="Arial" w:cs="Arial"/>
        </w:rPr>
        <w:t xml:space="preserve"> mg/kg. These were significantly higher than those from other soil samples, except from soil samples treated with </w:t>
      </w:r>
      <w:r w:rsidRPr="0056292A">
        <w:rPr>
          <w:rFonts w:ascii="Arial" w:hAnsi="Arial" w:cs="Arial"/>
          <w:i/>
        </w:rPr>
        <w:t xml:space="preserve">Micrococcus </w:t>
      </w:r>
      <w:proofErr w:type="spellStart"/>
      <w:r w:rsidRPr="0056292A">
        <w:rPr>
          <w:rFonts w:ascii="Arial" w:hAnsi="Arial" w:cs="Arial"/>
        </w:rPr>
        <w:t>sp</w:t>
      </w:r>
      <w:proofErr w:type="spellEnd"/>
      <w:r w:rsidRPr="0056292A">
        <w:rPr>
          <w:rFonts w:ascii="Arial" w:hAnsi="Arial" w:cs="Arial"/>
        </w:rPr>
        <w:t xml:space="preserve"> and cow dung only. As usual, bioaccumulation increased with increasing Zn pollution. As such it was significantly different at 32.75 mg/kg from at 52.</w:t>
      </w:r>
      <w:r w:rsidR="0055379D">
        <w:rPr>
          <w:rFonts w:ascii="Arial" w:hAnsi="Arial" w:cs="Arial"/>
        </w:rPr>
        <w:t>55</w:t>
      </w:r>
      <w:r w:rsidRPr="0056292A">
        <w:rPr>
          <w:rFonts w:ascii="Arial" w:hAnsi="Arial" w:cs="Arial"/>
        </w:rPr>
        <w:t xml:space="preserve"> mg/kg, at α=0.05.</w:t>
      </w:r>
    </w:p>
    <w:p w14:paraId="077B6C94" w14:textId="77777777" w:rsidR="008531CA" w:rsidRDefault="008531CA" w:rsidP="001C0AC5">
      <w:pPr>
        <w:pStyle w:val="Body"/>
        <w:spacing w:after="0"/>
        <w:rPr>
          <w:rFonts w:ascii="Arial" w:hAnsi="Arial" w:cs="Arial"/>
        </w:rPr>
      </w:pPr>
    </w:p>
    <w:p w14:paraId="25010BDC" w14:textId="77777777" w:rsidR="008531CA" w:rsidRDefault="008531CA" w:rsidP="001C0AC5">
      <w:pPr>
        <w:pStyle w:val="Body"/>
        <w:spacing w:after="0"/>
        <w:rPr>
          <w:rFonts w:ascii="Arial" w:hAnsi="Arial" w:cs="Arial"/>
        </w:rPr>
      </w:pPr>
      <w:r w:rsidRPr="00F544A7">
        <w:rPr>
          <w:rFonts w:ascii="Arial" w:hAnsi="Arial" w:cs="Arial"/>
        </w:rPr>
        <w:t xml:space="preserve">Another related study found that </w:t>
      </w:r>
      <w:r w:rsidRPr="00F544A7">
        <w:rPr>
          <w:rFonts w:ascii="Arial" w:hAnsi="Arial" w:cs="Arial"/>
          <w:i/>
        </w:rPr>
        <w:t>Helianthus annuus</w:t>
      </w:r>
      <w:r w:rsidRPr="00F544A7">
        <w:rPr>
          <w:rFonts w:ascii="Arial" w:hAnsi="Arial" w:cs="Arial"/>
        </w:rPr>
        <w:t xml:space="preserve"> L., or sunflower plants planted in untreated soil had around 2.5 times the amount of cadmium in their shoots as plants grown in treated soil. Their roots, on the other hand, revealed approximately two times the amount of Cd as plant roots grown in treated soil. Furthermore, </w:t>
      </w:r>
      <w:r w:rsidRPr="00F544A7">
        <w:rPr>
          <w:rFonts w:ascii="Arial" w:hAnsi="Arial" w:cs="Arial"/>
          <w:i/>
        </w:rPr>
        <w:t>Helianthus</w:t>
      </w:r>
      <w:r w:rsidRPr="00F544A7">
        <w:rPr>
          <w:rFonts w:ascii="Arial" w:hAnsi="Arial" w:cs="Arial"/>
        </w:rPr>
        <w:t xml:space="preserve"> plants cultivated in untreated soil accumulated zinc levels roughly 1.7 and 2.5 times greater in their shoots and roots, respectively, than plants grown in treated soils. These findings show that the microbiome plays an important role in determining whether </w:t>
      </w:r>
      <w:r w:rsidRPr="00F544A7">
        <w:rPr>
          <w:rFonts w:ascii="Arial" w:hAnsi="Arial" w:cs="Arial"/>
          <w:i/>
        </w:rPr>
        <w:t>Helianthus</w:t>
      </w:r>
      <w:r w:rsidRPr="00F544A7">
        <w:rPr>
          <w:rFonts w:ascii="Arial" w:hAnsi="Arial" w:cs="Arial"/>
        </w:rPr>
        <w:t xml:space="preserve"> plants acquire Zn and Cd contaminants (Sorour et al., 2022).</w:t>
      </w:r>
    </w:p>
    <w:p w14:paraId="3430C333" w14:textId="77777777" w:rsidR="00D813D7" w:rsidRDefault="00D813D7" w:rsidP="001C0AC5">
      <w:pPr>
        <w:pStyle w:val="Body"/>
        <w:spacing w:after="0"/>
        <w:rPr>
          <w:rFonts w:ascii="Arial" w:hAnsi="Arial" w:cs="Arial"/>
        </w:rPr>
      </w:pPr>
    </w:p>
    <w:p w14:paraId="4DBD51E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FC8EC4" w14:textId="77777777" w:rsidR="00790ADA" w:rsidRPr="00FB3A86" w:rsidRDefault="00790ADA" w:rsidP="00441B6F">
      <w:pPr>
        <w:pStyle w:val="ConcHead"/>
        <w:spacing w:after="0"/>
        <w:jc w:val="both"/>
        <w:rPr>
          <w:rFonts w:ascii="Arial" w:hAnsi="Arial" w:cs="Arial"/>
        </w:rPr>
      </w:pPr>
    </w:p>
    <w:p w14:paraId="5DFDF2B5" w14:textId="77777777" w:rsidR="001C0AC5" w:rsidRPr="00F544A7" w:rsidRDefault="001C0AC5" w:rsidP="001C0AC5">
      <w:pPr>
        <w:contextualSpacing/>
        <w:jc w:val="both"/>
        <w:rPr>
          <w:rFonts w:ascii="Arial" w:hAnsi="Arial" w:cs="Arial"/>
        </w:rPr>
      </w:pPr>
      <w:r w:rsidRPr="00F544A7">
        <w:rPr>
          <w:rFonts w:ascii="Arial" w:hAnsi="Arial" w:cs="Arial"/>
        </w:rPr>
        <w:t xml:space="preserve">Soil pollution with heavy metals is a major environmental concern around the globe. With increasing industrialization, it is critical to create low-cost and environmentally friendly remedial solutions for heavy metal-contaminated soil. Since microorganisms have the potential to remove heavy metals from the environment while also promoting plant growth and development, a combination of </w:t>
      </w:r>
      <w:proofErr w:type="spellStart"/>
      <w:r w:rsidRPr="00F544A7">
        <w:rPr>
          <w:rFonts w:ascii="Arial" w:hAnsi="Arial" w:cs="Arial"/>
        </w:rPr>
        <w:t>phyto</w:t>
      </w:r>
      <w:proofErr w:type="spellEnd"/>
      <w:r w:rsidRPr="00F544A7">
        <w:rPr>
          <w:rFonts w:ascii="Arial" w:hAnsi="Arial" w:cs="Arial"/>
        </w:rPr>
        <w:t xml:space="preserve">- and bioremediation approaches appears promising. The results of this study have affirmed that co-application of cow dung and poultry wastes enhance plants tolerance of the heavy metal pollution. However, their applications in isolation or in consortium produced varying impacts on different parameters of both treated soil and corn seedlings grown on them. Thus, optimization of effects of co-applications of </w:t>
      </w:r>
      <w:r w:rsidRPr="00F544A7">
        <w:rPr>
          <w:rFonts w:ascii="Arial" w:hAnsi="Arial" w:cs="Arial"/>
          <w:i/>
        </w:rPr>
        <w:t xml:space="preserve">Micrococcus </w:t>
      </w:r>
      <w:r w:rsidRPr="00F544A7">
        <w:rPr>
          <w:rFonts w:ascii="Arial" w:hAnsi="Arial" w:cs="Arial"/>
        </w:rPr>
        <w:t xml:space="preserve">sp. and </w:t>
      </w:r>
      <w:proofErr w:type="gramStart"/>
      <w:r w:rsidRPr="00F544A7">
        <w:rPr>
          <w:rFonts w:ascii="Arial" w:hAnsi="Arial" w:cs="Arial"/>
        </w:rPr>
        <w:t>animals</w:t>
      </w:r>
      <w:proofErr w:type="gramEnd"/>
      <w:r w:rsidRPr="00F544A7">
        <w:rPr>
          <w:rFonts w:ascii="Arial" w:hAnsi="Arial" w:cs="Arial"/>
        </w:rPr>
        <w:t xml:space="preserve"> wastes is recommended before field operations.</w:t>
      </w:r>
    </w:p>
    <w:p w14:paraId="7254ED2E" w14:textId="77777777" w:rsidR="00B01FCD" w:rsidRDefault="00B01FCD" w:rsidP="00441B6F">
      <w:pPr>
        <w:pStyle w:val="Body"/>
        <w:spacing w:after="0"/>
        <w:rPr>
          <w:rFonts w:ascii="Arial" w:hAnsi="Arial" w:cs="Arial"/>
        </w:rPr>
      </w:pPr>
    </w:p>
    <w:p w14:paraId="3F1BFF56" w14:textId="77777777" w:rsidR="00790ADA" w:rsidRPr="00FB3A86" w:rsidRDefault="00790ADA" w:rsidP="00441B6F">
      <w:pPr>
        <w:pStyle w:val="Body"/>
        <w:spacing w:after="0"/>
        <w:rPr>
          <w:rFonts w:ascii="Arial" w:hAnsi="Arial" w:cs="Arial"/>
        </w:rPr>
      </w:pPr>
    </w:p>
    <w:p w14:paraId="14F9D195" w14:textId="77777777" w:rsidR="00B01FCD" w:rsidRDefault="00B01FCD" w:rsidP="00441B6F">
      <w:pPr>
        <w:pStyle w:val="ReferHead"/>
        <w:spacing w:after="0"/>
        <w:jc w:val="both"/>
        <w:rPr>
          <w:rFonts w:ascii="Arial" w:hAnsi="Arial" w:cs="Arial"/>
        </w:rPr>
      </w:pPr>
      <w:bookmarkStart w:id="6" w:name="_GoBack"/>
      <w:bookmarkEnd w:id="6"/>
      <w:r w:rsidRPr="00FB3A86">
        <w:rPr>
          <w:rFonts w:ascii="Arial" w:hAnsi="Arial" w:cs="Arial"/>
        </w:rPr>
        <w:lastRenderedPageBreak/>
        <w:t>References</w:t>
      </w:r>
    </w:p>
    <w:p w14:paraId="4EEA0550" w14:textId="77777777" w:rsidR="004D4277" w:rsidRDefault="004D4277" w:rsidP="00441B6F">
      <w:pPr>
        <w:pStyle w:val="Appendix"/>
        <w:spacing w:after="0"/>
        <w:jc w:val="both"/>
        <w:rPr>
          <w:rFonts w:ascii="Arial" w:hAnsi="Arial" w:cs="Arial"/>
        </w:rPr>
      </w:pPr>
    </w:p>
    <w:p w14:paraId="02DAB325" w14:textId="77777777" w:rsidR="00587959" w:rsidRPr="00183CAE" w:rsidRDefault="00587959" w:rsidP="00587959">
      <w:pPr>
        <w:ind w:left="432" w:hanging="432"/>
        <w:jc w:val="both"/>
        <w:rPr>
          <w:rFonts w:ascii="Arial" w:hAnsi="Arial" w:cs="Arial"/>
          <w:szCs w:val="24"/>
        </w:rPr>
      </w:pPr>
      <w:proofErr w:type="spellStart"/>
      <w:r w:rsidRPr="00183CAE">
        <w:rPr>
          <w:rFonts w:ascii="Arial" w:hAnsi="Arial" w:cs="Arial"/>
          <w:szCs w:val="24"/>
        </w:rPr>
        <w:t>Anuforo</w:t>
      </w:r>
      <w:proofErr w:type="spellEnd"/>
      <w:r w:rsidRPr="00183CAE">
        <w:rPr>
          <w:rFonts w:ascii="Arial" w:hAnsi="Arial" w:cs="Arial"/>
          <w:szCs w:val="24"/>
        </w:rPr>
        <w:t xml:space="preserve">, H.U., </w:t>
      </w:r>
      <w:proofErr w:type="spellStart"/>
      <w:r w:rsidRPr="00183CAE">
        <w:rPr>
          <w:rFonts w:ascii="Arial" w:hAnsi="Arial" w:cs="Arial"/>
          <w:szCs w:val="24"/>
        </w:rPr>
        <w:t>Akujobi</w:t>
      </w:r>
      <w:proofErr w:type="spellEnd"/>
      <w:r w:rsidRPr="00183CAE">
        <w:rPr>
          <w:rFonts w:ascii="Arial" w:hAnsi="Arial" w:cs="Arial"/>
          <w:szCs w:val="24"/>
        </w:rPr>
        <w:t xml:space="preserve">, C.O., Ezeji, E.U. &amp; </w:t>
      </w:r>
      <w:proofErr w:type="spellStart"/>
      <w:r w:rsidRPr="00183CAE">
        <w:rPr>
          <w:rFonts w:ascii="Arial" w:hAnsi="Arial" w:cs="Arial"/>
          <w:szCs w:val="24"/>
        </w:rPr>
        <w:t>Okehi</w:t>
      </w:r>
      <w:proofErr w:type="spellEnd"/>
      <w:r w:rsidRPr="00183CAE">
        <w:rPr>
          <w:rFonts w:ascii="Arial" w:hAnsi="Arial" w:cs="Arial"/>
          <w:szCs w:val="24"/>
        </w:rPr>
        <w:t xml:space="preserve">, C.C. (2019). Impact of vehicular traffic on concentrations of selected heavy metals in cassava tubers harvested from roadside in Owerri, Nigeria. </w:t>
      </w:r>
      <w:r w:rsidRPr="00183CAE">
        <w:rPr>
          <w:rFonts w:ascii="Arial" w:hAnsi="Arial" w:cs="Arial"/>
          <w:i/>
          <w:szCs w:val="24"/>
        </w:rPr>
        <w:t xml:space="preserve">Journal of Faculty of Food Engineering, Ştefan cel Mare University of Suceava, Romania, </w:t>
      </w:r>
      <w:r w:rsidRPr="00183CAE">
        <w:rPr>
          <w:rFonts w:ascii="Arial" w:hAnsi="Arial" w:cs="Arial"/>
          <w:szCs w:val="24"/>
        </w:rPr>
        <w:t>18(4), 272-278.</w:t>
      </w:r>
    </w:p>
    <w:p w14:paraId="1B174732" w14:textId="77777777" w:rsidR="00587959" w:rsidRPr="00183CAE" w:rsidRDefault="00587959" w:rsidP="00587959">
      <w:pPr>
        <w:ind w:left="432" w:hanging="432"/>
        <w:jc w:val="both"/>
        <w:rPr>
          <w:rFonts w:ascii="Arial" w:hAnsi="Arial" w:cs="Arial"/>
          <w:szCs w:val="24"/>
        </w:rPr>
      </w:pPr>
      <w:proofErr w:type="spellStart"/>
      <w:r w:rsidRPr="00183CAE">
        <w:rPr>
          <w:rFonts w:ascii="Arial" w:hAnsi="Arial" w:cs="Arial"/>
          <w:szCs w:val="24"/>
        </w:rPr>
        <w:t>Anuforo</w:t>
      </w:r>
      <w:proofErr w:type="spellEnd"/>
      <w:r w:rsidRPr="00183CAE">
        <w:rPr>
          <w:rFonts w:ascii="Arial" w:hAnsi="Arial" w:cs="Arial"/>
          <w:szCs w:val="24"/>
        </w:rPr>
        <w:t xml:space="preserve">, H.U., </w:t>
      </w:r>
      <w:proofErr w:type="spellStart"/>
      <w:r w:rsidRPr="00183CAE">
        <w:rPr>
          <w:rFonts w:ascii="Arial" w:hAnsi="Arial" w:cs="Arial"/>
          <w:szCs w:val="24"/>
        </w:rPr>
        <w:t>Ogbulie</w:t>
      </w:r>
      <w:proofErr w:type="spellEnd"/>
      <w:r w:rsidRPr="00183CAE">
        <w:rPr>
          <w:rFonts w:ascii="Arial" w:hAnsi="Arial" w:cs="Arial"/>
          <w:szCs w:val="24"/>
        </w:rPr>
        <w:t xml:space="preserve">, T.E., </w:t>
      </w:r>
      <w:proofErr w:type="spellStart"/>
      <w:r w:rsidRPr="00183CAE">
        <w:rPr>
          <w:rFonts w:ascii="Arial" w:hAnsi="Arial" w:cs="Arial"/>
          <w:szCs w:val="24"/>
        </w:rPr>
        <w:t>Elumezie</w:t>
      </w:r>
      <w:proofErr w:type="spellEnd"/>
      <w:r w:rsidRPr="00183CAE">
        <w:rPr>
          <w:rFonts w:ascii="Arial" w:hAnsi="Arial" w:cs="Arial"/>
          <w:szCs w:val="24"/>
        </w:rPr>
        <w:t xml:space="preserve">, A.O. &amp; Nwachukwu, A.A. (2020a). Impact of heavy metals on safety of cattle meat sold in Owerri Metropolis, Imo State, Nigeria. </w:t>
      </w:r>
      <w:r w:rsidRPr="00183CAE">
        <w:rPr>
          <w:rFonts w:ascii="Arial" w:hAnsi="Arial" w:cs="Arial"/>
          <w:i/>
          <w:szCs w:val="24"/>
        </w:rPr>
        <w:t>Environmental Engineering and Management Journal,</w:t>
      </w:r>
      <w:r w:rsidRPr="00183CAE">
        <w:rPr>
          <w:rFonts w:ascii="Arial" w:hAnsi="Arial" w:cs="Arial"/>
          <w:szCs w:val="24"/>
        </w:rPr>
        <w:t xml:space="preserve"> 19(11), 2013-2019.</w:t>
      </w:r>
    </w:p>
    <w:p w14:paraId="6712F7D8" w14:textId="77777777" w:rsidR="00587959" w:rsidRPr="00183CAE" w:rsidRDefault="00587959" w:rsidP="00587959">
      <w:pPr>
        <w:ind w:left="432" w:hanging="432"/>
        <w:jc w:val="both"/>
        <w:rPr>
          <w:rFonts w:ascii="Arial" w:hAnsi="Arial" w:cs="Arial"/>
          <w:szCs w:val="24"/>
        </w:rPr>
      </w:pPr>
      <w:proofErr w:type="spellStart"/>
      <w:r w:rsidRPr="00183CAE">
        <w:rPr>
          <w:rFonts w:ascii="Arial" w:hAnsi="Arial" w:cs="Arial"/>
          <w:szCs w:val="24"/>
        </w:rPr>
        <w:t>Anuforo</w:t>
      </w:r>
      <w:proofErr w:type="spellEnd"/>
      <w:r w:rsidRPr="00183CAE">
        <w:rPr>
          <w:rFonts w:ascii="Arial" w:hAnsi="Arial" w:cs="Arial"/>
          <w:szCs w:val="24"/>
        </w:rPr>
        <w:t xml:space="preserve">, H.U., </w:t>
      </w:r>
      <w:proofErr w:type="spellStart"/>
      <w:r w:rsidRPr="00183CAE">
        <w:rPr>
          <w:rFonts w:ascii="Arial" w:hAnsi="Arial" w:cs="Arial"/>
          <w:szCs w:val="24"/>
        </w:rPr>
        <w:t>Akujobi</w:t>
      </w:r>
      <w:proofErr w:type="spellEnd"/>
      <w:r w:rsidRPr="00183CAE">
        <w:rPr>
          <w:rFonts w:ascii="Arial" w:hAnsi="Arial" w:cs="Arial"/>
          <w:szCs w:val="24"/>
        </w:rPr>
        <w:t xml:space="preserve">, C.O., Umeh, P.K. &amp; </w:t>
      </w:r>
      <w:proofErr w:type="spellStart"/>
      <w:r w:rsidRPr="00183CAE">
        <w:rPr>
          <w:rFonts w:ascii="Arial" w:hAnsi="Arial" w:cs="Arial"/>
          <w:szCs w:val="24"/>
        </w:rPr>
        <w:t>Ejimadu</w:t>
      </w:r>
      <w:proofErr w:type="spellEnd"/>
      <w:r w:rsidRPr="00183CAE">
        <w:rPr>
          <w:rFonts w:ascii="Arial" w:hAnsi="Arial" w:cs="Arial"/>
          <w:szCs w:val="24"/>
        </w:rPr>
        <w:t xml:space="preserve">, P.I. (2020b). Pattern of distribution and concentration of selected heavy metals in farmlands near roadsides in Owerri, Nigeria. </w:t>
      </w:r>
      <w:proofErr w:type="spellStart"/>
      <w:r w:rsidRPr="00183CAE">
        <w:rPr>
          <w:rFonts w:ascii="Arial" w:hAnsi="Arial" w:cs="Arial"/>
          <w:i/>
          <w:szCs w:val="24"/>
        </w:rPr>
        <w:t>Analele</w:t>
      </w:r>
      <w:proofErr w:type="spellEnd"/>
      <w:r w:rsidRPr="00183CAE">
        <w:rPr>
          <w:rFonts w:ascii="Arial" w:hAnsi="Arial" w:cs="Arial"/>
          <w:i/>
          <w:szCs w:val="24"/>
        </w:rPr>
        <w:t xml:space="preserve"> </w:t>
      </w:r>
      <w:proofErr w:type="spellStart"/>
      <w:r w:rsidRPr="00183CAE">
        <w:rPr>
          <w:rFonts w:ascii="Arial" w:hAnsi="Arial" w:cs="Arial"/>
          <w:i/>
          <w:szCs w:val="24"/>
        </w:rPr>
        <w:t>Universităţii</w:t>
      </w:r>
      <w:proofErr w:type="spellEnd"/>
      <w:r w:rsidRPr="00183CAE">
        <w:rPr>
          <w:rFonts w:ascii="Arial" w:hAnsi="Arial" w:cs="Arial"/>
          <w:i/>
          <w:szCs w:val="24"/>
        </w:rPr>
        <w:t xml:space="preserve"> din Oradea, </w:t>
      </w:r>
      <w:proofErr w:type="spellStart"/>
      <w:r w:rsidRPr="00183CAE">
        <w:rPr>
          <w:rFonts w:ascii="Arial" w:hAnsi="Arial" w:cs="Arial"/>
          <w:i/>
          <w:szCs w:val="24"/>
        </w:rPr>
        <w:t>Fascicula</w:t>
      </w:r>
      <w:proofErr w:type="spellEnd"/>
      <w:r w:rsidRPr="00183CAE">
        <w:rPr>
          <w:rFonts w:ascii="Arial" w:hAnsi="Arial" w:cs="Arial"/>
          <w:i/>
          <w:szCs w:val="24"/>
        </w:rPr>
        <w:t xml:space="preserve"> </w:t>
      </w:r>
      <w:proofErr w:type="spellStart"/>
      <w:r w:rsidRPr="00183CAE">
        <w:rPr>
          <w:rFonts w:ascii="Arial" w:hAnsi="Arial" w:cs="Arial"/>
          <w:i/>
          <w:szCs w:val="24"/>
        </w:rPr>
        <w:t>Biologie</w:t>
      </w:r>
      <w:proofErr w:type="spellEnd"/>
      <w:r w:rsidRPr="00183CAE">
        <w:rPr>
          <w:rFonts w:ascii="Arial" w:hAnsi="Arial" w:cs="Arial"/>
          <w:i/>
          <w:szCs w:val="24"/>
        </w:rPr>
        <w:t>,</w:t>
      </w:r>
      <w:r w:rsidRPr="00183CAE">
        <w:rPr>
          <w:rFonts w:ascii="Arial" w:hAnsi="Arial" w:cs="Arial"/>
          <w:szCs w:val="24"/>
        </w:rPr>
        <w:t xml:space="preserve"> 27(1), 32-38.</w:t>
      </w:r>
    </w:p>
    <w:p w14:paraId="5DBB1087"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Ashraf, S., Ahmad, S.R., Ali, Q., Ashraf, S., Majid, M. &amp; Zahir, Z.A. (2022). Acidified cow dung-assisted phytoextraction of heavy metals by ryegrass from contaminated soil as an eco-efficient technique. </w:t>
      </w:r>
      <w:r w:rsidRPr="00183CAE">
        <w:rPr>
          <w:rFonts w:ascii="Arial" w:hAnsi="Arial" w:cs="Arial"/>
          <w:i/>
          <w:szCs w:val="24"/>
        </w:rPr>
        <w:t>Sustainability,</w:t>
      </w:r>
      <w:r w:rsidRPr="00183CAE">
        <w:rPr>
          <w:rFonts w:ascii="Arial" w:hAnsi="Arial" w:cs="Arial"/>
          <w:szCs w:val="24"/>
        </w:rPr>
        <w:t xml:space="preserve"> 14(15879), 1-17. </w:t>
      </w:r>
      <w:hyperlink r:id="rId18" w:history="1">
        <w:r w:rsidRPr="00183CAE">
          <w:rPr>
            <w:rStyle w:val="Hyperlink"/>
            <w:rFonts w:ascii="Arial" w:hAnsi="Arial" w:cs="Arial"/>
            <w:szCs w:val="24"/>
          </w:rPr>
          <w:t>https://doi.org/10.3390/su142315879</w:t>
        </w:r>
      </w:hyperlink>
    </w:p>
    <w:p w14:paraId="6C75FCEE"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Bashir, M.A., Naveed, M., Ahmad, Z., Gao, B., Mustafa, A. &amp; Núñez-Delgado, A. (2020). Combined application of biochar and sulfur regulated growth, physiological, antioxidant responses and Cr removal capacity of maize </w:t>
      </w:r>
      <w:r w:rsidRPr="00183CAE">
        <w:rPr>
          <w:rFonts w:ascii="Arial" w:hAnsi="Arial" w:cs="Arial"/>
          <w:i/>
          <w:szCs w:val="24"/>
        </w:rPr>
        <w:t>(Zea mays</w:t>
      </w:r>
      <w:r w:rsidRPr="00183CAE">
        <w:rPr>
          <w:rFonts w:ascii="Arial" w:hAnsi="Arial" w:cs="Arial"/>
          <w:szCs w:val="24"/>
        </w:rPr>
        <w:t xml:space="preserve"> L</w:t>
      </w:r>
      <w:r w:rsidRPr="00183CAE">
        <w:rPr>
          <w:rFonts w:ascii="Arial" w:hAnsi="Arial" w:cs="Arial"/>
          <w:i/>
          <w:szCs w:val="24"/>
        </w:rPr>
        <w:t xml:space="preserve">.) </w:t>
      </w:r>
      <w:r w:rsidRPr="00183CAE">
        <w:rPr>
          <w:rFonts w:ascii="Arial" w:hAnsi="Arial" w:cs="Arial"/>
          <w:szCs w:val="24"/>
        </w:rPr>
        <w:t xml:space="preserve">in tannery polluted soils. </w:t>
      </w:r>
      <w:r w:rsidRPr="00183CAE">
        <w:rPr>
          <w:rFonts w:ascii="Arial" w:hAnsi="Arial" w:cs="Arial"/>
          <w:i/>
          <w:szCs w:val="24"/>
        </w:rPr>
        <w:t>Journal of Environmental. Management,</w:t>
      </w:r>
      <w:r w:rsidRPr="00183CAE">
        <w:rPr>
          <w:rFonts w:ascii="Arial" w:hAnsi="Arial" w:cs="Arial"/>
          <w:szCs w:val="24"/>
        </w:rPr>
        <w:t xml:space="preserve"> 259, 110051. </w:t>
      </w:r>
      <w:hyperlink r:id="rId19" w:history="1">
        <w:r w:rsidRPr="00183CAE">
          <w:rPr>
            <w:rStyle w:val="Hyperlink"/>
            <w:rFonts w:ascii="Arial" w:hAnsi="Arial" w:cs="Arial"/>
            <w:szCs w:val="24"/>
          </w:rPr>
          <w:t>https://doi.org/10.1016/j.jenvman.2019.110051</w:t>
        </w:r>
      </w:hyperlink>
    </w:p>
    <w:p w14:paraId="05753A44"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Devi, R., Kaur, T., Kour, D., </w:t>
      </w:r>
      <w:proofErr w:type="spellStart"/>
      <w:r w:rsidRPr="00183CAE">
        <w:rPr>
          <w:rFonts w:ascii="Arial" w:hAnsi="Arial" w:cs="Arial"/>
          <w:szCs w:val="24"/>
        </w:rPr>
        <w:t>Hricovec</w:t>
      </w:r>
      <w:proofErr w:type="spellEnd"/>
      <w:r w:rsidRPr="00183CAE">
        <w:rPr>
          <w:rFonts w:ascii="Arial" w:hAnsi="Arial" w:cs="Arial"/>
          <w:szCs w:val="24"/>
        </w:rPr>
        <w:t xml:space="preserve">, M., Mohan, R., Yadav, N., Rai, P.K., Rai, A.K., Yadav, A., Kumar, M. &amp; Yadav, A.N. (2022). Microbes-mediated alleviation of heavy metal stress in crops: Current research and future challenges. </w:t>
      </w:r>
      <w:r w:rsidRPr="00183CAE">
        <w:rPr>
          <w:rFonts w:ascii="Arial" w:hAnsi="Arial" w:cs="Arial"/>
          <w:i/>
          <w:szCs w:val="24"/>
        </w:rPr>
        <w:t xml:space="preserve">Journal of Applied Biology &amp; Biotechnology, </w:t>
      </w:r>
      <w:r w:rsidRPr="00183CAE">
        <w:rPr>
          <w:rFonts w:ascii="Arial" w:hAnsi="Arial" w:cs="Arial"/>
          <w:szCs w:val="24"/>
        </w:rPr>
        <w:t xml:space="preserve">10(2), 25-37. </w:t>
      </w:r>
      <w:hyperlink r:id="rId20" w:history="1">
        <w:r w:rsidRPr="00183CAE">
          <w:rPr>
            <w:rStyle w:val="Hyperlink"/>
            <w:rFonts w:ascii="Arial" w:hAnsi="Arial" w:cs="Arial"/>
            <w:szCs w:val="24"/>
          </w:rPr>
          <w:t>https://doi.org/10.7324/JABB.2022.10s203</w:t>
        </w:r>
      </w:hyperlink>
    </w:p>
    <w:p w14:paraId="7D48E34B" w14:textId="77777777" w:rsidR="00DE13D1" w:rsidRDefault="00587959" w:rsidP="00DE13D1">
      <w:pPr>
        <w:ind w:left="432" w:hanging="432"/>
        <w:jc w:val="both"/>
        <w:rPr>
          <w:rFonts w:ascii="Arial" w:hAnsi="Arial" w:cs="Arial"/>
          <w:szCs w:val="24"/>
        </w:rPr>
      </w:pPr>
      <w:r w:rsidRPr="00183CAE">
        <w:rPr>
          <w:rFonts w:ascii="Arial" w:hAnsi="Arial" w:cs="Arial"/>
          <w:szCs w:val="24"/>
        </w:rPr>
        <w:t xml:space="preserve">Ezenwa, C.A., Chinweuba, A.J., Onuorah, C.C. &amp; Linus-Chibueze, A. (2022). Application of agro-waste in bioremediation of crude oil polluted soil from Agip oil spill sites at </w:t>
      </w:r>
      <w:proofErr w:type="spellStart"/>
      <w:r w:rsidRPr="00183CAE">
        <w:rPr>
          <w:rFonts w:ascii="Arial" w:hAnsi="Arial" w:cs="Arial"/>
          <w:szCs w:val="24"/>
        </w:rPr>
        <w:t>Abecheke</w:t>
      </w:r>
      <w:proofErr w:type="spellEnd"/>
      <w:r w:rsidRPr="00183CAE">
        <w:rPr>
          <w:rFonts w:ascii="Arial" w:hAnsi="Arial" w:cs="Arial"/>
          <w:szCs w:val="24"/>
        </w:rPr>
        <w:t xml:space="preserve"> </w:t>
      </w:r>
      <w:proofErr w:type="spellStart"/>
      <w:r w:rsidRPr="00183CAE">
        <w:rPr>
          <w:rFonts w:ascii="Arial" w:hAnsi="Arial" w:cs="Arial"/>
          <w:szCs w:val="24"/>
        </w:rPr>
        <w:t>Ohaji-Egbema</w:t>
      </w:r>
      <w:proofErr w:type="spellEnd"/>
      <w:r w:rsidRPr="00183CAE">
        <w:rPr>
          <w:rFonts w:ascii="Arial" w:hAnsi="Arial" w:cs="Arial"/>
          <w:szCs w:val="24"/>
        </w:rPr>
        <w:t xml:space="preserve"> Local Government Area of Imo State. </w:t>
      </w:r>
      <w:proofErr w:type="spellStart"/>
      <w:r w:rsidRPr="00183CAE">
        <w:rPr>
          <w:rFonts w:ascii="Arial" w:hAnsi="Arial" w:cs="Arial"/>
          <w:i/>
          <w:szCs w:val="24"/>
        </w:rPr>
        <w:t>Medicon</w:t>
      </w:r>
      <w:proofErr w:type="spellEnd"/>
      <w:r w:rsidRPr="00183CAE">
        <w:rPr>
          <w:rFonts w:ascii="Arial" w:hAnsi="Arial" w:cs="Arial"/>
          <w:i/>
          <w:szCs w:val="24"/>
        </w:rPr>
        <w:t xml:space="preserve"> Agriculture &amp; Environmental Sciences,</w:t>
      </w:r>
      <w:r w:rsidRPr="00183CAE">
        <w:rPr>
          <w:rFonts w:ascii="Arial" w:hAnsi="Arial" w:cs="Arial"/>
          <w:szCs w:val="24"/>
        </w:rPr>
        <w:t xml:space="preserve"> 2(5), 13-21.</w:t>
      </w:r>
    </w:p>
    <w:p w14:paraId="7044B4F8" w14:textId="77777777" w:rsidR="00DE13D1" w:rsidRDefault="00DE13D1" w:rsidP="00DE13D1">
      <w:pPr>
        <w:ind w:left="432" w:hanging="432"/>
        <w:jc w:val="both"/>
        <w:rPr>
          <w:rFonts w:ascii="Arial" w:hAnsi="Arial" w:cs="Arial"/>
          <w:szCs w:val="24"/>
        </w:rPr>
      </w:pPr>
      <w:proofErr w:type="spellStart"/>
      <w:r w:rsidRPr="00984CB3">
        <w:rPr>
          <w:rFonts w:ascii="Arial" w:hAnsi="Arial" w:cs="Arial"/>
          <w:szCs w:val="24"/>
        </w:rPr>
        <w:t>Fasani</w:t>
      </w:r>
      <w:proofErr w:type="spellEnd"/>
      <w:r w:rsidRPr="00984CB3">
        <w:rPr>
          <w:rFonts w:ascii="Arial" w:hAnsi="Arial" w:cs="Arial"/>
          <w:szCs w:val="24"/>
        </w:rPr>
        <w:t xml:space="preserve">, E., Manara, A., Martini, F., Furini, A., &amp; </w:t>
      </w:r>
      <w:proofErr w:type="spellStart"/>
      <w:r w:rsidRPr="00984CB3">
        <w:rPr>
          <w:rFonts w:ascii="Arial" w:hAnsi="Arial" w:cs="Arial"/>
          <w:szCs w:val="24"/>
        </w:rPr>
        <w:t>DalCorso</w:t>
      </w:r>
      <w:proofErr w:type="spellEnd"/>
      <w:r w:rsidRPr="00984CB3">
        <w:rPr>
          <w:rFonts w:ascii="Arial" w:hAnsi="Arial" w:cs="Arial"/>
          <w:szCs w:val="24"/>
        </w:rPr>
        <w:t xml:space="preserve">, G. (2018). The potential of genetic engineering of plants for the remediation of soils contaminated with heavy metals. </w:t>
      </w:r>
      <w:r w:rsidRPr="00984CB3">
        <w:rPr>
          <w:rFonts w:ascii="Arial" w:hAnsi="Arial" w:cs="Arial"/>
          <w:i/>
          <w:szCs w:val="24"/>
        </w:rPr>
        <w:t>Plant, Cell Environ.,</w:t>
      </w:r>
      <w:r w:rsidRPr="00984CB3">
        <w:rPr>
          <w:rFonts w:ascii="Arial" w:hAnsi="Arial" w:cs="Arial"/>
          <w:szCs w:val="24"/>
        </w:rPr>
        <w:t xml:space="preserve"> 41, 1201-1232.</w:t>
      </w:r>
    </w:p>
    <w:p w14:paraId="16DF90B2" w14:textId="77777777" w:rsidR="00DE13D1" w:rsidRDefault="00DE13D1" w:rsidP="00DE13D1">
      <w:pPr>
        <w:ind w:left="432" w:hanging="432"/>
        <w:jc w:val="both"/>
        <w:rPr>
          <w:rFonts w:ascii="Arial" w:hAnsi="Arial" w:cs="Arial"/>
          <w:szCs w:val="24"/>
        </w:rPr>
      </w:pPr>
      <w:r w:rsidRPr="00984CB3">
        <w:rPr>
          <w:rFonts w:ascii="Arial" w:hAnsi="Arial" w:cs="Arial"/>
          <w:szCs w:val="24"/>
        </w:rPr>
        <w:t xml:space="preserve">Hejna, M., Onelli, E., Moscatelli, A., Bellotto, M., Cristiani, C., </w:t>
      </w:r>
      <w:proofErr w:type="spellStart"/>
      <w:r w:rsidRPr="00984CB3">
        <w:rPr>
          <w:rFonts w:ascii="Arial" w:hAnsi="Arial" w:cs="Arial"/>
          <w:szCs w:val="24"/>
        </w:rPr>
        <w:t>Stroppa</w:t>
      </w:r>
      <w:proofErr w:type="spellEnd"/>
      <w:r w:rsidRPr="00984CB3">
        <w:rPr>
          <w:rFonts w:ascii="Arial" w:hAnsi="Arial" w:cs="Arial"/>
          <w:szCs w:val="24"/>
        </w:rPr>
        <w:t xml:space="preserve">, N., &amp; Rossi, L. (2021). Heavy-metal phytoremediation from livestock wastewater and exploitation of exhausted biomass. </w:t>
      </w:r>
      <w:r w:rsidRPr="00984CB3">
        <w:rPr>
          <w:rFonts w:ascii="Arial" w:hAnsi="Arial" w:cs="Arial"/>
          <w:i/>
          <w:szCs w:val="24"/>
        </w:rPr>
        <w:t>Int. J. Environ. Res. Public Health,</w:t>
      </w:r>
      <w:r w:rsidRPr="00984CB3">
        <w:rPr>
          <w:rFonts w:ascii="Arial" w:hAnsi="Arial" w:cs="Arial"/>
          <w:szCs w:val="24"/>
        </w:rPr>
        <w:t xml:space="preserve"> 18, 2239. </w:t>
      </w:r>
      <w:hyperlink r:id="rId21" w:history="1">
        <w:r w:rsidRPr="00984CB3">
          <w:rPr>
            <w:rStyle w:val="Hyperlink"/>
            <w:rFonts w:ascii="Arial" w:hAnsi="Arial" w:cs="Arial"/>
            <w:szCs w:val="24"/>
          </w:rPr>
          <w:t>https://doi.org/10.3390/ijerph18052239</w:t>
        </w:r>
      </w:hyperlink>
    </w:p>
    <w:p w14:paraId="19BEC738"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Jacob, J.N., </w:t>
      </w:r>
      <w:proofErr w:type="spellStart"/>
      <w:r w:rsidRPr="00183CAE">
        <w:rPr>
          <w:rFonts w:ascii="Arial" w:hAnsi="Arial" w:cs="Arial"/>
          <w:szCs w:val="24"/>
        </w:rPr>
        <w:t>Okuo</w:t>
      </w:r>
      <w:proofErr w:type="spellEnd"/>
      <w:r w:rsidRPr="00183CAE">
        <w:rPr>
          <w:rFonts w:ascii="Arial" w:hAnsi="Arial" w:cs="Arial"/>
          <w:szCs w:val="24"/>
        </w:rPr>
        <w:t xml:space="preserve">, J.M., </w:t>
      </w:r>
      <w:proofErr w:type="spellStart"/>
      <w:r w:rsidRPr="00183CAE">
        <w:rPr>
          <w:rFonts w:ascii="Arial" w:hAnsi="Arial" w:cs="Arial"/>
          <w:szCs w:val="24"/>
        </w:rPr>
        <w:t>Archibong</w:t>
      </w:r>
      <w:proofErr w:type="spellEnd"/>
      <w:r w:rsidRPr="00183CAE">
        <w:rPr>
          <w:rFonts w:ascii="Arial" w:hAnsi="Arial" w:cs="Arial"/>
          <w:szCs w:val="24"/>
        </w:rPr>
        <w:t xml:space="preserve">, U.D., </w:t>
      </w:r>
      <w:proofErr w:type="spellStart"/>
      <w:r w:rsidRPr="00183CAE">
        <w:rPr>
          <w:rFonts w:ascii="Arial" w:hAnsi="Arial" w:cs="Arial"/>
          <w:szCs w:val="24"/>
        </w:rPr>
        <w:t>Imafidon</w:t>
      </w:r>
      <w:proofErr w:type="spellEnd"/>
      <w:r w:rsidRPr="00183CAE">
        <w:rPr>
          <w:rFonts w:ascii="Arial" w:hAnsi="Arial" w:cs="Arial"/>
          <w:szCs w:val="24"/>
        </w:rPr>
        <w:t xml:space="preserve">, M.I., </w:t>
      </w:r>
      <w:proofErr w:type="spellStart"/>
      <w:r w:rsidRPr="00183CAE">
        <w:rPr>
          <w:rFonts w:ascii="Arial" w:hAnsi="Arial" w:cs="Arial"/>
          <w:szCs w:val="24"/>
        </w:rPr>
        <w:t>Emeribe</w:t>
      </w:r>
      <w:proofErr w:type="spellEnd"/>
      <w:r w:rsidRPr="00183CAE">
        <w:rPr>
          <w:rFonts w:ascii="Arial" w:hAnsi="Arial" w:cs="Arial"/>
          <w:szCs w:val="24"/>
        </w:rPr>
        <w:t xml:space="preserve">, O.F. &amp; </w:t>
      </w:r>
      <w:proofErr w:type="spellStart"/>
      <w:r w:rsidRPr="00183CAE">
        <w:rPr>
          <w:rFonts w:ascii="Arial" w:hAnsi="Arial" w:cs="Arial"/>
          <w:szCs w:val="24"/>
        </w:rPr>
        <w:t>Anegbe</w:t>
      </w:r>
      <w:proofErr w:type="spellEnd"/>
      <w:r w:rsidRPr="00183CAE">
        <w:rPr>
          <w:rFonts w:ascii="Arial" w:hAnsi="Arial" w:cs="Arial"/>
          <w:szCs w:val="24"/>
        </w:rPr>
        <w:t xml:space="preserve">, B. (2022). Comparative studies on the effects of biochar and cow dung amendments on the mobility, bioavailability and toxicity of heavy metals in lead-acid contaminated soil. </w:t>
      </w:r>
      <w:proofErr w:type="spellStart"/>
      <w:r w:rsidRPr="00183CAE">
        <w:rPr>
          <w:rFonts w:ascii="Arial" w:hAnsi="Arial" w:cs="Arial"/>
          <w:i/>
          <w:szCs w:val="24"/>
        </w:rPr>
        <w:t>Dutse</w:t>
      </w:r>
      <w:proofErr w:type="spellEnd"/>
      <w:r w:rsidRPr="00183CAE">
        <w:rPr>
          <w:rFonts w:ascii="Arial" w:hAnsi="Arial" w:cs="Arial"/>
          <w:i/>
          <w:szCs w:val="24"/>
        </w:rPr>
        <w:t xml:space="preserve"> Journal of Pure Applied Science,</w:t>
      </w:r>
      <w:r w:rsidRPr="00183CAE">
        <w:rPr>
          <w:rFonts w:ascii="Arial" w:hAnsi="Arial" w:cs="Arial"/>
          <w:szCs w:val="24"/>
        </w:rPr>
        <w:t xml:space="preserve"> 8, 171-186. </w:t>
      </w:r>
      <w:hyperlink r:id="rId22" w:history="1">
        <w:r w:rsidRPr="00183CAE">
          <w:rPr>
            <w:rStyle w:val="Hyperlink"/>
            <w:rFonts w:ascii="Arial" w:hAnsi="Arial" w:cs="Arial"/>
            <w:szCs w:val="24"/>
          </w:rPr>
          <w:t>https://doi.org/10.4314/dujopas.v8i2a.17</w:t>
        </w:r>
      </w:hyperlink>
    </w:p>
    <w:p w14:paraId="46ED7EEB" w14:textId="77777777" w:rsidR="00587959" w:rsidRPr="00183CAE" w:rsidRDefault="00587959" w:rsidP="00587959">
      <w:pPr>
        <w:ind w:left="432" w:hanging="432"/>
        <w:jc w:val="both"/>
        <w:rPr>
          <w:rFonts w:ascii="Arial" w:hAnsi="Arial" w:cs="Arial"/>
          <w:szCs w:val="24"/>
        </w:rPr>
      </w:pPr>
      <w:proofErr w:type="spellStart"/>
      <w:r w:rsidRPr="00183CAE">
        <w:rPr>
          <w:rFonts w:ascii="Arial" w:hAnsi="Arial" w:cs="Arial"/>
          <w:szCs w:val="24"/>
        </w:rPr>
        <w:t>Korie</w:t>
      </w:r>
      <w:proofErr w:type="spellEnd"/>
      <w:r w:rsidRPr="00183CAE">
        <w:rPr>
          <w:rFonts w:ascii="Arial" w:hAnsi="Arial" w:cs="Arial"/>
          <w:szCs w:val="24"/>
        </w:rPr>
        <w:t xml:space="preserve">, M.C., </w:t>
      </w:r>
      <w:proofErr w:type="spellStart"/>
      <w:r w:rsidRPr="00183CAE">
        <w:rPr>
          <w:rFonts w:ascii="Arial" w:hAnsi="Arial" w:cs="Arial"/>
          <w:szCs w:val="24"/>
        </w:rPr>
        <w:t>Osuala</w:t>
      </w:r>
      <w:proofErr w:type="spellEnd"/>
      <w:r w:rsidRPr="00183CAE">
        <w:rPr>
          <w:rFonts w:ascii="Arial" w:hAnsi="Arial" w:cs="Arial"/>
          <w:szCs w:val="24"/>
        </w:rPr>
        <w:t xml:space="preserve">, F.O.U., </w:t>
      </w:r>
      <w:proofErr w:type="spellStart"/>
      <w:r w:rsidRPr="00183CAE">
        <w:rPr>
          <w:rFonts w:ascii="Arial" w:hAnsi="Arial" w:cs="Arial"/>
          <w:szCs w:val="24"/>
        </w:rPr>
        <w:t>Ogbulie</w:t>
      </w:r>
      <w:proofErr w:type="spellEnd"/>
      <w:r w:rsidRPr="00183CAE">
        <w:rPr>
          <w:rFonts w:ascii="Arial" w:hAnsi="Arial" w:cs="Arial"/>
          <w:szCs w:val="24"/>
        </w:rPr>
        <w:t xml:space="preserve">, J.N., Okereke, J.N., </w:t>
      </w:r>
      <w:proofErr w:type="spellStart"/>
      <w:r w:rsidRPr="00183CAE">
        <w:rPr>
          <w:rFonts w:ascii="Arial" w:hAnsi="Arial" w:cs="Arial"/>
          <w:szCs w:val="24"/>
        </w:rPr>
        <w:t>Anyadoh</w:t>
      </w:r>
      <w:proofErr w:type="spellEnd"/>
      <w:r w:rsidRPr="00183CAE">
        <w:rPr>
          <w:rFonts w:ascii="Arial" w:hAnsi="Arial" w:cs="Arial"/>
          <w:szCs w:val="24"/>
        </w:rPr>
        <w:t xml:space="preserve">-Nwadike, S.O., </w:t>
      </w:r>
      <w:proofErr w:type="spellStart"/>
      <w:r w:rsidRPr="00183CAE">
        <w:rPr>
          <w:rFonts w:ascii="Arial" w:hAnsi="Arial" w:cs="Arial"/>
          <w:szCs w:val="24"/>
        </w:rPr>
        <w:t>Ibe</w:t>
      </w:r>
      <w:proofErr w:type="spellEnd"/>
      <w:r w:rsidRPr="00183CAE">
        <w:rPr>
          <w:rFonts w:ascii="Arial" w:hAnsi="Arial" w:cs="Arial"/>
          <w:szCs w:val="24"/>
        </w:rPr>
        <w:t xml:space="preserve">, C.C. &amp; Nwachukwu, M.E. (2024a). Evaluation of effects of animal dung composites and Bacillus </w:t>
      </w:r>
      <w:proofErr w:type="spellStart"/>
      <w:r w:rsidRPr="00183CAE">
        <w:rPr>
          <w:rFonts w:ascii="Arial" w:hAnsi="Arial" w:cs="Arial"/>
          <w:szCs w:val="24"/>
        </w:rPr>
        <w:t>sp</w:t>
      </w:r>
      <w:proofErr w:type="spellEnd"/>
      <w:r w:rsidRPr="00183CAE">
        <w:rPr>
          <w:rFonts w:ascii="Arial" w:hAnsi="Arial" w:cs="Arial"/>
          <w:szCs w:val="24"/>
        </w:rPr>
        <w:t xml:space="preserve"> in amended bioremediation of Zn-polluted soil on maize seedlings growth. </w:t>
      </w:r>
      <w:r w:rsidRPr="00183CAE">
        <w:rPr>
          <w:rFonts w:ascii="Arial" w:hAnsi="Arial" w:cs="Arial"/>
          <w:i/>
          <w:szCs w:val="24"/>
        </w:rPr>
        <w:t>World Journal of Advanced Research and Reviews,</w:t>
      </w:r>
      <w:r w:rsidRPr="00183CAE">
        <w:rPr>
          <w:rFonts w:ascii="Arial" w:hAnsi="Arial" w:cs="Arial"/>
          <w:szCs w:val="24"/>
        </w:rPr>
        <w:t xml:space="preserve"> 22(01), 991–1004. </w:t>
      </w:r>
      <w:hyperlink r:id="rId23" w:history="1">
        <w:r w:rsidRPr="00183CAE">
          <w:rPr>
            <w:rStyle w:val="Hyperlink"/>
            <w:rFonts w:ascii="Arial" w:hAnsi="Arial" w:cs="Arial"/>
            <w:szCs w:val="24"/>
          </w:rPr>
          <w:t>https://doi.org/10.30574/wjarr.2024.22.1.1152</w:t>
        </w:r>
      </w:hyperlink>
    </w:p>
    <w:p w14:paraId="202AD377" w14:textId="77777777" w:rsidR="00587959" w:rsidRPr="00183CAE" w:rsidRDefault="00587959" w:rsidP="00587959">
      <w:pPr>
        <w:ind w:left="432" w:hanging="432"/>
        <w:jc w:val="both"/>
        <w:rPr>
          <w:rStyle w:val="Hyperlink"/>
          <w:rFonts w:ascii="Arial" w:hAnsi="Arial" w:cs="Arial"/>
          <w:szCs w:val="24"/>
        </w:rPr>
      </w:pPr>
      <w:proofErr w:type="spellStart"/>
      <w:r w:rsidRPr="00183CAE">
        <w:rPr>
          <w:rFonts w:ascii="Arial" w:hAnsi="Arial" w:cs="Arial"/>
          <w:szCs w:val="24"/>
        </w:rPr>
        <w:t>Korie</w:t>
      </w:r>
      <w:proofErr w:type="spellEnd"/>
      <w:r w:rsidRPr="00183CAE">
        <w:rPr>
          <w:rFonts w:ascii="Arial" w:hAnsi="Arial" w:cs="Arial"/>
          <w:szCs w:val="24"/>
        </w:rPr>
        <w:t xml:space="preserve">, M.C., </w:t>
      </w:r>
      <w:proofErr w:type="spellStart"/>
      <w:r w:rsidRPr="00183CAE">
        <w:rPr>
          <w:rFonts w:ascii="Arial" w:hAnsi="Arial" w:cs="Arial"/>
          <w:szCs w:val="24"/>
        </w:rPr>
        <w:t>Osuala</w:t>
      </w:r>
      <w:proofErr w:type="spellEnd"/>
      <w:r w:rsidRPr="00183CAE">
        <w:rPr>
          <w:rFonts w:ascii="Arial" w:hAnsi="Arial" w:cs="Arial"/>
          <w:szCs w:val="24"/>
        </w:rPr>
        <w:t xml:space="preserve">, F.O.U., </w:t>
      </w:r>
      <w:proofErr w:type="spellStart"/>
      <w:r w:rsidRPr="00183CAE">
        <w:rPr>
          <w:rFonts w:ascii="Arial" w:hAnsi="Arial" w:cs="Arial"/>
          <w:szCs w:val="24"/>
        </w:rPr>
        <w:t>Ogbulie</w:t>
      </w:r>
      <w:proofErr w:type="spellEnd"/>
      <w:r w:rsidRPr="00183CAE">
        <w:rPr>
          <w:rFonts w:ascii="Arial" w:hAnsi="Arial" w:cs="Arial"/>
          <w:szCs w:val="24"/>
        </w:rPr>
        <w:t xml:space="preserve">, J.N., Okereke, J.N., </w:t>
      </w:r>
      <w:proofErr w:type="spellStart"/>
      <w:r w:rsidRPr="00183CAE">
        <w:rPr>
          <w:rFonts w:ascii="Arial" w:hAnsi="Arial" w:cs="Arial"/>
          <w:szCs w:val="24"/>
        </w:rPr>
        <w:t>Anyadoh</w:t>
      </w:r>
      <w:proofErr w:type="spellEnd"/>
      <w:r w:rsidRPr="00183CAE">
        <w:rPr>
          <w:rFonts w:ascii="Arial" w:hAnsi="Arial" w:cs="Arial"/>
          <w:szCs w:val="24"/>
        </w:rPr>
        <w:t xml:space="preserve">-Nwadike, S.O., </w:t>
      </w:r>
      <w:proofErr w:type="spellStart"/>
      <w:r w:rsidRPr="00183CAE">
        <w:rPr>
          <w:rFonts w:ascii="Arial" w:hAnsi="Arial" w:cs="Arial"/>
          <w:szCs w:val="24"/>
        </w:rPr>
        <w:t>Ibe</w:t>
      </w:r>
      <w:proofErr w:type="spellEnd"/>
      <w:r w:rsidRPr="00183CAE">
        <w:rPr>
          <w:rFonts w:ascii="Arial" w:hAnsi="Arial" w:cs="Arial"/>
          <w:szCs w:val="24"/>
        </w:rPr>
        <w:t xml:space="preserve">, C.C. &amp; Nwachukwu, M.E. (2024b). Assessment of effects of amended bioremediation of toxic metal-polluted soil using organic composites and </w:t>
      </w:r>
      <w:r w:rsidRPr="00183CAE">
        <w:rPr>
          <w:rFonts w:ascii="Arial" w:hAnsi="Arial" w:cs="Arial"/>
          <w:i/>
          <w:szCs w:val="24"/>
        </w:rPr>
        <w:t xml:space="preserve">Bacillus </w:t>
      </w:r>
      <w:proofErr w:type="spellStart"/>
      <w:r w:rsidRPr="00183CAE">
        <w:rPr>
          <w:rFonts w:ascii="Arial" w:hAnsi="Arial" w:cs="Arial"/>
          <w:szCs w:val="24"/>
        </w:rPr>
        <w:t>sp</w:t>
      </w:r>
      <w:proofErr w:type="spellEnd"/>
      <w:r w:rsidRPr="00183CAE">
        <w:rPr>
          <w:rFonts w:ascii="Arial" w:hAnsi="Arial" w:cs="Arial"/>
          <w:szCs w:val="24"/>
        </w:rPr>
        <w:t xml:space="preserve"> on plant growth parameters. </w:t>
      </w:r>
      <w:r w:rsidRPr="00183CAE">
        <w:rPr>
          <w:rFonts w:ascii="Arial" w:hAnsi="Arial" w:cs="Arial"/>
          <w:i/>
          <w:szCs w:val="24"/>
        </w:rPr>
        <w:t>Biotechnology Journal International,</w:t>
      </w:r>
      <w:r w:rsidRPr="00183CAE">
        <w:rPr>
          <w:rFonts w:ascii="Arial" w:hAnsi="Arial" w:cs="Arial"/>
          <w:szCs w:val="24"/>
        </w:rPr>
        <w:t xml:space="preserve"> 28(3), 21-38. </w:t>
      </w:r>
      <w:hyperlink r:id="rId24" w:history="1">
        <w:r w:rsidRPr="00183CAE">
          <w:rPr>
            <w:rStyle w:val="Hyperlink"/>
            <w:rFonts w:ascii="Arial" w:hAnsi="Arial" w:cs="Arial"/>
            <w:szCs w:val="24"/>
          </w:rPr>
          <w:t>https://doi.org/10.9734/BJI/2024/v28i3721</w:t>
        </w:r>
      </w:hyperlink>
    </w:p>
    <w:p w14:paraId="25FF4AC2"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Leong, Y.K. &amp; Chang, J.S. (2020). Bioremediation of heavy metals using microalgae: Recent advances and mechanisms. </w:t>
      </w:r>
      <w:r w:rsidRPr="00183CAE">
        <w:rPr>
          <w:rFonts w:ascii="Arial" w:hAnsi="Arial" w:cs="Arial"/>
          <w:i/>
          <w:szCs w:val="24"/>
        </w:rPr>
        <w:t xml:space="preserve">Bioresource Technology, </w:t>
      </w:r>
      <w:r w:rsidRPr="00183CAE">
        <w:rPr>
          <w:rFonts w:ascii="Arial" w:hAnsi="Arial" w:cs="Arial"/>
          <w:szCs w:val="24"/>
        </w:rPr>
        <w:t>303, 122886.</w:t>
      </w:r>
    </w:p>
    <w:p w14:paraId="4DE3B5BD"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lastRenderedPageBreak/>
        <w:t xml:space="preserve">Mosa, K.A., Saadoun, I., Kumar, K., Helmy, M., &amp; </w:t>
      </w:r>
      <w:proofErr w:type="spellStart"/>
      <w:r w:rsidRPr="00183CAE">
        <w:rPr>
          <w:rFonts w:ascii="Arial" w:hAnsi="Arial" w:cs="Arial"/>
          <w:szCs w:val="24"/>
        </w:rPr>
        <w:t>Dhankher</w:t>
      </w:r>
      <w:proofErr w:type="spellEnd"/>
      <w:r w:rsidRPr="00183CAE">
        <w:rPr>
          <w:rFonts w:ascii="Arial" w:hAnsi="Arial" w:cs="Arial"/>
          <w:szCs w:val="24"/>
        </w:rPr>
        <w:t xml:space="preserve">, O.P. (2016). Potential biotechnological strategies for the cleanup of heavy metals and metalloids. </w:t>
      </w:r>
      <w:r w:rsidRPr="00183CAE">
        <w:rPr>
          <w:rFonts w:ascii="Arial" w:hAnsi="Arial" w:cs="Arial"/>
          <w:i/>
          <w:szCs w:val="24"/>
        </w:rPr>
        <w:t>Frontiers in Plant Science,</w:t>
      </w:r>
      <w:r w:rsidRPr="00183CAE">
        <w:rPr>
          <w:rFonts w:ascii="Arial" w:hAnsi="Arial" w:cs="Arial"/>
          <w:szCs w:val="24"/>
        </w:rPr>
        <w:t xml:space="preserve"> 7, 303.</w:t>
      </w:r>
    </w:p>
    <w:p w14:paraId="33BFF585"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Oleńska, E., Małek, W., Wójcik, M., Szopa, S., Swiecicka, I., Aleksandrowicz, O., Włostowski, T., Zawadzka, W., </w:t>
      </w:r>
      <w:proofErr w:type="spellStart"/>
      <w:r w:rsidRPr="00183CAE">
        <w:rPr>
          <w:rFonts w:ascii="Arial" w:hAnsi="Arial" w:cs="Arial"/>
          <w:szCs w:val="24"/>
        </w:rPr>
        <w:t>Sillen</w:t>
      </w:r>
      <w:proofErr w:type="spellEnd"/>
      <w:r w:rsidRPr="00183CAE">
        <w:rPr>
          <w:rFonts w:ascii="Arial" w:hAnsi="Arial" w:cs="Arial"/>
          <w:szCs w:val="24"/>
        </w:rPr>
        <w:t xml:space="preserve">, W.M.A., </w:t>
      </w:r>
      <w:proofErr w:type="spellStart"/>
      <w:r w:rsidRPr="00183CAE">
        <w:rPr>
          <w:rFonts w:ascii="Arial" w:hAnsi="Arial" w:cs="Arial"/>
          <w:szCs w:val="24"/>
        </w:rPr>
        <w:t>Vangronsveld</w:t>
      </w:r>
      <w:proofErr w:type="spellEnd"/>
      <w:r w:rsidRPr="00183CAE">
        <w:rPr>
          <w:rFonts w:ascii="Arial" w:hAnsi="Arial" w:cs="Arial"/>
          <w:szCs w:val="24"/>
        </w:rPr>
        <w:t xml:space="preserve">, J., </w:t>
      </w:r>
      <w:proofErr w:type="spellStart"/>
      <w:r w:rsidRPr="00183CAE">
        <w:rPr>
          <w:rFonts w:ascii="Arial" w:hAnsi="Arial" w:cs="Arial"/>
          <w:szCs w:val="24"/>
        </w:rPr>
        <w:t>Cholakova</w:t>
      </w:r>
      <w:proofErr w:type="spellEnd"/>
      <w:r w:rsidRPr="00183CAE">
        <w:rPr>
          <w:rFonts w:ascii="Arial" w:hAnsi="Arial" w:cs="Arial"/>
          <w:szCs w:val="24"/>
        </w:rPr>
        <w:t>, I., Langill, T. &amp; Thijs, S. (2023). Bacteria associated with Zn</w:t>
      </w:r>
      <w:r w:rsidRPr="00183CAE">
        <w:rPr>
          <w:rFonts w:ascii="Cambria Math" w:hAnsi="Cambria Math" w:cs="Cambria Math"/>
          <w:szCs w:val="24"/>
        </w:rPr>
        <w:t>‑</w:t>
      </w:r>
      <w:r w:rsidRPr="00183CAE">
        <w:rPr>
          <w:rFonts w:ascii="Arial" w:hAnsi="Arial" w:cs="Arial"/>
          <w:szCs w:val="24"/>
        </w:rPr>
        <w:t xml:space="preserve">hyperaccumulators </w:t>
      </w:r>
      <w:r w:rsidRPr="00183CAE">
        <w:rPr>
          <w:rFonts w:ascii="Arial" w:hAnsi="Arial" w:cs="Arial"/>
          <w:i/>
          <w:szCs w:val="24"/>
        </w:rPr>
        <w:t xml:space="preserve">Arabidopsis </w:t>
      </w:r>
      <w:proofErr w:type="spellStart"/>
      <w:r w:rsidRPr="00183CAE">
        <w:rPr>
          <w:rFonts w:ascii="Arial" w:hAnsi="Arial" w:cs="Arial"/>
          <w:i/>
          <w:szCs w:val="24"/>
        </w:rPr>
        <w:t>halleri</w:t>
      </w:r>
      <w:proofErr w:type="spellEnd"/>
      <w:r w:rsidRPr="00183CAE">
        <w:rPr>
          <w:rFonts w:ascii="Arial" w:hAnsi="Arial" w:cs="Arial"/>
          <w:szCs w:val="24"/>
        </w:rPr>
        <w:t xml:space="preserve"> and </w:t>
      </w:r>
      <w:r w:rsidRPr="00183CAE">
        <w:rPr>
          <w:rFonts w:ascii="Arial" w:hAnsi="Arial" w:cs="Arial"/>
          <w:i/>
          <w:szCs w:val="24"/>
        </w:rPr>
        <w:t xml:space="preserve">Arabidopsis </w:t>
      </w:r>
      <w:proofErr w:type="spellStart"/>
      <w:r w:rsidRPr="00183CAE">
        <w:rPr>
          <w:rFonts w:ascii="Arial" w:hAnsi="Arial" w:cs="Arial"/>
          <w:i/>
          <w:szCs w:val="24"/>
        </w:rPr>
        <w:t>arenosa</w:t>
      </w:r>
      <w:proofErr w:type="spellEnd"/>
      <w:r w:rsidRPr="00183CAE">
        <w:rPr>
          <w:rFonts w:ascii="Arial" w:hAnsi="Arial" w:cs="Arial"/>
          <w:i/>
          <w:szCs w:val="24"/>
        </w:rPr>
        <w:t xml:space="preserve"> </w:t>
      </w:r>
      <w:r w:rsidRPr="00183CAE">
        <w:rPr>
          <w:rFonts w:ascii="Arial" w:hAnsi="Arial" w:cs="Arial"/>
          <w:szCs w:val="24"/>
        </w:rPr>
        <w:t xml:space="preserve">from Zn–Pb–Cd waste heaps in Poland as promising tools for bioremediation. </w:t>
      </w:r>
      <w:r w:rsidRPr="00183CAE">
        <w:rPr>
          <w:rFonts w:ascii="Arial" w:hAnsi="Arial" w:cs="Arial"/>
          <w:i/>
          <w:szCs w:val="24"/>
        </w:rPr>
        <w:t>Scientific Reports,</w:t>
      </w:r>
      <w:r w:rsidRPr="00183CAE">
        <w:rPr>
          <w:rFonts w:ascii="Arial" w:hAnsi="Arial" w:cs="Arial"/>
          <w:szCs w:val="24"/>
        </w:rPr>
        <w:t xml:space="preserve"> 13(12606), 1-17. </w:t>
      </w:r>
      <w:hyperlink r:id="rId25" w:history="1">
        <w:r w:rsidRPr="00183CAE">
          <w:rPr>
            <w:rStyle w:val="Hyperlink"/>
            <w:rFonts w:ascii="Arial" w:hAnsi="Arial" w:cs="Arial"/>
            <w:szCs w:val="24"/>
          </w:rPr>
          <w:t>https://doi.org/10.1038/s41598-023-39852-6</w:t>
        </w:r>
      </w:hyperlink>
    </w:p>
    <w:p w14:paraId="663AAB55" w14:textId="77777777" w:rsidR="00587959" w:rsidRPr="00183CAE" w:rsidRDefault="00587959" w:rsidP="00587959">
      <w:pPr>
        <w:ind w:left="432" w:hanging="432"/>
        <w:jc w:val="both"/>
        <w:rPr>
          <w:rFonts w:ascii="Arial" w:hAnsi="Arial" w:cs="Arial"/>
          <w:szCs w:val="24"/>
        </w:rPr>
      </w:pPr>
      <w:proofErr w:type="spellStart"/>
      <w:r w:rsidRPr="00183CAE">
        <w:rPr>
          <w:rFonts w:ascii="Arial" w:hAnsi="Arial" w:cs="Arial"/>
          <w:szCs w:val="24"/>
        </w:rPr>
        <w:t>Oubohssaine</w:t>
      </w:r>
      <w:proofErr w:type="spellEnd"/>
      <w:r w:rsidRPr="00183CAE">
        <w:rPr>
          <w:rFonts w:ascii="Arial" w:hAnsi="Arial" w:cs="Arial"/>
          <w:szCs w:val="24"/>
        </w:rPr>
        <w:t xml:space="preserve">, M., </w:t>
      </w:r>
      <w:proofErr w:type="spellStart"/>
      <w:r w:rsidRPr="00183CAE">
        <w:rPr>
          <w:rFonts w:ascii="Arial" w:hAnsi="Arial" w:cs="Arial"/>
          <w:szCs w:val="24"/>
        </w:rPr>
        <w:t>Sbabou</w:t>
      </w:r>
      <w:proofErr w:type="spellEnd"/>
      <w:r w:rsidRPr="00183CAE">
        <w:rPr>
          <w:rFonts w:ascii="Arial" w:hAnsi="Arial" w:cs="Arial"/>
          <w:szCs w:val="24"/>
        </w:rPr>
        <w:t xml:space="preserve">, L. &amp; </w:t>
      </w:r>
      <w:proofErr w:type="spellStart"/>
      <w:r w:rsidRPr="00183CAE">
        <w:rPr>
          <w:rFonts w:ascii="Arial" w:hAnsi="Arial" w:cs="Arial"/>
          <w:szCs w:val="24"/>
        </w:rPr>
        <w:t>Aurag</w:t>
      </w:r>
      <w:proofErr w:type="spellEnd"/>
      <w:r w:rsidRPr="00183CAE">
        <w:rPr>
          <w:rFonts w:ascii="Arial" w:hAnsi="Arial" w:cs="Arial"/>
          <w:szCs w:val="24"/>
        </w:rPr>
        <w:t xml:space="preserve">, J. (2022). Native heavy metal-tolerant plant growth promoting rhizobacteria improves </w:t>
      </w:r>
      <w:r w:rsidRPr="00183CAE">
        <w:rPr>
          <w:rFonts w:ascii="Arial" w:hAnsi="Arial" w:cs="Arial"/>
          <w:i/>
          <w:szCs w:val="24"/>
        </w:rPr>
        <w:t xml:space="preserve">Sulla </w:t>
      </w:r>
      <w:proofErr w:type="spellStart"/>
      <w:r w:rsidRPr="00183CAE">
        <w:rPr>
          <w:rFonts w:ascii="Arial" w:hAnsi="Arial" w:cs="Arial"/>
          <w:i/>
          <w:szCs w:val="24"/>
        </w:rPr>
        <w:t>spinosissima</w:t>
      </w:r>
      <w:proofErr w:type="spellEnd"/>
      <w:r w:rsidRPr="00183CAE">
        <w:rPr>
          <w:rFonts w:ascii="Arial" w:hAnsi="Arial" w:cs="Arial"/>
          <w:i/>
          <w:szCs w:val="24"/>
        </w:rPr>
        <w:t xml:space="preserve"> </w:t>
      </w:r>
      <w:r w:rsidRPr="00183CAE">
        <w:rPr>
          <w:rFonts w:ascii="Arial" w:hAnsi="Arial" w:cs="Arial"/>
          <w:szCs w:val="24"/>
        </w:rPr>
        <w:t xml:space="preserve">(L.) growth in post-mining contaminated soils. </w:t>
      </w:r>
      <w:r w:rsidRPr="00183CAE">
        <w:rPr>
          <w:rFonts w:ascii="Arial" w:hAnsi="Arial" w:cs="Arial"/>
          <w:i/>
          <w:szCs w:val="24"/>
        </w:rPr>
        <w:t xml:space="preserve">Microorganisms, </w:t>
      </w:r>
      <w:r w:rsidRPr="00183CAE">
        <w:rPr>
          <w:rFonts w:ascii="Arial" w:hAnsi="Arial" w:cs="Arial"/>
          <w:szCs w:val="24"/>
        </w:rPr>
        <w:t xml:space="preserve">10(838), 1-20. </w:t>
      </w:r>
      <w:hyperlink r:id="rId26" w:history="1">
        <w:r w:rsidRPr="00183CAE">
          <w:rPr>
            <w:rStyle w:val="Hyperlink"/>
            <w:rFonts w:ascii="Arial" w:hAnsi="Arial" w:cs="Arial"/>
            <w:szCs w:val="24"/>
          </w:rPr>
          <w:t>https://doi.org/10.3390/microorganisms10050838</w:t>
        </w:r>
      </w:hyperlink>
    </w:p>
    <w:p w14:paraId="73CBC8AC" w14:textId="77777777" w:rsidR="00587959" w:rsidRPr="00183CAE" w:rsidRDefault="00587959" w:rsidP="00587959">
      <w:pPr>
        <w:ind w:left="432" w:hanging="432"/>
        <w:jc w:val="both"/>
        <w:rPr>
          <w:rFonts w:ascii="Arial" w:hAnsi="Arial" w:cs="Arial"/>
          <w:szCs w:val="24"/>
        </w:rPr>
      </w:pPr>
      <w:proofErr w:type="spellStart"/>
      <w:r w:rsidRPr="00183CAE">
        <w:rPr>
          <w:rFonts w:ascii="Arial" w:hAnsi="Arial" w:cs="Arial"/>
          <w:szCs w:val="24"/>
        </w:rPr>
        <w:t>Riseh</w:t>
      </w:r>
      <w:proofErr w:type="spellEnd"/>
      <w:r w:rsidRPr="00183CAE">
        <w:rPr>
          <w:rFonts w:ascii="Arial" w:hAnsi="Arial" w:cs="Arial"/>
          <w:szCs w:val="24"/>
        </w:rPr>
        <w:t xml:space="preserve">, S.R., </w:t>
      </w:r>
      <w:proofErr w:type="spellStart"/>
      <w:r w:rsidRPr="00183CAE">
        <w:rPr>
          <w:rFonts w:ascii="Arial" w:hAnsi="Arial" w:cs="Arial"/>
          <w:szCs w:val="24"/>
        </w:rPr>
        <w:t>Vazvani</w:t>
      </w:r>
      <w:proofErr w:type="spellEnd"/>
      <w:r w:rsidRPr="00183CAE">
        <w:rPr>
          <w:rFonts w:ascii="Arial" w:hAnsi="Arial" w:cs="Arial"/>
          <w:szCs w:val="24"/>
        </w:rPr>
        <w:t xml:space="preserve">, M.G., </w:t>
      </w:r>
      <w:proofErr w:type="spellStart"/>
      <w:r w:rsidRPr="00183CAE">
        <w:rPr>
          <w:rFonts w:ascii="Arial" w:hAnsi="Arial" w:cs="Arial"/>
          <w:szCs w:val="24"/>
        </w:rPr>
        <w:t>Hajabdollahi</w:t>
      </w:r>
      <w:proofErr w:type="spellEnd"/>
      <w:r w:rsidRPr="00183CAE">
        <w:rPr>
          <w:rFonts w:ascii="Arial" w:hAnsi="Arial" w:cs="Arial"/>
          <w:szCs w:val="24"/>
        </w:rPr>
        <w:t xml:space="preserve">, N. &amp; Thakur, V.K. (2023). Bioremediation of heavy metals by rhizobacteria. </w:t>
      </w:r>
      <w:r w:rsidRPr="00183CAE">
        <w:rPr>
          <w:rFonts w:ascii="Arial" w:hAnsi="Arial" w:cs="Arial"/>
          <w:i/>
          <w:szCs w:val="24"/>
        </w:rPr>
        <w:t xml:space="preserve">Applied Biochemistry and Biotechnology, </w:t>
      </w:r>
      <w:r w:rsidRPr="00183CAE">
        <w:rPr>
          <w:rFonts w:ascii="Arial" w:hAnsi="Arial" w:cs="Arial"/>
          <w:szCs w:val="24"/>
        </w:rPr>
        <w:t xml:space="preserve">195, 4689-4711. </w:t>
      </w:r>
      <w:hyperlink r:id="rId27" w:history="1">
        <w:r w:rsidRPr="00183CAE">
          <w:rPr>
            <w:rStyle w:val="Hyperlink"/>
            <w:rFonts w:ascii="Arial" w:hAnsi="Arial" w:cs="Arial"/>
            <w:szCs w:val="24"/>
          </w:rPr>
          <w:t>https://doi.org/10.1007/s12010-022-04177-z</w:t>
        </w:r>
      </w:hyperlink>
    </w:p>
    <w:p w14:paraId="6BDE64CB"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Santhini, K. Myla, J., Sajani, S. &amp; Usharani, G. (2009). Screening of </w:t>
      </w:r>
      <w:r w:rsidRPr="00183CAE">
        <w:rPr>
          <w:rFonts w:ascii="Arial" w:hAnsi="Arial" w:cs="Arial"/>
          <w:i/>
          <w:szCs w:val="24"/>
        </w:rPr>
        <w:t>Micrococcus</w:t>
      </w:r>
      <w:r w:rsidRPr="00183CAE">
        <w:rPr>
          <w:rFonts w:ascii="Arial" w:hAnsi="Arial" w:cs="Arial"/>
          <w:szCs w:val="24"/>
        </w:rPr>
        <w:t xml:space="preserve"> </w:t>
      </w:r>
      <w:proofErr w:type="spellStart"/>
      <w:r w:rsidRPr="00183CAE">
        <w:rPr>
          <w:rFonts w:ascii="Arial" w:hAnsi="Arial" w:cs="Arial"/>
          <w:szCs w:val="24"/>
        </w:rPr>
        <w:t>sp</w:t>
      </w:r>
      <w:proofErr w:type="spellEnd"/>
      <w:r w:rsidRPr="00183CAE">
        <w:rPr>
          <w:rFonts w:ascii="Arial" w:hAnsi="Arial" w:cs="Arial"/>
          <w:szCs w:val="24"/>
        </w:rPr>
        <w:t xml:space="preserve"> from oil contaminated soil with reference to bioremediation. </w:t>
      </w:r>
      <w:r w:rsidRPr="00183CAE">
        <w:rPr>
          <w:rFonts w:ascii="Arial" w:hAnsi="Arial" w:cs="Arial"/>
          <w:i/>
          <w:szCs w:val="24"/>
        </w:rPr>
        <w:t>Botany Research International,</w:t>
      </w:r>
      <w:r w:rsidRPr="00183CAE">
        <w:rPr>
          <w:rFonts w:ascii="Arial" w:hAnsi="Arial" w:cs="Arial"/>
          <w:szCs w:val="24"/>
        </w:rPr>
        <w:t xml:space="preserve"> 2(4), 248-252.</w:t>
      </w:r>
    </w:p>
    <w:p w14:paraId="4DCDB8C1"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Sorour, A.A., Khairy, H., Zaghloul, E.H. &amp; Zaghloul, H.A.H. (2022). Microbe</w:t>
      </w:r>
      <w:r w:rsidRPr="00183CAE">
        <w:rPr>
          <w:rFonts w:ascii="Cambria Math" w:hAnsi="Cambria Math" w:cs="Cambria Math"/>
          <w:szCs w:val="24"/>
        </w:rPr>
        <w:t>‑</w:t>
      </w:r>
      <w:r w:rsidRPr="00183CAE">
        <w:rPr>
          <w:rFonts w:ascii="Arial" w:hAnsi="Arial" w:cs="Arial"/>
          <w:szCs w:val="24"/>
        </w:rPr>
        <w:t xml:space="preserve">plant interaction as a sustainable tool for mopping up heavy metal contaminated sites. </w:t>
      </w:r>
      <w:r w:rsidRPr="00183CAE">
        <w:rPr>
          <w:rFonts w:ascii="Arial" w:hAnsi="Arial" w:cs="Arial"/>
          <w:i/>
          <w:szCs w:val="24"/>
        </w:rPr>
        <w:t>BMC Microbiology,</w:t>
      </w:r>
      <w:r w:rsidRPr="00183CAE">
        <w:rPr>
          <w:rFonts w:ascii="Arial" w:hAnsi="Arial" w:cs="Arial"/>
          <w:szCs w:val="24"/>
        </w:rPr>
        <w:t xml:space="preserve"> 22(174), 1-13. </w:t>
      </w:r>
      <w:hyperlink r:id="rId28" w:history="1">
        <w:r w:rsidRPr="00183CAE">
          <w:rPr>
            <w:rStyle w:val="Hyperlink"/>
            <w:rFonts w:ascii="Arial" w:hAnsi="Arial" w:cs="Arial"/>
            <w:szCs w:val="24"/>
          </w:rPr>
          <w:t>https://doi.org/10.1186/s12866-022-02587-x</w:t>
        </w:r>
      </w:hyperlink>
    </w:p>
    <w:p w14:paraId="6835AB70"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Stanton, K.M. &amp; </w:t>
      </w:r>
      <w:proofErr w:type="spellStart"/>
      <w:r w:rsidRPr="00183CAE">
        <w:rPr>
          <w:rFonts w:ascii="Arial" w:hAnsi="Arial" w:cs="Arial"/>
          <w:szCs w:val="24"/>
        </w:rPr>
        <w:t>Mickelbart</w:t>
      </w:r>
      <w:proofErr w:type="spellEnd"/>
      <w:r w:rsidRPr="00183CAE">
        <w:rPr>
          <w:rFonts w:ascii="Arial" w:hAnsi="Arial" w:cs="Arial"/>
          <w:szCs w:val="24"/>
        </w:rPr>
        <w:t xml:space="preserve">, M.V. (2014). Maintenance of water uptake and reduced water loss contribute to water stress tolerance of </w:t>
      </w:r>
      <w:r w:rsidRPr="00183CAE">
        <w:rPr>
          <w:rFonts w:ascii="Arial" w:hAnsi="Arial" w:cs="Arial"/>
          <w:i/>
          <w:szCs w:val="24"/>
        </w:rPr>
        <w:t>Spiraea alba</w:t>
      </w:r>
      <w:r w:rsidRPr="00183CAE">
        <w:rPr>
          <w:rFonts w:ascii="Arial" w:hAnsi="Arial" w:cs="Arial"/>
          <w:szCs w:val="24"/>
        </w:rPr>
        <w:t xml:space="preserve"> Du Roi and </w:t>
      </w:r>
      <w:r w:rsidRPr="00183CAE">
        <w:rPr>
          <w:rFonts w:ascii="Arial" w:hAnsi="Arial" w:cs="Arial"/>
          <w:i/>
          <w:szCs w:val="24"/>
        </w:rPr>
        <w:t>Spiraea tomentosa</w:t>
      </w:r>
      <w:r w:rsidRPr="00183CAE">
        <w:rPr>
          <w:rFonts w:ascii="Arial" w:hAnsi="Arial" w:cs="Arial"/>
          <w:szCs w:val="24"/>
        </w:rPr>
        <w:t xml:space="preserve"> L. </w:t>
      </w:r>
      <w:r w:rsidRPr="00183CAE">
        <w:rPr>
          <w:rFonts w:ascii="Arial" w:hAnsi="Arial" w:cs="Arial"/>
          <w:i/>
          <w:szCs w:val="24"/>
        </w:rPr>
        <w:t>Horticultural Resources,</w:t>
      </w:r>
      <w:r w:rsidRPr="00183CAE">
        <w:rPr>
          <w:rFonts w:ascii="Arial" w:hAnsi="Arial" w:cs="Arial"/>
          <w:szCs w:val="24"/>
        </w:rPr>
        <w:t xml:space="preserve"> 1, 14033. </w:t>
      </w:r>
      <w:hyperlink r:id="rId29" w:history="1">
        <w:r w:rsidRPr="00183CAE">
          <w:rPr>
            <w:rStyle w:val="Hyperlink"/>
            <w:rFonts w:ascii="Arial" w:hAnsi="Arial" w:cs="Arial"/>
            <w:szCs w:val="24"/>
          </w:rPr>
          <w:t>https://doi.org/10.1038/hortres.2014.33</w:t>
        </w:r>
      </w:hyperlink>
      <w:r w:rsidRPr="00183CAE">
        <w:rPr>
          <w:rFonts w:ascii="Arial" w:hAnsi="Arial" w:cs="Arial"/>
          <w:szCs w:val="24"/>
        </w:rPr>
        <w:t>.</w:t>
      </w:r>
    </w:p>
    <w:p w14:paraId="6DFED408"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Thijs, S., Sillen, W., </w:t>
      </w:r>
      <w:proofErr w:type="spellStart"/>
      <w:r w:rsidRPr="00183CAE">
        <w:rPr>
          <w:rFonts w:ascii="Arial" w:hAnsi="Arial" w:cs="Arial"/>
          <w:szCs w:val="24"/>
        </w:rPr>
        <w:t>Weyens</w:t>
      </w:r>
      <w:proofErr w:type="spellEnd"/>
      <w:r w:rsidRPr="00183CAE">
        <w:rPr>
          <w:rFonts w:ascii="Arial" w:hAnsi="Arial" w:cs="Arial"/>
          <w:szCs w:val="24"/>
        </w:rPr>
        <w:t xml:space="preserve">, N. &amp; </w:t>
      </w:r>
      <w:proofErr w:type="spellStart"/>
      <w:r w:rsidRPr="00183CAE">
        <w:rPr>
          <w:rFonts w:ascii="Arial" w:hAnsi="Arial" w:cs="Arial"/>
          <w:szCs w:val="24"/>
        </w:rPr>
        <w:t>Vangronsveld</w:t>
      </w:r>
      <w:proofErr w:type="spellEnd"/>
      <w:r w:rsidRPr="00183CAE">
        <w:rPr>
          <w:rFonts w:ascii="Arial" w:hAnsi="Arial" w:cs="Arial"/>
          <w:szCs w:val="24"/>
        </w:rPr>
        <w:t xml:space="preserve">, J. (2016). Phytoremediation: state-of-the-art and a key role for the plant microbiome in future trends and research prospects. </w:t>
      </w:r>
      <w:r w:rsidRPr="00183CAE">
        <w:rPr>
          <w:rFonts w:ascii="Arial" w:hAnsi="Arial" w:cs="Arial"/>
          <w:i/>
          <w:szCs w:val="24"/>
        </w:rPr>
        <w:t>International Journal of Phytoremediation,</w:t>
      </w:r>
      <w:r w:rsidRPr="00183CAE">
        <w:rPr>
          <w:rFonts w:ascii="Arial" w:hAnsi="Arial" w:cs="Arial"/>
          <w:szCs w:val="24"/>
        </w:rPr>
        <w:t xml:space="preserve"> 19(1), 23-38. </w:t>
      </w:r>
      <w:hyperlink r:id="rId30" w:history="1">
        <w:r w:rsidRPr="00183CAE">
          <w:rPr>
            <w:rStyle w:val="Hyperlink"/>
            <w:rFonts w:ascii="Arial" w:hAnsi="Arial" w:cs="Arial"/>
            <w:szCs w:val="24"/>
          </w:rPr>
          <w:t>https://doi.org/10.1080/15226514</w:t>
        </w:r>
      </w:hyperlink>
      <w:r w:rsidRPr="00183CAE">
        <w:rPr>
          <w:rFonts w:ascii="Arial" w:hAnsi="Arial" w:cs="Arial"/>
          <w:szCs w:val="24"/>
        </w:rPr>
        <w:t>.</w:t>
      </w:r>
    </w:p>
    <w:p w14:paraId="641929C5"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Wojewódzki, P., Lemanowicz, J., Debska, B. &amp; Haddad, S.A. (2022). Soil enzyme activity response under the amendment of different types of biochar. </w:t>
      </w:r>
      <w:r w:rsidRPr="00183CAE">
        <w:rPr>
          <w:rFonts w:ascii="Arial" w:hAnsi="Arial" w:cs="Arial"/>
          <w:i/>
          <w:szCs w:val="24"/>
        </w:rPr>
        <w:t>Agronomy.</w:t>
      </w:r>
      <w:r w:rsidRPr="00183CAE">
        <w:rPr>
          <w:rFonts w:ascii="Arial" w:hAnsi="Arial" w:cs="Arial"/>
          <w:szCs w:val="24"/>
        </w:rPr>
        <w:t xml:space="preserve"> 12, 569. </w:t>
      </w:r>
      <w:hyperlink r:id="rId31" w:history="1">
        <w:r w:rsidRPr="00183CAE">
          <w:rPr>
            <w:rStyle w:val="Hyperlink"/>
            <w:rFonts w:ascii="Arial" w:hAnsi="Arial" w:cs="Arial"/>
            <w:szCs w:val="24"/>
          </w:rPr>
          <w:t>https://doi.org/10.3390/agronomy12030569</w:t>
        </w:r>
      </w:hyperlink>
    </w:p>
    <w:p w14:paraId="346455F1" w14:textId="77777777" w:rsidR="00587959" w:rsidRPr="00183CAE" w:rsidRDefault="00587959" w:rsidP="00587959">
      <w:pPr>
        <w:ind w:left="432" w:hanging="432"/>
        <w:jc w:val="both"/>
        <w:rPr>
          <w:rFonts w:ascii="Arial" w:hAnsi="Arial" w:cs="Arial"/>
          <w:szCs w:val="24"/>
        </w:rPr>
      </w:pPr>
      <w:r w:rsidRPr="00183CAE">
        <w:rPr>
          <w:rFonts w:ascii="Arial" w:hAnsi="Arial" w:cs="Arial"/>
          <w:szCs w:val="24"/>
        </w:rPr>
        <w:t xml:space="preserve">Zhu, X., </w:t>
      </w:r>
      <w:proofErr w:type="spellStart"/>
      <w:r w:rsidRPr="00183CAE">
        <w:rPr>
          <w:rFonts w:ascii="Arial" w:hAnsi="Arial" w:cs="Arial"/>
          <w:szCs w:val="24"/>
        </w:rPr>
        <w:t>Lv</w:t>
      </w:r>
      <w:proofErr w:type="spellEnd"/>
      <w:r w:rsidRPr="00183CAE">
        <w:rPr>
          <w:rFonts w:ascii="Arial" w:hAnsi="Arial" w:cs="Arial"/>
          <w:szCs w:val="24"/>
        </w:rPr>
        <w:t xml:space="preserve">, B., Shang, X., Wang, J., Li, M. &amp; Yu, X. (2019). The immobilization effects on Pb, Cd and Cu by the inoculation of organic </w:t>
      </w:r>
      <w:proofErr w:type="spellStart"/>
      <w:r w:rsidRPr="00183CAE">
        <w:rPr>
          <w:rFonts w:ascii="Arial" w:hAnsi="Arial" w:cs="Arial"/>
          <w:szCs w:val="24"/>
        </w:rPr>
        <w:t>phosphorusdegrading</w:t>
      </w:r>
      <w:proofErr w:type="spellEnd"/>
      <w:r w:rsidRPr="00183CAE">
        <w:rPr>
          <w:rFonts w:ascii="Arial" w:hAnsi="Arial" w:cs="Arial"/>
          <w:szCs w:val="24"/>
        </w:rPr>
        <w:t xml:space="preserve"> bacteria (OPDB) with rapeseed dregs in acidic soil. </w:t>
      </w:r>
      <w:proofErr w:type="spellStart"/>
      <w:r w:rsidRPr="00183CAE">
        <w:rPr>
          <w:rFonts w:ascii="Arial" w:hAnsi="Arial" w:cs="Arial"/>
          <w:i/>
          <w:szCs w:val="24"/>
        </w:rPr>
        <w:t>Geoderma</w:t>
      </w:r>
      <w:proofErr w:type="spellEnd"/>
      <w:r w:rsidRPr="00183CAE">
        <w:rPr>
          <w:rFonts w:ascii="Arial" w:hAnsi="Arial" w:cs="Arial"/>
          <w:i/>
          <w:szCs w:val="24"/>
        </w:rPr>
        <w:t>,</w:t>
      </w:r>
      <w:r w:rsidRPr="00183CAE">
        <w:rPr>
          <w:rFonts w:ascii="Arial" w:hAnsi="Arial" w:cs="Arial"/>
          <w:szCs w:val="24"/>
        </w:rPr>
        <w:t xml:space="preserve"> 350, 1-10.</w:t>
      </w:r>
    </w:p>
    <w:p w14:paraId="0841BD32" w14:textId="77777777" w:rsidR="00587959" w:rsidRPr="00FB3A86" w:rsidRDefault="00587959" w:rsidP="00441B6F">
      <w:pPr>
        <w:pStyle w:val="Appendix"/>
        <w:spacing w:after="0"/>
        <w:jc w:val="both"/>
        <w:rPr>
          <w:rFonts w:ascii="Arial" w:hAnsi="Arial" w:cs="Arial"/>
          <w:b w:val="0"/>
        </w:rPr>
        <w:sectPr w:rsidR="00587959" w:rsidRPr="00FB3A86" w:rsidSect="003F2E77">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5D03D4F2" w14:textId="77777777" w:rsidR="00B01FCD" w:rsidRPr="00FB3A86" w:rsidRDefault="00B01FCD" w:rsidP="00441B6F">
      <w:pPr>
        <w:pStyle w:val="Appendix"/>
        <w:spacing w:after="0"/>
        <w:jc w:val="both"/>
        <w:rPr>
          <w:rFonts w:ascii="Arial" w:hAnsi="Arial" w:cs="Arial"/>
          <w:b w:val="0"/>
        </w:rPr>
      </w:pPr>
    </w:p>
    <w:sectPr w:rsidR="00B01FCD" w:rsidRPr="00FB3A86" w:rsidSect="003F2E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F6D76" w14:textId="77777777" w:rsidR="005F2DFF" w:rsidRDefault="005F2DFF" w:rsidP="00C37E61">
      <w:r>
        <w:separator/>
      </w:r>
    </w:p>
  </w:endnote>
  <w:endnote w:type="continuationSeparator" w:id="0">
    <w:p w14:paraId="64366DF7" w14:textId="77777777" w:rsidR="005F2DFF" w:rsidRDefault="005F2D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DF10" w14:textId="77777777" w:rsidR="003F2E77" w:rsidRDefault="003F2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8AC7" w14:textId="77777777" w:rsidR="003F2E77" w:rsidRDefault="003F2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B729" w14:textId="77777777" w:rsidR="009E048A" w:rsidRDefault="009E048A">
    <w:pPr>
      <w:pStyle w:val="Footer"/>
      <w:rPr>
        <w:rFonts w:ascii="Arial" w:hAnsi="Arial" w:cs="Arial"/>
        <w:sz w:val="16"/>
      </w:rPr>
    </w:pPr>
  </w:p>
  <w:p w14:paraId="639381F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EE24BF" w14:textId="77777777" w:rsidR="009E048A" w:rsidRDefault="009E048A">
    <w:pPr>
      <w:pStyle w:val="Footer"/>
      <w:rPr>
        <w:rFonts w:ascii="Arial" w:hAnsi="Arial" w:cs="Arial"/>
        <w:sz w:val="16"/>
      </w:rPr>
    </w:pPr>
  </w:p>
  <w:p w14:paraId="47046D7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DF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26976" w14:textId="77777777" w:rsidR="005F2DFF" w:rsidRDefault="005F2DFF" w:rsidP="00C37E61">
      <w:r>
        <w:separator/>
      </w:r>
    </w:p>
  </w:footnote>
  <w:footnote w:type="continuationSeparator" w:id="0">
    <w:p w14:paraId="175CC86A" w14:textId="77777777" w:rsidR="005F2DFF" w:rsidRDefault="005F2D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082B" w14:textId="633490D4" w:rsidR="003F2E77" w:rsidRDefault="003F2E77">
    <w:pPr>
      <w:pStyle w:val="Header"/>
    </w:pPr>
    <w:r>
      <w:rPr>
        <w:noProof/>
      </w:rPr>
      <w:pict w14:anchorId="37C38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751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4EFB" w14:textId="4AE4C90C" w:rsidR="003F2E77" w:rsidRDefault="003F2E77">
    <w:pPr>
      <w:pStyle w:val="Header"/>
    </w:pPr>
    <w:r>
      <w:rPr>
        <w:noProof/>
      </w:rPr>
      <w:pict w14:anchorId="2F1B7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751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FD0F" w14:textId="69901284" w:rsidR="00296529" w:rsidRPr="00296529" w:rsidRDefault="003F2E77" w:rsidP="00296529">
    <w:pPr>
      <w:ind w:left="2160"/>
      <w:jc w:val="center"/>
      <w:rPr>
        <w:rFonts w:ascii="Times New Roman" w:eastAsia="Calibri" w:hAnsi="Times New Roman"/>
        <w:i/>
        <w:sz w:val="18"/>
        <w:szCs w:val="22"/>
      </w:rPr>
    </w:pPr>
    <w:r>
      <w:rPr>
        <w:noProof/>
      </w:rPr>
      <w:pict w14:anchorId="596DE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751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B3ED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9E07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8055C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68BD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48B5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56B7E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9DF1" w14:textId="6B0AADB7" w:rsidR="003F2E77" w:rsidRDefault="003F2E77">
    <w:pPr>
      <w:pStyle w:val="Header"/>
    </w:pPr>
    <w:r>
      <w:rPr>
        <w:noProof/>
      </w:rPr>
      <w:pict w14:anchorId="7E786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751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D2A3" w14:textId="12AB3190" w:rsidR="003F2E77" w:rsidRDefault="003F2E77">
    <w:pPr>
      <w:pStyle w:val="Header"/>
    </w:pPr>
    <w:r>
      <w:rPr>
        <w:noProof/>
      </w:rPr>
      <w:pict w14:anchorId="45636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751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8F596" w14:textId="5A7CC95F" w:rsidR="003F2E77" w:rsidRDefault="003F2E77">
    <w:pPr>
      <w:pStyle w:val="Header"/>
    </w:pPr>
    <w:r>
      <w:rPr>
        <w:noProof/>
      </w:rPr>
      <w:pict w14:anchorId="501BE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751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F37"/>
    <w:rsid w:val="00030174"/>
    <w:rsid w:val="000428B2"/>
    <w:rsid w:val="0004579C"/>
    <w:rsid w:val="000A47FA"/>
    <w:rsid w:val="000A65D3"/>
    <w:rsid w:val="000B1E33"/>
    <w:rsid w:val="000B3366"/>
    <w:rsid w:val="000D689F"/>
    <w:rsid w:val="000E3451"/>
    <w:rsid w:val="000E7B7B"/>
    <w:rsid w:val="000E7D62"/>
    <w:rsid w:val="00103357"/>
    <w:rsid w:val="00123C9F"/>
    <w:rsid w:val="00126190"/>
    <w:rsid w:val="00130F17"/>
    <w:rsid w:val="001320BF"/>
    <w:rsid w:val="00154222"/>
    <w:rsid w:val="00163BC4"/>
    <w:rsid w:val="00191062"/>
    <w:rsid w:val="00192B72"/>
    <w:rsid w:val="001A29D8"/>
    <w:rsid w:val="001A5CAA"/>
    <w:rsid w:val="001B0427"/>
    <w:rsid w:val="001C0AC5"/>
    <w:rsid w:val="001D3A51"/>
    <w:rsid w:val="001E10D2"/>
    <w:rsid w:val="001E25B4"/>
    <w:rsid w:val="001E44FE"/>
    <w:rsid w:val="001F5D6B"/>
    <w:rsid w:val="00200595"/>
    <w:rsid w:val="00204835"/>
    <w:rsid w:val="00231920"/>
    <w:rsid w:val="0023195C"/>
    <w:rsid w:val="0024282C"/>
    <w:rsid w:val="002460DC"/>
    <w:rsid w:val="00250985"/>
    <w:rsid w:val="002556F6"/>
    <w:rsid w:val="002645B7"/>
    <w:rsid w:val="00283105"/>
    <w:rsid w:val="00284C4C"/>
    <w:rsid w:val="00287E68"/>
    <w:rsid w:val="00292A84"/>
    <w:rsid w:val="00296529"/>
    <w:rsid w:val="002A4357"/>
    <w:rsid w:val="002B27FB"/>
    <w:rsid w:val="002B685A"/>
    <w:rsid w:val="002C57D2"/>
    <w:rsid w:val="002E0D56"/>
    <w:rsid w:val="003107EF"/>
    <w:rsid w:val="00312217"/>
    <w:rsid w:val="00315186"/>
    <w:rsid w:val="0033343E"/>
    <w:rsid w:val="003512C2"/>
    <w:rsid w:val="0036146B"/>
    <w:rsid w:val="00371FB6"/>
    <w:rsid w:val="003763C1"/>
    <w:rsid w:val="00376BBE"/>
    <w:rsid w:val="0039140A"/>
    <w:rsid w:val="0039224F"/>
    <w:rsid w:val="003A43A4"/>
    <w:rsid w:val="003A5D19"/>
    <w:rsid w:val="003A7E18"/>
    <w:rsid w:val="003C4C86"/>
    <w:rsid w:val="003C6258"/>
    <w:rsid w:val="003E2904"/>
    <w:rsid w:val="003F2E77"/>
    <w:rsid w:val="003F50C0"/>
    <w:rsid w:val="00401927"/>
    <w:rsid w:val="004045F4"/>
    <w:rsid w:val="0041027F"/>
    <w:rsid w:val="00412475"/>
    <w:rsid w:val="00412993"/>
    <w:rsid w:val="00423789"/>
    <w:rsid w:val="00440F43"/>
    <w:rsid w:val="00441B6F"/>
    <w:rsid w:val="00446221"/>
    <w:rsid w:val="00450E62"/>
    <w:rsid w:val="004539DB"/>
    <w:rsid w:val="00471A80"/>
    <w:rsid w:val="004D305E"/>
    <w:rsid w:val="004D4277"/>
    <w:rsid w:val="00502516"/>
    <w:rsid w:val="00505F06"/>
    <w:rsid w:val="00506828"/>
    <w:rsid w:val="00507D67"/>
    <w:rsid w:val="0053056E"/>
    <w:rsid w:val="0055379D"/>
    <w:rsid w:val="00554FDA"/>
    <w:rsid w:val="00565D3A"/>
    <w:rsid w:val="0057227B"/>
    <w:rsid w:val="00587959"/>
    <w:rsid w:val="005A75FF"/>
    <w:rsid w:val="005C784C"/>
    <w:rsid w:val="005D17F6"/>
    <w:rsid w:val="005E5539"/>
    <w:rsid w:val="005F2DFF"/>
    <w:rsid w:val="00602BF5"/>
    <w:rsid w:val="0060361A"/>
    <w:rsid w:val="00604774"/>
    <w:rsid w:val="00617FDD"/>
    <w:rsid w:val="00633614"/>
    <w:rsid w:val="00633F68"/>
    <w:rsid w:val="00636EB2"/>
    <w:rsid w:val="006375B8"/>
    <w:rsid w:val="0064326C"/>
    <w:rsid w:val="006453D0"/>
    <w:rsid w:val="0066510A"/>
    <w:rsid w:val="00673F9F"/>
    <w:rsid w:val="00686953"/>
    <w:rsid w:val="00687DEA"/>
    <w:rsid w:val="00687E67"/>
    <w:rsid w:val="006967F7"/>
    <w:rsid w:val="006A250C"/>
    <w:rsid w:val="006B21D3"/>
    <w:rsid w:val="006B57D0"/>
    <w:rsid w:val="006D30FF"/>
    <w:rsid w:val="006D6940"/>
    <w:rsid w:val="006F11EC"/>
    <w:rsid w:val="0070082C"/>
    <w:rsid w:val="00724076"/>
    <w:rsid w:val="007369E6"/>
    <w:rsid w:val="00746E59"/>
    <w:rsid w:val="00754C9A"/>
    <w:rsid w:val="0075599A"/>
    <w:rsid w:val="00761D52"/>
    <w:rsid w:val="00762B3A"/>
    <w:rsid w:val="00763460"/>
    <w:rsid w:val="0077749E"/>
    <w:rsid w:val="00790ADA"/>
    <w:rsid w:val="007A30AD"/>
    <w:rsid w:val="007C38DC"/>
    <w:rsid w:val="007D2288"/>
    <w:rsid w:val="007E088F"/>
    <w:rsid w:val="007F7B32"/>
    <w:rsid w:val="00804BC2"/>
    <w:rsid w:val="0081431A"/>
    <w:rsid w:val="0083216F"/>
    <w:rsid w:val="008531CA"/>
    <w:rsid w:val="00857596"/>
    <w:rsid w:val="00860000"/>
    <w:rsid w:val="00863BD3"/>
    <w:rsid w:val="008641ED"/>
    <w:rsid w:val="00866D66"/>
    <w:rsid w:val="008671C6"/>
    <w:rsid w:val="00867DF9"/>
    <w:rsid w:val="00875803"/>
    <w:rsid w:val="00897F99"/>
    <w:rsid w:val="008B459E"/>
    <w:rsid w:val="008E13AE"/>
    <w:rsid w:val="008E1506"/>
    <w:rsid w:val="008E710C"/>
    <w:rsid w:val="008F69D6"/>
    <w:rsid w:val="00902823"/>
    <w:rsid w:val="00915CA6"/>
    <w:rsid w:val="00927834"/>
    <w:rsid w:val="00935A3E"/>
    <w:rsid w:val="009500A6"/>
    <w:rsid w:val="00957C18"/>
    <w:rsid w:val="009659BA"/>
    <w:rsid w:val="00975596"/>
    <w:rsid w:val="009800E7"/>
    <w:rsid w:val="00983040"/>
    <w:rsid w:val="009A20E6"/>
    <w:rsid w:val="009B3FB9"/>
    <w:rsid w:val="009C2082"/>
    <w:rsid w:val="009C2465"/>
    <w:rsid w:val="009D35A0"/>
    <w:rsid w:val="009D7EB7"/>
    <w:rsid w:val="009E048A"/>
    <w:rsid w:val="009E08E9"/>
    <w:rsid w:val="009E3DB9"/>
    <w:rsid w:val="009E6E35"/>
    <w:rsid w:val="009E7CEB"/>
    <w:rsid w:val="009F0EDA"/>
    <w:rsid w:val="00A03B96"/>
    <w:rsid w:val="00A05B19"/>
    <w:rsid w:val="00A1134E"/>
    <w:rsid w:val="00A24E7E"/>
    <w:rsid w:val="00A258C3"/>
    <w:rsid w:val="00A347C0"/>
    <w:rsid w:val="00A51431"/>
    <w:rsid w:val="00A539AD"/>
    <w:rsid w:val="00A70297"/>
    <w:rsid w:val="00A94063"/>
    <w:rsid w:val="00AA6219"/>
    <w:rsid w:val="00AA74E0"/>
    <w:rsid w:val="00AB703F"/>
    <w:rsid w:val="00AC6BB8"/>
    <w:rsid w:val="00AC6CD9"/>
    <w:rsid w:val="00AE008F"/>
    <w:rsid w:val="00B01FCD"/>
    <w:rsid w:val="00B1776C"/>
    <w:rsid w:val="00B52583"/>
    <w:rsid w:val="00B52896"/>
    <w:rsid w:val="00B63DF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2C2"/>
    <w:rsid w:val="00CD6755"/>
    <w:rsid w:val="00CD6856"/>
    <w:rsid w:val="00CE0089"/>
    <w:rsid w:val="00CE793C"/>
    <w:rsid w:val="00CF193C"/>
    <w:rsid w:val="00D173F1"/>
    <w:rsid w:val="00D74CB0"/>
    <w:rsid w:val="00D813D7"/>
    <w:rsid w:val="00D8295D"/>
    <w:rsid w:val="00DC2A65"/>
    <w:rsid w:val="00DD7E72"/>
    <w:rsid w:val="00DE13D1"/>
    <w:rsid w:val="00DE15F0"/>
    <w:rsid w:val="00DE5663"/>
    <w:rsid w:val="00DE78AA"/>
    <w:rsid w:val="00E053D0"/>
    <w:rsid w:val="00E15994"/>
    <w:rsid w:val="00E174CF"/>
    <w:rsid w:val="00E3114E"/>
    <w:rsid w:val="00E31A70"/>
    <w:rsid w:val="00E35B02"/>
    <w:rsid w:val="00E66496"/>
    <w:rsid w:val="00E66B35"/>
    <w:rsid w:val="00E66E10"/>
    <w:rsid w:val="00E769F6"/>
    <w:rsid w:val="00E8407C"/>
    <w:rsid w:val="00E84F3C"/>
    <w:rsid w:val="00EA012C"/>
    <w:rsid w:val="00EB081F"/>
    <w:rsid w:val="00EC4308"/>
    <w:rsid w:val="00EC6A55"/>
    <w:rsid w:val="00ED0288"/>
    <w:rsid w:val="00ED08B3"/>
    <w:rsid w:val="00EE52CB"/>
    <w:rsid w:val="00EF581D"/>
    <w:rsid w:val="00EF7FD8"/>
    <w:rsid w:val="00F06F59"/>
    <w:rsid w:val="00F12459"/>
    <w:rsid w:val="00F17988"/>
    <w:rsid w:val="00F43F7D"/>
    <w:rsid w:val="00F469F0"/>
    <w:rsid w:val="00F53273"/>
    <w:rsid w:val="00F64111"/>
    <w:rsid w:val="00F717AB"/>
    <w:rsid w:val="00F755E4"/>
    <w:rsid w:val="00F77D02"/>
    <w:rsid w:val="00FB05E3"/>
    <w:rsid w:val="00FB3A86"/>
    <w:rsid w:val="00FC1EC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E873DE9"/>
  <w15:docId w15:val="{E8F0E8C9-E5C9-431C-A33A-9FA9C405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C0AC5"/>
    <w:pPr>
      <w:ind w:left="720"/>
      <w:contextualSpacing/>
      <w:jc w:val="center"/>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FC1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42315879" TargetMode="External"/><Relationship Id="rId26" Type="http://schemas.openxmlformats.org/officeDocument/2006/relationships/hyperlink" Target="https://doi.org/10.3390/microorganisms10050838" TargetMode="External"/><Relationship Id="rId21" Type="http://schemas.openxmlformats.org/officeDocument/2006/relationships/hyperlink" Target="https://doi.org/10.3390/ijerph18052239"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1038/s41598-023-39852-6"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7324/JABB.2022.10s203" TargetMode="External"/><Relationship Id="rId29" Type="http://schemas.openxmlformats.org/officeDocument/2006/relationships/hyperlink" Target="https://doi.org/10.1038/hortres.201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BJI/2024/v28i3721"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0574/wjarr.2024.22.1.1152" TargetMode="External"/><Relationship Id="rId28" Type="http://schemas.openxmlformats.org/officeDocument/2006/relationships/hyperlink" Target="https://doi.org/10.1186/s12866-022-02587-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jenvman.2019.110051" TargetMode="External"/><Relationship Id="rId31" Type="http://schemas.openxmlformats.org/officeDocument/2006/relationships/hyperlink" Target="https://doi.org/10.3390/agronomy1203056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4314/dujopas.v8i2a.17" TargetMode="External"/><Relationship Id="rId27" Type="http://schemas.openxmlformats.org/officeDocument/2006/relationships/hyperlink" Target="https://doi.org/10.1007/s12010-022-04177-z" TargetMode="External"/><Relationship Id="rId30" Type="http://schemas.openxmlformats.org/officeDocument/2006/relationships/hyperlink" Target="https://doi.org/10.1080/15226514"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mended%20Analyze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mended%20Analyz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nalyz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nalyze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10267660696716E-2"/>
          <c:y val="2.7777777777777776E-2"/>
          <c:w val="0.92989729248356356"/>
          <c:h val="0.83346578813622163"/>
        </c:manualLayout>
      </c:layout>
      <c:barChart>
        <c:barDir val="col"/>
        <c:grouping val="clustered"/>
        <c:varyColors val="0"/>
        <c:ser>
          <c:idx val="0"/>
          <c:order val="0"/>
          <c:tx>
            <c:strRef>
              <c:f>'Chart for MC'!$D$54</c:f>
              <c:strCache>
                <c:ptCount val="1"/>
                <c:pt idx="0">
                  <c:v>Gradient of moisture content</c:v>
                </c:pt>
              </c:strCache>
            </c:strRef>
          </c:tx>
          <c:spPr>
            <a:noFill/>
            <a:ln w="15875">
              <a:solidFill>
                <a:schemeClr val="tx1"/>
              </a:solidFill>
            </a:ln>
          </c:spPr>
          <c:invertIfNegative val="0"/>
          <c:errBars>
            <c:errBarType val="both"/>
            <c:errValType val="percentage"/>
            <c:noEndCap val="0"/>
            <c:val val="5"/>
          </c:errBars>
          <c:cat>
            <c:multiLvlStrRef>
              <c:f>'Chart for MC'!$B$55:$C$66</c:f>
              <c:multiLvlStrCache>
                <c:ptCount val="12"/>
                <c:lvl>
                  <c:pt idx="0">
                    <c:v>a</c:v>
                  </c:pt>
                  <c:pt idx="1">
                    <c:v>b</c:v>
                  </c:pt>
                  <c:pt idx="2">
                    <c:v>c</c:v>
                  </c:pt>
                  <c:pt idx="3">
                    <c:v>a</c:v>
                  </c:pt>
                  <c:pt idx="4">
                    <c:v>b</c:v>
                  </c:pt>
                  <c:pt idx="5">
                    <c:v>c</c:v>
                  </c:pt>
                  <c:pt idx="6">
                    <c:v>a</c:v>
                  </c:pt>
                  <c:pt idx="7">
                    <c:v>b</c:v>
                  </c:pt>
                  <c:pt idx="8">
                    <c:v>c</c:v>
                  </c:pt>
                  <c:pt idx="9">
                    <c:v>a</c:v>
                  </c:pt>
                  <c:pt idx="10">
                    <c:v>b</c:v>
                  </c:pt>
                  <c:pt idx="11">
                    <c:v>c</c:v>
                  </c:pt>
                </c:lvl>
                <c:lvl>
                  <c:pt idx="0">
                    <c:v>A1C2B2 (a,b)</c:v>
                  </c:pt>
                  <c:pt idx="3">
                    <c:v>A2C2B2 (a)</c:v>
                  </c:pt>
                  <c:pt idx="6">
                    <c:v>A1A2C2B2 (a,b)</c:v>
                  </c:pt>
                  <c:pt idx="9">
                    <c:v>C2 (b)</c:v>
                  </c:pt>
                </c:lvl>
              </c:multiLvlStrCache>
            </c:multiLvlStrRef>
          </c:cat>
          <c:val>
            <c:numRef>
              <c:f>'Chart for MC'!$D$55:$D$66</c:f>
              <c:numCache>
                <c:formatCode>0.00</c:formatCode>
                <c:ptCount val="12"/>
                <c:pt idx="0">
                  <c:v>7.2250000000000032</c:v>
                </c:pt>
                <c:pt idx="1">
                  <c:v>11.221666666666669</c:v>
                </c:pt>
                <c:pt idx="2">
                  <c:v>12.851666666666668</c:v>
                </c:pt>
                <c:pt idx="3">
                  <c:v>13.764999999999999</c:v>
                </c:pt>
                <c:pt idx="4">
                  <c:v>8.0716666666666708</c:v>
                </c:pt>
                <c:pt idx="5">
                  <c:v>13.236666666666666</c:v>
                </c:pt>
                <c:pt idx="6">
                  <c:v>7.0449999999999999</c:v>
                </c:pt>
                <c:pt idx="7">
                  <c:v>9.4466666666666672</c:v>
                </c:pt>
                <c:pt idx="8">
                  <c:v>8.9016666666666691</c:v>
                </c:pt>
                <c:pt idx="9">
                  <c:v>6.8650000000000038</c:v>
                </c:pt>
                <c:pt idx="10">
                  <c:v>-0.92333333333333201</c:v>
                </c:pt>
                <c:pt idx="11">
                  <c:v>-0.88333333333333286</c:v>
                </c:pt>
              </c:numCache>
            </c:numRef>
          </c:val>
          <c:extLst>
            <c:ext xmlns:c16="http://schemas.microsoft.com/office/drawing/2014/chart" uri="{C3380CC4-5D6E-409C-BE32-E72D297353CC}">
              <c16:uniqueId val="{00000000-D766-4500-A66A-B142A3F62A65}"/>
            </c:ext>
          </c:extLst>
        </c:ser>
        <c:ser>
          <c:idx val="1"/>
          <c:order val="1"/>
          <c:tx>
            <c:strRef>
              <c:f>'Chart for MC'!$E$54</c:f>
              <c:strCache>
                <c:ptCount val="1"/>
                <c:pt idx="0">
                  <c:v>% Increase/Reduction</c:v>
                </c:pt>
              </c:strCache>
            </c:strRef>
          </c:tx>
          <c:spPr>
            <a:pattFill prst="ltUpDiag">
              <a:fgClr>
                <a:schemeClr val="tx1"/>
              </a:fgClr>
              <a:bgClr>
                <a:schemeClr val="bg1"/>
              </a:bgClr>
            </a:pattFill>
            <a:ln w="15875">
              <a:solidFill>
                <a:schemeClr val="tx1"/>
              </a:solidFill>
            </a:ln>
          </c:spPr>
          <c:invertIfNegative val="0"/>
          <c:errBars>
            <c:errBarType val="both"/>
            <c:errValType val="percentage"/>
            <c:noEndCap val="0"/>
            <c:val val="5"/>
          </c:errBars>
          <c:cat>
            <c:multiLvlStrRef>
              <c:f>'Chart for MC'!$B$55:$C$66</c:f>
              <c:multiLvlStrCache>
                <c:ptCount val="12"/>
                <c:lvl>
                  <c:pt idx="0">
                    <c:v>a</c:v>
                  </c:pt>
                  <c:pt idx="1">
                    <c:v>b</c:v>
                  </c:pt>
                  <c:pt idx="2">
                    <c:v>c</c:v>
                  </c:pt>
                  <c:pt idx="3">
                    <c:v>a</c:v>
                  </c:pt>
                  <c:pt idx="4">
                    <c:v>b</c:v>
                  </c:pt>
                  <c:pt idx="5">
                    <c:v>c</c:v>
                  </c:pt>
                  <c:pt idx="6">
                    <c:v>a</c:v>
                  </c:pt>
                  <c:pt idx="7">
                    <c:v>b</c:v>
                  </c:pt>
                  <c:pt idx="8">
                    <c:v>c</c:v>
                  </c:pt>
                  <c:pt idx="9">
                    <c:v>a</c:v>
                  </c:pt>
                  <c:pt idx="10">
                    <c:v>b</c:v>
                  </c:pt>
                  <c:pt idx="11">
                    <c:v>c</c:v>
                  </c:pt>
                </c:lvl>
                <c:lvl>
                  <c:pt idx="0">
                    <c:v>A1C2B2 (a,b)</c:v>
                  </c:pt>
                  <c:pt idx="3">
                    <c:v>A2C2B2 (a)</c:v>
                  </c:pt>
                  <c:pt idx="6">
                    <c:v>A1A2C2B2 (a,b)</c:v>
                  </c:pt>
                  <c:pt idx="9">
                    <c:v>C2 (b)</c:v>
                  </c:pt>
                </c:lvl>
              </c:multiLvlStrCache>
            </c:multiLvlStrRef>
          </c:cat>
          <c:val>
            <c:numRef>
              <c:f>'Chart for MC'!$E$55:$E$66</c:f>
              <c:numCache>
                <c:formatCode>0.00</c:formatCode>
                <c:ptCount val="12"/>
                <c:pt idx="0">
                  <c:v>57.054488023164019</c:v>
                </c:pt>
                <c:pt idx="1">
                  <c:v>88.732208750658955</c:v>
                </c:pt>
                <c:pt idx="2">
                  <c:v>97.201563090886197</c:v>
                </c:pt>
                <c:pt idx="3">
                  <c:v>108.69965780468544</c:v>
                </c:pt>
                <c:pt idx="4">
                  <c:v>63.824459673168199</c:v>
                </c:pt>
                <c:pt idx="5">
                  <c:v>100.11345014496409</c:v>
                </c:pt>
                <c:pt idx="6">
                  <c:v>55.633061331929454</c:v>
                </c:pt>
                <c:pt idx="7">
                  <c:v>74.696889826041129</c:v>
                </c:pt>
                <c:pt idx="8">
                  <c:v>67.326358250346672</c:v>
                </c:pt>
                <c:pt idx="9">
                  <c:v>54.211634640694953</c:v>
                </c:pt>
                <c:pt idx="10">
                  <c:v>-7.3010015814443756</c:v>
                </c:pt>
                <c:pt idx="11">
                  <c:v>-6.680952981217696</c:v>
                </c:pt>
              </c:numCache>
            </c:numRef>
          </c:val>
          <c:extLst>
            <c:ext xmlns:c16="http://schemas.microsoft.com/office/drawing/2014/chart" uri="{C3380CC4-5D6E-409C-BE32-E72D297353CC}">
              <c16:uniqueId val="{00000001-D766-4500-A66A-B142A3F62A65}"/>
            </c:ext>
          </c:extLst>
        </c:ser>
        <c:dLbls>
          <c:showLegendKey val="0"/>
          <c:showVal val="0"/>
          <c:showCatName val="0"/>
          <c:showSerName val="0"/>
          <c:showPercent val="0"/>
          <c:showBubbleSize val="0"/>
        </c:dLbls>
        <c:gapWidth val="150"/>
        <c:axId val="145087104"/>
        <c:axId val="148825984"/>
      </c:barChart>
      <c:catAx>
        <c:axId val="145087104"/>
        <c:scaling>
          <c:orientation val="minMax"/>
        </c:scaling>
        <c:delete val="0"/>
        <c:axPos val="b"/>
        <c:title>
          <c:tx>
            <c:rich>
              <a:bodyPr/>
              <a:lstStyle/>
              <a:p>
                <a:pPr>
                  <a:defRPr/>
                </a:pPr>
                <a:r>
                  <a:rPr lang="en-US"/>
                  <a:t>Samples</a:t>
                </a:r>
              </a:p>
            </c:rich>
          </c:tx>
          <c:overlay val="0"/>
        </c:title>
        <c:numFmt formatCode="General" sourceLinked="0"/>
        <c:majorTickMark val="out"/>
        <c:minorTickMark val="none"/>
        <c:tickLblPos val="nextTo"/>
        <c:spPr>
          <a:ln w="15875">
            <a:solidFill>
              <a:schemeClr val="tx1"/>
            </a:solidFill>
          </a:ln>
        </c:spPr>
        <c:crossAx val="148825984"/>
        <c:crosses val="autoZero"/>
        <c:auto val="1"/>
        <c:lblAlgn val="ctr"/>
        <c:lblOffset val="100"/>
        <c:noMultiLvlLbl val="0"/>
      </c:catAx>
      <c:valAx>
        <c:axId val="148825984"/>
        <c:scaling>
          <c:orientation val="minMax"/>
        </c:scaling>
        <c:delete val="0"/>
        <c:axPos val="l"/>
        <c:numFmt formatCode="0" sourceLinked="0"/>
        <c:majorTickMark val="out"/>
        <c:minorTickMark val="none"/>
        <c:tickLblPos val="nextTo"/>
        <c:spPr>
          <a:ln w="15875">
            <a:solidFill>
              <a:schemeClr val="tx1"/>
            </a:solidFill>
          </a:ln>
        </c:spPr>
        <c:crossAx val="145087104"/>
        <c:crosses val="autoZero"/>
        <c:crossBetween val="between"/>
      </c:valAx>
    </c:plotArea>
    <c:legend>
      <c:legendPos val="r"/>
      <c:layout>
        <c:manualLayout>
          <c:xMode val="edge"/>
          <c:yMode val="edge"/>
          <c:x val="0.58370743493857968"/>
          <c:y val="4.0577549580729781E-2"/>
          <c:w val="0.36714339279018687"/>
          <c:h val="0.20304435035350421"/>
        </c:manualLayout>
      </c:layout>
      <c:overlay val="0"/>
    </c:legend>
    <c:plotVisOnly val="1"/>
    <c:dispBlanksAs val="gap"/>
    <c:showDLblsOverMax val="0"/>
  </c:chart>
  <c:spPr>
    <a:ln w="15875">
      <a:no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47594647537003"/>
          <c:y val="2.5641034953656622E-2"/>
          <c:w val="0.86950337378935627"/>
          <c:h val="0.84656689296950571"/>
        </c:manualLayout>
      </c:layout>
      <c:barChart>
        <c:barDir val="col"/>
        <c:grouping val="clustered"/>
        <c:varyColors val="0"/>
        <c:ser>
          <c:idx val="0"/>
          <c:order val="0"/>
          <c:tx>
            <c:strRef>
              <c:f>'Charts for DHA'!$D$50</c:f>
              <c:strCache>
                <c:ptCount val="1"/>
                <c:pt idx="0">
                  <c:v>Gradient of DHA  (µgTPFg-1h-1)</c:v>
                </c:pt>
              </c:strCache>
            </c:strRef>
          </c:tx>
          <c:spPr>
            <a:pattFill prst="horzBrick">
              <a:fgClr>
                <a:schemeClr val="tx1"/>
              </a:fgClr>
              <a:bgClr>
                <a:schemeClr val="bg1"/>
              </a:bgClr>
            </a:pattFill>
            <a:ln w="15875">
              <a:solidFill>
                <a:schemeClr val="tx1"/>
              </a:solidFill>
            </a:ln>
          </c:spPr>
          <c:invertIfNegative val="0"/>
          <c:errBars>
            <c:errBarType val="both"/>
            <c:errValType val="percentage"/>
            <c:noEndCap val="0"/>
            <c:val val="5"/>
          </c:errBars>
          <c:cat>
            <c:multiLvlStrRef>
              <c:f>'Charts for DHA'!$B$51:$C$62</c:f>
              <c:multiLvlStrCache>
                <c:ptCount val="12"/>
                <c:lvl>
                  <c:pt idx="0">
                    <c:v>a (1)</c:v>
                  </c:pt>
                  <c:pt idx="1">
                    <c:v>b (1,2)</c:v>
                  </c:pt>
                  <c:pt idx="2">
                    <c:v>c (2)</c:v>
                  </c:pt>
                  <c:pt idx="3">
                    <c:v>a (1)</c:v>
                  </c:pt>
                  <c:pt idx="4">
                    <c:v>b (1,2)</c:v>
                  </c:pt>
                  <c:pt idx="5">
                    <c:v>c (2)</c:v>
                  </c:pt>
                  <c:pt idx="6">
                    <c:v>a (1)</c:v>
                  </c:pt>
                  <c:pt idx="7">
                    <c:v>b (1,2)</c:v>
                  </c:pt>
                  <c:pt idx="8">
                    <c:v>c (2)</c:v>
                  </c:pt>
                  <c:pt idx="9">
                    <c:v>a (1)</c:v>
                  </c:pt>
                  <c:pt idx="10">
                    <c:v>b (1,2)</c:v>
                  </c:pt>
                  <c:pt idx="11">
                    <c:v>c (2)</c:v>
                  </c:pt>
                </c:lvl>
                <c:lvl>
                  <c:pt idx="0">
                    <c:v>A1C2B2 (c) </c:v>
                  </c:pt>
                  <c:pt idx="3">
                    <c:v>A2C2B2 (b)</c:v>
                  </c:pt>
                  <c:pt idx="6">
                    <c:v>A1A2C2B2 (a)</c:v>
                  </c:pt>
                  <c:pt idx="9">
                    <c:v>C2 (d)</c:v>
                  </c:pt>
                </c:lvl>
              </c:multiLvlStrCache>
            </c:multiLvlStrRef>
          </c:cat>
          <c:val>
            <c:numRef>
              <c:f>'Charts for DHA'!$D$51:$D$62</c:f>
              <c:numCache>
                <c:formatCode>0.000</c:formatCode>
                <c:ptCount val="12"/>
                <c:pt idx="0">
                  <c:v>0.84505555555555578</c:v>
                </c:pt>
                <c:pt idx="1">
                  <c:v>0.81930555555555573</c:v>
                </c:pt>
                <c:pt idx="2">
                  <c:v>0.79713888888888906</c:v>
                </c:pt>
                <c:pt idx="3">
                  <c:v>1.9333888888888893</c:v>
                </c:pt>
                <c:pt idx="4">
                  <c:v>1.9041666666666666</c:v>
                </c:pt>
                <c:pt idx="5">
                  <c:v>1.833388888888889</c:v>
                </c:pt>
                <c:pt idx="6">
                  <c:v>2.12255555555556</c:v>
                </c:pt>
                <c:pt idx="7">
                  <c:v>2.08361111111111</c:v>
                </c:pt>
                <c:pt idx="8">
                  <c:v>2.0239444444444468</c:v>
                </c:pt>
                <c:pt idx="9">
                  <c:v>-3.14375E-2</c:v>
                </c:pt>
                <c:pt idx="10">
                  <c:v>-2.75E-2</c:v>
                </c:pt>
                <c:pt idx="11">
                  <c:v>-3.7467592592592698E-2</c:v>
                </c:pt>
              </c:numCache>
            </c:numRef>
          </c:val>
          <c:extLst>
            <c:ext xmlns:c16="http://schemas.microsoft.com/office/drawing/2014/chart" uri="{C3380CC4-5D6E-409C-BE32-E72D297353CC}">
              <c16:uniqueId val="{00000000-9504-4FC6-9D00-E7F08E3CAAC7}"/>
            </c:ext>
          </c:extLst>
        </c:ser>
        <c:dLbls>
          <c:showLegendKey val="0"/>
          <c:showVal val="0"/>
          <c:showCatName val="0"/>
          <c:showSerName val="0"/>
          <c:showPercent val="0"/>
          <c:showBubbleSize val="0"/>
        </c:dLbls>
        <c:gapWidth val="150"/>
        <c:axId val="159013888"/>
        <c:axId val="159213440"/>
      </c:barChart>
      <c:catAx>
        <c:axId val="159013888"/>
        <c:scaling>
          <c:orientation val="minMax"/>
        </c:scaling>
        <c:delete val="0"/>
        <c:axPos val="b"/>
        <c:title>
          <c:tx>
            <c:rich>
              <a:bodyPr/>
              <a:lstStyle/>
              <a:p>
                <a:pPr>
                  <a:defRPr b="0"/>
                </a:pPr>
                <a:r>
                  <a:rPr lang="en-US" b="0"/>
                  <a:t>Samples</a:t>
                </a:r>
              </a:p>
            </c:rich>
          </c:tx>
          <c:layout>
            <c:manualLayout>
              <c:xMode val="edge"/>
              <c:yMode val="edge"/>
              <c:x val="0.45478805774278214"/>
              <c:y val="0.93287037037037035"/>
            </c:manualLayout>
          </c:layout>
          <c:overlay val="0"/>
        </c:title>
        <c:numFmt formatCode="General" sourceLinked="0"/>
        <c:majorTickMark val="out"/>
        <c:minorTickMark val="none"/>
        <c:tickLblPos val="nextTo"/>
        <c:spPr>
          <a:ln w="15875">
            <a:solidFill>
              <a:schemeClr val="tx1"/>
            </a:solidFill>
          </a:ln>
        </c:spPr>
        <c:crossAx val="159213440"/>
        <c:crosses val="autoZero"/>
        <c:auto val="1"/>
        <c:lblAlgn val="ctr"/>
        <c:lblOffset val="100"/>
        <c:noMultiLvlLbl val="0"/>
      </c:catAx>
      <c:valAx>
        <c:axId val="159213440"/>
        <c:scaling>
          <c:orientation val="minMax"/>
        </c:scaling>
        <c:delete val="0"/>
        <c:axPos val="l"/>
        <c:title>
          <c:tx>
            <c:rich>
              <a:bodyPr rot="-5400000" vert="horz"/>
              <a:lstStyle/>
              <a:p>
                <a:pPr>
                  <a:defRPr b="0"/>
                </a:pPr>
                <a:r>
                  <a:rPr lang="en-US" sz="1000" b="0" i="0" u="none" strike="noStrike" baseline="0">
                    <a:effectLst/>
                  </a:rPr>
                  <a:t>Mean gradient of DHA  (µgTPFg</a:t>
                </a:r>
                <a:r>
                  <a:rPr lang="en-US" sz="1000" b="0" i="0" u="none" strike="noStrike" baseline="30000">
                    <a:effectLst/>
                  </a:rPr>
                  <a:t>-1</a:t>
                </a:r>
                <a:r>
                  <a:rPr lang="en-US" sz="1000" b="0" i="0" u="none" strike="noStrike" baseline="0">
                    <a:effectLst/>
                  </a:rPr>
                  <a:t>h</a:t>
                </a:r>
                <a:r>
                  <a:rPr lang="en-US" sz="1000" b="0" i="0" u="none" strike="noStrike" baseline="30000">
                    <a:effectLst/>
                  </a:rPr>
                  <a:t>-1</a:t>
                </a:r>
                <a:r>
                  <a:rPr lang="en-US" sz="1000" b="0" i="0" u="none" strike="noStrike" baseline="0">
                    <a:effectLst/>
                  </a:rPr>
                  <a:t>)</a:t>
                </a:r>
                <a:r>
                  <a:rPr lang="en-US" sz="1000" b="0" i="0" u="none" strike="noStrike" baseline="0"/>
                  <a:t> </a:t>
                </a:r>
                <a:endParaRPr lang="en-US" b="0"/>
              </a:p>
            </c:rich>
          </c:tx>
          <c:layout>
            <c:manualLayout>
              <c:xMode val="edge"/>
              <c:yMode val="edge"/>
              <c:x val="0"/>
              <c:y val="5.1466208559723392E-2"/>
            </c:manualLayout>
          </c:layout>
          <c:overlay val="0"/>
        </c:title>
        <c:numFmt formatCode="0.00" sourceLinked="0"/>
        <c:majorTickMark val="out"/>
        <c:minorTickMark val="none"/>
        <c:tickLblPos val="nextTo"/>
        <c:spPr>
          <a:ln w="15875">
            <a:solidFill>
              <a:schemeClr val="tx1"/>
            </a:solidFill>
          </a:ln>
        </c:spPr>
        <c:crossAx val="159013888"/>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807741085033079E-2"/>
          <c:y val="2.5636482939632499E-2"/>
          <c:w val="0.90519223007624039"/>
          <c:h val="0.80095924003913743"/>
        </c:manualLayout>
      </c:layout>
      <c:barChart>
        <c:barDir val="col"/>
        <c:grouping val="clustered"/>
        <c:varyColors val="0"/>
        <c:ser>
          <c:idx val="0"/>
          <c:order val="0"/>
          <c:tx>
            <c:strRef>
              <c:f>'ANOVA-Prot&amp;Total Chlo-Sampl (2'!$B$80</c:f>
              <c:strCache>
                <c:ptCount val="1"/>
                <c:pt idx="0">
                  <c:v>32.65mg/kg</c:v>
                </c:pt>
              </c:strCache>
            </c:strRef>
          </c:tx>
          <c:spPr>
            <a:pattFill prst="pct20">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(2'!$C$80:$F$80</c:f>
              <c:numCache>
                <c:formatCode>0.00</c:formatCode>
                <c:ptCount val="4"/>
                <c:pt idx="0">
                  <c:v>78.325000000000003</c:v>
                </c:pt>
                <c:pt idx="1">
                  <c:v>42.59</c:v>
                </c:pt>
                <c:pt idx="2">
                  <c:v>66.31</c:v>
                </c:pt>
                <c:pt idx="3">
                  <c:v>21.704999999999998</c:v>
                </c:pt>
              </c:numCache>
            </c:numRef>
          </c:val>
          <c:extLst>
            <c:ext xmlns:c16="http://schemas.microsoft.com/office/drawing/2014/chart" uri="{C3380CC4-5D6E-409C-BE32-E72D297353CC}">
              <c16:uniqueId val="{00000000-9E6F-9D4D-B1F0-FB76BEFE3260}"/>
            </c:ext>
          </c:extLst>
        </c:ser>
        <c:ser>
          <c:idx val="1"/>
          <c:order val="1"/>
          <c:tx>
            <c:strRef>
              <c:f>'ANOVA-Prot&amp;Total Chlo-Sampl (2'!$B$81</c:f>
              <c:strCache>
                <c:ptCount val="1"/>
                <c:pt idx="0">
                  <c:v>42.02mg/kg</c:v>
                </c:pt>
              </c:strCache>
            </c:strRef>
          </c:tx>
          <c:spPr>
            <a:pattFill prst="ltUpDiag">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(2'!$C$81:$F$81</c:f>
              <c:numCache>
                <c:formatCode>0.00</c:formatCode>
                <c:ptCount val="4"/>
                <c:pt idx="0">
                  <c:v>56.085000000000001</c:v>
                </c:pt>
                <c:pt idx="1">
                  <c:v>22.305</c:v>
                </c:pt>
                <c:pt idx="2">
                  <c:v>52.23</c:v>
                </c:pt>
                <c:pt idx="3">
                  <c:v>15.14</c:v>
                </c:pt>
              </c:numCache>
            </c:numRef>
          </c:val>
          <c:extLst>
            <c:ext xmlns:c16="http://schemas.microsoft.com/office/drawing/2014/chart" uri="{C3380CC4-5D6E-409C-BE32-E72D297353CC}">
              <c16:uniqueId val="{00000001-9E6F-9D4D-B1F0-FB76BEFE3260}"/>
            </c:ext>
          </c:extLst>
        </c:ser>
        <c:ser>
          <c:idx val="2"/>
          <c:order val="2"/>
          <c:tx>
            <c:strRef>
              <c:f>'ANOVA-Prot&amp;Total Chlo-Sampl (2'!$B$82</c:f>
              <c:strCache>
                <c:ptCount val="1"/>
                <c:pt idx="0">
                  <c:v>52.44mg/kg</c:v>
                </c:pt>
              </c:strCache>
            </c:strRef>
          </c:tx>
          <c:spPr>
            <a:pattFill prst="horzBrick">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(2'!$C$82:$F$82</c:f>
              <c:numCache>
                <c:formatCode>0.00</c:formatCode>
                <c:ptCount val="4"/>
                <c:pt idx="0">
                  <c:v>38.92</c:v>
                </c:pt>
                <c:pt idx="1">
                  <c:v>14.824999999999999</c:v>
                </c:pt>
                <c:pt idx="2">
                  <c:v>44.465000000000003</c:v>
                </c:pt>
                <c:pt idx="3">
                  <c:v>10.195</c:v>
                </c:pt>
              </c:numCache>
            </c:numRef>
          </c:val>
          <c:extLst>
            <c:ext xmlns:c16="http://schemas.microsoft.com/office/drawing/2014/chart" uri="{C3380CC4-5D6E-409C-BE32-E72D297353CC}">
              <c16:uniqueId val="{00000002-9E6F-9D4D-B1F0-FB76BEFE3260}"/>
            </c:ext>
          </c:extLst>
        </c:ser>
        <c:dLbls>
          <c:showLegendKey val="0"/>
          <c:showVal val="0"/>
          <c:showCatName val="0"/>
          <c:showSerName val="0"/>
          <c:showPercent val="0"/>
          <c:showBubbleSize val="0"/>
        </c:dLbls>
        <c:gapWidth val="150"/>
        <c:axId val="165422208"/>
        <c:axId val="165424512"/>
      </c:barChart>
      <c:catAx>
        <c:axId val="165422208"/>
        <c:scaling>
          <c:orientation val="minMax"/>
        </c:scaling>
        <c:delete val="0"/>
        <c:axPos val="b"/>
        <c:title>
          <c:tx>
            <c:rich>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Samples</a:t>
                </a:r>
              </a:p>
            </c:rich>
          </c:tx>
          <c:layout>
            <c:manualLayout>
              <c:xMode val="edge"/>
              <c:yMode val="edge"/>
              <c:x val="0.48195117403174098"/>
              <c:y val="0.95991824531998005"/>
            </c:manualLayout>
          </c:layout>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5424512"/>
        <c:crosses val="autoZero"/>
        <c:auto val="1"/>
        <c:lblAlgn val="ctr"/>
        <c:lblOffset val="100"/>
        <c:noMultiLvlLbl val="0"/>
      </c:catAx>
      <c:valAx>
        <c:axId val="165424512"/>
        <c:scaling>
          <c:orientation val="minMax"/>
        </c:scaling>
        <c:delete val="0"/>
        <c:axPos val="l"/>
        <c:title>
          <c:tx>
            <c:rich>
              <a:bodyPr rot="-54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Proteins content (mg/g)</a:t>
                </a:r>
              </a:p>
            </c:rich>
          </c:tx>
          <c:layout>
            <c:manualLayout>
              <c:xMode val="edge"/>
              <c:yMode val="edge"/>
              <c:x val="2.2082239720034999E-3"/>
              <c:y val="0.20836504811898501"/>
            </c:manualLayout>
          </c:layout>
          <c:overlay val="0"/>
        </c:title>
        <c:numFmt formatCode="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5422208"/>
        <c:crosses val="autoZero"/>
        <c:crossBetween val="between"/>
      </c:valAx>
    </c:plotArea>
    <c:legend>
      <c:legendPos val="r"/>
      <c:layout>
        <c:manualLayout>
          <c:xMode val="edge"/>
          <c:yMode val="edge"/>
          <c:x val="0.26678537134077801"/>
          <c:y val="4.2304373848629201E-2"/>
          <c:w val="0.50911866314655252"/>
          <c:h val="0.16550879148955938"/>
        </c:manualLayout>
      </c:layout>
      <c:overlay val="0"/>
      <c:txPr>
        <a:bodyPr rot="0" spcFirstLastPara="0" vertOverflow="ellipsis" vert="horz" wrap="square"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f3fc24b-4a84-4436-b8ae-190c91773475}"/>
      </c:ext>
    </c:extLst>
  </c:chart>
  <c:spPr>
    <a:ln w="9525" cap="flat" cmpd="sng" algn="ctr">
      <a:noFill/>
      <a:prstDash val="solid"/>
      <a:round/>
    </a:ln>
  </c:spPr>
  <c:txPr>
    <a:bodyPr/>
    <a:lstStyle/>
    <a:p>
      <a:pPr>
        <a:defRPr lang="en-GB">
          <a:latin typeface="Times New Roman" panose="02020603050405020304" charset="0"/>
          <a:cs typeface="Times New Roman" panose="0202060305040502030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938598631114094E-2"/>
          <c:y val="1.92470547799262E-2"/>
          <c:w val="0.90106140136888591"/>
          <c:h val="0.81885136431524652"/>
        </c:manualLayout>
      </c:layout>
      <c:barChart>
        <c:barDir val="col"/>
        <c:grouping val="clustered"/>
        <c:varyColors val="0"/>
        <c:ser>
          <c:idx val="0"/>
          <c:order val="0"/>
          <c:tx>
            <c:strRef>
              <c:f>'ANOVA-Prot&amp;Total Chlo-Sampl (2'!$R$80</c:f>
              <c:strCache>
                <c:ptCount val="1"/>
                <c:pt idx="0">
                  <c:v>32.65mg/kg</c:v>
                </c:pt>
              </c:strCache>
            </c:strRef>
          </c:tx>
          <c:spPr>
            <a:pattFill prst="pct20">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(2'!$S$80:$V$80</c:f>
              <c:numCache>
                <c:formatCode>0.00</c:formatCode>
                <c:ptCount val="4"/>
                <c:pt idx="0">
                  <c:v>0.616213043478261</c:v>
                </c:pt>
                <c:pt idx="1">
                  <c:v>0.99429999999999996</c:v>
                </c:pt>
                <c:pt idx="2">
                  <c:v>1.0249652173913</c:v>
                </c:pt>
                <c:pt idx="3">
                  <c:v>0.51659420289855096</c:v>
                </c:pt>
              </c:numCache>
            </c:numRef>
          </c:val>
          <c:extLst>
            <c:ext xmlns:c16="http://schemas.microsoft.com/office/drawing/2014/chart" uri="{C3380CC4-5D6E-409C-BE32-E72D297353CC}">
              <c16:uniqueId val="{00000000-D0FF-7B4E-A0D2-CEF165915EEC}"/>
            </c:ext>
          </c:extLst>
        </c:ser>
        <c:ser>
          <c:idx val="1"/>
          <c:order val="1"/>
          <c:tx>
            <c:strRef>
              <c:f>'ANOVA-Prot&amp;Total Chlo-Sampl (2'!$R$81</c:f>
              <c:strCache>
                <c:ptCount val="1"/>
                <c:pt idx="0">
                  <c:v>42.02mg/kg</c:v>
                </c:pt>
              </c:strCache>
            </c:strRef>
          </c:tx>
          <c:spPr>
            <a:pattFill prst="ltUpDiag">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(2'!$S$81:$V$81</c:f>
              <c:numCache>
                <c:formatCode>0.00</c:formatCode>
                <c:ptCount val="4"/>
                <c:pt idx="0">
                  <c:v>0.47427826086956498</c:v>
                </c:pt>
                <c:pt idx="1">
                  <c:v>0.72256086956521703</c:v>
                </c:pt>
                <c:pt idx="2">
                  <c:v>0.74406956521739098</c:v>
                </c:pt>
                <c:pt idx="3">
                  <c:v>0.47319420289856401</c:v>
                </c:pt>
              </c:numCache>
            </c:numRef>
          </c:val>
          <c:extLst>
            <c:ext xmlns:c16="http://schemas.microsoft.com/office/drawing/2014/chart" uri="{C3380CC4-5D6E-409C-BE32-E72D297353CC}">
              <c16:uniqueId val="{00000001-D0FF-7B4E-A0D2-CEF165915EEC}"/>
            </c:ext>
          </c:extLst>
        </c:ser>
        <c:ser>
          <c:idx val="2"/>
          <c:order val="2"/>
          <c:tx>
            <c:strRef>
              <c:f>'ANOVA-Prot&amp;Total Chlo-Sampl (2'!$R$82</c:f>
              <c:strCache>
                <c:ptCount val="1"/>
                <c:pt idx="0">
                  <c:v>52.44mg/kg</c:v>
                </c:pt>
              </c:strCache>
            </c:strRef>
          </c:tx>
          <c:spPr>
            <a:pattFill prst="horzBrick">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(2'!$S$82:$V$82</c:f>
              <c:numCache>
                <c:formatCode>0.00</c:formatCode>
                <c:ptCount val="4"/>
                <c:pt idx="0">
                  <c:v>0.327321739130435</c:v>
                </c:pt>
                <c:pt idx="1">
                  <c:v>0.50591739130434799</c:v>
                </c:pt>
                <c:pt idx="2">
                  <c:v>0.545117391304348</c:v>
                </c:pt>
                <c:pt idx="3">
                  <c:v>0.39430101449275301</c:v>
                </c:pt>
              </c:numCache>
            </c:numRef>
          </c:val>
          <c:extLst>
            <c:ext xmlns:c16="http://schemas.microsoft.com/office/drawing/2014/chart" uri="{C3380CC4-5D6E-409C-BE32-E72D297353CC}">
              <c16:uniqueId val="{00000002-D0FF-7B4E-A0D2-CEF165915EEC}"/>
            </c:ext>
          </c:extLst>
        </c:ser>
        <c:dLbls>
          <c:showLegendKey val="0"/>
          <c:showVal val="0"/>
          <c:showCatName val="0"/>
          <c:showSerName val="0"/>
          <c:showPercent val="0"/>
          <c:showBubbleSize val="0"/>
        </c:dLbls>
        <c:gapWidth val="150"/>
        <c:axId val="171866368"/>
        <c:axId val="171881216"/>
      </c:barChart>
      <c:catAx>
        <c:axId val="171866368"/>
        <c:scaling>
          <c:orientation val="minMax"/>
        </c:scaling>
        <c:delete val="0"/>
        <c:axPos val="b"/>
        <c:title>
          <c:tx>
            <c:rich>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Samples</a:t>
                </a:r>
              </a:p>
            </c:rich>
          </c:tx>
          <c:layout>
            <c:manualLayout>
              <c:xMode val="edge"/>
              <c:yMode val="edge"/>
              <c:x val="0.440653279720503"/>
              <c:y val="0.95810878262179999"/>
            </c:manualLayout>
          </c:layout>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1881216"/>
        <c:crosses val="autoZero"/>
        <c:auto val="1"/>
        <c:lblAlgn val="ctr"/>
        <c:lblOffset val="100"/>
        <c:noMultiLvlLbl val="0"/>
      </c:catAx>
      <c:valAx>
        <c:axId val="171881216"/>
        <c:scaling>
          <c:orientation val="minMax"/>
        </c:scaling>
        <c:delete val="0"/>
        <c:axPos val="l"/>
        <c:title>
          <c:tx>
            <c:rich>
              <a:bodyPr rot="-54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Chlorophyll content (mg/g)</a:t>
                </a:r>
              </a:p>
            </c:rich>
          </c:tx>
          <c:layout>
            <c:manualLayout>
              <c:xMode val="edge"/>
              <c:yMode val="edge"/>
              <c:x val="1.8279605996022413E-3"/>
              <c:y val="0.12974390613896303"/>
            </c:manualLayout>
          </c:layout>
          <c:overlay val="0"/>
        </c:title>
        <c:numFmt formatCode="0.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1866368"/>
        <c:crosses val="autoZero"/>
        <c:crossBetween val="between"/>
      </c:valAx>
    </c:plotArea>
    <c:legend>
      <c:legendPos val="r"/>
      <c:layout>
        <c:manualLayout>
          <c:xMode val="edge"/>
          <c:yMode val="edge"/>
          <c:x val="0.25136498793200968"/>
          <c:y val="1.2836254273491221E-3"/>
          <c:w val="0.61212063649536141"/>
          <c:h val="0.120634694367141"/>
        </c:manualLayout>
      </c:layout>
      <c:overlay val="0"/>
      <c:txPr>
        <a:bodyPr rot="0" spcFirstLastPara="0" vertOverflow="ellipsis" vert="horz" wrap="square"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7abc39b-e4dc-4dc3-acbb-780fdf7dc167}"/>
      </c:ext>
    </c:extLst>
  </c:chart>
  <c:spPr>
    <a:ln w="9525" cap="flat" cmpd="sng" algn="ctr">
      <a:noFill/>
      <a:prstDash val="solid"/>
      <a:round/>
    </a:ln>
  </c:spPr>
  <c:txPr>
    <a:bodyPr/>
    <a:lstStyle/>
    <a:p>
      <a:pPr>
        <a:defRPr lang="en-GB">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D58F-9AEA-46EE-AA29-291AE01C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187</TotalTime>
  <Pages>16</Pages>
  <Words>7174</Words>
  <Characters>40898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47977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55</cp:revision>
  <cp:lastPrinted>1999-07-06T11:00:00Z</cp:lastPrinted>
  <dcterms:created xsi:type="dcterms:W3CDTF">2014-10-25T14:34:00Z</dcterms:created>
  <dcterms:modified xsi:type="dcterms:W3CDTF">2026-01-20T09:28:00Z</dcterms:modified>
</cp:coreProperties>
</file>